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1A" w:rsidRPr="00AE77A6" w:rsidRDefault="00A56B0B">
      <w:pPr>
        <w:spacing w:after="0"/>
        <w:jc w:val="center"/>
        <w:rPr>
          <w:rFonts w:eastAsia="Times New Roman" w:cs="Calibri"/>
          <w:color w:val="000000"/>
          <w:lang w:val="en-GB"/>
        </w:rPr>
      </w:pPr>
      <w:r>
        <w:rPr>
          <w:noProof/>
          <w:lang w:val="cs-CZ" w:eastAsia="cs-CZ"/>
        </w:rPr>
        <w:drawing>
          <wp:anchor distT="0" distB="0" distL="114300" distR="114300" simplePos="0" relativeHeight="251657728" behindDoc="0" locked="0" layoutInCell="1" allowOverlap="0">
            <wp:simplePos x="0" y="0"/>
            <wp:positionH relativeFrom="column">
              <wp:posOffset>2481580</wp:posOffset>
            </wp:positionH>
            <wp:positionV relativeFrom="paragraph">
              <wp:align>center</wp:align>
            </wp:positionV>
            <wp:extent cx="784860" cy="560705"/>
            <wp:effectExtent l="19050" t="0" r="0" b="0"/>
            <wp:wrapTopAndBottom/>
            <wp:docPr id="2" name="Obrázek 3"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KU_LOGO 1"/>
                    <pic:cNvPicPr>
                      <a:picLocks noChangeAspect="1" noChangeArrowheads="1"/>
                    </pic:cNvPicPr>
                  </pic:nvPicPr>
                  <pic:blipFill>
                    <a:blip r:embed="rId8" cstate="print"/>
                    <a:srcRect/>
                    <a:stretch>
                      <a:fillRect/>
                    </a:stretch>
                  </pic:blipFill>
                  <pic:spPr bwMode="auto">
                    <a:xfrm>
                      <a:off x="0" y="0"/>
                      <a:ext cx="784860" cy="560705"/>
                    </a:xfrm>
                    <a:prstGeom prst="rect">
                      <a:avLst/>
                    </a:prstGeom>
                    <a:noFill/>
                  </pic:spPr>
                </pic:pic>
              </a:graphicData>
            </a:graphic>
          </wp:anchor>
        </w:drawing>
      </w:r>
    </w:p>
    <w:p w:rsidR="0095691A" w:rsidRPr="00AE77A6" w:rsidRDefault="00E9224A">
      <w:pPr>
        <w:spacing w:after="0"/>
        <w:jc w:val="center"/>
        <w:rPr>
          <w:rFonts w:eastAsia="Times New Roman" w:cs="Calibri"/>
          <w:b/>
          <w:color w:val="000000"/>
          <w:sz w:val="28"/>
          <w:szCs w:val="28"/>
          <w:lang w:val="en-GB"/>
        </w:rPr>
      </w:pPr>
      <w:bookmarkStart w:id="0" w:name="_GoBack"/>
      <w:r w:rsidRPr="00AE77A6">
        <w:rPr>
          <w:rFonts w:eastAsia="Times New Roman" w:cs="Calibri"/>
          <w:b/>
          <w:color w:val="000000"/>
          <w:sz w:val="28"/>
          <w:szCs w:val="28"/>
          <w:lang w:val="en-GB"/>
        </w:rPr>
        <w:t>Audit Conclusion from Audit N</w:t>
      </w:r>
      <w:r w:rsidR="009B2E6C" w:rsidRPr="00AE77A6">
        <w:rPr>
          <w:rFonts w:eastAsia="Times New Roman" w:cs="Calibri"/>
          <w:b/>
          <w:color w:val="000000"/>
          <w:sz w:val="28"/>
          <w:szCs w:val="28"/>
          <w:lang w:val="en-GB"/>
        </w:rPr>
        <w:t xml:space="preserve">o. </w:t>
      </w:r>
    </w:p>
    <w:p w:rsidR="0095691A" w:rsidRPr="00AE77A6" w:rsidRDefault="009B2E6C">
      <w:pPr>
        <w:spacing w:after="0"/>
        <w:jc w:val="center"/>
        <w:rPr>
          <w:rFonts w:eastAsia="Times New Roman" w:cs="Calibri"/>
          <w:b/>
          <w:color w:val="000000"/>
          <w:sz w:val="28"/>
          <w:szCs w:val="28"/>
          <w:lang w:val="en-GB"/>
        </w:rPr>
      </w:pPr>
      <w:r w:rsidRPr="00AE77A6">
        <w:rPr>
          <w:rFonts w:eastAsia="Times New Roman" w:cs="Calibri"/>
          <w:b/>
          <w:color w:val="000000"/>
          <w:sz w:val="28"/>
          <w:szCs w:val="28"/>
          <w:lang w:val="en-GB"/>
        </w:rPr>
        <w:t>15/02</w:t>
      </w:r>
    </w:p>
    <w:p w:rsidR="0095691A" w:rsidRDefault="000046F0">
      <w:pPr>
        <w:spacing w:after="0"/>
        <w:jc w:val="center"/>
        <w:rPr>
          <w:rFonts w:eastAsia="Times New Roman" w:cs="Calibri"/>
          <w:b/>
          <w:color w:val="000000"/>
          <w:sz w:val="28"/>
          <w:szCs w:val="28"/>
          <w:lang w:val="en-GB"/>
        </w:rPr>
      </w:pPr>
      <w:r w:rsidRPr="000046F0">
        <w:rPr>
          <w:rFonts w:eastAsia="Times New Roman" w:cs="Calibri"/>
          <w:b/>
          <w:color w:val="000000"/>
          <w:sz w:val="28"/>
          <w:szCs w:val="28"/>
          <w:lang w:val="en-GB"/>
        </w:rPr>
        <w:t>State budget funds provided for support of energy savings</w:t>
      </w:r>
    </w:p>
    <w:bookmarkEnd w:id="0"/>
    <w:p w:rsidR="000046F0" w:rsidRPr="00AE77A6" w:rsidRDefault="000046F0">
      <w:pPr>
        <w:spacing w:after="0"/>
        <w:jc w:val="center"/>
        <w:rPr>
          <w:rFonts w:eastAsia="Times New Roman" w:cs="Calibri"/>
          <w:b/>
          <w:color w:val="000000"/>
          <w:sz w:val="28"/>
          <w:szCs w:val="28"/>
          <w:lang w:val="en-GB"/>
        </w:rPr>
      </w:pPr>
    </w:p>
    <w:p w:rsidR="0095691A" w:rsidRPr="00AE77A6" w:rsidRDefault="009B2E6C">
      <w:pPr>
        <w:spacing w:after="140"/>
        <w:rPr>
          <w:rFonts w:eastAsia="Times New Roman" w:cs="Calibri"/>
          <w:color w:val="000000"/>
          <w:lang w:val="en-GB"/>
        </w:rPr>
      </w:pPr>
      <w:r w:rsidRPr="00AE77A6">
        <w:rPr>
          <w:rFonts w:eastAsia="Times New Roman" w:cs="Calibri"/>
          <w:color w:val="000000"/>
          <w:lang w:val="en-GB"/>
        </w:rPr>
        <w:t xml:space="preserve">The audit was included in the audit plan of the Supreme Audit Office (“SAO”) for </w:t>
      </w:r>
      <w:r w:rsidR="00275AF6">
        <w:rPr>
          <w:rFonts w:eastAsia="Times New Roman" w:cs="Calibri"/>
          <w:color w:val="000000"/>
          <w:lang w:val="en-GB"/>
        </w:rPr>
        <w:t xml:space="preserve">the year </w:t>
      </w:r>
      <w:r w:rsidRPr="00AE77A6">
        <w:rPr>
          <w:rFonts w:eastAsia="Times New Roman" w:cs="Calibri"/>
          <w:color w:val="000000"/>
          <w:lang w:val="en-GB"/>
        </w:rPr>
        <w:t xml:space="preserve">2015 under </w:t>
      </w:r>
      <w:r w:rsidR="00275AF6">
        <w:rPr>
          <w:rFonts w:eastAsia="Times New Roman" w:cs="Calibri"/>
          <w:color w:val="000000"/>
          <w:lang w:val="en-GB"/>
        </w:rPr>
        <w:t xml:space="preserve">the </w:t>
      </w:r>
      <w:r w:rsidRPr="00AE77A6">
        <w:rPr>
          <w:rFonts w:eastAsia="Times New Roman" w:cs="Calibri"/>
          <w:color w:val="000000"/>
          <w:lang w:val="en-GB"/>
        </w:rPr>
        <w:t xml:space="preserve">number 15/02. The audit was managed and the audit conclusion drawn up by </w:t>
      </w:r>
      <w:r w:rsidR="00275AF6">
        <w:rPr>
          <w:rFonts w:eastAsia="Times New Roman" w:cs="Calibri"/>
          <w:color w:val="000000"/>
          <w:lang w:val="en-GB"/>
        </w:rPr>
        <w:t xml:space="preserve">the </w:t>
      </w:r>
      <w:r w:rsidRPr="00AE77A6">
        <w:rPr>
          <w:rFonts w:eastAsia="Times New Roman" w:cs="Calibri"/>
          <w:color w:val="000000"/>
          <w:lang w:val="en-GB"/>
        </w:rPr>
        <w:t xml:space="preserve">SAO </w:t>
      </w:r>
      <w:r w:rsidR="005B52C8">
        <w:rPr>
          <w:rFonts w:eastAsia="Times New Roman" w:cs="Calibri"/>
          <w:color w:val="000000"/>
          <w:lang w:val="en-GB"/>
        </w:rPr>
        <w:t>M</w:t>
      </w:r>
      <w:r w:rsidRPr="00AE77A6">
        <w:rPr>
          <w:rFonts w:eastAsia="Times New Roman" w:cs="Calibri"/>
          <w:color w:val="000000"/>
          <w:lang w:val="en-GB"/>
        </w:rPr>
        <w:t xml:space="preserve">ember Petr </w:t>
      </w:r>
      <w:proofErr w:type="spellStart"/>
      <w:r w:rsidRPr="00AE77A6">
        <w:rPr>
          <w:rFonts w:eastAsia="Times New Roman" w:cs="Calibri"/>
          <w:color w:val="000000"/>
          <w:lang w:val="en-GB"/>
        </w:rPr>
        <w:t>Neuvirt</w:t>
      </w:r>
      <w:proofErr w:type="spellEnd"/>
      <w:r w:rsidRPr="00AE77A6">
        <w:rPr>
          <w:rFonts w:eastAsia="Times New Roman" w:cs="Calibri"/>
          <w:color w:val="000000"/>
          <w:lang w:val="en-GB"/>
        </w:rPr>
        <w:t>.</w:t>
      </w:r>
    </w:p>
    <w:p w:rsidR="0095691A" w:rsidRPr="00AE77A6" w:rsidRDefault="009B2E6C">
      <w:pPr>
        <w:spacing w:after="140"/>
        <w:rPr>
          <w:rFonts w:eastAsia="Times New Roman" w:cs="Calibri"/>
          <w:color w:val="000000"/>
          <w:lang w:val="en-GB"/>
        </w:rPr>
      </w:pPr>
      <w:r w:rsidRPr="00AE77A6">
        <w:rPr>
          <w:rFonts w:eastAsia="Times New Roman" w:cs="Calibri"/>
          <w:color w:val="000000"/>
          <w:lang w:val="en-GB"/>
        </w:rPr>
        <w:t>The aim of the audit was to scrutinise the provision of financial resources to promote energy savings and assess the results achieved compared to the goals set and the funds used.</w:t>
      </w:r>
    </w:p>
    <w:p w:rsidR="0095691A" w:rsidRPr="00AE77A6" w:rsidRDefault="009B2E6C">
      <w:pPr>
        <w:spacing w:after="140"/>
        <w:rPr>
          <w:rFonts w:eastAsia="Times New Roman" w:cs="Calibri"/>
          <w:color w:val="000000"/>
          <w:lang w:val="en-GB"/>
        </w:rPr>
      </w:pPr>
      <w:r w:rsidRPr="00AE77A6">
        <w:rPr>
          <w:rFonts w:eastAsia="Times New Roman" w:cs="Calibri"/>
          <w:color w:val="000000"/>
          <w:lang w:val="en-GB"/>
        </w:rPr>
        <w:t>The audit was conducted at the audited entities from January</w:t>
      </w:r>
      <w:r w:rsidR="00F9180A">
        <w:rPr>
          <w:rFonts w:eastAsia="Times New Roman" w:cs="Calibri"/>
          <w:color w:val="000000"/>
          <w:lang w:val="en-GB"/>
        </w:rPr>
        <w:t xml:space="preserve"> 2015</w:t>
      </w:r>
      <w:r w:rsidRPr="00AE77A6">
        <w:rPr>
          <w:rFonts w:eastAsia="Times New Roman" w:cs="Calibri"/>
          <w:color w:val="000000"/>
          <w:lang w:val="en-GB"/>
        </w:rPr>
        <w:t xml:space="preserve"> to August 2015.</w:t>
      </w:r>
    </w:p>
    <w:p w:rsidR="0095691A" w:rsidRPr="00AE77A6" w:rsidRDefault="009B2E6C" w:rsidP="00E9224A">
      <w:pPr>
        <w:spacing w:after="140"/>
        <w:rPr>
          <w:rFonts w:eastAsia="Times New Roman" w:cs="Calibri"/>
          <w:color w:val="000000"/>
          <w:lang w:val="en-GB"/>
        </w:rPr>
      </w:pPr>
      <w:r w:rsidRPr="00AE77A6">
        <w:rPr>
          <w:rFonts w:eastAsia="Times New Roman" w:cs="Calibri"/>
          <w:color w:val="000000"/>
          <w:lang w:val="en-GB"/>
        </w:rPr>
        <w:t xml:space="preserve">The </w:t>
      </w:r>
      <w:r w:rsidR="00E9224A" w:rsidRPr="00AE77A6">
        <w:rPr>
          <w:rFonts w:eastAsia="Times New Roman" w:cs="Calibri"/>
          <w:color w:val="000000"/>
          <w:lang w:val="en-GB"/>
        </w:rPr>
        <w:t>period of</w:t>
      </w:r>
      <w:r w:rsidRPr="00AE77A6">
        <w:rPr>
          <w:rFonts w:eastAsia="Times New Roman" w:cs="Calibri"/>
          <w:color w:val="000000"/>
          <w:lang w:val="en-GB"/>
        </w:rPr>
        <w:t xml:space="preserve"> 2012 to 2014</w:t>
      </w:r>
      <w:r w:rsidR="00E9224A" w:rsidRPr="00AE77A6">
        <w:rPr>
          <w:rFonts w:eastAsia="Times New Roman" w:cs="Calibri"/>
          <w:color w:val="000000"/>
          <w:lang w:val="en-GB"/>
        </w:rPr>
        <w:t xml:space="preserve"> was audited</w:t>
      </w:r>
      <w:r w:rsidRPr="00AE77A6">
        <w:rPr>
          <w:rFonts w:eastAsia="Times New Roman" w:cs="Calibri"/>
          <w:color w:val="000000"/>
          <w:lang w:val="en-GB"/>
        </w:rPr>
        <w:t>; where relevant, the preceding and following periods were also scrutinised.</w:t>
      </w:r>
    </w:p>
    <w:p w:rsidR="0095691A" w:rsidRPr="00AE77A6" w:rsidRDefault="009B2E6C" w:rsidP="00E9224A">
      <w:pPr>
        <w:spacing w:after="140"/>
        <w:rPr>
          <w:rFonts w:eastAsia="Times New Roman" w:cs="Calibri"/>
          <w:color w:val="000000"/>
          <w:lang w:val="en-GB"/>
        </w:rPr>
      </w:pPr>
      <w:r w:rsidRPr="00AE77A6">
        <w:rPr>
          <w:rFonts w:eastAsia="Times New Roman" w:cs="Calibri"/>
          <w:color w:val="000000"/>
          <w:lang w:val="en-GB"/>
        </w:rPr>
        <w:t>Audited entities:</w:t>
      </w:r>
      <w:r w:rsidRPr="00AE77A6">
        <w:rPr>
          <w:rFonts w:eastAsia="Times New Roman" w:cs="Calibri"/>
          <w:color w:val="000000"/>
          <w:lang w:val="en-GB"/>
        </w:rPr>
        <w:cr/>
        <w:t>M</w:t>
      </w:r>
      <w:r w:rsidR="00E9224A" w:rsidRPr="00AE77A6">
        <w:rPr>
          <w:rFonts w:eastAsia="Times New Roman" w:cs="Calibri"/>
          <w:color w:val="000000"/>
          <w:lang w:val="en-GB"/>
        </w:rPr>
        <w:t xml:space="preserve">inistry of Industry and Trade; </w:t>
      </w:r>
      <w:r w:rsidRPr="00AE77A6">
        <w:rPr>
          <w:rFonts w:eastAsia="Times New Roman" w:cs="Calibri"/>
          <w:color w:val="000000"/>
          <w:lang w:val="en-GB"/>
        </w:rPr>
        <w:t xml:space="preserve">Business and Investment Development Agency </w:t>
      </w:r>
      <w:proofErr w:type="spellStart"/>
      <w:r w:rsidRPr="00AE77A6">
        <w:rPr>
          <w:rFonts w:eastAsia="Times New Roman" w:cs="Calibri"/>
          <w:color w:val="000000"/>
          <w:lang w:val="en-GB"/>
        </w:rPr>
        <w:t>CzechInvest</w:t>
      </w:r>
      <w:proofErr w:type="spellEnd"/>
      <w:r w:rsidRPr="00AE77A6">
        <w:rPr>
          <w:rFonts w:eastAsia="Times New Roman" w:cs="Calibri"/>
          <w:color w:val="000000"/>
          <w:lang w:val="en-GB"/>
        </w:rPr>
        <w:t xml:space="preserve">; Ministry of the Environment; State Environmental Fund of the Czech Republic; Ministry of Regional Development; State Housing Development Fund; INTERHOTEL BOHEMIA </w:t>
      </w:r>
      <w:proofErr w:type="spellStart"/>
      <w:r w:rsidRPr="00AE77A6">
        <w:rPr>
          <w:rFonts w:eastAsia="Times New Roman" w:cs="Calibri"/>
          <w:color w:val="000000"/>
          <w:lang w:val="en-GB"/>
        </w:rPr>
        <w:t>a.s</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Ústí</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nad</w:t>
      </w:r>
      <w:proofErr w:type="spellEnd"/>
      <w:r w:rsidRPr="00AE77A6">
        <w:rPr>
          <w:rFonts w:eastAsia="Times New Roman" w:cs="Calibri"/>
          <w:color w:val="000000"/>
          <w:lang w:val="en-GB"/>
        </w:rPr>
        <w:t xml:space="preserve"> Labem; TAMERO INVEST </w:t>
      </w:r>
      <w:proofErr w:type="spellStart"/>
      <w:r w:rsidRPr="00AE77A6">
        <w:rPr>
          <w:rFonts w:eastAsia="Times New Roman" w:cs="Calibri"/>
          <w:color w:val="000000"/>
          <w:lang w:val="en-GB"/>
        </w:rPr>
        <w:t>s.r.o</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Kralupy</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nad</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Vltavou</w:t>
      </w:r>
      <w:proofErr w:type="spellEnd"/>
      <w:r w:rsidRPr="00AE77A6">
        <w:rPr>
          <w:rFonts w:eastAsia="Times New Roman" w:cs="Calibri"/>
          <w:color w:val="000000"/>
          <w:lang w:val="en-GB"/>
        </w:rPr>
        <w:t xml:space="preserve">; the statutory city of </w:t>
      </w:r>
      <w:proofErr w:type="spellStart"/>
      <w:r w:rsidRPr="00AE77A6">
        <w:rPr>
          <w:rFonts w:eastAsia="Times New Roman" w:cs="Calibri"/>
          <w:color w:val="000000"/>
          <w:lang w:val="en-GB"/>
        </w:rPr>
        <w:t>České</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Budějovice</w:t>
      </w:r>
      <w:proofErr w:type="spellEnd"/>
      <w:r w:rsidRPr="00AE77A6">
        <w:rPr>
          <w:rFonts w:eastAsia="Times New Roman" w:cs="Calibri"/>
          <w:color w:val="000000"/>
          <w:lang w:val="en-GB"/>
        </w:rPr>
        <w:t xml:space="preserve">; the town of </w:t>
      </w:r>
      <w:proofErr w:type="spellStart"/>
      <w:r w:rsidRPr="00AE77A6">
        <w:rPr>
          <w:rFonts w:eastAsia="Times New Roman" w:cs="Calibri"/>
          <w:color w:val="000000"/>
          <w:lang w:val="en-GB"/>
        </w:rPr>
        <w:t>Hluboká</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nad</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Vltavou</w:t>
      </w:r>
      <w:proofErr w:type="spellEnd"/>
      <w:r w:rsidRPr="00AE77A6">
        <w:rPr>
          <w:rFonts w:eastAsia="Times New Roman" w:cs="Calibri"/>
          <w:color w:val="000000"/>
          <w:lang w:val="en-GB"/>
        </w:rPr>
        <w:t xml:space="preserve">; the statutory city of </w:t>
      </w:r>
      <w:proofErr w:type="spellStart"/>
      <w:r w:rsidRPr="00AE77A6">
        <w:rPr>
          <w:rFonts w:eastAsia="Times New Roman" w:cs="Calibri"/>
          <w:color w:val="000000"/>
          <w:lang w:val="en-GB"/>
        </w:rPr>
        <w:t>Jihlava</w:t>
      </w:r>
      <w:proofErr w:type="spellEnd"/>
      <w:r w:rsidRPr="00AE77A6">
        <w:rPr>
          <w:rFonts w:eastAsia="Times New Roman" w:cs="Calibri"/>
          <w:color w:val="000000"/>
          <w:lang w:val="en-GB"/>
        </w:rPr>
        <w:t xml:space="preserve">; JIHLAVSKÉ KOTELNY, </w:t>
      </w:r>
      <w:proofErr w:type="spellStart"/>
      <w:r w:rsidRPr="00AE77A6">
        <w:rPr>
          <w:rFonts w:eastAsia="Times New Roman" w:cs="Calibri"/>
          <w:color w:val="000000"/>
          <w:lang w:val="en-GB"/>
        </w:rPr>
        <w:t>s.r.o</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Stora</w:t>
      </w:r>
      <w:proofErr w:type="spellEnd"/>
      <w:r w:rsidRPr="00AE77A6">
        <w:rPr>
          <w:rFonts w:eastAsia="Times New Roman" w:cs="Calibri"/>
          <w:color w:val="000000"/>
          <w:lang w:val="en-GB"/>
        </w:rPr>
        <w:t xml:space="preserve"> Enso Wood Products </w:t>
      </w:r>
      <w:proofErr w:type="spellStart"/>
      <w:r w:rsidRPr="00AE77A6">
        <w:rPr>
          <w:rFonts w:eastAsia="Times New Roman" w:cs="Calibri"/>
          <w:color w:val="000000"/>
          <w:lang w:val="en-GB"/>
        </w:rPr>
        <w:t>Ždírec</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s.r.o</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Ždírec</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nad</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Doubravou</w:t>
      </w:r>
      <w:proofErr w:type="spellEnd"/>
      <w:r w:rsidRPr="00AE77A6">
        <w:rPr>
          <w:rFonts w:eastAsia="Times New Roman" w:cs="Calibri"/>
          <w:color w:val="000000"/>
          <w:lang w:val="en-GB"/>
        </w:rPr>
        <w:t>; the statutory city of Brno; Secondary School of Informatics and Communications Brno; Secondary School of Construction Trades Brno–</w:t>
      </w:r>
      <w:proofErr w:type="spellStart"/>
      <w:r w:rsidRPr="00AE77A6">
        <w:rPr>
          <w:rFonts w:eastAsia="Times New Roman" w:cs="Calibri"/>
          <w:color w:val="000000"/>
          <w:lang w:val="en-GB"/>
        </w:rPr>
        <w:t>Bosonohy</w:t>
      </w:r>
      <w:proofErr w:type="spellEnd"/>
      <w:r w:rsidRPr="00AE77A6">
        <w:rPr>
          <w:rFonts w:eastAsia="Times New Roman" w:cs="Calibri"/>
          <w:color w:val="000000"/>
          <w:lang w:val="en-GB"/>
        </w:rPr>
        <w:t xml:space="preserve">; Veolia </w:t>
      </w:r>
      <w:proofErr w:type="spellStart"/>
      <w:r w:rsidRPr="00AE77A6">
        <w:rPr>
          <w:rFonts w:eastAsia="Times New Roman" w:cs="Calibri"/>
          <w:color w:val="000000"/>
          <w:lang w:val="en-GB"/>
        </w:rPr>
        <w:t>Průmyslové</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služby</w:t>
      </w:r>
      <w:proofErr w:type="spellEnd"/>
      <w:r w:rsidRPr="00AE77A6">
        <w:rPr>
          <w:rFonts w:eastAsia="Times New Roman" w:cs="Calibri"/>
          <w:color w:val="000000"/>
          <w:lang w:val="en-GB"/>
        </w:rPr>
        <w:t xml:space="preserve"> ČR, </w:t>
      </w:r>
      <w:proofErr w:type="spellStart"/>
      <w:r w:rsidRPr="00AE77A6">
        <w:rPr>
          <w:rFonts w:eastAsia="Times New Roman" w:cs="Calibri"/>
          <w:color w:val="000000"/>
          <w:lang w:val="en-GB"/>
        </w:rPr>
        <w:t>a.s</w:t>
      </w:r>
      <w:proofErr w:type="spellEnd"/>
      <w:r w:rsidRPr="00AE77A6">
        <w:rPr>
          <w:rFonts w:eastAsia="Times New Roman" w:cs="Calibri"/>
          <w:color w:val="000000"/>
          <w:lang w:val="en-GB"/>
        </w:rPr>
        <w:t xml:space="preserve">., Ostrava; TEPLO </w:t>
      </w:r>
      <w:proofErr w:type="spellStart"/>
      <w:r w:rsidRPr="00AE77A6">
        <w:rPr>
          <w:rFonts w:eastAsia="Times New Roman" w:cs="Calibri"/>
          <w:color w:val="000000"/>
          <w:lang w:val="en-GB"/>
        </w:rPr>
        <w:t>Kopřivnice</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s.r.o</w:t>
      </w:r>
      <w:proofErr w:type="spellEnd"/>
      <w:r w:rsidRPr="00AE77A6">
        <w:rPr>
          <w:rFonts w:eastAsia="Times New Roman" w:cs="Calibri"/>
          <w:color w:val="000000"/>
          <w:lang w:val="en-GB"/>
        </w:rPr>
        <w:t xml:space="preserve">.; PRECHEZA </w:t>
      </w:r>
      <w:proofErr w:type="spellStart"/>
      <w:r w:rsidRPr="00AE77A6">
        <w:rPr>
          <w:rFonts w:eastAsia="Times New Roman" w:cs="Calibri"/>
          <w:color w:val="000000"/>
          <w:lang w:val="en-GB"/>
        </w:rPr>
        <w:t>a.s</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Přerov</w:t>
      </w:r>
      <w:proofErr w:type="spellEnd"/>
      <w:r w:rsidRPr="00AE77A6">
        <w:rPr>
          <w:rFonts w:eastAsia="Times New Roman" w:cs="Calibri"/>
          <w:color w:val="000000"/>
          <w:lang w:val="en-GB"/>
        </w:rPr>
        <w:t xml:space="preserve">; D Ř E V O P A R , </w:t>
      </w:r>
      <w:proofErr w:type="spellStart"/>
      <w:r w:rsidRPr="00AE77A6">
        <w:rPr>
          <w:rFonts w:eastAsia="Times New Roman" w:cs="Calibri"/>
          <w:color w:val="000000"/>
          <w:lang w:val="en-GB"/>
        </w:rPr>
        <w:t>s.r.o</w:t>
      </w:r>
      <w:proofErr w:type="spellEnd"/>
      <w:r w:rsidRPr="00AE77A6">
        <w:rPr>
          <w:rFonts w:eastAsia="Times New Roman" w:cs="Calibri"/>
          <w:color w:val="000000"/>
          <w:lang w:val="en-GB"/>
        </w:rPr>
        <w:t xml:space="preserve">., </w:t>
      </w:r>
      <w:proofErr w:type="spellStart"/>
      <w:r w:rsidRPr="00AE77A6">
        <w:rPr>
          <w:rFonts w:eastAsia="Times New Roman" w:cs="Calibri"/>
          <w:color w:val="000000"/>
          <w:lang w:val="en-GB"/>
        </w:rPr>
        <w:t>Loštice</w:t>
      </w:r>
      <w:proofErr w:type="spellEnd"/>
      <w:r w:rsidRPr="00AE77A6">
        <w:rPr>
          <w:rFonts w:eastAsia="Times New Roman" w:cs="Calibri"/>
          <w:color w:val="000000"/>
          <w:lang w:val="en-GB"/>
        </w:rPr>
        <w:t xml:space="preserve">; the municipality of </w:t>
      </w:r>
      <w:proofErr w:type="spellStart"/>
      <w:r w:rsidRPr="00AE77A6">
        <w:rPr>
          <w:rFonts w:eastAsia="Times New Roman" w:cs="Calibri"/>
          <w:color w:val="000000"/>
          <w:lang w:val="en-GB"/>
        </w:rPr>
        <w:t>Kunčice</w:t>
      </w:r>
      <w:proofErr w:type="spellEnd"/>
      <w:r w:rsidRPr="00AE77A6">
        <w:rPr>
          <w:rFonts w:eastAsia="Times New Roman" w:cs="Calibri"/>
          <w:color w:val="000000"/>
          <w:lang w:val="en-GB"/>
        </w:rPr>
        <w:t xml:space="preserve"> pod </w:t>
      </w:r>
      <w:proofErr w:type="spellStart"/>
      <w:r w:rsidRPr="00AE77A6">
        <w:rPr>
          <w:rFonts w:eastAsia="Times New Roman" w:cs="Calibri"/>
          <w:color w:val="000000"/>
          <w:lang w:val="en-GB"/>
        </w:rPr>
        <w:t>Ondřejníkem</w:t>
      </w:r>
      <w:proofErr w:type="spellEnd"/>
    </w:p>
    <w:p w:rsidR="0095691A" w:rsidRPr="00AE77A6" w:rsidRDefault="009B2E6C" w:rsidP="00E9224A">
      <w:pPr>
        <w:spacing w:after="140"/>
        <w:rPr>
          <w:rFonts w:cs="Calibri"/>
          <w:bCs/>
          <w:lang w:val="en-GB"/>
        </w:rPr>
      </w:pPr>
      <w:r w:rsidRPr="00AE77A6">
        <w:rPr>
          <w:rFonts w:eastAsia="Times New Roman" w:cs="Calibri"/>
          <w:bCs/>
          <w:color w:val="000000"/>
          <w:lang w:val="en-GB"/>
        </w:rPr>
        <w:t xml:space="preserve">Objections filed by the Ministry of Industry and Trade, the Ministry of the Environment, the State Environmental Fund of the Czech Republic, the statutory city of </w:t>
      </w:r>
      <w:proofErr w:type="spellStart"/>
      <w:r w:rsidRPr="00AE77A6">
        <w:rPr>
          <w:rFonts w:eastAsia="Times New Roman" w:cs="Calibri"/>
          <w:bCs/>
          <w:color w:val="000000"/>
          <w:lang w:val="en-GB"/>
        </w:rPr>
        <w:t>Jihlava</w:t>
      </w:r>
      <w:proofErr w:type="spellEnd"/>
      <w:r w:rsidR="000717DA">
        <w:rPr>
          <w:rFonts w:eastAsia="Times New Roman" w:cs="Calibri"/>
          <w:bCs/>
          <w:color w:val="000000"/>
          <w:lang w:val="en-GB"/>
        </w:rPr>
        <w:t>,</w:t>
      </w:r>
      <w:r w:rsidRPr="00AE77A6">
        <w:rPr>
          <w:rFonts w:eastAsia="Times New Roman" w:cs="Calibri"/>
          <w:bCs/>
          <w:color w:val="000000"/>
          <w:lang w:val="en-GB"/>
        </w:rPr>
        <w:t xml:space="preserve"> and D Ř E V O P A </w:t>
      </w:r>
      <w:proofErr w:type="gramStart"/>
      <w:r w:rsidRPr="00AE77A6">
        <w:rPr>
          <w:rFonts w:eastAsia="Times New Roman" w:cs="Calibri"/>
          <w:bCs/>
          <w:color w:val="000000"/>
          <w:lang w:val="en-GB"/>
        </w:rPr>
        <w:t>R ,</w:t>
      </w:r>
      <w:proofErr w:type="gramEnd"/>
      <w:r w:rsidRPr="00AE77A6">
        <w:rPr>
          <w:rFonts w:eastAsia="Times New Roman" w:cs="Calibri"/>
          <w:bCs/>
          <w:color w:val="000000"/>
          <w:lang w:val="en-GB"/>
        </w:rPr>
        <w:t xml:space="preserve"> </w:t>
      </w:r>
      <w:proofErr w:type="spellStart"/>
      <w:r w:rsidRPr="00AE77A6">
        <w:rPr>
          <w:rFonts w:eastAsia="Times New Roman" w:cs="Calibri"/>
          <w:bCs/>
          <w:color w:val="000000"/>
          <w:lang w:val="en-GB"/>
        </w:rPr>
        <w:t>s.r.o</w:t>
      </w:r>
      <w:proofErr w:type="spellEnd"/>
      <w:r w:rsidRPr="00AE77A6">
        <w:rPr>
          <w:rFonts w:eastAsia="Times New Roman" w:cs="Calibri"/>
          <w:bCs/>
          <w:color w:val="000000"/>
          <w:lang w:val="en-GB"/>
        </w:rPr>
        <w:t xml:space="preserve">., </w:t>
      </w:r>
      <w:proofErr w:type="spellStart"/>
      <w:r w:rsidRPr="00AE77A6">
        <w:rPr>
          <w:rFonts w:eastAsia="Times New Roman" w:cs="Calibri"/>
          <w:bCs/>
          <w:color w:val="000000"/>
          <w:lang w:val="en-GB"/>
        </w:rPr>
        <w:t>Loštice</w:t>
      </w:r>
      <w:proofErr w:type="spellEnd"/>
      <w:r w:rsidRPr="00AE77A6">
        <w:rPr>
          <w:rFonts w:eastAsia="Times New Roman" w:cs="Calibri"/>
          <w:bCs/>
          <w:color w:val="000000"/>
          <w:lang w:val="en-GB"/>
        </w:rPr>
        <w:t xml:space="preserve">, against the audit </w:t>
      </w:r>
      <w:r w:rsidR="000717DA">
        <w:rPr>
          <w:rFonts w:eastAsia="Times New Roman" w:cs="Calibri"/>
          <w:bCs/>
          <w:color w:val="000000"/>
          <w:lang w:val="en-GB"/>
        </w:rPr>
        <w:t>protocols</w:t>
      </w:r>
      <w:r w:rsidRPr="00AE77A6">
        <w:rPr>
          <w:rFonts w:eastAsia="Times New Roman" w:cs="Calibri"/>
          <w:bCs/>
          <w:color w:val="000000"/>
          <w:lang w:val="en-GB"/>
        </w:rPr>
        <w:t xml:space="preserve"> were settled by the head of the group of auditors by way of decisions on objections.  Appeals filed by t</w:t>
      </w:r>
      <w:r w:rsidR="00E9224A" w:rsidRPr="00AE77A6">
        <w:rPr>
          <w:rFonts w:eastAsia="Times New Roman" w:cs="Calibri"/>
          <w:bCs/>
          <w:color w:val="000000"/>
          <w:lang w:val="en-GB"/>
        </w:rPr>
        <w:t xml:space="preserve">he statutory city of </w:t>
      </w:r>
      <w:proofErr w:type="spellStart"/>
      <w:r w:rsidR="00E9224A" w:rsidRPr="00AE77A6">
        <w:rPr>
          <w:rFonts w:eastAsia="Times New Roman" w:cs="Calibri"/>
          <w:bCs/>
          <w:color w:val="000000"/>
          <w:lang w:val="en-GB"/>
        </w:rPr>
        <w:t>Jihlava</w:t>
      </w:r>
      <w:proofErr w:type="spellEnd"/>
      <w:r w:rsidR="00E9224A" w:rsidRPr="00AE77A6">
        <w:rPr>
          <w:rFonts w:eastAsia="Times New Roman" w:cs="Calibri"/>
          <w:bCs/>
          <w:color w:val="000000"/>
          <w:lang w:val="en-GB"/>
        </w:rPr>
        <w:t>, D </w:t>
      </w:r>
      <w:r w:rsidRPr="00AE77A6">
        <w:rPr>
          <w:rFonts w:eastAsia="Times New Roman" w:cs="Calibri"/>
          <w:bCs/>
          <w:color w:val="000000"/>
          <w:lang w:val="en-GB"/>
        </w:rPr>
        <w:t>Ř</w:t>
      </w:r>
      <w:r w:rsidR="00E9224A" w:rsidRPr="00AE77A6">
        <w:rPr>
          <w:rFonts w:eastAsia="Times New Roman" w:cs="Calibri"/>
          <w:bCs/>
          <w:color w:val="000000"/>
          <w:lang w:val="en-GB"/>
        </w:rPr>
        <w:t> </w:t>
      </w:r>
      <w:r w:rsidRPr="00AE77A6">
        <w:rPr>
          <w:rFonts w:eastAsia="Times New Roman" w:cs="Calibri"/>
          <w:bCs/>
          <w:color w:val="000000"/>
          <w:lang w:val="en-GB"/>
        </w:rPr>
        <w:t xml:space="preserve">E V O P A </w:t>
      </w:r>
      <w:proofErr w:type="gramStart"/>
      <w:r w:rsidRPr="00AE77A6">
        <w:rPr>
          <w:rFonts w:eastAsia="Times New Roman" w:cs="Calibri"/>
          <w:bCs/>
          <w:color w:val="000000"/>
          <w:lang w:val="en-GB"/>
        </w:rPr>
        <w:t>R ,</w:t>
      </w:r>
      <w:proofErr w:type="gramEnd"/>
      <w:r w:rsidRPr="00AE77A6">
        <w:rPr>
          <w:rFonts w:eastAsia="Times New Roman" w:cs="Calibri"/>
          <w:bCs/>
          <w:color w:val="000000"/>
          <w:lang w:val="en-GB"/>
        </w:rPr>
        <w:t xml:space="preserve"> </w:t>
      </w:r>
      <w:proofErr w:type="spellStart"/>
      <w:r w:rsidRPr="00AE77A6">
        <w:rPr>
          <w:rFonts w:eastAsia="Times New Roman" w:cs="Calibri"/>
          <w:bCs/>
          <w:color w:val="000000"/>
          <w:lang w:val="en-GB"/>
        </w:rPr>
        <w:t>s.r.o</w:t>
      </w:r>
      <w:proofErr w:type="spellEnd"/>
      <w:r w:rsidRPr="00AE77A6">
        <w:rPr>
          <w:rFonts w:eastAsia="Times New Roman" w:cs="Calibri"/>
          <w:bCs/>
          <w:color w:val="000000"/>
          <w:lang w:val="en-GB"/>
        </w:rPr>
        <w:t xml:space="preserve">., </w:t>
      </w:r>
      <w:proofErr w:type="spellStart"/>
      <w:r w:rsidRPr="00AE77A6">
        <w:rPr>
          <w:rFonts w:eastAsia="Times New Roman" w:cs="Calibri"/>
          <w:bCs/>
          <w:color w:val="000000"/>
          <w:lang w:val="en-GB"/>
        </w:rPr>
        <w:t>Loštice</w:t>
      </w:r>
      <w:proofErr w:type="spellEnd"/>
      <w:r w:rsidRPr="00AE77A6">
        <w:rPr>
          <w:rFonts w:eastAsia="Times New Roman" w:cs="Calibri"/>
          <w:bCs/>
          <w:color w:val="000000"/>
          <w:lang w:val="en-GB"/>
        </w:rPr>
        <w:t xml:space="preserve">, and the Ministry of Industry and Trade against the decision on objections were settled by way of resolutions of the Board of </w:t>
      </w:r>
      <w:r w:rsidR="000717DA">
        <w:rPr>
          <w:rFonts w:eastAsia="Times New Roman" w:cs="Calibri"/>
          <w:bCs/>
          <w:color w:val="000000"/>
          <w:lang w:val="en-GB"/>
        </w:rPr>
        <w:t xml:space="preserve">the </w:t>
      </w:r>
      <w:r w:rsidRPr="00AE77A6">
        <w:rPr>
          <w:rFonts w:eastAsia="Times New Roman" w:cs="Calibri"/>
          <w:bCs/>
          <w:color w:val="000000"/>
          <w:lang w:val="en-GB"/>
        </w:rPr>
        <w:t>SAO.</w:t>
      </w:r>
    </w:p>
    <w:p w:rsidR="0095691A" w:rsidRPr="00AE77A6" w:rsidRDefault="009B2E6C">
      <w:pPr>
        <w:spacing w:after="0"/>
        <w:rPr>
          <w:rFonts w:eastAsia="Times New Roman" w:cs="Calibri"/>
          <w:color w:val="000000"/>
          <w:lang w:val="en-GB"/>
        </w:rPr>
      </w:pPr>
      <w:r w:rsidRPr="00AE77A6">
        <w:rPr>
          <w:rFonts w:eastAsia="Times New Roman" w:cs="Calibri"/>
          <w:b/>
          <w:i/>
          <w:color w:val="000000"/>
          <w:spacing w:val="40"/>
          <w:lang w:val="en-GB"/>
        </w:rPr>
        <w:t xml:space="preserve">The Board of the SAO </w:t>
      </w:r>
      <w:r w:rsidRPr="00AE77A6">
        <w:rPr>
          <w:rFonts w:eastAsia="Times New Roman" w:cs="Calibri"/>
          <w:color w:val="000000"/>
          <w:lang w:val="en-GB"/>
        </w:rPr>
        <w:t xml:space="preserve">at </w:t>
      </w:r>
      <w:r w:rsidR="00156C8A" w:rsidRPr="00AE77A6">
        <w:rPr>
          <w:rFonts w:eastAsia="Times New Roman" w:cs="Calibri"/>
          <w:color w:val="000000"/>
          <w:lang w:val="en-GB"/>
        </w:rPr>
        <w:t>its XIV</w:t>
      </w:r>
      <w:r w:rsidRPr="00AE77A6">
        <w:rPr>
          <w:rFonts w:eastAsia="Times New Roman" w:cs="Calibri"/>
          <w:color w:val="000000"/>
          <w:lang w:val="en-GB"/>
        </w:rPr>
        <w:t xml:space="preserve"> meeting held on </w:t>
      </w:r>
      <w:r w:rsidR="00F9180A">
        <w:rPr>
          <w:rFonts w:eastAsia="Times New Roman" w:cs="Calibri"/>
          <w:color w:val="000000"/>
          <w:lang w:val="en-GB"/>
        </w:rPr>
        <w:t>19 October 2015</w:t>
      </w:r>
      <w:r w:rsidRPr="00AE77A6">
        <w:rPr>
          <w:rFonts w:eastAsia="Times New Roman" w:cs="Calibri"/>
          <w:color w:val="000000"/>
          <w:lang w:val="en-GB"/>
        </w:rPr>
        <w:t xml:space="preserve"> </w:t>
      </w:r>
    </w:p>
    <w:p w:rsidR="0095691A" w:rsidRPr="00AE77A6" w:rsidRDefault="00E9224A">
      <w:pPr>
        <w:spacing w:after="0"/>
        <w:rPr>
          <w:rFonts w:eastAsia="Times New Roman" w:cs="Calibri"/>
          <w:color w:val="000000"/>
          <w:lang w:val="en-GB"/>
        </w:rPr>
      </w:pPr>
      <w:r w:rsidRPr="00156C8A">
        <w:rPr>
          <w:rFonts w:eastAsia="Times New Roman" w:cs="Calibri"/>
          <w:b/>
          <w:i/>
          <w:color w:val="000000"/>
          <w:spacing w:val="40"/>
          <w:lang w:val="en-GB"/>
        </w:rPr>
        <w:t>issued</w:t>
      </w:r>
      <w:r w:rsidRPr="00AE77A6">
        <w:rPr>
          <w:rFonts w:eastAsia="Times New Roman" w:cs="Calibri"/>
          <w:color w:val="000000"/>
          <w:lang w:val="en-GB"/>
        </w:rPr>
        <w:t xml:space="preserve"> Resolution N</w:t>
      </w:r>
      <w:r w:rsidR="009B2E6C" w:rsidRPr="00AE77A6">
        <w:rPr>
          <w:rFonts w:eastAsia="Times New Roman" w:cs="Calibri"/>
          <w:color w:val="000000"/>
          <w:lang w:val="en-GB"/>
        </w:rPr>
        <w:t>o. 1</w:t>
      </w:r>
      <w:r w:rsidR="00F9180A">
        <w:rPr>
          <w:rFonts w:eastAsia="Times New Roman" w:cs="Calibri"/>
          <w:color w:val="000000"/>
          <w:lang w:val="en-GB"/>
        </w:rPr>
        <w:t>5</w:t>
      </w:r>
      <w:r w:rsidR="009B2E6C" w:rsidRPr="00AE77A6">
        <w:rPr>
          <w:rFonts w:eastAsia="Times New Roman" w:cs="Calibri"/>
          <w:color w:val="000000"/>
          <w:lang w:val="en-GB"/>
        </w:rPr>
        <w:t>/</w:t>
      </w:r>
      <w:r w:rsidR="00F9180A">
        <w:rPr>
          <w:rFonts w:eastAsia="Times New Roman" w:cs="Calibri"/>
          <w:color w:val="000000"/>
          <w:lang w:val="en-GB"/>
        </w:rPr>
        <w:t>XIV</w:t>
      </w:r>
      <w:r w:rsidR="009B2E6C" w:rsidRPr="00AE77A6">
        <w:rPr>
          <w:rFonts w:eastAsia="Times New Roman" w:cs="Calibri"/>
          <w:color w:val="000000"/>
          <w:lang w:val="en-GB"/>
        </w:rPr>
        <w:t xml:space="preserve">/2015 </w:t>
      </w:r>
      <w:r w:rsidR="009B2E6C" w:rsidRPr="00AE77A6">
        <w:rPr>
          <w:rFonts w:eastAsia="Times New Roman" w:cs="Calibri"/>
          <w:b/>
          <w:i/>
          <w:color w:val="000000"/>
          <w:spacing w:val="40"/>
          <w:lang w:val="en-GB"/>
        </w:rPr>
        <w:t>approving</w:t>
      </w:r>
    </w:p>
    <w:p w:rsidR="0095691A" w:rsidRPr="00AE77A6" w:rsidRDefault="009B2E6C">
      <w:pPr>
        <w:spacing w:after="0"/>
        <w:rPr>
          <w:rFonts w:eastAsia="Times New Roman" w:cs="Calibri"/>
          <w:color w:val="000000"/>
          <w:lang w:val="en-GB"/>
        </w:rPr>
      </w:pPr>
      <w:r w:rsidRPr="00156C8A">
        <w:rPr>
          <w:rFonts w:eastAsia="Times New Roman" w:cs="Calibri"/>
          <w:b/>
          <w:i/>
          <w:color w:val="000000"/>
          <w:spacing w:val="40"/>
          <w:lang w:val="en-GB"/>
        </w:rPr>
        <w:t xml:space="preserve">the </w:t>
      </w:r>
      <w:r w:rsidRPr="00AE77A6">
        <w:rPr>
          <w:rFonts w:eastAsia="Times New Roman" w:cs="Calibri"/>
          <w:b/>
          <w:i/>
          <w:color w:val="000000"/>
          <w:spacing w:val="40"/>
          <w:lang w:val="en-GB"/>
        </w:rPr>
        <w:t>audit conclusion</w:t>
      </w:r>
      <w:r w:rsidRPr="00AE77A6">
        <w:rPr>
          <w:rFonts w:eastAsia="Times New Roman" w:cs="Calibri"/>
          <w:color w:val="000000"/>
          <w:lang w:val="en-GB"/>
        </w:rPr>
        <w:t xml:space="preserve"> worded as follows:</w:t>
      </w:r>
    </w:p>
    <w:p w:rsidR="0095691A" w:rsidRPr="00AE77A6" w:rsidRDefault="009B2E6C">
      <w:pPr>
        <w:pStyle w:val="Odstavecseseznamem"/>
        <w:numPr>
          <w:ilvl w:val="0"/>
          <w:numId w:val="1"/>
        </w:numPr>
        <w:ind w:left="284" w:hanging="284"/>
        <w:jc w:val="center"/>
        <w:rPr>
          <w:rFonts w:cs="Calibri"/>
          <w:b/>
          <w:caps/>
          <w:lang w:val="en-GB"/>
        </w:rPr>
      </w:pPr>
      <w:r w:rsidRPr="00AE77A6">
        <w:rPr>
          <w:rFonts w:cs="Calibri"/>
          <w:b/>
          <w:caps/>
          <w:lang w:val="en-GB"/>
        </w:rPr>
        <w:lastRenderedPageBreak/>
        <w:t>Introduction</w:t>
      </w:r>
    </w:p>
    <w:p w:rsidR="0095691A" w:rsidRPr="00AE77A6" w:rsidRDefault="009B2E6C">
      <w:pPr>
        <w:pBdr>
          <w:top w:val="single" w:sz="4" w:space="1" w:color="auto"/>
          <w:left w:val="single" w:sz="4" w:space="4" w:color="auto"/>
          <w:bottom w:val="single" w:sz="4" w:space="1" w:color="auto"/>
          <w:right w:val="single" w:sz="4" w:space="4" w:color="auto"/>
        </w:pBdr>
        <w:shd w:val="clear" w:color="auto" w:fill="B6DDE8"/>
        <w:rPr>
          <w:lang w:val="en-GB"/>
        </w:rPr>
      </w:pPr>
      <w:bookmarkStart w:id="1" w:name="_Toc395082844"/>
      <w:bookmarkStart w:id="2" w:name="_Toc395873131"/>
      <w:r w:rsidRPr="00AE77A6">
        <w:rPr>
          <w:b/>
          <w:lang w:val="en-GB"/>
        </w:rPr>
        <w:t xml:space="preserve">“Energy savings” </w:t>
      </w:r>
      <w:r w:rsidR="00E44DA4" w:rsidRPr="00E44DA4">
        <w:rPr>
          <w:lang w:val="en-GB"/>
        </w:rPr>
        <w:t>means an amount of saved energy determined by measuring and/or estimating consumption before and after implementation of an energy efficiency improvement measure, whilst ensuring normalisation for external conditions that affect energy consumption</w:t>
      </w:r>
      <w:r w:rsidRPr="00AE77A6">
        <w:rPr>
          <w:lang w:val="en-GB"/>
        </w:rPr>
        <w:t xml:space="preserve">. </w:t>
      </w:r>
      <w:r w:rsidRPr="00AE77A6">
        <w:rPr>
          <w:rStyle w:val="Znakapoznpodarou"/>
          <w:lang w:val="en-GB"/>
        </w:rPr>
        <w:footnoteReference w:id="1"/>
      </w:r>
      <w:r w:rsidRPr="00AE77A6">
        <w:rPr>
          <w:lang w:val="en-GB"/>
        </w:rPr>
        <w:t xml:space="preserve"> </w:t>
      </w:r>
    </w:p>
    <w:p w:rsidR="00E9224A" w:rsidRPr="00AE77A6" w:rsidRDefault="009B2E6C" w:rsidP="00E9224A">
      <w:pPr>
        <w:pBdr>
          <w:top w:val="single" w:sz="4" w:space="1" w:color="auto"/>
          <w:left w:val="single" w:sz="4" w:space="4" w:color="auto"/>
          <w:bottom w:val="single" w:sz="4" w:space="1" w:color="auto"/>
          <w:right w:val="single" w:sz="4" w:space="4" w:color="auto"/>
        </w:pBdr>
        <w:shd w:val="clear" w:color="auto" w:fill="B6DDE8"/>
        <w:rPr>
          <w:vertAlign w:val="superscript"/>
          <w:lang w:val="en-GB"/>
        </w:rPr>
      </w:pPr>
      <w:r w:rsidRPr="00AE77A6">
        <w:rPr>
          <w:lang w:val="en-GB"/>
        </w:rPr>
        <w:t>“</w:t>
      </w:r>
      <w:r w:rsidR="00AE77A6">
        <w:rPr>
          <w:b/>
          <w:lang w:val="en-GB"/>
        </w:rPr>
        <w:t>Energy efficiency”</w:t>
      </w:r>
      <w:r w:rsidRPr="00AE77A6">
        <w:rPr>
          <w:lang w:val="en-GB"/>
        </w:rPr>
        <w:t xml:space="preserve"> </w:t>
      </w:r>
      <w:r w:rsidR="00E44DA4" w:rsidRPr="00E44DA4">
        <w:rPr>
          <w:lang w:val="en-GB"/>
        </w:rPr>
        <w:t xml:space="preserve">means the ratio </w:t>
      </w:r>
      <w:r w:rsidR="000E1760">
        <w:rPr>
          <w:lang w:val="en-GB"/>
        </w:rPr>
        <w:t>between an</w:t>
      </w:r>
      <w:r w:rsidR="00E44DA4" w:rsidRPr="00E44DA4">
        <w:rPr>
          <w:lang w:val="en-GB"/>
        </w:rPr>
        <w:t xml:space="preserve"> output of performance, service, goods or energy, </w:t>
      </w:r>
      <w:r w:rsidR="00E81508">
        <w:rPr>
          <w:lang w:val="en-GB"/>
        </w:rPr>
        <w:t>and an</w:t>
      </w:r>
      <w:r w:rsidR="00E44DA4" w:rsidRPr="00E44DA4">
        <w:rPr>
          <w:lang w:val="en-GB"/>
        </w:rPr>
        <w:t xml:space="preserve"> input of energy</w:t>
      </w:r>
      <w:r w:rsidRPr="00AE77A6">
        <w:rPr>
          <w:lang w:val="en-GB"/>
        </w:rPr>
        <w:t>.</w:t>
      </w:r>
      <w:r w:rsidR="00E9224A" w:rsidRPr="00AE77A6">
        <w:rPr>
          <w:lang w:val="en-GB"/>
        </w:rPr>
        <w:t xml:space="preserve"> </w:t>
      </w:r>
      <w:r w:rsidRPr="00AE77A6">
        <w:rPr>
          <w:vertAlign w:val="superscript"/>
          <w:lang w:val="en-GB"/>
        </w:rPr>
        <w:t>1</w:t>
      </w:r>
    </w:p>
    <w:p w:rsidR="00E9224A" w:rsidRPr="00AE77A6" w:rsidRDefault="009B2E6C" w:rsidP="00E9224A">
      <w:pPr>
        <w:rPr>
          <w:lang w:val="en-GB"/>
        </w:rPr>
      </w:pPr>
      <w:r w:rsidRPr="00AE77A6">
        <w:rPr>
          <w:lang w:val="en-GB"/>
        </w:rPr>
        <w:t xml:space="preserve">Directive 2012/27/EU of the European Parliament and of the Council on energy efficiency (“EED”) is introducing binding measures that should ensure the fulfilment of the </w:t>
      </w:r>
      <w:r w:rsidR="00E9224A" w:rsidRPr="00AE77A6">
        <w:rPr>
          <w:lang w:val="en-GB"/>
        </w:rPr>
        <w:t xml:space="preserve">goal </w:t>
      </w:r>
      <w:r w:rsidRPr="00AE77A6">
        <w:rPr>
          <w:lang w:val="en-GB"/>
        </w:rPr>
        <w:t xml:space="preserve">of the European Union (“EU”) to increase energy efficiency </w:t>
      </w:r>
      <w:r w:rsidR="00AB048C">
        <w:rPr>
          <w:lang w:val="en-GB"/>
        </w:rPr>
        <w:t>by</w:t>
      </w:r>
      <w:r w:rsidRPr="00AE77A6">
        <w:rPr>
          <w:lang w:val="en-GB"/>
        </w:rPr>
        <w:t xml:space="preserve"> 20% by 2020 and establish the conditions for greater energy efficiency after this </w:t>
      </w:r>
      <w:r w:rsidR="00911247">
        <w:rPr>
          <w:lang w:val="en-GB"/>
        </w:rPr>
        <w:t>term</w:t>
      </w:r>
      <w:r w:rsidRPr="00AE77A6">
        <w:rPr>
          <w:lang w:val="en-GB"/>
        </w:rPr>
        <w:t>.  This goal is part of the broader EU energy and cli</w:t>
      </w:r>
      <w:r w:rsidR="006A411C">
        <w:rPr>
          <w:lang w:val="en-GB"/>
        </w:rPr>
        <w:t>mat</w:t>
      </w:r>
      <w:r w:rsidR="00911247">
        <w:rPr>
          <w:lang w:val="en-GB"/>
        </w:rPr>
        <w:t>e</w:t>
      </w:r>
      <w:r w:rsidRPr="00AE77A6">
        <w:rPr>
          <w:lang w:val="en-GB"/>
        </w:rPr>
        <w:t xml:space="preserve"> strategy until 2020, which also includes a 20% reduction in greenhouse gas emissions and a </w:t>
      </w:r>
      <w:r w:rsidRPr="004C3FC2">
        <w:rPr>
          <w:lang w:val="en-GB"/>
        </w:rPr>
        <w:t>20% share of renewable</w:t>
      </w:r>
      <w:r w:rsidR="00E9224A" w:rsidRPr="004C3FC2">
        <w:rPr>
          <w:lang w:val="en-GB"/>
        </w:rPr>
        <w:t xml:space="preserve"> energy </w:t>
      </w:r>
      <w:r w:rsidR="00EC68FA" w:rsidRPr="004C3FC2">
        <w:rPr>
          <w:lang w:val="en-GB"/>
        </w:rPr>
        <w:t>in</w:t>
      </w:r>
      <w:r w:rsidR="00E9224A" w:rsidRPr="004C3FC2">
        <w:rPr>
          <w:lang w:val="en-GB"/>
        </w:rPr>
        <w:t xml:space="preserve"> EU energy sources.</w:t>
      </w:r>
    </w:p>
    <w:p w:rsidR="0095691A" w:rsidRPr="00AE77A6" w:rsidRDefault="009B2E6C" w:rsidP="00E9224A">
      <w:pPr>
        <w:rPr>
          <w:lang w:val="en-GB"/>
        </w:rPr>
      </w:pPr>
      <w:r w:rsidRPr="00AE77A6">
        <w:rPr>
          <w:rFonts w:cs="Calibri"/>
          <w:lang w:val="en-GB"/>
        </w:rPr>
        <w:t>Pursuant to Section 13(1)(a) of Act No. 2/1969 Coll.,</w:t>
      </w:r>
      <w:r w:rsidR="00E9224A" w:rsidRPr="00AE77A6">
        <w:rPr>
          <w:rStyle w:val="Znakapoznpodarou"/>
          <w:rFonts w:cs="Calibri"/>
          <w:lang w:val="en-GB"/>
        </w:rPr>
        <w:t xml:space="preserve"> </w:t>
      </w:r>
      <w:r w:rsidR="00E9224A" w:rsidRPr="00AE77A6">
        <w:rPr>
          <w:rStyle w:val="Znakapoznpodarou"/>
          <w:rFonts w:cs="Calibri"/>
          <w:lang w:val="en-GB"/>
        </w:rPr>
        <w:footnoteReference w:id="2"/>
      </w:r>
      <w:r w:rsidRPr="00AE77A6">
        <w:rPr>
          <w:rFonts w:cs="Calibri"/>
          <w:lang w:val="en-GB"/>
        </w:rPr>
        <w:t xml:space="preserve"> the Ministry of Industry and Trade (“</w:t>
      </w:r>
      <w:proofErr w:type="spellStart"/>
      <w:r w:rsidRPr="00AE77A6">
        <w:rPr>
          <w:rFonts w:cs="Calibri"/>
          <w:lang w:val="en-GB"/>
        </w:rPr>
        <w:t>MoIT</w:t>
      </w:r>
      <w:proofErr w:type="spellEnd"/>
      <w:r w:rsidRPr="00AE77A6">
        <w:rPr>
          <w:rFonts w:cs="Calibri"/>
          <w:lang w:val="en-GB"/>
        </w:rPr>
        <w:t>”) is</w:t>
      </w:r>
      <w:r w:rsidR="005D2E31">
        <w:rPr>
          <w:rFonts w:cs="Calibri"/>
          <w:lang w:val="en-GB"/>
        </w:rPr>
        <w:t>, among others,</w:t>
      </w:r>
      <w:r w:rsidRPr="00AE77A6">
        <w:rPr>
          <w:rFonts w:cs="Calibri"/>
          <w:lang w:val="en-GB"/>
        </w:rPr>
        <w:t xml:space="preserve"> the central body of public administration for energy</w:t>
      </w:r>
      <w:r w:rsidR="00E9224A" w:rsidRPr="00AE77A6">
        <w:rPr>
          <w:rFonts w:cs="Calibri"/>
          <w:lang w:val="en-GB"/>
        </w:rPr>
        <w:t>.</w:t>
      </w:r>
      <w:r w:rsidRPr="00AE77A6">
        <w:rPr>
          <w:rFonts w:cs="Calibri"/>
          <w:lang w:val="en-GB"/>
        </w:rPr>
        <w:t xml:space="preserve"> The </w:t>
      </w:r>
      <w:proofErr w:type="spellStart"/>
      <w:r w:rsidRPr="00AE77A6">
        <w:rPr>
          <w:rFonts w:cs="Calibri"/>
          <w:lang w:val="en-GB"/>
        </w:rPr>
        <w:t>MoIT</w:t>
      </w:r>
      <w:proofErr w:type="spellEnd"/>
      <w:r w:rsidRPr="00AE77A6">
        <w:rPr>
          <w:rFonts w:cs="Calibri"/>
          <w:lang w:val="en-GB"/>
        </w:rPr>
        <w:t xml:space="preserve"> also coordinates the preparation of legislation and the implementation of European law, thus the EED as well. Other ministries contributing substantially to the realisation of energy savings are the Ministry of the Environment (“</w:t>
      </w:r>
      <w:proofErr w:type="spellStart"/>
      <w:r w:rsidRPr="00AE77A6">
        <w:rPr>
          <w:rFonts w:cs="Calibri"/>
          <w:lang w:val="en-GB"/>
        </w:rPr>
        <w:t>MoE</w:t>
      </w:r>
      <w:proofErr w:type="spellEnd"/>
      <w:r w:rsidRPr="00AE77A6">
        <w:rPr>
          <w:rFonts w:cs="Calibri"/>
          <w:lang w:val="en-GB"/>
        </w:rPr>
        <w:t>”) and the Ministry of Regional Development (“</w:t>
      </w:r>
      <w:proofErr w:type="spellStart"/>
      <w:r w:rsidRPr="00AE77A6">
        <w:rPr>
          <w:rFonts w:cs="Calibri"/>
          <w:lang w:val="en-GB"/>
        </w:rPr>
        <w:t>MoRD</w:t>
      </w:r>
      <w:proofErr w:type="spellEnd"/>
      <w:r w:rsidRPr="00AE77A6">
        <w:rPr>
          <w:rFonts w:cs="Calibri"/>
          <w:lang w:val="en-GB"/>
        </w:rPr>
        <w:t>”).</w:t>
      </w:r>
    </w:p>
    <w:p w:rsidR="0095691A" w:rsidRDefault="009B2E6C">
      <w:pPr>
        <w:spacing w:after="0"/>
        <w:rPr>
          <w:szCs w:val="24"/>
          <w:lang w:val="en-GB"/>
        </w:rPr>
      </w:pPr>
      <w:r w:rsidRPr="00AE77A6">
        <w:rPr>
          <w:szCs w:val="24"/>
          <w:lang w:val="en-GB"/>
        </w:rPr>
        <w:t xml:space="preserve">In the majority of programmes, energy </w:t>
      </w:r>
      <w:r w:rsidR="00CC2F0B">
        <w:rPr>
          <w:szCs w:val="24"/>
          <w:lang w:val="en-GB"/>
        </w:rPr>
        <w:t>savings</w:t>
      </w:r>
      <w:r w:rsidR="00E9224A" w:rsidRPr="00AE77A6">
        <w:rPr>
          <w:szCs w:val="24"/>
          <w:lang w:val="en-GB"/>
        </w:rPr>
        <w:t xml:space="preserve"> </w:t>
      </w:r>
      <w:r w:rsidR="00CC2F0B">
        <w:rPr>
          <w:szCs w:val="24"/>
          <w:lang w:val="en-GB"/>
        </w:rPr>
        <w:t>are</w:t>
      </w:r>
      <w:r w:rsidR="00E9224A" w:rsidRPr="00AE77A6">
        <w:rPr>
          <w:szCs w:val="24"/>
          <w:lang w:val="en-GB"/>
        </w:rPr>
        <w:t xml:space="preserve"> a secondary effect and</w:t>
      </w:r>
      <w:r w:rsidRPr="00AE77A6">
        <w:rPr>
          <w:szCs w:val="24"/>
          <w:lang w:val="en-GB"/>
        </w:rPr>
        <w:t xml:space="preserve"> not the primary objective of these programmes. The primary objectives are, e.g., promoting business, protecting and improving the quality of the environment, modernising and revitalising housing in deprived urban areas, constructing and purchasing rental housing designated for social housing</w:t>
      </w:r>
      <w:r w:rsidR="00853421">
        <w:rPr>
          <w:szCs w:val="24"/>
          <w:lang w:val="en-GB"/>
        </w:rPr>
        <w:t>,</w:t>
      </w:r>
      <w:r w:rsidRPr="00AE77A6">
        <w:rPr>
          <w:szCs w:val="24"/>
          <w:lang w:val="en-GB"/>
        </w:rPr>
        <w:t xml:space="preserve"> and improving the state of residential buildings and flats. </w:t>
      </w:r>
    </w:p>
    <w:p w:rsidR="00CE2BF1" w:rsidRPr="00AE77A6" w:rsidRDefault="00CE2BF1">
      <w:pPr>
        <w:spacing w:after="0"/>
        <w:rPr>
          <w:szCs w:val="24"/>
          <w:lang w:val="en-GB"/>
        </w:rPr>
      </w:pPr>
    </w:p>
    <w:p w:rsidR="0095691A" w:rsidRPr="00AE77A6" w:rsidRDefault="009B2E6C">
      <w:pPr>
        <w:pStyle w:val="Odstavecseseznamem"/>
        <w:numPr>
          <w:ilvl w:val="0"/>
          <w:numId w:val="1"/>
        </w:numPr>
        <w:ind w:left="284" w:hanging="284"/>
        <w:jc w:val="center"/>
        <w:rPr>
          <w:rFonts w:cs="Calibri"/>
          <w:b/>
          <w:caps/>
          <w:lang w:val="en-GB"/>
        </w:rPr>
      </w:pPr>
      <w:r w:rsidRPr="00AE77A6">
        <w:rPr>
          <w:rFonts w:cs="Calibri"/>
          <w:b/>
          <w:caps/>
          <w:lang w:val="en-GB"/>
        </w:rPr>
        <w:t xml:space="preserve">Conceptual </w:t>
      </w:r>
      <w:bookmarkEnd w:id="1"/>
      <w:bookmarkEnd w:id="2"/>
      <w:r w:rsidRPr="00AE77A6">
        <w:rPr>
          <w:rFonts w:cs="Calibri"/>
          <w:b/>
          <w:caps/>
          <w:lang w:val="en-GB"/>
        </w:rPr>
        <w:t>documents</w:t>
      </w:r>
    </w:p>
    <w:p w:rsidR="0095691A" w:rsidRPr="00AE77A6" w:rsidRDefault="009B2E6C">
      <w:pPr>
        <w:rPr>
          <w:rFonts w:cs="Calibri"/>
          <w:b/>
          <w:lang w:val="en-GB"/>
        </w:rPr>
      </w:pPr>
      <w:bookmarkStart w:id="3" w:name="_Toc395082848"/>
      <w:bookmarkStart w:id="4" w:name="_Toc395873135"/>
      <w:r w:rsidRPr="00AE77A6">
        <w:rPr>
          <w:rFonts w:cs="Calibri"/>
          <w:b/>
          <w:lang w:val="en-GB"/>
        </w:rPr>
        <w:t>Ministry of Industry and Trade</w:t>
      </w:r>
    </w:p>
    <w:p w:rsidR="0095691A" w:rsidRPr="00AE77A6" w:rsidRDefault="009B2E6C" w:rsidP="00E9224A">
      <w:pPr>
        <w:rPr>
          <w:lang w:val="en-GB"/>
        </w:rPr>
      </w:pPr>
      <w:r w:rsidRPr="00AE77A6">
        <w:rPr>
          <w:rFonts w:cs="Calibri"/>
          <w:lang w:val="en-GB"/>
        </w:rPr>
        <w:t>Based on Section 3 of Act No. 406/2000</w:t>
      </w:r>
      <w:r w:rsidR="00853421">
        <w:rPr>
          <w:rFonts w:cs="Calibri"/>
          <w:lang w:val="en-GB"/>
        </w:rPr>
        <w:t xml:space="preserve"> Coll.</w:t>
      </w:r>
      <w:r w:rsidRPr="00AE77A6">
        <w:rPr>
          <w:rFonts w:cs="Calibri"/>
          <w:lang w:val="en-GB"/>
        </w:rPr>
        <w:t>,</w:t>
      </w:r>
      <w:r w:rsidR="00E9224A" w:rsidRPr="00AE77A6">
        <w:rPr>
          <w:rStyle w:val="Znakapoznpodarou"/>
          <w:rFonts w:cs="Calibri"/>
          <w:lang w:val="en-GB"/>
        </w:rPr>
        <w:t xml:space="preserve"> </w:t>
      </w:r>
      <w:r w:rsidR="00E9224A" w:rsidRPr="00AE77A6">
        <w:rPr>
          <w:rStyle w:val="Znakapoznpodarou"/>
          <w:rFonts w:cs="Calibri"/>
          <w:lang w:val="en-GB"/>
        </w:rPr>
        <w:footnoteReference w:id="3"/>
      </w:r>
      <w:r w:rsidRPr="00AE77A6">
        <w:rPr>
          <w:rFonts w:cs="Calibri"/>
          <w:lang w:val="en-GB"/>
        </w:rPr>
        <w:t xml:space="preserve"> the </w:t>
      </w:r>
      <w:proofErr w:type="spellStart"/>
      <w:r w:rsidRPr="00AE77A6">
        <w:rPr>
          <w:rFonts w:cs="Calibri"/>
          <w:lang w:val="en-GB"/>
        </w:rPr>
        <w:t>MoIT</w:t>
      </w:r>
      <w:proofErr w:type="spellEnd"/>
      <w:r w:rsidRPr="00AE77A6">
        <w:rPr>
          <w:rFonts w:cs="Calibri"/>
          <w:lang w:val="en-GB"/>
        </w:rPr>
        <w:t xml:space="preserve"> is in charge of drawing up the State Energy Policy (“SEP”). The SEP is a strategic document expressing the state’s energy objectives over the next 30 years in line with the need to secure the basic functions of the state and economic and social development needs even in times of crisis, including environmental protection, and serving as the basis for creating regional energy policies.  The </w:t>
      </w:r>
      <w:r w:rsidRPr="00AE77A6">
        <w:rPr>
          <w:rFonts w:cs="Calibri"/>
          <w:lang w:val="en-GB"/>
        </w:rPr>
        <w:lastRenderedPageBreak/>
        <w:t>SEP is also the Czech Republic’s basic conceptual document for energy savings.  In the audited period, the S</w:t>
      </w:r>
      <w:r w:rsidR="00AB096E">
        <w:rPr>
          <w:rFonts w:cs="Calibri"/>
          <w:lang w:val="en-GB"/>
        </w:rPr>
        <w:t>EP approved by Resolution No. 2</w:t>
      </w:r>
      <w:r w:rsidRPr="00AE77A6">
        <w:rPr>
          <w:rFonts w:cs="Calibri"/>
          <w:lang w:val="en-GB"/>
        </w:rPr>
        <w:t xml:space="preserve">11 of </w:t>
      </w:r>
      <w:r w:rsidR="00AB096E">
        <w:rPr>
          <w:rFonts w:cs="Calibri"/>
          <w:lang w:val="en-GB"/>
        </w:rPr>
        <w:t xml:space="preserve">the </w:t>
      </w:r>
      <w:r w:rsidRPr="00AE77A6">
        <w:rPr>
          <w:rFonts w:cs="Calibri"/>
          <w:lang w:val="en-GB"/>
        </w:rPr>
        <w:t xml:space="preserve">Government of the Czech Republic of 10 March 2004 was valid until 17 May 2015. In 2009, the </w:t>
      </w:r>
      <w:proofErr w:type="spellStart"/>
      <w:r w:rsidRPr="00AE77A6">
        <w:rPr>
          <w:rFonts w:cs="Calibri"/>
          <w:lang w:val="en-GB"/>
        </w:rPr>
        <w:t>MoIT</w:t>
      </w:r>
      <w:proofErr w:type="spellEnd"/>
      <w:r w:rsidRPr="00AE77A6">
        <w:rPr>
          <w:rFonts w:cs="Calibri"/>
          <w:lang w:val="en-GB"/>
        </w:rPr>
        <w:t xml:space="preserve"> began working on updating the SEP, and this update was approved by Resolution No. 362 of the Government of the Czech Republic of 18 May 2015. </w:t>
      </w:r>
    </w:p>
    <w:p w:rsidR="0095691A" w:rsidRPr="00AE77A6" w:rsidRDefault="009B2E6C">
      <w:pPr>
        <w:rPr>
          <w:lang w:val="en-GB"/>
        </w:rPr>
      </w:pPr>
      <w:r w:rsidRPr="00AE77A6">
        <w:rPr>
          <w:rFonts w:cs="Calibri"/>
          <w:lang w:val="en-GB"/>
        </w:rPr>
        <w:t xml:space="preserve">Another important conceptual document for energy </w:t>
      </w:r>
      <w:r w:rsidR="00AB096E">
        <w:rPr>
          <w:rFonts w:cs="Calibri"/>
          <w:lang w:val="en-GB"/>
        </w:rPr>
        <w:t>and</w:t>
      </w:r>
      <w:r w:rsidRPr="00AE77A6">
        <w:rPr>
          <w:rFonts w:cs="Calibri"/>
          <w:lang w:val="en-GB"/>
        </w:rPr>
        <w:t xml:space="preserve"> energy savings is the National Energy Efficiency Action Plan of the Czech Republic (“NEEAP”), which the </w:t>
      </w:r>
      <w:proofErr w:type="spellStart"/>
      <w:r w:rsidRPr="00AE77A6">
        <w:rPr>
          <w:rFonts w:cs="Calibri"/>
          <w:lang w:val="en-GB"/>
        </w:rPr>
        <w:t>MoIT</w:t>
      </w:r>
      <w:proofErr w:type="spellEnd"/>
      <w:r w:rsidRPr="00AE77A6">
        <w:rPr>
          <w:rFonts w:cs="Calibri"/>
          <w:lang w:val="en-GB"/>
        </w:rPr>
        <w:t xml:space="preserve"> drew up according to the requirements of the Energy Efficiency Directive of the European Parliament and of the Council.</w:t>
      </w:r>
    </w:p>
    <w:p w:rsidR="0095691A" w:rsidRPr="00AE77A6" w:rsidRDefault="009B2E6C" w:rsidP="00AE77A6">
      <w:pPr>
        <w:rPr>
          <w:lang w:val="en-GB"/>
        </w:rPr>
      </w:pPr>
      <w:r w:rsidRPr="00AE77A6">
        <w:rPr>
          <w:lang w:val="en-GB"/>
        </w:rPr>
        <w:t xml:space="preserve">The first NEEAP for the Czech Republic was published in 2007 and the second in 2011. Both action plans were drawn up </w:t>
      </w:r>
      <w:r w:rsidR="003762A9">
        <w:rPr>
          <w:lang w:val="en-GB"/>
        </w:rPr>
        <w:t>in accordance with</w:t>
      </w:r>
      <w:r w:rsidRPr="00AE77A6">
        <w:rPr>
          <w:lang w:val="en-GB"/>
        </w:rPr>
        <w:t xml:space="preserve"> the requirements of </w:t>
      </w:r>
      <w:r w:rsidR="00EB1465">
        <w:rPr>
          <w:lang w:val="en-GB"/>
        </w:rPr>
        <w:t xml:space="preserve">the </w:t>
      </w:r>
      <w:r w:rsidRPr="00AE77A6">
        <w:rPr>
          <w:lang w:val="en-GB"/>
        </w:rPr>
        <w:t>European and Council Directive 2006/32/EC.</w:t>
      </w:r>
      <w:r w:rsidRPr="00AE77A6">
        <w:rPr>
          <w:rStyle w:val="Znakapoznpodarou"/>
          <w:lang w:val="en-GB"/>
        </w:rPr>
        <w:footnoteReference w:id="4"/>
      </w:r>
      <w:r w:rsidRPr="00AE77A6">
        <w:rPr>
          <w:lang w:val="en-GB"/>
        </w:rPr>
        <w:t xml:space="preserve"> The target for the Czech Republic set out in this </w:t>
      </w:r>
      <w:r w:rsidR="00EB1465">
        <w:rPr>
          <w:lang w:val="en-GB"/>
        </w:rPr>
        <w:t>D</w:t>
      </w:r>
      <w:r w:rsidRPr="00AE77A6">
        <w:rPr>
          <w:lang w:val="en-GB"/>
        </w:rPr>
        <w:t xml:space="preserve">irective was to reduce average annual energy consumption </w:t>
      </w:r>
      <w:r w:rsidR="003762A9">
        <w:rPr>
          <w:lang w:val="en-GB"/>
        </w:rPr>
        <w:t>from the years</w:t>
      </w:r>
      <w:r w:rsidRPr="00AE77A6">
        <w:rPr>
          <w:lang w:val="en-GB"/>
        </w:rPr>
        <w:t xml:space="preserve"> 2002-2006 by 9% in the period 2008-2016. This directive was replaced by the EED on 5 June 2014, with the originally defined national targets of the various </w:t>
      </w:r>
      <w:r w:rsidR="00AE77A6">
        <w:rPr>
          <w:lang w:val="en-GB"/>
        </w:rPr>
        <w:t>Member States</w:t>
      </w:r>
      <w:r w:rsidRPr="00AE77A6">
        <w:rPr>
          <w:lang w:val="en-GB"/>
        </w:rPr>
        <w:t xml:space="preserve"> to be achieved by 2016 being expanded. The third Czech NEEAP was approved by Resolution No. 1085 of the Government of the Czech Republic of 22 December 2015. It sets out </w:t>
      </w:r>
      <w:r w:rsidR="00FE1710">
        <w:rPr>
          <w:lang w:val="en-GB"/>
        </w:rPr>
        <w:t>an</w:t>
      </w:r>
      <w:r w:rsidRPr="00AE77A6">
        <w:rPr>
          <w:lang w:val="en-GB"/>
        </w:rPr>
        <w:t xml:space="preserve"> </w:t>
      </w:r>
      <w:r w:rsidR="004073D8">
        <w:rPr>
          <w:lang w:val="en-GB"/>
        </w:rPr>
        <w:t>indicative</w:t>
      </w:r>
      <w:r w:rsidRPr="00AE77A6">
        <w:rPr>
          <w:lang w:val="en-GB"/>
        </w:rPr>
        <w:t xml:space="preserve"> national energy efficiency target. </w:t>
      </w:r>
    </w:p>
    <w:p w:rsidR="0095691A" w:rsidRPr="00AE77A6" w:rsidRDefault="009B2E6C">
      <w:pPr>
        <w:pBdr>
          <w:top w:val="single" w:sz="4" w:space="1" w:color="auto"/>
          <w:left w:val="single" w:sz="4" w:space="4" w:color="auto"/>
          <w:bottom w:val="single" w:sz="4" w:space="1" w:color="auto"/>
          <w:right w:val="single" w:sz="4" w:space="4" w:color="auto"/>
        </w:pBdr>
        <w:shd w:val="clear" w:color="auto" w:fill="B6DDE8"/>
        <w:rPr>
          <w:lang w:val="en-GB"/>
        </w:rPr>
      </w:pPr>
      <w:r w:rsidRPr="00AE77A6">
        <w:rPr>
          <w:lang w:val="en-GB"/>
        </w:rPr>
        <w:t xml:space="preserve">According to the EED, every </w:t>
      </w:r>
      <w:r w:rsidR="00E9224A" w:rsidRPr="00AE77A6">
        <w:rPr>
          <w:lang w:val="en-GB"/>
        </w:rPr>
        <w:t>Member State</w:t>
      </w:r>
      <w:r w:rsidRPr="00AE77A6">
        <w:rPr>
          <w:lang w:val="en-GB"/>
        </w:rPr>
        <w:t xml:space="preserve"> lays down its own national energy efficiency targets based on primary </w:t>
      </w:r>
      <w:r w:rsidR="00AE77A6" w:rsidRPr="00AE77A6">
        <w:rPr>
          <w:lang w:val="en-GB"/>
        </w:rPr>
        <w:t>energy consumption</w:t>
      </w:r>
      <w:r w:rsidRPr="00AE77A6">
        <w:rPr>
          <w:lang w:val="en-GB"/>
        </w:rPr>
        <w:t xml:space="preserve"> or final energy consumption, primary energy savings or saving in final energy consumption</w:t>
      </w:r>
      <w:r w:rsidR="00951D45">
        <w:rPr>
          <w:lang w:val="en-GB"/>
        </w:rPr>
        <w:t>,</w:t>
      </w:r>
      <w:r w:rsidRPr="00AE77A6">
        <w:rPr>
          <w:lang w:val="en-GB"/>
        </w:rPr>
        <w:t xml:space="preserve"> or energy performance. The Czech Republic stipulated its binding national target pursuant to Article 7 of the EED at 47.78 PJ (47 780 TJ) of new savings in final energy consumption by 2020, with the cumulative target equal to 191.10 PJ.  </w:t>
      </w:r>
    </w:p>
    <w:p w:rsidR="0095691A" w:rsidRPr="00AE77A6" w:rsidRDefault="009B2E6C">
      <w:pPr>
        <w:rPr>
          <w:rFonts w:cs="Calibri"/>
          <w:lang w:val="en-GB"/>
        </w:rPr>
      </w:pPr>
      <w:r w:rsidRPr="00AE77A6">
        <w:rPr>
          <w:rFonts w:cs="Calibri"/>
          <w:lang w:val="en-GB"/>
        </w:rPr>
        <w:t xml:space="preserve">National energy savings </w:t>
      </w:r>
      <w:r w:rsidR="000C1A9A">
        <w:rPr>
          <w:rFonts w:cs="Calibri"/>
          <w:lang w:val="en-GB"/>
        </w:rPr>
        <w:t>is</w:t>
      </w:r>
      <w:r w:rsidRPr="00AE77A6">
        <w:rPr>
          <w:rFonts w:cs="Calibri"/>
          <w:lang w:val="en-GB"/>
        </w:rPr>
        <w:t xml:space="preserve"> monitored by the </w:t>
      </w:r>
      <w:proofErr w:type="spellStart"/>
      <w:r w:rsidRPr="00AE77A6">
        <w:rPr>
          <w:rFonts w:cs="Calibri"/>
          <w:lang w:val="en-GB"/>
        </w:rPr>
        <w:t>MoIT</w:t>
      </w:r>
      <w:proofErr w:type="spellEnd"/>
      <w:r w:rsidRPr="00AE77A6">
        <w:rPr>
          <w:rFonts w:cs="Calibri"/>
          <w:lang w:val="en-GB"/>
        </w:rPr>
        <w:t xml:space="preserve"> in connection with drawing up the NEEAP and in its assessment. The 2020 target value was calculated based on analyses of the hitherto results in energy savings and predictions on their further development, with all energy saving measures being taken into account. </w:t>
      </w:r>
    </w:p>
    <w:p w:rsidR="0095691A" w:rsidRPr="00916297" w:rsidRDefault="009B2E6C">
      <w:pPr>
        <w:rPr>
          <w:lang w:val="en-GB"/>
        </w:rPr>
      </w:pPr>
      <w:r w:rsidRPr="00AE77A6">
        <w:rPr>
          <w:rFonts w:cs="Calibri"/>
          <w:lang w:val="en-GB"/>
        </w:rPr>
        <w:t>Article 3 of the EED bi</w:t>
      </w:r>
      <w:r w:rsidR="00E9224A" w:rsidRPr="00AE77A6">
        <w:rPr>
          <w:rFonts w:cs="Calibri"/>
          <w:lang w:val="en-GB"/>
        </w:rPr>
        <w:t>nds Member S</w:t>
      </w:r>
      <w:r w:rsidRPr="00AE77A6">
        <w:rPr>
          <w:rFonts w:cs="Calibri"/>
          <w:lang w:val="en-GB"/>
        </w:rPr>
        <w:t xml:space="preserve">tates to set and report </w:t>
      </w:r>
      <w:r w:rsidR="00FE1710">
        <w:rPr>
          <w:rFonts w:cs="Calibri"/>
          <w:lang w:val="en-GB"/>
        </w:rPr>
        <w:t>indicative</w:t>
      </w:r>
      <w:r w:rsidRPr="00AE77A6">
        <w:rPr>
          <w:rFonts w:cs="Calibri"/>
          <w:lang w:val="en-GB"/>
        </w:rPr>
        <w:t xml:space="preserve"> national energy efficiency target</w:t>
      </w:r>
      <w:r w:rsidR="00FE1710">
        <w:rPr>
          <w:rFonts w:cs="Calibri"/>
          <w:lang w:val="en-GB"/>
        </w:rPr>
        <w:t>s</w:t>
      </w:r>
      <w:r w:rsidRPr="00AE77A6">
        <w:rPr>
          <w:rFonts w:cs="Calibri"/>
          <w:lang w:val="en-GB"/>
        </w:rPr>
        <w:t xml:space="preserve"> </w:t>
      </w:r>
      <w:r w:rsidRPr="00916297">
        <w:rPr>
          <w:rFonts w:cs="Calibri"/>
          <w:lang w:val="en-GB"/>
        </w:rPr>
        <w:t>for 2020. The EED was implement into Czech law by the amendment of three acts in particular: Act No. 458/2000 Coll.</w:t>
      </w:r>
      <w:r w:rsidRPr="00916297">
        <w:rPr>
          <w:rStyle w:val="Znakapoznpodarou"/>
          <w:lang w:val="en-GB"/>
        </w:rPr>
        <w:footnoteReference w:id="5"/>
      </w:r>
      <w:r w:rsidRPr="00916297">
        <w:rPr>
          <w:lang w:val="en-GB"/>
        </w:rPr>
        <w:t>, Act No. 406/2000 Coll.</w:t>
      </w:r>
      <w:r w:rsidRPr="00916297">
        <w:rPr>
          <w:vertAlign w:val="superscript"/>
          <w:lang w:val="en-GB"/>
        </w:rPr>
        <w:t>3</w:t>
      </w:r>
      <w:r w:rsidR="00CC1EE6" w:rsidRPr="00916297">
        <w:rPr>
          <w:lang w:val="en-GB"/>
        </w:rPr>
        <w:t>,</w:t>
      </w:r>
      <w:r w:rsidRPr="00916297">
        <w:rPr>
          <w:lang w:val="en-GB"/>
        </w:rPr>
        <w:t xml:space="preserve"> and Act No. 165/2012 </w:t>
      </w:r>
      <w:r w:rsidR="00AE77A6" w:rsidRPr="00916297">
        <w:rPr>
          <w:lang w:val="en-GB"/>
        </w:rPr>
        <w:t>Coll.</w:t>
      </w:r>
      <w:r w:rsidRPr="00916297">
        <w:rPr>
          <w:rStyle w:val="Znakapoznpodarou"/>
          <w:lang w:val="en-GB"/>
        </w:rPr>
        <w:footnoteReference w:id="6"/>
      </w:r>
    </w:p>
    <w:p w:rsidR="0095691A" w:rsidRPr="00AE77A6" w:rsidRDefault="009B2E6C" w:rsidP="00E469A8">
      <w:pPr>
        <w:rPr>
          <w:rFonts w:cs="Calibri"/>
          <w:lang w:val="en-GB"/>
        </w:rPr>
      </w:pPr>
      <w:r w:rsidRPr="00916297">
        <w:rPr>
          <w:rFonts w:cs="Calibri"/>
          <w:lang w:val="en-GB"/>
        </w:rPr>
        <w:t xml:space="preserve">Article </w:t>
      </w:r>
      <w:r w:rsidR="00710A59" w:rsidRPr="00916297">
        <w:rPr>
          <w:rFonts w:cs="Calibri"/>
          <w:lang w:val="en-GB"/>
        </w:rPr>
        <w:t>5</w:t>
      </w:r>
      <w:r w:rsidRPr="00916297">
        <w:rPr>
          <w:rFonts w:cs="Calibri"/>
          <w:lang w:val="en-GB"/>
        </w:rPr>
        <w:t xml:space="preserve"> of the EED </w:t>
      </w:r>
      <w:r w:rsidR="00FE130B" w:rsidRPr="00916297">
        <w:rPr>
          <w:rFonts w:cs="Calibri"/>
          <w:lang w:val="en-GB"/>
        </w:rPr>
        <w:t>“</w:t>
      </w:r>
      <w:r w:rsidR="00FE130B" w:rsidRPr="00916297">
        <w:rPr>
          <w:rFonts w:cs="Calibri"/>
          <w:i/>
          <w:lang w:val="en-GB"/>
        </w:rPr>
        <w:t xml:space="preserve">Exemplary role of public bodies’ buildings” </w:t>
      </w:r>
      <w:r w:rsidRPr="00916297">
        <w:rPr>
          <w:rFonts w:cs="Calibri"/>
          <w:lang w:val="en-GB"/>
        </w:rPr>
        <w:t xml:space="preserve">states that each </w:t>
      </w:r>
      <w:r w:rsidR="00E9224A" w:rsidRPr="00916297">
        <w:rPr>
          <w:rFonts w:cs="Calibri"/>
          <w:lang w:val="en-GB"/>
        </w:rPr>
        <w:t>Member State</w:t>
      </w:r>
      <w:r w:rsidRPr="00916297">
        <w:rPr>
          <w:rFonts w:cs="Calibri"/>
          <w:lang w:val="en-GB"/>
        </w:rPr>
        <w:t xml:space="preserve"> has the obligation to renovate 3% of the total floor area of heated or cooled</w:t>
      </w:r>
      <w:r w:rsidRPr="00AE77A6">
        <w:rPr>
          <w:rFonts w:cs="Calibri"/>
          <w:lang w:val="en-GB"/>
        </w:rPr>
        <w:t xml:space="preserve"> buildings </w:t>
      </w:r>
      <w:r w:rsidRPr="00AE77A6">
        <w:rPr>
          <w:rFonts w:cs="Calibri"/>
          <w:lang w:val="en-GB"/>
        </w:rPr>
        <w:lastRenderedPageBreak/>
        <w:t xml:space="preserve">owned and used by central government institutions per year between 2014 and 2020.  According to the </w:t>
      </w:r>
      <w:proofErr w:type="spellStart"/>
      <w:r w:rsidRPr="00AE77A6">
        <w:rPr>
          <w:rFonts w:cs="Calibri"/>
          <w:lang w:val="en-GB"/>
        </w:rPr>
        <w:t>MoIT’s</w:t>
      </w:r>
      <w:proofErr w:type="spellEnd"/>
      <w:r w:rsidRPr="00AE77A6">
        <w:rPr>
          <w:rFonts w:cs="Calibri"/>
          <w:lang w:val="en-GB"/>
        </w:rPr>
        <w:t xml:space="preserve"> analysis</w:t>
      </w:r>
      <w:r w:rsidR="00413D29">
        <w:rPr>
          <w:rFonts w:cs="Calibri"/>
          <w:lang w:val="en-GB"/>
        </w:rPr>
        <w:t xml:space="preserve"> announced</w:t>
      </w:r>
      <w:r w:rsidRPr="00AE77A6">
        <w:rPr>
          <w:rFonts w:cs="Calibri"/>
          <w:lang w:val="en-GB"/>
        </w:rPr>
        <w:t xml:space="preserve"> in </w:t>
      </w:r>
      <w:r w:rsidR="009F742F">
        <w:rPr>
          <w:rFonts w:cs="Calibri"/>
          <w:lang w:val="en-GB"/>
        </w:rPr>
        <w:t xml:space="preserve">the </w:t>
      </w:r>
      <w:r w:rsidRPr="00AE77A6">
        <w:rPr>
          <w:rFonts w:cs="Calibri"/>
          <w:lang w:val="en-GB"/>
        </w:rPr>
        <w:t xml:space="preserve">Government </w:t>
      </w:r>
      <w:r w:rsidR="00D655C5">
        <w:rPr>
          <w:rFonts w:cs="Calibri"/>
          <w:lang w:val="en-GB"/>
        </w:rPr>
        <w:t>Document</w:t>
      </w:r>
      <w:r w:rsidRPr="00AE77A6">
        <w:rPr>
          <w:rFonts w:cs="Calibri"/>
          <w:lang w:val="en-GB"/>
        </w:rPr>
        <w:t xml:space="preserve"> No. 828/14</w:t>
      </w:r>
      <w:r w:rsidR="00AE77A6" w:rsidRPr="00AE77A6">
        <w:rPr>
          <w:rFonts w:cs="Calibri"/>
          <w:lang w:val="en-GB"/>
        </w:rPr>
        <w:t>, this</w:t>
      </w:r>
      <w:r w:rsidRPr="00AE77A6">
        <w:rPr>
          <w:rFonts w:cs="Calibri"/>
          <w:lang w:val="en-GB"/>
        </w:rPr>
        <w:t xml:space="preserve"> 3% share will be calculated based on the overall floorage of buildings that do not fulfil the minimum energy efficiency requirement</w:t>
      </w:r>
      <w:r w:rsidR="00E469A8" w:rsidRPr="00AE77A6">
        <w:rPr>
          <w:rFonts w:cs="Calibri"/>
          <w:lang w:val="en-GB"/>
        </w:rPr>
        <w:t xml:space="preserve">s under Act No. 406/2000 Coll. </w:t>
      </w:r>
      <w:r w:rsidRPr="00AE77A6">
        <w:rPr>
          <w:rStyle w:val="Znakapoznpodarou"/>
          <w:rFonts w:cs="Calibri"/>
          <w:lang w:val="en-GB"/>
        </w:rPr>
        <w:t>3</w:t>
      </w:r>
      <w:r w:rsidRPr="00AE77A6">
        <w:rPr>
          <w:rFonts w:cs="Calibri"/>
          <w:lang w:val="en-GB"/>
        </w:rPr>
        <w:t xml:space="preserve"> as at 1 January of each calendar year. </w:t>
      </w:r>
    </w:p>
    <w:p w:rsidR="00E469A8" w:rsidRPr="00AE77A6" w:rsidRDefault="009B2E6C" w:rsidP="00E469A8">
      <w:pPr>
        <w:rPr>
          <w:rFonts w:cs="Calibri"/>
          <w:lang w:val="en-GB"/>
        </w:rPr>
      </w:pPr>
      <w:r w:rsidRPr="00AE77A6">
        <w:rPr>
          <w:rFonts w:cs="Calibri"/>
          <w:lang w:val="en-GB"/>
        </w:rPr>
        <w:t xml:space="preserve">On 16 March 2015, the Czech </w:t>
      </w:r>
      <w:r w:rsidR="00FF4E18">
        <w:rPr>
          <w:rFonts w:cs="Calibri"/>
          <w:lang w:val="en-GB"/>
        </w:rPr>
        <w:t>G</w:t>
      </w:r>
      <w:r w:rsidRPr="00AE77A6">
        <w:rPr>
          <w:rFonts w:cs="Calibri"/>
          <w:lang w:val="en-GB"/>
        </w:rPr>
        <w:t xml:space="preserve">overnment, in </w:t>
      </w:r>
      <w:r w:rsidR="009F742F">
        <w:rPr>
          <w:rFonts w:cs="Calibri"/>
          <w:lang w:val="en-GB"/>
        </w:rPr>
        <w:t xml:space="preserve">the </w:t>
      </w:r>
      <w:r w:rsidRPr="00AE77A6">
        <w:rPr>
          <w:rFonts w:cs="Calibri"/>
          <w:lang w:val="en-GB"/>
        </w:rPr>
        <w:t xml:space="preserve">Government </w:t>
      </w:r>
      <w:r w:rsidR="009F742F">
        <w:rPr>
          <w:rFonts w:cs="Calibri"/>
          <w:lang w:val="en-GB"/>
        </w:rPr>
        <w:t>Document</w:t>
      </w:r>
      <w:r w:rsidRPr="00AE77A6">
        <w:rPr>
          <w:rFonts w:cs="Calibri"/>
          <w:lang w:val="en-GB"/>
        </w:rPr>
        <w:t xml:space="preserve"> No. 277/15, took note of information about the scope of the planned energy efficiency measures implemented by central government institutions in 2015 in buildings owned and used by them. It ensues from the mentioned </w:t>
      </w:r>
      <w:r w:rsidR="00637EAD">
        <w:rPr>
          <w:rFonts w:cs="Calibri"/>
          <w:lang w:val="en-GB"/>
        </w:rPr>
        <w:t>document</w:t>
      </w:r>
      <w:r w:rsidRPr="00AE77A6">
        <w:rPr>
          <w:rFonts w:cs="Calibri"/>
          <w:lang w:val="en-GB"/>
        </w:rPr>
        <w:t xml:space="preserve"> that the planned investment in the buildings of central government institutions, including heritage buildings, in 2015 represents CZK 0.5 billion</w:t>
      </w:r>
      <w:r w:rsidR="00E469A8" w:rsidRPr="00AE77A6">
        <w:rPr>
          <w:rFonts w:cs="Calibri"/>
          <w:lang w:val="en-GB"/>
        </w:rPr>
        <w:t>,</w:t>
      </w:r>
      <w:r w:rsidRPr="00AE77A6">
        <w:rPr>
          <w:rFonts w:cs="Calibri"/>
          <w:lang w:val="en-GB"/>
        </w:rPr>
        <w:t xml:space="preserve"> and savings due to investments w</w:t>
      </w:r>
      <w:r w:rsidR="00E469A8" w:rsidRPr="00AE77A6">
        <w:rPr>
          <w:rFonts w:cs="Calibri"/>
          <w:lang w:val="en-GB"/>
        </w:rPr>
        <w:t>ere</w:t>
      </w:r>
      <w:r w:rsidRPr="00AE77A6">
        <w:rPr>
          <w:rFonts w:cs="Calibri"/>
          <w:lang w:val="en-GB"/>
        </w:rPr>
        <w:t xml:space="preserve"> estimated at 4 400 MWh.</w:t>
      </w:r>
      <w:r w:rsidRPr="00AE77A6">
        <w:rPr>
          <w:rStyle w:val="Znakapoznpodarou"/>
          <w:rFonts w:cs="Calibri"/>
          <w:lang w:val="en-GB"/>
        </w:rPr>
        <w:footnoteReference w:id="7"/>
      </w:r>
      <w:r w:rsidRPr="00AE77A6">
        <w:rPr>
          <w:rFonts w:cs="Calibri"/>
          <w:lang w:val="en-GB"/>
        </w:rPr>
        <w:t xml:space="preserve"> However, the necessary annual savings amount is approx. 9 100 MWh for attaining the overall reduction in energy consumption by 59 800 MWh or the cumulative savings of 73 900 MWh (266.04 TJ) in the period 2014-2020. These planned savings in building</w:t>
      </w:r>
      <w:r w:rsidR="00A11E70">
        <w:rPr>
          <w:rFonts w:cs="Calibri"/>
          <w:lang w:val="en-GB"/>
        </w:rPr>
        <w:t>s</w:t>
      </w:r>
      <w:r w:rsidRPr="00AE77A6">
        <w:rPr>
          <w:rFonts w:cs="Calibri"/>
          <w:lang w:val="en-GB"/>
        </w:rPr>
        <w:t xml:space="preserve"> of central government institutions attained in the period of 2014-2020 represent about 0.14% of the Czech Republic’s total planned savings in all areas, which </w:t>
      </w:r>
      <w:r w:rsidR="00A11E70">
        <w:rPr>
          <w:rFonts w:cs="Calibri"/>
          <w:lang w:val="en-GB"/>
        </w:rPr>
        <w:t>is</w:t>
      </w:r>
      <w:r w:rsidRPr="00AE77A6">
        <w:rPr>
          <w:rFonts w:cs="Calibri"/>
          <w:lang w:val="en-GB"/>
        </w:rPr>
        <w:t xml:space="preserve"> 191.10 PJ (191 100 TJ) for the period of 2014-2020.</w:t>
      </w:r>
    </w:p>
    <w:p w:rsidR="0095691A" w:rsidRPr="00AE77A6" w:rsidRDefault="009B2E6C">
      <w:pPr>
        <w:rPr>
          <w:rFonts w:cs="Calibri"/>
          <w:lang w:val="en-GB"/>
        </w:rPr>
      </w:pPr>
      <w:r w:rsidRPr="00AE77A6">
        <w:rPr>
          <w:rFonts w:cs="Calibri"/>
          <w:lang w:val="en-GB"/>
        </w:rPr>
        <w:t xml:space="preserve">The amount of investment </w:t>
      </w:r>
      <w:r w:rsidR="00E469A8" w:rsidRPr="00AE77A6">
        <w:rPr>
          <w:rFonts w:cs="Calibri"/>
          <w:lang w:val="en-GB"/>
        </w:rPr>
        <w:t>in</w:t>
      </w:r>
      <w:r w:rsidRPr="00AE77A6">
        <w:rPr>
          <w:rFonts w:cs="Calibri"/>
          <w:lang w:val="en-GB"/>
        </w:rPr>
        <w:t xml:space="preserve"> the contemplated projects in the period 2016-2020 is planned at CZK 4.9 billion.  At this time, however, no financing has yet been arranged for these contemplated investments.</w:t>
      </w:r>
    </w:p>
    <w:p w:rsidR="0095691A" w:rsidRPr="00B5331B" w:rsidRDefault="009B2E6C">
      <w:pPr>
        <w:pStyle w:val="Odstavecseseznamem"/>
        <w:numPr>
          <w:ilvl w:val="0"/>
          <w:numId w:val="18"/>
        </w:numPr>
        <w:ind w:left="0" w:firstLine="0"/>
        <w:rPr>
          <w:rFonts w:cs="Calibri"/>
          <w:b/>
          <w:lang w:val="en-GB"/>
        </w:rPr>
      </w:pPr>
      <w:r w:rsidRPr="00B5331B">
        <w:rPr>
          <w:rFonts w:cs="Calibri"/>
          <w:b/>
          <w:lang w:val="en-GB"/>
        </w:rPr>
        <w:t xml:space="preserve">Proposed fulfilment of cumulative savings targets in the case of central government institutions (including heritage buildings)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1"/>
        <w:gridCol w:w="709"/>
        <w:gridCol w:w="824"/>
        <w:gridCol w:w="824"/>
        <w:gridCol w:w="824"/>
        <w:gridCol w:w="824"/>
        <w:gridCol w:w="824"/>
        <w:gridCol w:w="824"/>
        <w:gridCol w:w="824"/>
        <w:gridCol w:w="824"/>
      </w:tblGrid>
      <w:tr w:rsidR="00DD6B41" w:rsidRPr="009F742F" w:rsidTr="001549EA">
        <w:trPr>
          <w:trHeight w:val="300"/>
        </w:trPr>
        <w:tc>
          <w:tcPr>
            <w:tcW w:w="1423" w:type="pct"/>
            <w:gridSpan w:val="2"/>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 xml:space="preserve">Target fulfilment analysis </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2014</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2015</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2016</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2017</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2018</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2019</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2020</w:t>
            </w:r>
          </w:p>
        </w:tc>
        <w:tc>
          <w:tcPr>
            <w:tcW w:w="447" w:type="pct"/>
            <w:shd w:val="clear" w:color="auto" w:fill="B6DDE8"/>
            <w:noWrap/>
            <w:vAlign w:val="center"/>
            <w:hideMark/>
          </w:tcPr>
          <w:p w:rsidR="0095691A" w:rsidRPr="009F742F" w:rsidRDefault="009B2E6C">
            <w:pPr>
              <w:spacing w:before="0" w:after="0"/>
              <w:jc w:val="center"/>
              <w:rPr>
                <w:rFonts w:cs="Calibri"/>
                <w:b/>
                <w:color w:val="000000"/>
                <w:sz w:val="20"/>
                <w:lang w:val="en-GB" w:eastAsia="cs-CZ"/>
              </w:rPr>
            </w:pPr>
            <w:r w:rsidRPr="009F742F">
              <w:rPr>
                <w:rFonts w:cs="Calibri"/>
                <w:b/>
                <w:color w:val="000000"/>
                <w:sz w:val="20"/>
                <w:lang w:val="en-GB" w:eastAsia="cs-CZ"/>
              </w:rPr>
              <w:t>Total</w:t>
            </w:r>
          </w:p>
        </w:tc>
      </w:tr>
      <w:tr w:rsidR="00DD6B41" w:rsidRPr="009F742F" w:rsidTr="001549EA">
        <w:trPr>
          <w:trHeight w:val="300"/>
        </w:trPr>
        <w:tc>
          <w:tcPr>
            <w:tcW w:w="1038" w:type="pct"/>
            <w:shd w:val="clear" w:color="auto" w:fill="auto"/>
            <w:noWrap/>
            <w:vAlign w:val="center"/>
            <w:hideMark/>
          </w:tcPr>
          <w:p w:rsidR="0095691A" w:rsidRPr="009F742F" w:rsidRDefault="009B2E6C" w:rsidP="001549EA">
            <w:pPr>
              <w:spacing w:before="0" w:after="0"/>
              <w:jc w:val="left"/>
              <w:rPr>
                <w:rFonts w:cs="Calibri"/>
                <w:color w:val="000000"/>
                <w:sz w:val="20"/>
                <w:lang w:val="en-GB" w:eastAsia="cs-CZ"/>
              </w:rPr>
            </w:pPr>
            <w:r w:rsidRPr="009F742F">
              <w:rPr>
                <w:rFonts w:cs="Calibri"/>
                <w:color w:val="000000"/>
                <w:sz w:val="20"/>
                <w:lang w:val="en-GB" w:eastAsia="cs-CZ"/>
              </w:rPr>
              <w:t xml:space="preserve">Savings from renovations </w:t>
            </w:r>
            <w:r w:rsidR="001549EA">
              <w:rPr>
                <w:rFonts w:cs="Calibri"/>
                <w:color w:val="000000"/>
                <w:sz w:val="20"/>
                <w:lang w:val="en-GB" w:eastAsia="cs-CZ"/>
              </w:rPr>
              <w:t>per</w:t>
            </w:r>
            <w:r w:rsidRPr="009F742F">
              <w:rPr>
                <w:rFonts w:cs="Calibri"/>
                <w:color w:val="000000"/>
                <w:sz w:val="20"/>
                <w:lang w:val="en-GB" w:eastAsia="cs-CZ"/>
              </w:rPr>
              <w:t xml:space="preserve"> year</w:t>
            </w:r>
          </w:p>
        </w:tc>
        <w:tc>
          <w:tcPr>
            <w:tcW w:w="384" w:type="pct"/>
            <w:shd w:val="clear" w:color="auto" w:fill="auto"/>
            <w:noWrap/>
            <w:vAlign w:val="center"/>
            <w:hideMark/>
          </w:tcPr>
          <w:p w:rsidR="0095691A" w:rsidRPr="009F742F" w:rsidRDefault="009B2E6C">
            <w:pPr>
              <w:spacing w:before="0" w:after="0"/>
              <w:jc w:val="center"/>
              <w:rPr>
                <w:rFonts w:cs="Calibri"/>
                <w:color w:val="000000"/>
                <w:sz w:val="20"/>
                <w:vertAlign w:val="superscript"/>
                <w:lang w:val="en-GB" w:eastAsia="cs-CZ"/>
              </w:rPr>
            </w:pPr>
            <w:r w:rsidRPr="009F742F">
              <w:rPr>
                <w:rFonts w:cs="Calibri"/>
                <w:color w:val="000000"/>
                <w:sz w:val="20"/>
                <w:lang w:val="en-GB" w:eastAsia="cs-CZ"/>
              </w:rPr>
              <w:t>MWh</w:t>
            </w:r>
            <w:r w:rsidRPr="009F742F">
              <w:rPr>
                <w:rFonts w:cs="Calibri"/>
                <w:color w:val="000000"/>
                <w:sz w:val="20"/>
                <w:vertAlign w:val="superscript"/>
                <w:lang w:val="en-GB" w:eastAsia="cs-CZ"/>
              </w:rPr>
              <w:t>7</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2 200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4 400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13 800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13 700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13 500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13 300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13 000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73 900</w:t>
            </w:r>
          </w:p>
        </w:tc>
      </w:tr>
      <w:tr w:rsidR="00DD6B41" w:rsidRPr="009F742F" w:rsidTr="001549EA">
        <w:trPr>
          <w:trHeight w:val="300"/>
        </w:trPr>
        <w:tc>
          <w:tcPr>
            <w:tcW w:w="1038" w:type="pct"/>
            <w:shd w:val="clear" w:color="auto" w:fill="auto"/>
            <w:noWrap/>
            <w:vAlign w:val="center"/>
            <w:hideMark/>
          </w:tcPr>
          <w:p w:rsidR="0095691A" w:rsidRPr="009F742F" w:rsidRDefault="009B2E6C">
            <w:pPr>
              <w:spacing w:before="0" w:after="0"/>
              <w:jc w:val="left"/>
              <w:rPr>
                <w:rFonts w:cs="Calibri"/>
                <w:color w:val="000000"/>
                <w:sz w:val="20"/>
                <w:lang w:val="en-GB" w:eastAsia="cs-CZ"/>
              </w:rPr>
            </w:pPr>
            <w:r w:rsidRPr="009F742F">
              <w:rPr>
                <w:rFonts w:cs="Calibri"/>
                <w:color w:val="000000"/>
                <w:sz w:val="20"/>
                <w:lang w:val="en-GB" w:eastAsia="cs-CZ"/>
              </w:rPr>
              <w:t>Cumulative savings</w:t>
            </w:r>
          </w:p>
        </w:tc>
        <w:tc>
          <w:tcPr>
            <w:tcW w:w="384" w:type="pct"/>
            <w:shd w:val="clear" w:color="auto" w:fill="auto"/>
            <w:noWrap/>
            <w:vAlign w:val="center"/>
            <w:hideMark/>
          </w:tcPr>
          <w:p w:rsidR="0095691A" w:rsidRPr="009F742F" w:rsidRDefault="009B2E6C">
            <w:pPr>
              <w:spacing w:before="0" w:after="0"/>
              <w:jc w:val="center"/>
              <w:rPr>
                <w:rFonts w:cs="Calibri"/>
                <w:color w:val="000000"/>
                <w:sz w:val="20"/>
                <w:vertAlign w:val="superscript"/>
                <w:lang w:val="en-GB" w:eastAsia="cs-CZ"/>
              </w:rPr>
            </w:pPr>
            <w:r w:rsidRPr="009F742F">
              <w:rPr>
                <w:rFonts w:cs="Calibri"/>
                <w:color w:val="000000"/>
                <w:sz w:val="20"/>
                <w:lang w:val="en-GB" w:eastAsia="cs-CZ"/>
              </w:rPr>
              <w:t>MWh</w:t>
            </w:r>
            <w:r w:rsidRPr="009F742F">
              <w:rPr>
                <w:rFonts w:cs="Calibri"/>
                <w:color w:val="000000"/>
                <w:sz w:val="20"/>
                <w:vertAlign w:val="superscript"/>
                <w:lang w:val="en-GB" w:eastAsia="cs-CZ"/>
              </w:rPr>
              <w:t>7</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2 200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6 600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20 400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34 100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47 600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60 900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73 900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245 700</w:t>
            </w:r>
          </w:p>
        </w:tc>
      </w:tr>
      <w:tr w:rsidR="00DD6B41" w:rsidRPr="009F742F" w:rsidTr="001549EA">
        <w:trPr>
          <w:trHeight w:val="300"/>
        </w:trPr>
        <w:tc>
          <w:tcPr>
            <w:tcW w:w="1038" w:type="pct"/>
            <w:shd w:val="clear" w:color="auto" w:fill="auto"/>
            <w:noWrap/>
            <w:vAlign w:val="center"/>
            <w:hideMark/>
          </w:tcPr>
          <w:p w:rsidR="0095691A" w:rsidRPr="009F742F" w:rsidRDefault="009B2E6C">
            <w:pPr>
              <w:spacing w:before="0" w:after="0"/>
              <w:jc w:val="left"/>
              <w:rPr>
                <w:rFonts w:cs="Calibri"/>
                <w:color w:val="000000"/>
                <w:sz w:val="20"/>
                <w:lang w:val="en-GB" w:eastAsia="cs-CZ"/>
              </w:rPr>
            </w:pPr>
            <w:r w:rsidRPr="009F742F">
              <w:rPr>
                <w:rFonts w:cs="Calibri"/>
                <w:color w:val="000000"/>
                <w:sz w:val="20"/>
                <w:lang w:val="en-GB" w:eastAsia="cs-CZ"/>
              </w:rPr>
              <w:t>Investment estimate</w:t>
            </w:r>
          </w:p>
        </w:tc>
        <w:tc>
          <w:tcPr>
            <w:tcW w:w="384" w:type="pct"/>
            <w:shd w:val="clear" w:color="auto" w:fill="auto"/>
            <w:noWrap/>
            <w:vAlign w:val="center"/>
            <w:hideMark/>
          </w:tcPr>
          <w:p w:rsidR="0095691A" w:rsidRPr="009F742F" w:rsidRDefault="009F742F">
            <w:pPr>
              <w:spacing w:before="0" w:after="0"/>
              <w:jc w:val="center"/>
              <w:rPr>
                <w:rFonts w:cs="Calibri"/>
                <w:color w:val="000000"/>
                <w:sz w:val="20"/>
                <w:lang w:val="en-GB" w:eastAsia="cs-CZ"/>
              </w:rPr>
            </w:pPr>
            <w:r>
              <w:rPr>
                <w:rFonts w:cs="Calibri"/>
                <w:color w:val="000000"/>
                <w:sz w:val="20"/>
                <w:lang w:val="en-GB" w:eastAsia="cs-CZ"/>
              </w:rPr>
              <w:t>CZK billion</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0.5</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0.5</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1.0</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0.9</w:t>
            </w:r>
          </w:p>
        </w:tc>
        <w:tc>
          <w:tcPr>
            <w:tcW w:w="447" w:type="pct"/>
            <w:shd w:val="clear" w:color="auto" w:fill="auto"/>
            <w:noWrap/>
            <w:vAlign w:val="center"/>
            <w:hideMark/>
          </w:tcPr>
          <w:p w:rsidR="0095691A" w:rsidRPr="009F742F" w:rsidRDefault="009B2E6C">
            <w:pPr>
              <w:spacing w:before="0" w:after="0"/>
              <w:jc w:val="right"/>
              <w:rPr>
                <w:rFonts w:cs="Calibri"/>
                <w:color w:val="000000"/>
                <w:sz w:val="20"/>
                <w:lang w:val="en-GB" w:eastAsia="cs-CZ"/>
              </w:rPr>
            </w:pPr>
            <w:r w:rsidRPr="009F742F">
              <w:rPr>
                <w:rFonts w:cs="Calibri"/>
                <w:color w:val="000000"/>
                <w:sz w:val="20"/>
                <w:lang w:val="en-GB" w:eastAsia="cs-CZ"/>
              </w:rPr>
              <w:t>5.8</w:t>
            </w:r>
          </w:p>
        </w:tc>
      </w:tr>
    </w:tbl>
    <w:p w:rsidR="0095691A" w:rsidRPr="00AE77A6" w:rsidRDefault="009B2E6C">
      <w:pPr>
        <w:rPr>
          <w:rFonts w:cs="Calibri"/>
          <w:i/>
          <w:sz w:val="20"/>
          <w:lang w:val="en-GB"/>
        </w:rPr>
      </w:pPr>
      <w:r w:rsidRPr="00AE77A6">
        <w:rPr>
          <w:rFonts w:cs="Calibri"/>
          <w:i/>
          <w:sz w:val="20"/>
          <w:lang w:val="en-GB"/>
        </w:rPr>
        <w:t xml:space="preserve">Source: Govt. </w:t>
      </w:r>
      <w:r w:rsidR="00B5331B">
        <w:rPr>
          <w:rFonts w:cs="Calibri"/>
          <w:i/>
          <w:sz w:val="20"/>
          <w:lang w:val="en-GB"/>
        </w:rPr>
        <w:t>Doc. N</w:t>
      </w:r>
      <w:r w:rsidRPr="00AE77A6">
        <w:rPr>
          <w:rFonts w:cs="Calibri"/>
          <w:i/>
          <w:sz w:val="20"/>
          <w:lang w:val="en-GB"/>
        </w:rPr>
        <w:t>o. 277/15</w:t>
      </w:r>
    </w:p>
    <w:p w:rsidR="00E469A8" w:rsidRPr="00AE77A6" w:rsidRDefault="009B2E6C">
      <w:pPr>
        <w:rPr>
          <w:rFonts w:cs="Calibri"/>
          <w:lang w:val="en-GB"/>
        </w:rPr>
      </w:pPr>
      <w:r w:rsidRPr="00AE77A6">
        <w:rPr>
          <w:rFonts w:cs="Calibri"/>
          <w:lang w:val="en-GB"/>
        </w:rPr>
        <w:t xml:space="preserve">The data indicated in </w:t>
      </w:r>
      <w:r w:rsidR="00092452">
        <w:rPr>
          <w:rFonts w:cs="Calibri"/>
          <w:lang w:val="en-GB"/>
        </w:rPr>
        <w:t>the Document</w:t>
      </w:r>
      <w:r w:rsidRPr="00AE77A6">
        <w:rPr>
          <w:rFonts w:cs="Calibri"/>
          <w:lang w:val="en-GB"/>
        </w:rPr>
        <w:t xml:space="preserve"> No. 277/15 for 2014 and 2015 are a rough </w:t>
      </w:r>
      <w:r w:rsidR="00AE77A6" w:rsidRPr="00AE77A6">
        <w:rPr>
          <w:rFonts w:cs="Calibri"/>
          <w:lang w:val="en-GB"/>
        </w:rPr>
        <w:t xml:space="preserve">estimate. </w:t>
      </w:r>
      <w:r w:rsidRPr="00AE77A6">
        <w:rPr>
          <w:rFonts w:cs="Calibri"/>
          <w:lang w:val="en-GB"/>
        </w:rPr>
        <w:br/>
        <w:t>The “</w:t>
      </w:r>
      <w:r w:rsidRPr="00092452">
        <w:rPr>
          <w:rFonts w:cs="Calibri"/>
          <w:i/>
          <w:lang w:val="en-GB"/>
        </w:rPr>
        <w:t>Third Report on Progress Achieved Towards National Energy Efficiency Targets in the Czech Republic</w:t>
      </w:r>
      <w:r w:rsidRPr="00AE77A6">
        <w:rPr>
          <w:rFonts w:cs="Calibri"/>
          <w:i/>
          <w:lang w:val="en-GB"/>
        </w:rPr>
        <w:t xml:space="preserve">”, </w:t>
      </w:r>
      <w:r w:rsidRPr="00AE77A6">
        <w:rPr>
          <w:rFonts w:cs="Calibri"/>
          <w:lang w:val="en-GB"/>
        </w:rPr>
        <w:t xml:space="preserve">which the </w:t>
      </w:r>
      <w:proofErr w:type="spellStart"/>
      <w:r w:rsidRPr="00AE77A6">
        <w:rPr>
          <w:rFonts w:cs="Calibri"/>
          <w:lang w:val="en-GB"/>
        </w:rPr>
        <w:t>MoIT</w:t>
      </w:r>
      <w:proofErr w:type="spellEnd"/>
      <w:r w:rsidRPr="00AE77A6">
        <w:rPr>
          <w:rFonts w:cs="Calibri"/>
          <w:lang w:val="en-GB"/>
        </w:rPr>
        <w:t xml:space="preserve"> submit</w:t>
      </w:r>
      <w:r w:rsidR="00092452">
        <w:rPr>
          <w:rFonts w:cs="Calibri"/>
          <w:lang w:val="en-GB"/>
        </w:rPr>
        <w:t>ted to the European Commission (</w:t>
      </w:r>
      <w:r w:rsidRPr="00AE77A6">
        <w:rPr>
          <w:rFonts w:cs="Calibri"/>
          <w:lang w:val="en-GB"/>
        </w:rPr>
        <w:t xml:space="preserve">“EC”) </w:t>
      </w:r>
      <w:r w:rsidR="00CF1A7C">
        <w:rPr>
          <w:rFonts w:cs="Calibri"/>
          <w:lang w:val="en-GB"/>
        </w:rPr>
        <w:t>before</w:t>
      </w:r>
      <w:r w:rsidRPr="00AE77A6">
        <w:rPr>
          <w:rFonts w:cs="Calibri"/>
          <w:lang w:val="en-GB"/>
        </w:rPr>
        <w:t xml:space="preserve"> 30</w:t>
      </w:r>
      <w:r w:rsidR="00C108B1">
        <w:rPr>
          <w:rFonts w:cs="Calibri"/>
          <w:lang w:val="en-GB"/>
        </w:rPr>
        <w:t> </w:t>
      </w:r>
      <w:r w:rsidRPr="00AE77A6">
        <w:rPr>
          <w:rFonts w:cs="Calibri"/>
          <w:lang w:val="en-GB"/>
        </w:rPr>
        <w:t xml:space="preserve">April 2015, says that as part of the </w:t>
      </w:r>
      <w:r w:rsidR="00E469A8" w:rsidRPr="00AE77A6">
        <w:rPr>
          <w:rFonts w:cs="Calibri"/>
          <w:lang w:val="en-GB"/>
        </w:rPr>
        <w:t>fulfilment</w:t>
      </w:r>
      <w:r w:rsidRPr="00AE77A6">
        <w:rPr>
          <w:rFonts w:cs="Calibri"/>
          <w:lang w:val="en-GB"/>
        </w:rPr>
        <w:t xml:space="preserve"> of Article 5, measures implemented in the buildings of central government institutions generated energy savings </w:t>
      </w:r>
      <w:r w:rsidR="00CD70A1">
        <w:rPr>
          <w:rFonts w:cs="Calibri"/>
          <w:lang w:val="en-GB"/>
        </w:rPr>
        <w:t>amounting to</w:t>
      </w:r>
      <w:r w:rsidRPr="00AE77A6">
        <w:rPr>
          <w:rFonts w:cs="Calibri"/>
          <w:lang w:val="en-GB"/>
        </w:rPr>
        <w:t xml:space="preserve"> 7.24</w:t>
      </w:r>
      <w:r w:rsidR="00896AA6">
        <w:rPr>
          <w:rFonts w:cs="Calibri"/>
          <w:lang w:val="en-GB"/>
        </w:rPr>
        <w:t>3</w:t>
      </w:r>
      <w:r w:rsidRPr="00AE77A6">
        <w:rPr>
          <w:rFonts w:cs="Calibri"/>
          <w:lang w:val="en-GB"/>
        </w:rPr>
        <w:t xml:space="preserve"> </w:t>
      </w:r>
      <w:r w:rsidR="00AE77A6" w:rsidRPr="00AE77A6">
        <w:rPr>
          <w:rFonts w:cs="Calibri"/>
          <w:lang w:val="en-GB"/>
        </w:rPr>
        <w:t>TJ (</w:t>
      </w:r>
      <w:r w:rsidRPr="00AE77A6">
        <w:rPr>
          <w:rFonts w:cs="Calibri"/>
          <w:lang w:val="en-GB"/>
        </w:rPr>
        <w:t>2 012 MWh)</w:t>
      </w:r>
      <w:r w:rsidRPr="00AE77A6">
        <w:rPr>
          <w:rFonts w:cs="Calibri"/>
          <w:vertAlign w:val="superscript"/>
          <w:lang w:val="en-GB"/>
        </w:rPr>
        <w:t>7</w:t>
      </w:r>
      <w:r w:rsidR="00CF1A7C" w:rsidRPr="00CF1A7C">
        <w:rPr>
          <w:rFonts w:cs="Calibri"/>
          <w:lang w:val="en-GB"/>
        </w:rPr>
        <w:t xml:space="preserve"> </w:t>
      </w:r>
      <w:r w:rsidR="00CF1A7C" w:rsidRPr="00AE77A6">
        <w:rPr>
          <w:rFonts w:cs="Calibri"/>
          <w:lang w:val="en-GB"/>
        </w:rPr>
        <w:t>in 2014</w:t>
      </w:r>
      <w:r w:rsidRPr="00AE77A6">
        <w:rPr>
          <w:rFonts w:cs="Calibri"/>
          <w:lang w:val="en-GB"/>
        </w:rPr>
        <w:t>.</w:t>
      </w:r>
    </w:p>
    <w:p w:rsidR="0095691A" w:rsidRPr="00AE77A6" w:rsidRDefault="009B2E6C">
      <w:pPr>
        <w:rPr>
          <w:rFonts w:cs="Calibri"/>
          <w:lang w:val="en-GB"/>
        </w:rPr>
      </w:pPr>
      <w:r w:rsidRPr="00AE77A6">
        <w:rPr>
          <w:rFonts w:cs="Calibri"/>
          <w:lang w:val="en-GB"/>
        </w:rPr>
        <w:t xml:space="preserve">The data for 2015 are taken from the investment plans of </w:t>
      </w:r>
      <w:r w:rsidR="00765F3E">
        <w:rPr>
          <w:rFonts w:cs="Calibri"/>
          <w:lang w:val="en-GB"/>
        </w:rPr>
        <w:t>individual</w:t>
      </w:r>
      <w:r w:rsidRPr="00AE77A6">
        <w:rPr>
          <w:rFonts w:cs="Calibri"/>
          <w:lang w:val="en-GB"/>
        </w:rPr>
        <w:t xml:space="preserve"> institutions. </w:t>
      </w:r>
    </w:p>
    <w:p w:rsidR="0095691A" w:rsidRPr="00AE77A6" w:rsidRDefault="009B2E6C">
      <w:pPr>
        <w:pBdr>
          <w:top w:val="single" w:sz="4" w:space="1" w:color="auto"/>
          <w:left w:val="single" w:sz="4" w:space="4" w:color="auto"/>
          <w:bottom w:val="single" w:sz="4" w:space="1" w:color="auto"/>
          <w:right w:val="single" w:sz="4" w:space="4" w:color="auto"/>
        </w:pBdr>
        <w:shd w:val="clear" w:color="auto" w:fill="B6DDE8"/>
        <w:rPr>
          <w:rFonts w:cs="Calibri"/>
          <w:lang w:val="en-GB"/>
        </w:rPr>
      </w:pPr>
      <w:r w:rsidRPr="00AE77A6">
        <w:rPr>
          <w:rFonts w:cs="Calibri"/>
          <w:lang w:val="en-GB"/>
        </w:rPr>
        <w:t xml:space="preserve">To achieve the targets </w:t>
      </w:r>
      <w:r w:rsidR="00E131E4">
        <w:rPr>
          <w:rFonts w:cs="Calibri"/>
          <w:lang w:val="en-GB"/>
        </w:rPr>
        <w:t>in</w:t>
      </w:r>
      <w:r w:rsidRPr="00AE77A6">
        <w:rPr>
          <w:rFonts w:cs="Calibri"/>
          <w:lang w:val="en-GB"/>
        </w:rPr>
        <w:t xml:space="preserve"> Table</w:t>
      </w:r>
      <w:r w:rsidR="00E131E4">
        <w:rPr>
          <w:rFonts w:cs="Calibri"/>
          <w:lang w:val="en-GB"/>
        </w:rPr>
        <w:t xml:space="preserve"> No.</w:t>
      </w:r>
      <w:r w:rsidRPr="00AE77A6">
        <w:rPr>
          <w:rFonts w:cs="Calibri"/>
          <w:lang w:val="en-GB"/>
        </w:rPr>
        <w:t xml:space="preserve"> 1, it will be necessary in the coming years to increase the speed of im</w:t>
      </w:r>
      <w:r w:rsidR="00E469A8" w:rsidRPr="00AE77A6">
        <w:rPr>
          <w:rFonts w:cs="Calibri"/>
          <w:lang w:val="en-GB"/>
        </w:rPr>
        <w:t>plementation of investments in</w:t>
      </w:r>
      <w:r w:rsidRPr="00AE77A6">
        <w:rPr>
          <w:rFonts w:cs="Calibri"/>
          <w:lang w:val="en-GB"/>
        </w:rPr>
        <w:t xml:space="preserve"> the relevant buildings of the central government </w:t>
      </w:r>
      <w:r w:rsidRPr="00AE77A6">
        <w:rPr>
          <w:rFonts w:cs="Calibri"/>
          <w:lang w:val="en-GB"/>
        </w:rPr>
        <w:lastRenderedPageBreak/>
        <w:t xml:space="preserve">institutions. The risk of unsecured project financing enumerated according to the </w:t>
      </w:r>
      <w:proofErr w:type="spellStart"/>
      <w:r w:rsidRPr="00AE77A6">
        <w:rPr>
          <w:rFonts w:cs="Calibri"/>
          <w:lang w:val="en-GB"/>
        </w:rPr>
        <w:t>MoIT</w:t>
      </w:r>
      <w:proofErr w:type="spellEnd"/>
      <w:r w:rsidRPr="00AE77A6">
        <w:rPr>
          <w:rFonts w:cs="Calibri"/>
          <w:lang w:val="en-GB"/>
        </w:rPr>
        <w:t xml:space="preserve"> material at about CZK 5.8 billion by 2020 persists.    </w:t>
      </w:r>
    </w:p>
    <w:p w:rsidR="0095691A" w:rsidRPr="00AE77A6" w:rsidRDefault="009B2E6C">
      <w:pPr>
        <w:pBdr>
          <w:top w:val="single" w:sz="4" w:space="1" w:color="auto"/>
          <w:left w:val="single" w:sz="4" w:space="4" w:color="auto"/>
          <w:bottom w:val="single" w:sz="4" w:space="1" w:color="auto"/>
          <w:right w:val="single" w:sz="4" w:space="4" w:color="auto"/>
        </w:pBdr>
        <w:shd w:val="clear" w:color="auto" w:fill="B6DDE8"/>
        <w:rPr>
          <w:rFonts w:cs="Calibri"/>
          <w:lang w:val="en-GB"/>
        </w:rPr>
      </w:pPr>
      <w:r w:rsidRPr="00AE77A6">
        <w:rPr>
          <w:rFonts w:cs="Calibri"/>
          <w:lang w:val="en-GB"/>
        </w:rPr>
        <w:t xml:space="preserve">It is not clear whether the targets </w:t>
      </w:r>
      <w:r w:rsidR="00E131E4">
        <w:rPr>
          <w:rFonts w:cs="Calibri"/>
          <w:lang w:val="en-GB"/>
        </w:rPr>
        <w:t>in</w:t>
      </w:r>
      <w:r w:rsidRPr="00AE77A6">
        <w:rPr>
          <w:rFonts w:cs="Calibri"/>
          <w:lang w:val="en-GB"/>
        </w:rPr>
        <w:t xml:space="preserve"> Table</w:t>
      </w:r>
      <w:r w:rsidR="00E469A8" w:rsidRPr="00AE77A6">
        <w:rPr>
          <w:rFonts w:cs="Calibri"/>
          <w:lang w:val="en-GB"/>
        </w:rPr>
        <w:t xml:space="preserve"> No.</w:t>
      </w:r>
      <w:r w:rsidRPr="00AE77A6">
        <w:rPr>
          <w:rFonts w:cs="Calibri"/>
          <w:lang w:val="en-GB"/>
        </w:rPr>
        <w:t xml:space="preserve"> 1 can be attained. The planned sudden jump in values for 2016 constitute a threefold increase of necessary savings compared to 2015, with the data for 2015 being a rough estimate. The actual figures for 2014 are more than half </w:t>
      </w:r>
      <w:r w:rsidR="00D55DB4">
        <w:rPr>
          <w:rFonts w:cs="Calibri"/>
          <w:lang w:val="en-GB"/>
        </w:rPr>
        <w:t xml:space="preserve">lower than the estimate </w:t>
      </w:r>
      <w:r w:rsidRPr="00AE77A6">
        <w:rPr>
          <w:rFonts w:cs="Calibri"/>
          <w:lang w:val="en-GB"/>
        </w:rPr>
        <w:t xml:space="preserve">for 2015. The ability to achieve such a high amount of savings is rather unrealistic and will also depend on resolving the risk of failure to secure sufficient investment. For 2016, these investments would amount to approx. CZK 1 billion. </w:t>
      </w:r>
    </w:p>
    <w:p w:rsidR="0095691A" w:rsidRPr="00AE77A6" w:rsidRDefault="009B2E6C">
      <w:pPr>
        <w:rPr>
          <w:rFonts w:cs="Calibri"/>
          <w:lang w:val="en-GB"/>
        </w:rPr>
      </w:pPr>
      <w:r w:rsidRPr="00AE77A6">
        <w:rPr>
          <w:rFonts w:cs="Calibri"/>
          <w:lang w:val="en-GB"/>
        </w:rPr>
        <w:t xml:space="preserve">The Czech </w:t>
      </w:r>
      <w:r w:rsidR="0000012C">
        <w:rPr>
          <w:rFonts w:cs="Calibri"/>
          <w:lang w:val="en-GB"/>
        </w:rPr>
        <w:t>G</w:t>
      </w:r>
      <w:r w:rsidRPr="00AE77A6">
        <w:rPr>
          <w:rFonts w:cs="Calibri"/>
          <w:lang w:val="en-GB"/>
        </w:rPr>
        <w:t xml:space="preserve">overnment tasked the </w:t>
      </w:r>
      <w:proofErr w:type="spellStart"/>
      <w:r w:rsidRPr="00AE77A6">
        <w:rPr>
          <w:rFonts w:cs="Calibri"/>
          <w:lang w:val="en-GB"/>
        </w:rPr>
        <w:t>MoIT</w:t>
      </w:r>
      <w:proofErr w:type="spellEnd"/>
      <w:r w:rsidRPr="00AE77A6">
        <w:rPr>
          <w:rFonts w:cs="Calibri"/>
          <w:lang w:val="en-GB"/>
        </w:rPr>
        <w:t xml:space="preserve"> with drawing up a building refurbishment plan for 2016 with a view to 2020 and submitting it to the </w:t>
      </w:r>
      <w:r w:rsidR="0000012C">
        <w:rPr>
          <w:rFonts w:cs="Calibri"/>
          <w:lang w:val="en-GB"/>
        </w:rPr>
        <w:t>G</w:t>
      </w:r>
      <w:r w:rsidRPr="00AE77A6">
        <w:rPr>
          <w:rFonts w:cs="Calibri"/>
          <w:lang w:val="en-GB"/>
        </w:rPr>
        <w:t>overnment by 30 June 201</w:t>
      </w:r>
      <w:r w:rsidR="0000012C">
        <w:rPr>
          <w:rFonts w:cs="Calibri"/>
          <w:lang w:val="en-GB"/>
        </w:rPr>
        <w:t>5</w:t>
      </w:r>
      <w:r w:rsidRPr="00AE77A6">
        <w:rPr>
          <w:rFonts w:cs="Calibri"/>
          <w:lang w:val="en-GB"/>
        </w:rPr>
        <w:t xml:space="preserve">. The </w:t>
      </w:r>
      <w:proofErr w:type="spellStart"/>
      <w:r w:rsidRPr="00AE77A6">
        <w:rPr>
          <w:rFonts w:cs="Calibri"/>
          <w:lang w:val="en-GB"/>
        </w:rPr>
        <w:t>MoIT</w:t>
      </w:r>
      <w:proofErr w:type="spellEnd"/>
      <w:r w:rsidRPr="00AE77A6">
        <w:rPr>
          <w:rFonts w:cs="Calibri"/>
          <w:lang w:val="en-GB"/>
        </w:rPr>
        <w:t>, however, did not submit the plan by the deadline.</w:t>
      </w:r>
    </w:p>
    <w:p w:rsidR="0000012C" w:rsidRDefault="0000012C">
      <w:pPr>
        <w:rPr>
          <w:rFonts w:cs="Calibri"/>
          <w:b/>
          <w:lang w:val="en-GB"/>
        </w:rPr>
      </w:pPr>
    </w:p>
    <w:p w:rsidR="0095691A" w:rsidRPr="00AE77A6" w:rsidRDefault="009B2E6C">
      <w:pPr>
        <w:rPr>
          <w:rFonts w:cs="Calibri"/>
          <w:b/>
          <w:lang w:val="en-GB"/>
        </w:rPr>
      </w:pPr>
      <w:r w:rsidRPr="00AE77A6">
        <w:rPr>
          <w:rFonts w:cs="Calibri"/>
          <w:b/>
          <w:lang w:val="en-GB"/>
        </w:rPr>
        <w:t>Ministry of the Environment</w:t>
      </w:r>
    </w:p>
    <w:p w:rsidR="0095691A" w:rsidRPr="00AE77A6" w:rsidRDefault="009B2E6C">
      <w:pPr>
        <w:rPr>
          <w:b/>
          <w:color w:val="FF0000"/>
          <w:lang w:val="en-GB"/>
        </w:rPr>
      </w:pPr>
      <w:r w:rsidRPr="00AE77A6">
        <w:rPr>
          <w:lang w:val="en-GB"/>
        </w:rPr>
        <w:t xml:space="preserve">In the audit period, the basic conceptual material of the Ministry of the Environment was </w:t>
      </w:r>
      <w:r w:rsidR="0025695F">
        <w:rPr>
          <w:lang w:val="en-GB"/>
        </w:rPr>
        <w:t>the</w:t>
      </w:r>
      <w:r w:rsidRPr="00AE77A6">
        <w:rPr>
          <w:lang w:val="en-GB"/>
        </w:rPr>
        <w:t xml:space="preserve"> update</w:t>
      </w:r>
      <w:r w:rsidR="0025695F">
        <w:rPr>
          <w:lang w:val="en-GB"/>
        </w:rPr>
        <w:t>d</w:t>
      </w:r>
      <w:r w:rsidRPr="00AE77A6">
        <w:rPr>
          <w:lang w:val="en-GB"/>
        </w:rPr>
        <w:t xml:space="preserve"> </w:t>
      </w:r>
      <w:r w:rsidRPr="00AE77A6">
        <w:rPr>
          <w:i/>
          <w:lang w:val="en-GB"/>
        </w:rPr>
        <w:t>“State Environmental Policy of the Czech Republic for 2012-2020”</w:t>
      </w:r>
      <w:r w:rsidRPr="00AE77A6">
        <w:rPr>
          <w:lang w:val="en-GB"/>
        </w:rPr>
        <w:t>.  It contains parts focused on energ</w:t>
      </w:r>
      <w:r w:rsidR="00E469A8" w:rsidRPr="00AE77A6">
        <w:rPr>
          <w:lang w:val="en-GB"/>
        </w:rPr>
        <w:t xml:space="preserve">y savings. The </w:t>
      </w:r>
      <w:r w:rsidR="00E469A8" w:rsidRPr="00AE77A6">
        <w:rPr>
          <w:i/>
          <w:iCs/>
          <w:lang w:val="en-GB"/>
        </w:rPr>
        <w:t>“</w:t>
      </w:r>
      <w:r w:rsidR="00FB2153">
        <w:rPr>
          <w:i/>
          <w:iCs/>
          <w:lang w:val="en-GB"/>
        </w:rPr>
        <w:t>e</w:t>
      </w:r>
      <w:r w:rsidR="00E469A8" w:rsidRPr="00AE77A6">
        <w:rPr>
          <w:i/>
          <w:iCs/>
          <w:lang w:val="en-GB"/>
        </w:rPr>
        <w:t>nergy efficiency</w:t>
      </w:r>
      <w:r w:rsidRPr="00AE77A6">
        <w:rPr>
          <w:i/>
          <w:iCs/>
          <w:lang w:val="en-GB"/>
        </w:rPr>
        <w:t xml:space="preserve"> development”</w:t>
      </w:r>
      <w:r w:rsidRPr="00AE77A6">
        <w:rPr>
          <w:lang w:val="en-GB"/>
        </w:rPr>
        <w:t xml:space="preserve"> indicator will be monitored as the development of the share of GDP on the consumption of primary energy sources.  The indicators of the </w:t>
      </w:r>
      <w:r w:rsidR="00FB2153" w:rsidRPr="00AE77A6">
        <w:rPr>
          <w:i/>
          <w:lang w:val="en-GB"/>
        </w:rPr>
        <w:t>State Environmental Policy of the Czech Republic for 2012-2020</w:t>
      </w:r>
      <w:r w:rsidRPr="00AE77A6">
        <w:rPr>
          <w:lang w:val="en-GB"/>
        </w:rPr>
        <w:t xml:space="preserve"> do not have specific target values, the first assessment of their development </w:t>
      </w:r>
      <w:r w:rsidR="005A38DC">
        <w:rPr>
          <w:lang w:val="en-GB"/>
        </w:rPr>
        <w:t xml:space="preserve">is </w:t>
      </w:r>
      <w:r w:rsidRPr="00AE77A6">
        <w:rPr>
          <w:lang w:val="en-GB"/>
        </w:rPr>
        <w:t xml:space="preserve">planned </w:t>
      </w:r>
      <w:r w:rsidR="005A38DC">
        <w:rPr>
          <w:lang w:val="en-GB"/>
        </w:rPr>
        <w:t>in</w:t>
      </w:r>
      <w:r w:rsidRPr="00AE77A6">
        <w:rPr>
          <w:lang w:val="en-GB"/>
        </w:rPr>
        <w:t xml:space="preserve"> 2015. In the area of energy efficiency, </w:t>
      </w:r>
      <w:r w:rsidR="005A38DC">
        <w:rPr>
          <w:lang w:val="en-GB"/>
        </w:rPr>
        <w:t xml:space="preserve">the </w:t>
      </w:r>
      <w:r w:rsidRPr="00AE77A6">
        <w:rPr>
          <w:lang w:val="en-GB"/>
        </w:rPr>
        <w:t xml:space="preserve">state environmental policy which is the responsibility of the </w:t>
      </w:r>
      <w:proofErr w:type="spellStart"/>
      <w:r w:rsidRPr="00AE77A6">
        <w:rPr>
          <w:lang w:val="en-GB"/>
        </w:rPr>
        <w:t>MoE</w:t>
      </w:r>
      <w:proofErr w:type="spellEnd"/>
      <w:r w:rsidRPr="00AE77A6">
        <w:rPr>
          <w:lang w:val="en-GB"/>
        </w:rPr>
        <w:t xml:space="preserve"> is in line with the government-approved documents</w:t>
      </w:r>
      <w:r w:rsidR="005A38DC">
        <w:rPr>
          <w:lang w:val="en-GB"/>
        </w:rPr>
        <w:t xml:space="preserve"> that</w:t>
      </w:r>
      <w:r w:rsidRPr="00AE77A6">
        <w:rPr>
          <w:lang w:val="en-GB"/>
        </w:rPr>
        <w:t xml:space="preserve"> are </w:t>
      </w:r>
      <w:r w:rsidR="005A38DC">
        <w:rPr>
          <w:lang w:val="en-GB"/>
        </w:rPr>
        <w:t>with</w:t>
      </w:r>
      <w:r w:rsidRPr="00AE77A6">
        <w:rPr>
          <w:lang w:val="en-GB"/>
        </w:rPr>
        <w:t xml:space="preserve">in the purview of the </w:t>
      </w:r>
      <w:proofErr w:type="spellStart"/>
      <w:r w:rsidRPr="00AE77A6">
        <w:rPr>
          <w:lang w:val="en-GB"/>
        </w:rPr>
        <w:t>MoIT</w:t>
      </w:r>
      <w:proofErr w:type="spellEnd"/>
      <w:r w:rsidRPr="00AE77A6">
        <w:rPr>
          <w:lang w:val="en-GB"/>
        </w:rPr>
        <w:t>.</w:t>
      </w:r>
    </w:p>
    <w:p w:rsidR="0095691A" w:rsidRPr="00AE77A6" w:rsidRDefault="009B2E6C">
      <w:pPr>
        <w:rPr>
          <w:lang w:val="en-GB"/>
        </w:rPr>
      </w:pPr>
      <w:r w:rsidRPr="00AE77A6">
        <w:rPr>
          <w:lang w:val="en-GB"/>
        </w:rPr>
        <w:t xml:space="preserve">Each year, the </w:t>
      </w:r>
      <w:proofErr w:type="spellStart"/>
      <w:r w:rsidRPr="00AE77A6">
        <w:rPr>
          <w:lang w:val="en-GB"/>
        </w:rPr>
        <w:t>MoE</w:t>
      </w:r>
      <w:proofErr w:type="spellEnd"/>
      <w:r w:rsidRPr="00AE77A6">
        <w:rPr>
          <w:lang w:val="en-GB"/>
        </w:rPr>
        <w:t xml:space="preserve"> draws up the </w:t>
      </w:r>
      <w:r w:rsidR="006200AB">
        <w:rPr>
          <w:lang w:val="en-GB"/>
        </w:rPr>
        <w:t>r</w:t>
      </w:r>
      <w:r w:rsidRPr="00AE77A6">
        <w:rPr>
          <w:lang w:val="en-GB"/>
        </w:rPr>
        <w:t xml:space="preserve">eports on the </w:t>
      </w:r>
      <w:r w:rsidR="006200AB">
        <w:rPr>
          <w:lang w:val="en-GB"/>
        </w:rPr>
        <w:t>e</w:t>
      </w:r>
      <w:r w:rsidRPr="00AE77A6">
        <w:rPr>
          <w:lang w:val="en-GB"/>
        </w:rPr>
        <w:t xml:space="preserve">nvironment of the Czech Republic.  These are approved by the Czech </w:t>
      </w:r>
      <w:r w:rsidR="006200AB">
        <w:rPr>
          <w:lang w:val="en-GB"/>
        </w:rPr>
        <w:t>G</w:t>
      </w:r>
      <w:r w:rsidRPr="00AE77A6">
        <w:rPr>
          <w:lang w:val="en-GB"/>
        </w:rPr>
        <w:t xml:space="preserve">overnment and then sent to the Chamber of Deputies and the Senate of Parliament of the Czech Republic. The reports for 2012 and 2013 discuss in detail and from various points of view the development of energy efficiency in the Czech Republic </w:t>
      </w:r>
      <w:r w:rsidR="006200AB">
        <w:rPr>
          <w:lang w:val="en-GB"/>
        </w:rPr>
        <w:t>from</w:t>
      </w:r>
      <w:r w:rsidRPr="00AE77A6">
        <w:rPr>
          <w:lang w:val="en-GB"/>
        </w:rPr>
        <w:t xml:space="preserve"> 2000. They assess energy efficiency depending on GDP, according to the main sectors of consumption (industry, transport, households), compare energy consumption per capita with other countries, and the like. They assess energy production according to type of fuel and call attention to the impact of energy production on human health and ecosystems. The various parts mention the specific relationships to national documents, specifically in this case the State Energy Policy and the National Energy Efficiency Action Plan.  In the annually prepared </w:t>
      </w:r>
      <w:r w:rsidR="006200AB">
        <w:rPr>
          <w:lang w:val="en-GB"/>
        </w:rPr>
        <w:t>r</w:t>
      </w:r>
      <w:r w:rsidRPr="00AE77A6">
        <w:rPr>
          <w:lang w:val="en-GB"/>
        </w:rPr>
        <w:t>eport</w:t>
      </w:r>
      <w:r w:rsidR="006200AB">
        <w:rPr>
          <w:lang w:val="en-GB"/>
        </w:rPr>
        <w:t>s</w:t>
      </w:r>
      <w:r w:rsidRPr="00AE77A6">
        <w:rPr>
          <w:lang w:val="en-GB"/>
        </w:rPr>
        <w:t xml:space="preserve"> on the </w:t>
      </w:r>
      <w:r w:rsidR="006200AB">
        <w:rPr>
          <w:lang w:val="en-GB"/>
        </w:rPr>
        <w:t>e</w:t>
      </w:r>
      <w:r w:rsidRPr="00AE77A6">
        <w:rPr>
          <w:lang w:val="en-GB"/>
        </w:rPr>
        <w:t xml:space="preserve">nvironment </w:t>
      </w:r>
      <w:r w:rsidR="006200AB">
        <w:rPr>
          <w:lang w:val="en-GB"/>
        </w:rPr>
        <w:t>in</w:t>
      </w:r>
      <w:r w:rsidRPr="00AE77A6">
        <w:rPr>
          <w:lang w:val="en-GB"/>
        </w:rPr>
        <w:t xml:space="preserve"> the Czech Republic, the </w:t>
      </w:r>
      <w:proofErr w:type="spellStart"/>
      <w:r w:rsidRPr="00AE77A6">
        <w:rPr>
          <w:lang w:val="en-GB"/>
        </w:rPr>
        <w:t>MoE</w:t>
      </w:r>
      <w:proofErr w:type="spellEnd"/>
      <w:r w:rsidRPr="00AE77A6">
        <w:rPr>
          <w:lang w:val="en-GB"/>
        </w:rPr>
        <w:t xml:space="preserve"> assesses in detail the energy efficiency indicators.</w:t>
      </w:r>
    </w:p>
    <w:p w:rsidR="00AE29B7" w:rsidRDefault="00AE29B7">
      <w:pPr>
        <w:rPr>
          <w:rFonts w:cs="Calibri"/>
          <w:b/>
          <w:lang w:val="en-GB"/>
        </w:rPr>
      </w:pPr>
    </w:p>
    <w:p w:rsidR="0095691A" w:rsidRPr="00AE77A6" w:rsidRDefault="009B2E6C">
      <w:pPr>
        <w:rPr>
          <w:rFonts w:cs="Calibri"/>
          <w:b/>
          <w:lang w:val="en-GB"/>
        </w:rPr>
      </w:pPr>
      <w:r w:rsidRPr="00AE77A6">
        <w:rPr>
          <w:rFonts w:cs="Calibri"/>
          <w:b/>
          <w:lang w:val="en-GB"/>
        </w:rPr>
        <w:t>Ministry for Regional Development</w:t>
      </w:r>
    </w:p>
    <w:p w:rsidR="0095691A" w:rsidRPr="00AE77A6" w:rsidRDefault="009B2E6C">
      <w:pPr>
        <w:rPr>
          <w:rFonts w:cs="Calibri"/>
          <w:bCs/>
          <w:color w:val="000000"/>
          <w:szCs w:val="24"/>
          <w:lang w:val="en-GB"/>
        </w:rPr>
      </w:pPr>
      <w:r w:rsidRPr="00AE77A6">
        <w:rPr>
          <w:rFonts w:cs="Calibri"/>
          <w:bCs/>
          <w:color w:val="000000"/>
          <w:szCs w:val="24"/>
          <w:lang w:val="en-GB"/>
        </w:rPr>
        <w:t xml:space="preserve">The basic conceptual document of the Ministry of Regional Development in the audited period was the </w:t>
      </w:r>
      <w:r w:rsidRPr="00AE29B7">
        <w:rPr>
          <w:rFonts w:cs="Calibri"/>
          <w:bCs/>
          <w:i/>
          <w:color w:val="000000"/>
          <w:szCs w:val="24"/>
          <w:lang w:val="en-GB"/>
        </w:rPr>
        <w:t xml:space="preserve">Housing Policy Concept </w:t>
      </w:r>
      <w:r w:rsidR="00AE29B7">
        <w:rPr>
          <w:rFonts w:cs="Calibri"/>
          <w:bCs/>
          <w:i/>
          <w:color w:val="000000"/>
          <w:szCs w:val="24"/>
          <w:lang w:val="en-GB"/>
        </w:rPr>
        <w:t>of the Czech Republic till</w:t>
      </w:r>
      <w:r w:rsidRPr="00AE29B7">
        <w:rPr>
          <w:rFonts w:cs="Calibri"/>
          <w:bCs/>
          <w:i/>
          <w:color w:val="000000"/>
          <w:szCs w:val="24"/>
          <w:lang w:val="en-GB"/>
        </w:rPr>
        <w:t xml:space="preserve"> 2020</w:t>
      </w:r>
      <w:r w:rsidRPr="00AE77A6">
        <w:rPr>
          <w:rFonts w:cs="Calibri"/>
          <w:bCs/>
          <w:color w:val="000000"/>
          <w:szCs w:val="24"/>
          <w:lang w:val="en-GB"/>
        </w:rPr>
        <w:t xml:space="preserve"> (“Concept”). The </w:t>
      </w:r>
      <w:r w:rsidRPr="00AE77A6">
        <w:rPr>
          <w:rFonts w:cs="Calibri"/>
          <w:bCs/>
          <w:color w:val="000000"/>
          <w:szCs w:val="24"/>
          <w:lang w:val="en-GB"/>
        </w:rPr>
        <w:lastRenderedPageBreak/>
        <w:t xml:space="preserve">Concept states that although the housing fund may correspond in size to the European average, it is obsolete and under-invested, not only in terms of construction but also in terms of energy. In relation to the energy savings, the Concept assumes </w:t>
      </w:r>
      <w:r w:rsidR="00AE77A6" w:rsidRPr="00AE77A6">
        <w:rPr>
          <w:rFonts w:cs="Calibri"/>
          <w:bCs/>
          <w:color w:val="000000"/>
          <w:szCs w:val="24"/>
          <w:lang w:val="en-GB"/>
        </w:rPr>
        <w:t>that buildings</w:t>
      </w:r>
      <w:r w:rsidRPr="00AE77A6">
        <w:rPr>
          <w:rFonts w:cs="Calibri"/>
          <w:bCs/>
          <w:color w:val="000000"/>
          <w:szCs w:val="24"/>
          <w:lang w:val="en-GB"/>
        </w:rPr>
        <w:t xml:space="preserve"> with low energy costs will be built. </w:t>
      </w:r>
    </w:p>
    <w:p w:rsidR="0095691A" w:rsidRPr="00AE77A6" w:rsidRDefault="009B2E6C">
      <w:pPr>
        <w:autoSpaceDE w:val="0"/>
        <w:autoSpaceDN w:val="0"/>
        <w:adjustRightInd w:val="0"/>
        <w:rPr>
          <w:rFonts w:eastAsia="Times New Roman" w:cs="Calibri"/>
          <w:szCs w:val="24"/>
          <w:lang w:val="en-GB"/>
        </w:rPr>
      </w:pPr>
      <w:r w:rsidRPr="00AE77A6">
        <w:rPr>
          <w:rFonts w:eastAsia="Times New Roman" w:cs="Calibri"/>
          <w:szCs w:val="24"/>
          <w:lang w:val="en-GB"/>
        </w:rPr>
        <w:t>The Concept states that the financial resources helping to promote housing policy targets are to a great extent dependen</w:t>
      </w:r>
      <w:r w:rsidR="00737986">
        <w:rPr>
          <w:rFonts w:eastAsia="Times New Roman" w:cs="Calibri"/>
          <w:szCs w:val="24"/>
          <w:lang w:val="en-GB"/>
        </w:rPr>
        <w:t>t on the state of public budget</w:t>
      </w:r>
      <w:r w:rsidRPr="00AE77A6">
        <w:rPr>
          <w:rFonts w:eastAsia="Times New Roman" w:cs="Calibri"/>
          <w:szCs w:val="24"/>
          <w:lang w:val="en-GB"/>
        </w:rPr>
        <w:t>, and the structure of the portfolio of supporting instruments must not have a lo</w:t>
      </w:r>
      <w:r w:rsidR="00AB0FD6" w:rsidRPr="00AE77A6">
        <w:rPr>
          <w:rFonts w:eastAsia="Times New Roman" w:cs="Calibri"/>
          <w:szCs w:val="24"/>
          <w:lang w:val="en-GB"/>
        </w:rPr>
        <w:t xml:space="preserve">ng-term negative impact on the </w:t>
      </w:r>
      <w:r w:rsidR="00737986">
        <w:rPr>
          <w:rFonts w:eastAsia="Times New Roman" w:cs="Calibri"/>
          <w:szCs w:val="24"/>
          <w:lang w:val="en-GB"/>
        </w:rPr>
        <w:t>s</w:t>
      </w:r>
      <w:r w:rsidR="00AB0FD6" w:rsidRPr="00AE77A6">
        <w:rPr>
          <w:rFonts w:eastAsia="Times New Roman" w:cs="Calibri"/>
          <w:szCs w:val="24"/>
          <w:lang w:val="en-GB"/>
        </w:rPr>
        <w:t xml:space="preserve">tate budget. </w:t>
      </w:r>
      <w:r w:rsidRPr="00AE77A6">
        <w:rPr>
          <w:rFonts w:eastAsia="Times New Roman" w:cs="Calibri"/>
          <w:szCs w:val="24"/>
          <w:lang w:val="en-GB"/>
        </w:rPr>
        <w:t xml:space="preserve">The development of public financing clearly indicates that financial intervention by the </w:t>
      </w:r>
      <w:r w:rsidR="00737986">
        <w:rPr>
          <w:rFonts w:eastAsia="Times New Roman" w:cs="Calibri"/>
          <w:szCs w:val="24"/>
          <w:lang w:val="en-GB"/>
        </w:rPr>
        <w:t>s</w:t>
      </w:r>
      <w:r w:rsidRPr="00AE77A6">
        <w:rPr>
          <w:rFonts w:eastAsia="Times New Roman" w:cs="Calibri"/>
          <w:szCs w:val="24"/>
          <w:lang w:val="en-GB"/>
        </w:rPr>
        <w:t xml:space="preserve">tate in housing will have to focus on revolving instruments and on limiting non-recoverable financial assistance as much possible, but in a way that allows assistance to people who truly and objectively need it. All available financial resources have to be used, especially as a motivational tool, to set up the system for financing the </w:t>
      </w:r>
      <w:r w:rsidR="00263A28">
        <w:rPr>
          <w:rFonts w:eastAsia="Times New Roman" w:cs="Calibri"/>
          <w:szCs w:val="24"/>
          <w:lang w:val="en-GB"/>
        </w:rPr>
        <w:t>s</w:t>
      </w:r>
      <w:r w:rsidRPr="00AE77A6">
        <w:rPr>
          <w:rFonts w:eastAsia="Times New Roman" w:cs="Calibri"/>
          <w:szCs w:val="24"/>
          <w:lang w:val="en-GB"/>
        </w:rPr>
        <w:t>tate housing policy. The programme, which is based on guarantees and loan products with a high rate of return, should compensate for the narrowly targeted subsidy programmes.</w:t>
      </w:r>
    </w:p>
    <w:p w:rsidR="0095691A" w:rsidRPr="00AE77A6" w:rsidRDefault="009B2E6C">
      <w:pPr>
        <w:autoSpaceDE w:val="0"/>
        <w:autoSpaceDN w:val="0"/>
        <w:adjustRightInd w:val="0"/>
        <w:rPr>
          <w:rFonts w:eastAsia="Times New Roman" w:cs="Calibri"/>
          <w:szCs w:val="24"/>
          <w:lang w:val="en-GB"/>
        </w:rPr>
      </w:pPr>
      <w:r w:rsidRPr="00AE77A6">
        <w:rPr>
          <w:rFonts w:eastAsia="Times New Roman" w:cs="Calibri"/>
          <w:szCs w:val="24"/>
          <w:lang w:val="en-GB"/>
        </w:rPr>
        <w:t>Objectives and priorities, especially “</w:t>
      </w:r>
      <w:r w:rsidR="00263A28">
        <w:rPr>
          <w:rFonts w:eastAsia="Times New Roman" w:cs="Calibri"/>
          <w:szCs w:val="24"/>
          <w:lang w:val="en-GB"/>
        </w:rPr>
        <w:t>a</w:t>
      </w:r>
      <w:r w:rsidRPr="00AE77A6">
        <w:rPr>
          <w:rFonts w:eastAsia="Times New Roman" w:cs="Calibri"/>
          <w:szCs w:val="24"/>
          <w:lang w:val="en-GB"/>
        </w:rPr>
        <w:t xml:space="preserve">ccessibility, </w:t>
      </w:r>
      <w:r w:rsidR="00263A28">
        <w:rPr>
          <w:rFonts w:eastAsia="Times New Roman" w:cs="Calibri"/>
          <w:szCs w:val="24"/>
          <w:lang w:val="en-GB"/>
        </w:rPr>
        <w:t>s</w:t>
      </w:r>
      <w:r w:rsidRPr="00AE77A6">
        <w:rPr>
          <w:rFonts w:eastAsia="Times New Roman" w:cs="Calibri"/>
          <w:szCs w:val="24"/>
          <w:lang w:val="en-GB"/>
        </w:rPr>
        <w:t>tability</w:t>
      </w:r>
      <w:r w:rsidR="00263A28">
        <w:rPr>
          <w:rFonts w:eastAsia="Times New Roman" w:cs="Calibri"/>
          <w:szCs w:val="24"/>
          <w:lang w:val="en-GB"/>
        </w:rPr>
        <w:t>,</w:t>
      </w:r>
      <w:r w:rsidRPr="00AE77A6">
        <w:rPr>
          <w:rFonts w:eastAsia="Times New Roman" w:cs="Calibri"/>
          <w:szCs w:val="24"/>
          <w:lang w:val="en-GB"/>
        </w:rPr>
        <w:t xml:space="preserve"> and </w:t>
      </w:r>
      <w:r w:rsidR="00263A28">
        <w:rPr>
          <w:rFonts w:eastAsia="Times New Roman" w:cs="Calibri"/>
          <w:szCs w:val="24"/>
          <w:lang w:val="en-GB"/>
        </w:rPr>
        <w:t>q</w:t>
      </w:r>
      <w:r w:rsidRPr="00AE77A6">
        <w:rPr>
          <w:rFonts w:eastAsia="Times New Roman" w:cs="Calibri"/>
          <w:szCs w:val="24"/>
          <w:lang w:val="en-GB"/>
        </w:rPr>
        <w:t xml:space="preserve">uality”, also ensue from the Concept.   Each year, the Ministry of Regional Development assesses in detail the progress being made to reach the various targets and objectives under the Concept and submits </w:t>
      </w:r>
      <w:r w:rsidR="00012B5D">
        <w:rPr>
          <w:rFonts w:eastAsia="Times New Roman" w:cs="Calibri"/>
          <w:szCs w:val="24"/>
          <w:lang w:val="en-GB"/>
        </w:rPr>
        <w:t>p</w:t>
      </w:r>
      <w:r w:rsidRPr="00AE77A6">
        <w:rPr>
          <w:rFonts w:eastAsia="Times New Roman" w:cs="Calibri"/>
          <w:szCs w:val="24"/>
          <w:lang w:val="en-GB"/>
        </w:rPr>
        <w:t xml:space="preserve">rogress </w:t>
      </w:r>
      <w:r w:rsidR="00012B5D">
        <w:rPr>
          <w:rFonts w:eastAsia="Times New Roman" w:cs="Calibri"/>
          <w:szCs w:val="24"/>
          <w:lang w:val="en-GB"/>
        </w:rPr>
        <w:t>r</w:t>
      </w:r>
      <w:r w:rsidRPr="00AE77A6">
        <w:rPr>
          <w:rFonts w:eastAsia="Times New Roman" w:cs="Calibri"/>
          <w:szCs w:val="24"/>
          <w:lang w:val="en-GB"/>
        </w:rPr>
        <w:t xml:space="preserve">eports to the Czech </w:t>
      </w:r>
      <w:r w:rsidR="00012B5D">
        <w:rPr>
          <w:rFonts w:eastAsia="Times New Roman" w:cs="Calibri"/>
          <w:szCs w:val="24"/>
          <w:lang w:val="en-GB"/>
        </w:rPr>
        <w:t>G</w:t>
      </w:r>
      <w:r w:rsidRPr="00AE77A6">
        <w:rPr>
          <w:rFonts w:eastAsia="Times New Roman" w:cs="Calibri"/>
          <w:szCs w:val="24"/>
          <w:lang w:val="en-GB"/>
        </w:rPr>
        <w:t xml:space="preserve">overnment.  In terms of the focus on energy savings, the </w:t>
      </w:r>
      <w:r w:rsidR="00012B5D">
        <w:rPr>
          <w:rFonts w:eastAsia="Times New Roman" w:cs="Calibri"/>
          <w:szCs w:val="24"/>
          <w:lang w:val="en-GB"/>
        </w:rPr>
        <w:t>r</w:t>
      </w:r>
      <w:r w:rsidRPr="00AE77A6">
        <w:rPr>
          <w:rFonts w:eastAsia="Times New Roman" w:cs="Calibri"/>
          <w:szCs w:val="24"/>
          <w:lang w:val="en-GB"/>
        </w:rPr>
        <w:t xml:space="preserve">eports assess in particular the priorities in the following areas: </w:t>
      </w:r>
    </w:p>
    <w:p w:rsidR="0095691A" w:rsidRPr="00AE77A6" w:rsidRDefault="009B2E6C">
      <w:pPr>
        <w:pStyle w:val="Odstavecseseznamem"/>
        <w:numPr>
          <w:ilvl w:val="0"/>
          <w:numId w:val="8"/>
        </w:numPr>
        <w:autoSpaceDE w:val="0"/>
        <w:autoSpaceDN w:val="0"/>
        <w:adjustRightInd w:val="0"/>
        <w:ind w:left="567" w:hanging="567"/>
        <w:rPr>
          <w:rFonts w:eastAsia="Times New Roman" w:cs="Calibri"/>
          <w:szCs w:val="24"/>
          <w:lang w:val="en-GB"/>
        </w:rPr>
      </w:pPr>
      <w:r w:rsidRPr="00AE77A6">
        <w:rPr>
          <w:rFonts w:eastAsia="Times New Roman" w:cs="Calibri"/>
          <w:szCs w:val="24"/>
          <w:lang w:val="en-GB"/>
        </w:rPr>
        <w:t>Reducing housing-related costs</w:t>
      </w:r>
    </w:p>
    <w:p w:rsidR="0095691A" w:rsidRPr="00AE77A6" w:rsidRDefault="009B2E6C">
      <w:pPr>
        <w:pStyle w:val="Odstavecseseznamem"/>
        <w:numPr>
          <w:ilvl w:val="0"/>
          <w:numId w:val="8"/>
        </w:numPr>
        <w:autoSpaceDE w:val="0"/>
        <w:autoSpaceDN w:val="0"/>
        <w:adjustRightInd w:val="0"/>
        <w:ind w:left="567" w:hanging="567"/>
        <w:rPr>
          <w:rFonts w:eastAsia="Times New Roman" w:cs="Calibri"/>
          <w:szCs w:val="24"/>
          <w:lang w:val="en-GB"/>
        </w:rPr>
      </w:pPr>
      <w:r w:rsidRPr="00AE77A6">
        <w:rPr>
          <w:rFonts w:eastAsia="Times New Roman" w:cs="Calibri"/>
          <w:szCs w:val="24"/>
          <w:lang w:val="en-GB"/>
        </w:rPr>
        <w:t>Securing a stable portfolio of financing resources</w:t>
      </w:r>
    </w:p>
    <w:p w:rsidR="0095691A" w:rsidRPr="00AE77A6" w:rsidRDefault="009B2E6C">
      <w:pPr>
        <w:pStyle w:val="Odstavecseseznamem"/>
        <w:numPr>
          <w:ilvl w:val="0"/>
          <w:numId w:val="8"/>
        </w:numPr>
        <w:autoSpaceDE w:val="0"/>
        <w:autoSpaceDN w:val="0"/>
        <w:adjustRightInd w:val="0"/>
        <w:ind w:left="567" w:hanging="567"/>
        <w:rPr>
          <w:rFonts w:eastAsia="Times New Roman" w:cs="Calibri"/>
          <w:szCs w:val="24"/>
          <w:lang w:val="en-GB"/>
        </w:rPr>
      </w:pPr>
      <w:r w:rsidRPr="00AE77A6">
        <w:rPr>
          <w:rFonts w:eastAsia="Times New Roman" w:cs="Calibri"/>
          <w:szCs w:val="24"/>
          <w:lang w:val="en-GB"/>
        </w:rPr>
        <w:t>Reducing the financial burden of the system</w:t>
      </w:r>
    </w:p>
    <w:p w:rsidR="0095691A" w:rsidRPr="00AE77A6" w:rsidRDefault="009B2E6C">
      <w:pPr>
        <w:pStyle w:val="Odstavecseseznamem"/>
        <w:numPr>
          <w:ilvl w:val="0"/>
          <w:numId w:val="8"/>
        </w:numPr>
        <w:autoSpaceDE w:val="0"/>
        <w:autoSpaceDN w:val="0"/>
        <w:adjustRightInd w:val="0"/>
        <w:ind w:left="567" w:hanging="567"/>
        <w:rPr>
          <w:rFonts w:eastAsia="Times New Roman" w:cs="Calibri"/>
          <w:szCs w:val="24"/>
          <w:lang w:val="en-GB"/>
        </w:rPr>
      </w:pPr>
      <w:r w:rsidRPr="00AE77A6">
        <w:rPr>
          <w:rFonts w:eastAsia="Times New Roman" w:cs="Calibri"/>
          <w:szCs w:val="24"/>
          <w:lang w:val="en-GB"/>
        </w:rPr>
        <w:t xml:space="preserve">Reducing the investment debt.  </w:t>
      </w:r>
    </w:p>
    <w:p w:rsidR="0095691A" w:rsidRDefault="0095691A">
      <w:pPr>
        <w:pStyle w:val="Odstavecseseznamem"/>
        <w:autoSpaceDE w:val="0"/>
        <w:autoSpaceDN w:val="0"/>
        <w:adjustRightInd w:val="0"/>
        <w:ind w:left="567"/>
        <w:rPr>
          <w:rFonts w:eastAsia="Times New Roman" w:cs="Calibri"/>
          <w:szCs w:val="24"/>
          <w:lang w:val="en-GB"/>
        </w:rPr>
      </w:pPr>
    </w:p>
    <w:p w:rsidR="00012B5D" w:rsidRPr="00AE77A6" w:rsidRDefault="00012B5D">
      <w:pPr>
        <w:pStyle w:val="Odstavecseseznamem"/>
        <w:autoSpaceDE w:val="0"/>
        <w:autoSpaceDN w:val="0"/>
        <w:adjustRightInd w:val="0"/>
        <w:ind w:left="567"/>
        <w:rPr>
          <w:rFonts w:eastAsia="Times New Roman" w:cs="Calibri"/>
          <w:szCs w:val="24"/>
          <w:lang w:val="en-GB"/>
        </w:rPr>
      </w:pPr>
    </w:p>
    <w:p w:rsidR="0095691A" w:rsidRPr="00AE77A6" w:rsidRDefault="009B2E6C">
      <w:pPr>
        <w:pStyle w:val="Odstavecseseznamem"/>
        <w:numPr>
          <w:ilvl w:val="0"/>
          <w:numId w:val="1"/>
        </w:numPr>
        <w:ind w:left="284" w:hanging="284"/>
        <w:jc w:val="center"/>
        <w:rPr>
          <w:rFonts w:cs="Calibri"/>
          <w:b/>
          <w:caps/>
          <w:lang w:val="en-GB"/>
        </w:rPr>
      </w:pPr>
      <w:r w:rsidRPr="00AE77A6">
        <w:rPr>
          <w:rFonts w:cs="Calibri"/>
          <w:b/>
          <w:caps/>
          <w:lang w:val="en-GB"/>
        </w:rPr>
        <w:t>Subsidy programmes</w:t>
      </w:r>
    </w:p>
    <w:p w:rsidR="0095691A" w:rsidRPr="00AE77A6" w:rsidRDefault="009B2E6C">
      <w:pPr>
        <w:spacing w:before="0" w:after="200" w:line="240" w:lineRule="auto"/>
        <w:jc w:val="left"/>
        <w:rPr>
          <w:szCs w:val="24"/>
          <w:lang w:val="en-GB"/>
        </w:rPr>
      </w:pPr>
      <w:r w:rsidRPr="00AE77A6">
        <w:rPr>
          <w:szCs w:val="24"/>
          <w:lang w:val="en-GB"/>
        </w:rPr>
        <w:t>The following programmes were audited:</w:t>
      </w:r>
    </w:p>
    <w:p w:rsidR="0095691A" w:rsidRPr="00012B5D" w:rsidRDefault="009B2E6C" w:rsidP="00012B5D">
      <w:pPr>
        <w:pStyle w:val="Odstavecseseznamem"/>
        <w:numPr>
          <w:ilvl w:val="0"/>
          <w:numId w:val="33"/>
        </w:numPr>
        <w:spacing w:before="0" w:after="200" w:line="240" w:lineRule="auto"/>
        <w:jc w:val="left"/>
        <w:rPr>
          <w:szCs w:val="24"/>
          <w:lang w:val="en-GB"/>
        </w:rPr>
      </w:pPr>
      <w:r w:rsidRPr="00012B5D">
        <w:rPr>
          <w:szCs w:val="24"/>
          <w:lang w:val="en-GB"/>
        </w:rPr>
        <w:t xml:space="preserve">Operational Programme </w:t>
      </w:r>
      <w:r w:rsidRPr="00012B5D">
        <w:rPr>
          <w:i/>
          <w:szCs w:val="24"/>
          <w:lang w:val="en-GB"/>
        </w:rPr>
        <w:t>Enterprise and Innovation</w:t>
      </w:r>
      <w:r w:rsidRPr="00012B5D">
        <w:rPr>
          <w:szCs w:val="24"/>
          <w:lang w:val="en-GB"/>
        </w:rPr>
        <w:t xml:space="preserve"> (</w:t>
      </w:r>
      <w:proofErr w:type="spellStart"/>
      <w:r w:rsidRPr="00012B5D">
        <w:rPr>
          <w:szCs w:val="24"/>
          <w:lang w:val="en-GB"/>
        </w:rPr>
        <w:t>MoIT</w:t>
      </w:r>
      <w:proofErr w:type="spellEnd"/>
      <w:r w:rsidRPr="00012B5D">
        <w:rPr>
          <w:szCs w:val="24"/>
          <w:lang w:val="en-GB"/>
        </w:rPr>
        <w:t>)</w:t>
      </w:r>
    </w:p>
    <w:p w:rsidR="0095691A" w:rsidRPr="00012B5D" w:rsidRDefault="009B2E6C" w:rsidP="00012B5D">
      <w:pPr>
        <w:pStyle w:val="Odstavecseseznamem"/>
        <w:numPr>
          <w:ilvl w:val="0"/>
          <w:numId w:val="33"/>
        </w:numPr>
        <w:spacing w:before="0" w:after="200" w:line="240" w:lineRule="auto"/>
        <w:jc w:val="left"/>
        <w:rPr>
          <w:szCs w:val="24"/>
          <w:lang w:val="en-GB"/>
        </w:rPr>
      </w:pPr>
      <w:r w:rsidRPr="00012B5D">
        <w:rPr>
          <w:rFonts w:cs="Calibri"/>
          <w:lang w:val="en-GB"/>
        </w:rPr>
        <w:t xml:space="preserve">Operational Programme </w:t>
      </w:r>
      <w:r w:rsidRPr="00012B5D">
        <w:rPr>
          <w:rFonts w:cs="Calibri"/>
          <w:i/>
          <w:lang w:val="en-GB"/>
        </w:rPr>
        <w:t>Enterprise and Innovation for Competitiveness</w:t>
      </w:r>
      <w:r w:rsidRPr="00012B5D">
        <w:rPr>
          <w:rFonts w:cs="Calibri"/>
          <w:lang w:val="en-GB"/>
        </w:rPr>
        <w:t xml:space="preserve"> (</w:t>
      </w:r>
      <w:proofErr w:type="spellStart"/>
      <w:r w:rsidRPr="00012B5D">
        <w:rPr>
          <w:rFonts w:cs="Calibri"/>
          <w:lang w:val="en-GB"/>
        </w:rPr>
        <w:t>MoIT</w:t>
      </w:r>
      <w:proofErr w:type="spellEnd"/>
      <w:r w:rsidRPr="00012B5D">
        <w:rPr>
          <w:rFonts w:cs="Calibri"/>
          <w:lang w:val="en-GB"/>
        </w:rPr>
        <w:t>)</w:t>
      </w:r>
    </w:p>
    <w:p w:rsidR="0095691A" w:rsidRPr="00012B5D" w:rsidRDefault="009B2E6C" w:rsidP="00012B5D">
      <w:pPr>
        <w:pStyle w:val="Odstavecseseznamem"/>
        <w:numPr>
          <w:ilvl w:val="0"/>
          <w:numId w:val="33"/>
        </w:numPr>
        <w:spacing w:before="0" w:after="200" w:line="240" w:lineRule="auto"/>
        <w:jc w:val="left"/>
        <w:rPr>
          <w:szCs w:val="24"/>
          <w:lang w:val="en-GB"/>
        </w:rPr>
      </w:pPr>
      <w:r w:rsidRPr="00012B5D">
        <w:rPr>
          <w:i/>
          <w:szCs w:val="24"/>
          <w:lang w:val="en-GB"/>
        </w:rPr>
        <w:t>Green Savings</w:t>
      </w:r>
      <w:r w:rsidRPr="00012B5D">
        <w:rPr>
          <w:szCs w:val="24"/>
          <w:lang w:val="en-GB"/>
        </w:rPr>
        <w:t xml:space="preserve"> and </w:t>
      </w:r>
      <w:r w:rsidRPr="00B055D7">
        <w:rPr>
          <w:i/>
          <w:szCs w:val="24"/>
          <w:lang w:val="en-GB"/>
        </w:rPr>
        <w:t>New Green Savings</w:t>
      </w:r>
      <w:r w:rsidRPr="00012B5D">
        <w:rPr>
          <w:szCs w:val="24"/>
          <w:lang w:val="en-GB"/>
        </w:rPr>
        <w:t xml:space="preserve"> Programme (</w:t>
      </w:r>
      <w:proofErr w:type="spellStart"/>
      <w:r w:rsidRPr="00012B5D">
        <w:rPr>
          <w:szCs w:val="24"/>
          <w:lang w:val="en-GB"/>
        </w:rPr>
        <w:t>MoE</w:t>
      </w:r>
      <w:proofErr w:type="spellEnd"/>
      <w:r w:rsidRPr="00012B5D">
        <w:rPr>
          <w:szCs w:val="24"/>
          <w:lang w:val="en-GB"/>
        </w:rPr>
        <w:t>)</w:t>
      </w:r>
    </w:p>
    <w:p w:rsidR="0095691A" w:rsidRPr="00012B5D" w:rsidRDefault="009B2E6C" w:rsidP="00012B5D">
      <w:pPr>
        <w:pStyle w:val="Odstavecseseznamem"/>
        <w:numPr>
          <w:ilvl w:val="0"/>
          <w:numId w:val="33"/>
        </w:numPr>
        <w:spacing w:before="0" w:after="200" w:line="240" w:lineRule="auto"/>
        <w:jc w:val="left"/>
        <w:rPr>
          <w:szCs w:val="24"/>
          <w:lang w:val="en-GB"/>
        </w:rPr>
      </w:pPr>
      <w:r w:rsidRPr="00012B5D">
        <w:rPr>
          <w:szCs w:val="24"/>
          <w:lang w:val="en-GB"/>
        </w:rPr>
        <w:t xml:space="preserve">Operational Programme </w:t>
      </w:r>
      <w:r w:rsidRPr="00B055D7">
        <w:rPr>
          <w:i/>
          <w:szCs w:val="24"/>
          <w:lang w:val="en-GB"/>
        </w:rPr>
        <w:t>Environment</w:t>
      </w:r>
      <w:r w:rsidRPr="00012B5D">
        <w:rPr>
          <w:szCs w:val="24"/>
          <w:lang w:val="en-GB"/>
        </w:rPr>
        <w:t xml:space="preserve"> (</w:t>
      </w:r>
      <w:proofErr w:type="spellStart"/>
      <w:r w:rsidRPr="00012B5D">
        <w:rPr>
          <w:szCs w:val="24"/>
          <w:lang w:val="en-GB"/>
        </w:rPr>
        <w:t>MoE</w:t>
      </w:r>
      <w:proofErr w:type="spellEnd"/>
      <w:r w:rsidRPr="00012B5D">
        <w:rPr>
          <w:szCs w:val="24"/>
          <w:lang w:val="en-GB"/>
        </w:rPr>
        <w:t>, SEF)</w:t>
      </w:r>
    </w:p>
    <w:p w:rsidR="0095691A" w:rsidRPr="00012B5D" w:rsidRDefault="009B2E6C" w:rsidP="00012B5D">
      <w:pPr>
        <w:pStyle w:val="Odstavecseseznamem"/>
        <w:numPr>
          <w:ilvl w:val="0"/>
          <w:numId w:val="33"/>
        </w:numPr>
        <w:spacing w:before="0" w:after="200" w:line="240" w:lineRule="auto"/>
        <w:jc w:val="left"/>
        <w:rPr>
          <w:szCs w:val="24"/>
          <w:lang w:val="en-GB"/>
        </w:rPr>
      </w:pPr>
      <w:r w:rsidRPr="00B055D7">
        <w:rPr>
          <w:i/>
          <w:szCs w:val="24"/>
          <w:lang w:val="en-GB"/>
        </w:rPr>
        <w:t>Support for the Construction of Subsidised Housing</w:t>
      </w:r>
      <w:r w:rsidRPr="00012B5D">
        <w:rPr>
          <w:szCs w:val="24"/>
          <w:lang w:val="en-GB"/>
        </w:rPr>
        <w:t xml:space="preserve"> (</w:t>
      </w:r>
      <w:proofErr w:type="spellStart"/>
      <w:r w:rsidRPr="00012B5D">
        <w:rPr>
          <w:szCs w:val="24"/>
          <w:lang w:val="en-GB"/>
        </w:rPr>
        <w:t>MoRD</w:t>
      </w:r>
      <w:proofErr w:type="spellEnd"/>
      <w:r w:rsidRPr="00012B5D">
        <w:rPr>
          <w:szCs w:val="24"/>
          <w:lang w:val="en-GB"/>
        </w:rPr>
        <w:t xml:space="preserve">) </w:t>
      </w:r>
    </w:p>
    <w:p w:rsidR="0095691A" w:rsidRPr="00012B5D" w:rsidRDefault="009B2E6C" w:rsidP="00012B5D">
      <w:pPr>
        <w:pStyle w:val="Odstavecseseznamem"/>
        <w:numPr>
          <w:ilvl w:val="0"/>
          <w:numId w:val="33"/>
        </w:numPr>
        <w:spacing w:before="0" w:after="200" w:line="240" w:lineRule="auto"/>
        <w:jc w:val="left"/>
        <w:rPr>
          <w:szCs w:val="24"/>
          <w:lang w:val="en-GB"/>
        </w:rPr>
      </w:pPr>
      <w:r w:rsidRPr="00B055D7">
        <w:rPr>
          <w:i/>
          <w:szCs w:val="24"/>
          <w:lang w:val="en-GB"/>
        </w:rPr>
        <w:t>Construction of rental housing</w:t>
      </w:r>
      <w:r w:rsidRPr="00012B5D">
        <w:rPr>
          <w:szCs w:val="24"/>
          <w:lang w:val="en-GB"/>
        </w:rPr>
        <w:t xml:space="preserve"> (SHDF)</w:t>
      </w:r>
    </w:p>
    <w:p w:rsidR="0095691A" w:rsidRPr="00012B5D" w:rsidRDefault="009B2E6C" w:rsidP="00012B5D">
      <w:pPr>
        <w:pStyle w:val="Odstavecseseznamem"/>
        <w:numPr>
          <w:ilvl w:val="0"/>
          <w:numId w:val="33"/>
        </w:numPr>
        <w:spacing w:before="0" w:after="200" w:line="240" w:lineRule="auto"/>
        <w:jc w:val="left"/>
        <w:rPr>
          <w:szCs w:val="24"/>
          <w:lang w:val="en-GB"/>
        </w:rPr>
      </w:pPr>
      <w:r w:rsidRPr="00B055D7">
        <w:rPr>
          <w:i/>
          <w:szCs w:val="24"/>
          <w:lang w:val="en-GB"/>
        </w:rPr>
        <w:t>Panel 2013+</w:t>
      </w:r>
      <w:r w:rsidRPr="00012B5D">
        <w:rPr>
          <w:szCs w:val="24"/>
          <w:lang w:val="en-GB"/>
        </w:rPr>
        <w:t xml:space="preserve"> (SHDF)</w:t>
      </w:r>
    </w:p>
    <w:p w:rsidR="0095691A" w:rsidRPr="00012B5D" w:rsidRDefault="009B2E6C" w:rsidP="00012B5D">
      <w:pPr>
        <w:pStyle w:val="Odstavecseseznamem"/>
        <w:numPr>
          <w:ilvl w:val="0"/>
          <w:numId w:val="33"/>
        </w:numPr>
        <w:spacing w:before="0" w:after="0" w:line="240" w:lineRule="auto"/>
        <w:jc w:val="left"/>
        <w:rPr>
          <w:szCs w:val="24"/>
          <w:lang w:val="en-GB"/>
        </w:rPr>
      </w:pPr>
      <w:r w:rsidRPr="00B055D7">
        <w:rPr>
          <w:i/>
          <w:szCs w:val="24"/>
          <w:lang w:val="en-GB"/>
        </w:rPr>
        <w:t>Integrated Operational Programme</w:t>
      </w:r>
      <w:r w:rsidRPr="00012B5D">
        <w:rPr>
          <w:szCs w:val="24"/>
          <w:lang w:val="en-GB"/>
        </w:rPr>
        <w:t xml:space="preserve"> - JESSICA financial instrument (SHDF)</w:t>
      </w:r>
    </w:p>
    <w:p w:rsidR="0095691A" w:rsidRPr="00AE77A6" w:rsidRDefault="009B2E6C">
      <w:pPr>
        <w:pStyle w:val="Odstavecseseznamem"/>
        <w:ind w:left="284"/>
        <w:jc w:val="center"/>
        <w:rPr>
          <w:rFonts w:cs="Calibri"/>
          <w:b/>
          <w:caps/>
          <w:lang w:val="en-GB"/>
        </w:rPr>
      </w:pPr>
      <w:r w:rsidRPr="00AE77A6">
        <w:rPr>
          <w:rFonts w:cs="Calibri"/>
          <w:b/>
          <w:caps/>
          <w:lang w:val="en-GB"/>
        </w:rPr>
        <w:t xml:space="preserve"> </w:t>
      </w:r>
    </w:p>
    <w:bookmarkEnd w:id="3"/>
    <w:bookmarkEnd w:id="4"/>
    <w:p w:rsidR="0095691A" w:rsidRPr="00AE77A6" w:rsidRDefault="009B2E6C">
      <w:pPr>
        <w:pStyle w:val="pracovn3"/>
        <w:spacing w:after="120" w:line="276" w:lineRule="auto"/>
        <w:rPr>
          <w:rFonts w:ascii="Calibri" w:hAnsi="Calibri" w:cs="Calibri"/>
          <w:color w:val="auto"/>
          <w:lang w:val="en-GB"/>
        </w:rPr>
      </w:pPr>
      <w:r w:rsidRPr="00AE77A6">
        <w:rPr>
          <w:rFonts w:ascii="Calibri" w:hAnsi="Calibri" w:cs="Calibri"/>
          <w:color w:val="auto"/>
          <w:lang w:val="en-GB"/>
        </w:rPr>
        <w:t>Ministry of Industry and Trade</w:t>
      </w:r>
    </w:p>
    <w:p w:rsidR="00AB0FD6" w:rsidRPr="00AE77A6" w:rsidRDefault="009B2E6C" w:rsidP="00AB0FD6">
      <w:pPr>
        <w:pStyle w:val="pracovn3"/>
        <w:spacing w:after="120" w:line="276" w:lineRule="auto"/>
        <w:rPr>
          <w:rFonts w:ascii="Calibri" w:eastAsia="Calibri" w:hAnsi="Calibri" w:cs="Calibri"/>
          <w:b w:val="0"/>
          <w:color w:val="auto"/>
          <w:lang w:val="en-GB" w:eastAsia="en-US"/>
        </w:rPr>
      </w:pPr>
      <w:r w:rsidRPr="00AE77A6">
        <w:rPr>
          <w:rFonts w:ascii="Calibri" w:eastAsia="Calibri" w:hAnsi="Calibri" w:cs="Calibri"/>
          <w:b w:val="0"/>
          <w:color w:val="auto"/>
          <w:lang w:val="en-GB" w:eastAsia="en-US"/>
        </w:rPr>
        <w:t xml:space="preserve">The Ministry of Industry and Trade drew up the Operational Programme </w:t>
      </w:r>
      <w:r w:rsidRPr="004A031A">
        <w:rPr>
          <w:rFonts w:ascii="Calibri" w:eastAsia="Calibri" w:hAnsi="Calibri" w:cs="Calibri"/>
          <w:b w:val="0"/>
          <w:i/>
          <w:color w:val="auto"/>
          <w:lang w:val="en-GB" w:eastAsia="en-US"/>
        </w:rPr>
        <w:t>Enterprise and Innovation</w:t>
      </w:r>
      <w:r w:rsidRPr="00AE77A6">
        <w:rPr>
          <w:rFonts w:ascii="Calibri" w:eastAsia="Calibri" w:hAnsi="Calibri" w:cs="Calibri"/>
          <w:b w:val="0"/>
          <w:color w:val="auto"/>
          <w:lang w:val="en-GB" w:eastAsia="en-US"/>
        </w:rPr>
        <w:t xml:space="preserve"> </w:t>
      </w:r>
      <w:proofErr w:type="gramStart"/>
      <w:r w:rsidR="00EE6575">
        <w:rPr>
          <w:rFonts w:ascii="Calibri" w:eastAsia="Calibri" w:hAnsi="Calibri" w:cs="Calibri"/>
          <w:b w:val="0"/>
          <w:color w:val="auto"/>
          <w:lang w:val="en-GB" w:eastAsia="en-US"/>
        </w:rPr>
        <w:t>(”OPEI</w:t>
      </w:r>
      <w:proofErr w:type="gramEnd"/>
      <w:r w:rsidR="00EE6575">
        <w:rPr>
          <w:rFonts w:ascii="Calibri" w:eastAsia="Calibri" w:hAnsi="Calibri" w:cs="Calibri"/>
          <w:b w:val="0"/>
          <w:color w:val="auto"/>
          <w:lang w:val="en-GB" w:eastAsia="en-US"/>
        </w:rPr>
        <w:t xml:space="preserve">”) </w:t>
      </w:r>
      <w:r w:rsidRPr="00AE77A6">
        <w:rPr>
          <w:rFonts w:ascii="Calibri" w:eastAsia="Calibri" w:hAnsi="Calibri" w:cs="Calibri"/>
          <w:b w:val="0"/>
          <w:color w:val="auto"/>
          <w:lang w:val="en-GB" w:eastAsia="en-US"/>
        </w:rPr>
        <w:t xml:space="preserve">for the 2007-2013 period. In accordance with </w:t>
      </w:r>
      <w:r w:rsidR="004A031A">
        <w:rPr>
          <w:rFonts w:ascii="Calibri" w:eastAsia="Calibri" w:hAnsi="Calibri" w:cs="Calibri"/>
          <w:b w:val="0"/>
          <w:color w:val="auto"/>
          <w:lang w:val="en-GB" w:eastAsia="en-US"/>
        </w:rPr>
        <w:t xml:space="preserve">the </w:t>
      </w:r>
      <w:r w:rsidRPr="00AE77A6">
        <w:rPr>
          <w:rFonts w:ascii="Calibri" w:eastAsia="Calibri" w:hAnsi="Calibri" w:cs="Calibri"/>
          <w:b w:val="0"/>
          <w:color w:val="auto"/>
          <w:lang w:val="en-GB" w:eastAsia="en-US"/>
        </w:rPr>
        <w:t>Resolution No.</w:t>
      </w:r>
      <w:r w:rsidR="004A031A">
        <w:rPr>
          <w:rFonts w:ascii="Calibri" w:eastAsia="Calibri" w:hAnsi="Calibri" w:cs="Calibri"/>
          <w:b w:val="0"/>
          <w:color w:val="auto"/>
          <w:lang w:val="en-GB" w:eastAsia="en-US"/>
        </w:rPr>
        <w:t> </w:t>
      </w:r>
      <w:r w:rsidRPr="00AE77A6">
        <w:rPr>
          <w:rFonts w:ascii="Calibri" w:eastAsia="Calibri" w:hAnsi="Calibri" w:cs="Calibri"/>
          <w:b w:val="0"/>
          <w:color w:val="auto"/>
          <w:lang w:val="en-GB" w:eastAsia="en-US"/>
        </w:rPr>
        <w:t xml:space="preserve">175 of </w:t>
      </w:r>
      <w:r w:rsidRPr="00AE77A6">
        <w:rPr>
          <w:rFonts w:ascii="Calibri" w:eastAsia="Calibri" w:hAnsi="Calibri" w:cs="Calibri"/>
          <w:b w:val="0"/>
          <w:color w:val="auto"/>
          <w:lang w:val="en-GB" w:eastAsia="en-US"/>
        </w:rPr>
        <w:lastRenderedPageBreak/>
        <w:t xml:space="preserve">the Government of the Czech Republic of 22 February 2006, the </w:t>
      </w:r>
      <w:proofErr w:type="spellStart"/>
      <w:r w:rsidRPr="00AE77A6">
        <w:rPr>
          <w:rFonts w:ascii="Calibri" w:eastAsia="Calibri" w:hAnsi="Calibri" w:cs="Calibri"/>
          <w:b w:val="0"/>
          <w:color w:val="auto"/>
          <w:lang w:val="en-GB" w:eastAsia="en-US"/>
        </w:rPr>
        <w:t>M</w:t>
      </w:r>
      <w:r w:rsidR="004A031A">
        <w:rPr>
          <w:rFonts w:ascii="Calibri" w:eastAsia="Calibri" w:hAnsi="Calibri" w:cs="Calibri"/>
          <w:b w:val="0"/>
          <w:color w:val="auto"/>
          <w:lang w:val="en-GB" w:eastAsia="en-US"/>
        </w:rPr>
        <w:t>oIT</w:t>
      </w:r>
      <w:proofErr w:type="spellEnd"/>
      <w:r w:rsidRPr="00AE77A6">
        <w:rPr>
          <w:rFonts w:ascii="Calibri" w:eastAsia="Calibri" w:hAnsi="Calibri" w:cs="Calibri"/>
          <w:b w:val="0"/>
          <w:color w:val="auto"/>
          <w:lang w:val="en-GB" w:eastAsia="en-US"/>
        </w:rPr>
        <w:t xml:space="preserve"> </w:t>
      </w:r>
      <w:r w:rsidR="004A031A">
        <w:rPr>
          <w:rFonts w:ascii="Calibri" w:eastAsia="Calibri" w:hAnsi="Calibri" w:cs="Calibri"/>
          <w:b w:val="0"/>
          <w:color w:val="auto"/>
          <w:lang w:val="en-GB" w:eastAsia="en-US"/>
        </w:rPr>
        <w:t>hol</w:t>
      </w:r>
      <w:r w:rsidR="00EE6575">
        <w:rPr>
          <w:rFonts w:ascii="Calibri" w:eastAsia="Calibri" w:hAnsi="Calibri" w:cs="Calibri"/>
          <w:b w:val="0"/>
          <w:color w:val="auto"/>
          <w:lang w:val="en-GB" w:eastAsia="en-US"/>
        </w:rPr>
        <w:t>d</w:t>
      </w:r>
      <w:r w:rsidR="004A031A">
        <w:rPr>
          <w:rFonts w:ascii="Calibri" w:eastAsia="Calibri" w:hAnsi="Calibri" w:cs="Calibri"/>
          <w:b w:val="0"/>
          <w:color w:val="auto"/>
          <w:lang w:val="en-GB" w:eastAsia="en-US"/>
        </w:rPr>
        <w:t>s the position of</w:t>
      </w:r>
      <w:r w:rsidRPr="00AE77A6">
        <w:rPr>
          <w:rFonts w:ascii="Calibri" w:eastAsia="Calibri" w:hAnsi="Calibri" w:cs="Calibri"/>
          <w:b w:val="0"/>
          <w:color w:val="auto"/>
          <w:lang w:val="en-GB" w:eastAsia="en-US"/>
        </w:rPr>
        <w:t xml:space="preserve"> the Managing Authority of the OPEI.</w:t>
      </w:r>
    </w:p>
    <w:p w:rsidR="00AB0FD6" w:rsidRDefault="009B2E6C" w:rsidP="001A2E03">
      <w:pPr>
        <w:spacing w:after="0"/>
        <w:rPr>
          <w:rFonts w:cs="Calibri"/>
          <w:lang w:val="en-GB"/>
        </w:rPr>
      </w:pPr>
      <w:r w:rsidRPr="00AE77A6">
        <w:rPr>
          <w:rFonts w:cs="Calibri"/>
          <w:lang w:val="en-GB"/>
        </w:rPr>
        <w:t xml:space="preserve">The topic of energy savings is the content of </w:t>
      </w:r>
      <w:r w:rsidR="00AB0FD6" w:rsidRPr="00AE77A6">
        <w:rPr>
          <w:rFonts w:cs="Calibri"/>
          <w:lang w:val="en-GB"/>
        </w:rPr>
        <w:t>Priority Axis</w:t>
      </w:r>
      <w:r w:rsidRPr="00AE77A6">
        <w:rPr>
          <w:rFonts w:cs="Calibri"/>
          <w:lang w:val="en-GB"/>
        </w:rPr>
        <w:t xml:space="preserve"> 3 of the OPEI. Energy savings are part of Area </w:t>
      </w:r>
      <w:r w:rsidR="005D755E">
        <w:rPr>
          <w:rFonts w:cs="Calibri"/>
          <w:lang w:val="en-GB"/>
        </w:rPr>
        <w:t xml:space="preserve">of </w:t>
      </w:r>
      <w:r w:rsidR="005D755E" w:rsidRPr="00AE77A6">
        <w:rPr>
          <w:rFonts w:cs="Calibri"/>
          <w:lang w:val="en-GB"/>
        </w:rPr>
        <w:t xml:space="preserve">Intervention </w:t>
      </w:r>
      <w:r w:rsidRPr="00AE77A6">
        <w:rPr>
          <w:rFonts w:cs="Calibri"/>
          <w:lang w:val="en-GB"/>
        </w:rPr>
        <w:t xml:space="preserve">3.1 </w:t>
      </w:r>
      <w:r w:rsidRPr="00AE77A6">
        <w:rPr>
          <w:rFonts w:cs="Calibri"/>
          <w:i/>
          <w:iCs/>
          <w:lang w:val="en-GB"/>
        </w:rPr>
        <w:t>“Energy savings and renewable energy sources”</w:t>
      </w:r>
      <w:r w:rsidRPr="00AE77A6">
        <w:rPr>
          <w:rFonts w:cs="Calibri"/>
          <w:lang w:val="en-GB"/>
        </w:rPr>
        <w:t xml:space="preserve">, which the </w:t>
      </w:r>
      <w:proofErr w:type="spellStart"/>
      <w:r w:rsidRPr="00AE77A6">
        <w:rPr>
          <w:rFonts w:cs="Calibri"/>
          <w:lang w:val="en-GB"/>
        </w:rPr>
        <w:t>MoIT</w:t>
      </w:r>
      <w:proofErr w:type="spellEnd"/>
      <w:r w:rsidRPr="00AE77A6">
        <w:rPr>
          <w:rFonts w:cs="Calibri"/>
          <w:lang w:val="en-GB"/>
        </w:rPr>
        <w:t xml:space="preserve"> calls the ECO-ENERGY programme. The aim of this programme is to stimulate through subsidies or subordinated loans</w:t>
      </w:r>
      <w:r w:rsidR="00AB0FD6" w:rsidRPr="00AE77A6">
        <w:rPr>
          <w:rStyle w:val="Znakapoznpodarou"/>
          <w:rFonts w:cs="Calibri"/>
          <w:lang w:val="en-GB"/>
        </w:rPr>
        <w:footnoteReference w:id="8"/>
      </w:r>
      <w:r w:rsidRPr="00AE77A6">
        <w:rPr>
          <w:rFonts w:cs="Calibri"/>
          <w:lang w:val="en-GB"/>
        </w:rPr>
        <w:t xml:space="preserve"> with a financial contribution the activities of entrepreneurs, especially SMEs, in efforts to improve the energy performance of buildings, reduce consumption of primary energy sources</w:t>
      </w:r>
      <w:r w:rsidR="001A2E03">
        <w:rPr>
          <w:rFonts w:cs="Calibri"/>
          <w:lang w:val="en-GB"/>
        </w:rPr>
        <w:t>,</w:t>
      </w:r>
      <w:r w:rsidRPr="00AE77A6">
        <w:rPr>
          <w:rFonts w:cs="Calibri"/>
          <w:lang w:val="en-GB"/>
        </w:rPr>
        <w:t xml:space="preserve"> and increase the use of renewable and secondary resources and their sustainable growth. </w:t>
      </w:r>
    </w:p>
    <w:p w:rsidR="001A2E03" w:rsidRDefault="001A2E03" w:rsidP="001A2E03">
      <w:pPr>
        <w:spacing w:after="0"/>
        <w:rPr>
          <w:rFonts w:cs="Calibri"/>
          <w:lang w:val="en-GB"/>
        </w:rPr>
      </w:pPr>
    </w:p>
    <w:p w:rsidR="0095691A" w:rsidRPr="001A2E03" w:rsidRDefault="009B2E6C" w:rsidP="00AB0FD6">
      <w:pPr>
        <w:pStyle w:val="Odstavecseseznamem"/>
        <w:numPr>
          <w:ilvl w:val="0"/>
          <w:numId w:val="18"/>
        </w:numPr>
        <w:ind w:left="0" w:firstLine="0"/>
        <w:rPr>
          <w:rFonts w:cs="Calibri"/>
          <w:b/>
          <w:bCs/>
          <w:lang w:val="en-GB"/>
        </w:rPr>
      </w:pPr>
      <w:r w:rsidRPr="001A2E03">
        <w:rPr>
          <w:rFonts w:cs="Calibri"/>
          <w:b/>
          <w:bCs/>
          <w:lang w:val="en-GB"/>
        </w:rPr>
        <w:t xml:space="preserve">Indicator of </w:t>
      </w:r>
      <w:r w:rsidR="00AB0FD6" w:rsidRPr="001A2E03">
        <w:rPr>
          <w:rFonts w:cs="Calibri"/>
          <w:b/>
          <w:bCs/>
          <w:lang w:val="en-GB"/>
        </w:rPr>
        <w:t>Priority Axis</w:t>
      </w:r>
      <w:r w:rsidRPr="001A2E03">
        <w:rPr>
          <w:rFonts w:cs="Calibri"/>
          <w:b/>
          <w:bCs/>
          <w:lang w:val="en-GB"/>
        </w:rPr>
        <w:t xml:space="preserve"> 3 </w:t>
      </w:r>
      <w:r w:rsidR="00AB0FD6" w:rsidRPr="001A2E03">
        <w:rPr>
          <w:rFonts w:cs="Calibri"/>
          <w:b/>
          <w:bCs/>
          <w:lang w:val="en-GB"/>
        </w:rPr>
        <w:t>“Reduction of</w:t>
      </w:r>
      <w:r w:rsidRPr="001A2E03">
        <w:rPr>
          <w:rFonts w:cs="Calibri"/>
          <w:b/>
          <w:bCs/>
          <w:lang w:val="en-GB"/>
        </w:rPr>
        <w:t xml:space="preserve"> Energy Consumption” - actual</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1"/>
        <w:gridCol w:w="2196"/>
        <w:gridCol w:w="1498"/>
        <w:gridCol w:w="1498"/>
        <w:gridCol w:w="1439"/>
      </w:tblGrid>
      <w:tr w:rsidR="008C77F9" w:rsidRPr="00AE77A6" w:rsidTr="004D1641">
        <w:trPr>
          <w:trHeight w:val="300"/>
        </w:trPr>
        <w:tc>
          <w:tcPr>
            <w:tcW w:w="1401" w:type="pct"/>
            <w:shd w:val="clear" w:color="auto" w:fill="B6DDE8"/>
            <w:noWrap/>
            <w:vAlign w:val="center"/>
            <w:hideMark/>
          </w:tcPr>
          <w:p w:rsidR="0095691A" w:rsidRPr="00AE77A6" w:rsidRDefault="009B2E6C">
            <w:pPr>
              <w:spacing w:before="0" w:after="0" w:line="240" w:lineRule="auto"/>
              <w:jc w:val="center"/>
              <w:rPr>
                <w:rFonts w:cs="Calibri"/>
                <w:b/>
                <w:color w:val="000000"/>
                <w:sz w:val="22"/>
                <w:lang w:val="en-GB" w:eastAsia="cs-CZ"/>
              </w:rPr>
            </w:pPr>
            <w:r w:rsidRPr="00AE77A6">
              <w:rPr>
                <w:rFonts w:cs="Calibri"/>
                <w:b/>
                <w:color w:val="000000"/>
                <w:sz w:val="22"/>
                <w:lang w:val="en-GB" w:eastAsia="cs-CZ"/>
              </w:rPr>
              <w:t>N</w:t>
            </w:r>
            <w:r w:rsidR="00AB0FD6" w:rsidRPr="00AE77A6">
              <w:rPr>
                <w:rFonts w:cs="Calibri"/>
                <w:b/>
                <w:color w:val="000000"/>
                <w:sz w:val="22"/>
                <w:lang w:val="en-GB" w:eastAsia="cs-CZ"/>
              </w:rPr>
              <w:t xml:space="preserve">ame </w:t>
            </w:r>
            <w:r w:rsidRPr="00AE77A6">
              <w:rPr>
                <w:rFonts w:cs="Calibri"/>
                <w:b/>
                <w:color w:val="000000"/>
                <w:sz w:val="22"/>
                <w:lang w:val="en-GB" w:eastAsia="cs-CZ"/>
              </w:rPr>
              <w:t>of indicator</w:t>
            </w:r>
          </w:p>
        </w:tc>
        <w:tc>
          <w:tcPr>
            <w:tcW w:w="1192" w:type="pct"/>
            <w:shd w:val="clear" w:color="auto" w:fill="B6DDE8"/>
            <w:noWrap/>
            <w:vAlign w:val="center"/>
            <w:hideMark/>
          </w:tcPr>
          <w:p w:rsidR="0095691A" w:rsidRPr="00AE77A6" w:rsidRDefault="009B2E6C">
            <w:pPr>
              <w:spacing w:before="0" w:after="0" w:line="240" w:lineRule="auto"/>
              <w:jc w:val="center"/>
              <w:rPr>
                <w:rFonts w:cs="Calibri"/>
                <w:b/>
                <w:color w:val="000000"/>
                <w:sz w:val="22"/>
                <w:lang w:val="en-GB" w:eastAsia="cs-CZ"/>
              </w:rPr>
            </w:pPr>
            <w:r w:rsidRPr="00AE77A6">
              <w:rPr>
                <w:rFonts w:cs="Calibri"/>
                <w:b/>
                <w:color w:val="000000"/>
                <w:sz w:val="22"/>
                <w:lang w:val="en-GB" w:eastAsia="cs-CZ"/>
              </w:rPr>
              <w:t>Unit of measure</w:t>
            </w:r>
          </w:p>
        </w:tc>
        <w:tc>
          <w:tcPr>
            <w:tcW w:w="813" w:type="pct"/>
            <w:shd w:val="clear" w:color="auto" w:fill="B6DDE8"/>
            <w:noWrap/>
            <w:vAlign w:val="center"/>
            <w:hideMark/>
          </w:tcPr>
          <w:p w:rsidR="0095691A" w:rsidRPr="00AE77A6" w:rsidRDefault="009B2E6C">
            <w:pPr>
              <w:spacing w:before="0" w:after="0" w:line="240" w:lineRule="auto"/>
              <w:jc w:val="center"/>
              <w:rPr>
                <w:rFonts w:cs="Calibri"/>
                <w:b/>
                <w:color w:val="000000"/>
                <w:sz w:val="22"/>
                <w:lang w:val="en-GB" w:eastAsia="cs-CZ"/>
              </w:rPr>
            </w:pPr>
            <w:r w:rsidRPr="00AE77A6">
              <w:rPr>
                <w:rFonts w:cs="Calibri"/>
                <w:b/>
                <w:color w:val="000000"/>
                <w:sz w:val="22"/>
                <w:lang w:val="en-GB" w:eastAsia="cs-CZ"/>
              </w:rPr>
              <w:t>2012</w:t>
            </w:r>
          </w:p>
        </w:tc>
        <w:tc>
          <w:tcPr>
            <w:tcW w:w="813" w:type="pct"/>
            <w:shd w:val="clear" w:color="auto" w:fill="B6DDE8"/>
            <w:noWrap/>
            <w:vAlign w:val="center"/>
            <w:hideMark/>
          </w:tcPr>
          <w:p w:rsidR="0095691A" w:rsidRPr="00AE77A6" w:rsidRDefault="009B2E6C">
            <w:pPr>
              <w:spacing w:before="0" w:after="0" w:line="240" w:lineRule="auto"/>
              <w:jc w:val="center"/>
              <w:rPr>
                <w:rFonts w:cs="Calibri"/>
                <w:b/>
                <w:color w:val="000000"/>
                <w:sz w:val="22"/>
                <w:lang w:val="en-GB" w:eastAsia="cs-CZ"/>
              </w:rPr>
            </w:pPr>
            <w:r w:rsidRPr="00AE77A6">
              <w:rPr>
                <w:rFonts w:cs="Calibri"/>
                <w:b/>
                <w:color w:val="000000"/>
                <w:sz w:val="22"/>
                <w:lang w:val="en-GB" w:eastAsia="cs-CZ"/>
              </w:rPr>
              <w:t>2013</w:t>
            </w:r>
          </w:p>
        </w:tc>
        <w:tc>
          <w:tcPr>
            <w:tcW w:w="781" w:type="pct"/>
            <w:shd w:val="clear" w:color="auto" w:fill="B6DDE8"/>
          </w:tcPr>
          <w:p w:rsidR="0095691A" w:rsidRPr="00AE77A6" w:rsidRDefault="009B2E6C">
            <w:pPr>
              <w:spacing w:before="0" w:after="0" w:line="240" w:lineRule="auto"/>
              <w:jc w:val="center"/>
              <w:rPr>
                <w:rFonts w:cs="Calibri"/>
                <w:b/>
                <w:color w:val="000000"/>
                <w:sz w:val="22"/>
                <w:lang w:val="en-GB" w:eastAsia="cs-CZ"/>
              </w:rPr>
            </w:pPr>
            <w:r w:rsidRPr="00AE77A6">
              <w:rPr>
                <w:rFonts w:cs="Calibri"/>
                <w:b/>
                <w:color w:val="000000"/>
                <w:sz w:val="22"/>
                <w:lang w:val="en-GB" w:eastAsia="cs-CZ"/>
              </w:rPr>
              <w:t>2014</w:t>
            </w:r>
          </w:p>
        </w:tc>
      </w:tr>
      <w:tr w:rsidR="008C77F9" w:rsidRPr="00AE77A6" w:rsidTr="008C77F9">
        <w:trPr>
          <w:trHeight w:val="300"/>
        </w:trPr>
        <w:tc>
          <w:tcPr>
            <w:tcW w:w="1401" w:type="pct"/>
            <w:shd w:val="clear" w:color="auto" w:fill="auto"/>
            <w:vAlign w:val="center"/>
            <w:hideMark/>
          </w:tcPr>
          <w:p w:rsidR="0095691A" w:rsidRPr="00AE77A6" w:rsidRDefault="009B2E6C">
            <w:pPr>
              <w:spacing w:before="0" w:after="0" w:line="240" w:lineRule="auto"/>
              <w:jc w:val="left"/>
              <w:rPr>
                <w:rFonts w:cs="Calibri"/>
                <w:color w:val="000000"/>
                <w:sz w:val="22"/>
                <w:lang w:val="en-GB" w:eastAsia="cs-CZ"/>
              </w:rPr>
            </w:pPr>
            <w:r w:rsidRPr="00AE77A6">
              <w:rPr>
                <w:rFonts w:cs="Calibri"/>
                <w:color w:val="000000"/>
                <w:sz w:val="22"/>
                <w:lang w:val="en-GB" w:eastAsia="cs-CZ"/>
              </w:rPr>
              <w:t>Reduction of energy consumption</w:t>
            </w:r>
          </w:p>
        </w:tc>
        <w:tc>
          <w:tcPr>
            <w:tcW w:w="1192" w:type="pct"/>
            <w:shd w:val="clear" w:color="auto" w:fill="auto"/>
            <w:vAlign w:val="center"/>
          </w:tcPr>
          <w:p w:rsidR="0095691A" w:rsidRPr="00AE77A6" w:rsidRDefault="009B2E6C">
            <w:pPr>
              <w:spacing w:before="0" w:after="0" w:line="240" w:lineRule="auto"/>
              <w:jc w:val="center"/>
              <w:rPr>
                <w:rFonts w:cs="Calibri"/>
                <w:color w:val="000000"/>
                <w:sz w:val="22"/>
                <w:lang w:val="en-GB" w:eastAsia="cs-CZ"/>
              </w:rPr>
            </w:pPr>
            <w:r w:rsidRPr="00AE77A6">
              <w:rPr>
                <w:rFonts w:cs="Calibri"/>
                <w:color w:val="000000"/>
                <w:sz w:val="22"/>
                <w:lang w:val="en-GB" w:eastAsia="cs-CZ"/>
              </w:rPr>
              <w:t>TJ/year</w:t>
            </w:r>
          </w:p>
        </w:tc>
        <w:tc>
          <w:tcPr>
            <w:tcW w:w="813" w:type="pct"/>
            <w:shd w:val="clear" w:color="auto" w:fill="auto"/>
            <w:noWrap/>
            <w:vAlign w:val="center"/>
            <w:hideMark/>
          </w:tcPr>
          <w:p w:rsidR="0095691A" w:rsidRPr="00AE77A6" w:rsidRDefault="009B2E6C">
            <w:pPr>
              <w:spacing w:before="0" w:after="0" w:line="240" w:lineRule="auto"/>
              <w:jc w:val="right"/>
              <w:rPr>
                <w:rFonts w:cs="Calibri"/>
                <w:color w:val="000000"/>
                <w:sz w:val="22"/>
                <w:lang w:val="en-GB" w:eastAsia="cs-CZ"/>
              </w:rPr>
            </w:pPr>
            <w:r w:rsidRPr="00AE77A6">
              <w:rPr>
                <w:rFonts w:cs="Calibri"/>
                <w:color w:val="000000"/>
                <w:sz w:val="22"/>
                <w:lang w:val="en-GB" w:eastAsia="cs-CZ"/>
              </w:rPr>
              <w:t>848.545</w:t>
            </w:r>
          </w:p>
        </w:tc>
        <w:tc>
          <w:tcPr>
            <w:tcW w:w="813" w:type="pct"/>
            <w:shd w:val="clear" w:color="auto" w:fill="auto"/>
            <w:noWrap/>
            <w:vAlign w:val="center"/>
            <w:hideMark/>
          </w:tcPr>
          <w:p w:rsidR="0095691A" w:rsidRPr="00AE77A6" w:rsidRDefault="009B2E6C">
            <w:pPr>
              <w:spacing w:before="0" w:after="0" w:line="240" w:lineRule="auto"/>
              <w:jc w:val="right"/>
              <w:rPr>
                <w:rFonts w:cs="Calibri"/>
                <w:color w:val="000000"/>
                <w:sz w:val="22"/>
                <w:lang w:val="en-GB" w:eastAsia="cs-CZ"/>
              </w:rPr>
            </w:pPr>
            <w:r w:rsidRPr="00AE77A6">
              <w:rPr>
                <w:rFonts w:cs="Calibri"/>
                <w:color w:val="000000"/>
                <w:sz w:val="22"/>
                <w:lang w:val="en-GB" w:eastAsia="cs-CZ"/>
              </w:rPr>
              <w:t>2 589.959</w:t>
            </w:r>
          </w:p>
        </w:tc>
        <w:tc>
          <w:tcPr>
            <w:tcW w:w="781" w:type="pct"/>
            <w:vAlign w:val="center"/>
          </w:tcPr>
          <w:p w:rsidR="0095691A" w:rsidRPr="00AE77A6" w:rsidRDefault="009B2E6C">
            <w:pPr>
              <w:spacing w:before="0" w:after="0" w:line="240" w:lineRule="auto"/>
              <w:jc w:val="right"/>
              <w:rPr>
                <w:rFonts w:cs="Calibri"/>
                <w:color w:val="000000"/>
                <w:sz w:val="22"/>
                <w:lang w:val="en-GB" w:eastAsia="cs-CZ"/>
              </w:rPr>
            </w:pPr>
            <w:r w:rsidRPr="00AE77A6">
              <w:rPr>
                <w:rFonts w:cs="Calibri"/>
                <w:color w:val="000000"/>
                <w:sz w:val="22"/>
                <w:lang w:val="en-GB" w:eastAsia="cs-CZ"/>
              </w:rPr>
              <w:t>5 799.077</w:t>
            </w:r>
          </w:p>
        </w:tc>
      </w:tr>
    </w:tbl>
    <w:p w:rsidR="0095691A" w:rsidRPr="00AE77A6" w:rsidRDefault="009B2E6C">
      <w:pPr>
        <w:rPr>
          <w:rFonts w:cs="Calibri"/>
          <w:bCs/>
          <w:i/>
          <w:sz w:val="20"/>
          <w:lang w:val="en-GB"/>
        </w:rPr>
      </w:pPr>
      <w:r w:rsidRPr="00AE77A6">
        <w:rPr>
          <w:rFonts w:cs="Calibri"/>
          <w:bCs/>
          <w:i/>
          <w:sz w:val="20"/>
          <w:lang w:val="en-GB"/>
        </w:rPr>
        <w:t>Source: OPEI Annual Reports for 2012, 2013 and 2014</w:t>
      </w:r>
    </w:p>
    <w:p w:rsidR="0095691A" w:rsidRPr="00AE77A6" w:rsidRDefault="009B2E6C">
      <w:pPr>
        <w:pStyle w:val="pracovn3"/>
        <w:spacing w:after="120" w:line="276" w:lineRule="auto"/>
        <w:rPr>
          <w:rFonts w:ascii="Calibri" w:eastAsia="Calibri" w:hAnsi="Calibri" w:cs="Calibri"/>
          <w:b w:val="0"/>
          <w:color w:val="auto"/>
          <w:lang w:val="en-GB" w:eastAsia="en-US"/>
        </w:rPr>
      </w:pPr>
      <w:r w:rsidRPr="00AE77A6">
        <w:rPr>
          <w:rFonts w:ascii="Calibri" w:eastAsia="Calibri" w:hAnsi="Calibri" w:cs="Calibri"/>
          <w:b w:val="0"/>
          <w:color w:val="auto"/>
          <w:lang w:val="en-GB" w:eastAsia="en-US"/>
        </w:rPr>
        <w:t xml:space="preserve">The target value of the indicator for 2015 is 11 000 TJ. In 2014, savings of 5 799.08 TJ of energy were made as part of </w:t>
      </w:r>
      <w:r w:rsidR="00AB0FD6" w:rsidRPr="00AE77A6">
        <w:rPr>
          <w:rFonts w:ascii="Calibri" w:eastAsia="Calibri" w:hAnsi="Calibri" w:cs="Calibri"/>
          <w:b w:val="0"/>
          <w:color w:val="auto"/>
          <w:lang w:val="en-GB" w:eastAsia="en-US"/>
        </w:rPr>
        <w:t>Priority Axis</w:t>
      </w:r>
      <w:r w:rsidRPr="00AE77A6">
        <w:rPr>
          <w:rFonts w:ascii="Calibri" w:eastAsia="Calibri" w:hAnsi="Calibri" w:cs="Calibri"/>
          <w:b w:val="0"/>
          <w:color w:val="auto"/>
          <w:lang w:val="en-GB" w:eastAsia="en-US"/>
        </w:rPr>
        <w:t xml:space="preserve"> 3 ECO-ENERGY, which represents 52.7% of the planned indicator value. </w:t>
      </w:r>
    </w:p>
    <w:p w:rsidR="00AB0FD6" w:rsidRPr="00AE77A6" w:rsidRDefault="009B2E6C">
      <w:pPr>
        <w:rPr>
          <w:rFonts w:cs="Calibri"/>
          <w:bCs/>
          <w:lang w:val="en-GB"/>
        </w:rPr>
      </w:pPr>
      <w:r w:rsidRPr="00AE77A6">
        <w:rPr>
          <w:rFonts w:cs="Calibri"/>
          <w:bCs/>
          <w:lang w:val="en-GB"/>
        </w:rPr>
        <w:t xml:space="preserve">It ensues from the overview of projects supported by the </w:t>
      </w:r>
      <w:proofErr w:type="spellStart"/>
      <w:r w:rsidRPr="00AE77A6">
        <w:rPr>
          <w:rFonts w:cs="Calibri"/>
          <w:bCs/>
          <w:lang w:val="en-GB"/>
        </w:rPr>
        <w:t>Mo</w:t>
      </w:r>
      <w:r w:rsidR="00AB0FD6" w:rsidRPr="00AE77A6">
        <w:rPr>
          <w:rFonts w:cs="Calibri"/>
          <w:bCs/>
          <w:lang w:val="en-GB"/>
        </w:rPr>
        <w:t>IT</w:t>
      </w:r>
      <w:proofErr w:type="spellEnd"/>
      <w:r w:rsidR="00AB0FD6" w:rsidRPr="00AE77A6">
        <w:rPr>
          <w:rFonts w:cs="Calibri"/>
          <w:bCs/>
          <w:lang w:val="en-GB"/>
        </w:rPr>
        <w:t xml:space="preserve"> in the period from 2007 to 4 </w:t>
      </w:r>
      <w:r w:rsidRPr="00AE77A6">
        <w:rPr>
          <w:rFonts w:cs="Calibri"/>
          <w:bCs/>
          <w:lang w:val="en-GB"/>
        </w:rPr>
        <w:t>February 2005 that a total of 1 217 projects pertaining to energy savings of approximately 13.6 billion were supported.</w:t>
      </w:r>
    </w:p>
    <w:p w:rsidR="0095691A" w:rsidRPr="00AE77A6" w:rsidRDefault="0095691A">
      <w:pPr>
        <w:rPr>
          <w:rFonts w:cs="Calibri"/>
          <w:bCs/>
          <w:lang w:val="en-GB"/>
        </w:rPr>
      </w:pPr>
    </w:p>
    <w:p w:rsidR="0095691A" w:rsidRPr="004A1ACF" w:rsidRDefault="009B2E6C">
      <w:pPr>
        <w:pStyle w:val="Odstavecseseznamem"/>
        <w:numPr>
          <w:ilvl w:val="0"/>
          <w:numId w:val="18"/>
        </w:numPr>
        <w:ind w:left="0" w:firstLine="0"/>
        <w:rPr>
          <w:rFonts w:cs="Calibri"/>
          <w:b/>
          <w:bCs/>
          <w:lang w:val="en-GB"/>
        </w:rPr>
      </w:pPr>
      <w:r w:rsidRPr="004A1ACF">
        <w:rPr>
          <w:rFonts w:cs="Calibri"/>
          <w:b/>
          <w:bCs/>
          <w:i/>
          <w:lang w:val="en-GB"/>
        </w:rPr>
        <w:t>Energy Savings</w:t>
      </w:r>
      <w:r w:rsidRPr="004A1ACF">
        <w:rPr>
          <w:rFonts w:cs="Calibri"/>
          <w:b/>
          <w:bCs/>
          <w:lang w:val="en-GB"/>
        </w:rPr>
        <w:t xml:space="preserve"> projects of </w:t>
      </w:r>
      <w:r w:rsidR="00AB0FD6" w:rsidRPr="004A1ACF">
        <w:rPr>
          <w:rFonts w:cs="Calibri"/>
          <w:b/>
          <w:bCs/>
          <w:lang w:val="en-GB"/>
        </w:rPr>
        <w:t>Priority Axis</w:t>
      </w:r>
      <w:r w:rsidRPr="004A1ACF">
        <w:rPr>
          <w:rFonts w:cs="Calibri"/>
          <w:b/>
          <w:bCs/>
          <w:lang w:val="en-GB"/>
        </w:rPr>
        <w:t xml:space="preserve"> 3 from 2007 to 2015. </w:t>
      </w:r>
    </w:p>
    <w:tbl>
      <w:tblPr>
        <w:tblW w:w="50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2694"/>
        <w:gridCol w:w="3259"/>
      </w:tblGrid>
      <w:tr w:rsidR="00AB0FD6" w:rsidRPr="00AE77A6" w:rsidTr="004A1ACF">
        <w:trPr>
          <w:trHeight w:val="300"/>
        </w:trPr>
        <w:tc>
          <w:tcPr>
            <w:tcW w:w="1794" w:type="pct"/>
            <w:vMerge w:val="restart"/>
            <w:shd w:val="clear" w:color="auto" w:fill="B6DDE8"/>
            <w:noWrap/>
            <w:vAlign w:val="center"/>
            <w:hideMark/>
          </w:tcPr>
          <w:p w:rsidR="00AB0FD6" w:rsidRPr="00AE77A6" w:rsidRDefault="00AB0FD6">
            <w:pPr>
              <w:spacing w:before="0" w:after="0" w:line="240" w:lineRule="auto"/>
              <w:jc w:val="center"/>
              <w:rPr>
                <w:rFonts w:cs="Calibri"/>
                <w:b/>
                <w:color w:val="000000"/>
                <w:sz w:val="22"/>
                <w:lang w:val="en-GB" w:eastAsia="cs-CZ"/>
              </w:rPr>
            </w:pPr>
            <w:r w:rsidRPr="00AE77A6">
              <w:rPr>
                <w:rFonts w:cs="Calibri"/>
                <w:b/>
                <w:color w:val="000000"/>
                <w:sz w:val="22"/>
                <w:lang w:val="en-GB" w:eastAsia="cs-CZ"/>
              </w:rPr>
              <w:t>Number of projects</w:t>
            </w:r>
          </w:p>
        </w:tc>
        <w:tc>
          <w:tcPr>
            <w:tcW w:w="1451" w:type="pct"/>
            <w:shd w:val="clear" w:color="auto" w:fill="B6DDE8"/>
            <w:noWrap/>
            <w:vAlign w:val="center"/>
            <w:hideMark/>
          </w:tcPr>
          <w:p w:rsidR="00AB0FD6" w:rsidRPr="00AE77A6" w:rsidRDefault="00AB0FD6">
            <w:pPr>
              <w:spacing w:before="0" w:after="0" w:line="240" w:lineRule="auto"/>
              <w:jc w:val="center"/>
              <w:rPr>
                <w:rFonts w:cs="Calibri"/>
                <w:b/>
                <w:color w:val="000000"/>
                <w:sz w:val="22"/>
                <w:lang w:val="en-GB" w:eastAsia="cs-CZ"/>
              </w:rPr>
            </w:pPr>
            <w:r w:rsidRPr="00AE77A6">
              <w:rPr>
                <w:rFonts w:cs="Calibri"/>
                <w:b/>
                <w:color w:val="000000"/>
                <w:sz w:val="22"/>
                <w:lang w:val="en-GB" w:eastAsia="cs-CZ"/>
              </w:rPr>
              <w:t>Subsidy amount</w:t>
            </w:r>
          </w:p>
        </w:tc>
        <w:tc>
          <w:tcPr>
            <w:tcW w:w="1755" w:type="pct"/>
            <w:shd w:val="clear" w:color="auto" w:fill="B6DDE8"/>
            <w:noWrap/>
            <w:vAlign w:val="center"/>
            <w:hideMark/>
          </w:tcPr>
          <w:p w:rsidR="00AB0FD6" w:rsidRPr="00AE77A6" w:rsidRDefault="00AB0FD6">
            <w:pPr>
              <w:spacing w:before="0" w:after="0" w:line="240" w:lineRule="auto"/>
              <w:jc w:val="center"/>
              <w:rPr>
                <w:rFonts w:cs="Calibri"/>
                <w:b/>
                <w:color w:val="000000"/>
                <w:sz w:val="22"/>
                <w:lang w:val="en-GB" w:eastAsia="cs-CZ"/>
              </w:rPr>
            </w:pPr>
            <w:r w:rsidRPr="00AE77A6">
              <w:rPr>
                <w:rFonts w:cs="Calibri"/>
                <w:b/>
                <w:color w:val="000000"/>
                <w:sz w:val="22"/>
                <w:lang w:val="en-GB" w:eastAsia="cs-CZ"/>
              </w:rPr>
              <w:t>Paid out as at 4 February 2015</w:t>
            </w:r>
          </w:p>
        </w:tc>
      </w:tr>
      <w:tr w:rsidR="00AB0FD6" w:rsidRPr="00AE77A6" w:rsidTr="004A1ACF">
        <w:trPr>
          <w:trHeight w:val="300"/>
        </w:trPr>
        <w:tc>
          <w:tcPr>
            <w:tcW w:w="1794" w:type="pct"/>
            <w:vMerge/>
            <w:shd w:val="clear" w:color="auto" w:fill="B6DDE8"/>
            <w:vAlign w:val="center"/>
            <w:hideMark/>
          </w:tcPr>
          <w:p w:rsidR="00AB0FD6" w:rsidRPr="00AE77A6" w:rsidRDefault="00AB0FD6">
            <w:pPr>
              <w:spacing w:before="0" w:after="0" w:line="240" w:lineRule="auto"/>
              <w:jc w:val="center"/>
              <w:rPr>
                <w:rFonts w:cs="Calibri"/>
                <w:b/>
                <w:color w:val="000000"/>
                <w:sz w:val="22"/>
                <w:lang w:val="en-GB" w:eastAsia="cs-CZ"/>
              </w:rPr>
            </w:pPr>
          </w:p>
        </w:tc>
        <w:tc>
          <w:tcPr>
            <w:tcW w:w="3206" w:type="pct"/>
            <w:gridSpan w:val="2"/>
            <w:shd w:val="clear" w:color="auto" w:fill="B6DDE8"/>
          </w:tcPr>
          <w:p w:rsidR="00AB0FD6" w:rsidRPr="00AE77A6" w:rsidRDefault="00AB0FD6">
            <w:pPr>
              <w:spacing w:before="0" w:after="0" w:line="240" w:lineRule="auto"/>
              <w:jc w:val="center"/>
              <w:rPr>
                <w:rFonts w:cs="Calibri"/>
                <w:b/>
                <w:color w:val="000000"/>
                <w:sz w:val="22"/>
                <w:lang w:val="en-GB" w:eastAsia="cs-CZ"/>
              </w:rPr>
            </w:pPr>
            <w:r w:rsidRPr="00AE77A6">
              <w:rPr>
                <w:rFonts w:cs="Calibri"/>
                <w:b/>
                <w:color w:val="000000"/>
                <w:sz w:val="22"/>
                <w:lang w:val="en-GB" w:eastAsia="cs-CZ"/>
              </w:rPr>
              <w:t>in CZK</w:t>
            </w:r>
          </w:p>
        </w:tc>
      </w:tr>
      <w:tr w:rsidR="004A1ACF" w:rsidRPr="00AE77A6" w:rsidTr="004A1ACF">
        <w:trPr>
          <w:trHeight w:val="300"/>
        </w:trPr>
        <w:tc>
          <w:tcPr>
            <w:tcW w:w="1794" w:type="pct"/>
            <w:shd w:val="clear" w:color="auto" w:fill="auto"/>
            <w:noWrap/>
            <w:vAlign w:val="center"/>
            <w:hideMark/>
          </w:tcPr>
          <w:p w:rsidR="004A1ACF" w:rsidRPr="00AE77A6" w:rsidRDefault="004A1ACF">
            <w:pPr>
              <w:spacing w:before="0" w:after="0" w:line="240" w:lineRule="auto"/>
              <w:jc w:val="center"/>
              <w:rPr>
                <w:rFonts w:cs="Calibri"/>
                <w:color w:val="000000"/>
                <w:sz w:val="22"/>
                <w:lang w:val="en-GB" w:eastAsia="cs-CZ"/>
              </w:rPr>
            </w:pPr>
            <w:r w:rsidRPr="00AE77A6">
              <w:rPr>
                <w:rFonts w:cs="Calibri"/>
                <w:color w:val="000000"/>
                <w:sz w:val="22"/>
                <w:lang w:val="en-GB" w:eastAsia="cs-CZ"/>
              </w:rPr>
              <w:t>1221</w:t>
            </w:r>
          </w:p>
        </w:tc>
        <w:tc>
          <w:tcPr>
            <w:tcW w:w="1450" w:type="pct"/>
            <w:shd w:val="clear" w:color="auto" w:fill="auto"/>
            <w:noWrap/>
            <w:vAlign w:val="bottom"/>
            <w:hideMark/>
          </w:tcPr>
          <w:p w:rsidR="004A1ACF" w:rsidRPr="00AE77A6" w:rsidRDefault="004A1ACF">
            <w:pPr>
              <w:spacing w:before="0" w:after="0" w:line="240" w:lineRule="auto"/>
              <w:jc w:val="right"/>
              <w:rPr>
                <w:rFonts w:cs="Calibri"/>
                <w:color w:val="000000"/>
                <w:sz w:val="22"/>
                <w:lang w:val="en-GB" w:eastAsia="cs-CZ"/>
              </w:rPr>
            </w:pPr>
            <w:r w:rsidRPr="00AE77A6">
              <w:rPr>
                <w:rFonts w:cs="Calibri"/>
                <w:color w:val="000000"/>
                <w:sz w:val="22"/>
                <w:lang w:val="en-GB" w:eastAsia="cs-CZ"/>
              </w:rPr>
              <w:t>14 519 849 000</w:t>
            </w:r>
          </w:p>
        </w:tc>
        <w:tc>
          <w:tcPr>
            <w:tcW w:w="1756" w:type="pct"/>
            <w:shd w:val="clear" w:color="auto" w:fill="auto"/>
            <w:noWrap/>
            <w:vAlign w:val="bottom"/>
            <w:hideMark/>
          </w:tcPr>
          <w:p w:rsidR="004A1ACF" w:rsidRPr="00AE77A6" w:rsidRDefault="004A1ACF">
            <w:pPr>
              <w:spacing w:before="0" w:after="0" w:line="240" w:lineRule="auto"/>
              <w:jc w:val="right"/>
              <w:rPr>
                <w:rFonts w:cs="Calibri"/>
                <w:color w:val="000000"/>
                <w:sz w:val="22"/>
                <w:lang w:val="en-GB" w:eastAsia="cs-CZ"/>
              </w:rPr>
            </w:pPr>
            <w:r w:rsidRPr="00AE77A6">
              <w:rPr>
                <w:rFonts w:cs="Calibri"/>
                <w:color w:val="000000"/>
                <w:sz w:val="22"/>
                <w:lang w:val="en-GB" w:eastAsia="cs-CZ"/>
              </w:rPr>
              <w:t>13 574 045 235</w:t>
            </w:r>
          </w:p>
        </w:tc>
      </w:tr>
      <w:tr w:rsidR="004A1ACF" w:rsidRPr="00AE77A6" w:rsidTr="004A1ACF">
        <w:trPr>
          <w:trHeight w:val="300"/>
        </w:trPr>
        <w:tc>
          <w:tcPr>
            <w:tcW w:w="1794" w:type="pct"/>
            <w:shd w:val="clear" w:color="auto" w:fill="auto"/>
            <w:noWrap/>
            <w:vAlign w:val="center"/>
          </w:tcPr>
          <w:p w:rsidR="004A1ACF" w:rsidRPr="00AE77A6" w:rsidRDefault="004A1ACF">
            <w:pPr>
              <w:spacing w:before="0" w:after="0" w:line="240" w:lineRule="auto"/>
              <w:jc w:val="center"/>
              <w:rPr>
                <w:rFonts w:cs="Calibri"/>
                <w:color w:val="000000"/>
                <w:sz w:val="22"/>
                <w:lang w:val="en-GB" w:eastAsia="cs-CZ"/>
              </w:rPr>
            </w:pPr>
            <w:r w:rsidRPr="00AE77A6">
              <w:rPr>
                <w:rFonts w:cs="Calibri"/>
                <w:b/>
                <w:color w:val="000000"/>
                <w:sz w:val="22"/>
                <w:lang w:val="en-GB" w:eastAsia="cs-CZ"/>
              </w:rPr>
              <w:t>of which</w:t>
            </w:r>
            <w:r w:rsidRPr="00AE77A6">
              <w:rPr>
                <w:rFonts w:cs="Calibri"/>
                <w:color w:val="000000"/>
                <w:sz w:val="22"/>
                <w:lang w:val="en-GB" w:eastAsia="cs-CZ"/>
              </w:rPr>
              <w:t xml:space="preserve"> 4 projects were completed without financing</w:t>
            </w:r>
          </w:p>
        </w:tc>
        <w:tc>
          <w:tcPr>
            <w:tcW w:w="1450" w:type="pct"/>
            <w:shd w:val="clear" w:color="auto" w:fill="auto"/>
            <w:noWrap/>
            <w:vAlign w:val="center"/>
          </w:tcPr>
          <w:p w:rsidR="004A1ACF" w:rsidRPr="00AE77A6" w:rsidRDefault="004A1ACF">
            <w:pPr>
              <w:spacing w:before="0" w:after="0" w:line="240" w:lineRule="auto"/>
              <w:jc w:val="right"/>
              <w:rPr>
                <w:rFonts w:cs="Calibri"/>
                <w:color w:val="000000"/>
                <w:sz w:val="22"/>
                <w:lang w:val="en-GB" w:eastAsia="cs-CZ"/>
              </w:rPr>
            </w:pPr>
            <w:r w:rsidRPr="00AE77A6">
              <w:rPr>
                <w:rFonts w:cs="Calibri"/>
                <w:color w:val="000000"/>
                <w:sz w:val="22"/>
                <w:lang w:val="en-GB" w:eastAsia="cs-CZ"/>
              </w:rPr>
              <w:t>13 895 000</w:t>
            </w:r>
          </w:p>
        </w:tc>
        <w:tc>
          <w:tcPr>
            <w:tcW w:w="1756" w:type="pct"/>
            <w:shd w:val="clear" w:color="auto" w:fill="auto"/>
            <w:noWrap/>
            <w:vAlign w:val="center"/>
          </w:tcPr>
          <w:p w:rsidR="004A1ACF" w:rsidRPr="00AE77A6" w:rsidRDefault="004A1ACF">
            <w:pPr>
              <w:spacing w:before="0" w:after="0" w:line="240" w:lineRule="auto"/>
              <w:jc w:val="right"/>
              <w:rPr>
                <w:rFonts w:cs="Calibri"/>
                <w:color w:val="000000"/>
                <w:sz w:val="22"/>
                <w:lang w:val="en-GB" w:eastAsia="cs-CZ"/>
              </w:rPr>
            </w:pPr>
            <w:r w:rsidRPr="00AE77A6">
              <w:rPr>
                <w:rFonts w:cs="Calibri"/>
                <w:color w:val="000000"/>
                <w:sz w:val="22"/>
                <w:lang w:val="en-GB" w:eastAsia="cs-CZ"/>
              </w:rPr>
              <w:t>0</w:t>
            </w:r>
          </w:p>
        </w:tc>
      </w:tr>
    </w:tbl>
    <w:p w:rsidR="0095691A" w:rsidRPr="00AE77A6" w:rsidRDefault="009B2E6C">
      <w:pPr>
        <w:rPr>
          <w:rFonts w:cs="Calibri"/>
          <w:bCs/>
          <w:lang w:val="en-GB"/>
        </w:rPr>
      </w:pPr>
      <w:r w:rsidRPr="00AE77A6">
        <w:rPr>
          <w:rFonts w:cs="Calibri"/>
          <w:bCs/>
          <w:i/>
          <w:sz w:val="20"/>
          <w:lang w:val="en-GB"/>
        </w:rPr>
        <w:t xml:space="preserve">Source: </w:t>
      </w:r>
      <w:proofErr w:type="spellStart"/>
      <w:r w:rsidRPr="00AE77A6">
        <w:rPr>
          <w:rFonts w:cs="Calibri"/>
          <w:bCs/>
          <w:i/>
          <w:sz w:val="20"/>
          <w:lang w:val="en-GB"/>
        </w:rPr>
        <w:t>MoIT</w:t>
      </w:r>
      <w:proofErr w:type="spellEnd"/>
    </w:p>
    <w:p w:rsidR="0095691A" w:rsidRDefault="009B2E6C">
      <w:pPr>
        <w:pStyle w:val="pracovn3"/>
        <w:spacing w:after="120" w:line="276" w:lineRule="auto"/>
        <w:rPr>
          <w:rFonts w:ascii="Calibri" w:eastAsia="Calibri" w:hAnsi="Calibri" w:cs="Calibri"/>
          <w:b w:val="0"/>
          <w:color w:val="auto"/>
          <w:lang w:val="en-GB" w:eastAsia="en-US"/>
        </w:rPr>
      </w:pPr>
      <w:r w:rsidRPr="00AE77A6">
        <w:rPr>
          <w:rFonts w:ascii="Calibri" w:eastAsia="Calibri" w:hAnsi="Calibri" w:cs="Calibri"/>
          <w:b w:val="0"/>
          <w:color w:val="auto"/>
          <w:lang w:val="en-GB" w:eastAsia="en-US"/>
        </w:rPr>
        <w:t xml:space="preserve">The Operational Programme </w:t>
      </w:r>
      <w:r w:rsidRPr="004A1ACF">
        <w:rPr>
          <w:rFonts w:ascii="Calibri" w:eastAsia="Calibri" w:hAnsi="Calibri" w:cs="Calibri"/>
          <w:b w:val="0"/>
          <w:i/>
          <w:color w:val="auto"/>
          <w:lang w:val="en-GB" w:eastAsia="en-US"/>
        </w:rPr>
        <w:t>Enterprise and Innovation for Competitiveness</w:t>
      </w:r>
      <w:r w:rsidRPr="00AE77A6">
        <w:rPr>
          <w:rFonts w:ascii="Calibri" w:eastAsia="Calibri" w:hAnsi="Calibri" w:cs="Calibri"/>
          <w:b w:val="0"/>
          <w:color w:val="auto"/>
          <w:lang w:val="en-GB" w:eastAsia="en-US"/>
        </w:rPr>
        <w:t xml:space="preserve"> for the 2014-2020 programming period was approved by the European Commission on 29 April 2015. Energy savings </w:t>
      </w:r>
      <w:r w:rsidR="000C1A9A">
        <w:rPr>
          <w:rFonts w:ascii="Calibri" w:eastAsia="Calibri" w:hAnsi="Calibri" w:cs="Calibri"/>
          <w:b w:val="0"/>
          <w:color w:val="auto"/>
          <w:lang w:val="en-GB" w:eastAsia="en-US"/>
        </w:rPr>
        <w:t>is</w:t>
      </w:r>
      <w:r w:rsidRPr="00AE77A6">
        <w:rPr>
          <w:rFonts w:ascii="Calibri" w:eastAsia="Calibri" w:hAnsi="Calibri" w:cs="Calibri"/>
          <w:b w:val="0"/>
          <w:color w:val="auto"/>
          <w:lang w:val="en-GB" w:eastAsia="en-US"/>
        </w:rPr>
        <w:t xml:space="preserve">, just like OPEI, </w:t>
      </w:r>
      <w:r w:rsidR="00AE5FE9">
        <w:rPr>
          <w:rFonts w:ascii="Calibri" w:eastAsia="Calibri" w:hAnsi="Calibri" w:cs="Calibri"/>
          <w:b w:val="0"/>
          <w:color w:val="auto"/>
          <w:lang w:val="en-GB" w:eastAsia="en-US"/>
        </w:rPr>
        <w:t xml:space="preserve">a </w:t>
      </w:r>
      <w:r w:rsidRPr="00AE77A6">
        <w:rPr>
          <w:rFonts w:ascii="Calibri" w:eastAsia="Calibri" w:hAnsi="Calibri" w:cs="Calibri"/>
          <w:b w:val="0"/>
          <w:color w:val="auto"/>
          <w:lang w:val="en-GB" w:eastAsia="en-US"/>
        </w:rPr>
        <w:t xml:space="preserve">part of </w:t>
      </w:r>
      <w:r w:rsidR="00AB0FD6" w:rsidRPr="00AE77A6">
        <w:rPr>
          <w:rFonts w:ascii="Calibri" w:eastAsia="Calibri" w:hAnsi="Calibri" w:cs="Calibri"/>
          <w:b w:val="0"/>
          <w:color w:val="auto"/>
          <w:lang w:val="en-GB" w:eastAsia="en-US"/>
        </w:rPr>
        <w:t>Priority Axis</w:t>
      </w:r>
      <w:r w:rsidRPr="00AE77A6">
        <w:rPr>
          <w:rFonts w:ascii="Calibri" w:eastAsia="Calibri" w:hAnsi="Calibri" w:cs="Calibri"/>
          <w:b w:val="0"/>
          <w:color w:val="auto"/>
          <w:lang w:val="en-GB" w:eastAsia="en-US"/>
        </w:rPr>
        <w:t xml:space="preserve"> 3. </w:t>
      </w:r>
    </w:p>
    <w:p w:rsidR="004A1ACF" w:rsidRDefault="004A1ACF">
      <w:pPr>
        <w:pStyle w:val="pracovn3"/>
        <w:spacing w:after="120" w:line="276" w:lineRule="auto"/>
        <w:rPr>
          <w:rFonts w:ascii="Calibri" w:eastAsia="Calibri" w:hAnsi="Calibri" w:cs="Calibri"/>
          <w:b w:val="0"/>
          <w:color w:val="auto"/>
          <w:lang w:val="en-GB" w:eastAsia="en-US"/>
        </w:rPr>
      </w:pPr>
    </w:p>
    <w:p w:rsidR="004A1ACF" w:rsidRPr="00AE77A6" w:rsidRDefault="004A1ACF">
      <w:pPr>
        <w:pStyle w:val="pracovn3"/>
        <w:spacing w:after="120" w:line="276" w:lineRule="auto"/>
        <w:rPr>
          <w:rFonts w:ascii="Calibri" w:eastAsia="Calibri" w:hAnsi="Calibri" w:cs="Calibri"/>
          <w:b w:val="0"/>
          <w:color w:val="auto"/>
          <w:lang w:val="en-GB" w:eastAsia="en-US"/>
        </w:rPr>
      </w:pPr>
    </w:p>
    <w:p w:rsidR="0095691A" w:rsidRPr="00AE77A6" w:rsidRDefault="0095691A">
      <w:pPr>
        <w:rPr>
          <w:rFonts w:cs="Calibri"/>
          <w:sz w:val="2"/>
          <w:lang w:val="en-GB"/>
        </w:rPr>
      </w:pPr>
    </w:p>
    <w:p w:rsidR="0095691A" w:rsidRPr="00AE77A6" w:rsidRDefault="009B2E6C">
      <w:pPr>
        <w:pStyle w:val="pracovn3"/>
        <w:spacing w:after="120" w:line="276" w:lineRule="auto"/>
        <w:rPr>
          <w:rFonts w:ascii="Calibri" w:hAnsi="Calibri" w:cs="Calibri"/>
          <w:color w:val="auto"/>
          <w:lang w:val="en-GB"/>
        </w:rPr>
      </w:pPr>
      <w:r w:rsidRPr="00AE77A6">
        <w:rPr>
          <w:rFonts w:ascii="Calibri" w:hAnsi="Calibri" w:cs="Calibri"/>
          <w:color w:val="auto"/>
          <w:lang w:val="en-GB"/>
        </w:rPr>
        <w:lastRenderedPageBreak/>
        <w:t>Ministry of the Environment</w:t>
      </w:r>
    </w:p>
    <w:p w:rsidR="0095691A" w:rsidRPr="00AE77A6" w:rsidRDefault="009B2E6C">
      <w:pPr>
        <w:spacing w:after="0"/>
        <w:rPr>
          <w:rFonts w:cs="Calibri"/>
          <w:lang w:val="en-GB"/>
        </w:rPr>
      </w:pPr>
      <w:r w:rsidRPr="00AE77A6">
        <w:rPr>
          <w:rFonts w:cs="Calibri"/>
          <w:lang w:val="en-GB"/>
        </w:rPr>
        <w:t xml:space="preserve">The strategic objective of the Operational Programme </w:t>
      </w:r>
      <w:r w:rsidRPr="005F2422">
        <w:rPr>
          <w:rFonts w:cs="Calibri"/>
          <w:i/>
          <w:lang w:val="en-GB"/>
        </w:rPr>
        <w:t>Environment</w:t>
      </w:r>
      <w:r w:rsidRPr="00AE77A6">
        <w:rPr>
          <w:rFonts w:cs="Calibri"/>
          <w:lang w:val="en-GB"/>
        </w:rPr>
        <w:t xml:space="preserve"> </w:t>
      </w:r>
      <w:r w:rsidR="005F2422">
        <w:rPr>
          <w:rFonts w:cs="Calibri"/>
          <w:lang w:val="en-GB"/>
        </w:rPr>
        <w:t xml:space="preserve">(“OPE”) in the programming period </w:t>
      </w:r>
      <w:r w:rsidRPr="00AE77A6">
        <w:rPr>
          <w:rFonts w:cs="Calibri"/>
          <w:lang w:val="en-GB"/>
        </w:rPr>
        <w:t>2007-2013</w:t>
      </w:r>
      <w:r w:rsidR="00AB0FD6" w:rsidRPr="00AE77A6">
        <w:rPr>
          <w:rFonts w:cs="Calibri"/>
          <w:lang w:val="en-GB"/>
        </w:rPr>
        <w:t>, which is</w:t>
      </w:r>
      <w:r w:rsidRPr="00AE77A6">
        <w:rPr>
          <w:rFonts w:cs="Calibri"/>
          <w:lang w:val="en-GB"/>
        </w:rPr>
        <w:t xml:space="preserve"> in the purview of the </w:t>
      </w:r>
      <w:proofErr w:type="spellStart"/>
      <w:r w:rsidRPr="00AE77A6">
        <w:rPr>
          <w:rFonts w:cs="Calibri"/>
          <w:lang w:val="en-GB"/>
        </w:rPr>
        <w:t>MoE</w:t>
      </w:r>
      <w:proofErr w:type="spellEnd"/>
      <w:r w:rsidR="00AB0FD6" w:rsidRPr="00AE77A6">
        <w:rPr>
          <w:rFonts w:cs="Calibri"/>
          <w:lang w:val="en-GB"/>
        </w:rPr>
        <w:t>,</w:t>
      </w:r>
      <w:r w:rsidRPr="00AE77A6">
        <w:rPr>
          <w:rFonts w:cs="Calibri"/>
          <w:lang w:val="en-GB"/>
        </w:rPr>
        <w:t xml:space="preserve"> is protection and improvement of the quality of the environment as the basic principle of sustainable development; </w:t>
      </w:r>
      <w:r w:rsidR="005F2422">
        <w:rPr>
          <w:rFonts w:cs="Calibri"/>
          <w:lang w:val="en-GB"/>
        </w:rPr>
        <w:t>t</w:t>
      </w:r>
      <w:r w:rsidRPr="00AE77A6">
        <w:rPr>
          <w:rFonts w:cs="Calibri"/>
          <w:lang w:val="en-GB"/>
        </w:rPr>
        <w:t>he fulfilment of the requirements of E</w:t>
      </w:r>
      <w:r w:rsidR="008901AF">
        <w:rPr>
          <w:rFonts w:cs="Calibri"/>
          <w:lang w:val="en-GB"/>
        </w:rPr>
        <w:t>U</w:t>
      </w:r>
      <w:r w:rsidRPr="00AE77A6">
        <w:rPr>
          <w:rFonts w:cs="Calibri"/>
          <w:lang w:val="en-GB"/>
        </w:rPr>
        <w:t xml:space="preserve"> environmental regulations and requirements ensuing from the Czech Republic’s other international commitments</w:t>
      </w:r>
      <w:r w:rsidR="005F2422" w:rsidRPr="005F2422">
        <w:rPr>
          <w:rFonts w:cs="Calibri"/>
          <w:lang w:val="en-GB"/>
        </w:rPr>
        <w:t xml:space="preserve"> </w:t>
      </w:r>
      <w:r w:rsidR="005F2422" w:rsidRPr="00AE77A6">
        <w:rPr>
          <w:rFonts w:cs="Calibri"/>
          <w:lang w:val="en-GB"/>
        </w:rPr>
        <w:t>is also important</w:t>
      </w:r>
      <w:r w:rsidRPr="00AE77A6">
        <w:rPr>
          <w:rFonts w:cs="Calibri"/>
          <w:lang w:val="en-GB"/>
        </w:rPr>
        <w:t xml:space="preserve">. As part of Priority Axis 3 </w:t>
      </w:r>
      <w:r w:rsidRPr="00AE77A6">
        <w:rPr>
          <w:rFonts w:cs="Calibri"/>
          <w:i/>
          <w:color w:val="000000"/>
          <w:lang w:val="en-GB"/>
        </w:rPr>
        <w:t xml:space="preserve">“Sustainable Use of Energy Sources”, </w:t>
      </w:r>
      <w:r w:rsidRPr="00AE77A6">
        <w:rPr>
          <w:rFonts w:cs="Calibri"/>
          <w:lang w:val="en-GB"/>
        </w:rPr>
        <w:t xml:space="preserve">it is directly focused on energy savings in Area </w:t>
      </w:r>
      <w:r w:rsidR="008901AF">
        <w:rPr>
          <w:rFonts w:cs="Calibri"/>
          <w:lang w:val="en-GB"/>
        </w:rPr>
        <w:t xml:space="preserve">of </w:t>
      </w:r>
      <w:r w:rsidR="008901AF" w:rsidRPr="00AE77A6">
        <w:rPr>
          <w:rFonts w:cs="Calibri"/>
          <w:lang w:val="en-GB"/>
        </w:rPr>
        <w:t xml:space="preserve">Intervention </w:t>
      </w:r>
      <w:r w:rsidRPr="00AE77A6">
        <w:rPr>
          <w:rFonts w:cs="Calibri"/>
          <w:lang w:val="en-GB"/>
        </w:rPr>
        <w:t xml:space="preserve">3.2 </w:t>
      </w:r>
      <w:r w:rsidRPr="00AE77A6">
        <w:rPr>
          <w:rFonts w:cs="Calibri"/>
          <w:i/>
          <w:lang w:val="en-GB"/>
        </w:rPr>
        <w:t xml:space="preserve">“Realisation of Energy Savings and </w:t>
      </w:r>
      <w:r w:rsidR="00103DBF">
        <w:rPr>
          <w:rFonts w:cs="Calibri"/>
          <w:i/>
          <w:lang w:val="en-GB"/>
        </w:rPr>
        <w:t xml:space="preserve">the </w:t>
      </w:r>
      <w:r w:rsidRPr="00AE77A6">
        <w:rPr>
          <w:rFonts w:cs="Calibri"/>
          <w:i/>
          <w:lang w:val="en-GB"/>
        </w:rPr>
        <w:t xml:space="preserve">Use of Waste Heat” </w:t>
      </w:r>
      <w:r w:rsidR="00103DBF">
        <w:rPr>
          <w:rFonts w:cs="Calibri"/>
          <w:iCs/>
          <w:lang w:val="en-GB"/>
        </w:rPr>
        <w:t>(</w:t>
      </w:r>
      <w:r w:rsidRPr="00AE77A6">
        <w:rPr>
          <w:rFonts w:cs="Calibri"/>
          <w:iCs/>
          <w:lang w:val="en-GB"/>
        </w:rPr>
        <w:t>“OP 3.2”).</w:t>
      </w:r>
      <w:r w:rsidRPr="00AE77A6">
        <w:rPr>
          <w:rFonts w:cs="Calibri"/>
          <w:lang w:val="en-GB"/>
        </w:rPr>
        <w:t xml:space="preserve"> The objective of OP 3.2 is to increase energy savings through technical measures, especially by promoting reduction of energy consumption of buildings belonging to the non-profit sector through more energy efficient building envelopes and more effective energy distribution systems. The s</w:t>
      </w:r>
      <w:r w:rsidR="00AB0FD6" w:rsidRPr="00AE77A6">
        <w:rPr>
          <w:rFonts w:cs="Calibri"/>
          <w:lang w:val="en-GB"/>
        </w:rPr>
        <w:t>pecific objectives of Priority Axis</w:t>
      </w:r>
      <w:r w:rsidRPr="00AE77A6">
        <w:rPr>
          <w:rFonts w:cs="Calibri"/>
          <w:lang w:val="en-GB"/>
        </w:rPr>
        <w:t xml:space="preserve"> 3 include greater use of waste heat, energy savings</w:t>
      </w:r>
      <w:r w:rsidR="00633912">
        <w:rPr>
          <w:rFonts w:cs="Calibri"/>
          <w:lang w:val="en-GB"/>
        </w:rPr>
        <w:t>,</w:t>
      </w:r>
      <w:r w:rsidRPr="00AE77A6">
        <w:rPr>
          <w:rFonts w:cs="Calibri"/>
          <w:lang w:val="en-GB"/>
        </w:rPr>
        <w:t xml:space="preserve"> and reduction of the energy consumed for heating. </w:t>
      </w:r>
    </w:p>
    <w:p w:rsidR="0095691A" w:rsidRPr="00AE77A6" w:rsidRDefault="00AB0FD6" w:rsidP="00AB0FD6">
      <w:pPr>
        <w:rPr>
          <w:rFonts w:cs="Calibri"/>
          <w:lang w:val="en-GB"/>
        </w:rPr>
      </w:pPr>
      <w:r w:rsidRPr="00AE77A6">
        <w:rPr>
          <w:rFonts w:cs="Calibri"/>
          <w:lang w:val="en-GB"/>
        </w:rPr>
        <w:t>Priority Axis</w:t>
      </w:r>
      <w:r w:rsidR="009B2E6C" w:rsidRPr="00AE77A6">
        <w:rPr>
          <w:rFonts w:cs="Calibri"/>
          <w:lang w:val="en-GB"/>
        </w:rPr>
        <w:t xml:space="preserve"> 3 utilises subsidies from the European Union through the </w:t>
      </w:r>
      <w:r w:rsidR="009B2E6C" w:rsidRPr="00633912">
        <w:rPr>
          <w:rFonts w:cs="Calibri"/>
          <w:i/>
          <w:lang w:val="en-GB"/>
        </w:rPr>
        <w:t>Cohesion Fund</w:t>
      </w:r>
      <w:r w:rsidR="009B2E6C" w:rsidRPr="00AE77A6">
        <w:rPr>
          <w:rFonts w:cs="Calibri"/>
          <w:lang w:val="en-GB"/>
        </w:rPr>
        <w:t>. The contribution from public resources</w:t>
      </w:r>
      <w:r w:rsidR="00397275">
        <w:rPr>
          <w:rFonts w:cs="Calibri"/>
          <w:lang w:val="en-GB"/>
        </w:rPr>
        <w:t>, which is</w:t>
      </w:r>
      <w:r w:rsidR="009B2E6C" w:rsidRPr="00AE77A6">
        <w:rPr>
          <w:rFonts w:cs="Calibri"/>
          <w:lang w:val="en-GB"/>
        </w:rPr>
        <w:t xml:space="preserve"> usually in the amount of 5% of eligible expenditure</w:t>
      </w:r>
      <w:r w:rsidR="00397275">
        <w:rPr>
          <w:rFonts w:cs="Calibri"/>
          <w:lang w:val="en-GB"/>
        </w:rPr>
        <w:t>,</w:t>
      </w:r>
      <w:r w:rsidR="009B2E6C" w:rsidRPr="00AE77A6">
        <w:rPr>
          <w:rFonts w:cs="Calibri"/>
          <w:lang w:val="en-GB"/>
        </w:rPr>
        <w:t xml:space="preserve"> is secured especially by resources from the State Environmental Fund of the Czech Republic (“SEF”). Allocation of resources to OP 3.2 was significantly boosted over the entire period of realisation of the OPE: the amount allocated from the </w:t>
      </w:r>
      <w:r w:rsidR="009B2E6C" w:rsidRPr="00397275">
        <w:rPr>
          <w:rFonts w:cs="Calibri"/>
          <w:i/>
          <w:lang w:val="en-GB"/>
        </w:rPr>
        <w:t>Cohesion Fund</w:t>
      </w:r>
      <w:r w:rsidR="009B2E6C" w:rsidRPr="00AE77A6">
        <w:rPr>
          <w:rFonts w:cs="Calibri"/>
          <w:lang w:val="en-GB"/>
        </w:rPr>
        <w:t xml:space="preserve"> increased from the original approx. EUR  310 million to EUR 793 </w:t>
      </w:r>
      <w:r w:rsidRPr="00AE77A6">
        <w:rPr>
          <w:rFonts w:cs="Calibri"/>
          <w:lang w:val="en-GB"/>
        </w:rPr>
        <w:t xml:space="preserve">million as at the end of 2014. </w:t>
      </w:r>
      <w:r w:rsidR="009B2E6C" w:rsidRPr="00AE77A6">
        <w:rPr>
          <w:rFonts w:cs="Calibri"/>
          <w:lang w:val="en-GB"/>
        </w:rPr>
        <w:t xml:space="preserve">In connection with this, the numerical value of the programme indicator </w:t>
      </w:r>
      <w:r w:rsidR="009B2E6C" w:rsidRPr="00AE77A6">
        <w:rPr>
          <w:rFonts w:cs="Calibri"/>
          <w:i/>
          <w:iCs/>
          <w:lang w:val="en-GB"/>
        </w:rPr>
        <w:t>“Reduction of Energy Consumption”</w:t>
      </w:r>
      <w:r w:rsidR="009B2E6C" w:rsidRPr="00AE77A6">
        <w:rPr>
          <w:rFonts w:cs="Calibri"/>
          <w:lang w:val="en-GB"/>
        </w:rPr>
        <w:t xml:space="preserve"> that expressed the objective of OP 3.2 was increased. The final value is </w:t>
      </w:r>
      <w:r w:rsidRPr="00AE77A6">
        <w:rPr>
          <w:rFonts w:cs="Calibri"/>
          <w:lang w:val="en-GB"/>
        </w:rPr>
        <w:t>an</w:t>
      </w:r>
      <w:r w:rsidR="009B2E6C" w:rsidRPr="00AE77A6">
        <w:rPr>
          <w:rFonts w:cs="Calibri"/>
          <w:lang w:val="en-GB"/>
        </w:rPr>
        <w:t xml:space="preserve"> annual reduction of energy consumption of 2 000 TJ.  </w:t>
      </w:r>
    </w:p>
    <w:p w:rsidR="0095691A" w:rsidRPr="00AE77A6" w:rsidRDefault="009B2E6C">
      <w:pPr>
        <w:rPr>
          <w:lang w:val="en-GB"/>
        </w:rPr>
      </w:pPr>
      <w:r w:rsidRPr="00AE77A6">
        <w:rPr>
          <w:lang w:val="en-GB"/>
        </w:rPr>
        <w:t>In Area</w:t>
      </w:r>
      <w:r w:rsidR="00F7665F">
        <w:rPr>
          <w:lang w:val="en-GB"/>
        </w:rPr>
        <w:t xml:space="preserve"> of</w:t>
      </w:r>
      <w:r w:rsidRPr="00AE77A6">
        <w:rPr>
          <w:lang w:val="en-GB"/>
        </w:rPr>
        <w:t xml:space="preserve"> </w:t>
      </w:r>
      <w:r w:rsidR="00F7665F" w:rsidRPr="00AE77A6">
        <w:rPr>
          <w:lang w:val="en-GB"/>
        </w:rPr>
        <w:t xml:space="preserve">Intervention </w:t>
      </w:r>
      <w:r w:rsidRPr="00AE77A6">
        <w:rPr>
          <w:lang w:val="en-GB"/>
        </w:rPr>
        <w:t xml:space="preserve">3.2 of the OPE, 12 calls for projects were announced. The SEF is responsible for checking the fulfilment of general and specific acceptability also by performing a point evaluation of the environmental relevance and technical level of the projects. </w:t>
      </w:r>
    </w:p>
    <w:p w:rsidR="0095691A" w:rsidRPr="00AE77A6" w:rsidRDefault="009B2E6C">
      <w:pPr>
        <w:pBdr>
          <w:top w:val="single" w:sz="4" w:space="1" w:color="auto"/>
          <w:left w:val="single" w:sz="4" w:space="4" w:color="auto"/>
          <w:bottom w:val="single" w:sz="4" w:space="1" w:color="auto"/>
          <w:right w:val="single" w:sz="4" w:space="4" w:color="auto"/>
        </w:pBdr>
        <w:shd w:val="clear" w:color="auto" w:fill="B6DDE8"/>
        <w:rPr>
          <w:rFonts w:cs="Calibri"/>
          <w:lang w:val="en-GB"/>
        </w:rPr>
      </w:pPr>
      <w:r w:rsidRPr="00AE77A6">
        <w:rPr>
          <w:lang w:val="en-GB"/>
        </w:rPr>
        <w:t xml:space="preserve">The audit found that the number of points required for an application to be approved was gradually reduced, which resulted in the softening of the conditions for granting subsidies.  For the SEF, </w:t>
      </w:r>
      <w:r w:rsidR="007C63AD">
        <w:rPr>
          <w:lang w:val="en-GB"/>
        </w:rPr>
        <w:t xml:space="preserve">for </w:t>
      </w:r>
      <w:r w:rsidRPr="00AE77A6">
        <w:rPr>
          <w:lang w:val="en-GB"/>
        </w:rPr>
        <w:t>the advisory bodies taking part in evaluating the applications</w:t>
      </w:r>
      <w:r w:rsidR="007C63AD">
        <w:rPr>
          <w:lang w:val="en-GB"/>
        </w:rPr>
        <w:t>,</w:t>
      </w:r>
      <w:r w:rsidRPr="00AE77A6">
        <w:rPr>
          <w:lang w:val="en-GB"/>
        </w:rPr>
        <w:t xml:space="preserve"> and </w:t>
      </w:r>
      <w:r w:rsidR="007C63AD">
        <w:rPr>
          <w:lang w:val="en-GB"/>
        </w:rPr>
        <w:t xml:space="preserve">for </w:t>
      </w:r>
      <w:r w:rsidRPr="00AE77A6">
        <w:rPr>
          <w:lang w:val="en-GB"/>
        </w:rPr>
        <w:t xml:space="preserve">the </w:t>
      </w:r>
      <w:r w:rsidR="00F7665F">
        <w:rPr>
          <w:lang w:val="en-GB"/>
        </w:rPr>
        <w:t>M</w:t>
      </w:r>
      <w:r w:rsidRPr="00AE77A6">
        <w:rPr>
          <w:lang w:val="en-GB"/>
        </w:rPr>
        <w:t xml:space="preserve">anaging </w:t>
      </w:r>
      <w:r w:rsidR="00F7665F">
        <w:rPr>
          <w:lang w:val="en-GB"/>
        </w:rPr>
        <w:t>A</w:t>
      </w:r>
      <w:r w:rsidRPr="00AE77A6">
        <w:rPr>
          <w:lang w:val="en-GB"/>
        </w:rPr>
        <w:t>uthority of the operational programme issuing decisions on awarding subsidies, however, achieving energy savings continued to be the basic criterion, and this was fulfilled.</w:t>
      </w:r>
    </w:p>
    <w:p w:rsidR="007C63AD" w:rsidRDefault="007C63AD">
      <w:pPr>
        <w:rPr>
          <w:rFonts w:cs="Calibri"/>
          <w:lang w:val="en-GB"/>
        </w:rPr>
      </w:pPr>
    </w:p>
    <w:p w:rsidR="0095691A" w:rsidRDefault="009B2E6C">
      <w:pPr>
        <w:rPr>
          <w:rFonts w:cs="Calibri"/>
          <w:lang w:val="en-GB"/>
        </w:rPr>
      </w:pPr>
      <w:r w:rsidRPr="00AE77A6">
        <w:rPr>
          <w:rFonts w:cs="Calibri"/>
          <w:lang w:val="en-GB"/>
        </w:rPr>
        <w:t xml:space="preserve">The </w:t>
      </w:r>
      <w:proofErr w:type="spellStart"/>
      <w:r w:rsidRPr="00AE77A6">
        <w:rPr>
          <w:rFonts w:cs="Calibri"/>
          <w:lang w:val="en-GB"/>
        </w:rPr>
        <w:t>MoE</w:t>
      </w:r>
      <w:proofErr w:type="spellEnd"/>
      <w:r w:rsidRPr="00AE77A6">
        <w:rPr>
          <w:rFonts w:cs="Calibri"/>
          <w:lang w:val="en-GB"/>
        </w:rPr>
        <w:t xml:space="preserve">, together with the SEF, monitors and assesses the </w:t>
      </w:r>
      <w:r w:rsidR="006510D2" w:rsidRPr="00AE77A6">
        <w:rPr>
          <w:rFonts w:cs="Calibri"/>
          <w:lang w:val="en-GB"/>
        </w:rPr>
        <w:t>fulfilment</w:t>
      </w:r>
      <w:r w:rsidRPr="00AE77A6">
        <w:rPr>
          <w:rFonts w:cs="Calibri"/>
          <w:lang w:val="en-GB"/>
        </w:rPr>
        <w:t xml:space="preserve"> of the indicators of the various projects as well as the development of indicators related to Intervention Area 3.2.   </w:t>
      </w:r>
    </w:p>
    <w:p w:rsidR="00CA2608" w:rsidRDefault="00CA2608">
      <w:pPr>
        <w:rPr>
          <w:rFonts w:cs="Calibri"/>
          <w:lang w:val="en-GB"/>
        </w:rPr>
      </w:pPr>
    </w:p>
    <w:p w:rsidR="00CA2608" w:rsidRDefault="00CA2608">
      <w:pPr>
        <w:rPr>
          <w:rFonts w:cs="Calibri"/>
          <w:lang w:val="en-GB"/>
        </w:rPr>
      </w:pPr>
    </w:p>
    <w:p w:rsidR="00CA2608" w:rsidRPr="00AE77A6" w:rsidRDefault="00CA2608">
      <w:pPr>
        <w:rPr>
          <w:rFonts w:cs="Calibri"/>
          <w:b/>
          <w:lang w:val="en-GB"/>
        </w:rPr>
      </w:pPr>
    </w:p>
    <w:p w:rsidR="0095691A" w:rsidRPr="00CA2608" w:rsidRDefault="009B2E6C">
      <w:pPr>
        <w:pStyle w:val="Odstavecseseznamem"/>
        <w:numPr>
          <w:ilvl w:val="0"/>
          <w:numId w:val="18"/>
        </w:numPr>
        <w:ind w:left="0" w:firstLine="0"/>
        <w:rPr>
          <w:rFonts w:cs="Calibri"/>
          <w:b/>
          <w:bCs/>
          <w:u w:val="single"/>
          <w:lang w:val="en-GB"/>
        </w:rPr>
      </w:pPr>
      <w:r w:rsidRPr="00CA2608">
        <w:rPr>
          <w:rFonts w:cs="Calibri"/>
          <w:b/>
          <w:bCs/>
          <w:lang w:val="en-GB"/>
        </w:rPr>
        <w:lastRenderedPageBreak/>
        <w:t xml:space="preserve">Indicator of </w:t>
      </w:r>
      <w:r w:rsidR="00AB0FD6" w:rsidRPr="00CA2608">
        <w:rPr>
          <w:rFonts w:cs="Calibri"/>
          <w:b/>
          <w:bCs/>
          <w:lang w:val="en-GB"/>
        </w:rPr>
        <w:t>Priority Axis</w:t>
      </w:r>
      <w:r w:rsidRPr="00CA2608">
        <w:rPr>
          <w:rFonts w:cs="Calibri"/>
          <w:b/>
          <w:bCs/>
          <w:lang w:val="en-GB"/>
        </w:rPr>
        <w:t xml:space="preserve"> 3 </w:t>
      </w:r>
      <w:r w:rsidRPr="00CA2608">
        <w:rPr>
          <w:rFonts w:cs="Calibri"/>
          <w:b/>
          <w:bCs/>
          <w:i/>
          <w:lang w:val="en-GB"/>
        </w:rPr>
        <w:t>“</w:t>
      </w:r>
      <w:r w:rsidR="006510D2" w:rsidRPr="00CA2608">
        <w:rPr>
          <w:rFonts w:cs="Calibri"/>
          <w:b/>
          <w:bCs/>
          <w:i/>
          <w:lang w:val="en-GB"/>
        </w:rPr>
        <w:t>Reduction of</w:t>
      </w:r>
      <w:r w:rsidRPr="00CA2608">
        <w:rPr>
          <w:rFonts w:cs="Calibri"/>
          <w:b/>
          <w:bCs/>
          <w:i/>
          <w:lang w:val="en-GB"/>
        </w:rPr>
        <w:t xml:space="preserve"> Energy Consumption” </w:t>
      </w:r>
      <w:r w:rsidRPr="00CA2608">
        <w:rPr>
          <w:rFonts w:cs="Calibri"/>
          <w:b/>
          <w:bCs/>
          <w:lang w:val="en-GB"/>
        </w:rPr>
        <w:t>- actual</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1"/>
        <w:gridCol w:w="2196"/>
        <w:gridCol w:w="1498"/>
        <w:gridCol w:w="1498"/>
        <w:gridCol w:w="1439"/>
      </w:tblGrid>
      <w:tr w:rsidR="00EB01AF" w:rsidRPr="00AE77A6" w:rsidTr="004D1641">
        <w:trPr>
          <w:trHeight w:val="300"/>
        </w:trPr>
        <w:tc>
          <w:tcPr>
            <w:tcW w:w="1401" w:type="pct"/>
            <w:shd w:val="clear" w:color="auto" w:fill="B6DDE8"/>
            <w:noWrap/>
            <w:vAlign w:val="center"/>
            <w:hideMark/>
          </w:tcPr>
          <w:p w:rsidR="0095691A" w:rsidRPr="00AE77A6" w:rsidRDefault="009B2E6C">
            <w:pPr>
              <w:spacing w:before="0" w:after="0"/>
              <w:jc w:val="center"/>
              <w:rPr>
                <w:rFonts w:cs="Calibri"/>
                <w:b/>
                <w:color w:val="000000"/>
                <w:sz w:val="22"/>
                <w:lang w:val="en-GB" w:eastAsia="cs-CZ"/>
              </w:rPr>
            </w:pPr>
            <w:r w:rsidRPr="00AE77A6">
              <w:rPr>
                <w:rFonts w:cs="Calibri"/>
                <w:b/>
                <w:color w:val="000000"/>
                <w:sz w:val="22"/>
                <w:lang w:val="en-GB" w:eastAsia="cs-CZ"/>
              </w:rPr>
              <w:t>Name of indicator</w:t>
            </w:r>
          </w:p>
        </w:tc>
        <w:tc>
          <w:tcPr>
            <w:tcW w:w="1192" w:type="pct"/>
            <w:shd w:val="clear" w:color="auto" w:fill="B6DDE8"/>
            <w:noWrap/>
            <w:vAlign w:val="center"/>
            <w:hideMark/>
          </w:tcPr>
          <w:p w:rsidR="0095691A" w:rsidRPr="00AE77A6" w:rsidRDefault="009B2E6C">
            <w:pPr>
              <w:spacing w:before="0" w:after="0"/>
              <w:jc w:val="center"/>
              <w:rPr>
                <w:rFonts w:cs="Calibri"/>
                <w:b/>
                <w:color w:val="000000"/>
                <w:sz w:val="22"/>
                <w:lang w:val="en-GB" w:eastAsia="cs-CZ"/>
              </w:rPr>
            </w:pPr>
            <w:r w:rsidRPr="00AE77A6">
              <w:rPr>
                <w:rFonts w:cs="Calibri"/>
                <w:b/>
                <w:color w:val="000000"/>
                <w:sz w:val="22"/>
                <w:lang w:val="en-GB" w:eastAsia="cs-CZ"/>
              </w:rPr>
              <w:t>Unit of measure</w:t>
            </w:r>
          </w:p>
        </w:tc>
        <w:tc>
          <w:tcPr>
            <w:tcW w:w="813" w:type="pct"/>
            <w:shd w:val="clear" w:color="auto" w:fill="B6DDE8"/>
            <w:noWrap/>
            <w:vAlign w:val="center"/>
            <w:hideMark/>
          </w:tcPr>
          <w:p w:rsidR="0095691A" w:rsidRPr="00AE77A6" w:rsidRDefault="009B2E6C">
            <w:pPr>
              <w:spacing w:before="0" w:after="0"/>
              <w:jc w:val="center"/>
              <w:rPr>
                <w:rFonts w:cs="Calibri"/>
                <w:b/>
                <w:color w:val="000000"/>
                <w:sz w:val="22"/>
                <w:lang w:val="en-GB" w:eastAsia="cs-CZ"/>
              </w:rPr>
            </w:pPr>
            <w:r w:rsidRPr="00AE77A6">
              <w:rPr>
                <w:rFonts w:cs="Calibri"/>
                <w:b/>
                <w:color w:val="000000"/>
                <w:sz w:val="22"/>
                <w:lang w:val="en-GB" w:eastAsia="cs-CZ"/>
              </w:rPr>
              <w:t>2012</w:t>
            </w:r>
          </w:p>
        </w:tc>
        <w:tc>
          <w:tcPr>
            <w:tcW w:w="813" w:type="pct"/>
            <w:shd w:val="clear" w:color="auto" w:fill="B6DDE8"/>
            <w:noWrap/>
            <w:vAlign w:val="center"/>
            <w:hideMark/>
          </w:tcPr>
          <w:p w:rsidR="0095691A" w:rsidRPr="00AE77A6" w:rsidRDefault="009B2E6C">
            <w:pPr>
              <w:spacing w:before="0" w:after="0"/>
              <w:jc w:val="center"/>
              <w:rPr>
                <w:rFonts w:cs="Calibri"/>
                <w:b/>
                <w:color w:val="000000"/>
                <w:sz w:val="22"/>
                <w:lang w:val="en-GB" w:eastAsia="cs-CZ"/>
              </w:rPr>
            </w:pPr>
            <w:r w:rsidRPr="00AE77A6">
              <w:rPr>
                <w:rFonts w:cs="Calibri"/>
                <w:b/>
                <w:color w:val="000000"/>
                <w:sz w:val="22"/>
                <w:lang w:val="en-GB" w:eastAsia="cs-CZ"/>
              </w:rPr>
              <w:t>2013</w:t>
            </w:r>
          </w:p>
        </w:tc>
        <w:tc>
          <w:tcPr>
            <w:tcW w:w="781" w:type="pct"/>
            <w:shd w:val="clear" w:color="auto" w:fill="B6DDE8"/>
          </w:tcPr>
          <w:p w:rsidR="0095691A" w:rsidRPr="00AE77A6" w:rsidRDefault="009B2E6C">
            <w:pPr>
              <w:spacing w:before="0" w:after="0"/>
              <w:jc w:val="center"/>
              <w:rPr>
                <w:rFonts w:cs="Calibri"/>
                <w:b/>
                <w:color w:val="000000"/>
                <w:sz w:val="22"/>
                <w:lang w:val="en-GB" w:eastAsia="cs-CZ"/>
              </w:rPr>
            </w:pPr>
            <w:r w:rsidRPr="00AE77A6">
              <w:rPr>
                <w:rFonts w:cs="Calibri"/>
                <w:b/>
                <w:color w:val="000000"/>
                <w:sz w:val="22"/>
                <w:lang w:val="en-GB" w:eastAsia="cs-CZ"/>
              </w:rPr>
              <w:t>2014</w:t>
            </w:r>
          </w:p>
        </w:tc>
      </w:tr>
      <w:tr w:rsidR="00EB01AF" w:rsidRPr="00AE77A6" w:rsidTr="008F2EDA">
        <w:trPr>
          <w:trHeight w:val="300"/>
        </w:trPr>
        <w:tc>
          <w:tcPr>
            <w:tcW w:w="1401" w:type="pct"/>
            <w:shd w:val="clear" w:color="auto" w:fill="auto"/>
            <w:vAlign w:val="center"/>
            <w:hideMark/>
          </w:tcPr>
          <w:p w:rsidR="0095691A" w:rsidRPr="00AE77A6" w:rsidRDefault="009B2E6C">
            <w:pPr>
              <w:spacing w:before="0" w:after="0"/>
              <w:jc w:val="left"/>
              <w:rPr>
                <w:rFonts w:cs="Calibri"/>
                <w:color w:val="000000"/>
                <w:sz w:val="22"/>
                <w:lang w:val="en-GB" w:eastAsia="cs-CZ"/>
              </w:rPr>
            </w:pPr>
            <w:r w:rsidRPr="00AE77A6">
              <w:rPr>
                <w:rFonts w:cs="Calibri"/>
                <w:color w:val="000000"/>
                <w:sz w:val="22"/>
                <w:lang w:val="en-GB" w:eastAsia="cs-CZ"/>
              </w:rPr>
              <w:t>Reduction of energy consumption</w:t>
            </w:r>
          </w:p>
        </w:tc>
        <w:tc>
          <w:tcPr>
            <w:tcW w:w="1192" w:type="pct"/>
            <w:shd w:val="clear" w:color="auto" w:fill="auto"/>
            <w:vAlign w:val="center"/>
          </w:tcPr>
          <w:p w:rsidR="0095691A" w:rsidRPr="00AE77A6" w:rsidRDefault="009B2E6C">
            <w:pPr>
              <w:spacing w:before="0" w:after="0"/>
              <w:jc w:val="center"/>
              <w:rPr>
                <w:rFonts w:cs="Calibri"/>
                <w:color w:val="000000"/>
                <w:sz w:val="22"/>
                <w:lang w:val="en-GB" w:eastAsia="cs-CZ"/>
              </w:rPr>
            </w:pPr>
            <w:r w:rsidRPr="00AE77A6">
              <w:rPr>
                <w:rFonts w:cs="Calibri"/>
                <w:color w:val="000000"/>
                <w:sz w:val="22"/>
                <w:lang w:val="en-GB" w:eastAsia="cs-CZ"/>
              </w:rPr>
              <w:t>TJ/year</w:t>
            </w:r>
          </w:p>
        </w:tc>
        <w:tc>
          <w:tcPr>
            <w:tcW w:w="813" w:type="pct"/>
            <w:shd w:val="clear" w:color="auto" w:fill="auto"/>
            <w:noWrap/>
            <w:vAlign w:val="center"/>
            <w:hideMark/>
          </w:tcPr>
          <w:p w:rsidR="0095691A" w:rsidRPr="00AE77A6" w:rsidRDefault="009B2E6C" w:rsidP="00A36161">
            <w:pPr>
              <w:spacing w:before="0" w:after="0"/>
              <w:jc w:val="center"/>
              <w:rPr>
                <w:rFonts w:cs="Calibri"/>
                <w:color w:val="000000"/>
                <w:sz w:val="22"/>
                <w:lang w:val="en-GB"/>
              </w:rPr>
            </w:pPr>
            <w:r w:rsidRPr="00AE77A6">
              <w:rPr>
                <w:rFonts w:cs="Calibri"/>
                <w:color w:val="000000"/>
                <w:sz w:val="22"/>
                <w:lang w:val="en-GB"/>
              </w:rPr>
              <w:t>257.05</w:t>
            </w:r>
          </w:p>
        </w:tc>
        <w:tc>
          <w:tcPr>
            <w:tcW w:w="813" w:type="pct"/>
            <w:shd w:val="clear" w:color="auto" w:fill="auto"/>
            <w:noWrap/>
            <w:vAlign w:val="center"/>
            <w:hideMark/>
          </w:tcPr>
          <w:p w:rsidR="0095691A" w:rsidRPr="00AE77A6" w:rsidRDefault="009B2E6C" w:rsidP="00A36161">
            <w:pPr>
              <w:spacing w:before="0" w:after="0"/>
              <w:jc w:val="center"/>
              <w:rPr>
                <w:rFonts w:cs="Calibri"/>
                <w:color w:val="000000"/>
                <w:sz w:val="22"/>
                <w:lang w:val="en-GB"/>
              </w:rPr>
            </w:pPr>
            <w:r w:rsidRPr="00AE77A6">
              <w:rPr>
                <w:rFonts w:cs="Calibri"/>
                <w:color w:val="000000"/>
                <w:sz w:val="22"/>
                <w:lang w:val="en-GB"/>
              </w:rPr>
              <w:t>398.86</w:t>
            </w:r>
          </w:p>
        </w:tc>
        <w:tc>
          <w:tcPr>
            <w:tcW w:w="781" w:type="pct"/>
            <w:vAlign w:val="center"/>
          </w:tcPr>
          <w:p w:rsidR="0095691A" w:rsidRPr="00AE77A6" w:rsidRDefault="009B2E6C" w:rsidP="00A36161">
            <w:pPr>
              <w:spacing w:before="0" w:after="0"/>
              <w:jc w:val="center"/>
              <w:rPr>
                <w:rFonts w:cs="Calibri"/>
                <w:color w:val="000000"/>
                <w:sz w:val="22"/>
                <w:lang w:val="en-GB"/>
              </w:rPr>
            </w:pPr>
            <w:r w:rsidRPr="00AE77A6">
              <w:rPr>
                <w:rFonts w:cs="Calibri"/>
                <w:color w:val="000000"/>
                <w:sz w:val="22"/>
                <w:lang w:val="en-GB"/>
              </w:rPr>
              <w:t>1 206.92</w:t>
            </w:r>
          </w:p>
        </w:tc>
      </w:tr>
    </w:tbl>
    <w:p w:rsidR="0095691A" w:rsidRPr="00AE77A6" w:rsidRDefault="009B2E6C">
      <w:pPr>
        <w:rPr>
          <w:rFonts w:cs="Calibri"/>
          <w:bCs/>
          <w:i/>
          <w:sz w:val="20"/>
          <w:lang w:val="en-GB"/>
        </w:rPr>
      </w:pPr>
      <w:r w:rsidRPr="00AE77A6">
        <w:rPr>
          <w:rFonts w:cs="Calibri"/>
          <w:bCs/>
          <w:i/>
          <w:sz w:val="20"/>
          <w:lang w:val="en-GB"/>
        </w:rPr>
        <w:t>Source: OPE Annual Reports for 2012, 2013</w:t>
      </w:r>
      <w:r w:rsidR="00A36161">
        <w:rPr>
          <w:rFonts w:cs="Calibri"/>
          <w:bCs/>
          <w:i/>
          <w:sz w:val="20"/>
          <w:lang w:val="en-GB"/>
        </w:rPr>
        <w:t>,</w:t>
      </w:r>
      <w:r w:rsidRPr="00AE77A6">
        <w:rPr>
          <w:rFonts w:cs="Calibri"/>
          <w:bCs/>
          <w:i/>
          <w:sz w:val="20"/>
          <w:lang w:val="en-GB"/>
        </w:rPr>
        <w:t xml:space="preserve"> and 2014</w:t>
      </w:r>
    </w:p>
    <w:p w:rsidR="00A36161" w:rsidRDefault="00A36161">
      <w:pPr>
        <w:rPr>
          <w:rFonts w:cs="Calibri"/>
          <w:lang w:val="en-GB"/>
        </w:rPr>
      </w:pPr>
    </w:p>
    <w:p w:rsidR="0095691A" w:rsidRPr="00AE77A6" w:rsidRDefault="009B2E6C">
      <w:pPr>
        <w:rPr>
          <w:rFonts w:cs="Calibri"/>
          <w:lang w:val="en-GB"/>
        </w:rPr>
      </w:pPr>
      <w:r w:rsidRPr="00AE77A6">
        <w:rPr>
          <w:rFonts w:cs="Calibri"/>
          <w:lang w:val="en-GB"/>
        </w:rPr>
        <w:t xml:space="preserve">As at 31 December 2014, CZK 18.637 billion was paid out, with 1 206.92 TJ of energy being </w:t>
      </w:r>
      <w:r w:rsidR="004A6209">
        <w:rPr>
          <w:rFonts w:cs="Calibri"/>
          <w:lang w:val="en-GB"/>
        </w:rPr>
        <w:t>saved</w:t>
      </w:r>
      <w:r w:rsidRPr="00AE77A6">
        <w:rPr>
          <w:rFonts w:cs="Calibri"/>
          <w:lang w:val="en-GB"/>
        </w:rPr>
        <w:t xml:space="preserve"> for the year, and a decision was issued to earmark CZK 20.868 billion, with the aim of attaining energy savings of 3 600 TJ.  The conditions for meeting or exceeding the objective expressed by the indicator “</w:t>
      </w:r>
      <w:r w:rsidRPr="004A6209">
        <w:rPr>
          <w:rFonts w:cs="Calibri"/>
          <w:i/>
          <w:lang w:val="en-GB"/>
        </w:rPr>
        <w:t>Reduction of Energy Consumption</w:t>
      </w:r>
      <w:r w:rsidRPr="00AE77A6">
        <w:rPr>
          <w:rFonts w:cs="Calibri"/>
          <w:lang w:val="en-GB"/>
        </w:rPr>
        <w:t>” have thus been created.</w:t>
      </w:r>
    </w:p>
    <w:p w:rsidR="0095691A" w:rsidRPr="00AE77A6" w:rsidRDefault="009B2E6C">
      <w:pPr>
        <w:spacing w:after="0"/>
        <w:rPr>
          <w:rFonts w:cs="Calibri"/>
          <w:lang w:val="en-GB"/>
        </w:rPr>
      </w:pPr>
      <w:r w:rsidRPr="00AE77A6">
        <w:rPr>
          <w:rFonts w:cs="Calibri"/>
          <w:lang w:val="en-GB"/>
        </w:rPr>
        <w:t xml:space="preserve">There are a further four “Green </w:t>
      </w:r>
      <w:r w:rsidR="004A6209">
        <w:rPr>
          <w:rFonts w:cs="Calibri"/>
          <w:lang w:val="en-GB"/>
        </w:rPr>
        <w:t>S</w:t>
      </w:r>
      <w:r w:rsidRPr="00AE77A6">
        <w:rPr>
          <w:rFonts w:cs="Calibri"/>
          <w:lang w:val="en-GB"/>
        </w:rPr>
        <w:t xml:space="preserve">avings” programmes running under the </w:t>
      </w:r>
      <w:proofErr w:type="spellStart"/>
      <w:r w:rsidRPr="00AE77A6">
        <w:rPr>
          <w:rFonts w:cs="Calibri"/>
          <w:lang w:val="en-GB"/>
        </w:rPr>
        <w:t>MoE</w:t>
      </w:r>
      <w:proofErr w:type="spellEnd"/>
      <w:r w:rsidRPr="00AE77A6">
        <w:rPr>
          <w:rFonts w:cs="Calibri"/>
          <w:lang w:val="en-GB"/>
        </w:rPr>
        <w:t>. These programmes are aimed at saving energy</w:t>
      </w:r>
      <w:r w:rsidR="006510D2" w:rsidRPr="00AE77A6">
        <w:rPr>
          <w:rFonts w:cs="Calibri"/>
          <w:lang w:val="en-GB"/>
        </w:rPr>
        <w:t xml:space="preserve"> used</w:t>
      </w:r>
      <w:r w:rsidRPr="00AE77A6">
        <w:rPr>
          <w:rFonts w:cs="Calibri"/>
          <w:lang w:val="en-GB"/>
        </w:rPr>
        <w:t xml:space="preserve"> for heating.  The financing differs for each programme and, as a result, so do the administration procedures. </w:t>
      </w:r>
    </w:p>
    <w:p w:rsidR="0095691A" w:rsidRPr="00AE77A6" w:rsidRDefault="009B2E6C" w:rsidP="006510D2">
      <w:pPr>
        <w:pStyle w:val="Odstavecseseznamem"/>
        <w:numPr>
          <w:ilvl w:val="0"/>
          <w:numId w:val="32"/>
        </w:numPr>
        <w:rPr>
          <w:rFonts w:cs="Calibri"/>
          <w:lang w:val="en-GB"/>
        </w:rPr>
      </w:pPr>
      <w:r w:rsidRPr="00AC5348">
        <w:rPr>
          <w:rFonts w:cs="Calibri"/>
          <w:i/>
          <w:lang w:val="en-GB"/>
        </w:rPr>
        <w:t>Green Savings (residential housing)</w:t>
      </w:r>
      <w:r w:rsidRPr="00AE77A6">
        <w:rPr>
          <w:rFonts w:cs="Calibri"/>
          <w:lang w:val="en-GB"/>
        </w:rPr>
        <w:t xml:space="preserve"> programme</w:t>
      </w:r>
      <w:r w:rsidR="006510D2" w:rsidRPr="00AE77A6">
        <w:rPr>
          <w:rFonts w:cs="Calibri"/>
          <w:lang w:val="en-GB"/>
        </w:rPr>
        <w:t>,</w:t>
      </w:r>
      <w:r w:rsidRPr="00AE77A6">
        <w:rPr>
          <w:rFonts w:cs="Calibri"/>
          <w:lang w:val="en-GB"/>
        </w:rPr>
        <w:t xml:space="preserve"> launched in 2009, </w:t>
      </w:r>
      <w:r w:rsidR="006510D2" w:rsidRPr="00AE77A6">
        <w:rPr>
          <w:rFonts w:cs="Calibri"/>
          <w:lang w:val="en-GB"/>
        </w:rPr>
        <w:t>allocation in excess of</w:t>
      </w:r>
      <w:r w:rsidRPr="00AE77A6">
        <w:rPr>
          <w:rFonts w:cs="Calibri"/>
          <w:lang w:val="en-GB"/>
        </w:rPr>
        <w:t xml:space="preserve"> CZK 20 billion (amount obtained </w:t>
      </w:r>
      <w:r w:rsidR="006510D2" w:rsidRPr="00AE77A6">
        <w:rPr>
          <w:rFonts w:cs="Calibri"/>
          <w:lang w:val="en-GB"/>
        </w:rPr>
        <w:t>from</w:t>
      </w:r>
      <w:r w:rsidRPr="00AE77A6">
        <w:rPr>
          <w:rFonts w:cs="Calibri"/>
          <w:lang w:val="en-GB"/>
        </w:rPr>
        <w:t xml:space="preserve"> AAU</w:t>
      </w:r>
      <w:r w:rsidR="006510D2" w:rsidRPr="00AE77A6">
        <w:rPr>
          <w:rStyle w:val="Znakapoznpodarou"/>
          <w:rFonts w:cs="Calibri"/>
          <w:lang w:val="en-GB"/>
        </w:rPr>
        <w:footnoteReference w:id="9"/>
      </w:r>
      <w:r w:rsidRPr="00AE77A6">
        <w:rPr>
          <w:rFonts w:cs="Calibri"/>
          <w:lang w:val="en-GB"/>
        </w:rPr>
        <w:t xml:space="preserve"> sales), the acceptance of applications </w:t>
      </w:r>
      <w:r w:rsidR="006510D2" w:rsidRPr="00AE77A6">
        <w:rPr>
          <w:rFonts w:cs="Calibri"/>
          <w:lang w:val="en-GB"/>
        </w:rPr>
        <w:t>closed</w:t>
      </w:r>
      <w:r w:rsidRPr="00AE77A6">
        <w:rPr>
          <w:rFonts w:cs="Calibri"/>
          <w:lang w:val="en-GB"/>
        </w:rPr>
        <w:t>, fund utilisation ended at</w:t>
      </w:r>
      <w:r w:rsidR="006510D2" w:rsidRPr="00AE77A6">
        <w:rPr>
          <w:rFonts w:cs="Calibri"/>
          <w:lang w:val="en-GB"/>
        </w:rPr>
        <w:t xml:space="preserve"> more </w:t>
      </w:r>
      <w:r w:rsidR="00AE77A6" w:rsidRPr="00AE77A6">
        <w:rPr>
          <w:rFonts w:cs="Calibri"/>
          <w:lang w:val="en-GB"/>
        </w:rPr>
        <w:t>than 99</w:t>
      </w:r>
      <w:r w:rsidRPr="00AE77A6">
        <w:rPr>
          <w:rFonts w:cs="Calibri"/>
          <w:lang w:val="en-GB"/>
        </w:rPr>
        <w:t xml:space="preserve">%.  As at 30 June 2014, a total of CZK 20.254 </w:t>
      </w:r>
      <w:r w:rsidR="00AC5348">
        <w:rPr>
          <w:rFonts w:cs="Calibri"/>
          <w:lang w:val="en-GB"/>
        </w:rPr>
        <w:t xml:space="preserve">billion </w:t>
      </w:r>
      <w:r w:rsidRPr="00AE77A6">
        <w:rPr>
          <w:rFonts w:cs="Calibri"/>
          <w:lang w:val="en-GB"/>
        </w:rPr>
        <w:t>was paid out to 74 061 projects. Annual energy savings for heating of approx. 4 700 TJ were achieved, which is in line with the approved programme objectives.</w:t>
      </w:r>
    </w:p>
    <w:p w:rsidR="0095691A" w:rsidRPr="00AE77A6" w:rsidRDefault="009B2E6C" w:rsidP="006510D2">
      <w:pPr>
        <w:pStyle w:val="Odstavecseseznamem"/>
        <w:numPr>
          <w:ilvl w:val="0"/>
          <w:numId w:val="9"/>
        </w:numPr>
        <w:ind w:left="709" w:hanging="283"/>
        <w:rPr>
          <w:rFonts w:cs="Calibri"/>
          <w:lang w:val="en-GB"/>
        </w:rPr>
      </w:pPr>
      <w:r w:rsidRPr="006010B5">
        <w:rPr>
          <w:rFonts w:cs="Calibri"/>
          <w:i/>
          <w:lang w:val="en-GB"/>
        </w:rPr>
        <w:t>Green Savings (public buildings)</w:t>
      </w:r>
      <w:r w:rsidRPr="00AE77A6">
        <w:rPr>
          <w:rFonts w:cs="Calibri"/>
          <w:lang w:val="en-GB"/>
        </w:rPr>
        <w:t xml:space="preserve"> programme</w:t>
      </w:r>
      <w:r w:rsidR="006510D2" w:rsidRPr="00AE77A6">
        <w:rPr>
          <w:rFonts w:cs="Calibri"/>
          <w:lang w:val="en-GB"/>
        </w:rPr>
        <w:t>,</w:t>
      </w:r>
      <w:r w:rsidRPr="00AE77A6">
        <w:rPr>
          <w:rFonts w:cs="Calibri"/>
          <w:lang w:val="en-GB"/>
        </w:rPr>
        <w:t xml:space="preserve"> </w:t>
      </w:r>
      <w:r w:rsidR="006510D2" w:rsidRPr="00AE77A6">
        <w:rPr>
          <w:rFonts w:cs="Calibri"/>
          <w:lang w:val="en-GB"/>
        </w:rPr>
        <w:t xml:space="preserve">utilisation commenced in 2013, resources </w:t>
      </w:r>
      <w:r w:rsidRPr="00AE77A6">
        <w:rPr>
          <w:rFonts w:cs="Calibri"/>
          <w:lang w:val="en-GB"/>
        </w:rPr>
        <w:t>main</w:t>
      </w:r>
      <w:r w:rsidR="006510D2" w:rsidRPr="00AE77A6">
        <w:rPr>
          <w:rFonts w:cs="Calibri"/>
          <w:lang w:val="en-GB"/>
        </w:rPr>
        <w:t>ly</w:t>
      </w:r>
      <w:r w:rsidRPr="00AE77A6">
        <w:rPr>
          <w:rFonts w:cs="Calibri"/>
          <w:lang w:val="en-GB"/>
        </w:rPr>
        <w:t xml:space="preserve"> from the state budget</w:t>
      </w:r>
      <w:r w:rsidR="006510D2" w:rsidRPr="00AE77A6">
        <w:rPr>
          <w:rFonts w:cs="Calibri"/>
          <w:lang w:val="en-GB"/>
        </w:rPr>
        <w:t>, allocation of CZK 0.4 billion</w:t>
      </w:r>
      <w:r w:rsidRPr="00AE77A6">
        <w:rPr>
          <w:rFonts w:cs="Calibri"/>
          <w:lang w:val="en-GB"/>
        </w:rPr>
        <w:t xml:space="preserve">.  </w:t>
      </w:r>
    </w:p>
    <w:p w:rsidR="006510D2" w:rsidRPr="00AE77A6" w:rsidRDefault="009B2E6C" w:rsidP="006510D2">
      <w:pPr>
        <w:pStyle w:val="Odstavecseseznamem"/>
        <w:numPr>
          <w:ilvl w:val="0"/>
          <w:numId w:val="9"/>
        </w:numPr>
        <w:ind w:left="709" w:hanging="283"/>
        <w:rPr>
          <w:rFonts w:cs="Calibri"/>
          <w:lang w:val="en-GB"/>
        </w:rPr>
      </w:pPr>
      <w:r w:rsidRPr="006010B5">
        <w:rPr>
          <w:rFonts w:cs="Calibri"/>
          <w:i/>
          <w:lang w:val="en-GB"/>
        </w:rPr>
        <w:t>New Gree</w:t>
      </w:r>
      <w:r w:rsidR="006510D2" w:rsidRPr="006010B5">
        <w:rPr>
          <w:rFonts w:cs="Calibri"/>
          <w:i/>
          <w:lang w:val="en-GB"/>
        </w:rPr>
        <w:t>n Savings 2013</w:t>
      </w:r>
      <w:r w:rsidR="006510D2" w:rsidRPr="00AE77A6">
        <w:rPr>
          <w:rFonts w:cs="Calibri"/>
          <w:lang w:val="en-GB"/>
        </w:rPr>
        <w:t>, programme</w:t>
      </w:r>
      <w:r w:rsidRPr="00AE77A6">
        <w:rPr>
          <w:rFonts w:cs="Calibri"/>
          <w:lang w:val="en-GB"/>
        </w:rPr>
        <w:t xml:space="preserve"> launched in 2013</w:t>
      </w:r>
      <w:r w:rsidR="006510D2" w:rsidRPr="00AE77A6">
        <w:rPr>
          <w:rFonts w:cs="Calibri"/>
          <w:lang w:val="en-GB"/>
        </w:rPr>
        <w:t xml:space="preserve">, </w:t>
      </w:r>
      <w:r w:rsidR="00FE5C4E">
        <w:rPr>
          <w:rFonts w:cs="Calibri"/>
          <w:lang w:val="en-GB"/>
        </w:rPr>
        <w:t xml:space="preserve">financed from the SEF sources, </w:t>
      </w:r>
      <w:r w:rsidR="006510D2" w:rsidRPr="00AE77A6">
        <w:rPr>
          <w:rFonts w:cs="Calibri"/>
          <w:lang w:val="en-GB"/>
        </w:rPr>
        <w:t>allocation of</w:t>
      </w:r>
      <w:r w:rsidRPr="00AE77A6">
        <w:rPr>
          <w:rFonts w:cs="Calibri"/>
          <w:lang w:val="en-GB"/>
        </w:rPr>
        <w:t xml:space="preserve"> CZK</w:t>
      </w:r>
      <w:r w:rsidR="006510D2" w:rsidRPr="00AE77A6">
        <w:rPr>
          <w:rFonts w:cs="Calibri"/>
          <w:lang w:val="en-GB"/>
        </w:rPr>
        <w:t xml:space="preserve"> 1 </w:t>
      </w:r>
      <w:r w:rsidRPr="00AE77A6">
        <w:rPr>
          <w:rFonts w:cs="Calibri"/>
          <w:lang w:val="en-GB"/>
        </w:rPr>
        <w:t>billion (call)</w:t>
      </w:r>
      <w:r w:rsidR="006510D2" w:rsidRPr="00AE77A6">
        <w:rPr>
          <w:rFonts w:cs="Calibri"/>
          <w:lang w:val="en-GB"/>
        </w:rPr>
        <w:t>,</w:t>
      </w:r>
      <w:r w:rsidRPr="00AE77A6">
        <w:rPr>
          <w:rFonts w:cs="Calibri"/>
          <w:lang w:val="en-GB"/>
        </w:rPr>
        <w:t xml:space="preserve"> acc</w:t>
      </w:r>
      <w:r w:rsidR="006510D2" w:rsidRPr="00AE77A6">
        <w:rPr>
          <w:rFonts w:cs="Calibri"/>
          <w:lang w:val="en-GB"/>
        </w:rPr>
        <w:t>eptance of applications closed.</w:t>
      </w:r>
    </w:p>
    <w:p w:rsidR="0095691A" w:rsidRPr="00AE77A6" w:rsidRDefault="009B2E6C" w:rsidP="006510D2">
      <w:pPr>
        <w:pStyle w:val="Odstavecseseznamem"/>
        <w:numPr>
          <w:ilvl w:val="0"/>
          <w:numId w:val="9"/>
        </w:numPr>
        <w:ind w:left="709" w:hanging="283"/>
        <w:rPr>
          <w:lang w:val="en-GB"/>
        </w:rPr>
      </w:pPr>
      <w:r w:rsidRPr="00FE5C4E">
        <w:rPr>
          <w:rFonts w:cs="Calibri"/>
          <w:i/>
          <w:lang w:val="en-GB"/>
        </w:rPr>
        <w:t>New Green Savings</w:t>
      </w:r>
      <w:r w:rsidRPr="00AE77A6">
        <w:rPr>
          <w:rFonts w:cs="Calibri"/>
          <w:lang w:val="en-GB"/>
        </w:rPr>
        <w:t xml:space="preserve"> Pr</w:t>
      </w:r>
      <w:r w:rsidR="006510D2" w:rsidRPr="00AE77A6">
        <w:rPr>
          <w:rFonts w:cs="Calibri"/>
          <w:lang w:val="en-GB"/>
        </w:rPr>
        <w:t>ogramme,</w:t>
      </w:r>
      <w:r w:rsidRPr="00AE77A6">
        <w:rPr>
          <w:rFonts w:cs="Calibri"/>
          <w:lang w:val="en-GB"/>
        </w:rPr>
        <w:t xml:space="preserve"> launched in 2014, </w:t>
      </w:r>
      <w:r w:rsidR="006510D2" w:rsidRPr="00AE77A6">
        <w:rPr>
          <w:rFonts w:cs="Calibri"/>
          <w:lang w:val="en-GB"/>
        </w:rPr>
        <w:t xml:space="preserve">resources from </w:t>
      </w:r>
      <w:r w:rsidR="008D0092">
        <w:rPr>
          <w:rFonts w:cs="Calibri"/>
          <w:lang w:val="en-GB"/>
        </w:rPr>
        <w:t xml:space="preserve">the </w:t>
      </w:r>
      <w:r w:rsidR="00FE5C4E">
        <w:rPr>
          <w:rFonts w:cs="Calibri"/>
          <w:lang w:val="en-GB"/>
        </w:rPr>
        <w:t>s</w:t>
      </w:r>
      <w:r w:rsidR="006510D2" w:rsidRPr="00AE77A6">
        <w:rPr>
          <w:rFonts w:cs="Calibri"/>
          <w:lang w:val="en-GB"/>
        </w:rPr>
        <w:t xml:space="preserve">tate budget </w:t>
      </w:r>
      <w:r w:rsidRPr="00AE77A6">
        <w:rPr>
          <w:rFonts w:cs="Calibri"/>
          <w:lang w:val="en-GB"/>
        </w:rPr>
        <w:t>(sale of emission allowances),</w:t>
      </w:r>
      <w:r w:rsidR="006510D2" w:rsidRPr="00AE77A6">
        <w:rPr>
          <w:rStyle w:val="Znakapoznpodarou"/>
          <w:rFonts w:cs="Calibri"/>
          <w:lang w:val="en-GB"/>
        </w:rPr>
        <w:t xml:space="preserve"> </w:t>
      </w:r>
      <w:r w:rsidR="006510D2" w:rsidRPr="00AE77A6">
        <w:rPr>
          <w:rStyle w:val="Znakapoznpodarou"/>
          <w:rFonts w:cs="Calibri"/>
          <w:lang w:val="en-GB"/>
        </w:rPr>
        <w:footnoteReference w:id="10"/>
      </w:r>
      <w:r w:rsidRPr="00AE77A6">
        <w:rPr>
          <w:rFonts w:cs="Calibri"/>
          <w:lang w:val="en-GB"/>
        </w:rPr>
        <w:t xml:space="preserve"> total allocation under the programme</w:t>
      </w:r>
      <w:r w:rsidR="006510D2" w:rsidRPr="00AE77A6">
        <w:rPr>
          <w:rFonts w:cs="Calibri"/>
          <w:lang w:val="en-GB"/>
        </w:rPr>
        <w:t>:</w:t>
      </w:r>
      <w:r w:rsidRPr="00AE77A6">
        <w:rPr>
          <w:rFonts w:cs="Calibri"/>
          <w:lang w:val="en-GB"/>
        </w:rPr>
        <w:t xml:space="preserve"> </w:t>
      </w:r>
      <w:r w:rsidR="006510D2" w:rsidRPr="00AE77A6">
        <w:rPr>
          <w:rFonts w:cs="Calibri"/>
          <w:lang w:val="en-GB"/>
        </w:rPr>
        <w:t>CZK 27 billion by 20</w:t>
      </w:r>
      <w:r w:rsidR="003B5D03">
        <w:rPr>
          <w:rFonts w:cs="Calibri"/>
          <w:lang w:val="en-GB"/>
        </w:rPr>
        <w:t>2</w:t>
      </w:r>
      <w:r w:rsidR="006510D2" w:rsidRPr="00AE77A6">
        <w:rPr>
          <w:rFonts w:cs="Calibri"/>
          <w:lang w:val="en-GB"/>
        </w:rPr>
        <w:t xml:space="preserve">3; </w:t>
      </w:r>
      <w:r w:rsidRPr="00AE77A6">
        <w:rPr>
          <w:rFonts w:cs="Calibri"/>
          <w:lang w:val="en-GB"/>
        </w:rPr>
        <w:t>allocations in 2014 and 2015 in con</w:t>
      </w:r>
      <w:r w:rsidR="006510D2" w:rsidRPr="00AE77A6">
        <w:rPr>
          <w:rFonts w:cs="Calibri"/>
          <w:lang w:val="en-GB"/>
        </w:rPr>
        <w:t xml:space="preserve">nection with calls for projects: </w:t>
      </w:r>
      <w:r w:rsidRPr="00AE77A6">
        <w:rPr>
          <w:rFonts w:cs="Calibri"/>
          <w:lang w:val="en-GB"/>
        </w:rPr>
        <w:t>CZK 3.3 billion.</w:t>
      </w:r>
    </w:p>
    <w:p w:rsidR="0095691A" w:rsidRPr="00AE77A6" w:rsidRDefault="009B2E6C">
      <w:pPr>
        <w:pStyle w:val="pracovn3"/>
        <w:spacing w:after="120" w:line="276" w:lineRule="auto"/>
        <w:rPr>
          <w:rFonts w:ascii="Calibri" w:eastAsia="Calibri" w:hAnsi="Calibri" w:cs="Calibri"/>
          <w:b w:val="0"/>
          <w:lang w:val="en-GB"/>
        </w:rPr>
      </w:pPr>
      <w:r w:rsidRPr="00AE77A6">
        <w:rPr>
          <w:rFonts w:ascii="Calibri" w:eastAsia="Calibri" w:hAnsi="Calibri" w:cs="Calibri"/>
          <w:b w:val="0"/>
          <w:lang w:val="en-GB"/>
        </w:rPr>
        <w:t xml:space="preserve">Other </w:t>
      </w:r>
      <w:r w:rsidR="003B5D03">
        <w:rPr>
          <w:rFonts w:ascii="Calibri" w:eastAsia="Calibri" w:hAnsi="Calibri" w:cs="Calibri"/>
          <w:b w:val="0"/>
          <w:lang w:val="en-GB"/>
        </w:rPr>
        <w:t>“g</w:t>
      </w:r>
      <w:r w:rsidRPr="00AE77A6">
        <w:rPr>
          <w:rFonts w:ascii="Calibri" w:eastAsia="Calibri" w:hAnsi="Calibri" w:cs="Calibri"/>
          <w:b w:val="0"/>
          <w:lang w:val="en-GB"/>
        </w:rPr>
        <w:t xml:space="preserve">reen </w:t>
      </w:r>
      <w:r w:rsidR="003B5D03">
        <w:rPr>
          <w:rFonts w:ascii="Calibri" w:eastAsia="Calibri" w:hAnsi="Calibri" w:cs="Calibri"/>
          <w:b w:val="0"/>
          <w:lang w:val="en-GB"/>
        </w:rPr>
        <w:t>s</w:t>
      </w:r>
      <w:r w:rsidRPr="00AE77A6">
        <w:rPr>
          <w:rFonts w:ascii="Calibri" w:eastAsia="Calibri" w:hAnsi="Calibri" w:cs="Calibri"/>
          <w:b w:val="0"/>
          <w:lang w:val="en-GB"/>
        </w:rPr>
        <w:t>avings</w:t>
      </w:r>
      <w:r w:rsidR="003B5D03">
        <w:rPr>
          <w:rFonts w:ascii="Calibri" w:eastAsia="Calibri" w:hAnsi="Calibri" w:cs="Calibri"/>
          <w:b w:val="0"/>
          <w:lang w:val="en-GB"/>
        </w:rPr>
        <w:t>”</w:t>
      </w:r>
      <w:r w:rsidRPr="00AE77A6">
        <w:rPr>
          <w:rFonts w:ascii="Calibri" w:eastAsia="Calibri" w:hAnsi="Calibri" w:cs="Calibri"/>
          <w:b w:val="0"/>
          <w:lang w:val="en-GB"/>
        </w:rPr>
        <w:t xml:space="preserve"> programmes launched in 2013 and 2014 are still underway and their results have not </w:t>
      </w:r>
      <w:proofErr w:type="gramStart"/>
      <w:r w:rsidRPr="00AE77A6">
        <w:rPr>
          <w:rFonts w:ascii="Calibri" w:eastAsia="Calibri" w:hAnsi="Calibri" w:cs="Calibri"/>
          <w:b w:val="0"/>
          <w:lang w:val="en-GB"/>
        </w:rPr>
        <w:t>be</w:t>
      </w:r>
      <w:proofErr w:type="gramEnd"/>
      <w:r w:rsidRPr="00AE77A6">
        <w:rPr>
          <w:rFonts w:ascii="Calibri" w:eastAsia="Calibri" w:hAnsi="Calibri" w:cs="Calibri"/>
          <w:b w:val="0"/>
          <w:lang w:val="en-GB"/>
        </w:rPr>
        <w:t xml:space="preserve"> assessed.</w:t>
      </w:r>
    </w:p>
    <w:p w:rsidR="0095691A" w:rsidRDefault="009B2E6C">
      <w:pPr>
        <w:pStyle w:val="pracovn3"/>
        <w:spacing w:after="120" w:line="276" w:lineRule="auto"/>
        <w:rPr>
          <w:rFonts w:ascii="Calibri" w:eastAsia="Calibri" w:hAnsi="Calibri" w:cs="Calibri"/>
          <w:b w:val="0"/>
          <w:lang w:val="en-GB"/>
        </w:rPr>
      </w:pPr>
      <w:r w:rsidRPr="00AE77A6">
        <w:rPr>
          <w:rFonts w:ascii="Calibri" w:eastAsia="Calibri" w:hAnsi="Calibri" w:cs="Calibri"/>
          <w:b w:val="0"/>
          <w:lang w:val="en-GB"/>
        </w:rPr>
        <w:lastRenderedPageBreak/>
        <w:t>The audit found that the objectives and results of th</w:t>
      </w:r>
      <w:r w:rsidR="006510D2" w:rsidRPr="00AE77A6">
        <w:rPr>
          <w:rFonts w:ascii="Calibri" w:eastAsia="Calibri" w:hAnsi="Calibri" w:cs="Calibri"/>
          <w:b w:val="0"/>
          <w:lang w:val="en-GB"/>
        </w:rPr>
        <w:t xml:space="preserve">e </w:t>
      </w:r>
      <w:proofErr w:type="spellStart"/>
      <w:r w:rsidR="006510D2" w:rsidRPr="00AE77A6">
        <w:rPr>
          <w:rFonts w:ascii="Calibri" w:eastAsia="Calibri" w:hAnsi="Calibri" w:cs="Calibri"/>
          <w:b w:val="0"/>
          <w:lang w:val="en-GB"/>
        </w:rPr>
        <w:t>MoE</w:t>
      </w:r>
      <w:proofErr w:type="spellEnd"/>
      <w:r w:rsidR="006510D2" w:rsidRPr="00AE77A6">
        <w:rPr>
          <w:rFonts w:ascii="Calibri" w:eastAsia="Calibri" w:hAnsi="Calibri" w:cs="Calibri"/>
          <w:b w:val="0"/>
          <w:lang w:val="en-GB"/>
        </w:rPr>
        <w:t xml:space="preserve"> subsidy programmes fulfil</w:t>
      </w:r>
      <w:r w:rsidRPr="00AE77A6">
        <w:rPr>
          <w:rFonts w:ascii="Calibri" w:eastAsia="Calibri" w:hAnsi="Calibri" w:cs="Calibri"/>
          <w:b w:val="0"/>
          <w:lang w:val="en-GB"/>
        </w:rPr>
        <w:t xml:space="preserve"> the energy saving policies of the </w:t>
      </w:r>
      <w:r w:rsidR="00656DD0">
        <w:rPr>
          <w:rFonts w:ascii="Calibri" w:eastAsia="Calibri" w:hAnsi="Calibri" w:cs="Calibri"/>
          <w:b w:val="0"/>
          <w:lang w:val="en-GB"/>
        </w:rPr>
        <w:t>M</w:t>
      </w:r>
      <w:r w:rsidRPr="00AE77A6">
        <w:rPr>
          <w:rFonts w:ascii="Calibri" w:eastAsia="Calibri" w:hAnsi="Calibri" w:cs="Calibri"/>
          <w:b w:val="0"/>
          <w:lang w:val="en-GB"/>
        </w:rPr>
        <w:t xml:space="preserve">inistry. They </w:t>
      </w:r>
      <w:proofErr w:type="gramStart"/>
      <w:r w:rsidRPr="00AE77A6">
        <w:rPr>
          <w:rFonts w:ascii="Calibri" w:eastAsia="Calibri" w:hAnsi="Calibri" w:cs="Calibri"/>
          <w:b w:val="0"/>
          <w:lang w:val="en-GB"/>
        </w:rPr>
        <w:t>programmes</w:t>
      </w:r>
      <w:proofErr w:type="gramEnd"/>
      <w:r w:rsidRPr="00AE77A6">
        <w:rPr>
          <w:rFonts w:ascii="Calibri" w:eastAsia="Calibri" w:hAnsi="Calibri" w:cs="Calibri"/>
          <w:b w:val="0"/>
          <w:lang w:val="en-GB"/>
        </w:rPr>
        <w:t xml:space="preserve"> contribute significantly to the objectives set out in the national conceptual documents on energy efficiency.</w:t>
      </w:r>
    </w:p>
    <w:p w:rsidR="00656DD0" w:rsidRPr="00AE77A6" w:rsidRDefault="00656DD0">
      <w:pPr>
        <w:pStyle w:val="pracovn3"/>
        <w:spacing w:after="120" w:line="276" w:lineRule="auto"/>
        <w:rPr>
          <w:rFonts w:ascii="Calibri" w:eastAsia="Calibri" w:hAnsi="Calibri" w:cs="Calibri"/>
          <w:b w:val="0"/>
          <w:lang w:val="en-GB"/>
        </w:rPr>
      </w:pPr>
    </w:p>
    <w:p w:rsidR="0095691A" w:rsidRPr="00AE77A6" w:rsidRDefault="009B2E6C">
      <w:pPr>
        <w:pStyle w:val="pracovn3"/>
        <w:spacing w:after="120" w:line="276" w:lineRule="auto"/>
        <w:rPr>
          <w:rFonts w:ascii="Calibri" w:eastAsia="Calibri" w:hAnsi="Calibri" w:cs="Calibri"/>
          <w:lang w:val="en-GB"/>
        </w:rPr>
      </w:pPr>
      <w:r w:rsidRPr="00AE77A6">
        <w:rPr>
          <w:rFonts w:ascii="Calibri" w:eastAsia="Calibri" w:hAnsi="Calibri" w:cs="Calibri"/>
          <w:lang w:val="en-GB"/>
        </w:rPr>
        <w:t xml:space="preserve">Ministry </w:t>
      </w:r>
      <w:r w:rsidR="00656DD0">
        <w:rPr>
          <w:rFonts w:ascii="Calibri" w:eastAsia="Calibri" w:hAnsi="Calibri" w:cs="Calibri"/>
          <w:lang w:val="en-GB"/>
        </w:rPr>
        <w:t>of</w:t>
      </w:r>
      <w:r w:rsidRPr="00AE77A6">
        <w:rPr>
          <w:rFonts w:ascii="Calibri" w:eastAsia="Calibri" w:hAnsi="Calibri" w:cs="Calibri"/>
          <w:lang w:val="en-GB"/>
        </w:rPr>
        <w:t xml:space="preserve"> Regional Development</w:t>
      </w:r>
    </w:p>
    <w:p w:rsidR="0095691A" w:rsidRPr="00AE77A6" w:rsidRDefault="009B2E6C">
      <w:pPr>
        <w:rPr>
          <w:lang w:val="en-GB"/>
        </w:rPr>
      </w:pPr>
      <w:r w:rsidRPr="00AE77A6">
        <w:rPr>
          <w:lang w:val="en-GB"/>
        </w:rPr>
        <w:t xml:space="preserve">The </w:t>
      </w:r>
      <w:proofErr w:type="spellStart"/>
      <w:r w:rsidRPr="00AE77A6">
        <w:rPr>
          <w:lang w:val="en-GB"/>
        </w:rPr>
        <w:t>MoRD</w:t>
      </w:r>
      <w:proofErr w:type="spellEnd"/>
      <w:r w:rsidRPr="00AE77A6">
        <w:rPr>
          <w:lang w:val="en-GB"/>
        </w:rPr>
        <w:t xml:space="preserve"> was appointed the </w:t>
      </w:r>
      <w:r w:rsidR="002659B7">
        <w:rPr>
          <w:lang w:val="en-GB"/>
        </w:rPr>
        <w:t>M</w:t>
      </w:r>
      <w:r w:rsidRPr="00AE77A6">
        <w:rPr>
          <w:lang w:val="en-GB"/>
        </w:rPr>
        <w:t xml:space="preserve">anaging </w:t>
      </w:r>
      <w:r w:rsidR="002659B7">
        <w:rPr>
          <w:lang w:val="en-GB"/>
        </w:rPr>
        <w:t>A</w:t>
      </w:r>
      <w:r w:rsidRPr="00AE77A6">
        <w:rPr>
          <w:lang w:val="en-GB"/>
        </w:rPr>
        <w:t xml:space="preserve">uthority for the </w:t>
      </w:r>
      <w:r w:rsidRPr="002659B7">
        <w:rPr>
          <w:i/>
          <w:lang w:val="en-GB"/>
        </w:rPr>
        <w:t>Integrated Operational Programme</w:t>
      </w:r>
      <w:r w:rsidRPr="00AE77A6">
        <w:rPr>
          <w:lang w:val="en-GB"/>
        </w:rPr>
        <w:t xml:space="preserve"> (“IOP”) for the 2007-2013 programming period based on Resolution No. 175 of the Government of the Czech Republic of 22 February 2006. One of the three basic intervention areas of the IOP is the </w:t>
      </w:r>
      <w:r w:rsidRPr="00AE77A6">
        <w:rPr>
          <w:i/>
          <w:iCs/>
          <w:lang w:val="en-GB"/>
        </w:rPr>
        <w:t>“issue of public services focused on territorial development in selected areas of tourism, cultural heritage, housing</w:t>
      </w:r>
      <w:r w:rsidR="002659B7">
        <w:rPr>
          <w:i/>
          <w:iCs/>
          <w:lang w:val="en-GB"/>
        </w:rPr>
        <w:t>,</w:t>
      </w:r>
      <w:r w:rsidRPr="00AE77A6">
        <w:rPr>
          <w:i/>
          <w:iCs/>
          <w:lang w:val="en-GB"/>
        </w:rPr>
        <w:t xml:space="preserve"> and territorial policies.”</w:t>
      </w:r>
      <w:r w:rsidRPr="00AE77A6">
        <w:rPr>
          <w:i/>
          <w:lang w:val="en-GB"/>
        </w:rPr>
        <w:t xml:space="preserve"> </w:t>
      </w:r>
      <w:r w:rsidRPr="00AE77A6">
        <w:rPr>
          <w:lang w:val="en-GB"/>
        </w:rPr>
        <w:t xml:space="preserve">The issue of housing is dealt under </w:t>
      </w:r>
      <w:r w:rsidR="00AB0FD6" w:rsidRPr="00AE77A6">
        <w:rPr>
          <w:lang w:val="en-GB"/>
        </w:rPr>
        <w:t>Priority Axis</w:t>
      </w:r>
      <w:r w:rsidRPr="00AE77A6">
        <w:rPr>
          <w:lang w:val="en-GB"/>
        </w:rPr>
        <w:t xml:space="preserve"> 5 - </w:t>
      </w:r>
      <w:r w:rsidRPr="002659B7">
        <w:rPr>
          <w:i/>
          <w:lang w:val="en-GB"/>
        </w:rPr>
        <w:t xml:space="preserve">National Support </w:t>
      </w:r>
      <w:r w:rsidR="00FE2AAA">
        <w:rPr>
          <w:i/>
          <w:lang w:val="en-GB"/>
        </w:rPr>
        <w:t>of</w:t>
      </w:r>
      <w:r w:rsidR="000935FF">
        <w:rPr>
          <w:i/>
          <w:lang w:val="en-GB"/>
        </w:rPr>
        <w:t xml:space="preserve"> </w:t>
      </w:r>
      <w:r w:rsidRPr="002659B7">
        <w:rPr>
          <w:i/>
          <w:lang w:val="en-GB"/>
        </w:rPr>
        <w:t>Territorial Development</w:t>
      </w:r>
      <w:r w:rsidRPr="00AE77A6">
        <w:rPr>
          <w:lang w:val="en-GB"/>
        </w:rPr>
        <w:t xml:space="preserve">, Intervention Area 5.2 </w:t>
      </w:r>
      <w:r w:rsidR="00FE2AAA">
        <w:rPr>
          <w:lang w:val="en-GB"/>
        </w:rPr>
        <w:t>–</w:t>
      </w:r>
      <w:r w:rsidRPr="00AE77A6">
        <w:rPr>
          <w:lang w:val="en-GB"/>
        </w:rPr>
        <w:t xml:space="preserve"> </w:t>
      </w:r>
      <w:r w:rsidR="00FE2AAA">
        <w:rPr>
          <w:i/>
          <w:lang w:val="en-GB"/>
        </w:rPr>
        <w:t>Improvement of</w:t>
      </w:r>
      <w:r w:rsidRPr="000935FF">
        <w:rPr>
          <w:i/>
          <w:lang w:val="en-GB"/>
        </w:rPr>
        <w:t xml:space="preserve"> the environment in problematic housing estates</w:t>
      </w:r>
      <w:r w:rsidRPr="00AE77A6">
        <w:rPr>
          <w:lang w:val="en-GB"/>
        </w:rPr>
        <w:t xml:space="preserve">.   </w:t>
      </w:r>
    </w:p>
    <w:p w:rsidR="0095691A" w:rsidRPr="00AE77A6" w:rsidRDefault="009B2E6C">
      <w:pPr>
        <w:rPr>
          <w:lang w:val="en-GB"/>
        </w:rPr>
      </w:pPr>
      <w:r w:rsidRPr="00AE77A6">
        <w:rPr>
          <w:lang w:val="en-GB"/>
        </w:rPr>
        <w:t xml:space="preserve">The IOP includes the financial instrument </w:t>
      </w:r>
      <w:r w:rsidRPr="00AE77A6">
        <w:rPr>
          <w:i/>
          <w:iCs/>
          <w:lang w:val="en-GB"/>
        </w:rPr>
        <w:t>“</w:t>
      </w:r>
      <w:r w:rsidRPr="00AE77A6">
        <w:rPr>
          <w:rFonts w:cs="Calibri"/>
          <w:bCs/>
          <w:i/>
          <w:iCs/>
          <w:lang w:val="en-GB"/>
        </w:rPr>
        <w:t>Joint European Support for Sustainable Investment in City Areas</w:t>
      </w:r>
      <w:r w:rsidR="00AE77A6">
        <w:rPr>
          <w:i/>
          <w:iCs/>
          <w:lang w:val="en-GB"/>
        </w:rPr>
        <w:t xml:space="preserve">” </w:t>
      </w:r>
      <w:r w:rsidRPr="00AE77A6">
        <w:rPr>
          <w:lang w:val="en-GB"/>
        </w:rPr>
        <w:t>(“</w:t>
      </w:r>
      <w:proofErr w:type="gramStart"/>
      <w:r w:rsidRPr="00FB0A29">
        <w:rPr>
          <w:i/>
          <w:lang w:val="en-GB"/>
        </w:rPr>
        <w:t>JESSICA</w:t>
      </w:r>
      <w:r w:rsidRPr="00AE77A6">
        <w:rPr>
          <w:lang w:val="en-GB"/>
        </w:rPr>
        <w:t>“</w:t>
      </w:r>
      <w:proofErr w:type="gramEnd"/>
      <w:r w:rsidRPr="00AE77A6">
        <w:rPr>
          <w:lang w:val="en-GB"/>
        </w:rPr>
        <w:t xml:space="preserve">), which is focused on projects included in integrated urban development plans with the aim of ensuring the repeated use of public resources. The objective is to modernise and revitalise the housing fund in deprived urban zones using long-term low-interest loans. </w:t>
      </w:r>
    </w:p>
    <w:p w:rsidR="0095691A" w:rsidRPr="00AE77A6" w:rsidRDefault="009B2E6C">
      <w:pPr>
        <w:rPr>
          <w:rFonts w:cs="Calibri"/>
          <w:lang w:val="en-GB"/>
        </w:rPr>
      </w:pPr>
      <w:r w:rsidRPr="00AE77A6">
        <w:rPr>
          <w:rFonts w:cs="Calibri"/>
          <w:lang w:val="en-GB"/>
        </w:rPr>
        <w:t xml:space="preserve">Energy </w:t>
      </w:r>
      <w:r w:rsidR="00A65262">
        <w:rPr>
          <w:rFonts w:cs="Calibri"/>
          <w:lang w:val="en-GB"/>
        </w:rPr>
        <w:t>savings</w:t>
      </w:r>
      <w:r w:rsidRPr="00AE77A6">
        <w:rPr>
          <w:rFonts w:cs="Calibri"/>
          <w:lang w:val="en-GB"/>
        </w:rPr>
        <w:t xml:space="preserve"> </w:t>
      </w:r>
      <w:r w:rsidR="00B50CE5">
        <w:rPr>
          <w:rFonts w:cs="Calibri"/>
          <w:lang w:val="en-GB"/>
        </w:rPr>
        <w:t>is</w:t>
      </w:r>
      <w:r w:rsidRPr="00AE77A6">
        <w:rPr>
          <w:rFonts w:cs="Calibri"/>
          <w:lang w:val="en-GB"/>
        </w:rPr>
        <w:t xml:space="preserve"> defined as a reduction of energy consumption in residential buildings located in problematic housing estates and </w:t>
      </w:r>
      <w:r w:rsidR="00B50CE5">
        <w:rPr>
          <w:rFonts w:cs="Calibri"/>
          <w:lang w:val="en-GB"/>
        </w:rPr>
        <w:t>is</w:t>
      </w:r>
      <w:r w:rsidRPr="00AE77A6">
        <w:rPr>
          <w:rFonts w:cs="Calibri"/>
          <w:lang w:val="en-GB"/>
        </w:rPr>
        <w:t xml:space="preserve"> expressed as the difference between energy consumption prior to the energy refurbishment of residential buildings and energy consumption after</w:t>
      </w:r>
      <w:r w:rsidR="00A65262">
        <w:rPr>
          <w:rFonts w:cs="Calibri"/>
          <w:lang w:val="en-GB"/>
        </w:rPr>
        <w:t xml:space="preserve"> it</w:t>
      </w:r>
      <w:r w:rsidRPr="00AE77A6">
        <w:rPr>
          <w:rFonts w:cs="Calibri"/>
          <w:lang w:val="en-GB"/>
        </w:rPr>
        <w:t xml:space="preserve">. The target value of energy </w:t>
      </w:r>
      <w:r w:rsidR="00A65262">
        <w:rPr>
          <w:rFonts w:cs="Calibri"/>
          <w:lang w:val="en-GB"/>
        </w:rPr>
        <w:t>savings in the case of projects</w:t>
      </w:r>
      <w:r w:rsidRPr="00AE77A6">
        <w:rPr>
          <w:rFonts w:cs="Calibri"/>
          <w:lang w:val="en-GB"/>
        </w:rPr>
        <w:t xml:space="preserve"> included in the </w:t>
      </w:r>
      <w:r w:rsidRPr="00FB0A29">
        <w:rPr>
          <w:rFonts w:cs="Calibri"/>
          <w:i/>
          <w:lang w:val="en-GB"/>
        </w:rPr>
        <w:t>JESSICA</w:t>
      </w:r>
      <w:r w:rsidRPr="00AE77A6">
        <w:rPr>
          <w:rFonts w:cs="Calibri"/>
          <w:lang w:val="en-GB"/>
        </w:rPr>
        <w:t xml:space="preserve"> programme is 20%.</w:t>
      </w:r>
    </w:p>
    <w:p w:rsidR="0095691A" w:rsidRDefault="009B2E6C">
      <w:pPr>
        <w:rPr>
          <w:rFonts w:cs="Calibri"/>
          <w:lang w:val="en-GB" w:eastAsia="cs-CZ"/>
        </w:rPr>
      </w:pPr>
      <w:r w:rsidRPr="00AE77A6">
        <w:rPr>
          <w:rFonts w:cs="Calibri"/>
          <w:lang w:val="en-GB" w:eastAsia="cs-CZ"/>
        </w:rPr>
        <w:t xml:space="preserve">As at 31 December 2014, a total of 103 loan agreements were concluded with applicants for projects valued at over CZK 360 million, which is more than half of the resources earmarked for JESSICA. Energy </w:t>
      </w:r>
      <w:r w:rsidR="00A65262">
        <w:rPr>
          <w:rFonts w:cs="Calibri"/>
          <w:lang w:val="en-GB" w:eastAsia="cs-CZ"/>
        </w:rPr>
        <w:t>savings were</w:t>
      </w:r>
      <w:r w:rsidRPr="00AE77A6">
        <w:rPr>
          <w:rFonts w:cs="Calibri"/>
          <w:lang w:val="en-GB" w:eastAsia="cs-CZ"/>
        </w:rPr>
        <w:t xml:space="preserve"> achieved in 72 projects and the total savings achieved by these projects in that year was 54 004 GJ (51.004 TJ). The other 31 projects were not aimed at energy </w:t>
      </w:r>
      <w:r w:rsidR="00917075">
        <w:rPr>
          <w:rFonts w:cs="Calibri"/>
          <w:lang w:val="en-GB" w:eastAsia="cs-CZ"/>
        </w:rPr>
        <w:t>savings</w:t>
      </w:r>
      <w:r w:rsidRPr="00AE77A6">
        <w:rPr>
          <w:rFonts w:cs="Calibri"/>
          <w:lang w:val="en-GB" w:eastAsia="cs-CZ"/>
        </w:rPr>
        <w:t xml:space="preserve">. </w:t>
      </w:r>
    </w:p>
    <w:p w:rsidR="00917075" w:rsidRPr="00AE77A6" w:rsidRDefault="00917075">
      <w:pPr>
        <w:rPr>
          <w:rFonts w:cs="Calibri"/>
          <w:lang w:val="en-GB" w:eastAsia="cs-CZ"/>
        </w:rPr>
      </w:pPr>
    </w:p>
    <w:p w:rsidR="0095691A" w:rsidRPr="00917075" w:rsidRDefault="009B2E6C">
      <w:pPr>
        <w:pStyle w:val="Odstavecseseznamem"/>
        <w:numPr>
          <w:ilvl w:val="0"/>
          <w:numId w:val="18"/>
        </w:numPr>
        <w:ind w:left="0" w:firstLine="0"/>
        <w:rPr>
          <w:rFonts w:eastAsia="Times New Roman" w:cs="Calibri"/>
          <w:b/>
          <w:bCs/>
          <w:iCs/>
          <w:szCs w:val="24"/>
          <w:lang w:val="en-GB"/>
        </w:rPr>
      </w:pPr>
      <w:r w:rsidRPr="00917075">
        <w:rPr>
          <w:rFonts w:eastAsia="Times New Roman" w:cs="Calibri"/>
          <w:b/>
          <w:bCs/>
          <w:iCs/>
          <w:szCs w:val="24"/>
          <w:lang w:val="en-GB"/>
        </w:rPr>
        <w:t>Result indicators</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039"/>
        <w:gridCol w:w="1984"/>
        <w:gridCol w:w="1135"/>
        <w:gridCol w:w="1135"/>
        <w:gridCol w:w="919"/>
      </w:tblGrid>
      <w:tr w:rsidR="00C9561D" w:rsidRPr="00AE77A6" w:rsidTr="004D1641">
        <w:trPr>
          <w:trHeight w:val="495"/>
        </w:trPr>
        <w:tc>
          <w:tcPr>
            <w:tcW w:w="2192" w:type="pct"/>
            <w:shd w:val="clear" w:color="auto" w:fill="B6DDE8"/>
            <w:vAlign w:val="center"/>
            <w:hideMark/>
          </w:tcPr>
          <w:p w:rsidR="0095691A" w:rsidRPr="00AE77A6" w:rsidRDefault="009B2E6C">
            <w:pPr>
              <w:spacing w:before="0" w:after="0"/>
              <w:jc w:val="center"/>
              <w:rPr>
                <w:rFonts w:eastAsia="Times New Roman" w:cs="Calibri"/>
                <w:b/>
                <w:bCs/>
                <w:color w:val="000000"/>
                <w:sz w:val="22"/>
                <w:szCs w:val="18"/>
                <w:lang w:val="en-GB" w:eastAsia="cs-CZ"/>
              </w:rPr>
            </w:pPr>
            <w:r w:rsidRPr="00AE77A6">
              <w:rPr>
                <w:rFonts w:eastAsia="Times New Roman" w:cs="Calibri"/>
                <w:b/>
                <w:bCs/>
                <w:color w:val="000000"/>
                <w:sz w:val="22"/>
                <w:szCs w:val="18"/>
                <w:lang w:val="en-GB" w:eastAsia="cs-CZ"/>
              </w:rPr>
              <w:t>Name of indicator</w:t>
            </w:r>
          </w:p>
        </w:tc>
        <w:tc>
          <w:tcPr>
            <w:tcW w:w="1077" w:type="pct"/>
            <w:shd w:val="clear" w:color="auto" w:fill="B6DDE8"/>
            <w:vAlign w:val="center"/>
            <w:hideMark/>
          </w:tcPr>
          <w:p w:rsidR="0095691A" w:rsidRPr="00AE77A6" w:rsidRDefault="009B2E6C">
            <w:pPr>
              <w:spacing w:before="0" w:after="0"/>
              <w:jc w:val="center"/>
              <w:rPr>
                <w:rFonts w:eastAsia="Times New Roman" w:cs="Calibri"/>
                <w:b/>
                <w:bCs/>
                <w:color w:val="000000"/>
                <w:sz w:val="22"/>
                <w:szCs w:val="18"/>
                <w:lang w:val="en-GB" w:eastAsia="cs-CZ"/>
              </w:rPr>
            </w:pPr>
            <w:r w:rsidRPr="00AE77A6">
              <w:rPr>
                <w:rFonts w:eastAsia="Times New Roman" w:cs="Calibri"/>
                <w:b/>
                <w:bCs/>
                <w:color w:val="000000"/>
                <w:sz w:val="22"/>
                <w:szCs w:val="18"/>
                <w:lang w:val="en-GB" w:eastAsia="cs-CZ"/>
              </w:rPr>
              <w:t>Unit of measure</w:t>
            </w:r>
          </w:p>
        </w:tc>
        <w:tc>
          <w:tcPr>
            <w:tcW w:w="616" w:type="pct"/>
            <w:shd w:val="clear" w:color="auto" w:fill="B6DDE8"/>
            <w:noWrap/>
            <w:vAlign w:val="center"/>
            <w:hideMark/>
          </w:tcPr>
          <w:p w:rsidR="0095691A" w:rsidRPr="00AE77A6" w:rsidRDefault="009B2E6C">
            <w:pPr>
              <w:spacing w:before="0" w:after="0"/>
              <w:jc w:val="center"/>
              <w:rPr>
                <w:rFonts w:eastAsia="Times New Roman" w:cs="Calibri"/>
                <w:b/>
                <w:bCs/>
                <w:color w:val="000000"/>
                <w:sz w:val="22"/>
                <w:szCs w:val="18"/>
                <w:lang w:val="en-GB" w:eastAsia="cs-CZ"/>
              </w:rPr>
            </w:pPr>
            <w:r w:rsidRPr="00AE77A6">
              <w:rPr>
                <w:rFonts w:eastAsia="Times New Roman" w:cs="Calibri"/>
                <w:b/>
                <w:bCs/>
                <w:color w:val="000000"/>
                <w:sz w:val="22"/>
                <w:szCs w:val="18"/>
                <w:lang w:val="en-GB" w:eastAsia="cs-CZ"/>
              </w:rPr>
              <w:t>2012</w:t>
            </w:r>
          </w:p>
        </w:tc>
        <w:tc>
          <w:tcPr>
            <w:tcW w:w="616" w:type="pct"/>
            <w:shd w:val="clear" w:color="auto" w:fill="B6DDE8"/>
            <w:noWrap/>
            <w:vAlign w:val="center"/>
            <w:hideMark/>
          </w:tcPr>
          <w:p w:rsidR="0095691A" w:rsidRPr="00AE77A6" w:rsidRDefault="009B2E6C">
            <w:pPr>
              <w:spacing w:before="0" w:after="0"/>
              <w:jc w:val="center"/>
              <w:rPr>
                <w:rFonts w:eastAsia="Times New Roman" w:cs="Calibri"/>
                <w:b/>
                <w:bCs/>
                <w:color w:val="000000"/>
                <w:sz w:val="22"/>
                <w:szCs w:val="18"/>
                <w:lang w:val="en-GB" w:eastAsia="cs-CZ"/>
              </w:rPr>
            </w:pPr>
            <w:r w:rsidRPr="00AE77A6">
              <w:rPr>
                <w:rFonts w:eastAsia="Times New Roman" w:cs="Calibri"/>
                <w:b/>
                <w:bCs/>
                <w:color w:val="000000"/>
                <w:sz w:val="22"/>
                <w:szCs w:val="18"/>
                <w:lang w:val="en-GB" w:eastAsia="cs-CZ"/>
              </w:rPr>
              <w:t>2013</w:t>
            </w:r>
          </w:p>
        </w:tc>
        <w:tc>
          <w:tcPr>
            <w:tcW w:w="499" w:type="pct"/>
            <w:shd w:val="clear" w:color="auto" w:fill="B6DDE8"/>
            <w:noWrap/>
            <w:vAlign w:val="center"/>
            <w:hideMark/>
          </w:tcPr>
          <w:p w:rsidR="0095691A" w:rsidRPr="00AE77A6" w:rsidRDefault="009B2E6C">
            <w:pPr>
              <w:spacing w:before="0" w:after="0"/>
              <w:jc w:val="center"/>
              <w:rPr>
                <w:rFonts w:eastAsia="Times New Roman" w:cs="Calibri"/>
                <w:b/>
                <w:bCs/>
                <w:color w:val="000000"/>
                <w:sz w:val="22"/>
                <w:szCs w:val="18"/>
                <w:lang w:val="en-GB" w:eastAsia="cs-CZ"/>
              </w:rPr>
            </w:pPr>
            <w:r w:rsidRPr="00AE77A6">
              <w:rPr>
                <w:rFonts w:eastAsia="Times New Roman" w:cs="Calibri"/>
                <w:b/>
                <w:bCs/>
                <w:color w:val="000000"/>
                <w:sz w:val="22"/>
                <w:szCs w:val="18"/>
                <w:lang w:val="en-GB" w:eastAsia="cs-CZ"/>
              </w:rPr>
              <w:t>2014</w:t>
            </w:r>
          </w:p>
        </w:tc>
      </w:tr>
      <w:tr w:rsidR="00C9561D" w:rsidRPr="00AE77A6" w:rsidTr="008F2EDA">
        <w:trPr>
          <w:trHeight w:val="54"/>
        </w:trPr>
        <w:tc>
          <w:tcPr>
            <w:tcW w:w="2192" w:type="pct"/>
            <w:shd w:val="clear" w:color="auto" w:fill="auto"/>
            <w:vAlign w:val="center"/>
            <w:hideMark/>
          </w:tcPr>
          <w:p w:rsidR="0095691A" w:rsidRPr="00AE77A6" w:rsidRDefault="009B2E6C">
            <w:pPr>
              <w:spacing w:before="0" w:after="0"/>
              <w:rPr>
                <w:rFonts w:eastAsia="Times New Roman" w:cs="Calibri"/>
                <w:color w:val="000000"/>
                <w:sz w:val="22"/>
                <w:szCs w:val="18"/>
                <w:lang w:val="en-GB" w:eastAsia="cs-CZ"/>
              </w:rPr>
            </w:pPr>
            <w:r w:rsidRPr="00AE77A6">
              <w:rPr>
                <w:rFonts w:eastAsia="Times New Roman" w:cs="Calibri"/>
                <w:color w:val="000000"/>
                <w:sz w:val="22"/>
                <w:szCs w:val="18"/>
                <w:lang w:val="en-GB" w:eastAsia="cs-CZ"/>
              </w:rPr>
              <w:t xml:space="preserve">Number of regenerated housing units </w:t>
            </w:r>
          </w:p>
        </w:tc>
        <w:tc>
          <w:tcPr>
            <w:tcW w:w="1077" w:type="pct"/>
            <w:shd w:val="clear" w:color="auto" w:fill="auto"/>
            <w:noWrap/>
            <w:vAlign w:val="center"/>
            <w:hideMark/>
          </w:tcPr>
          <w:p w:rsidR="0095691A" w:rsidRPr="00AE77A6" w:rsidRDefault="009B2E6C">
            <w:pPr>
              <w:spacing w:before="0" w:after="0"/>
              <w:jc w:val="center"/>
              <w:rPr>
                <w:rFonts w:eastAsia="Times New Roman" w:cs="Calibri"/>
                <w:color w:val="000000"/>
                <w:sz w:val="22"/>
                <w:szCs w:val="18"/>
                <w:lang w:val="en-GB" w:eastAsia="cs-CZ"/>
              </w:rPr>
            </w:pPr>
            <w:r w:rsidRPr="00AE77A6">
              <w:rPr>
                <w:rFonts w:eastAsia="Times New Roman" w:cs="Calibri"/>
                <w:color w:val="000000"/>
                <w:sz w:val="22"/>
                <w:szCs w:val="18"/>
                <w:lang w:val="en-GB" w:eastAsia="cs-CZ"/>
              </w:rPr>
              <w:t>Number</w:t>
            </w:r>
          </w:p>
        </w:tc>
        <w:tc>
          <w:tcPr>
            <w:tcW w:w="616" w:type="pct"/>
            <w:shd w:val="clear" w:color="auto" w:fill="auto"/>
            <w:vAlign w:val="center"/>
            <w:hideMark/>
          </w:tcPr>
          <w:p w:rsidR="0095691A" w:rsidRPr="00AE77A6" w:rsidRDefault="009B2E6C">
            <w:pPr>
              <w:spacing w:before="0" w:after="0"/>
              <w:jc w:val="right"/>
              <w:rPr>
                <w:rFonts w:eastAsia="Times New Roman" w:cs="Calibri"/>
                <w:color w:val="000000"/>
                <w:sz w:val="22"/>
                <w:szCs w:val="18"/>
                <w:lang w:val="en-GB" w:eastAsia="cs-CZ"/>
              </w:rPr>
            </w:pPr>
            <w:r w:rsidRPr="00AE77A6">
              <w:rPr>
                <w:rFonts w:eastAsia="Times New Roman" w:cs="Calibri"/>
                <w:color w:val="000000"/>
                <w:sz w:val="22"/>
                <w:szCs w:val="18"/>
                <w:lang w:val="en-GB" w:eastAsia="cs-CZ"/>
              </w:rPr>
              <w:t>35 888</w:t>
            </w:r>
          </w:p>
        </w:tc>
        <w:tc>
          <w:tcPr>
            <w:tcW w:w="616" w:type="pct"/>
            <w:shd w:val="clear" w:color="auto" w:fill="auto"/>
            <w:vAlign w:val="center"/>
            <w:hideMark/>
          </w:tcPr>
          <w:p w:rsidR="0095691A" w:rsidRPr="00AE77A6" w:rsidRDefault="009B2E6C">
            <w:pPr>
              <w:spacing w:before="0" w:after="0"/>
              <w:jc w:val="right"/>
              <w:rPr>
                <w:rFonts w:eastAsia="Times New Roman" w:cs="Calibri"/>
                <w:color w:val="000000"/>
                <w:sz w:val="22"/>
                <w:szCs w:val="18"/>
                <w:lang w:val="en-GB" w:eastAsia="cs-CZ"/>
              </w:rPr>
            </w:pPr>
            <w:r w:rsidRPr="00AE77A6">
              <w:rPr>
                <w:rFonts w:eastAsia="Times New Roman" w:cs="Calibri"/>
                <w:color w:val="000000"/>
                <w:sz w:val="22"/>
                <w:szCs w:val="18"/>
                <w:lang w:val="en-GB" w:eastAsia="cs-CZ"/>
              </w:rPr>
              <w:t>45 341</w:t>
            </w:r>
          </w:p>
        </w:tc>
        <w:tc>
          <w:tcPr>
            <w:tcW w:w="499" w:type="pct"/>
            <w:shd w:val="clear" w:color="auto" w:fill="auto"/>
            <w:vAlign w:val="center"/>
            <w:hideMark/>
          </w:tcPr>
          <w:p w:rsidR="0095691A" w:rsidRPr="00AE77A6" w:rsidRDefault="009B2E6C">
            <w:pPr>
              <w:spacing w:before="0" w:after="0"/>
              <w:jc w:val="right"/>
              <w:rPr>
                <w:rFonts w:eastAsia="Times New Roman" w:cs="Calibri"/>
                <w:color w:val="000000"/>
                <w:sz w:val="22"/>
                <w:szCs w:val="18"/>
                <w:lang w:val="en-GB" w:eastAsia="cs-CZ"/>
              </w:rPr>
            </w:pPr>
            <w:r w:rsidRPr="00AE77A6">
              <w:rPr>
                <w:rFonts w:eastAsia="Times New Roman" w:cs="Calibri"/>
                <w:color w:val="000000"/>
                <w:sz w:val="22"/>
                <w:szCs w:val="18"/>
                <w:lang w:val="en-GB" w:eastAsia="cs-CZ"/>
              </w:rPr>
              <w:t>55 099</w:t>
            </w:r>
          </w:p>
        </w:tc>
      </w:tr>
      <w:tr w:rsidR="00C9561D" w:rsidRPr="00AE77A6" w:rsidTr="008F2EDA">
        <w:trPr>
          <w:trHeight w:val="54"/>
        </w:trPr>
        <w:tc>
          <w:tcPr>
            <w:tcW w:w="2192" w:type="pct"/>
            <w:shd w:val="clear" w:color="auto" w:fill="auto"/>
            <w:vAlign w:val="center"/>
            <w:hideMark/>
          </w:tcPr>
          <w:p w:rsidR="0095691A" w:rsidRPr="00AE77A6" w:rsidRDefault="009B2E6C">
            <w:pPr>
              <w:spacing w:before="0" w:after="0"/>
              <w:rPr>
                <w:rFonts w:eastAsia="Times New Roman" w:cs="Calibri"/>
                <w:color w:val="000000"/>
                <w:sz w:val="22"/>
                <w:szCs w:val="18"/>
                <w:lang w:val="en-GB" w:eastAsia="cs-CZ"/>
              </w:rPr>
            </w:pPr>
            <w:r w:rsidRPr="00AE77A6">
              <w:rPr>
                <w:rFonts w:eastAsia="Times New Roman" w:cs="Calibri"/>
                <w:color w:val="000000"/>
                <w:sz w:val="22"/>
                <w:szCs w:val="18"/>
                <w:lang w:val="en-GB" w:eastAsia="cs-CZ"/>
              </w:rPr>
              <w:t xml:space="preserve">Energy savings by residential housing </w:t>
            </w:r>
          </w:p>
        </w:tc>
        <w:tc>
          <w:tcPr>
            <w:tcW w:w="1077" w:type="pct"/>
            <w:shd w:val="clear" w:color="auto" w:fill="auto"/>
            <w:noWrap/>
            <w:vAlign w:val="center"/>
            <w:hideMark/>
          </w:tcPr>
          <w:p w:rsidR="0095691A" w:rsidRPr="00AE77A6" w:rsidRDefault="009B2E6C">
            <w:pPr>
              <w:spacing w:before="0" w:after="0"/>
              <w:jc w:val="center"/>
              <w:rPr>
                <w:rFonts w:eastAsia="Times New Roman" w:cs="Calibri"/>
                <w:color w:val="000000"/>
                <w:sz w:val="22"/>
                <w:szCs w:val="18"/>
                <w:lang w:val="en-GB" w:eastAsia="cs-CZ"/>
              </w:rPr>
            </w:pPr>
            <w:r w:rsidRPr="00AE77A6">
              <w:rPr>
                <w:rFonts w:eastAsia="Times New Roman" w:cs="Calibri"/>
                <w:color w:val="000000"/>
                <w:sz w:val="22"/>
                <w:szCs w:val="18"/>
                <w:lang w:val="en-GB" w:eastAsia="cs-CZ"/>
              </w:rPr>
              <w:t>%</w:t>
            </w:r>
          </w:p>
        </w:tc>
        <w:tc>
          <w:tcPr>
            <w:tcW w:w="616" w:type="pct"/>
            <w:shd w:val="clear" w:color="auto" w:fill="auto"/>
            <w:vAlign w:val="center"/>
            <w:hideMark/>
          </w:tcPr>
          <w:p w:rsidR="0095691A" w:rsidRPr="00AE77A6" w:rsidRDefault="009B2E6C">
            <w:pPr>
              <w:spacing w:before="0" w:after="0"/>
              <w:jc w:val="right"/>
              <w:rPr>
                <w:rFonts w:eastAsia="Times New Roman" w:cs="Calibri"/>
                <w:color w:val="000000"/>
                <w:sz w:val="22"/>
                <w:szCs w:val="18"/>
                <w:lang w:val="en-GB" w:eastAsia="cs-CZ"/>
              </w:rPr>
            </w:pPr>
            <w:r w:rsidRPr="00AE77A6">
              <w:rPr>
                <w:rFonts w:eastAsia="Times New Roman" w:cs="Calibri"/>
                <w:color w:val="000000"/>
                <w:sz w:val="22"/>
                <w:szCs w:val="18"/>
                <w:lang w:val="en-GB" w:eastAsia="cs-CZ"/>
              </w:rPr>
              <w:t>33.75</w:t>
            </w:r>
          </w:p>
        </w:tc>
        <w:tc>
          <w:tcPr>
            <w:tcW w:w="616" w:type="pct"/>
            <w:shd w:val="clear" w:color="auto" w:fill="auto"/>
            <w:vAlign w:val="center"/>
            <w:hideMark/>
          </w:tcPr>
          <w:p w:rsidR="0095691A" w:rsidRPr="00AE77A6" w:rsidRDefault="009B2E6C">
            <w:pPr>
              <w:spacing w:before="0" w:after="0"/>
              <w:jc w:val="right"/>
              <w:rPr>
                <w:rFonts w:eastAsia="Times New Roman" w:cs="Calibri"/>
                <w:color w:val="000000"/>
                <w:sz w:val="22"/>
                <w:szCs w:val="18"/>
                <w:lang w:val="en-GB" w:eastAsia="cs-CZ"/>
              </w:rPr>
            </w:pPr>
            <w:r w:rsidRPr="00AE77A6">
              <w:rPr>
                <w:rFonts w:eastAsia="Times New Roman" w:cs="Calibri"/>
                <w:color w:val="000000"/>
                <w:sz w:val="22"/>
                <w:szCs w:val="18"/>
                <w:lang w:val="en-GB" w:eastAsia="cs-CZ"/>
              </w:rPr>
              <w:t>28.4</w:t>
            </w:r>
          </w:p>
        </w:tc>
        <w:tc>
          <w:tcPr>
            <w:tcW w:w="499" w:type="pct"/>
            <w:shd w:val="clear" w:color="auto" w:fill="auto"/>
            <w:vAlign w:val="center"/>
            <w:hideMark/>
          </w:tcPr>
          <w:p w:rsidR="0095691A" w:rsidRPr="00AE77A6" w:rsidRDefault="009B2E6C">
            <w:pPr>
              <w:spacing w:before="0" w:after="0"/>
              <w:jc w:val="right"/>
              <w:rPr>
                <w:rFonts w:eastAsia="Times New Roman" w:cs="Calibri"/>
                <w:color w:val="000000"/>
                <w:sz w:val="22"/>
                <w:szCs w:val="18"/>
                <w:lang w:val="en-GB" w:eastAsia="cs-CZ"/>
              </w:rPr>
            </w:pPr>
            <w:r w:rsidRPr="00AE77A6">
              <w:rPr>
                <w:rFonts w:eastAsia="Times New Roman" w:cs="Calibri"/>
                <w:color w:val="000000"/>
                <w:sz w:val="22"/>
                <w:szCs w:val="18"/>
                <w:lang w:val="en-GB" w:eastAsia="cs-CZ"/>
              </w:rPr>
              <w:t>30.54</w:t>
            </w:r>
          </w:p>
        </w:tc>
      </w:tr>
    </w:tbl>
    <w:p w:rsidR="0095691A" w:rsidRPr="00AE77A6" w:rsidRDefault="009B2E6C">
      <w:pPr>
        <w:rPr>
          <w:rFonts w:eastAsia="Times New Roman" w:cs="Calibri"/>
          <w:bCs/>
          <w:iCs/>
          <w:sz w:val="20"/>
          <w:szCs w:val="20"/>
          <w:lang w:val="en-GB"/>
        </w:rPr>
      </w:pPr>
      <w:r w:rsidRPr="00AE77A6">
        <w:rPr>
          <w:rFonts w:eastAsia="Times New Roman" w:cs="Calibri"/>
          <w:bCs/>
          <w:iCs/>
          <w:sz w:val="20"/>
          <w:szCs w:val="20"/>
          <w:lang w:val="en-GB"/>
        </w:rPr>
        <w:t xml:space="preserve"> Source: IOP annual report for 2014</w:t>
      </w:r>
    </w:p>
    <w:p w:rsidR="0095691A" w:rsidRPr="00AE77A6" w:rsidRDefault="009B2E6C">
      <w:pPr>
        <w:rPr>
          <w:lang w:val="en-GB"/>
        </w:rPr>
      </w:pPr>
      <w:r w:rsidRPr="00AE77A6">
        <w:rPr>
          <w:lang w:val="en-GB"/>
        </w:rPr>
        <w:t xml:space="preserve">In the audited period, the </w:t>
      </w:r>
      <w:proofErr w:type="spellStart"/>
      <w:r w:rsidRPr="00AE77A6">
        <w:rPr>
          <w:lang w:val="en-GB"/>
        </w:rPr>
        <w:t>MoRD</w:t>
      </w:r>
      <w:proofErr w:type="spellEnd"/>
      <w:r w:rsidRPr="00AE77A6">
        <w:rPr>
          <w:lang w:val="en-GB"/>
        </w:rPr>
        <w:t xml:space="preserve"> announced only one programme relating to housing: </w:t>
      </w:r>
      <w:proofErr w:type="gramStart"/>
      <w:r w:rsidRPr="00AE77A6">
        <w:rPr>
          <w:lang w:val="en-GB"/>
        </w:rPr>
        <w:t>the</w:t>
      </w:r>
      <w:proofErr w:type="gramEnd"/>
      <w:r w:rsidRPr="00AE77A6">
        <w:rPr>
          <w:lang w:val="en-GB"/>
        </w:rPr>
        <w:t xml:space="preserve"> </w:t>
      </w:r>
      <w:r w:rsidRPr="00917075">
        <w:rPr>
          <w:i/>
          <w:lang w:val="en-GB"/>
        </w:rPr>
        <w:t>Housing Support</w:t>
      </w:r>
      <w:r w:rsidRPr="00AE77A6">
        <w:rPr>
          <w:lang w:val="en-GB"/>
        </w:rPr>
        <w:t xml:space="preserve"> programme. The sub-programme </w:t>
      </w:r>
      <w:r w:rsidRPr="00291917">
        <w:rPr>
          <w:i/>
          <w:lang w:val="en-GB"/>
        </w:rPr>
        <w:t>Support for the Construction of Subsidised Housing</w:t>
      </w:r>
      <w:r w:rsidRPr="00AE77A6">
        <w:rPr>
          <w:lang w:val="en-GB"/>
        </w:rPr>
        <w:t xml:space="preserve"> had an impact on energy savings. Energy </w:t>
      </w:r>
      <w:r w:rsidR="00291917">
        <w:rPr>
          <w:lang w:val="en-GB"/>
        </w:rPr>
        <w:t>savings</w:t>
      </w:r>
      <w:r w:rsidRPr="00AE77A6">
        <w:rPr>
          <w:lang w:val="en-GB"/>
        </w:rPr>
        <w:t xml:space="preserve"> under this programme was </w:t>
      </w:r>
      <w:r w:rsidRPr="00AE77A6">
        <w:rPr>
          <w:lang w:val="en-GB"/>
        </w:rPr>
        <w:lastRenderedPageBreak/>
        <w:t>achieved as a secondary effect, as the primary objective of the sub</w:t>
      </w:r>
      <w:r w:rsidR="00291917">
        <w:rPr>
          <w:lang w:val="en-GB"/>
        </w:rPr>
        <w:t>-</w:t>
      </w:r>
      <w:r w:rsidRPr="00AE77A6">
        <w:rPr>
          <w:lang w:val="en-GB"/>
        </w:rPr>
        <w:t>programme was the construction and acquisition of rental housing intended for social housing with support in the form of investment subsidies for specific investment projects.</w:t>
      </w:r>
    </w:p>
    <w:p w:rsidR="0095691A" w:rsidRPr="00AE77A6" w:rsidRDefault="009B2E6C" w:rsidP="009151F1">
      <w:pPr>
        <w:rPr>
          <w:lang w:val="en-GB"/>
        </w:rPr>
      </w:pPr>
      <w:r w:rsidRPr="00AE77A6">
        <w:rPr>
          <w:lang w:val="en-GB"/>
        </w:rPr>
        <w:t>This programme achieved energy savings by the requirement that acquired buildings fulfil class B energy efficiency according to the valid decree on energy performance of buildings</w:t>
      </w:r>
      <w:r w:rsidR="009151F1" w:rsidRPr="00AE77A6">
        <w:rPr>
          <w:lang w:val="en-GB"/>
        </w:rPr>
        <w:t xml:space="preserve"> </w:t>
      </w:r>
      <w:r w:rsidR="009151F1" w:rsidRPr="00AE77A6">
        <w:rPr>
          <w:rStyle w:val="Znakapoznpodarou"/>
          <w:lang w:val="en-GB"/>
        </w:rPr>
        <w:footnoteReference w:id="11"/>
      </w:r>
      <w:r w:rsidRPr="00AE77A6">
        <w:rPr>
          <w:lang w:val="en-GB"/>
        </w:rPr>
        <w:t xml:space="preserve"> as one of the conditions for being awarded </w:t>
      </w:r>
      <w:r w:rsidR="00AE77A6" w:rsidRPr="00AE77A6">
        <w:rPr>
          <w:lang w:val="en-GB"/>
        </w:rPr>
        <w:t>a subsidy</w:t>
      </w:r>
      <w:r w:rsidRPr="00AE77A6">
        <w:rPr>
          <w:lang w:val="en-GB"/>
        </w:rPr>
        <w:t>. With regard to the acquisition method, i.e.</w:t>
      </w:r>
      <w:r w:rsidR="00AE77A6" w:rsidRPr="00AE77A6">
        <w:rPr>
          <w:lang w:val="en-GB"/>
        </w:rPr>
        <w:t>, construction</w:t>
      </w:r>
      <w:r w:rsidRPr="00AE77A6">
        <w:rPr>
          <w:lang w:val="en-GB"/>
        </w:rPr>
        <w:t xml:space="preserve"> of a new building or the reconstruction of one that is not suitable for living, it is not possible to stipulate original consumption and thus it is not possible to assess the amount of savings achieved.  In the period from 2012 to 2014, subsidies were awarded to 201 projects totalling more than CZK 687 million. </w:t>
      </w:r>
    </w:p>
    <w:p w:rsidR="0095691A" w:rsidRPr="00AE77A6" w:rsidRDefault="009B2E6C" w:rsidP="009151F1">
      <w:pPr>
        <w:rPr>
          <w:lang w:val="en-GB"/>
        </w:rPr>
      </w:pPr>
      <w:r w:rsidRPr="00AE77A6">
        <w:rPr>
          <w:lang w:val="en-GB"/>
        </w:rPr>
        <w:t xml:space="preserve">Another form of assistance is the </w:t>
      </w:r>
      <w:r w:rsidRPr="005832DD">
        <w:rPr>
          <w:i/>
          <w:lang w:val="en-GB"/>
        </w:rPr>
        <w:t>Construction of Rental Housing</w:t>
      </w:r>
      <w:r w:rsidRPr="00AE77A6">
        <w:rPr>
          <w:lang w:val="en-GB"/>
        </w:rPr>
        <w:t xml:space="preserve"> programme announced by the State Housing Development Fund (“SHDF”), which is regulated by </w:t>
      </w:r>
      <w:r w:rsidR="00884D9C">
        <w:rPr>
          <w:lang w:val="en-GB"/>
        </w:rPr>
        <w:t xml:space="preserve">the </w:t>
      </w:r>
      <w:r w:rsidRPr="00AE77A6">
        <w:rPr>
          <w:lang w:val="en-GB"/>
        </w:rPr>
        <w:t xml:space="preserve">Decree No. 284/2011 Coll. of the Government of the Czech Republic of 8 September 2011.  The assistance generated energy savings by setting the energy performance </w:t>
      </w:r>
      <w:r w:rsidR="009151F1" w:rsidRPr="00AE77A6">
        <w:rPr>
          <w:lang w:val="en-GB"/>
        </w:rPr>
        <w:t>that the building should fulfil</w:t>
      </w:r>
      <w:r w:rsidRPr="00AE77A6">
        <w:rPr>
          <w:lang w:val="en-GB"/>
        </w:rPr>
        <w:t xml:space="preserve"> after </w:t>
      </w:r>
      <w:r w:rsidR="005832DD">
        <w:rPr>
          <w:lang w:val="en-GB"/>
        </w:rPr>
        <w:t xml:space="preserve">its </w:t>
      </w:r>
      <w:r w:rsidRPr="00AE77A6">
        <w:rPr>
          <w:lang w:val="en-GB"/>
        </w:rPr>
        <w:t xml:space="preserve">construction. As the matter concerned the construction of new buildings, </w:t>
      </w:r>
      <w:r w:rsidR="005832DD">
        <w:rPr>
          <w:lang w:val="en-GB"/>
        </w:rPr>
        <w:t>we</w:t>
      </w:r>
      <w:r w:rsidRPr="00AE77A6">
        <w:rPr>
          <w:lang w:val="en-GB"/>
        </w:rPr>
        <w:t xml:space="preserve"> cannot speak of actual energy savings, but the new building achieves better energy performance and meets class B requirements under the current </w:t>
      </w:r>
      <w:r w:rsidR="00884D9C">
        <w:rPr>
          <w:lang w:val="en-GB"/>
        </w:rPr>
        <w:t>D</w:t>
      </w:r>
      <w:r w:rsidRPr="00AE77A6">
        <w:rPr>
          <w:lang w:val="en-GB"/>
        </w:rPr>
        <w:t xml:space="preserve">ecree regulating energy performance. No objectives or parameters have been set for the programme in the field of energy savings. The primary objective and purpose of the programme is to build rental housing. In 2013 and 2014, loans exceeding CZK 320 million were awarded to 10 projects. </w:t>
      </w:r>
    </w:p>
    <w:p w:rsidR="0095691A" w:rsidRPr="00AE77A6" w:rsidRDefault="009B2E6C">
      <w:pPr>
        <w:rPr>
          <w:lang w:val="en-GB"/>
        </w:rPr>
      </w:pPr>
      <w:r w:rsidRPr="00AE77A6">
        <w:rPr>
          <w:lang w:val="en-GB"/>
        </w:rPr>
        <w:t xml:space="preserve">The </w:t>
      </w:r>
      <w:r w:rsidRPr="00884D9C">
        <w:rPr>
          <w:i/>
          <w:lang w:val="en-GB"/>
        </w:rPr>
        <w:t>PANEL 2013+</w:t>
      </w:r>
      <w:r w:rsidRPr="00AE77A6">
        <w:rPr>
          <w:lang w:val="en-GB"/>
        </w:rPr>
        <w:t xml:space="preserve"> programme is regulated by </w:t>
      </w:r>
      <w:r w:rsidR="00884D9C">
        <w:rPr>
          <w:lang w:val="en-GB"/>
        </w:rPr>
        <w:t xml:space="preserve">the </w:t>
      </w:r>
      <w:r w:rsidRPr="00AE77A6">
        <w:rPr>
          <w:lang w:val="en-GB"/>
        </w:rPr>
        <w:t>Decree No. 48/2012 Coll. of the Government of the Czech Republic of 5 December 2012 and is also announced by the SHDF. The government decree regulates the conditions for using financial resources in the form of loans to repair and modernise build</w:t>
      </w:r>
      <w:r w:rsidR="009151F1" w:rsidRPr="00AE77A6">
        <w:rPr>
          <w:lang w:val="en-GB"/>
        </w:rPr>
        <w:t>ings.  The PANEL 2013+ loan progr</w:t>
      </w:r>
      <w:r w:rsidRPr="00AE77A6">
        <w:rPr>
          <w:lang w:val="en-GB"/>
        </w:rPr>
        <w:t xml:space="preserve">amme is not aimed only at energy savings; it is also intended for improving the state of residential buildings and </w:t>
      </w:r>
      <w:r w:rsidR="00921CCB">
        <w:rPr>
          <w:lang w:val="en-GB"/>
        </w:rPr>
        <w:t>flats</w:t>
      </w:r>
      <w:r w:rsidRPr="00AE77A6">
        <w:rPr>
          <w:lang w:val="en-GB"/>
        </w:rPr>
        <w:t xml:space="preserve">. No objectives or parameters have been set for the programme in the area of energy savings. In 2013 and 2014, loans exceeding CZK 978 million were awarded to 283 projects.  </w:t>
      </w:r>
      <w:r w:rsidRPr="00AE77A6">
        <w:rPr>
          <w:lang w:val="en-GB"/>
        </w:rPr>
        <w:br/>
      </w:r>
    </w:p>
    <w:p w:rsidR="0095691A" w:rsidRPr="00AE77A6" w:rsidRDefault="009B2E6C" w:rsidP="009151F1">
      <w:pPr>
        <w:rPr>
          <w:b/>
          <w:lang w:val="en-GB"/>
        </w:rPr>
      </w:pPr>
      <w:r w:rsidRPr="00AE77A6">
        <w:rPr>
          <w:b/>
          <w:lang w:val="en-GB"/>
        </w:rPr>
        <w:t>Monitoring the</w:t>
      </w:r>
      <w:r w:rsidR="009151F1" w:rsidRPr="00AE77A6">
        <w:rPr>
          <w:b/>
          <w:lang w:val="en-GB"/>
        </w:rPr>
        <w:t xml:space="preserve"> course and results of projects at</w:t>
      </w:r>
      <w:r w:rsidRPr="00AE77A6">
        <w:rPr>
          <w:b/>
          <w:lang w:val="en-GB"/>
        </w:rPr>
        <w:t xml:space="preserve"> subsidy providers</w:t>
      </w:r>
    </w:p>
    <w:p w:rsidR="0095691A" w:rsidRPr="00AE77A6" w:rsidRDefault="009B2E6C">
      <w:pPr>
        <w:rPr>
          <w:lang w:val="en-GB"/>
        </w:rPr>
      </w:pPr>
      <w:r w:rsidRPr="00AE77A6">
        <w:rPr>
          <w:rFonts w:cs="Calibri"/>
          <w:lang w:val="en-GB"/>
        </w:rPr>
        <w:t>So-called indicators were used to monitor the course and results of the implementation of projects, intervention areas, priority axes</w:t>
      </w:r>
      <w:r w:rsidR="00921CCB">
        <w:rPr>
          <w:rFonts w:cs="Calibri"/>
          <w:lang w:val="en-GB"/>
        </w:rPr>
        <w:t>,</w:t>
      </w:r>
      <w:r w:rsidRPr="00AE77A6">
        <w:rPr>
          <w:rFonts w:cs="Calibri"/>
          <w:lang w:val="en-GB"/>
        </w:rPr>
        <w:t xml:space="preserve"> and programmes as regards to the stipulated objectives. The </w:t>
      </w:r>
      <w:proofErr w:type="spellStart"/>
      <w:r w:rsidRPr="00AE77A6">
        <w:rPr>
          <w:rFonts w:cs="Calibri"/>
          <w:lang w:val="en-GB"/>
        </w:rPr>
        <w:t>MoIT</w:t>
      </w:r>
      <w:proofErr w:type="spellEnd"/>
      <w:r w:rsidRPr="00AE77A6">
        <w:rPr>
          <w:rFonts w:cs="Calibri"/>
          <w:lang w:val="en-GB"/>
        </w:rPr>
        <w:t xml:space="preserve"> and </w:t>
      </w:r>
      <w:proofErr w:type="spellStart"/>
      <w:r w:rsidRPr="00AE77A6">
        <w:rPr>
          <w:rFonts w:cs="Calibri"/>
          <w:lang w:val="en-GB"/>
        </w:rPr>
        <w:t>MoE</w:t>
      </w:r>
      <w:proofErr w:type="spellEnd"/>
      <w:r w:rsidRPr="00AE77A6">
        <w:rPr>
          <w:rFonts w:cs="Calibri"/>
          <w:lang w:val="en-GB"/>
        </w:rPr>
        <w:t xml:space="preserve">, as part of their operational programmes, i.e., Operational Programme </w:t>
      </w:r>
      <w:r w:rsidRPr="000B5B28">
        <w:rPr>
          <w:rFonts w:cs="Calibri"/>
          <w:i/>
          <w:lang w:val="en-GB"/>
        </w:rPr>
        <w:t>Enterprise and Innovation</w:t>
      </w:r>
      <w:r w:rsidRPr="00AE77A6">
        <w:rPr>
          <w:rFonts w:cs="Calibri"/>
          <w:lang w:val="en-GB"/>
        </w:rPr>
        <w:t xml:space="preserve"> and Operational Programme </w:t>
      </w:r>
      <w:r w:rsidRPr="000B5B28">
        <w:rPr>
          <w:rFonts w:cs="Calibri"/>
          <w:i/>
          <w:lang w:val="en-GB"/>
        </w:rPr>
        <w:t>Environment</w:t>
      </w:r>
      <w:r w:rsidRPr="00AE77A6">
        <w:rPr>
          <w:rFonts w:cs="Calibri"/>
          <w:lang w:val="en-GB"/>
        </w:rPr>
        <w:t xml:space="preserve">, monitor </w:t>
      </w:r>
      <w:r w:rsidRPr="00AE77A6">
        <w:rPr>
          <w:rFonts w:cs="Calibri"/>
          <w:lang w:val="en-GB"/>
        </w:rPr>
        <w:lastRenderedPageBreak/>
        <w:t xml:space="preserve">the </w:t>
      </w:r>
      <w:r w:rsidRPr="00AE77A6">
        <w:rPr>
          <w:i/>
          <w:lang w:val="en-GB"/>
        </w:rPr>
        <w:t xml:space="preserve">“Reduction of Energy Consumption” </w:t>
      </w:r>
      <w:r w:rsidRPr="00AE77A6">
        <w:rPr>
          <w:lang w:val="en-GB"/>
        </w:rPr>
        <w:t>indicator. This indicator is assessed annually in the annual reports of the operational programmes. Graph 1 depicts the development of this indicator.</w:t>
      </w:r>
    </w:p>
    <w:p w:rsidR="0095691A" w:rsidRPr="00AD50EF" w:rsidRDefault="009B2E6C" w:rsidP="009151F1">
      <w:pPr>
        <w:pStyle w:val="graf"/>
        <w:ind w:hanging="2203"/>
        <w:rPr>
          <w:b/>
          <w:lang w:val="en-GB"/>
        </w:rPr>
      </w:pPr>
      <w:r w:rsidRPr="00AD50EF">
        <w:rPr>
          <w:b/>
          <w:lang w:val="en-GB"/>
        </w:rPr>
        <w:t>Achieving the value of the “Reduction of Energy Consumption” indicator</w:t>
      </w:r>
    </w:p>
    <w:p w:rsidR="0095691A" w:rsidRPr="00AE77A6" w:rsidRDefault="00A56B0B">
      <w:pPr>
        <w:rPr>
          <w:b/>
          <w:lang w:val="en-GB"/>
        </w:rPr>
      </w:pPr>
      <w:r>
        <w:rPr>
          <w:noProof/>
          <w:lang w:val="cs-CZ" w:eastAsia="cs-CZ"/>
        </w:rPr>
        <w:drawing>
          <wp:inline distT="0" distB="0" distL="0" distR="0">
            <wp:extent cx="5772150" cy="2924175"/>
            <wp:effectExtent l="19050" t="0" r="0" b="0"/>
            <wp:docPr id="1" name="Graf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9" cstate="print"/>
                    <a:srcRect/>
                    <a:stretch>
                      <a:fillRect/>
                    </a:stretch>
                  </pic:blipFill>
                  <pic:spPr bwMode="auto">
                    <a:xfrm>
                      <a:off x="0" y="0"/>
                      <a:ext cx="5772150" cy="2924175"/>
                    </a:xfrm>
                    <a:prstGeom prst="rect">
                      <a:avLst/>
                    </a:prstGeom>
                    <a:noFill/>
                    <a:ln w="9525">
                      <a:noFill/>
                      <a:miter lim="800000"/>
                      <a:headEnd/>
                      <a:tailEnd/>
                    </a:ln>
                  </pic:spPr>
                </pic:pic>
              </a:graphicData>
            </a:graphic>
          </wp:inline>
        </w:drawing>
      </w:r>
    </w:p>
    <w:p w:rsidR="0095691A" w:rsidRPr="00AE77A6" w:rsidRDefault="009B2E6C">
      <w:pPr>
        <w:rPr>
          <w:i/>
          <w:sz w:val="20"/>
          <w:lang w:val="en-GB"/>
        </w:rPr>
      </w:pPr>
      <w:r w:rsidRPr="00AE77A6">
        <w:rPr>
          <w:i/>
          <w:sz w:val="20"/>
          <w:lang w:val="en-GB"/>
        </w:rPr>
        <w:t xml:space="preserve">Source: OPEI Annual Report for 2014 and OPE Annual Report for 2014 </w:t>
      </w:r>
    </w:p>
    <w:p w:rsidR="009151F1" w:rsidRPr="00AE77A6" w:rsidRDefault="009151F1">
      <w:pPr>
        <w:rPr>
          <w:i/>
          <w:iCs/>
          <w:lang w:val="en-GB"/>
        </w:rPr>
      </w:pPr>
      <w:r w:rsidRPr="00AE77A6">
        <w:rPr>
          <w:i/>
          <w:iCs/>
          <w:lang w:val="en-GB"/>
        </w:rPr>
        <w:t>[TJ/</w:t>
      </w:r>
      <w:proofErr w:type="spellStart"/>
      <w:r w:rsidRPr="00AE77A6">
        <w:rPr>
          <w:i/>
          <w:iCs/>
          <w:lang w:val="en-GB"/>
        </w:rPr>
        <w:t>rok</w:t>
      </w:r>
      <w:proofErr w:type="spellEnd"/>
      <w:r w:rsidRPr="00AE77A6">
        <w:rPr>
          <w:i/>
          <w:iCs/>
          <w:lang w:val="en-GB"/>
        </w:rPr>
        <w:t xml:space="preserve"> = TJ/year, OPPI = OPEI, OPŽP = OPE, </w:t>
      </w:r>
      <w:proofErr w:type="spellStart"/>
      <w:r w:rsidRPr="00AE77A6">
        <w:rPr>
          <w:i/>
          <w:iCs/>
          <w:lang w:val="en-GB"/>
        </w:rPr>
        <w:t>Celkem</w:t>
      </w:r>
      <w:proofErr w:type="spellEnd"/>
      <w:r w:rsidRPr="00AE77A6">
        <w:rPr>
          <w:i/>
          <w:iCs/>
          <w:lang w:val="en-GB"/>
        </w:rPr>
        <w:t xml:space="preserve"> = Total]</w:t>
      </w:r>
    </w:p>
    <w:p w:rsidR="00627032" w:rsidRDefault="00627032" w:rsidP="009151F1">
      <w:pPr>
        <w:rPr>
          <w:lang w:val="en-GB"/>
        </w:rPr>
      </w:pPr>
    </w:p>
    <w:p w:rsidR="0095691A" w:rsidRPr="00AE77A6" w:rsidRDefault="009B2E6C" w:rsidP="009151F1">
      <w:pPr>
        <w:rPr>
          <w:lang w:val="en-GB"/>
        </w:rPr>
      </w:pPr>
      <w:r w:rsidRPr="00AE77A6">
        <w:rPr>
          <w:lang w:val="en-GB"/>
        </w:rPr>
        <w:t xml:space="preserve">The data </w:t>
      </w:r>
      <w:r w:rsidR="009151F1" w:rsidRPr="00AE77A6">
        <w:rPr>
          <w:lang w:val="en-GB"/>
        </w:rPr>
        <w:t xml:space="preserve">in the graph </w:t>
      </w:r>
      <w:r w:rsidRPr="00AE77A6">
        <w:rPr>
          <w:lang w:val="en-GB"/>
        </w:rPr>
        <w:t>clearly show that the Czech Republ</w:t>
      </w:r>
      <w:r w:rsidR="009151F1" w:rsidRPr="00AE77A6">
        <w:rPr>
          <w:lang w:val="en-GB"/>
        </w:rPr>
        <w:t>ic is able to generate approx.  7 </w:t>
      </w:r>
      <w:r w:rsidRPr="00AE77A6">
        <w:rPr>
          <w:lang w:val="en-GB"/>
        </w:rPr>
        <w:t>005.9 TJ of new savings a y</w:t>
      </w:r>
      <w:r w:rsidR="00627032">
        <w:rPr>
          <w:lang w:val="en-GB"/>
        </w:rPr>
        <w:t>ear through these two operational</w:t>
      </w:r>
      <w:r w:rsidRPr="00AE77A6">
        <w:rPr>
          <w:lang w:val="en-GB"/>
        </w:rPr>
        <w:t xml:space="preserve"> programmes as of 2015. Furthermore, the graph shows the slow growth in the value of the indicator in the period from 2007 to 2012.</w:t>
      </w:r>
    </w:p>
    <w:p w:rsidR="0095691A" w:rsidRPr="00AE77A6" w:rsidRDefault="009B2E6C">
      <w:pPr>
        <w:rPr>
          <w:lang w:val="en-GB"/>
        </w:rPr>
      </w:pPr>
      <w:r w:rsidRPr="00AE77A6">
        <w:rPr>
          <w:rFonts w:cs="Calibri"/>
          <w:lang w:val="en-GB"/>
        </w:rPr>
        <w:t>Fulfilment of the indicator is regularly evaluated and the data is collected into the OPEI and OPE annual report</w:t>
      </w:r>
      <w:r w:rsidR="00627032">
        <w:rPr>
          <w:rFonts w:cs="Calibri"/>
          <w:lang w:val="en-GB"/>
        </w:rPr>
        <w:t>s</w:t>
      </w:r>
      <w:r w:rsidRPr="00AE77A6">
        <w:rPr>
          <w:rFonts w:cs="Calibri"/>
          <w:lang w:val="en-GB"/>
        </w:rPr>
        <w:t xml:space="preserve"> for the purpose of evaluating the NEEAP. Both the </w:t>
      </w:r>
      <w:proofErr w:type="spellStart"/>
      <w:r w:rsidRPr="00AE77A6">
        <w:rPr>
          <w:rFonts w:cs="Calibri"/>
          <w:lang w:val="en-GB"/>
        </w:rPr>
        <w:t>MoIT</w:t>
      </w:r>
      <w:proofErr w:type="spellEnd"/>
      <w:r w:rsidRPr="00AE77A6">
        <w:rPr>
          <w:rFonts w:cs="Calibri"/>
          <w:lang w:val="en-GB"/>
        </w:rPr>
        <w:t xml:space="preserve"> and </w:t>
      </w:r>
      <w:proofErr w:type="spellStart"/>
      <w:r w:rsidRPr="00AE77A6">
        <w:rPr>
          <w:rFonts w:cs="Calibri"/>
          <w:lang w:val="en-GB"/>
        </w:rPr>
        <w:t>MoE</w:t>
      </w:r>
      <w:proofErr w:type="spellEnd"/>
      <w:r w:rsidRPr="00AE77A6">
        <w:rPr>
          <w:rFonts w:cs="Calibri"/>
          <w:lang w:val="en-GB"/>
        </w:rPr>
        <w:t xml:space="preserve"> transfer the values of these indicators through the information system to the central monitoring system of structural funds and the </w:t>
      </w:r>
      <w:r w:rsidRPr="00F46516">
        <w:rPr>
          <w:rFonts w:cs="Calibri"/>
          <w:i/>
          <w:lang w:val="en-GB"/>
        </w:rPr>
        <w:t>Cohesion Fund</w:t>
      </w:r>
      <w:r w:rsidRPr="00AE77A6">
        <w:rPr>
          <w:rFonts w:cs="Calibri"/>
          <w:lang w:val="en-GB"/>
        </w:rPr>
        <w:t xml:space="preserve"> (MSC2007). Other than monitoring the savings in these two operational programmes, savings achieved by other entities and measures where energy savings occur with the use of subsidies from the </w:t>
      </w:r>
      <w:r w:rsidR="00F46516">
        <w:rPr>
          <w:rFonts w:cs="Calibri"/>
          <w:lang w:val="en-GB"/>
        </w:rPr>
        <w:t>s</w:t>
      </w:r>
      <w:r w:rsidRPr="00AE77A6">
        <w:rPr>
          <w:rFonts w:cs="Calibri"/>
          <w:lang w:val="en-GB"/>
        </w:rPr>
        <w:t xml:space="preserve">tate budget are not </w:t>
      </w:r>
      <w:r w:rsidR="00F46516" w:rsidRPr="00AE77A6">
        <w:rPr>
          <w:rFonts w:cs="Calibri"/>
          <w:lang w:val="en-GB"/>
        </w:rPr>
        <w:t xml:space="preserve">fully </w:t>
      </w:r>
      <w:r w:rsidRPr="00AE77A6">
        <w:rPr>
          <w:rFonts w:cs="Calibri"/>
          <w:lang w:val="en-GB"/>
        </w:rPr>
        <w:t>monitored.</w:t>
      </w:r>
    </w:p>
    <w:p w:rsidR="0095691A" w:rsidRPr="00AE77A6" w:rsidRDefault="009B2E6C" w:rsidP="009151F1">
      <w:pPr>
        <w:pBdr>
          <w:top w:val="single" w:sz="4" w:space="1" w:color="auto"/>
          <w:left w:val="single" w:sz="4" w:space="4" w:color="auto"/>
          <w:bottom w:val="single" w:sz="4" w:space="1" w:color="auto"/>
          <w:right w:val="single" w:sz="4" w:space="4" w:color="auto"/>
        </w:pBdr>
        <w:shd w:val="clear" w:color="auto" w:fill="B6DDE8"/>
        <w:rPr>
          <w:rFonts w:cs="Calibri"/>
          <w:b/>
          <w:color w:val="FF0000"/>
          <w:lang w:val="en-GB"/>
        </w:rPr>
      </w:pPr>
      <w:r w:rsidRPr="00AE77A6">
        <w:rPr>
          <w:rFonts w:cs="Calibri"/>
          <w:lang w:val="en-GB"/>
        </w:rPr>
        <w:t xml:space="preserve">This indicator is not set by the </w:t>
      </w:r>
      <w:proofErr w:type="spellStart"/>
      <w:r w:rsidRPr="00AE77A6">
        <w:rPr>
          <w:rFonts w:cs="Calibri"/>
          <w:lang w:val="en-GB"/>
        </w:rPr>
        <w:t>MoRD</w:t>
      </w:r>
      <w:proofErr w:type="spellEnd"/>
      <w:r w:rsidRPr="00AE77A6">
        <w:rPr>
          <w:rFonts w:cs="Calibri"/>
          <w:lang w:val="en-GB"/>
        </w:rPr>
        <w:t xml:space="preserve"> although numerous measures leading to new energy savings are being implement by it. With the exception of the </w:t>
      </w:r>
      <w:r w:rsidRPr="00F46516">
        <w:rPr>
          <w:rFonts w:cs="Calibri"/>
          <w:i/>
          <w:lang w:val="en-GB"/>
        </w:rPr>
        <w:t>JESSICA</w:t>
      </w:r>
      <w:r w:rsidRPr="00AE77A6">
        <w:rPr>
          <w:rFonts w:cs="Calibri"/>
          <w:lang w:val="en-GB"/>
        </w:rPr>
        <w:t xml:space="preserve"> programme, energy savings in the </w:t>
      </w:r>
      <w:proofErr w:type="spellStart"/>
      <w:r w:rsidRPr="00AE77A6">
        <w:rPr>
          <w:rFonts w:cs="Calibri"/>
          <w:lang w:val="en-GB"/>
        </w:rPr>
        <w:t>MoRD</w:t>
      </w:r>
      <w:proofErr w:type="spellEnd"/>
      <w:r w:rsidRPr="00AE77A6">
        <w:rPr>
          <w:rFonts w:cs="Calibri"/>
          <w:lang w:val="en-GB"/>
        </w:rPr>
        <w:t xml:space="preserve"> programme were not monitored in full in the 2012 - 2014 period and the</w:t>
      </w:r>
      <w:r w:rsidR="009151F1" w:rsidRPr="00AE77A6">
        <w:rPr>
          <w:rFonts w:cs="Calibri"/>
          <w:lang w:val="en-GB"/>
        </w:rPr>
        <w:t xml:space="preserve"> </w:t>
      </w:r>
      <w:proofErr w:type="spellStart"/>
      <w:r w:rsidR="009151F1" w:rsidRPr="00AE77A6">
        <w:rPr>
          <w:rFonts w:cs="Calibri"/>
          <w:lang w:val="en-GB"/>
        </w:rPr>
        <w:t>MoIT</w:t>
      </w:r>
      <w:proofErr w:type="spellEnd"/>
      <w:r w:rsidR="009151F1" w:rsidRPr="00AE77A6">
        <w:rPr>
          <w:rFonts w:cs="Calibri"/>
          <w:lang w:val="en-GB"/>
        </w:rPr>
        <w:t xml:space="preserve"> did not require the </w:t>
      </w:r>
      <w:r w:rsidRPr="00AE77A6">
        <w:rPr>
          <w:rFonts w:cs="Calibri"/>
          <w:lang w:val="en-GB"/>
        </w:rPr>
        <w:t>results of energy savings</w:t>
      </w:r>
      <w:r w:rsidR="009151F1" w:rsidRPr="00AE77A6">
        <w:rPr>
          <w:rFonts w:cs="Calibri"/>
          <w:lang w:val="en-GB"/>
        </w:rPr>
        <w:t xml:space="preserve"> to be submitted</w:t>
      </w:r>
      <w:r w:rsidRPr="00AE77A6">
        <w:rPr>
          <w:rFonts w:cs="Calibri"/>
          <w:lang w:val="en-GB"/>
        </w:rPr>
        <w:t>.</w:t>
      </w:r>
    </w:p>
    <w:p w:rsidR="0095691A" w:rsidRPr="00AE77A6" w:rsidRDefault="0095691A">
      <w:pPr>
        <w:pStyle w:val="pracovn3"/>
        <w:spacing w:after="120" w:line="276" w:lineRule="auto"/>
        <w:ind w:left="284"/>
        <w:jc w:val="center"/>
        <w:rPr>
          <w:rFonts w:ascii="Calibri" w:hAnsi="Calibri" w:cs="Calibri"/>
          <w:caps/>
          <w:color w:val="auto"/>
          <w:u w:val="single"/>
          <w:lang w:val="en-GB"/>
        </w:rPr>
      </w:pPr>
    </w:p>
    <w:p w:rsidR="0095691A" w:rsidRPr="00AE77A6" w:rsidRDefault="009B2E6C" w:rsidP="009151F1">
      <w:pPr>
        <w:pStyle w:val="Odstavecseseznamem"/>
        <w:numPr>
          <w:ilvl w:val="0"/>
          <w:numId w:val="1"/>
        </w:numPr>
        <w:ind w:left="284" w:hanging="284"/>
        <w:jc w:val="center"/>
        <w:rPr>
          <w:rFonts w:cs="Calibri"/>
          <w:b/>
          <w:caps/>
          <w:lang w:val="en-GB"/>
        </w:rPr>
      </w:pPr>
      <w:r w:rsidRPr="00AE77A6">
        <w:rPr>
          <w:rFonts w:cs="Calibri"/>
          <w:b/>
          <w:caps/>
          <w:lang w:val="en-GB"/>
        </w:rPr>
        <w:lastRenderedPageBreak/>
        <w:t>Subsidy beneficiaries</w:t>
      </w:r>
    </w:p>
    <w:p w:rsidR="0095691A" w:rsidRPr="00AE77A6" w:rsidRDefault="009B2E6C">
      <w:pPr>
        <w:rPr>
          <w:b/>
          <w:szCs w:val="24"/>
          <w:lang w:val="en-GB"/>
        </w:rPr>
      </w:pPr>
      <w:r w:rsidRPr="00AE77A6">
        <w:rPr>
          <w:b/>
          <w:szCs w:val="24"/>
          <w:lang w:val="en-GB"/>
        </w:rPr>
        <w:t>Audit sample and audit area</w:t>
      </w:r>
    </w:p>
    <w:p w:rsidR="0095691A" w:rsidRPr="00AE77A6" w:rsidRDefault="009B2E6C" w:rsidP="00C918B2">
      <w:pPr>
        <w:rPr>
          <w:b/>
          <w:szCs w:val="24"/>
          <w:lang w:val="en-GB"/>
        </w:rPr>
      </w:pPr>
      <w:r w:rsidRPr="00AE77A6">
        <w:rPr>
          <w:szCs w:val="24"/>
          <w:lang w:val="en-GB"/>
        </w:rPr>
        <w:t>The selected beneficiaries received subsidies through programmes ma</w:t>
      </w:r>
      <w:r w:rsidR="00C918B2" w:rsidRPr="00AE77A6">
        <w:rPr>
          <w:szCs w:val="24"/>
          <w:lang w:val="en-GB"/>
        </w:rPr>
        <w:t xml:space="preserve">naged by the </w:t>
      </w:r>
      <w:proofErr w:type="spellStart"/>
      <w:r w:rsidR="00C918B2" w:rsidRPr="00AE77A6">
        <w:rPr>
          <w:szCs w:val="24"/>
          <w:lang w:val="en-GB"/>
        </w:rPr>
        <w:t>MoIT</w:t>
      </w:r>
      <w:proofErr w:type="spellEnd"/>
      <w:r w:rsidR="00C918B2" w:rsidRPr="00AE77A6">
        <w:rPr>
          <w:szCs w:val="24"/>
          <w:lang w:val="en-GB"/>
        </w:rPr>
        <w:t xml:space="preserve"> and </w:t>
      </w:r>
      <w:proofErr w:type="spellStart"/>
      <w:r w:rsidR="00C918B2" w:rsidRPr="00AE77A6">
        <w:rPr>
          <w:szCs w:val="24"/>
          <w:lang w:val="en-GB"/>
        </w:rPr>
        <w:t>MoE</w:t>
      </w:r>
      <w:proofErr w:type="spellEnd"/>
      <w:r w:rsidR="00C918B2" w:rsidRPr="00AE77A6">
        <w:rPr>
          <w:szCs w:val="24"/>
          <w:lang w:val="en-GB"/>
        </w:rPr>
        <w:t>.  In Intervention A</w:t>
      </w:r>
      <w:r w:rsidRPr="00AE77A6">
        <w:rPr>
          <w:szCs w:val="24"/>
          <w:lang w:val="en-GB"/>
        </w:rPr>
        <w:t xml:space="preserve">rea 3.2 </w:t>
      </w:r>
      <w:r w:rsidR="00C918B2" w:rsidRPr="00AE77A6">
        <w:rPr>
          <w:rFonts w:cs="Calibri"/>
          <w:i/>
          <w:lang w:val="en-GB"/>
        </w:rPr>
        <w:t>“The Realisation of Energy Savings and Use of Waste Heat”</w:t>
      </w:r>
      <w:r w:rsidRPr="00AE77A6">
        <w:rPr>
          <w:i/>
          <w:szCs w:val="24"/>
          <w:lang w:val="en-GB"/>
        </w:rPr>
        <w:t xml:space="preserve">, </w:t>
      </w:r>
      <w:r w:rsidRPr="00AE77A6">
        <w:rPr>
          <w:szCs w:val="24"/>
          <w:lang w:val="en-GB"/>
        </w:rPr>
        <w:t>the OPE included 11 projects implemented by 7 subsidy beneficiaries under the OPE in the audit sample. In the audited sample of projects, subsidies paid out to beneficiaries amounted to more than CZK 210 million in the audited period.</w:t>
      </w:r>
    </w:p>
    <w:p w:rsidR="0095691A" w:rsidRPr="00AE77A6" w:rsidRDefault="009B2E6C">
      <w:pPr>
        <w:rPr>
          <w:szCs w:val="24"/>
          <w:lang w:val="en-GB"/>
        </w:rPr>
      </w:pPr>
      <w:r w:rsidRPr="00AE77A6">
        <w:rPr>
          <w:szCs w:val="24"/>
          <w:lang w:val="en-GB"/>
        </w:rPr>
        <w:t xml:space="preserve">In </w:t>
      </w:r>
      <w:r w:rsidR="00484927">
        <w:rPr>
          <w:szCs w:val="24"/>
          <w:lang w:val="en-GB"/>
        </w:rPr>
        <w:t>I</w:t>
      </w:r>
      <w:r w:rsidRPr="00AE77A6">
        <w:rPr>
          <w:szCs w:val="24"/>
          <w:lang w:val="en-GB"/>
        </w:rPr>
        <w:t xml:space="preserve">ntervention </w:t>
      </w:r>
      <w:r w:rsidR="00484927">
        <w:rPr>
          <w:szCs w:val="24"/>
          <w:lang w:val="en-GB"/>
        </w:rPr>
        <w:t>A</w:t>
      </w:r>
      <w:r w:rsidRPr="00AE77A6">
        <w:rPr>
          <w:szCs w:val="24"/>
          <w:lang w:val="en-GB"/>
        </w:rPr>
        <w:t xml:space="preserve">rea 3.1 </w:t>
      </w:r>
      <w:r w:rsidRPr="00AE77A6">
        <w:rPr>
          <w:i/>
          <w:szCs w:val="24"/>
          <w:lang w:val="en-GB"/>
        </w:rPr>
        <w:t>“Energy savings and renewable sources of energy</w:t>
      </w:r>
      <w:proofErr w:type="gramStart"/>
      <w:r w:rsidRPr="00AE77A6">
        <w:rPr>
          <w:i/>
          <w:szCs w:val="24"/>
          <w:lang w:val="en-GB"/>
        </w:rPr>
        <w:t xml:space="preserve">”, </w:t>
      </w:r>
      <w:r w:rsidR="00C918B2" w:rsidRPr="00AE77A6">
        <w:rPr>
          <w:szCs w:val="24"/>
          <w:lang w:val="en-GB"/>
        </w:rPr>
        <w:t xml:space="preserve"> the</w:t>
      </w:r>
      <w:proofErr w:type="gramEnd"/>
      <w:r w:rsidR="00C918B2" w:rsidRPr="00AE77A6">
        <w:rPr>
          <w:szCs w:val="24"/>
          <w:lang w:val="en-GB"/>
        </w:rPr>
        <w:t xml:space="preserve"> OP</w:t>
      </w:r>
      <w:r w:rsidRPr="00AE77A6">
        <w:rPr>
          <w:szCs w:val="24"/>
          <w:lang w:val="en-GB"/>
        </w:rPr>
        <w:t>E</w:t>
      </w:r>
      <w:r w:rsidR="00C918B2" w:rsidRPr="00AE77A6">
        <w:rPr>
          <w:szCs w:val="24"/>
          <w:lang w:val="en-GB"/>
        </w:rPr>
        <w:t>I</w:t>
      </w:r>
      <w:r w:rsidRPr="00AE77A6">
        <w:rPr>
          <w:szCs w:val="24"/>
          <w:lang w:val="en-GB"/>
        </w:rPr>
        <w:t xml:space="preserve"> programme included 8 projects implemented by 8 subsidy beneficiaries </w:t>
      </w:r>
      <w:r w:rsidR="00B06CF6">
        <w:rPr>
          <w:szCs w:val="24"/>
          <w:lang w:val="en-GB"/>
        </w:rPr>
        <w:t xml:space="preserve">under </w:t>
      </w:r>
      <w:r w:rsidRPr="00AE77A6">
        <w:rPr>
          <w:szCs w:val="24"/>
          <w:lang w:val="en-GB"/>
        </w:rPr>
        <w:t>the “Third Call to Submit Projects as part of OPEI ECO-ENERGY” in the audit sample.</w:t>
      </w:r>
      <w:r w:rsidRPr="00AE77A6">
        <w:rPr>
          <w:i/>
          <w:szCs w:val="24"/>
          <w:lang w:val="en-GB"/>
        </w:rPr>
        <w:t xml:space="preserve"> </w:t>
      </w:r>
      <w:r w:rsidRPr="00AE77A6">
        <w:rPr>
          <w:szCs w:val="24"/>
          <w:lang w:val="en-GB"/>
        </w:rPr>
        <w:t xml:space="preserve"> In the audited sample of projects, subsidies paid out to beneficiaries amounted to approx. CZK 648 million in the audited period.</w:t>
      </w:r>
    </w:p>
    <w:p w:rsidR="00B06CF6" w:rsidRDefault="00B06CF6">
      <w:pPr>
        <w:rPr>
          <w:b/>
          <w:szCs w:val="24"/>
          <w:lang w:val="en-GB"/>
        </w:rPr>
      </w:pPr>
    </w:p>
    <w:p w:rsidR="0095691A" w:rsidRPr="00916297" w:rsidRDefault="009B2E6C">
      <w:pPr>
        <w:rPr>
          <w:b/>
          <w:szCs w:val="24"/>
          <w:lang w:val="en-GB"/>
        </w:rPr>
      </w:pPr>
      <w:r w:rsidRPr="00916297">
        <w:rPr>
          <w:b/>
          <w:szCs w:val="24"/>
          <w:lang w:val="en-GB"/>
        </w:rPr>
        <w:t>Fulfilment of project objectives</w:t>
      </w:r>
      <w:r w:rsidR="00DB3123" w:rsidRPr="00916297">
        <w:rPr>
          <w:b/>
          <w:szCs w:val="24"/>
          <w:lang w:val="en-GB"/>
        </w:rPr>
        <w:t xml:space="preserve"> and</w:t>
      </w:r>
      <w:r w:rsidRPr="00916297">
        <w:rPr>
          <w:b/>
          <w:szCs w:val="24"/>
          <w:lang w:val="en-GB"/>
        </w:rPr>
        <w:t xml:space="preserve"> binding monitoring indicators, attained energy savings</w:t>
      </w:r>
    </w:p>
    <w:p w:rsidR="0095691A" w:rsidRPr="00AE77A6" w:rsidRDefault="009B2E6C">
      <w:pPr>
        <w:rPr>
          <w:szCs w:val="24"/>
          <w:lang w:val="en-GB"/>
        </w:rPr>
      </w:pPr>
      <w:r w:rsidRPr="00916297">
        <w:rPr>
          <w:szCs w:val="24"/>
          <w:lang w:val="en-GB"/>
        </w:rPr>
        <w:t xml:space="preserve">The SAO audit found that the objectives, purpose, </w:t>
      </w:r>
      <w:r w:rsidR="00BA0DC3" w:rsidRPr="00916297">
        <w:rPr>
          <w:szCs w:val="24"/>
          <w:lang w:val="en-GB"/>
        </w:rPr>
        <w:t xml:space="preserve">and </w:t>
      </w:r>
      <w:r w:rsidRPr="00916297">
        <w:rPr>
          <w:szCs w:val="24"/>
          <w:lang w:val="en-GB"/>
        </w:rPr>
        <w:t>binding monitoring</w:t>
      </w:r>
      <w:r w:rsidRPr="00AE77A6">
        <w:rPr>
          <w:szCs w:val="24"/>
          <w:lang w:val="en-GB"/>
        </w:rPr>
        <w:t xml:space="preserve"> indicators of the selected projects were fulfilled.  Other than the exception discussed below, it was found that the beneficiaries achieved substantial energy and financial savings through the implemented projects. In the case of two projects, the monitoring indicators (reduced energy consumption and reduced CO</w:t>
      </w:r>
      <w:r w:rsidRPr="00BA0DC3">
        <w:rPr>
          <w:szCs w:val="24"/>
          <w:vertAlign w:val="subscript"/>
          <w:lang w:val="en-GB"/>
        </w:rPr>
        <w:t>2</w:t>
      </w:r>
      <w:r w:rsidRPr="00AE77A6">
        <w:rPr>
          <w:szCs w:val="24"/>
          <w:lang w:val="en-GB"/>
        </w:rPr>
        <w:t xml:space="preserve"> emissions) were not fulfilled for objective reasons (weather, gradual setting of heat consumption regulation).</w:t>
      </w:r>
    </w:p>
    <w:p w:rsidR="0095691A" w:rsidRPr="00AE77A6" w:rsidRDefault="009B2E6C">
      <w:pPr>
        <w:spacing w:after="0"/>
        <w:rPr>
          <w:szCs w:val="24"/>
          <w:lang w:val="en-GB"/>
        </w:rPr>
      </w:pPr>
      <w:r w:rsidRPr="00AE77A6">
        <w:rPr>
          <w:szCs w:val="24"/>
          <w:lang w:val="en-GB"/>
        </w:rPr>
        <w:t>In the case of two pr</w:t>
      </w:r>
      <w:r w:rsidR="00C918B2" w:rsidRPr="00AE77A6">
        <w:rPr>
          <w:szCs w:val="24"/>
          <w:lang w:val="en-GB"/>
        </w:rPr>
        <w:t>ojects, the deadline for fulfilli</w:t>
      </w:r>
      <w:r w:rsidRPr="00AE77A6">
        <w:rPr>
          <w:szCs w:val="24"/>
          <w:lang w:val="en-GB"/>
        </w:rPr>
        <w:t xml:space="preserve">ng binding monitoring indicators was extended to 30 September 2016 and 31 December 2016. For this reason, the SAO audit could not examine the fulfilment of indicators. </w:t>
      </w:r>
    </w:p>
    <w:p w:rsidR="0095691A" w:rsidRPr="00AE77A6" w:rsidRDefault="009B2E6C">
      <w:pPr>
        <w:spacing w:after="0"/>
        <w:rPr>
          <w:szCs w:val="24"/>
          <w:lang w:val="en-GB"/>
        </w:rPr>
      </w:pPr>
      <w:r w:rsidRPr="00AE77A6">
        <w:rPr>
          <w:szCs w:val="24"/>
          <w:lang w:val="en-GB"/>
        </w:rPr>
        <w:t xml:space="preserve">In the case of one project, the </w:t>
      </w:r>
      <w:r w:rsidR="00C918B2" w:rsidRPr="00AE77A6">
        <w:rPr>
          <w:szCs w:val="24"/>
          <w:lang w:val="en-GB"/>
        </w:rPr>
        <w:t>fulfilment</w:t>
      </w:r>
      <w:r w:rsidRPr="00AE77A6">
        <w:rPr>
          <w:szCs w:val="24"/>
          <w:lang w:val="en-GB"/>
        </w:rPr>
        <w:t xml:space="preserve"> of the objectives and purpose of the project is jeopardised due to unforeseeable circumstances (breakdown of the boiler in the sulphuric acid plant). The </w:t>
      </w:r>
      <w:r w:rsidR="00C918B2" w:rsidRPr="00AE77A6">
        <w:rPr>
          <w:szCs w:val="24"/>
          <w:lang w:val="en-GB"/>
        </w:rPr>
        <w:t>fulfilment</w:t>
      </w:r>
      <w:r w:rsidRPr="00AE77A6">
        <w:rPr>
          <w:szCs w:val="24"/>
          <w:lang w:val="en-GB"/>
        </w:rPr>
        <w:t xml:space="preserve"> of the objectives and purposes of the project will depend on reopening the sulphuric acid plant. </w:t>
      </w:r>
    </w:p>
    <w:p w:rsidR="0095691A" w:rsidRPr="00AE77A6" w:rsidRDefault="009B2E6C">
      <w:pPr>
        <w:rPr>
          <w:szCs w:val="24"/>
          <w:lang w:val="en-GB"/>
        </w:rPr>
      </w:pPr>
      <w:r w:rsidRPr="00AE77A6">
        <w:rPr>
          <w:szCs w:val="24"/>
          <w:lang w:val="en-GB"/>
        </w:rPr>
        <w:t xml:space="preserve">In the case of one project, the SAO further assessed the achieved steam turbine performance parameters as risky.  If the low electricity output of the turbine of 50 - 55% of the values guaranteed by the supplier continues in years to come, the </w:t>
      </w:r>
      <w:r w:rsidR="00C918B2" w:rsidRPr="00AE77A6">
        <w:rPr>
          <w:szCs w:val="24"/>
          <w:lang w:val="en-GB"/>
        </w:rPr>
        <w:t>fulfilment</w:t>
      </w:r>
      <w:r w:rsidRPr="00AE77A6">
        <w:rPr>
          <w:szCs w:val="24"/>
          <w:lang w:val="en-GB"/>
        </w:rPr>
        <w:t xml:space="preserve"> of the binding indicators and monitoring indicators under the sustainability project will be jeopardised with an impact on the overall project benefits.</w:t>
      </w:r>
    </w:p>
    <w:p w:rsidR="006D0383" w:rsidRDefault="006D0383">
      <w:pPr>
        <w:rPr>
          <w:b/>
          <w:szCs w:val="24"/>
          <w:lang w:val="en-GB"/>
        </w:rPr>
      </w:pPr>
    </w:p>
    <w:p w:rsidR="006D0383" w:rsidRDefault="006D0383">
      <w:pPr>
        <w:rPr>
          <w:b/>
          <w:szCs w:val="24"/>
          <w:lang w:val="en-GB"/>
        </w:rPr>
      </w:pPr>
    </w:p>
    <w:p w:rsidR="0095691A" w:rsidRPr="00AE77A6" w:rsidRDefault="009B2E6C">
      <w:pPr>
        <w:rPr>
          <w:b/>
          <w:szCs w:val="24"/>
          <w:lang w:val="en-GB"/>
        </w:rPr>
      </w:pPr>
      <w:r w:rsidRPr="00AE77A6">
        <w:rPr>
          <w:b/>
          <w:szCs w:val="24"/>
          <w:lang w:val="en-GB"/>
        </w:rPr>
        <w:lastRenderedPageBreak/>
        <w:t xml:space="preserve">Shortcomings in the </w:t>
      </w:r>
      <w:r w:rsidR="002D67F8">
        <w:rPr>
          <w:b/>
          <w:szCs w:val="24"/>
          <w:lang w:val="en-GB"/>
        </w:rPr>
        <w:t>procurement</w:t>
      </w:r>
      <w:r w:rsidRPr="00AE77A6">
        <w:rPr>
          <w:b/>
          <w:szCs w:val="24"/>
          <w:lang w:val="en-GB"/>
        </w:rPr>
        <w:t xml:space="preserve"> procedure in the “</w:t>
      </w:r>
      <w:r w:rsidRPr="002D67F8">
        <w:rPr>
          <w:b/>
          <w:i/>
          <w:szCs w:val="24"/>
          <w:lang w:val="en-GB"/>
        </w:rPr>
        <w:t xml:space="preserve">Improvement of Energy Performance of E. </w:t>
      </w:r>
      <w:proofErr w:type="spellStart"/>
      <w:r w:rsidRPr="002D67F8">
        <w:rPr>
          <w:b/>
          <w:i/>
          <w:szCs w:val="24"/>
          <w:lang w:val="en-GB"/>
        </w:rPr>
        <w:t>Rošický</w:t>
      </w:r>
      <w:proofErr w:type="spellEnd"/>
      <w:r w:rsidRPr="002D67F8">
        <w:rPr>
          <w:b/>
          <w:i/>
          <w:szCs w:val="24"/>
          <w:lang w:val="en-GB"/>
        </w:rPr>
        <w:t xml:space="preserve"> </w:t>
      </w:r>
      <w:r w:rsidR="00C918B2" w:rsidRPr="002D67F8">
        <w:rPr>
          <w:b/>
          <w:i/>
          <w:szCs w:val="24"/>
          <w:lang w:val="en-GB"/>
        </w:rPr>
        <w:t xml:space="preserve">Basic School, </w:t>
      </w:r>
      <w:proofErr w:type="spellStart"/>
      <w:r w:rsidR="00C918B2" w:rsidRPr="002D67F8">
        <w:rPr>
          <w:b/>
          <w:i/>
          <w:szCs w:val="24"/>
          <w:lang w:val="en-GB"/>
        </w:rPr>
        <w:t>Jihlava</w:t>
      </w:r>
      <w:proofErr w:type="spellEnd"/>
      <w:r w:rsidR="00C918B2" w:rsidRPr="00AE77A6">
        <w:rPr>
          <w:b/>
          <w:szCs w:val="24"/>
          <w:lang w:val="en-GB"/>
        </w:rPr>
        <w:t xml:space="preserve">” project </w:t>
      </w:r>
      <w:r w:rsidRPr="00AE77A6">
        <w:rPr>
          <w:rStyle w:val="Znakapoznpodarou"/>
          <w:b/>
          <w:szCs w:val="24"/>
          <w:lang w:val="en-GB"/>
        </w:rPr>
        <w:footnoteReference w:id="12"/>
      </w:r>
    </w:p>
    <w:p w:rsidR="0095691A" w:rsidRPr="00AE77A6" w:rsidRDefault="009B2E6C" w:rsidP="00C918B2">
      <w:pPr>
        <w:spacing w:after="0"/>
        <w:rPr>
          <w:rFonts w:cs="Calibri"/>
          <w:szCs w:val="24"/>
          <w:lang w:val="en-GB"/>
        </w:rPr>
      </w:pPr>
      <w:r w:rsidRPr="00AE77A6">
        <w:rPr>
          <w:rFonts w:cs="Calibri"/>
          <w:szCs w:val="24"/>
          <w:lang w:val="en-GB"/>
        </w:rPr>
        <w:t>The subject of the project was the insulation of the outside walls, replacement of insulation panels</w:t>
      </w:r>
      <w:r w:rsidR="002D67F8">
        <w:rPr>
          <w:rFonts w:cs="Calibri"/>
          <w:szCs w:val="24"/>
          <w:lang w:val="en-GB"/>
        </w:rPr>
        <w:t>,</w:t>
      </w:r>
      <w:r w:rsidRPr="00AE77A6">
        <w:rPr>
          <w:rFonts w:cs="Calibri"/>
          <w:szCs w:val="24"/>
          <w:lang w:val="en-GB"/>
        </w:rPr>
        <w:t xml:space="preserve"> and insulation of the ceiling under the roof in buildings with a total area of 6 835 m</w:t>
      </w:r>
      <w:r w:rsidRPr="00AE77A6">
        <w:rPr>
          <w:rFonts w:cs="Calibri"/>
          <w:szCs w:val="24"/>
          <w:vertAlign w:val="superscript"/>
          <w:lang w:val="en-GB"/>
        </w:rPr>
        <w:t>2</w:t>
      </w:r>
      <w:r w:rsidRPr="00AE77A6">
        <w:rPr>
          <w:rFonts w:cs="Calibri"/>
          <w:szCs w:val="24"/>
          <w:lang w:val="en-GB"/>
        </w:rPr>
        <w:t xml:space="preserve">. The </w:t>
      </w:r>
      <w:r w:rsidR="002D67F8">
        <w:rPr>
          <w:rFonts w:cs="Calibri"/>
          <w:szCs w:val="24"/>
          <w:lang w:val="en-GB"/>
        </w:rPr>
        <w:t>M</w:t>
      </w:r>
      <w:r w:rsidRPr="00AE77A6">
        <w:rPr>
          <w:rFonts w:cs="Calibri"/>
          <w:szCs w:val="24"/>
          <w:lang w:val="en-GB"/>
        </w:rPr>
        <w:t xml:space="preserve">anaging </w:t>
      </w:r>
      <w:r w:rsidR="002D67F8">
        <w:rPr>
          <w:rFonts w:cs="Calibri"/>
          <w:szCs w:val="24"/>
          <w:lang w:val="en-GB"/>
        </w:rPr>
        <w:t>A</w:t>
      </w:r>
      <w:r w:rsidRPr="00AE77A6">
        <w:rPr>
          <w:rFonts w:cs="Calibri"/>
          <w:szCs w:val="24"/>
          <w:lang w:val="en-GB"/>
        </w:rPr>
        <w:t>uthority approved and paid out a subsidy of CZK 10 753</w:t>
      </w:r>
      <w:r w:rsidR="00C918B2" w:rsidRPr="00AE77A6">
        <w:rPr>
          <w:rFonts w:cs="Calibri"/>
          <w:szCs w:val="24"/>
          <w:lang w:val="en-GB"/>
        </w:rPr>
        <w:t> </w:t>
      </w:r>
      <w:r w:rsidRPr="00AE77A6">
        <w:rPr>
          <w:rFonts w:cs="Calibri"/>
          <w:szCs w:val="24"/>
          <w:lang w:val="en-GB"/>
        </w:rPr>
        <w:t>834</w:t>
      </w:r>
      <w:r w:rsidR="00C918B2" w:rsidRPr="00AE77A6">
        <w:rPr>
          <w:rFonts w:cs="Calibri"/>
          <w:szCs w:val="24"/>
          <w:lang w:val="en-GB"/>
        </w:rPr>
        <w:t xml:space="preserve"> </w:t>
      </w:r>
      <w:r w:rsidR="00C918B2" w:rsidRPr="00AE77A6">
        <w:rPr>
          <w:rStyle w:val="Znakapoznpodarou"/>
          <w:rFonts w:cs="Calibri"/>
          <w:szCs w:val="24"/>
          <w:lang w:val="en-GB"/>
        </w:rPr>
        <w:footnoteReference w:id="13"/>
      </w:r>
      <w:r w:rsidRPr="00AE77A6">
        <w:rPr>
          <w:rFonts w:cs="Calibri"/>
          <w:szCs w:val="24"/>
          <w:lang w:val="en-GB"/>
        </w:rPr>
        <w:t xml:space="preserve"> covered by </w:t>
      </w:r>
      <w:r w:rsidR="002D67F8">
        <w:rPr>
          <w:rFonts w:cs="Calibri"/>
          <w:szCs w:val="24"/>
          <w:lang w:val="en-GB"/>
        </w:rPr>
        <w:t xml:space="preserve">the </w:t>
      </w:r>
      <w:r w:rsidRPr="002D67F8">
        <w:rPr>
          <w:rFonts w:cs="Calibri"/>
          <w:i/>
          <w:szCs w:val="24"/>
          <w:lang w:val="en-GB"/>
        </w:rPr>
        <w:t>EU Cohesion Fund</w:t>
      </w:r>
      <w:r w:rsidRPr="00AE77A6">
        <w:rPr>
          <w:rFonts w:cs="Calibri"/>
          <w:szCs w:val="24"/>
          <w:lang w:val="en-GB"/>
        </w:rPr>
        <w:t xml:space="preserve"> resources and SEF resources. </w:t>
      </w:r>
    </w:p>
    <w:p w:rsidR="0095691A" w:rsidRPr="00AE77A6" w:rsidRDefault="009B2E6C" w:rsidP="00C918B2">
      <w:pPr>
        <w:spacing w:after="0"/>
        <w:rPr>
          <w:rFonts w:cs="Calibri"/>
          <w:bCs/>
          <w:szCs w:val="24"/>
          <w:lang w:val="en-GB"/>
        </w:rPr>
      </w:pPr>
      <w:r w:rsidRPr="00AE77A6">
        <w:rPr>
          <w:rFonts w:cs="Calibri"/>
          <w:bCs/>
          <w:szCs w:val="24"/>
          <w:lang w:val="en-GB"/>
        </w:rPr>
        <w:t xml:space="preserve">The statutory city of </w:t>
      </w:r>
      <w:proofErr w:type="spellStart"/>
      <w:r w:rsidRPr="00AE77A6">
        <w:rPr>
          <w:rFonts w:cs="Calibri"/>
          <w:bCs/>
          <w:szCs w:val="24"/>
          <w:lang w:val="en-GB"/>
        </w:rPr>
        <w:t>Jihlava</w:t>
      </w:r>
      <w:proofErr w:type="spellEnd"/>
      <w:r w:rsidRPr="00AE77A6">
        <w:rPr>
          <w:rFonts w:cs="Calibri"/>
          <w:bCs/>
          <w:szCs w:val="24"/>
          <w:lang w:val="en-GB"/>
        </w:rPr>
        <w:t xml:space="preserve"> breached Section 6 of Act No. 137/2006 Coll.,</w:t>
      </w:r>
      <w:r w:rsidR="00C918B2" w:rsidRPr="00AE77A6">
        <w:rPr>
          <w:rFonts w:cs="Calibri"/>
          <w:bCs/>
          <w:szCs w:val="24"/>
          <w:lang w:val="en-GB"/>
        </w:rPr>
        <w:t xml:space="preserve"> </w:t>
      </w:r>
      <w:r w:rsidR="00C918B2" w:rsidRPr="00AE77A6">
        <w:rPr>
          <w:rStyle w:val="Znakapoznpodarou"/>
          <w:rFonts w:cs="Calibri"/>
          <w:bCs/>
          <w:szCs w:val="24"/>
          <w:lang w:val="en-GB"/>
        </w:rPr>
        <w:footnoteReference w:id="14"/>
      </w:r>
      <w:r w:rsidRPr="00AE77A6">
        <w:rPr>
          <w:rFonts w:cs="Calibri"/>
          <w:bCs/>
          <w:szCs w:val="24"/>
          <w:lang w:val="en-GB"/>
        </w:rPr>
        <w:t xml:space="preserve"> as under the </w:t>
      </w:r>
      <w:r w:rsidR="002D67F8">
        <w:rPr>
          <w:rFonts w:cs="Calibri"/>
          <w:bCs/>
          <w:szCs w:val="24"/>
          <w:lang w:val="en-GB"/>
        </w:rPr>
        <w:t>procurement</w:t>
      </w:r>
      <w:r w:rsidRPr="00AE77A6">
        <w:rPr>
          <w:rFonts w:cs="Calibri"/>
          <w:bCs/>
          <w:szCs w:val="24"/>
          <w:lang w:val="en-GB"/>
        </w:rPr>
        <w:t xml:space="preserve"> procedure for the public contract </w:t>
      </w:r>
      <w:r w:rsidRPr="00AE77A6">
        <w:rPr>
          <w:rFonts w:cs="Calibri"/>
          <w:bCs/>
          <w:i/>
          <w:iCs/>
          <w:szCs w:val="24"/>
          <w:lang w:val="en-GB"/>
        </w:rPr>
        <w:t xml:space="preserve">“Improvement of the Energy Performance of E. </w:t>
      </w:r>
      <w:proofErr w:type="spellStart"/>
      <w:r w:rsidRPr="00AE77A6">
        <w:rPr>
          <w:rFonts w:cs="Calibri"/>
          <w:bCs/>
          <w:i/>
          <w:iCs/>
          <w:szCs w:val="24"/>
          <w:lang w:val="en-GB"/>
        </w:rPr>
        <w:t>Rošický</w:t>
      </w:r>
      <w:proofErr w:type="spellEnd"/>
      <w:r w:rsidRPr="00AE77A6">
        <w:rPr>
          <w:rFonts w:cs="Calibri"/>
          <w:bCs/>
          <w:i/>
          <w:iCs/>
          <w:szCs w:val="24"/>
          <w:lang w:val="en-GB"/>
        </w:rPr>
        <w:t xml:space="preserve"> Basic School, </w:t>
      </w:r>
      <w:proofErr w:type="spellStart"/>
      <w:r w:rsidRPr="00AE77A6">
        <w:rPr>
          <w:rFonts w:cs="Calibri"/>
          <w:bCs/>
          <w:i/>
          <w:iCs/>
          <w:szCs w:val="24"/>
          <w:lang w:val="en-GB"/>
        </w:rPr>
        <w:t>Jihlava</w:t>
      </w:r>
      <w:proofErr w:type="spellEnd"/>
      <w:r w:rsidRPr="00AE77A6">
        <w:rPr>
          <w:rFonts w:cs="Calibri"/>
          <w:bCs/>
          <w:i/>
          <w:iCs/>
          <w:szCs w:val="24"/>
          <w:lang w:val="en-GB"/>
        </w:rPr>
        <w:t>”</w:t>
      </w:r>
      <w:r w:rsidRPr="00AE77A6">
        <w:rPr>
          <w:rFonts w:cs="Calibri"/>
          <w:bCs/>
          <w:szCs w:val="24"/>
          <w:lang w:val="en-GB"/>
        </w:rPr>
        <w:t xml:space="preserve">, it did not proceed in line with the principle of fair treatment. In the additional information to the award conditions, </w:t>
      </w:r>
      <w:proofErr w:type="spellStart"/>
      <w:r w:rsidRPr="00AE77A6">
        <w:rPr>
          <w:rFonts w:cs="Calibri"/>
          <w:bCs/>
          <w:szCs w:val="24"/>
          <w:lang w:val="en-GB"/>
        </w:rPr>
        <w:t>Jihlava</w:t>
      </w:r>
      <w:proofErr w:type="spellEnd"/>
      <w:r w:rsidRPr="00AE77A6">
        <w:rPr>
          <w:rFonts w:cs="Calibri"/>
          <w:bCs/>
          <w:szCs w:val="24"/>
          <w:lang w:val="en-GB"/>
        </w:rPr>
        <w:t xml:space="preserve"> </w:t>
      </w:r>
      <w:r w:rsidR="00A27014">
        <w:rPr>
          <w:rFonts w:cs="Calibri"/>
          <w:bCs/>
          <w:szCs w:val="24"/>
          <w:lang w:val="en-GB"/>
        </w:rPr>
        <w:t>neither</w:t>
      </w:r>
      <w:r w:rsidRPr="00AE77A6">
        <w:rPr>
          <w:rFonts w:cs="Calibri"/>
          <w:bCs/>
          <w:szCs w:val="24"/>
          <w:lang w:val="en-GB"/>
        </w:rPr>
        <w:t xml:space="preserve"> provide</w:t>
      </w:r>
      <w:r w:rsidR="00A27014">
        <w:rPr>
          <w:rFonts w:cs="Calibri"/>
          <w:bCs/>
          <w:szCs w:val="24"/>
          <w:lang w:val="en-GB"/>
        </w:rPr>
        <w:t>d</w:t>
      </w:r>
      <w:r w:rsidRPr="00AE77A6">
        <w:rPr>
          <w:rFonts w:cs="Calibri"/>
          <w:bCs/>
          <w:szCs w:val="24"/>
          <w:lang w:val="en-GB"/>
        </w:rPr>
        <w:t xml:space="preserve"> the bidders with the corrected bill of quantities, nor </w:t>
      </w:r>
      <w:r w:rsidR="00A27014" w:rsidRPr="00AE77A6">
        <w:rPr>
          <w:rFonts w:cs="Calibri"/>
          <w:bCs/>
          <w:szCs w:val="24"/>
          <w:lang w:val="en-GB"/>
        </w:rPr>
        <w:t>did it define</w:t>
      </w:r>
      <w:r w:rsidRPr="00AE77A6">
        <w:rPr>
          <w:rFonts w:cs="Calibri"/>
          <w:bCs/>
          <w:szCs w:val="24"/>
          <w:lang w:val="en-GB"/>
        </w:rPr>
        <w:t xml:space="preserve"> </w:t>
      </w:r>
      <w:r w:rsidR="00A27014" w:rsidRPr="00AE77A6">
        <w:rPr>
          <w:rFonts w:cs="Calibri"/>
          <w:bCs/>
          <w:szCs w:val="24"/>
          <w:lang w:val="en-GB"/>
        </w:rPr>
        <w:t xml:space="preserve">clearly </w:t>
      </w:r>
      <w:r w:rsidRPr="00AE77A6">
        <w:rPr>
          <w:rFonts w:cs="Calibri"/>
          <w:bCs/>
          <w:szCs w:val="24"/>
          <w:lang w:val="en-GB"/>
        </w:rPr>
        <w:t xml:space="preserve">the method to be used to price the items listed in the </w:t>
      </w:r>
      <w:r w:rsidR="00AE77A6" w:rsidRPr="00AE77A6">
        <w:rPr>
          <w:rFonts w:cs="Calibri"/>
          <w:bCs/>
          <w:szCs w:val="24"/>
          <w:lang w:val="en-GB"/>
        </w:rPr>
        <w:t>additional information</w:t>
      </w:r>
      <w:r w:rsidR="00C918B2" w:rsidRPr="00AE77A6">
        <w:rPr>
          <w:rFonts w:cs="Calibri"/>
          <w:bCs/>
          <w:szCs w:val="24"/>
          <w:lang w:val="en-GB"/>
        </w:rPr>
        <w:t xml:space="preserve"> in the bids. This created a s</w:t>
      </w:r>
      <w:r w:rsidRPr="00AE77A6">
        <w:rPr>
          <w:rFonts w:cs="Calibri"/>
          <w:bCs/>
          <w:szCs w:val="24"/>
          <w:lang w:val="en-GB"/>
        </w:rPr>
        <w:t>ituation where the bidders each proceeded in a different way and the prices offered for each item under additional information thus became impossible to compare.  Due to the ambiguously defined way of pricing items under the additional information, two offers w</w:t>
      </w:r>
      <w:r w:rsidR="00C918B2" w:rsidRPr="00AE77A6">
        <w:rPr>
          <w:rFonts w:cs="Calibri"/>
          <w:bCs/>
          <w:szCs w:val="24"/>
          <w:lang w:val="en-GB"/>
        </w:rPr>
        <w:t xml:space="preserve">ere excluded without grounds. </w:t>
      </w:r>
      <w:r w:rsidRPr="00AE77A6">
        <w:rPr>
          <w:rFonts w:cs="Calibri"/>
          <w:bCs/>
          <w:szCs w:val="24"/>
          <w:lang w:val="en-GB"/>
        </w:rPr>
        <w:t xml:space="preserve">By its approach, </w:t>
      </w:r>
      <w:proofErr w:type="spellStart"/>
      <w:r w:rsidRPr="00AE77A6">
        <w:rPr>
          <w:rFonts w:cs="Calibri"/>
          <w:bCs/>
          <w:szCs w:val="24"/>
          <w:lang w:val="en-GB"/>
        </w:rPr>
        <w:t>Jihlava</w:t>
      </w:r>
      <w:proofErr w:type="spellEnd"/>
      <w:r w:rsidRPr="00AE77A6">
        <w:rPr>
          <w:rFonts w:cs="Calibri"/>
          <w:bCs/>
          <w:szCs w:val="24"/>
          <w:lang w:val="en-GB"/>
        </w:rPr>
        <w:t xml:space="preserve"> violated the competitive environment. This approach also had a substantial impact on the selection of the most advantageous offer. </w:t>
      </w:r>
    </w:p>
    <w:p w:rsidR="00A27014" w:rsidRDefault="00A27014">
      <w:pPr>
        <w:rPr>
          <w:rFonts w:cs="Calibri"/>
          <w:b/>
          <w:bCs/>
          <w:szCs w:val="24"/>
          <w:lang w:val="en-GB"/>
        </w:rPr>
      </w:pPr>
    </w:p>
    <w:p w:rsidR="0095691A" w:rsidRPr="00AE77A6" w:rsidRDefault="009B2E6C">
      <w:pPr>
        <w:rPr>
          <w:rFonts w:cs="Calibri"/>
          <w:b/>
          <w:bCs/>
          <w:szCs w:val="24"/>
          <w:lang w:val="en-GB"/>
        </w:rPr>
      </w:pPr>
      <w:r w:rsidRPr="00AE77A6">
        <w:rPr>
          <w:rFonts w:cs="Calibri"/>
          <w:b/>
          <w:bCs/>
          <w:szCs w:val="24"/>
          <w:lang w:val="en-GB"/>
        </w:rPr>
        <w:t>Ineligible expenditure under the “</w:t>
      </w:r>
      <w:r w:rsidRPr="00A27014">
        <w:rPr>
          <w:rFonts w:cs="Calibri"/>
          <w:b/>
          <w:bCs/>
          <w:i/>
          <w:szCs w:val="24"/>
          <w:lang w:val="en-GB"/>
        </w:rPr>
        <w:t xml:space="preserve">Reconstruction of the Karel </w:t>
      </w:r>
      <w:proofErr w:type="spellStart"/>
      <w:r w:rsidRPr="00A27014">
        <w:rPr>
          <w:rFonts w:cs="Calibri"/>
          <w:b/>
          <w:bCs/>
          <w:i/>
          <w:szCs w:val="24"/>
          <w:lang w:val="en-GB"/>
        </w:rPr>
        <w:t>Svolinský</w:t>
      </w:r>
      <w:proofErr w:type="spellEnd"/>
      <w:r w:rsidRPr="00A27014">
        <w:rPr>
          <w:rFonts w:cs="Calibri"/>
          <w:b/>
          <w:bCs/>
          <w:i/>
          <w:szCs w:val="24"/>
          <w:lang w:val="en-GB"/>
        </w:rPr>
        <w:t xml:space="preserve"> Basic School in </w:t>
      </w:r>
      <w:proofErr w:type="spellStart"/>
      <w:r w:rsidRPr="00A27014">
        <w:rPr>
          <w:rFonts w:cs="Calibri"/>
          <w:b/>
          <w:bCs/>
          <w:i/>
          <w:szCs w:val="24"/>
          <w:lang w:val="en-GB"/>
        </w:rPr>
        <w:t>Kunčice</w:t>
      </w:r>
      <w:proofErr w:type="spellEnd"/>
      <w:r w:rsidRPr="00A27014">
        <w:rPr>
          <w:rFonts w:cs="Calibri"/>
          <w:b/>
          <w:bCs/>
          <w:i/>
          <w:szCs w:val="24"/>
          <w:lang w:val="en-GB"/>
        </w:rPr>
        <w:t xml:space="preserve"> pod </w:t>
      </w:r>
      <w:proofErr w:type="spellStart"/>
      <w:r w:rsidRPr="00A27014">
        <w:rPr>
          <w:rFonts w:cs="Calibri"/>
          <w:b/>
          <w:bCs/>
          <w:i/>
          <w:szCs w:val="24"/>
          <w:lang w:val="en-GB"/>
        </w:rPr>
        <w:t>Ondřejník</w:t>
      </w:r>
      <w:r w:rsidR="00AE77A6" w:rsidRPr="00A27014">
        <w:rPr>
          <w:rFonts w:cs="Calibri"/>
          <w:b/>
          <w:bCs/>
          <w:i/>
          <w:szCs w:val="24"/>
          <w:lang w:val="en-GB"/>
        </w:rPr>
        <w:t>em</w:t>
      </w:r>
      <w:proofErr w:type="spellEnd"/>
      <w:r w:rsidRPr="00AE77A6">
        <w:rPr>
          <w:rFonts w:cs="Calibri"/>
          <w:b/>
          <w:bCs/>
          <w:szCs w:val="24"/>
          <w:lang w:val="en-GB"/>
        </w:rPr>
        <w:t>” project</w:t>
      </w:r>
      <w:r w:rsidRPr="00AE77A6">
        <w:rPr>
          <w:rStyle w:val="Znakapoznpodarou"/>
          <w:rFonts w:cs="Calibri"/>
          <w:b/>
          <w:bCs/>
          <w:szCs w:val="24"/>
          <w:lang w:val="en-GB"/>
        </w:rPr>
        <w:footnoteReference w:id="15"/>
      </w:r>
      <w:r w:rsidRPr="00AE77A6">
        <w:rPr>
          <w:rFonts w:cs="Calibri"/>
          <w:b/>
          <w:bCs/>
          <w:szCs w:val="24"/>
          <w:lang w:val="en-GB"/>
        </w:rPr>
        <w:t xml:space="preserve"> </w:t>
      </w:r>
    </w:p>
    <w:p w:rsidR="0095691A" w:rsidRPr="00AE77A6" w:rsidRDefault="009B2E6C">
      <w:pPr>
        <w:rPr>
          <w:rFonts w:cs="Calibri"/>
          <w:bCs/>
          <w:szCs w:val="24"/>
          <w:lang w:val="en-GB"/>
        </w:rPr>
      </w:pPr>
      <w:r w:rsidRPr="00AE77A6">
        <w:rPr>
          <w:rFonts w:cs="Calibri"/>
          <w:bCs/>
          <w:szCs w:val="24"/>
          <w:lang w:val="en-GB"/>
        </w:rPr>
        <w:t xml:space="preserve">The project concerned the reconstruction of the Karel </w:t>
      </w:r>
      <w:proofErr w:type="spellStart"/>
      <w:r w:rsidRPr="00AE77A6">
        <w:rPr>
          <w:rFonts w:cs="Calibri"/>
          <w:bCs/>
          <w:szCs w:val="24"/>
          <w:lang w:val="en-GB"/>
        </w:rPr>
        <w:t>Svolinský</w:t>
      </w:r>
      <w:proofErr w:type="spellEnd"/>
      <w:r w:rsidRPr="00AE77A6">
        <w:rPr>
          <w:rFonts w:cs="Calibri"/>
          <w:bCs/>
          <w:szCs w:val="24"/>
          <w:lang w:val="en-GB"/>
        </w:rPr>
        <w:t xml:space="preserve"> Basic School in </w:t>
      </w:r>
      <w:proofErr w:type="spellStart"/>
      <w:r w:rsidRPr="00AE77A6">
        <w:rPr>
          <w:rFonts w:cs="Calibri"/>
          <w:bCs/>
          <w:szCs w:val="24"/>
          <w:lang w:val="en-GB"/>
        </w:rPr>
        <w:t>Kunčice</w:t>
      </w:r>
      <w:proofErr w:type="spellEnd"/>
      <w:r w:rsidRPr="00AE77A6">
        <w:rPr>
          <w:rFonts w:cs="Calibri"/>
          <w:bCs/>
          <w:szCs w:val="24"/>
          <w:lang w:val="en-GB"/>
        </w:rPr>
        <w:t xml:space="preserve"> pod </w:t>
      </w:r>
      <w:proofErr w:type="spellStart"/>
      <w:r w:rsidRPr="00AE77A6">
        <w:rPr>
          <w:rFonts w:cs="Calibri"/>
          <w:bCs/>
          <w:szCs w:val="24"/>
          <w:lang w:val="en-GB"/>
        </w:rPr>
        <w:t>Ondřejník</w:t>
      </w:r>
      <w:r w:rsidR="00AE77A6">
        <w:rPr>
          <w:rFonts w:cs="Calibri"/>
          <w:bCs/>
          <w:szCs w:val="24"/>
          <w:lang w:val="en-GB"/>
        </w:rPr>
        <w:t>em</w:t>
      </w:r>
      <w:proofErr w:type="spellEnd"/>
      <w:r w:rsidRPr="00AE77A6">
        <w:rPr>
          <w:rFonts w:cs="Calibri"/>
          <w:bCs/>
          <w:szCs w:val="24"/>
          <w:lang w:val="en-GB"/>
        </w:rPr>
        <w:t xml:space="preserve">, specifically the replacement of windows and openings and insulation of the facade and roof. The </w:t>
      </w:r>
      <w:r w:rsidR="00E67E19">
        <w:rPr>
          <w:rFonts w:cs="Calibri"/>
          <w:bCs/>
          <w:szCs w:val="24"/>
          <w:lang w:val="en-GB"/>
        </w:rPr>
        <w:t>M</w:t>
      </w:r>
      <w:r w:rsidRPr="00AE77A6">
        <w:rPr>
          <w:rFonts w:cs="Calibri"/>
          <w:bCs/>
          <w:szCs w:val="24"/>
          <w:lang w:val="en-GB"/>
        </w:rPr>
        <w:t xml:space="preserve">anaging </w:t>
      </w:r>
      <w:r w:rsidR="00E67E19">
        <w:rPr>
          <w:rFonts w:cs="Calibri"/>
          <w:bCs/>
          <w:szCs w:val="24"/>
          <w:lang w:val="en-GB"/>
        </w:rPr>
        <w:t>A</w:t>
      </w:r>
      <w:r w:rsidRPr="00AE77A6">
        <w:rPr>
          <w:rFonts w:cs="Calibri"/>
          <w:bCs/>
          <w:szCs w:val="24"/>
          <w:lang w:val="en-GB"/>
        </w:rPr>
        <w:t xml:space="preserve">uthority approved and paid out a subsidy of CZK 7 736 722 covered by </w:t>
      </w:r>
      <w:r w:rsidR="00E67E19">
        <w:rPr>
          <w:rFonts w:cs="Calibri"/>
          <w:bCs/>
          <w:szCs w:val="24"/>
          <w:lang w:val="en-GB"/>
        </w:rPr>
        <w:t xml:space="preserve">the </w:t>
      </w:r>
      <w:r w:rsidRPr="00E67E19">
        <w:rPr>
          <w:rFonts w:cs="Calibri"/>
          <w:bCs/>
          <w:i/>
          <w:szCs w:val="24"/>
          <w:lang w:val="en-GB"/>
        </w:rPr>
        <w:t>EU Cohesion Fund</w:t>
      </w:r>
      <w:r w:rsidRPr="00AE77A6">
        <w:rPr>
          <w:rFonts w:cs="Calibri"/>
          <w:bCs/>
          <w:szCs w:val="24"/>
          <w:lang w:val="en-GB"/>
        </w:rPr>
        <w:t xml:space="preserve"> resources and SEF resources. </w:t>
      </w:r>
      <w:r w:rsidRPr="00AE77A6">
        <w:rPr>
          <w:rStyle w:val="Znakapoznpodarou"/>
          <w:rFonts w:cs="Calibri"/>
          <w:bCs/>
          <w:szCs w:val="24"/>
          <w:lang w:val="en-GB"/>
        </w:rPr>
        <w:footnoteReference w:id="16"/>
      </w:r>
      <w:r w:rsidRPr="00AE77A6">
        <w:rPr>
          <w:rFonts w:cs="Calibri"/>
          <w:bCs/>
          <w:szCs w:val="24"/>
          <w:lang w:val="en-GB"/>
        </w:rPr>
        <w:t xml:space="preserve"> </w:t>
      </w:r>
    </w:p>
    <w:p w:rsidR="0095691A" w:rsidRPr="00AE77A6" w:rsidRDefault="009B2E6C">
      <w:pPr>
        <w:rPr>
          <w:rFonts w:cs="Calibri"/>
          <w:bCs/>
          <w:szCs w:val="24"/>
          <w:lang w:val="en-GB"/>
        </w:rPr>
      </w:pPr>
      <w:r w:rsidRPr="00AE77A6">
        <w:rPr>
          <w:rFonts w:cs="Calibri"/>
          <w:bCs/>
          <w:szCs w:val="24"/>
          <w:lang w:val="en-GB"/>
        </w:rPr>
        <w:t xml:space="preserve">The municipality of </w:t>
      </w:r>
      <w:proofErr w:type="spellStart"/>
      <w:r w:rsidRPr="00AE77A6">
        <w:rPr>
          <w:rFonts w:cs="Calibri"/>
          <w:bCs/>
          <w:szCs w:val="24"/>
          <w:lang w:val="en-GB"/>
        </w:rPr>
        <w:t>Kunčice</w:t>
      </w:r>
      <w:proofErr w:type="spellEnd"/>
      <w:r w:rsidRPr="00AE77A6">
        <w:rPr>
          <w:rFonts w:cs="Calibri"/>
          <w:bCs/>
          <w:szCs w:val="24"/>
          <w:lang w:val="en-GB"/>
        </w:rPr>
        <w:t xml:space="preserve"> pod </w:t>
      </w:r>
      <w:proofErr w:type="spellStart"/>
      <w:r w:rsidRPr="00AE77A6">
        <w:rPr>
          <w:rFonts w:cs="Calibri"/>
          <w:bCs/>
          <w:szCs w:val="24"/>
          <w:lang w:val="en-GB"/>
        </w:rPr>
        <w:t>Ondřejník</w:t>
      </w:r>
      <w:r w:rsidR="00AE77A6">
        <w:rPr>
          <w:rFonts w:cs="Calibri"/>
          <w:bCs/>
          <w:szCs w:val="24"/>
          <w:lang w:val="en-GB"/>
        </w:rPr>
        <w:t>em</w:t>
      </w:r>
      <w:proofErr w:type="spellEnd"/>
      <w:r w:rsidRPr="00AE77A6">
        <w:rPr>
          <w:rFonts w:cs="Calibri"/>
          <w:bCs/>
          <w:szCs w:val="24"/>
          <w:lang w:val="en-GB"/>
        </w:rPr>
        <w:t xml:space="preserve"> treated the costs of </w:t>
      </w:r>
      <w:r w:rsidR="00E67E19">
        <w:rPr>
          <w:rFonts w:cs="Calibri"/>
          <w:bCs/>
          <w:szCs w:val="24"/>
          <w:lang w:val="en-GB"/>
        </w:rPr>
        <w:t xml:space="preserve">the </w:t>
      </w:r>
      <w:r w:rsidRPr="00AE77A6">
        <w:rPr>
          <w:rFonts w:cs="Calibri"/>
          <w:bCs/>
          <w:szCs w:val="24"/>
          <w:lang w:val="en-GB"/>
        </w:rPr>
        <w:t xml:space="preserve">design documentation dated 12/2008 in the amount of CZK 473 025 as eligible expenditure. In reality, however, the municipality executed the project according to the updated design documentation dated 02/2012 and made use of only part of the original design documentation. The SAO found during the audit that the part of eligible expenditure that pertained to the executed project </w:t>
      </w:r>
      <w:r w:rsidRPr="00AE77A6">
        <w:rPr>
          <w:rFonts w:cs="Calibri"/>
          <w:bCs/>
          <w:szCs w:val="24"/>
          <w:lang w:val="en-GB"/>
        </w:rPr>
        <w:lastRenderedPageBreak/>
        <w:t xml:space="preserve">amounted to only CZK 330,767.  The municipality thus received a subsidy of CZK 128 032.20 for costs that were not eligible or </w:t>
      </w:r>
      <w:r w:rsidR="00963245">
        <w:rPr>
          <w:rFonts w:cs="Calibri"/>
          <w:bCs/>
          <w:szCs w:val="24"/>
          <w:lang w:val="en-GB"/>
        </w:rPr>
        <w:t>effective</w:t>
      </w:r>
      <w:r w:rsidRPr="00AE77A6">
        <w:rPr>
          <w:rFonts w:cs="Calibri"/>
          <w:bCs/>
          <w:szCs w:val="24"/>
          <w:lang w:val="en-GB"/>
        </w:rPr>
        <w:t xml:space="preserve">, as they were not directly related to the preparation and execution of the project and were not required for the execution of the project.  These were thus ineligible expenditure that could not be financed from </w:t>
      </w:r>
      <w:r w:rsidR="00963245">
        <w:rPr>
          <w:rFonts w:cs="Calibri"/>
          <w:bCs/>
          <w:szCs w:val="24"/>
          <w:lang w:val="en-GB"/>
        </w:rPr>
        <w:t xml:space="preserve">the </w:t>
      </w:r>
      <w:r w:rsidRPr="00963245">
        <w:rPr>
          <w:rFonts w:cs="Calibri"/>
          <w:bCs/>
          <w:i/>
          <w:szCs w:val="24"/>
          <w:lang w:val="en-GB"/>
        </w:rPr>
        <w:t>EU Cohesion Fund</w:t>
      </w:r>
      <w:r w:rsidRPr="00AE77A6">
        <w:rPr>
          <w:rFonts w:cs="Calibri"/>
          <w:bCs/>
          <w:szCs w:val="24"/>
          <w:lang w:val="en-GB"/>
        </w:rPr>
        <w:t xml:space="preserve"> resources or SEP resources. </w:t>
      </w:r>
    </w:p>
    <w:p w:rsidR="00963245" w:rsidRDefault="00963245">
      <w:pPr>
        <w:rPr>
          <w:rFonts w:cs="Calibri"/>
          <w:b/>
          <w:bCs/>
          <w:szCs w:val="24"/>
          <w:lang w:val="en-GB"/>
        </w:rPr>
      </w:pPr>
    </w:p>
    <w:p w:rsidR="0095691A" w:rsidRPr="00AE77A6" w:rsidRDefault="009B2E6C">
      <w:pPr>
        <w:rPr>
          <w:rFonts w:cs="Calibri"/>
          <w:b/>
          <w:bCs/>
          <w:szCs w:val="24"/>
          <w:lang w:val="en-GB"/>
        </w:rPr>
      </w:pPr>
      <w:r w:rsidRPr="00AE77A6">
        <w:rPr>
          <w:rFonts w:cs="Calibri"/>
          <w:b/>
          <w:bCs/>
          <w:szCs w:val="24"/>
          <w:lang w:val="en-GB"/>
        </w:rPr>
        <w:t>Ineligible expenditure under the “</w:t>
      </w:r>
      <w:r w:rsidRPr="00017323">
        <w:rPr>
          <w:rFonts w:cs="Calibri"/>
          <w:b/>
          <w:bCs/>
          <w:i/>
          <w:szCs w:val="24"/>
          <w:lang w:val="en-GB"/>
        </w:rPr>
        <w:t>Energy Conservation by Boiler Replacement</w:t>
      </w:r>
      <w:r w:rsidRPr="00AE77A6">
        <w:rPr>
          <w:rFonts w:cs="Calibri"/>
          <w:b/>
          <w:bCs/>
          <w:szCs w:val="24"/>
          <w:lang w:val="en-GB"/>
        </w:rPr>
        <w:t xml:space="preserve">” project </w:t>
      </w:r>
      <w:r w:rsidRPr="00AE77A6">
        <w:rPr>
          <w:rStyle w:val="Znakapoznpodarou"/>
          <w:rFonts w:cs="Calibri"/>
          <w:b/>
          <w:bCs/>
          <w:szCs w:val="24"/>
          <w:lang w:val="en-GB"/>
        </w:rPr>
        <w:footnoteReference w:id="17"/>
      </w:r>
    </w:p>
    <w:p w:rsidR="0095691A" w:rsidRPr="00AE77A6" w:rsidRDefault="009B2E6C" w:rsidP="00C918B2">
      <w:pPr>
        <w:spacing w:after="0"/>
        <w:rPr>
          <w:rFonts w:cs="Calibri"/>
          <w:szCs w:val="24"/>
          <w:lang w:val="en-GB"/>
        </w:rPr>
      </w:pPr>
      <w:r w:rsidRPr="00AE77A6">
        <w:rPr>
          <w:rFonts w:cs="Calibri"/>
          <w:szCs w:val="24"/>
          <w:lang w:val="en-GB"/>
        </w:rPr>
        <w:t xml:space="preserve">The project concerned the construction of a new biomass boiler </w:t>
      </w:r>
      <w:r w:rsidR="00F24178">
        <w:rPr>
          <w:rFonts w:cs="Calibri"/>
          <w:szCs w:val="24"/>
          <w:lang w:val="en-GB"/>
        </w:rPr>
        <w:t>house</w:t>
      </w:r>
      <w:r w:rsidRPr="00AE77A6">
        <w:rPr>
          <w:rFonts w:cs="Calibri"/>
          <w:szCs w:val="24"/>
          <w:lang w:val="en-GB"/>
        </w:rPr>
        <w:t xml:space="preserve"> plus </w:t>
      </w:r>
      <w:r w:rsidR="00017323">
        <w:rPr>
          <w:rFonts w:cs="Calibri"/>
          <w:szCs w:val="24"/>
          <w:lang w:val="en-GB"/>
        </w:rPr>
        <w:t xml:space="preserve">its </w:t>
      </w:r>
      <w:r w:rsidRPr="00AE77A6">
        <w:rPr>
          <w:rFonts w:cs="Calibri"/>
          <w:szCs w:val="24"/>
          <w:lang w:val="en-GB"/>
        </w:rPr>
        <w:t xml:space="preserve">accessories.  The installation of a steam turbine with an asynchronous generator was tied to the construction of the new boiler </w:t>
      </w:r>
      <w:r w:rsidR="00F24178">
        <w:rPr>
          <w:rFonts w:cs="Calibri"/>
          <w:szCs w:val="24"/>
          <w:lang w:val="en-GB"/>
        </w:rPr>
        <w:t>house</w:t>
      </w:r>
      <w:r w:rsidRPr="00AE77A6">
        <w:rPr>
          <w:rFonts w:cs="Calibri"/>
          <w:szCs w:val="24"/>
          <w:lang w:val="en-GB"/>
        </w:rPr>
        <w:t xml:space="preserve">. The project also included refurbishment of the steam technology system and comprehensive insulation of the canteen and sanitary facilities. The </w:t>
      </w:r>
      <w:r w:rsidR="00F95A61">
        <w:rPr>
          <w:rFonts w:cs="Calibri"/>
          <w:szCs w:val="24"/>
          <w:lang w:val="en-GB"/>
        </w:rPr>
        <w:t>M</w:t>
      </w:r>
      <w:r w:rsidRPr="00AE77A6">
        <w:rPr>
          <w:rFonts w:cs="Calibri"/>
          <w:szCs w:val="24"/>
          <w:lang w:val="en-GB"/>
        </w:rPr>
        <w:t xml:space="preserve">anaging </w:t>
      </w:r>
      <w:r w:rsidR="00F95A61">
        <w:rPr>
          <w:rFonts w:cs="Calibri"/>
          <w:szCs w:val="24"/>
          <w:lang w:val="en-GB"/>
        </w:rPr>
        <w:t>A</w:t>
      </w:r>
      <w:r w:rsidRPr="00AE77A6">
        <w:rPr>
          <w:rFonts w:cs="Calibri"/>
          <w:szCs w:val="24"/>
          <w:lang w:val="en-GB"/>
        </w:rPr>
        <w:t>uthority approved and paid out a subsidy of CZK 15 042</w:t>
      </w:r>
      <w:r w:rsidR="00C918B2" w:rsidRPr="00AE77A6">
        <w:rPr>
          <w:rFonts w:cs="Calibri"/>
          <w:szCs w:val="24"/>
          <w:lang w:val="en-GB"/>
        </w:rPr>
        <w:t> </w:t>
      </w:r>
      <w:r w:rsidRPr="00AE77A6">
        <w:rPr>
          <w:rFonts w:cs="Calibri"/>
          <w:szCs w:val="24"/>
          <w:lang w:val="en-GB"/>
        </w:rPr>
        <w:t>166</w:t>
      </w:r>
      <w:r w:rsidR="00C918B2" w:rsidRPr="00AE77A6">
        <w:rPr>
          <w:rStyle w:val="Znakapoznpodarou"/>
          <w:rFonts w:cs="Calibri"/>
          <w:szCs w:val="24"/>
          <w:lang w:val="en-GB"/>
        </w:rPr>
        <w:footnoteReference w:id="18"/>
      </w:r>
      <w:r w:rsidRPr="00AE77A6">
        <w:rPr>
          <w:rFonts w:cs="Calibri"/>
          <w:szCs w:val="24"/>
          <w:lang w:val="en-GB"/>
        </w:rPr>
        <w:t xml:space="preserve"> covered by </w:t>
      </w:r>
      <w:r w:rsidR="00F95A61">
        <w:rPr>
          <w:rFonts w:cs="Calibri"/>
          <w:szCs w:val="24"/>
          <w:lang w:val="en-GB"/>
        </w:rPr>
        <w:t xml:space="preserve">the </w:t>
      </w:r>
      <w:r w:rsidRPr="00F95A61">
        <w:rPr>
          <w:rFonts w:cs="Calibri"/>
          <w:i/>
          <w:szCs w:val="24"/>
          <w:lang w:val="en-GB"/>
        </w:rPr>
        <w:t>EU Cohesion Fund</w:t>
      </w:r>
      <w:r w:rsidRPr="00AE77A6">
        <w:rPr>
          <w:rFonts w:cs="Calibri"/>
          <w:szCs w:val="24"/>
          <w:lang w:val="en-GB"/>
        </w:rPr>
        <w:t xml:space="preserve"> resources and state budget resources. </w:t>
      </w:r>
    </w:p>
    <w:p w:rsidR="0095691A" w:rsidRPr="00AE77A6" w:rsidRDefault="009B2E6C">
      <w:pPr>
        <w:rPr>
          <w:rFonts w:cs="Calibri"/>
          <w:bCs/>
          <w:szCs w:val="24"/>
          <w:lang w:val="en-GB"/>
        </w:rPr>
      </w:pPr>
      <w:r w:rsidRPr="00AE77A6">
        <w:rPr>
          <w:szCs w:val="24"/>
          <w:lang w:val="en-GB"/>
        </w:rPr>
        <w:t xml:space="preserve">Financial resources of CZK 3 809 873 for the </w:t>
      </w:r>
      <w:r w:rsidR="00C918B2" w:rsidRPr="00AE77A6">
        <w:rPr>
          <w:szCs w:val="24"/>
          <w:lang w:val="en-GB"/>
        </w:rPr>
        <w:t xml:space="preserve">delivery of the boiler </w:t>
      </w:r>
      <w:r w:rsidR="00F24178">
        <w:rPr>
          <w:szCs w:val="24"/>
          <w:lang w:val="en-GB"/>
        </w:rPr>
        <w:t>house</w:t>
      </w:r>
      <w:r w:rsidR="00C918B2" w:rsidRPr="00AE77A6">
        <w:rPr>
          <w:szCs w:val="24"/>
          <w:lang w:val="en-GB"/>
        </w:rPr>
        <w:t xml:space="preserve"> were</w:t>
      </w:r>
      <w:r w:rsidRPr="00AE77A6">
        <w:rPr>
          <w:szCs w:val="24"/>
          <w:lang w:val="en-GB"/>
        </w:rPr>
        <w:t xml:space="preserve"> transfer</w:t>
      </w:r>
      <w:r w:rsidR="00C918B2" w:rsidRPr="00AE77A6">
        <w:rPr>
          <w:szCs w:val="24"/>
          <w:lang w:val="en-GB"/>
        </w:rPr>
        <w:t>r</w:t>
      </w:r>
      <w:r w:rsidRPr="00AE77A6">
        <w:rPr>
          <w:szCs w:val="24"/>
          <w:lang w:val="en-GB"/>
        </w:rPr>
        <w:t xml:space="preserve">ed to the supplier’s </w:t>
      </w:r>
      <w:proofErr w:type="gramStart"/>
      <w:r w:rsidRPr="00AE77A6">
        <w:rPr>
          <w:szCs w:val="24"/>
          <w:lang w:val="en-GB"/>
        </w:rPr>
        <w:t>bank  account</w:t>
      </w:r>
      <w:proofErr w:type="gramEnd"/>
      <w:r w:rsidRPr="00AE77A6">
        <w:rPr>
          <w:szCs w:val="24"/>
          <w:lang w:val="en-GB"/>
        </w:rPr>
        <w:t xml:space="preserve"> by D Ř E V O P A R , </w:t>
      </w:r>
      <w:proofErr w:type="spellStart"/>
      <w:r w:rsidRPr="00AE77A6">
        <w:rPr>
          <w:szCs w:val="24"/>
          <w:lang w:val="en-GB"/>
        </w:rPr>
        <w:t>s.r.o</w:t>
      </w:r>
      <w:proofErr w:type="spellEnd"/>
      <w:r w:rsidRPr="00AE77A6">
        <w:rPr>
          <w:szCs w:val="24"/>
          <w:lang w:val="en-GB"/>
        </w:rPr>
        <w:t xml:space="preserve">., </w:t>
      </w:r>
      <w:proofErr w:type="spellStart"/>
      <w:r w:rsidRPr="00AE77A6">
        <w:rPr>
          <w:szCs w:val="24"/>
          <w:lang w:val="en-GB"/>
        </w:rPr>
        <w:t>Loštice</w:t>
      </w:r>
      <w:proofErr w:type="spellEnd"/>
      <w:r w:rsidRPr="00AE77A6">
        <w:rPr>
          <w:szCs w:val="24"/>
          <w:lang w:val="en-GB"/>
        </w:rPr>
        <w:t xml:space="preserve"> (“</w:t>
      </w:r>
      <w:proofErr w:type="spellStart"/>
      <w:r w:rsidRPr="00AE77A6">
        <w:rPr>
          <w:szCs w:val="24"/>
          <w:lang w:val="en-GB"/>
        </w:rPr>
        <w:t>Dřevopar</w:t>
      </w:r>
      <w:proofErr w:type="spellEnd"/>
      <w:r w:rsidRPr="00AE77A6">
        <w:rPr>
          <w:szCs w:val="24"/>
          <w:lang w:val="en-GB"/>
        </w:rPr>
        <w:t>”)  on 25</w:t>
      </w:r>
      <w:r w:rsidR="00F650A7">
        <w:rPr>
          <w:szCs w:val="24"/>
          <w:lang w:val="en-GB"/>
        </w:rPr>
        <w:t> </w:t>
      </w:r>
      <w:r w:rsidRPr="00AE77A6">
        <w:rPr>
          <w:szCs w:val="24"/>
          <w:lang w:val="en-GB"/>
        </w:rPr>
        <w:t>February</w:t>
      </w:r>
      <w:r w:rsidR="00F650A7">
        <w:rPr>
          <w:szCs w:val="24"/>
          <w:lang w:val="en-GB"/>
        </w:rPr>
        <w:t> </w:t>
      </w:r>
      <w:r w:rsidRPr="00AE77A6">
        <w:rPr>
          <w:szCs w:val="24"/>
          <w:lang w:val="en-GB"/>
        </w:rPr>
        <w:t xml:space="preserve">2015. On 28 February 2013, this amount was returned to </w:t>
      </w:r>
      <w:proofErr w:type="spellStart"/>
      <w:r w:rsidRPr="00AE77A6">
        <w:rPr>
          <w:szCs w:val="24"/>
          <w:lang w:val="en-GB"/>
        </w:rPr>
        <w:t>Dřevopar’s</w:t>
      </w:r>
      <w:proofErr w:type="spellEnd"/>
      <w:r w:rsidRPr="00AE77A6">
        <w:rPr>
          <w:szCs w:val="24"/>
          <w:lang w:val="en-GB"/>
        </w:rPr>
        <w:t xml:space="preserve"> account. </w:t>
      </w:r>
      <w:proofErr w:type="spellStart"/>
      <w:r w:rsidRPr="00AE77A6">
        <w:rPr>
          <w:szCs w:val="24"/>
          <w:lang w:val="en-GB"/>
        </w:rPr>
        <w:t>Dřevopar</w:t>
      </w:r>
      <w:proofErr w:type="spellEnd"/>
      <w:r w:rsidRPr="00AE77A6">
        <w:rPr>
          <w:szCs w:val="24"/>
          <w:lang w:val="en-GB"/>
        </w:rPr>
        <w:t xml:space="preserve"> stated that this amount served as a retention fee and as a source of funds for eliminating repeated defects of the boiler </w:t>
      </w:r>
      <w:r w:rsidR="00F650A7">
        <w:rPr>
          <w:szCs w:val="24"/>
          <w:lang w:val="en-GB"/>
        </w:rPr>
        <w:t>house</w:t>
      </w:r>
      <w:r w:rsidRPr="00AE77A6">
        <w:rPr>
          <w:szCs w:val="24"/>
          <w:lang w:val="en-GB"/>
        </w:rPr>
        <w:t xml:space="preserve">. </w:t>
      </w:r>
      <w:proofErr w:type="spellStart"/>
      <w:r w:rsidRPr="00AE77A6">
        <w:rPr>
          <w:szCs w:val="24"/>
          <w:lang w:val="en-GB"/>
        </w:rPr>
        <w:t>Dřevopar</w:t>
      </w:r>
      <w:proofErr w:type="spellEnd"/>
      <w:r w:rsidRPr="00AE77A6">
        <w:rPr>
          <w:szCs w:val="24"/>
          <w:lang w:val="en-GB"/>
        </w:rPr>
        <w:t xml:space="preserve"> reported this amount as eligible expenditure despite it not being possible to treat this cost as expenditure that could be co-financed from EU structural fund</w:t>
      </w:r>
      <w:r w:rsidR="00F650A7">
        <w:rPr>
          <w:szCs w:val="24"/>
          <w:lang w:val="en-GB"/>
        </w:rPr>
        <w:t>s</w:t>
      </w:r>
      <w:r w:rsidRPr="00AE77A6">
        <w:rPr>
          <w:szCs w:val="24"/>
          <w:lang w:val="en-GB"/>
        </w:rPr>
        <w:t xml:space="preserve"> resources or </w:t>
      </w:r>
      <w:r w:rsidR="00F650A7">
        <w:rPr>
          <w:szCs w:val="24"/>
          <w:lang w:val="en-GB"/>
        </w:rPr>
        <w:t>s</w:t>
      </w:r>
      <w:r w:rsidRPr="00AE77A6">
        <w:rPr>
          <w:szCs w:val="24"/>
          <w:lang w:val="en-GB"/>
        </w:rPr>
        <w:t xml:space="preserve">tate budget resources. </w:t>
      </w:r>
      <w:proofErr w:type="spellStart"/>
      <w:r w:rsidRPr="00AE77A6">
        <w:rPr>
          <w:szCs w:val="24"/>
          <w:lang w:val="en-GB"/>
        </w:rPr>
        <w:t>Dřevopar</w:t>
      </w:r>
      <w:proofErr w:type="spellEnd"/>
      <w:r w:rsidRPr="00AE77A6">
        <w:rPr>
          <w:szCs w:val="24"/>
          <w:lang w:val="en-GB"/>
        </w:rPr>
        <w:t xml:space="preserve"> received a subsidy of CZK 1 904 936.50 for ineligible project expenditure that could not be financed from the </w:t>
      </w:r>
      <w:r w:rsidRPr="00F650A7">
        <w:rPr>
          <w:i/>
          <w:szCs w:val="24"/>
          <w:lang w:val="en-GB"/>
        </w:rPr>
        <w:t>EU Cohesion Fund</w:t>
      </w:r>
      <w:r w:rsidRPr="00AE77A6">
        <w:rPr>
          <w:szCs w:val="24"/>
          <w:lang w:val="en-GB"/>
        </w:rPr>
        <w:t xml:space="preserve"> </w:t>
      </w:r>
      <w:r w:rsidR="00F650A7">
        <w:rPr>
          <w:szCs w:val="24"/>
          <w:lang w:val="en-GB"/>
        </w:rPr>
        <w:t>and/</w:t>
      </w:r>
      <w:r w:rsidRPr="00AE77A6">
        <w:rPr>
          <w:szCs w:val="24"/>
          <w:lang w:val="en-GB"/>
        </w:rPr>
        <w:t xml:space="preserve">or from </w:t>
      </w:r>
      <w:r w:rsidR="00F650A7">
        <w:rPr>
          <w:szCs w:val="24"/>
          <w:lang w:val="en-GB"/>
        </w:rPr>
        <w:t>s</w:t>
      </w:r>
      <w:r w:rsidRPr="00AE77A6">
        <w:rPr>
          <w:szCs w:val="24"/>
          <w:lang w:val="en-GB"/>
        </w:rPr>
        <w:t>tate budget resources.</w:t>
      </w:r>
    </w:p>
    <w:p w:rsidR="00F650A7" w:rsidRDefault="00F650A7">
      <w:pPr>
        <w:rPr>
          <w:b/>
          <w:szCs w:val="24"/>
          <w:lang w:val="en-GB"/>
        </w:rPr>
      </w:pPr>
    </w:p>
    <w:p w:rsidR="0095691A" w:rsidRPr="00AE77A6" w:rsidRDefault="009B2E6C">
      <w:pPr>
        <w:rPr>
          <w:b/>
          <w:szCs w:val="24"/>
          <w:lang w:val="en-GB"/>
        </w:rPr>
      </w:pPr>
      <w:r w:rsidRPr="00AE77A6">
        <w:rPr>
          <w:b/>
          <w:szCs w:val="24"/>
          <w:lang w:val="en-GB"/>
        </w:rPr>
        <w:t>Other findings</w:t>
      </w:r>
    </w:p>
    <w:p w:rsidR="0095691A" w:rsidRPr="00AE77A6" w:rsidRDefault="009B2E6C">
      <w:pPr>
        <w:rPr>
          <w:rFonts w:cs="Calibri"/>
          <w:szCs w:val="24"/>
          <w:lang w:val="en-GB"/>
        </w:rPr>
      </w:pPr>
      <w:r w:rsidRPr="00AE77A6">
        <w:rPr>
          <w:rFonts w:cs="Calibri"/>
          <w:iCs/>
          <w:szCs w:val="24"/>
          <w:lang w:val="en-GB"/>
        </w:rPr>
        <w:t>The statutory city of Brno did not retain original documents pertaining to the public contracts</w:t>
      </w:r>
      <w:r w:rsidRPr="00AE77A6">
        <w:rPr>
          <w:rFonts w:cs="Calibri"/>
          <w:i/>
          <w:szCs w:val="24"/>
          <w:lang w:val="en-GB"/>
        </w:rPr>
        <w:t xml:space="preserve"> “Insulation of </w:t>
      </w:r>
      <w:proofErr w:type="spellStart"/>
      <w:r w:rsidRPr="00AE77A6">
        <w:rPr>
          <w:rFonts w:cs="Calibri"/>
          <w:i/>
          <w:szCs w:val="24"/>
          <w:lang w:val="en-GB"/>
        </w:rPr>
        <w:t>Horní</w:t>
      </w:r>
      <w:proofErr w:type="spellEnd"/>
      <w:r w:rsidRPr="00AE77A6">
        <w:rPr>
          <w:rFonts w:cs="Calibri"/>
          <w:i/>
          <w:szCs w:val="24"/>
          <w:lang w:val="en-GB"/>
        </w:rPr>
        <w:t xml:space="preserve"> Basic School”, “Insulation of </w:t>
      </w:r>
      <w:proofErr w:type="spellStart"/>
      <w:r w:rsidRPr="00AE77A6">
        <w:rPr>
          <w:rFonts w:cs="Calibri"/>
          <w:i/>
          <w:szCs w:val="24"/>
          <w:lang w:val="en-GB"/>
        </w:rPr>
        <w:t>Janouškova</w:t>
      </w:r>
      <w:proofErr w:type="spellEnd"/>
      <w:r w:rsidRPr="00AE77A6">
        <w:rPr>
          <w:rFonts w:cs="Calibri"/>
          <w:i/>
          <w:szCs w:val="24"/>
          <w:lang w:val="en-GB"/>
        </w:rPr>
        <w:t xml:space="preserve"> Basic School” </w:t>
      </w:r>
      <w:r w:rsidRPr="00AE77A6">
        <w:rPr>
          <w:rFonts w:cs="Calibri"/>
          <w:iCs/>
          <w:szCs w:val="24"/>
          <w:lang w:val="en-GB"/>
        </w:rPr>
        <w:t>and</w:t>
      </w:r>
      <w:r w:rsidRPr="00AE77A6">
        <w:rPr>
          <w:rFonts w:cs="Calibri"/>
          <w:i/>
          <w:szCs w:val="24"/>
          <w:lang w:val="en-GB"/>
        </w:rPr>
        <w:t xml:space="preserve"> “Insulation of </w:t>
      </w:r>
      <w:proofErr w:type="spellStart"/>
      <w:r w:rsidRPr="00AE77A6">
        <w:rPr>
          <w:rFonts w:cs="Calibri"/>
          <w:i/>
          <w:szCs w:val="24"/>
          <w:lang w:val="en-GB"/>
        </w:rPr>
        <w:t>Masarova</w:t>
      </w:r>
      <w:proofErr w:type="spellEnd"/>
      <w:r w:rsidRPr="00AE77A6">
        <w:rPr>
          <w:rFonts w:cs="Calibri"/>
          <w:i/>
          <w:szCs w:val="24"/>
          <w:lang w:val="en-GB"/>
        </w:rPr>
        <w:t xml:space="preserve"> Basic School” </w:t>
      </w:r>
      <w:r w:rsidRPr="00AE77A6">
        <w:rPr>
          <w:rFonts w:cs="Calibri"/>
          <w:iCs/>
          <w:szCs w:val="24"/>
          <w:lang w:val="en-GB"/>
        </w:rPr>
        <w:t>in accordance with Section 155 of Act No. 137/2006 Coll.</w:t>
      </w:r>
      <w:r w:rsidRPr="00AE77A6">
        <w:rPr>
          <w:rStyle w:val="Znakapoznpodarou"/>
          <w:rFonts w:cs="Calibri"/>
          <w:iCs/>
          <w:szCs w:val="24"/>
          <w:lang w:val="en-GB"/>
        </w:rPr>
        <w:footnoteReference w:id="19"/>
      </w:r>
    </w:p>
    <w:p w:rsidR="0095691A" w:rsidRPr="00AE77A6" w:rsidRDefault="009B2E6C">
      <w:pPr>
        <w:spacing w:after="0"/>
        <w:rPr>
          <w:rFonts w:cs="Calibri"/>
          <w:bCs/>
          <w:szCs w:val="24"/>
          <w:lang w:val="en-GB"/>
        </w:rPr>
      </w:pPr>
      <w:r w:rsidRPr="00AE77A6">
        <w:rPr>
          <w:rFonts w:cs="Calibri"/>
          <w:bCs/>
          <w:szCs w:val="24"/>
          <w:lang w:val="en-GB"/>
        </w:rPr>
        <w:t xml:space="preserve">As part of its management of public contracts, the city of </w:t>
      </w:r>
      <w:proofErr w:type="spellStart"/>
      <w:r w:rsidRPr="00AE77A6">
        <w:rPr>
          <w:rFonts w:cs="Calibri"/>
          <w:bCs/>
          <w:szCs w:val="24"/>
          <w:lang w:val="en-GB"/>
        </w:rPr>
        <w:t>Jihlava</w:t>
      </w:r>
      <w:proofErr w:type="spellEnd"/>
      <w:r w:rsidRPr="00AE77A6">
        <w:rPr>
          <w:rFonts w:cs="Calibri"/>
          <w:bCs/>
          <w:szCs w:val="24"/>
          <w:lang w:val="en-GB"/>
        </w:rPr>
        <w:t xml:space="preserve"> did not publish:</w:t>
      </w:r>
      <w:r w:rsidRPr="00AE77A6">
        <w:rPr>
          <w:rStyle w:val="Znakapoznpodarou"/>
          <w:rFonts w:cs="Calibri"/>
          <w:bCs/>
          <w:szCs w:val="24"/>
          <w:lang w:val="en-GB"/>
        </w:rPr>
        <w:footnoteReference w:id="20"/>
      </w:r>
    </w:p>
    <w:p w:rsidR="0095691A" w:rsidRPr="00AE77A6" w:rsidRDefault="009B2E6C">
      <w:pPr>
        <w:pStyle w:val="Odstavecseseznamem"/>
        <w:numPr>
          <w:ilvl w:val="0"/>
          <w:numId w:val="30"/>
        </w:numPr>
        <w:spacing w:before="0" w:after="0"/>
        <w:rPr>
          <w:rFonts w:cs="Calibri"/>
          <w:bCs/>
          <w:lang w:val="en-GB"/>
        </w:rPr>
      </w:pPr>
      <w:r w:rsidRPr="00AE77A6">
        <w:rPr>
          <w:rFonts w:cs="Calibri"/>
          <w:bCs/>
          <w:lang w:val="en-GB"/>
        </w:rPr>
        <w:lastRenderedPageBreak/>
        <w:t xml:space="preserve">in six cases, the contracting authority’s written report as required by Section 85 of Act No. 137/2006 Coll. on the contracting authority’s profile within 15 days of finalising the </w:t>
      </w:r>
      <w:r w:rsidR="00E453C4">
        <w:rPr>
          <w:rFonts w:cs="Calibri"/>
          <w:bCs/>
          <w:lang w:val="en-GB"/>
        </w:rPr>
        <w:t>procurement</w:t>
      </w:r>
      <w:r w:rsidRPr="00AE77A6">
        <w:rPr>
          <w:rFonts w:cs="Calibri"/>
          <w:bCs/>
          <w:lang w:val="en-GB"/>
        </w:rPr>
        <w:t xml:space="preserve"> procedure</w:t>
      </w:r>
    </w:p>
    <w:p w:rsidR="0095691A" w:rsidRPr="00AE77A6" w:rsidRDefault="009B2E6C">
      <w:pPr>
        <w:pStyle w:val="Odstavecseseznamem"/>
        <w:numPr>
          <w:ilvl w:val="0"/>
          <w:numId w:val="30"/>
        </w:numPr>
        <w:spacing w:before="0" w:after="0"/>
        <w:rPr>
          <w:rFonts w:cs="Calibri"/>
          <w:lang w:val="en-GB" w:eastAsia="cs-CZ"/>
        </w:rPr>
      </w:pPr>
      <w:r w:rsidRPr="00AE77A6">
        <w:rPr>
          <w:rFonts w:cs="Calibri"/>
          <w:bCs/>
          <w:lang w:val="en-GB"/>
        </w:rPr>
        <w:t>in nine cases, a works contract or addendum to the works contract as required by Section 147</w:t>
      </w:r>
      <w:proofErr w:type="gramStart"/>
      <w:r w:rsidRPr="00AE77A6">
        <w:rPr>
          <w:rFonts w:cs="Calibri"/>
          <w:bCs/>
          <w:lang w:val="en-GB"/>
        </w:rPr>
        <w:t>a(</w:t>
      </w:r>
      <w:proofErr w:type="gramEnd"/>
      <w:r w:rsidRPr="00AE77A6">
        <w:rPr>
          <w:rFonts w:cs="Calibri"/>
          <w:bCs/>
          <w:lang w:val="en-GB"/>
        </w:rPr>
        <w:t>2) of Act No. 13/2006 Coll. on the contracting authority’s profile within 15 days of the conclusion of the works contract or addendum to the work</w:t>
      </w:r>
      <w:r w:rsidR="00E453C4">
        <w:rPr>
          <w:rFonts w:cs="Calibri"/>
          <w:bCs/>
          <w:lang w:val="en-GB"/>
        </w:rPr>
        <w:t>s</w:t>
      </w:r>
      <w:r w:rsidRPr="00AE77A6">
        <w:rPr>
          <w:rFonts w:cs="Calibri"/>
          <w:bCs/>
          <w:lang w:val="en-GB"/>
        </w:rPr>
        <w:t xml:space="preserve"> contract. </w:t>
      </w:r>
    </w:p>
    <w:p w:rsidR="0095691A" w:rsidRPr="00AE77A6" w:rsidRDefault="009B2E6C">
      <w:pPr>
        <w:pStyle w:val="Odstavecseseznamem"/>
        <w:numPr>
          <w:ilvl w:val="0"/>
          <w:numId w:val="30"/>
        </w:numPr>
        <w:spacing w:before="0" w:after="0"/>
        <w:rPr>
          <w:rFonts w:cs="Calibri"/>
          <w:bCs/>
          <w:lang w:val="en-GB"/>
        </w:rPr>
      </w:pPr>
      <w:r w:rsidRPr="00AE77A6">
        <w:rPr>
          <w:rFonts w:cs="Calibri"/>
          <w:bCs/>
          <w:lang w:val="en-GB"/>
        </w:rPr>
        <w:t xml:space="preserve">in five cases, the notification of the results of the </w:t>
      </w:r>
      <w:r w:rsidR="00D345B2">
        <w:rPr>
          <w:rFonts w:cs="Calibri"/>
          <w:bCs/>
          <w:lang w:val="en-GB"/>
        </w:rPr>
        <w:t>procurement</w:t>
      </w:r>
      <w:r w:rsidRPr="00AE77A6">
        <w:rPr>
          <w:rFonts w:cs="Calibri"/>
          <w:bCs/>
          <w:lang w:val="en-GB"/>
        </w:rPr>
        <w:t xml:space="preserve"> procedure in the </w:t>
      </w:r>
      <w:r w:rsidRPr="00D345B2">
        <w:rPr>
          <w:rFonts w:cs="Calibri"/>
          <w:bCs/>
          <w:i/>
          <w:lang w:val="en-GB"/>
        </w:rPr>
        <w:t>Public Contracts Journal</w:t>
      </w:r>
      <w:r w:rsidRPr="00AE77A6">
        <w:rPr>
          <w:rFonts w:cs="Calibri"/>
          <w:bCs/>
          <w:lang w:val="en-GB"/>
        </w:rPr>
        <w:t xml:space="preserve"> as required by Section 83(1) of Act No. 137/2006 Coll. within 15 days of the conclusion of the addendum to the works contract.</w:t>
      </w:r>
    </w:p>
    <w:p w:rsidR="0095691A" w:rsidRPr="00AE77A6" w:rsidRDefault="0095691A">
      <w:pPr>
        <w:pStyle w:val="Odstavecseseznamem"/>
        <w:spacing w:before="0" w:after="0"/>
        <w:ind w:left="780"/>
        <w:rPr>
          <w:rFonts w:cs="Calibri"/>
          <w:bCs/>
          <w:lang w:val="en-GB"/>
        </w:rPr>
      </w:pPr>
    </w:p>
    <w:p w:rsidR="0095691A" w:rsidRPr="00AE77A6" w:rsidRDefault="009B2E6C">
      <w:pPr>
        <w:pStyle w:val="pracovn3"/>
        <w:numPr>
          <w:ilvl w:val="0"/>
          <w:numId w:val="1"/>
        </w:numPr>
        <w:spacing w:after="120" w:line="276" w:lineRule="auto"/>
        <w:ind w:left="284" w:hanging="283"/>
        <w:jc w:val="center"/>
        <w:rPr>
          <w:rFonts w:ascii="Calibri" w:hAnsi="Calibri" w:cs="Calibri"/>
          <w:caps/>
          <w:color w:val="auto"/>
          <w:lang w:val="en-GB"/>
        </w:rPr>
      </w:pPr>
      <w:r w:rsidRPr="00AE77A6">
        <w:rPr>
          <w:rFonts w:ascii="Calibri" w:hAnsi="Calibri" w:cs="Calibri"/>
          <w:caps/>
          <w:color w:val="auto"/>
          <w:lang w:val="en-GB"/>
        </w:rPr>
        <w:t>Summary and assessment</w:t>
      </w:r>
    </w:p>
    <w:p w:rsidR="0095691A" w:rsidRPr="00AE77A6" w:rsidRDefault="009B2E6C">
      <w:pPr>
        <w:rPr>
          <w:rFonts w:cs="Calibri"/>
          <w:szCs w:val="24"/>
          <w:lang w:val="en-GB"/>
        </w:rPr>
      </w:pPr>
      <w:bookmarkStart w:id="5" w:name="HIA"/>
      <w:bookmarkEnd w:id="5"/>
      <w:r w:rsidRPr="00AE77A6">
        <w:rPr>
          <w:rFonts w:cs="Calibri"/>
          <w:szCs w:val="24"/>
          <w:lang w:val="en-GB"/>
        </w:rPr>
        <w:t>When acceding to the European Union, the Czech Republic committed to fulfil its obligations and targets under agreement</w:t>
      </w:r>
      <w:r w:rsidR="00C918B2" w:rsidRPr="00AE77A6">
        <w:rPr>
          <w:rFonts w:cs="Calibri"/>
          <w:szCs w:val="24"/>
          <w:lang w:val="en-GB"/>
        </w:rPr>
        <w:t>s</w:t>
      </w:r>
      <w:r w:rsidRPr="00AE77A6">
        <w:rPr>
          <w:rFonts w:cs="Calibri"/>
          <w:szCs w:val="24"/>
          <w:lang w:val="en-GB"/>
        </w:rPr>
        <w:t xml:space="preserve"> concluded with EU bodies. Directive 2012/27/EU of the European Parliament and of the Council on energy efficiency (EED) is one of these. This directive introduced binding measures aimed at ensuring the fulfilment of the EU’s goal to increase energy efficiency by 20% by 2020.</w:t>
      </w:r>
    </w:p>
    <w:p w:rsidR="0095691A" w:rsidRPr="00AE77A6" w:rsidRDefault="009B2E6C" w:rsidP="00C918B2">
      <w:pPr>
        <w:rPr>
          <w:rFonts w:cs="Calibri"/>
          <w:szCs w:val="24"/>
          <w:lang w:val="en-GB"/>
        </w:rPr>
      </w:pPr>
      <w:r w:rsidRPr="00AE77A6">
        <w:rPr>
          <w:rFonts w:cs="Calibri"/>
          <w:szCs w:val="24"/>
          <w:lang w:val="en-GB"/>
        </w:rPr>
        <w:t xml:space="preserve">Under the procedure laid down in Article 7 of the EED, which is binding for Member States, the Czech Republic set a target of 47.48 PJ </w:t>
      </w:r>
      <w:r w:rsidR="00C918B2" w:rsidRPr="00AE77A6">
        <w:rPr>
          <w:rFonts w:cs="Calibri"/>
          <w:szCs w:val="24"/>
          <w:lang w:val="en-GB"/>
        </w:rPr>
        <w:t>of annual savings in final</w:t>
      </w:r>
      <w:r w:rsidRPr="00AE77A6">
        <w:rPr>
          <w:rFonts w:cs="Calibri"/>
          <w:szCs w:val="24"/>
          <w:lang w:val="en-GB"/>
        </w:rPr>
        <w:t xml:space="preserve"> consumption in 2020. The total cumulative savings for </w:t>
      </w:r>
      <w:r w:rsidR="00C918B2" w:rsidRPr="00AE77A6">
        <w:rPr>
          <w:rFonts w:cs="Calibri"/>
          <w:szCs w:val="24"/>
          <w:lang w:val="en-GB"/>
        </w:rPr>
        <w:t xml:space="preserve">the period of </w:t>
      </w:r>
      <w:r w:rsidRPr="00AE77A6">
        <w:rPr>
          <w:rFonts w:cs="Calibri"/>
          <w:szCs w:val="24"/>
          <w:lang w:val="en-GB"/>
        </w:rPr>
        <w:t xml:space="preserve">2014-2020 should reach 191.10 PJ.  It stems from the above </w:t>
      </w:r>
      <w:r w:rsidR="00AE77A6" w:rsidRPr="00AE77A6">
        <w:rPr>
          <w:rFonts w:cs="Calibri"/>
          <w:szCs w:val="24"/>
          <w:lang w:val="en-GB"/>
        </w:rPr>
        <w:t>that it</w:t>
      </w:r>
      <w:r w:rsidRPr="00AE77A6">
        <w:rPr>
          <w:rFonts w:cs="Calibri"/>
          <w:szCs w:val="24"/>
          <w:lang w:val="en-GB"/>
        </w:rPr>
        <w:t xml:space="preserve"> is necessary to achieve new savings of 6.83 PJ each year.</w:t>
      </w:r>
    </w:p>
    <w:p w:rsidR="0095691A" w:rsidRPr="00AE77A6" w:rsidRDefault="009B2E6C">
      <w:pPr>
        <w:rPr>
          <w:rFonts w:cs="Calibri"/>
          <w:szCs w:val="24"/>
          <w:lang w:val="en-GB"/>
        </w:rPr>
      </w:pPr>
      <w:r w:rsidRPr="00AE77A6">
        <w:rPr>
          <w:rFonts w:cs="Calibri"/>
          <w:szCs w:val="24"/>
          <w:lang w:val="en-GB"/>
        </w:rPr>
        <w:t xml:space="preserve">Thanks to the completion of projects subsidised from the structural funds, the </w:t>
      </w:r>
      <w:proofErr w:type="spellStart"/>
      <w:r w:rsidRPr="00AE77A6">
        <w:rPr>
          <w:rFonts w:cs="Calibri"/>
          <w:szCs w:val="24"/>
          <w:lang w:val="en-GB"/>
        </w:rPr>
        <w:t>MoIT</w:t>
      </w:r>
      <w:proofErr w:type="spellEnd"/>
      <w:r w:rsidRPr="00AE77A6">
        <w:rPr>
          <w:rFonts w:cs="Calibri"/>
          <w:szCs w:val="24"/>
          <w:lang w:val="en-GB"/>
        </w:rPr>
        <w:t xml:space="preserve"> and </w:t>
      </w:r>
      <w:proofErr w:type="spellStart"/>
      <w:r w:rsidRPr="00AE77A6">
        <w:rPr>
          <w:rFonts w:cs="Calibri"/>
          <w:szCs w:val="24"/>
          <w:lang w:val="en-GB"/>
        </w:rPr>
        <w:t>MoE</w:t>
      </w:r>
      <w:proofErr w:type="spellEnd"/>
      <w:r w:rsidRPr="00AE77A6">
        <w:rPr>
          <w:rFonts w:cs="Calibri"/>
          <w:szCs w:val="24"/>
          <w:lang w:val="en-GB"/>
        </w:rPr>
        <w:t xml:space="preserve"> achieved about 7 PJ of annual savings in 2014. Attaining this level of savings in 2014 was the result of seven-year-long subsidy programmes (i.e., cumulative savings for 2007 - 2014 reached approx. 12 PJ).  For the 2007-2014 period, </w:t>
      </w:r>
      <w:r w:rsidR="00C918B2" w:rsidRPr="00AE77A6">
        <w:rPr>
          <w:rFonts w:cs="Calibri"/>
          <w:szCs w:val="24"/>
          <w:lang w:val="en-GB"/>
        </w:rPr>
        <w:t xml:space="preserve">a subsidy of </w:t>
      </w:r>
      <w:r w:rsidR="00414546">
        <w:rPr>
          <w:rFonts w:cs="Calibri"/>
          <w:szCs w:val="24"/>
          <w:lang w:val="en-GB"/>
        </w:rPr>
        <w:t>approx.</w:t>
      </w:r>
      <w:r w:rsidR="00414546" w:rsidRPr="00AE77A6">
        <w:rPr>
          <w:rFonts w:cs="Calibri"/>
          <w:szCs w:val="24"/>
          <w:lang w:val="en-GB"/>
        </w:rPr>
        <w:t xml:space="preserve"> </w:t>
      </w:r>
      <w:r w:rsidRPr="00AE77A6">
        <w:rPr>
          <w:rFonts w:cs="Calibri"/>
          <w:szCs w:val="24"/>
          <w:lang w:val="en-GB"/>
        </w:rPr>
        <w:t>CZK 32.2 billion was approved for these projects.  The condition for fulfilling the target, i.e., attaining the planned savings in 2020 and cumulative savings for the period of 2014-2020, is an annual increase in savings in the period of 2015-2020 of 100% of the value of the savings attained in 2014.</w:t>
      </w:r>
    </w:p>
    <w:p w:rsidR="0095691A" w:rsidRPr="00AE77A6" w:rsidRDefault="009B2E6C">
      <w:pPr>
        <w:rPr>
          <w:rFonts w:cs="Calibri"/>
          <w:szCs w:val="24"/>
          <w:lang w:val="en-GB"/>
        </w:rPr>
      </w:pPr>
      <w:r w:rsidRPr="00AE77A6">
        <w:rPr>
          <w:rFonts w:cs="Calibri"/>
          <w:szCs w:val="24"/>
          <w:lang w:val="en-GB"/>
        </w:rPr>
        <w:t xml:space="preserve">To achieve savings in the stipulated amount, the Czech Republic makes use of regulatory (legislation) and economic instruments. Both national resources and </w:t>
      </w:r>
      <w:r w:rsidR="00414546">
        <w:rPr>
          <w:rFonts w:cs="Calibri"/>
          <w:szCs w:val="24"/>
          <w:lang w:val="en-GB"/>
        </w:rPr>
        <w:t xml:space="preserve">EU </w:t>
      </w:r>
      <w:r w:rsidRPr="00AE77A6">
        <w:rPr>
          <w:rFonts w:cs="Calibri"/>
          <w:szCs w:val="24"/>
          <w:lang w:val="en-GB"/>
        </w:rPr>
        <w:t xml:space="preserve">structural fund resources are used in the framework of the economic instruments. </w:t>
      </w:r>
      <w:r w:rsidRPr="00AE77A6">
        <w:rPr>
          <w:rFonts w:cs="Calibri"/>
          <w:szCs w:val="24"/>
          <w:lang w:val="en-GB"/>
        </w:rPr>
        <w:br/>
        <w:t xml:space="preserve">The individual measures for fulfilling energy saving targets are enshrined in the </w:t>
      </w:r>
      <w:r w:rsidRPr="00414546">
        <w:rPr>
          <w:rFonts w:cs="Calibri"/>
          <w:i/>
          <w:szCs w:val="24"/>
          <w:lang w:val="en-GB"/>
        </w:rPr>
        <w:t>National Energy Efficiency Action Plan</w:t>
      </w:r>
      <w:r w:rsidRPr="00AE77A6">
        <w:rPr>
          <w:rFonts w:cs="Calibri"/>
          <w:szCs w:val="24"/>
          <w:lang w:val="en-GB"/>
        </w:rPr>
        <w:t xml:space="preserve">, and these measures are assessed regularly. The assessment takes place based on data submitted to the </w:t>
      </w:r>
      <w:proofErr w:type="spellStart"/>
      <w:r w:rsidRPr="00AE77A6">
        <w:rPr>
          <w:rFonts w:cs="Calibri"/>
          <w:szCs w:val="24"/>
          <w:lang w:val="en-GB"/>
        </w:rPr>
        <w:t>MoIT</w:t>
      </w:r>
      <w:proofErr w:type="spellEnd"/>
      <w:r w:rsidRPr="00AE77A6">
        <w:rPr>
          <w:rFonts w:cs="Calibri"/>
          <w:szCs w:val="24"/>
          <w:lang w:val="en-GB"/>
        </w:rPr>
        <w:t xml:space="preserve"> and </w:t>
      </w:r>
      <w:proofErr w:type="spellStart"/>
      <w:r w:rsidRPr="00AE77A6">
        <w:rPr>
          <w:rFonts w:cs="Calibri"/>
          <w:szCs w:val="24"/>
          <w:lang w:val="en-GB"/>
        </w:rPr>
        <w:t>MoE</w:t>
      </w:r>
      <w:proofErr w:type="spellEnd"/>
      <w:r w:rsidRPr="00AE77A6">
        <w:rPr>
          <w:rFonts w:cs="Calibri"/>
          <w:szCs w:val="24"/>
          <w:lang w:val="en-GB"/>
        </w:rPr>
        <w:t xml:space="preserve"> on fulfilment of binding indicators. </w:t>
      </w:r>
    </w:p>
    <w:p w:rsidR="0095691A" w:rsidRPr="00AE77A6" w:rsidRDefault="009B2E6C">
      <w:pPr>
        <w:rPr>
          <w:szCs w:val="24"/>
          <w:lang w:val="en-GB"/>
        </w:rPr>
      </w:pPr>
      <w:r w:rsidRPr="00AE77A6">
        <w:rPr>
          <w:szCs w:val="24"/>
          <w:lang w:val="en-GB"/>
        </w:rPr>
        <w:t xml:space="preserve">The </w:t>
      </w:r>
      <w:proofErr w:type="spellStart"/>
      <w:r w:rsidRPr="00AE77A6">
        <w:rPr>
          <w:szCs w:val="24"/>
          <w:lang w:val="en-GB"/>
        </w:rPr>
        <w:t>MoIT</w:t>
      </w:r>
      <w:proofErr w:type="spellEnd"/>
      <w:r w:rsidRPr="00AE77A6">
        <w:rPr>
          <w:szCs w:val="24"/>
          <w:lang w:val="en-GB"/>
        </w:rPr>
        <w:t xml:space="preserve"> as the central authority</w:t>
      </w:r>
      <w:r w:rsidR="00EE5B4E">
        <w:rPr>
          <w:szCs w:val="24"/>
          <w:lang w:val="en-GB"/>
        </w:rPr>
        <w:t xml:space="preserve"> of the state administration</w:t>
      </w:r>
      <w:r w:rsidRPr="00AE77A6">
        <w:rPr>
          <w:szCs w:val="24"/>
          <w:lang w:val="en-GB"/>
        </w:rPr>
        <w:t xml:space="preserve"> for energy uses the “</w:t>
      </w:r>
      <w:r w:rsidRPr="00EE5B4E">
        <w:rPr>
          <w:i/>
          <w:szCs w:val="24"/>
          <w:lang w:val="en-GB"/>
        </w:rPr>
        <w:t>Reduction of Energy Consumption</w:t>
      </w:r>
      <w:r w:rsidRPr="00AE77A6">
        <w:rPr>
          <w:szCs w:val="24"/>
          <w:lang w:val="en-GB"/>
        </w:rPr>
        <w:t xml:space="preserve">” indicator” to monitor the savings achieved by the </w:t>
      </w:r>
      <w:proofErr w:type="spellStart"/>
      <w:r w:rsidRPr="00AE77A6">
        <w:rPr>
          <w:szCs w:val="24"/>
          <w:lang w:val="en-GB"/>
        </w:rPr>
        <w:t>MoIT</w:t>
      </w:r>
      <w:proofErr w:type="spellEnd"/>
      <w:r w:rsidRPr="00AE77A6">
        <w:rPr>
          <w:szCs w:val="24"/>
          <w:lang w:val="en-GB"/>
        </w:rPr>
        <w:t xml:space="preserve"> and </w:t>
      </w:r>
      <w:proofErr w:type="spellStart"/>
      <w:r w:rsidRPr="00AE77A6">
        <w:rPr>
          <w:szCs w:val="24"/>
          <w:lang w:val="en-GB"/>
        </w:rPr>
        <w:t>MoE</w:t>
      </w:r>
      <w:proofErr w:type="spellEnd"/>
      <w:r w:rsidRPr="00AE77A6">
        <w:rPr>
          <w:szCs w:val="24"/>
          <w:lang w:val="en-GB"/>
        </w:rPr>
        <w:t xml:space="preserve"> under operational programmes. In the case of the </w:t>
      </w:r>
      <w:proofErr w:type="spellStart"/>
      <w:r w:rsidRPr="00AE77A6">
        <w:rPr>
          <w:szCs w:val="24"/>
          <w:lang w:val="en-GB"/>
        </w:rPr>
        <w:t>MoRD</w:t>
      </w:r>
      <w:proofErr w:type="spellEnd"/>
      <w:r w:rsidRPr="00AE77A6">
        <w:rPr>
          <w:szCs w:val="24"/>
          <w:lang w:val="en-GB"/>
        </w:rPr>
        <w:t xml:space="preserve"> and its energy saving programmes, the </w:t>
      </w:r>
      <w:proofErr w:type="spellStart"/>
      <w:r w:rsidRPr="00AE77A6">
        <w:rPr>
          <w:szCs w:val="24"/>
          <w:lang w:val="en-GB"/>
        </w:rPr>
        <w:t>MoIT</w:t>
      </w:r>
      <w:proofErr w:type="spellEnd"/>
      <w:r w:rsidRPr="00AE77A6">
        <w:rPr>
          <w:szCs w:val="24"/>
          <w:lang w:val="en-GB"/>
        </w:rPr>
        <w:t xml:space="preserve"> did not monitor energy savings in this way in the audited period. It is thus clear </w:t>
      </w:r>
      <w:r w:rsidRPr="00AE77A6">
        <w:rPr>
          <w:szCs w:val="24"/>
          <w:lang w:val="en-GB"/>
        </w:rPr>
        <w:lastRenderedPageBreak/>
        <w:t xml:space="preserve">that the method set up to monitor savings is not sufficient, as the monitored savings are achieved only in the case of two operational programmes. In all other cases, savings are not explicitly monitored using indicators or other parameters.  </w:t>
      </w:r>
    </w:p>
    <w:p w:rsidR="0095691A" w:rsidRPr="00AE77A6" w:rsidRDefault="009B2E6C">
      <w:pPr>
        <w:rPr>
          <w:rFonts w:cs="Calibri"/>
          <w:szCs w:val="24"/>
          <w:lang w:val="en-GB"/>
        </w:rPr>
      </w:pPr>
      <w:r w:rsidRPr="00AE77A6">
        <w:rPr>
          <w:rFonts w:cs="Calibri"/>
          <w:szCs w:val="24"/>
          <w:lang w:val="en-GB"/>
        </w:rPr>
        <w:t xml:space="preserve">One of the areas where savings are realised concerns buildings in the ownership of the Czech Republic used by central government institutions. In the case of these buildings, energy savings of 2 012 MWh (7.24 TJ) were achieved in 2014. The target was thus fulfilled.  In 2014-2020, energy savings of 73 900 MWh (266.04 TJ) are planned for buildings in the ownership </w:t>
      </w:r>
      <w:r w:rsidR="00AE77A6" w:rsidRPr="00AE77A6">
        <w:rPr>
          <w:rFonts w:cs="Calibri"/>
          <w:szCs w:val="24"/>
          <w:lang w:val="en-GB"/>
        </w:rPr>
        <w:t xml:space="preserve">of the </w:t>
      </w:r>
      <w:r w:rsidRPr="00AE77A6">
        <w:rPr>
          <w:rFonts w:cs="Calibri"/>
          <w:szCs w:val="24"/>
          <w:lang w:val="en-GB"/>
        </w:rPr>
        <w:t>Czech Republic used by central government institutions. Investments of approx. CZK 5.8 billion are planned to achieve such savings.  With regard to the speed that energy savings have been attained to date and the significant financial resources required, the fulfilment of the savings in the planned amount will be problematic without additional sources of financings</w:t>
      </w:r>
      <w:r w:rsidR="00D91177">
        <w:rPr>
          <w:rFonts w:cs="Calibri"/>
          <w:szCs w:val="24"/>
          <w:lang w:val="en-GB"/>
        </w:rPr>
        <w:t>,</w:t>
      </w:r>
      <w:r w:rsidRPr="00AE77A6">
        <w:rPr>
          <w:rFonts w:cs="Calibri"/>
          <w:szCs w:val="24"/>
          <w:lang w:val="en-GB"/>
        </w:rPr>
        <w:t xml:space="preserve"> which have not been secured at this time.</w:t>
      </w:r>
    </w:p>
    <w:p w:rsidR="0095691A" w:rsidRPr="00AE77A6" w:rsidRDefault="009B2E6C">
      <w:pPr>
        <w:rPr>
          <w:rFonts w:cs="Calibri"/>
          <w:szCs w:val="24"/>
          <w:lang w:val="en-GB"/>
        </w:rPr>
      </w:pPr>
      <w:r w:rsidRPr="00AE77A6">
        <w:rPr>
          <w:rFonts w:cs="Calibri"/>
          <w:szCs w:val="24"/>
          <w:lang w:val="en-GB"/>
        </w:rPr>
        <w:t xml:space="preserve">No shortcomings were ascertained in the provision of subsidies to beneficiaries. In one case out of 25 audited projects, the </w:t>
      </w:r>
      <w:proofErr w:type="spellStart"/>
      <w:r w:rsidRPr="00AE77A6">
        <w:rPr>
          <w:rFonts w:cs="Calibri"/>
          <w:szCs w:val="24"/>
          <w:lang w:val="en-GB"/>
        </w:rPr>
        <w:t>MoIT</w:t>
      </w:r>
      <w:proofErr w:type="spellEnd"/>
      <w:r w:rsidRPr="00AE77A6">
        <w:rPr>
          <w:rFonts w:cs="Calibri"/>
          <w:szCs w:val="24"/>
          <w:lang w:val="en-GB"/>
        </w:rPr>
        <w:t xml:space="preserve"> awarded subsidies of CZK 36 million </w:t>
      </w:r>
      <w:r w:rsidR="00D91177">
        <w:rPr>
          <w:rFonts w:cs="Calibri"/>
          <w:szCs w:val="24"/>
          <w:lang w:val="en-GB"/>
        </w:rPr>
        <w:t>in contrary to</w:t>
      </w:r>
      <w:r w:rsidRPr="00AE77A6">
        <w:rPr>
          <w:rFonts w:cs="Calibri"/>
          <w:szCs w:val="24"/>
          <w:lang w:val="en-GB"/>
        </w:rPr>
        <w:t xml:space="preserve"> the conditions of the call, and by doing so created unfair conditions for the applicants, and such approached cannot be considered a transparent way of deciding on the provision of financial resources from the </w:t>
      </w:r>
      <w:r w:rsidR="002E31E3">
        <w:rPr>
          <w:rFonts w:cs="Calibri"/>
          <w:szCs w:val="24"/>
          <w:lang w:val="en-GB"/>
        </w:rPr>
        <w:t>S</w:t>
      </w:r>
      <w:r w:rsidRPr="00AE77A6">
        <w:rPr>
          <w:rFonts w:cs="Calibri"/>
          <w:szCs w:val="24"/>
          <w:lang w:val="en-GB"/>
        </w:rPr>
        <w:t xml:space="preserve">tate budget. Pursuant to </w:t>
      </w:r>
      <w:r w:rsidR="002E31E3">
        <w:rPr>
          <w:rFonts w:cs="Calibri"/>
          <w:szCs w:val="24"/>
          <w:lang w:val="en-GB"/>
        </w:rPr>
        <w:t xml:space="preserve">the </w:t>
      </w:r>
      <w:r w:rsidRPr="00AE77A6">
        <w:rPr>
          <w:rFonts w:cs="Calibri"/>
          <w:szCs w:val="24"/>
          <w:lang w:val="en-GB"/>
        </w:rPr>
        <w:t xml:space="preserve">Decree No. 1083/2006, such expenditure cannot be deemed eligible for a contribution from the </w:t>
      </w:r>
      <w:r w:rsidRPr="002E31E3">
        <w:rPr>
          <w:rFonts w:cs="Calibri"/>
          <w:i/>
          <w:szCs w:val="24"/>
          <w:lang w:val="en-GB"/>
        </w:rPr>
        <w:t>European Regional Development Fund</w:t>
      </w:r>
      <w:r w:rsidRPr="00AE77A6">
        <w:rPr>
          <w:rFonts w:cs="Calibri"/>
          <w:szCs w:val="24"/>
          <w:lang w:val="en-GB"/>
        </w:rPr>
        <w:t xml:space="preserve">. </w:t>
      </w:r>
    </w:p>
    <w:p w:rsidR="0095691A" w:rsidRPr="00AE77A6" w:rsidRDefault="009B2E6C">
      <w:pPr>
        <w:rPr>
          <w:szCs w:val="24"/>
          <w:lang w:val="en-GB"/>
        </w:rPr>
      </w:pPr>
      <w:r w:rsidRPr="00AE77A6">
        <w:rPr>
          <w:rFonts w:cs="Calibri"/>
          <w:szCs w:val="24"/>
          <w:lang w:val="en-GB"/>
        </w:rPr>
        <w:t xml:space="preserve">In the case of beneficiaries, a total of 19 projects executed by 15 beneficiaries who were awarded subsidies of approx. CZK 858 million were checked. In the case of these beneficiaries, shortcomings were discovered in the </w:t>
      </w:r>
      <w:r w:rsidR="002E31E3">
        <w:rPr>
          <w:rFonts w:cs="Calibri"/>
          <w:szCs w:val="24"/>
          <w:lang w:val="en-GB"/>
        </w:rPr>
        <w:t>procurement</w:t>
      </w:r>
      <w:r w:rsidRPr="00AE77A6">
        <w:rPr>
          <w:rFonts w:cs="Calibri"/>
          <w:szCs w:val="24"/>
          <w:lang w:val="en-GB"/>
        </w:rPr>
        <w:t xml:space="preserve"> procedure and in reporting and paying out ineligible expenditure totalling CZK 2 million. Shortcomings discovered by the SAO audit at the beneficiaries had no impact on achieving the stipulated targets of the projects. The projects realised by the selected subsidy beneficiaries led to an improvement in the quality of the environment, i.e., the targets set by the individual projects were fulfilled.    </w:t>
      </w:r>
    </w:p>
    <w:p w:rsidR="0095691A" w:rsidRPr="00AE77A6" w:rsidRDefault="0095691A">
      <w:pPr>
        <w:rPr>
          <w:rFonts w:cs="Calibri"/>
          <w:u w:val="single"/>
          <w:lang w:val="en-GB"/>
        </w:rPr>
      </w:pPr>
    </w:p>
    <w:p w:rsidR="0095691A" w:rsidRPr="00AE77A6" w:rsidRDefault="009B2E6C">
      <w:pPr>
        <w:rPr>
          <w:rFonts w:cs="Calibri"/>
          <w:u w:val="single"/>
          <w:lang w:val="en-GB"/>
        </w:rPr>
      </w:pPr>
      <w:r w:rsidRPr="00AE77A6">
        <w:rPr>
          <w:rFonts w:cs="Calibri"/>
          <w:u w:val="single"/>
          <w:lang w:val="en-GB"/>
        </w:rPr>
        <w:t>List of abbreviations:</w:t>
      </w:r>
    </w:p>
    <w:p w:rsidR="0095691A" w:rsidRPr="00AE77A6" w:rsidRDefault="009B2E6C">
      <w:pPr>
        <w:spacing w:before="0" w:after="0"/>
        <w:ind w:left="1410" w:hanging="1410"/>
        <w:rPr>
          <w:lang w:val="en-GB"/>
        </w:rPr>
      </w:pPr>
      <w:r w:rsidRPr="00AE77A6">
        <w:rPr>
          <w:rFonts w:cs="Calibri"/>
          <w:lang w:val="en-GB"/>
        </w:rPr>
        <w:t>AAU</w:t>
      </w:r>
      <w:r w:rsidRPr="00AE77A6">
        <w:rPr>
          <w:rFonts w:cs="Calibri"/>
          <w:lang w:val="en-GB"/>
        </w:rPr>
        <w:tab/>
      </w:r>
      <w:r w:rsidRPr="00AE77A6">
        <w:rPr>
          <w:rFonts w:cs="Calibri"/>
          <w:lang w:val="en-GB"/>
        </w:rPr>
        <w:tab/>
        <w:t>Assigned Amount Unit</w:t>
      </w:r>
    </w:p>
    <w:p w:rsidR="0095691A" w:rsidRPr="00AE77A6" w:rsidRDefault="009B2E6C">
      <w:pPr>
        <w:spacing w:before="0" w:after="0"/>
        <w:ind w:left="1410" w:hanging="1410"/>
        <w:rPr>
          <w:rFonts w:cs="Calibri"/>
          <w:lang w:val="en-GB"/>
        </w:rPr>
      </w:pPr>
      <w:proofErr w:type="spellStart"/>
      <w:r w:rsidRPr="00AE77A6">
        <w:rPr>
          <w:rFonts w:cs="Calibri"/>
          <w:lang w:val="en-GB"/>
        </w:rPr>
        <w:t>Dřevopar</w:t>
      </w:r>
      <w:proofErr w:type="spellEnd"/>
      <w:r w:rsidRPr="00AE77A6">
        <w:rPr>
          <w:rFonts w:cs="Calibri"/>
          <w:lang w:val="en-GB"/>
        </w:rPr>
        <w:tab/>
        <w:t xml:space="preserve">D Ř E V O P A </w:t>
      </w:r>
      <w:proofErr w:type="gramStart"/>
      <w:r w:rsidRPr="00AE77A6">
        <w:rPr>
          <w:rFonts w:cs="Calibri"/>
          <w:lang w:val="en-GB"/>
        </w:rPr>
        <w:t>R ,</w:t>
      </w:r>
      <w:proofErr w:type="gramEnd"/>
      <w:r w:rsidRPr="00AE77A6">
        <w:rPr>
          <w:rFonts w:cs="Calibri"/>
          <w:lang w:val="en-GB"/>
        </w:rPr>
        <w:t xml:space="preserve"> </w:t>
      </w:r>
      <w:proofErr w:type="spellStart"/>
      <w:r w:rsidRPr="00AE77A6">
        <w:rPr>
          <w:rFonts w:cs="Calibri"/>
          <w:lang w:val="en-GB"/>
        </w:rPr>
        <w:t>s.r.o</w:t>
      </w:r>
      <w:proofErr w:type="spellEnd"/>
      <w:r w:rsidRPr="00AE77A6">
        <w:rPr>
          <w:rFonts w:cs="Calibri"/>
          <w:lang w:val="en-GB"/>
        </w:rPr>
        <w:t xml:space="preserve">., </w:t>
      </w:r>
      <w:proofErr w:type="spellStart"/>
      <w:r w:rsidRPr="00AE77A6">
        <w:rPr>
          <w:rFonts w:cs="Calibri"/>
          <w:lang w:val="en-GB"/>
        </w:rPr>
        <w:t>Loštice</w:t>
      </w:r>
      <w:proofErr w:type="spellEnd"/>
    </w:p>
    <w:p w:rsidR="0095691A" w:rsidRPr="00AE77A6" w:rsidRDefault="00AE77A6" w:rsidP="00AE77A6">
      <w:pPr>
        <w:spacing w:before="0" w:after="0"/>
        <w:ind w:left="1418" w:hanging="1418"/>
        <w:rPr>
          <w:lang w:val="en-GB"/>
        </w:rPr>
      </w:pPr>
      <w:r w:rsidRPr="00AE77A6">
        <w:rPr>
          <w:rFonts w:cs="Calibri"/>
          <w:lang w:val="en-GB"/>
        </w:rPr>
        <w:t>EED</w:t>
      </w:r>
      <w:r w:rsidRPr="00AE77A6">
        <w:rPr>
          <w:rFonts w:cs="Calibri"/>
          <w:lang w:val="en-GB"/>
        </w:rPr>
        <w:tab/>
      </w:r>
      <w:r w:rsidR="009B2E6C" w:rsidRPr="00AE77A6">
        <w:rPr>
          <w:rFonts w:cs="Calibri"/>
          <w:lang w:val="en-GB"/>
        </w:rPr>
        <w:t>Directive 2012/27/EU of the European Parliament and of the Council of 25 October 2012 on energy efficiency</w:t>
      </w:r>
    </w:p>
    <w:p w:rsidR="0095691A" w:rsidRPr="00AE77A6" w:rsidRDefault="009B2E6C">
      <w:pPr>
        <w:spacing w:before="0" w:after="0"/>
        <w:rPr>
          <w:lang w:val="en-GB"/>
        </w:rPr>
      </w:pPr>
      <w:r w:rsidRPr="00AE77A6">
        <w:rPr>
          <w:lang w:val="en-GB"/>
        </w:rPr>
        <w:t>EU</w:t>
      </w:r>
      <w:r w:rsidRPr="00AE77A6">
        <w:rPr>
          <w:lang w:val="en-GB"/>
        </w:rPr>
        <w:tab/>
      </w:r>
      <w:r w:rsidRPr="00AE77A6">
        <w:rPr>
          <w:lang w:val="en-GB"/>
        </w:rPr>
        <w:tab/>
        <w:t>European Union</w:t>
      </w:r>
    </w:p>
    <w:p w:rsidR="0095691A" w:rsidRPr="00AE77A6" w:rsidRDefault="009B2E6C">
      <w:pPr>
        <w:spacing w:before="0" w:after="0"/>
        <w:ind w:left="1410" w:hanging="1410"/>
        <w:rPr>
          <w:lang w:val="en-GB"/>
        </w:rPr>
      </w:pPr>
      <w:r w:rsidRPr="00AE77A6">
        <w:rPr>
          <w:lang w:val="en-GB"/>
        </w:rPr>
        <w:t>JESSICA</w:t>
      </w:r>
      <w:r w:rsidRPr="00AE77A6">
        <w:rPr>
          <w:lang w:val="en-GB"/>
        </w:rPr>
        <w:tab/>
      </w:r>
      <w:r w:rsidRPr="00AE77A6">
        <w:rPr>
          <w:i/>
          <w:lang w:val="en-GB"/>
        </w:rPr>
        <w:t>Joint European Support for Sustainable Investment in city Areas</w:t>
      </w:r>
    </w:p>
    <w:p w:rsidR="0095691A" w:rsidRPr="00AE77A6" w:rsidRDefault="009B2E6C">
      <w:pPr>
        <w:spacing w:before="0" w:after="0"/>
        <w:ind w:left="1410" w:hanging="1410"/>
        <w:rPr>
          <w:lang w:val="en-GB"/>
        </w:rPr>
      </w:pPr>
      <w:r w:rsidRPr="00AE77A6">
        <w:rPr>
          <w:lang w:val="en-GB"/>
        </w:rPr>
        <w:t>Concepts</w:t>
      </w:r>
      <w:r w:rsidRPr="00AE77A6">
        <w:rPr>
          <w:lang w:val="en-GB"/>
        </w:rPr>
        <w:tab/>
        <w:t>Housing Policy Concept until 2020</w:t>
      </w:r>
    </w:p>
    <w:p w:rsidR="0095691A" w:rsidRPr="00AE77A6" w:rsidRDefault="009B2E6C">
      <w:pPr>
        <w:spacing w:before="0" w:after="0"/>
        <w:ind w:left="1410" w:hanging="1410"/>
        <w:rPr>
          <w:lang w:val="en-GB"/>
        </w:rPr>
      </w:pPr>
      <w:proofErr w:type="spellStart"/>
      <w:r w:rsidRPr="00AE77A6">
        <w:rPr>
          <w:lang w:val="en-GB"/>
        </w:rPr>
        <w:t>MoRD</w:t>
      </w:r>
      <w:proofErr w:type="spellEnd"/>
      <w:r w:rsidRPr="00AE77A6">
        <w:rPr>
          <w:lang w:val="en-GB"/>
        </w:rPr>
        <w:tab/>
      </w:r>
      <w:r w:rsidRPr="00AE77A6">
        <w:rPr>
          <w:lang w:val="en-GB"/>
        </w:rPr>
        <w:tab/>
        <w:t>Ministry for Regional Development</w:t>
      </w:r>
    </w:p>
    <w:p w:rsidR="0095691A" w:rsidRPr="00AE77A6" w:rsidRDefault="009B2E6C">
      <w:pPr>
        <w:spacing w:before="0" w:after="0"/>
        <w:ind w:left="1410" w:hanging="1410"/>
        <w:rPr>
          <w:lang w:val="en-GB"/>
        </w:rPr>
      </w:pPr>
      <w:proofErr w:type="spellStart"/>
      <w:r w:rsidRPr="00AE77A6">
        <w:rPr>
          <w:lang w:val="en-GB"/>
        </w:rPr>
        <w:t>MoIT</w:t>
      </w:r>
      <w:proofErr w:type="spellEnd"/>
      <w:r w:rsidRPr="00AE77A6">
        <w:rPr>
          <w:lang w:val="en-GB"/>
        </w:rPr>
        <w:tab/>
      </w:r>
      <w:r w:rsidRPr="00AE77A6">
        <w:rPr>
          <w:lang w:val="en-GB"/>
        </w:rPr>
        <w:tab/>
        <w:t>Ministry of Industry and Trade</w:t>
      </w:r>
    </w:p>
    <w:p w:rsidR="0095691A" w:rsidRPr="00AE77A6" w:rsidRDefault="009B2E6C">
      <w:pPr>
        <w:spacing w:before="0" w:after="0"/>
        <w:ind w:left="1410" w:hanging="1410"/>
        <w:rPr>
          <w:lang w:val="en-GB"/>
        </w:rPr>
      </w:pPr>
      <w:r w:rsidRPr="00AE77A6">
        <w:rPr>
          <w:lang w:val="en-GB"/>
        </w:rPr>
        <w:t>MWh</w:t>
      </w:r>
      <w:r w:rsidRPr="00AE77A6">
        <w:rPr>
          <w:lang w:val="en-GB"/>
        </w:rPr>
        <w:tab/>
        <w:t xml:space="preserve">megawatt hour (energy unit where 1 MWh=3.6 GJ) </w:t>
      </w:r>
    </w:p>
    <w:p w:rsidR="0095691A" w:rsidRPr="00AE77A6" w:rsidRDefault="009B2E6C">
      <w:pPr>
        <w:spacing w:before="0" w:after="0"/>
        <w:ind w:left="1410" w:hanging="1410"/>
        <w:rPr>
          <w:lang w:val="en-GB"/>
        </w:rPr>
      </w:pPr>
      <w:proofErr w:type="spellStart"/>
      <w:r w:rsidRPr="00AE77A6">
        <w:rPr>
          <w:lang w:val="en-GB"/>
        </w:rPr>
        <w:lastRenderedPageBreak/>
        <w:t>MoE</w:t>
      </w:r>
      <w:proofErr w:type="spellEnd"/>
      <w:r w:rsidRPr="00AE77A6">
        <w:rPr>
          <w:lang w:val="en-GB"/>
        </w:rPr>
        <w:tab/>
        <w:t>Ministry of the Environment</w:t>
      </w:r>
    </w:p>
    <w:p w:rsidR="0095691A" w:rsidRPr="00AE77A6" w:rsidRDefault="009B2E6C">
      <w:pPr>
        <w:spacing w:before="0" w:after="0"/>
        <w:ind w:left="1410" w:hanging="1410"/>
        <w:rPr>
          <w:lang w:val="en-GB"/>
        </w:rPr>
      </w:pPr>
      <w:r w:rsidRPr="00AE77A6">
        <w:rPr>
          <w:lang w:val="en-GB"/>
        </w:rPr>
        <w:t>NEEAP</w:t>
      </w:r>
      <w:r w:rsidRPr="00AE77A6">
        <w:rPr>
          <w:lang w:val="en-GB"/>
        </w:rPr>
        <w:tab/>
        <w:t>National Energy Efficiency Action Plan of the Czech Republic</w:t>
      </w:r>
    </w:p>
    <w:p w:rsidR="0095691A" w:rsidRPr="00AE77A6" w:rsidRDefault="009B2E6C">
      <w:pPr>
        <w:spacing w:before="0" w:after="0"/>
        <w:ind w:left="1410" w:hanging="1410"/>
        <w:rPr>
          <w:lang w:val="en-GB"/>
        </w:rPr>
      </w:pPr>
      <w:r w:rsidRPr="00AE77A6">
        <w:rPr>
          <w:lang w:val="en-GB"/>
        </w:rPr>
        <w:t>SAO</w:t>
      </w:r>
      <w:r w:rsidRPr="00AE77A6">
        <w:rPr>
          <w:lang w:val="en-GB"/>
        </w:rPr>
        <w:tab/>
        <w:t>Supreme Audit Office</w:t>
      </w:r>
    </w:p>
    <w:p w:rsidR="0095691A" w:rsidRPr="00AE77A6" w:rsidRDefault="009B2E6C">
      <w:pPr>
        <w:spacing w:before="0" w:after="0"/>
        <w:ind w:left="1410" w:hanging="1410"/>
        <w:rPr>
          <w:lang w:val="en-GB"/>
        </w:rPr>
      </w:pPr>
      <w:r w:rsidRPr="00AE77A6">
        <w:rPr>
          <w:lang w:val="en-GB"/>
        </w:rPr>
        <w:t>OPEI</w:t>
      </w:r>
      <w:r w:rsidRPr="00AE77A6">
        <w:rPr>
          <w:lang w:val="en-GB"/>
        </w:rPr>
        <w:tab/>
        <w:t>Operational Programme Enterprise and Innovation</w:t>
      </w:r>
    </w:p>
    <w:p w:rsidR="0095691A" w:rsidRPr="00AE77A6" w:rsidRDefault="009B2E6C">
      <w:pPr>
        <w:spacing w:before="0" w:after="0"/>
        <w:ind w:left="1410" w:hanging="1410"/>
        <w:rPr>
          <w:lang w:val="en-GB"/>
        </w:rPr>
      </w:pPr>
      <w:r w:rsidRPr="00AE77A6">
        <w:rPr>
          <w:lang w:val="en-GB"/>
        </w:rPr>
        <w:t>OPE</w:t>
      </w:r>
      <w:r w:rsidRPr="00AE77A6">
        <w:rPr>
          <w:lang w:val="en-GB"/>
        </w:rPr>
        <w:tab/>
        <w:t>Operational Programme Environment</w:t>
      </w:r>
    </w:p>
    <w:p w:rsidR="0095691A" w:rsidRPr="00AE77A6" w:rsidRDefault="009B2E6C">
      <w:pPr>
        <w:spacing w:before="0" w:after="0"/>
        <w:ind w:left="1410" w:hanging="1410"/>
        <w:rPr>
          <w:lang w:val="en-GB"/>
        </w:rPr>
      </w:pPr>
      <w:r w:rsidRPr="00AE77A6">
        <w:rPr>
          <w:lang w:val="en-GB"/>
        </w:rPr>
        <w:t>PJ</w:t>
      </w:r>
      <w:r w:rsidRPr="00AE77A6">
        <w:rPr>
          <w:lang w:val="en-GB"/>
        </w:rPr>
        <w:tab/>
      </w:r>
      <w:proofErr w:type="spellStart"/>
      <w:r w:rsidRPr="00AE77A6">
        <w:rPr>
          <w:lang w:val="en-GB"/>
        </w:rPr>
        <w:t>petajoule</w:t>
      </w:r>
      <w:proofErr w:type="spellEnd"/>
      <w:r w:rsidRPr="00AE77A6">
        <w:rPr>
          <w:lang w:val="en-GB"/>
        </w:rPr>
        <w:t xml:space="preserve"> (energy unit where 1 PJ = 1000 TJ)</w:t>
      </w:r>
    </w:p>
    <w:p w:rsidR="0095691A" w:rsidRPr="00AE77A6" w:rsidRDefault="009B2E6C">
      <w:pPr>
        <w:spacing w:before="0" w:after="0"/>
        <w:ind w:left="1410" w:hanging="1410"/>
        <w:rPr>
          <w:lang w:val="en-GB"/>
        </w:rPr>
      </w:pPr>
      <w:r w:rsidRPr="00AE77A6">
        <w:rPr>
          <w:lang w:val="en-GB"/>
        </w:rPr>
        <w:t>SEP</w:t>
      </w:r>
      <w:r w:rsidRPr="00AE77A6">
        <w:rPr>
          <w:lang w:val="en-GB"/>
        </w:rPr>
        <w:tab/>
        <w:t>State Energy Concept</w:t>
      </w:r>
    </w:p>
    <w:p w:rsidR="0095691A" w:rsidRPr="00AE77A6" w:rsidRDefault="009B2E6C">
      <w:pPr>
        <w:spacing w:before="0" w:after="0"/>
        <w:ind w:left="1410" w:hanging="1410"/>
        <w:rPr>
          <w:lang w:val="en-GB"/>
        </w:rPr>
      </w:pPr>
      <w:r w:rsidRPr="00AE77A6">
        <w:rPr>
          <w:lang w:val="en-GB"/>
        </w:rPr>
        <w:t>SHDF</w:t>
      </w:r>
      <w:r w:rsidRPr="00AE77A6">
        <w:rPr>
          <w:lang w:val="en-GB"/>
        </w:rPr>
        <w:tab/>
        <w:t>State Housing Development Fund</w:t>
      </w:r>
    </w:p>
    <w:p w:rsidR="0095691A" w:rsidRPr="00AE77A6" w:rsidRDefault="009B2E6C">
      <w:pPr>
        <w:spacing w:before="0" w:after="0"/>
        <w:ind w:left="1410" w:hanging="1410"/>
        <w:rPr>
          <w:lang w:val="en-GB"/>
        </w:rPr>
      </w:pPr>
      <w:r w:rsidRPr="00AE77A6">
        <w:rPr>
          <w:lang w:val="en-GB"/>
        </w:rPr>
        <w:t>SEF</w:t>
      </w:r>
      <w:r w:rsidRPr="00AE77A6">
        <w:rPr>
          <w:lang w:val="en-GB"/>
        </w:rPr>
        <w:tab/>
        <w:t>State Environmental Fund of the Czech Republic</w:t>
      </w:r>
    </w:p>
    <w:p w:rsidR="0095691A" w:rsidRPr="00AE77A6" w:rsidRDefault="0095691A">
      <w:pPr>
        <w:ind w:left="1410" w:hanging="1410"/>
        <w:rPr>
          <w:rFonts w:cs="Calibri"/>
          <w:lang w:val="en-GB"/>
        </w:rPr>
      </w:pPr>
    </w:p>
    <w:p w:rsidR="0095691A" w:rsidRPr="00AE77A6" w:rsidRDefault="0095691A">
      <w:pPr>
        <w:ind w:left="1410" w:hanging="1410"/>
        <w:rPr>
          <w:rFonts w:cs="Calibri"/>
          <w:lang w:val="en-GB"/>
        </w:rPr>
      </w:pPr>
    </w:p>
    <w:sectPr w:rsidR="0095691A" w:rsidRPr="00AE77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A6" w:rsidRDefault="00AA17A6" w:rsidP="00D90060">
      <w:pPr>
        <w:spacing w:after="0" w:line="240" w:lineRule="auto"/>
      </w:pPr>
      <w:r>
        <w:separator/>
      </w:r>
    </w:p>
  </w:endnote>
  <w:endnote w:type="continuationSeparator" w:id="0">
    <w:p w:rsidR="00AA17A6" w:rsidRDefault="00AA17A6" w:rsidP="00D9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76" w:rsidRDefault="008256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75" w:rsidRPr="00F112F7" w:rsidRDefault="00397275" w:rsidP="007A6307">
    <w:pPr>
      <w:pStyle w:val="Zpat"/>
      <w:jc w:val="center"/>
      <w:rPr>
        <w:rFonts w:ascii="Arial" w:hAnsi="Arial" w:cs="Arial"/>
        <w:color w:val="004595"/>
        <w:sz w:val="20"/>
      </w:rPr>
    </w:pPr>
    <w:r w:rsidRPr="00F112F7">
      <w:rPr>
        <w:rStyle w:val="slostrnky"/>
        <w:rFonts w:ascii="Arial" w:hAnsi="Arial" w:cs="Arial"/>
        <w:color w:val="004595"/>
      </w:rPr>
      <w:t xml:space="preserve">PAGE </w:t>
    </w:r>
    <w:r w:rsidRPr="00F112F7">
      <w:rPr>
        <w:rStyle w:val="slostrnky"/>
        <w:rFonts w:ascii="Arial" w:hAnsi="Arial" w:cs="Arial"/>
        <w:color w:val="004595"/>
      </w:rPr>
      <w:fldChar w:fldCharType="begin"/>
    </w:r>
    <w:r w:rsidRPr="00F112F7">
      <w:rPr>
        <w:rStyle w:val="slostrnky"/>
        <w:rFonts w:ascii="Arial" w:hAnsi="Arial" w:cs="Arial"/>
        <w:color w:val="004595"/>
      </w:rPr>
      <w:instrText xml:space="preserve"> PAGE </w:instrText>
    </w:r>
    <w:r w:rsidRPr="00F112F7">
      <w:rPr>
        <w:rStyle w:val="slostrnky"/>
        <w:rFonts w:ascii="Arial" w:hAnsi="Arial" w:cs="Arial"/>
        <w:color w:val="004595"/>
      </w:rPr>
      <w:fldChar w:fldCharType="separate"/>
    </w:r>
    <w:r w:rsidR="00825676">
      <w:rPr>
        <w:rStyle w:val="slostrnky"/>
        <w:rFonts w:ascii="Arial" w:hAnsi="Arial" w:cs="Arial"/>
        <w:noProof/>
        <w:color w:val="004595"/>
      </w:rPr>
      <w:t>18</w:t>
    </w:r>
    <w:r w:rsidRPr="00F112F7">
      <w:rPr>
        <w:rStyle w:val="slostrnky"/>
        <w:rFonts w:ascii="Arial" w:hAnsi="Arial" w:cs="Arial"/>
        <w:color w:val="004595"/>
      </w:rPr>
      <w:fldChar w:fldCharType="end"/>
    </w:r>
  </w:p>
  <w:p w:rsidR="00397275" w:rsidRDefault="003972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76" w:rsidRDefault="00825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A6" w:rsidRDefault="00AA17A6" w:rsidP="00D90060">
      <w:pPr>
        <w:spacing w:after="0" w:line="240" w:lineRule="auto"/>
      </w:pPr>
      <w:r>
        <w:separator/>
      </w:r>
    </w:p>
  </w:footnote>
  <w:footnote w:type="continuationSeparator" w:id="0">
    <w:p w:rsidR="00AA17A6" w:rsidRDefault="00AA17A6" w:rsidP="00D90060">
      <w:pPr>
        <w:spacing w:after="0" w:line="240" w:lineRule="auto"/>
      </w:pPr>
      <w:r>
        <w:continuationSeparator/>
      </w:r>
    </w:p>
  </w:footnote>
  <w:footnote w:id="1">
    <w:p w:rsidR="00397275" w:rsidRPr="006510D2" w:rsidRDefault="00397275" w:rsidP="00C86970">
      <w:pPr>
        <w:pStyle w:val="Textpoznpodarou"/>
        <w:spacing w:before="0"/>
        <w:rPr>
          <w:lang w:val="en-GB"/>
        </w:rPr>
      </w:pPr>
      <w:r w:rsidRPr="006510D2">
        <w:rPr>
          <w:rStyle w:val="Znakapoznpodarou"/>
          <w:lang w:val="en-GB"/>
        </w:rPr>
        <w:footnoteRef/>
      </w:r>
      <w:r w:rsidRPr="006510D2">
        <w:rPr>
          <w:lang w:val="en-GB"/>
        </w:rPr>
        <w:t xml:space="preserve"> Definition according to Article 2 of Directive 2012/27/EU of the European Parliament and of the Council of 25 October 2012 on energy efficiency, amending Directives 2009/125/EC and 2010/30/EU and repealing Directives 2004/8/EC and 2006/32/EC.</w:t>
      </w:r>
    </w:p>
  </w:footnote>
  <w:footnote w:id="2">
    <w:p w:rsidR="00397275" w:rsidRPr="006510D2" w:rsidRDefault="00397275" w:rsidP="00E9224A">
      <w:pPr>
        <w:pStyle w:val="Textpoznpodarou"/>
        <w:spacing w:before="0"/>
        <w:rPr>
          <w:lang w:val="en-GB"/>
        </w:rPr>
      </w:pPr>
      <w:r w:rsidRPr="005D2E31">
        <w:rPr>
          <w:rStyle w:val="Znakapoznpodarou"/>
          <w:lang w:val="en-GB"/>
        </w:rPr>
        <w:footnoteRef/>
      </w:r>
      <w:r w:rsidRPr="005D2E31">
        <w:rPr>
          <w:lang w:val="en-GB"/>
        </w:rPr>
        <w:t xml:space="preserve"> Act No. 2/1969 Coll., on the establishment of ministries and other central government authorities of the Czech Republic</w:t>
      </w:r>
    </w:p>
  </w:footnote>
  <w:footnote w:id="3">
    <w:p w:rsidR="00397275" w:rsidRPr="006510D2" w:rsidRDefault="00397275" w:rsidP="00E9224A">
      <w:pPr>
        <w:pStyle w:val="Textpoznpodarou"/>
        <w:spacing w:before="0"/>
        <w:rPr>
          <w:lang w:val="en-GB"/>
        </w:rPr>
      </w:pPr>
      <w:r w:rsidRPr="006510D2">
        <w:rPr>
          <w:rStyle w:val="Znakapoznpodarou"/>
          <w:lang w:val="en-GB"/>
        </w:rPr>
        <w:footnoteRef/>
      </w:r>
      <w:r w:rsidRPr="006510D2">
        <w:rPr>
          <w:lang w:val="en-GB"/>
        </w:rPr>
        <w:t xml:space="preserve"> Act No. 406/2000</w:t>
      </w:r>
      <w:r>
        <w:rPr>
          <w:lang w:val="en-GB"/>
        </w:rPr>
        <w:t xml:space="preserve"> Coll.</w:t>
      </w:r>
      <w:r w:rsidRPr="006510D2">
        <w:rPr>
          <w:lang w:val="en-GB"/>
        </w:rPr>
        <w:t>, on energy management</w:t>
      </w:r>
    </w:p>
  </w:footnote>
  <w:footnote w:id="4">
    <w:p w:rsidR="00397275" w:rsidRPr="006510D2" w:rsidRDefault="00397275" w:rsidP="00E9224A">
      <w:pPr>
        <w:pStyle w:val="Textpoznpodarou"/>
        <w:spacing w:before="0"/>
        <w:rPr>
          <w:lang w:val="en-GB"/>
        </w:rPr>
      </w:pPr>
      <w:r w:rsidRPr="006510D2">
        <w:rPr>
          <w:rStyle w:val="Znakapoznpodarou"/>
          <w:lang w:val="en-GB"/>
        </w:rPr>
        <w:footnoteRef/>
      </w:r>
      <w:r w:rsidRPr="006510D2">
        <w:rPr>
          <w:lang w:val="en-GB"/>
        </w:rPr>
        <w:t xml:space="preserve"> Directive 2006/32/EC of the European Parliament and of the Council of 5 April 2006 on energy end-use efficiency and energy services and repealing Council Directive 93/76/EEC</w:t>
      </w:r>
      <w:r>
        <w:rPr>
          <w:lang w:val="en-GB"/>
        </w:rPr>
        <w:t>.</w:t>
      </w:r>
    </w:p>
  </w:footnote>
  <w:footnote w:id="5">
    <w:p w:rsidR="00397275" w:rsidRPr="006510D2" w:rsidRDefault="00397275" w:rsidP="004D445A">
      <w:pPr>
        <w:pStyle w:val="Textpoznpodarou"/>
        <w:spacing w:before="0"/>
        <w:rPr>
          <w:lang w:val="en-GB"/>
        </w:rPr>
      </w:pPr>
      <w:r w:rsidRPr="006510D2">
        <w:rPr>
          <w:rStyle w:val="Znakapoznpodarou"/>
          <w:lang w:val="en-GB"/>
        </w:rPr>
        <w:footnoteRef/>
      </w:r>
      <w:r w:rsidRPr="006510D2">
        <w:rPr>
          <w:lang w:val="en-GB"/>
        </w:rPr>
        <w:t xml:space="preserve"> Act No. 458/2000</w:t>
      </w:r>
      <w:r>
        <w:rPr>
          <w:lang w:val="en-GB"/>
        </w:rPr>
        <w:t xml:space="preserve"> Coll.</w:t>
      </w:r>
      <w:r w:rsidRPr="006510D2">
        <w:rPr>
          <w:lang w:val="en-GB"/>
        </w:rPr>
        <w:t xml:space="preserve">, on business conditions and on </w:t>
      </w:r>
      <w:r>
        <w:rPr>
          <w:lang w:val="en-GB"/>
        </w:rPr>
        <w:t xml:space="preserve">the </w:t>
      </w:r>
      <w:r w:rsidRPr="006510D2">
        <w:rPr>
          <w:lang w:val="en-GB"/>
        </w:rPr>
        <w:t xml:space="preserve">state administration performance </w:t>
      </w:r>
      <w:r>
        <w:rPr>
          <w:lang w:val="en-GB"/>
        </w:rPr>
        <w:t>in energy sectors and amendments to</w:t>
      </w:r>
      <w:r w:rsidRPr="006510D2">
        <w:rPr>
          <w:lang w:val="en-GB"/>
        </w:rPr>
        <w:t xml:space="preserve"> certain acts (the Energy Act)</w:t>
      </w:r>
    </w:p>
  </w:footnote>
  <w:footnote w:id="6">
    <w:p w:rsidR="00397275" w:rsidRPr="006510D2" w:rsidRDefault="00397275" w:rsidP="004D445A">
      <w:pPr>
        <w:pStyle w:val="Textpoznpodarou"/>
        <w:spacing w:before="0"/>
        <w:rPr>
          <w:lang w:val="en-GB"/>
        </w:rPr>
      </w:pPr>
      <w:r w:rsidRPr="006510D2">
        <w:rPr>
          <w:rStyle w:val="Znakapoznpodarou"/>
          <w:lang w:val="en-GB"/>
        </w:rPr>
        <w:footnoteRef/>
      </w:r>
      <w:r w:rsidRPr="006510D2">
        <w:rPr>
          <w:lang w:val="en-GB"/>
        </w:rPr>
        <w:t xml:space="preserve"> Act No. 165/2012</w:t>
      </w:r>
      <w:r>
        <w:rPr>
          <w:lang w:val="en-GB"/>
        </w:rPr>
        <w:t xml:space="preserve"> Coll.</w:t>
      </w:r>
      <w:r w:rsidRPr="006510D2">
        <w:rPr>
          <w:lang w:val="en-GB"/>
        </w:rPr>
        <w:t xml:space="preserve">, on </w:t>
      </w:r>
      <w:r>
        <w:rPr>
          <w:lang w:val="en-GB"/>
        </w:rPr>
        <w:t>promoted</w:t>
      </w:r>
      <w:r w:rsidRPr="006510D2">
        <w:rPr>
          <w:lang w:val="en-GB"/>
        </w:rPr>
        <w:t xml:space="preserve"> energy sources </w:t>
      </w:r>
      <w:r>
        <w:rPr>
          <w:lang w:val="en-GB"/>
        </w:rPr>
        <w:t>and amendments to</w:t>
      </w:r>
      <w:r w:rsidRPr="006510D2">
        <w:rPr>
          <w:lang w:val="en-GB"/>
        </w:rPr>
        <w:t xml:space="preserve"> certain acts.</w:t>
      </w:r>
    </w:p>
  </w:footnote>
  <w:footnote w:id="7">
    <w:p w:rsidR="00397275" w:rsidRPr="006510D2" w:rsidRDefault="00397275" w:rsidP="00E775E2">
      <w:pPr>
        <w:pStyle w:val="Textpoznpodarou"/>
        <w:spacing w:before="0"/>
        <w:rPr>
          <w:lang w:val="en-GB"/>
        </w:rPr>
      </w:pPr>
      <w:r w:rsidRPr="006510D2">
        <w:rPr>
          <w:rStyle w:val="Znakapoznpodarou"/>
          <w:lang w:val="en-GB"/>
        </w:rPr>
        <w:footnoteRef/>
      </w:r>
      <w:r w:rsidRPr="006510D2">
        <w:rPr>
          <w:lang w:val="en-GB"/>
        </w:rPr>
        <w:t xml:space="preserve"> 1 MWh = 3.6 GJ = 0.0036 TJ</w:t>
      </w:r>
    </w:p>
  </w:footnote>
  <w:footnote w:id="8">
    <w:p w:rsidR="00397275" w:rsidRPr="006510D2" w:rsidRDefault="00397275" w:rsidP="00AB0FD6">
      <w:pPr>
        <w:pStyle w:val="Textpoznpodarou"/>
        <w:spacing w:before="0"/>
        <w:rPr>
          <w:lang w:val="en-GB"/>
        </w:rPr>
      </w:pPr>
      <w:r w:rsidRPr="006510D2">
        <w:rPr>
          <w:rStyle w:val="Znakapoznpodarou"/>
          <w:lang w:val="en-GB"/>
        </w:rPr>
        <w:footnoteRef/>
      </w:r>
      <w:r w:rsidRPr="006510D2">
        <w:rPr>
          <w:lang w:val="en-GB"/>
        </w:rPr>
        <w:t xml:space="preserve"> A subordinated loan is a type of special long-term loan (its conditions are set up to allow priority satisfaction of receivables of all of the subsidy recipient’s other creditors during the subordination period).  </w:t>
      </w:r>
    </w:p>
  </w:footnote>
  <w:footnote w:id="9">
    <w:p w:rsidR="00397275" w:rsidRPr="006510D2" w:rsidRDefault="00397275" w:rsidP="006510D2">
      <w:pPr>
        <w:pStyle w:val="Textpoznpodarou"/>
        <w:spacing w:before="0"/>
        <w:rPr>
          <w:lang w:val="en-GB"/>
        </w:rPr>
      </w:pPr>
      <w:r w:rsidRPr="006510D2">
        <w:rPr>
          <w:rStyle w:val="Znakapoznpodarou"/>
          <w:lang w:val="en-GB"/>
        </w:rPr>
        <w:footnoteRef/>
      </w:r>
      <w:r w:rsidRPr="006510D2">
        <w:rPr>
          <w:lang w:val="en-GB"/>
        </w:rPr>
        <w:t xml:space="preserve"> AAU = Assigned Amount Unit = a unit defined under the Kyoto Protocol and that represents a tradable right of a State to emit one tonne of </w:t>
      </w:r>
      <w:proofErr w:type="spellStart"/>
      <w:r w:rsidRPr="006510D2">
        <w:rPr>
          <w:lang w:val="en-GB"/>
        </w:rPr>
        <w:t>green house</w:t>
      </w:r>
      <w:proofErr w:type="spellEnd"/>
      <w:r w:rsidRPr="006510D2">
        <w:rPr>
          <w:lang w:val="en-GB"/>
        </w:rPr>
        <w:t xml:space="preserve"> gases into the air in the period from 2008 to 2012). </w:t>
      </w:r>
    </w:p>
  </w:footnote>
  <w:footnote w:id="10">
    <w:p w:rsidR="00397275" w:rsidRPr="006510D2" w:rsidRDefault="00397275" w:rsidP="006510D2">
      <w:pPr>
        <w:rPr>
          <w:sz w:val="20"/>
          <w:szCs w:val="20"/>
          <w:lang w:val="en-GB"/>
        </w:rPr>
      </w:pPr>
      <w:r w:rsidRPr="006510D2">
        <w:rPr>
          <w:rStyle w:val="Znakapoznpodarou"/>
          <w:sz w:val="20"/>
          <w:szCs w:val="20"/>
          <w:lang w:val="en-GB"/>
        </w:rPr>
        <w:footnoteRef/>
      </w:r>
      <w:r w:rsidRPr="006510D2">
        <w:rPr>
          <w:lang w:val="en-GB"/>
        </w:rPr>
        <w:t xml:space="preserve"> </w:t>
      </w:r>
      <w:r w:rsidRPr="006510D2">
        <w:rPr>
          <w:sz w:val="20"/>
          <w:szCs w:val="20"/>
          <w:lang w:val="en-GB"/>
        </w:rPr>
        <w:t xml:space="preserve">The source for the </w:t>
      </w:r>
      <w:r w:rsidRPr="008D0092">
        <w:rPr>
          <w:i/>
          <w:sz w:val="20"/>
          <w:szCs w:val="20"/>
          <w:lang w:val="en-GB"/>
        </w:rPr>
        <w:t>New Green Savings</w:t>
      </w:r>
      <w:r w:rsidRPr="006510D2">
        <w:rPr>
          <w:sz w:val="20"/>
          <w:szCs w:val="20"/>
          <w:lang w:val="en-GB"/>
        </w:rPr>
        <w:t xml:space="preserve"> programme is funds obtained from trading with emission allowances within the EU, where such al</w:t>
      </w:r>
      <w:r>
        <w:rPr>
          <w:sz w:val="20"/>
          <w:szCs w:val="20"/>
          <w:lang w:val="en-GB"/>
        </w:rPr>
        <w:t xml:space="preserve">lowances are part of the </w:t>
      </w:r>
      <w:r w:rsidR="008D0092">
        <w:rPr>
          <w:sz w:val="20"/>
          <w:szCs w:val="20"/>
          <w:lang w:val="en-GB"/>
        </w:rPr>
        <w:t>s</w:t>
      </w:r>
      <w:r>
        <w:rPr>
          <w:sz w:val="20"/>
          <w:szCs w:val="20"/>
          <w:lang w:val="en-GB"/>
        </w:rPr>
        <w:t>tate</w:t>
      </w:r>
      <w:r w:rsidRPr="006510D2">
        <w:rPr>
          <w:sz w:val="20"/>
          <w:szCs w:val="20"/>
          <w:lang w:val="en-GB"/>
        </w:rPr>
        <w:t xml:space="preserve"> budget pursuant to Act No. 383/2012 Coll., on the conditions for trading with greenhouse gas allowances.” </w:t>
      </w:r>
    </w:p>
    <w:p w:rsidR="00397275" w:rsidRPr="006510D2" w:rsidRDefault="00397275" w:rsidP="006510D2">
      <w:pPr>
        <w:pStyle w:val="Textpoznpodarou"/>
        <w:rPr>
          <w:lang w:val="en-GB"/>
        </w:rPr>
      </w:pPr>
    </w:p>
  </w:footnote>
  <w:footnote w:id="11">
    <w:p w:rsidR="00397275" w:rsidRDefault="00397275" w:rsidP="009151F1">
      <w:pPr>
        <w:pStyle w:val="Textpoznpodarou"/>
        <w:rPr>
          <w:lang w:val="en-GB"/>
        </w:rPr>
      </w:pPr>
      <w:r w:rsidRPr="006510D2">
        <w:rPr>
          <w:rStyle w:val="Znakapoznpodarou"/>
          <w:lang w:val="en-GB"/>
        </w:rPr>
        <w:footnoteRef/>
      </w:r>
      <w:r w:rsidRPr="006510D2">
        <w:rPr>
          <w:lang w:val="en-GB"/>
        </w:rPr>
        <w:t xml:space="preserve"> Decree No. 148/2007 Coll., concerning the energy performance of buildings or, as of 1 April 2013, Decree No. 78/2013, on the energy performance of buildings</w:t>
      </w:r>
      <w:r w:rsidR="006324CC">
        <w:rPr>
          <w:lang w:val="en-GB"/>
        </w:rPr>
        <w:t>.</w:t>
      </w:r>
    </w:p>
    <w:p w:rsidR="00397275" w:rsidRPr="006510D2" w:rsidRDefault="00397275" w:rsidP="009151F1">
      <w:pPr>
        <w:pStyle w:val="Textpoznpodarou"/>
        <w:rPr>
          <w:lang w:val="en-GB"/>
        </w:rPr>
      </w:pPr>
      <w:r w:rsidRPr="006510D2">
        <w:rPr>
          <w:lang w:val="en-GB"/>
        </w:rPr>
        <w:t xml:space="preserve">  </w:t>
      </w:r>
      <w:r w:rsidRPr="006510D2">
        <w:rPr>
          <w:lang w:val="en-GB"/>
        </w:rPr>
        <w:br/>
      </w:r>
    </w:p>
  </w:footnote>
  <w:footnote w:id="12">
    <w:p w:rsidR="00397275" w:rsidRPr="006510D2" w:rsidRDefault="00397275" w:rsidP="00E775E2">
      <w:pPr>
        <w:pStyle w:val="Textpoznpodarou"/>
        <w:spacing w:before="0"/>
        <w:rPr>
          <w:lang w:val="en-GB"/>
        </w:rPr>
      </w:pPr>
      <w:r w:rsidRPr="006510D2">
        <w:rPr>
          <w:rStyle w:val="Znakapoznpodarou"/>
          <w:lang w:val="en-GB"/>
        </w:rPr>
        <w:footnoteRef/>
      </w:r>
      <w:r w:rsidRPr="006510D2">
        <w:rPr>
          <w:lang w:val="en-GB"/>
        </w:rPr>
        <w:t xml:space="preserve"> OPE Project No. CZ.1.02/3.2.00/10.08050</w:t>
      </w:r>
    </w:p>
  </w:footnote>
  <w:footnote w:id="13">
    <w:p w:rsidR="00397275" w:rsidRPr="006510D2" w:rsidRDefault="00397275" w:rsidP="00C918B2">
      <w:pPr>
        <w:pStyle w:val="Textpoznpodarou"/>
        <w:spacing w:before="0"/>
        <w:rPr>
          <w:lang w:val="en-GB"/>
        </w:rPr>
      </w:pPr>
      <w:r w:rsidRPr="006510D2">
        <w:rPr>
          <w:rStyle w:val="Znakapoznpodarou"/>
          <w:lang w:val="en-GB"/>
        </w:rPr>
        <w:footnoteRef/>
      </w:r>
      <w:r w:rsidRPr="006510D2">
        <w:rPr>
          <w:lang w:val="en-GB"/>
        </w:rPr>
        <w:t xml:space="preserve"> Eligible expenditure of the project amounted to CZK 11 948 704, </w:t>
      </w:r>
      <w:r w:rsidR="006D0383">
        <w:rPr>
          <w:lang w:val="en-GB"/>
        </w:rPr>
        <w:t>the subsidy</w:t>
      </w:r>
      <w:r w:rsidRPr="006510D2">
        <w:rPr>
          <w:lang w:val="en-GB"/>
        </w:rPr>
        <w:t xml:space="preserve"> amounted to 90% of eligible expenditure (of which 85% of eligible expenditure from the </w:t>
      </w:r>
      <w:r w:rsidRPr="006D0383">
        <w:rPr>
          <w:i/>
          <w:lang w:val="en-GB"/>
        </w:rPr>
        <w:t>Cohesion Fund</w:t>
      </w:r>
      <w:r w:rsidRPr="006510D2">
        <w:rPr>
          <w:lang w:val="en-GB"/>
        </w:rPr>
        <w:t>, 5% of eligible expenditure from SEF resources), own resources amounted to 10% of eligible expenditure</w:t>
      </w:r>
      <w:r w:rsidR="006D0383">
        <w:rPr>
          <w:lang w:val="en-GB"/>
        </w:rPr>
        <w:t>.</w:t>
      </w:r>
    </w:p>
  </w:footnote>
  <w:footnote w:id="14">
    <w:p w:rsidR="00397275" w:rsidRPr="006510D2" w:rsidRDefault="00397275" w:rsidP="00C918B2">
      <w:pPr>
        <w:pStyle w:val="Textpoznpodarou"/>
        <w:spacing w:before="0"/>
        <w:rPr>
          <w:lang w:val="en-GB"/>
        </w:rPr>
      </w:pPr>
      <w:r w:rsidRPr="006510D2">
        <w:rPr>
          <w:rStyle w:val="Znakapoznpodarou"/>
          <w:lang w:val="en-GB"/>
        </w:rPr>
        <w:footnoteRef/>
      </w:r>
      <w:r w:rsidRPr="006510D2">
        <w:rPr>
          <w:lang w:val="en-GB"/>
        </w:rPr>
        <w:t xml:space="preserve"> Act No. 137/2006 Coll., on public procurement</w:t>
      </w:r>
    </w:p>
  </w:footnote>
  <w:footnote w:id="15">
    <w:p w:rsidR="00397275" w:rsidRPr="006510D2" w:rsidRDefault="00397275">
      <w:pPr>
        <w:pStyle w:val="Textpoznpodarou"/>
        <w:rPr>
          <w:lang w:val="en-GB"/>
        </w:rPr>
      </w:pPr>
      <w:r w:rsidRPr="006510D2">
        <w:rPr>
          <w:rStyle w:val="Znakapoznpodarou"/>
          <w:lang w:val="en-GB"/>
        </w:rPr>
        <w:footnoteRef/>
      </w:r>
      <w:r w:rsidRPr="006510D2">
        <w:rPr>
          <w:lang w:val="en-GB"/>
        </w:rPr>
        <w:t xml:space="preserve"> OPE Project No. CZ.1.02/3.2.00/10.07778</w:t>
      </w:r>
    </w:p>
  </w:footnote>
  <w:footnote w:id="16">
    <w:p w:rsidR="00397275" w:rsidRPr="006510D2" w:rsidRDefault="00397275" w:rsidP="005F404D">
      <w:pPr>
        <w:pStyle w:val="Textpoznpodarou"/>
        <w:rPr>
          <w:lang w:val="en-GB"/>
        </w:rPr>
      </w:pPr>
      <w:r w:rsidRPr="006510D2">
        <w:rPr>
          <w:rStyle w:val="Znakapoznpodarou"/>
          <w:lang w:val="en-GB"/>
        </w:rPr>
        <w:footnoteRef/>
      </w:r>
      <w:r w:rsidRPr="006510D2">
        <w:rPr>
          <w:lang w:val="en-GB"/>
        </w:rPr>
        <w:t xml:space="preserve"> Eligible expenditure of the project amounted to CZK 8 596 358, </w:t>
      </w:r>
      <w:r w:rsidR="006D0383">
        <w:rPr>
          <w:lang w:val="en-GB"/>
        </w:rPr>
        <w:t>the subsidy</w:t>
      </w:r>
      <w:r w:rsidRPr="006510D2">
        <w:rPr>
          <w:lang w:val="en-GB"/>
        </w:rPr>
        <w:t xml:space="preserve"> amounted to 90% of eligible expenditure (of which 85% of eligible expenditure from the </w:t>
      </w:r>
      <w:r w:rsidRPr="006D0383">
        <w:rPr>
          <w:i/>
          <w:lang w:val="en-GB"/>
        </w:rPr>
        <w:t>Cohesion Fund</w:t>
      </w:r>
      <w:r w:rsidRPr="006510D2">
        <w:rPr>
          <w:lang w:val="en-GB"/>
        </w:rPr>
        <w:t>, 5% of eligible expenditure from SEF resources), own resources amounted to 10% of eligible expenditure</w:t>
      </w:r>
      <w:r w:rsidR="006D0383">
        <w:rPr>
          <w:lang w:val="en-GB"/>
        </w:rPr>
        <w:t>.</w:t>
      </w:r>
    </w:p>
    <w:p w:rsidR="00397275" w:rsidRPr="006510D2" w:rsidRDefault="00397275">
      <w:pPr>
        <w:pStyle w:val="Textpoznpodarou"/>
        <w:rPr>
          <w:lang w:val="en-GB"/>
        </w:rPr>
      </w:pPr>
    </w:p>
  </w:footnote>
  <w:footnote w:id="17">
    <w:p w:rsidR="00397275" w:rsidRPr="006510D2" w:rsidRDefault="00397275" w:rsidP="00E775E2">
      <w:pPr>
        <w:pStyle w:val="Textpoznpodarou"/>
        <w:spacing w:before="0"/>
        <w:rPr>
          <w:lang w:val="en-GB"/>
        </w:rPr>
      </w:pPr>
      <w:r w:rsidRPr="006510D2">
        <w:rPr>
          <w:rStyle w:val="Znakapoznpodarou"/>
          <w:lang w:val="en-GB"/>
        </w:rPr>
        <w:footnoteRef/>
      </w:r>
      <w:r w:rsidRPr="006510D2">
        <w:rPr>
          <w:lang w:val="en-GB"/>
        </w:rPr>
        <w:t xml:space="preserve"> OPEI No. CZ.1.03/3.1.00/13.00361</w:t>
      </w:r>
    </w:p>
  </w:footnote>
  <w:footnote w:id="18">
    <w:p w:rsidR="00397275" w:rsidRPr="006510D2" w:rsidRDefault="00397275" w:rsidP="00C918B2">
      <w:pPr>
        <w:pStyle w:val="Textpoznpodarou"/>
        <w:spacing w:before="0"/>
        <w:rPr>
          <w:lang w:val="en-GB"/>
        </w:rPr>
      </w:pPr>
      <w:r w:rsidRPr="006510D2">
        <w:rPr>
          <w:rStyle w:val="Znakapoznpodarou"/>
          <w:lang w:val="en-GB"/>
        </w:rPr>
        <w:footnoteRef/>
      </w:r>
      <w:r w:rsidRPr="006510D2">
        <w:rPr>
          <w:lang w:val="en-GB"/>
        </w:rPr>
        <w:t xml:space="preserve"> Eligible expenditure of the project amounted to CZK 30 084 332, </w:t>
      </w:r>
      <w:r w:rsidR="00F95A61">
        <w:rPr>
          <w:lang w:val="en-GB"/>
        </w:rPr>
        <w:t xml:space="preserve">the </w:t>
      </w:r>
      <w:r w:rsidRPr="006510D2">
        <w:rPr>
          <w:lang w:val="en-GB"/>
        </w:rPr>
        <w:t>subsid</w:t>
      </w:r>
      <w:r w:rsidR="00F95A61">
        <w:rPr>
          <w:lang w:val="en-GB"/>
        </w:rPr>
        <w:t>y</w:t>
      </w:r>
      <w:r w:rsidRPr="006510D2">
        <w:rPr>
          <w:lang w:val="en-GB"/>
        </w:rPr>
        <w:t xml:space="preserve"> amounted to 50% of eligible expenditure (85% of the </w:t>
      </w:r>
      <w:proofErr w:type="gramStart"/>
      <w:r w:rsidRPr="006510D2">
        <w:rPr>
          <w:lang w:val="en-GB"/>
        </w:rPr>
        <w:t>subsidy  paid</w:t>
      </w:r>
      <w:proofErr w:type="gramEnd"/>
      <w:r w:rsidRPr="006510D2">
        <w:rPr>
          <w:lang w:val="en-GB"/>
        </w:rPr>
        <w:t xml:space="preserve"> out from the </w:t>
      </w:r>
      <w:r w:rsidRPr="00F95A61">
        <w:rPr>
          <w:i/>
          <w:lang w:val="en-GB"/>
        </w:rPr>
        <w:t>EU Cohesion Fund</w:t>
      </w:r>
      <w:r w:rsidRPr="006510D2">
        <w:rPr>
          <w:lang w:val="en-GB"/>
        </w:rPr>
        <w:t xml:space="preserve">, 15% from </w:t>
      </w:r>
      <w:r w:rsidR="00F95A61">
        <w:rPr>
          <w:lang w:val="en-GB"/>
        </w:rPr>
        <w:t>s</w:t>
      </w:r>
      <w:r w:rsidRPr="006510D2">
        <w:rPr>
          <w:lang w:val="en-GB"/>
        </w:rPr>
        <w:t>tate budget resources), own resources amounted to 50% of eligible expenditure</w:t>
      </w:r>
    </w:p>
  </w:footnote>
  <w:footnote w:id="19">
    <w:p w:rsidR="00397275" w:rsidRPr="006510D2" w:rsidRDefault="00397275" w:rsidP="00E775E2">
      <w:pPr>
        <w:pStyle w:val="Textpoznpodarou"/>
        <w:spacing w:before="0"/>
        <w:rPr>
          <w:lang w:val="en-GB"/>
        </w:rPr>
      </w:pPr>
      <w:r w:rsidRPr="006510D2">
        <w:rPr>
          <w:rStyle w:val="Znakapoznpodarou"/>
          <w:lang w:val="en-GB"/>
        </w:rPr>
        <w:footnoteRef/>
      </w:r>
      <w:r w:rsidRPr="006510D2">
        <w:rPr>
          <w:lang w:val="en-GB"/>
        </w:rPr>
        <w:t xml:space="preserve"> Project No. CZ.1.02/3.2.00/10.07939 </w:t>
      </w:r>
      <w:r w:rsidRPr="00F95A61">
        <w:rPr>
          <w:i/>
          <w:lang w:val="en-GB"/>
        </w:rPr>
        <w:t xml:space="preserve">Insulation of the basic schools </w:t>
      </w:r>
      <w:proofErr w:type="spellStart"/>
      <w:r w:rsidRPr="00F95A61">
        <w:rPr>
          <w:i/>
          <w:lang w:val="en-GB"/>
        </w:rPr>
        <w:t>Horní</w:t>
      </w:r>
      <w:proofErr w:type="spellEnd"/>
      <w:r w:rsidRPr="00F95A61">
        <w:rPr>
          <w:i/>
          <w:lang w:val="en-GB"/>
        </w:rPr>
        <w:t xml:space="preserve">, </w:t>
      </w:r>
      <w:proofErr w:type="spellStart"/>
      <w:r w:rsidRPr="00F95A61">
        <w:rPr>
          <w:i/>
          <w:lang w:val="en-GB"/>
        </w:rPr>
        <w:t>Janouškova</w:t>
      </w:r>
      <w:proofErr w:type="spellEnd"/>
      <w:r w:rsidRPr="00F95A61">
        <w:rPr>
          <w:i/>
          <w:lang w:val="en-GB"/>
        </w:rPr>
        <w:t xml:space="preserve"> and </w:t>
      </w:r>
      <w:proofErr w:type="spellStart"/>
      <w:r w:rsidRPr="00F95A61">
        <w:rPr>
          <w:i/>
          <w:lang w:val="en-GB"/>
        </w:rPr>
        <w:t>Masarova</w:t>
      </w:r>
      <w:proofErr w:type="spellEnd"/>
    </w:p>
  </w:footnote>
  <w:footnote w:id="20">
    <w:p w:rsidR="00397275" w:rsidRPr="006510D2" w:rsidRDefault="00397275" w:rsidP="00E775E2">
      <w:pPr>
        <w:pStyle w:val="Textpoznpodarou"/>
        <w:spacing w:before="0"/>
        <w:rPr>
          <w:lang w:val="en-GB"/>
        </w:rPr>
      </w:pPr>
      <w:r w:rsidRPr="006510D2">
        <w:rPr>
          <w:rStyle w:val="Znakapoznpodarou"/>
          <w:lang w:val="en-GB"/>
        </w:rPr>
        <w:footnoteRef/>
      </w:r>
      <w:r w:rsidRPr="006510D2">
        <w:rPr>
          <w:lang w:val="en-GB"/>
        </w:rPr>
        <w:t xml:space="preserve"> Project No. CZ.1.02/3.2.00/14.25700 </w:t>
      </w:r>
      <w:r w:rsidR="00512C34" w:rsidRPr="00512C34">
        <w:rPr>
          <w:i/>
          <w:lang w:val="en-GB"/>
        </w:rPr>
        <w:t>Reducing</w:t>
      </w:r>
      <w:r w:rsidRPr="00512C34">
        <w:rPr>
          <w:i/>
          <w:lang w:val="en-GB"/>
        </w:rPr>
        <w:t xml:space="preserve"> the energy performance of the basic schools </w:t>
      </w:r>
      <w:proofErr w:type="spellStart"/>
      <w:r w:rsidRPr="00512C34">
        <w:rPr>
          <w:i/>
          <w:lang w:val="en-GB"/>
        </w:rPr>
        <w:t>Demlova</w:t>
      </w:r>
      <w:proofErr w:type="spellEnd"/>
      <w:r w:rsidRPr="00512C34">
        <w:rPr>
          <w:i/>
          <w:lang w:val="en-GB"/>
        </w:rPr>
        <w:t xml:space="preserve"> 32 and 34, </w:t>
      </w:r>
      <w:proofErr w:type="spellStart"/>
      <w:r w:rsidRPr="00512C34">
        <w:rPr>
          <w:i/>
          <w:lang w:val="en-GB"/>
        </w:rPr>
        <w:t>Jihlava</w:t>
      </w:r>
      <w:proofErr w:type="spellEnd"/>
      <w:r w:rsidRPr="00512C34">
        <w:rPr>
          <w:i/>
          <w:lang w:val="en-GB"/>
        </w:rPr>
        <w:t xml:space="preserve"> – Phase 1</w:t>
      </w:r>
      <w:r w:rsidRPr="006510D2">
        <w:rPr>
          <w:lang w:val="en-GB"/>
        </w:rPr>
        <w:t xml:space="preserve">, and Project No. CZ.1.02/3.2.00/12.14070 </w:t>
      </w:r>
      <w:r w:rsidR="00512C34" w:rsidRPr="00512C34">
        <w:rPr>
          <w:i/>
          <w:lang w:val="en-GB"/>
        </w:rPr>
        <w:t>Reducing</w:t>
      </w:r>
      <w:r w:rsidRPr="00512C34">
        <w:rPr>
          <w:i/>
          <w:lang w:val="en-GB"/>
        </w:rPr>
        <w:t xml:space="preserve"> the energy performance of the basic school </w:t>
      </w:r>
      <w:proofErr w:type="spellStart"/>
      <w:r w:rsidRPr="00512C34">
        <w:rPr>
          <w:i/>
          <w:lang w:val="en-GB"/>
        </w:rPr>
        <w:t>Kollárova</w:t>
      </w:r>
      <w:proofErr w:type="spellEnd"/>
      <w:r w:rsidRPr="00512C34">
        <w:rPr>
          <w:i/>
          <w:lang w:val="en-GB"/>
        </w:rPr>
        <w:t xml:space="preserve"> 30, </w:t>
      </w:r>
      <w:proofErr w:type="spellStart"/>
      <w:r w:rsidRPr="00512C34">
        <w:rPr>
          <w:i/>
          <w:lang w:val="en-GB"/>
        </w:rPr>
        <w:t>Jihlava</w:t>
      </w:r>
      <w:proofErr w:type="spellEnd"/>
      <w:r w:rsidR="00512C34">
        <w:rPr>
          <w: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76" w:rsidRDefault="008256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76" w:rsidRDefault="008256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676" w:rsidRDefault="0082567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04"/>
    <w:multiLevelType w:val="hybridMultilevel"/>
    <w:tmpl w:val="9CECA5E8"/>
    <w:lvl w:ilvl="0" w:tplc="5354149A">
      <w:start w:val="1"/>
      <w:numFmt w:val="decimal"/>
      <w:pStyle w:val="pracovn2"/>
      <w:lvlText w:val="2. %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 w15:restartNumberingAfterBreak="0">
    <w:nsid w:val="0D6C1683"/>
    <w:multiLevelType w:val="hybridMultilevel"/>
    <w:tmpl w:val="23DE62B2"/>
    <w:lvl w:ilvl="0" w:tplc="1384123E">
      <w:start w:val="1"/>
      <w:numFmt w:val="decimal"/>
      <w:pStyle w:val="graf"/>
      <w:lvlText w:val="Graph No. %1:  "/>
      <w:lvlJc w:val="left"/>
      <w:pPr>
        <w:ind w:left="2203"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 w15:restartNumberingAfterBreak="0">
    <w:nsid w:val="0F8D3841"/>
    <w:multiLevelType w:val="hybridMultilevel"/>
    <w:tmpl w:val="A79EFF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 w15:restartNumberingAfterBreak="0">
    <w:nsid w:val="12CF4581"/>
    <w:multiLevelType w:val="hybridMultilevel"/>
    <w:tmpl w:val="30E2C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753E2D"/>
    <w:multiLevelType w:val="hybridMultilevel"/>
    <w:tmpl w:val="292A8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8A320F"/>
    <w:multiLevelType w:val="hybridMultilevel"/>
    <w:tmpl w:val="C7384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196BC6"/>
    <w:multiLevelType w:val="hybridMultilevel"/>
    <w:tmpl w:val="FDFC746C"/>
    <w:lvl w:ilvl="0" w:tplc="C81A392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C1601B"/>
    <w:multiLevelType w:val="hybridMultilevel"/>
    <w:tmpl w:val="32BCD618"/>
    <w:lvl w:ilvl="0" w:tplc="75162D9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DE776B"/>
    <w:multiLevelType w:val="hybridMultilevel"/>
    <w:tmpl w:val="24D8E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3405AF"/>
    <w:multiLevelType w:val="hybridMultilevel"/>
    <w:tmpl w:val="6BBEBB5A"/>
    <w:lvl w:ilvl="0" w:tplc="CDB2C836">
      <w:start w:val="1"/>
      <w:numFmt w:val="decimal"/>
      <w:lvlText w:val="Tabulka č. %1:"/>
      <w:lvlJc w:val="left"/>
      <w:pPr>
        <w:ind w:left="720" w:hanging="360"/>
      </w:pPr>
      <w:rPr>
        <w:rFonts w:ascii="Calibri" w:hAnsi="Calibri" w:cs="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30E46"/>
    <w:multiLevelType w:val="hybridMultilevel"/>
    <w:tmpl w:val="8FCE5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EB5118"/>
    <w:multiLevelType w:val="hybridMultilevel"/>
    <w:tmpl w:val="9852F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5F04EF"/>
    <w:multiLevelType w:val="hybridMultilevel"/>
    <w:tmpl w:val="6BBEBB5A"/>
    <w:lvl w:ilvl="0" w:tplc="CDB2C836">
      <w:start w:val="1"/>
      <w:numFmt w:val="decimal"/>
      <w:lvlText w:val="Tabulka č. %1:"/>
      <w:lvlJc w:val="left"/>
      <w:pPr>
        <w:ind w:left="720" w:hanging="360"/>
      </w:pPr>
      <w:rPr>
        <w:rFonts w:ascii="Calibri" w:hAnsi="Calibri" w:cs="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4B4EDF"/>
    <w:multiLevelType w:val="hybridMultilevel"/>
    <w:tmpl w:val="5F2A2C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D5430D"/>
    <w:multiLevelType w:val="hybridMultilevel"/>
    <w:tmpl w:val="32D81396"/>
    <w:lvl w:ilvl="0" w:tplc="8CC6FC5E">
      <w:numFmt w:val="bullet"/>
      <w:lvlText w:val="-"/>
      <w:lvlJc w:val="left"/>
      <w:pPr>
        <w:ind w:left="360" w:hanging="360"/>
      </w:pPr>
      <w:rPr>
        <w:rFonts w:ascii="Calibri" w:eastAsia="Calibr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9484850"/>
    <w:multiLevelType w:val="hybridMultilevel"/>
    <w:tmpl w:val="C414BC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73789E"/>
    <w:multiLevelType w:val="hybridMultilevel"/>
    <w:tmpl w:val="535203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2A45294"/>
    <w:multiLevelType w:val="hybridMultilevel"/>
    <w:tmpl w:val="19A67642"/>
    <w:lvl w:ilvl="0" w:tplc="F290148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D46FCC"/>
    <w:multiLevelType w:val="hybridMultilevel"/>
    <w:tmpl w:val="8B968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C0251"/>
    <w:multiLevelType w:val="hybridMultilevel"/>
    <w:tmpl w:val="E7CE4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90324"/>
    <w:multiLevelType w:val="hybridMultilevel"/>
    <w:tmpl w:val="5114F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C313CC"/>
    <w:multiLevelType w:val="hybridMultilevel"/>
    <w:tmpl w:val="4470E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F348E6"/>
    <w:multiLevelType w:val="hybridMultilevel"/>
    <w:tmpl w:val="C4C41300"/>
    <w:lvl w:ilvl="0" w:tplc="0BFE4DB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7A15F3F"/>
    <w:multiLevelType w:val="hybridMultilevel"/>
    <w:tmpl w:val="769EEA62"/>
    <w:lvl w:ilvl="0" w:tplc="3B6AC490">
      <w:start w:val="1"/>
      <w:numFmt w:val="decimal"/>
      <w:pStyle w:val="tabulka"/>
      <w:lvlText w:val="Tabulka č. %1:  "/>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DE6F23"/>
    <w:multiLevelType w:val="hybridMultilevel"/>
    <w:tmpl w:val="A36025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A840736"/>
    <w:multiLevelType w:val="hybridMultilevel"/>
    <w:tmpl w:val="6BBEBB5A"/>
    <w:lvl w:ilvl="0" w:tplc="CDB2C836">
      <w:start w:val="1"/>
      <w:numFmt w:val="decimal"/>
      <w:lvlText w:val="Tabulka č. %1:"/>
      <w:lvlJc w:val="left"/>
      <w:pPr>
        <w:ind w:left="720" w:hanging="360"/>
      </w:pPr>
      <w:rPr>
        <w:rFonts w:ascii="Calibri" w:hAnsi="Calibri" w:cs="Calibri"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75626F30"/>
    <w:multiLevelType w:val="hybridMultilevel"/>
    <w:tmpl w:val="9D346906"/>
    <w:lvl w:ilvl="0" w:tplc="CD3AC7AA">
      <w:start w:val="1"/>
      <w:numFmt w:val="decimal"/>
      <w:lvlText w:val="Tabulka č. %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9E7F24"/>
    <w:multiLevelType w:val="hybridMultilevel"/>
    <w:tmpl w:val="DAEE7344"/>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75D003A7"/>
    <w:multiLevelType w:val="multilevel"/>
    <w:tmpl w:val="1ED07F92"/>
    <w:lvl w:ilvl="0">
      <w:start w:val="2"/>
      <w:numFmt w:val="decimal"/>
      <w:pStyle w:val="pracovn1"/>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0" w15:restartNumberingAfterBreak="0">
    <w:nsid w:val="76185A3A"/>
    <w:multiLevelType w:val="hybridMultilevel"/>
    <w:tmpl w:val="C2408B4A"/>
    <w:lvl w:ilvl="0" w:tplc="F290148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697305"/>
    <w:multiLevelType w:val="hybridMultilevel"/>
    <w:tmpl w:val="A1C0E8B6"/>
    <w:lvl w:ilvl="0" w:tplc="0BFE4DB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ECD5A53"/>
    <w:multiLevelType w:val="hybridMultilevel"/>
    <w:tmpl w:val="8312DFEC"/>
    <w:lvl w:ilvl="0" w:tplc="E2487A1A">
      <w:start w:val="1"/>
      <w:numFmt w:val="decimal"/>
      <w:lvlText w:val="Table No. %1:"/>
      <w:lvlJc w:val="left"/>
      <w:pPr>
        <w:ind w:left="720" w:hanging="360"/>
      </w:pPr>
      <w:rPr>
        <w:rFonts w:ascii="Calibri" w:hAnsi="Calibri" w:cs="Calibri"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9"/>
  </w:num>
  <w:num w:numId="3">
    <w:abstractNumId w:val="0"/>
  </w:num>
  <w:num w:numId="4">
    <w:abstractNumId w:val="1"/>
  </w:num>
  <w:num w:numId="5">
    <w:abstractNumId w:val="26"/>
  </w:num>
  <w:num w:numId="6">
    <w:abstractNumId w:val="23"/>
  </w:num>
  <w:num w:numId="7">
    <w:abstractNumId w:val="30"/>
  </w:num>
  <w:num w:numId="8">
    <w:abstractNumId w:val="6"/>
  </w:num>
  <w:num w:numId="9">
    <w:abstractNumId w:val="16"/>
  </w:num>
  <w:num w:numId="10">
    <w:abstractNumId w:val="19"/>
  </w:num>
  <w:num w:numId="11">
    <w:abstractNumId w:val="27"/>
  </w:num>
  <w:num w:numId="12">
    <w:abstractNumId w:val="8"/>
  </w:num>
  <w:num w:numId="13">
    <w:abstractNumId w:val="7"/>
  </w:num>
  <w:num w:numId="14">
    <w:abstractNumId w:val="3"/>
  </w:num>
  <w:num w:numId="15">
    <w:abstractNumId w:val="4"/>
  </w:num>
  <w:num w:numId="16">
    <w:abstractNumId w:val="11"/>
  </w:num>
  <w:num w:numId="17">
    <w:abstractNumId w:val="21"/>
  </w:num>
  <w:num w:numId="18">
    <w:abstractNumId w:val="32"/>
  </w:num>
  <w:num w:numId="19">
    <w:abstractNumId w:val="14"/>
  </w:num>
  <w:num w:numId="20">
    <w:abstractNumId w:val="28"/>
  </w:num>
  <w:num w:numId="21">
    <w:abstractNumId w:val="13"/>
  </w:num>
  <w:num w:numId="22">
    <w:abstractNumId w:val="15"/>
  </w:num>
  <w:num w:numId="23">
    <w:abstractNumId w:val="5"/>
  </w:num>
  <w:num w:numId="24">
    <w:abstractNumId w:val="20"/>
  </w:num>
  <w:num w:numId="25">
    <w:abstractNumId w:val="25"/>
  </w:num>
  <w:num w:numId="26">
    <w:abstractNumId w:val="9"/>
  </w:num>
  <w:num w:numId="27">
    <w:abstractNumId w:val="12"/>
  </w:num>
  <w:num w:numId="28">
    <w:abstractNumId w:val="24"/>
  </w:num>
  <w:num w:numId="29">
    <w:abstractNumId w:val="18"/>
  </w:num>
  <w:num w:numId="30">
    <w:abstractNumId w:val="2"/>
  </w:num>
  <w:num w:numId="31">
    <w:abstractNumId w:val="31"/>
  </w:num>
  <w:num w:numId="32">
    <w:abstractNumId w:val="10"/>
  </w:num>
  <w:num w:numId="3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3BDD"/>
    <w:rsid w:val="0000012C"/>
    <w:rsid w:val="000013FD"/>
    <w:rsid w:val="000026D7"/>
    <w:rsid w:val="000046F0"/>
    <w:rsid w:val="00007D50"/>
    <w:rsid w:val="00010617"/>
    <w:rsid w:val="000112B5"/>
    <w:rsid w:val="00012B5D"/>
    <w:rsid w:val="00013BF8"/>
    <w:rsid w:val="00016B62"/>
    <w:rsid w:val="00017323"/>
    <w:rsid w:val="00020F5C"/>
    <w:rsid w:val="00025E5F"/>
    <w:rsid w:val="00031951"/>
    <w:rsid w:val="00031F41"/>
    <w:rsid w:val="000420FD"/>
    <w:rsid w:val="00042673"/>
    <w:rsid w:val="0004316E"/>
    <w:rsid w:val="00050825"/>
    <w:rsid w:val="00053557"/>
    <w:rsid w:val="00056DE5"/>
    <w:rsid w:val="00063AE6"/>
    <w:rsid w:val="00066877"/>
    <w:rsid w:val="00066E45"/>
    <w:rsid w:val="000713B5"/>
    <w:rsid w:val="000717DA"/>
    <w:rsid w:val="00072CC7"/>
    <w:rsid w:val="0007560C"/>
    <w:rsid w:val="0007730B"/>
    <w:rsid w:val="00092452"/>
    <w:rsid w:val="00093014"/>
    <w:rsid w:val="000935FF"/>
    <w:rsid w:val="00097A87"/>
    <w:rsid w:val="00097ADC"/>
    <w:rsid w:val="00097FE8"/>
    <w:rsid w:val="000A0451"/>
    <w:rsid w:val="000A07D6"/>
    <w:rsid w:val="000A1572"/>
    <w:rsid w:val="000A32A0"/>
    <w:rsid w:val="000A4526"/>
    <w:rsid w:val="000A49B1"/>
    <w:rsid w:val="000A526A"/>
    <w:rsid w:val="000B05F2"/>
    <w:rsid w:val="000B33F3"/>
    <w:rsid w:val="000B41D2"/>
    <w:rsid w:val="000B5B28"/>
    <w:rsid w:val="000B5BC5"/>
    <w:rsid w:val="000B5BD9"/>
    <w:rsid w:val="000B6139"/>
    <w:rsid w:val="000B6747"/>
    <w:rsid w:val="000C1A9A"/>
    <w:rsid w:val="000C290E"/>
    <w:rsid w:val="000C2B91"/>
    <w:rsid w:val="000C7070"/>
    <w:rsid w:val="000D06DE"/>
    <w:rsid w:val="000D0D55"/>
    <w:rsid w:val="000D28AC"/>
    <w:rsid w:val="000D3BDD"/>
    <w:rsid w:val="000D3F54"/>
    <w:rsid w:val="000D55A9"/>
    <w:rsid w:val="000D5998"/>
    <w:rsid w:val="000D60DE"/>
    <w:rsid w:val="000D71B3"/>
    <w:rsid w:val="000E1760"/>
    <w:rsid w:val="000E2332"/>
    <w:rsid w:val="000E444A"/>
    <w:rsid w:val="000F00DF"/>
    <w:rsid w:val="000F11C4"/>
    <w:rsid w:val="000F1A90"/>
    <w:rsid w:val="000F2E75"/>
    <w:rsid w:val="000F3523"/>
    <w:rsid w:val="000F672B"/>
    <w:rsid w:val="000F7A03"/>
    <w:rsid w:val="001036F0"/>
    <w:rsid w:val="00103DBF"/>
    <w:rsid w:val="00104B3E"/>
    <w:rsid w:val="00106CC3"/>
    <w:rsid w:val="00111CFC"/>
    <w:rsid w:val="00113E79"/>
    <w:rsid w:val="00114753"/>
    <w:rsid w:val="00117490"/>
    <w:rsid w:val="00120A79"/>
    <w:rsid w:val="001217E7"/>
    <w:rsid w:val="00121D7C"/>
    <w:rsid w:val="00122734"/>
    <w:rsid w:val="00124CE1"/>
    <w:rsid w:val="00124F18"/>
    <w:rsid w:val="00126463"/>
    <w:rsid w:val="00127F1D"/>
    <w:rsid w:val="001306E0"/>
    <w:rsid w:val="00131BF0"/>
    <w:rsid w:val="001337B6"/>
    <w:rsid w:val="001367F5"/>
    <w:rsid w:val="00143ACA"/>
    <w:rsid w:val="0014453E"/>
    <w:rsid w:val="001449AB"/>
    <w:rsid w:val="00145EF0"/>
    <w:rsid w:val="00146F3F"/>
    <w:rsid w:val="00147577"/>
    <w:rsid w:val="0015273D"/>
    <w:rsid w:val="00152F0C"/>
    <w:rsid w:val="00153456"/>
    <w:rsid w:val="001549EA"/>
    <w:rsid w:val="001559F7"/>
    <w:rsid w:val="00156485"/>
    <w:rsid w:val="00156C8A"/>
    <w:rsid w:val="00160417"/>
    <w:rsid w:val="001608EE"/>
    <w:rsid w:val="00162014"/>
    <w:rsid w:val="001630DD"/>
    <w:rsid w:val="00163F4A"/>
    <w:rsid w:val="001711BD"/>
    <w:rsid w:val="0017221A"/>
    <w:rsid w:val="00173865"/>
    <w:rsid w:val="00175171"/>
    <w:rsid w:val="00177C61"/>
    <w:rsid w:val="00180774"/>
    <w:rsid w:val="00186571"/>
    <w:rsid w:val="001924CF"/>
    <w:rsid w:val="00197F47"/>
    <w:rsid w:val="001A0043"/>
    <w:rsid w:val="001A10B7"/>
    <w:rsid w:val="001A1C01"/>
    <w:rsid w:val="001A2E03"/>
    <w:rsid w:val="001A4BDF"/>
    <w:rsid w:val="001A5B67"/>
    <w:rsid w:val="001B042E"/>
    <w:rsid w:val="001B1F97"/>
    <w:rsid w:val="001B3535"/>
    <w:rsid w:val="001C662B"/>
    <w:rsid w:val="001D44E1"/>
    <w:rsid w:val="001D4539"/>
    <w:rsid w:val="001D4D92"/>
    <w:rsid w:val="001D6743"/>
    <w:rsid w:val="001E1864"/>
    <w:rsid w:val="001E720C"/>
    <w:rsid w:val="001F21DD"/>
    <w:rsid w:val="001F3A33"/>
    <w:rsid w:val="001F4282"/>
    <w:rsid w:val="001F5185"/>
    <w:rsid w:val="001F56F1"/>
    <w:rsid w:val="001F601D"/>
    <w:rsid w:val="001F7726"/>
    <w:rsid w:val="00202275"/>
    <w:rsid w:val="00207B57"/>
    <w:rsid w:val="002168B1"/>
    <w:rsid w:val="00216E57"/>
    <w:rsid w:val="00221581"/>
    <w:rsid w:val="00222A0C"/>
    <w:rsid w:val="002231F3"/>
    <w:rsid w:val="00227F2B"/>
    <w:rsid w:val="00230068"/>
    <w:rsid w:val="0023151D"/>
    <w:rsid w:val="00236748"/>
    <w:rsid w:val="0023676B"/>
    <w:rsid w:val="002455AC"/>
    <w:rsid w:val="00252218"/>
    <w:rsid w:val="00252B65"/>
    <w:rsid w:val="002533A6"/>
    <w:rsid w:val="00255EB6"/>
    <w:rsid w:val="0025695F"/>
    <w:rsid w:val="002635BF"/>
    <w:rsid w:val="00263A28"/>
    <w:rsid w:val="00265968"/>
    <w:rsid w:val="002659B7"/>
    <w:rsid w:val="0027006D"/>
    <w:rsid w:val="0027045A"/>
    <w:rsid w:val="00271960"/>
    <w:rsid w:val="00271C87"/>
    <w:rsid w:val="00275AF6"/>
    <w:rsid w:val="00276D1F"/>
    <w:rsid w:val="00277EB1"/>
    <w:rsid w:val="002843EE"/>
    <w:rsid w:val="00284D38"/>
    <w:rsid w:val="00285DA4"/>
    <w:rsid w:val="00290A34"/>
    <w:rsid w:val="002915E1"/>
    <w:rsid w:val="00291917"/>
    <w:rsid w:val="002936E4"/>
    <w:rsid w:val="002948A8"/>
    <w:rsid w:val="0029565E"/>
    <w:rsid w:val="00296DB7"/>
    <w:rsid w:val="002A305E"/>
    <w:rsid w:val="002A7AA5"/>
    <w:rsid w:val="002B4108"/>
    <w:rsid w:val="002B48BB"/>
    <w:rsid w:val="002B721F"/>
    <w:rsid w:val="002C08A1"/>
    <w:rsid w:val="002C0B6E"/>
    <w:rsid w:val="002C2436"/>
    <w:rsid w:val="002C33C6"/>
    <w:rsid w:val="002C3E66"/>
    <w:rsid w:val="002C4F2A"/>
    <w:rsid w:val="002C6319"/>
    <w:rsid w:val="002C7EC6"/>
    <w:rsid w:val="002D1716"/>
    <w:rsid w:val="002D6390"/>
    <w:rsid w:val="002D67F8"/>
    <w:rsid w:val="002E0AF4"/>
    <w:rsid w:val="002E31E3"/>
    <w:rsid w:val="002E3898"/>
    <w:rsid w:val="002E562C"/>
    <w:rsid w:val="002F303E"/>
    <w:rsid w:val="002F4BF1"/>
    <w:rsid w:val="002F4E59"/>
    <w:rsid w:val="002F4FE7"/>
    <w:rsid w:val="002F68E2"/>
    <w:rsid w:val="002F6AFA"/>
    <w:rsid w:val="003004C5"/>
    <w:rsid w:val="00305080"/>
    <w:rsid w:val="00305B28"/>
    <w:rsid w:val="003067C8"/>
    <w:rsid w:val="00307E3A"/>
    <w:rsid w:val="00310CE5"/>
    <w:rsid w:val="003179B9"/>
    <w:rsid w:val="00320F84"/>
    <w:rsid w:val="003225CB"/>
    <w:rsid w:val="00323D0F"/>
    <w:rsid w:val="00324887"/>
    <w:rsid w:val="00324A9F"/>
    <w:rsid w:val="003265FB"/>
    <w:rsid w:val="0033059D"/>
    <w:rsid w:val="00332D63"/>
    <w:rsid w:val="00335E60"/>
    <w:rsid w:val="00341A6C"/>
    <w:rsid w:val="003420F8"/>
    <w:rsid w:val="0034544A"/>
    <w:rsid w:val="0034783C"/>
    <w:rsid w:val="00353498"/>
    <w:rsid w:val="003542EB"/>
    <w:rsid w:val="003553F1"/>
    <w:rsid w:val="00356860"/>
    <w:rsid w:val="00366575"/>
    <w:rsid w:val="00367BD5"/>
    <w:rsid w:val="00374BDB"/>
    <w:rsid w:val="003762A9"/>
    <w:rsid w:val="0037676C"/>
    <w:rsid w:val="00380A2E"/>
    <w:rsid w:val="003828D2"/>
    <w:rsid w:val="00382D24"/>
    <w:rsid w:val="00385CE6"/>
    <w:rsid w:val="00387E64"/>
    <w:rsid w:val="00391467"/>
    <w:rsid w:val="00395BB1"/>
    <w:rsid w:val="00397275"/>
    <w:rsid w:val="003A19B1"/>
    <w:rsid w:val="003A4E30"/>
    <w:rsid w:val="003A5158"/>
    <w:rsid w:val="003A5796"/>
    <w:rsid w:val="003A7A6F"/>
    <w:rsid w:val="003B054A"/>
    <w:rsid w:val="003B05F6"/>
    <w:rsid w:val="003B08B7"/>
    <w:rsid w:val="003B0E10"/>
    <w:rsid w:val="003B30C7"/>
    <w:rsid w:val="003B5D03"/>
    <w:rsid w:val="003B67D6"/>
    <w:rsid w:val="003B6B3D"/>
    <w:rsid w:val="003B7442"/>
    <w:rsid w:val="003C2596"/>
    <w:rsid w:val="003D1C1E"/>
    <w:rsid w:val="003D564D"/>
    <w:rsid w:val="003D7EED"/>
    <w:rsid w:val="003E4A0C"/>
    <w:rsid w:val="003E68E2"/>
    <w:rsid w:val="003E7B93"/>
    <w:rsid w:val="003F0F61"/>
    <w:rsid w:val="003F2808"/>
    <w:rsid w:val="003F3738"/>
    <w:rsid w:val="003F5A76"/>
    <w:rsid w:val="003F7669"/>
    <w:rsid w:val="00401831"/>
    <w:rsid w:val="00402898"/>
    <w:rsid w:val="00406488"/>
    <w:rsid w:val="004073D8"/>
    <w:rsid w:val="00413D29"/>
    <w:rsid w:val="00414546"/>
    <w:rsid w:val="00414635"/>
    <w:rsid w:val="00416100"/>
    <w:rsid w:val="00426069"/>
    <w:rsid w:val="004321B7"/>
    <w:rsid w:val="00435251"/>
    <w:rsid w:val="00436478"/>
    <w:rsid w:val="00437004"/>
    <w:rsid w:val="00444BBA"/>
    <w:rsid w:val="0046187A"/>
    <w:rsid w:val="00464891"/>
    <w:rsid w:val="00464C30"/>
    <w:rsid w:val="004659C3"/>
    <w:rsid w:val="00466402"/>
    <w:rsid w:val="0046642F"/>
    <w:rsid w:val="004667D7"/>
    <w:rsid w:val="00471578"/>
    <w:rsid w:val="00472D53"/>
    <w:rsid w:val="004730F2"/>
    <w:rsid w:val="0047423A"/>
    <w:rsid w:val="004772C2"/>
    <w:rsid w:val="0048029A"/>
    <w:rsid w:val="00483D61"/>
    <w:rsid w:val="00484927"/>
    <w:rsid w:val="004855E3"/>
    <w:rsid w:val="00485E77"/>
    <w:rsid w:val="0048610C"/>
    <w:rsid w:val="0049200F"/>
    <w:rsid w:val="0049264E"/>
    <w:rsid w:val="004927AA"/>
    <w:rsid w:val="004972F8"/>
    <w:rsid w:val="004A031A"/>
    <w:rsid w:val="004A1ACF"/>
    <w:rsid w:val="004A456C"/>
    <w:rsid w:val="004A5487"/>
    <w:rsid w:val="004A6209"/>
    <w:rsid w:val="004A6C1E"/>
    <w:rsid w:val="004A7627"/>
    <w:rsid w:val="004B0836"/>
    <w:rsid w:val="004B2AE4"/>
    <w:rsid w:val="004B6B71"/>
    <w:rsid w:val="004B6D34"/>
    <w:rsid w:val="004C0921"/>
    <w:rsid w:val="004C2459"/>
    <w:rsid w:val="004C3333"/>
    <w:rsid w:val="004C3FC2"/>
    <w:rsid w:val="004C428D"/>
    <w:rsid w:val="004C4B50"/>
    <w:rsid w:val="004C64EA"/>
    <w:rsid w:val="004C7B61"/>
    <w:rsid w:val="004D084C"/>
    <w:rsid w:val="004D1641"/>
    <w:rsid w:val="004D28E2"/>
    <w:rsid w:val="004D3299"/>
    <w:rsid w:val="004D445A"/>
    <w:rsid w:val="004E5E77"/>
    <w:rsid w:val="004E783B"/>
    <w:rsid w:val="004F1A39"/>
    <w:rsid w:val="004F2398"/>
    <w:rsid w:val="00504289"/>
    <w:rsid w:val="0050449E"/>
    <w:rsid w:val="00504956"/>
    <w:rsid w:val="00505016"/>
    <w:rsid w:val="00512350"/>
    <w:rsid w:val="00512C34"/>
    <w:rsid w:val="005208EF"/>
    <w:rsid w:val="005230CC"/>
    <w:rsid w:val="005230F6"/>
    <w:rsid w:val="00526CB1"/>
    <w:rsid w:val="0053290E"/>
    <w:rsid w:val="00547CFE"/>
    <w:rsid w:val="00547EF6"/>
    <w:rsid w:val="0055062B"/>
    <w:rsid w:val="00550B48"/>
    <w:rsid w:val="00551D7B"/>
    <w:rsid w:val="00554B83"/>
    <w:rsid w:val="00556CC5"/>
    <w:rsid w:val="00562A3E"/>
    <w:rsid w:val="00562AAD"/>
    <w:rsid w:val="00570862"/>
    <w:rsid w:val="0057334D"/>
    <w:rsid w:val="00574001"/>
    <w:rsid w:val="005744B4"/>
    <w:rsid w:val="00574F91"/>
    <w:rsid w:val="005775BE"/>
    <w:rsid w:val="00582C7B"/>
    <w:rsid w:val="005832DD"/>
    <w:rsid w:val="005835B7"/>
    <w:rsid w:val="00586B5C"/>
    <w:rsid w:val="005947EE"/>
    <w:rsid w:val="00594CCD"/>
    <w:rsid w:val="00597875"/>
    <w:rsid w:val="005A38DC"/>
    <w:rsid w:val="005A6BC2"/>
    <w:rsid w:val="005B0615"/>
    <w:rsid w:val="005B3B08"/>
    <w:rsid w:val="005B52C8"/>
    <w:rsid w:val="005C30D6"/>
    <w:rsid w:val="005C4BE4"/>
    <w:rsid w:val="005D1359"/>
    <w:rsid w:val="005D2E31"/>
    <w:rsid w:val="005D4E04"/>
    <w:rsid w:val="005D755E"/>
    <w:rsid w:val="005E2260"/>
    <w:rsid w:val="005E2EA2"/>
    <w:rsid w:val="005E5889"/>
    <w:rsid w:val="005E74AC"/>
    <w:rsid w:val="005F0D73"/>
    <w:rsid w:val="005F2416"/>
    <w:rsid w:val="005F2422"/>
    <w:rsid w:val="005F404D"/>
    <w:rsid w:val="006010B5"/>
    <w:rsid w:val="006014F8"/>
    <w:rsid w:val="00605CA9"/>
    <w:rsid w:val="006101A6"/>
    <w:rsid w:val="006103E3"/>
    <w:rsid w:val="006117F9"/>
    <w:rsid w:val="006152D2"/>
    <w:rsid w:val="006200AB"/>
    <w:rsid w:val="00620467"/>
    <w:rsid w:val="00620A8A"/>
    <w:rsid w:val="00622A3B"/>
    <w:rsid w:val="00627032"/>
    <w:rsid w:val="00631BB6"/>
    <w:rsid w:val="006324CC"/>
    <w:rsid w:val="00633912"/>
    <w:rsid w:val="006346EF"/>
    <w:rsid w:val="00636BB0"/>
    <w:rsid w:val="00637EAD"/>
    <w:rsid w:val="00642969"/>
    <w:rsid w:val="0064493D"/>
    <w:rsid w:val="0064651C"/>
    <w:rsid w:val="00646547"/>
    <w:rsid w:val="00646D3D"/>
    <w:rsid w:val="006510D2"/>
    <w:rsid w:val="00655423"/>
    <w:rsid w:val="00655864"/>
    <w:rsid w:val="00656153"/>
    <w:rsid w:val="0065638D"/>
    <w:rsid w:val="00656DD0"/>
    <w:rsid w:val="0066069F"/>
    <w:rsid w:val="00664577"/>
    <w:rsid w:val="00665E1C"/>
    <w:rsid w:val="00666D68"/>
    <w:rsid w:val="00680F91"/>
    <w:rsid w:val="00684454"/>
    <w:rsid w:val="00686F5A"/>
    <w:rsid w:val="00691502"/>
    <w:rsid w:val="0069325E"/>
    <w:rsid w:val="00693E52"/>
    <w:rsid w:val="00694186"/>
    <w:rsid w:val="00694F2B"/>
    <w:rsid w:val="006A367F"/>
    <w:rsid w:val="006A411C"/>
    <w:rsid w:val="006B23DC"/>
    <w:rsid w:val="006B2B3A"/>
    <w:rsid w:val="006B3D5B"/>
    <w:rsid w:val="006C031C"/>
    <w:rsid w:val="006C07C8"/>
    <w:rsid w:val="006C231A"/>
    <w:rsid w:val="006C2A13"/>
    <w:rsid w:val="006C2B58"/>
    <w:rsid w:val="006C4EC6"/>
    <w:rsid w:val="006C7D25"/>
    <w:rsid w:val="006D0383"/>
    <w:rsid w:val="006D0427"/>
    <w:rsid w:val="006D06C2"/>
    <w:rsid w:val="006D387C"/>
    <w:rsid w:val="006E450C"/>
    <w:rsid w:val="006E4D23"/>
    <w:rsid w:val="006E7DA0"/>
    <w:rsid w:val="006F22AA"/>
    <w:rsid w:val="006F43ED"/>
    <w:rsid w:val="007003D7"/>
    <w:rsid w:val="007004F6"/>
    <w:rsid w:val="00710A59"/>
    <w:rsid w:val="00711D2E"/>
    <w:rsid w:val="0071359A"/>
    <w:rsid w:val="0071564A"/>
    <w:rsid w:val="0071640B"/>
    <w:rsid w:val="00721BED"/>
    <w:rsid w:val="007235EA"/>
    <w:rsid w:val="007238B1"/>
    <w:rsid w:val="007258FA"/>
    <w:rsid w:val="007264CE"/>
    <w:rsid w:val="00732127"/>
    <w:rsid w:val="0073242E"/>
    <w:rsid w:val="00737086"/>
    <w:rsid w:val="00737986"/>
    <w:rsid w:val="00740A2F"/>
    <w:rsid w:val="00741088"/>
    <w:rsid w:val="007413B9"/>
    <w:rsid w:val="0075420C"/>
    <w:rsid w:val="007546A0"/>
    <w:rsid w:val="007554D8"/>
    <w:rsid w:val="00756D5C"/>
    <w:rsid w:val="007577DB"/>
    <w:rsid w:val="00762C13"/>
    <w:rsid w:val="00763F90"/>
    <w:rsid w:val="007651A8"/>
    <w:rsid w:val="00765F3E"/>
    <w:rsid w:val="0076631C"/>
    <w:rsid w:val="0076638F"/>
    <w:rsid w:val="00767A92"/>
    <w:rsid w:val="00767AC7"/>
    <w:rsid w:val="00772AE3"/>
    <w:rsid w:val="00774E40"/>
    <w:rsid w:val="00786C7C"/>
    <w:rsid w:val="00787506"/>
    <w:rsid w:val="007957D9"/>
    <w:rsid w:val="00796DBC"/>
    <w:rsid w:val="0079751D"/>
    <w:rsid w:val="007A16F3"/>
    <w:rsid w:val="007A1E42"/>
    <w:rsid w:val="007A42A9"/>
    <w:rsid w:val="007A4DB1"/>
    <w:rsid w:val="007A6307"/>
    <w:rsid w:val="007B29E1"/>
    <w:rsid w:val="007B37AF"/>
    <w:rsid w:val="007B41C1"/>
    <w:rsid w:val="007B6DCA"/>
    <w:rsid w:val="007C19CD"/>
    <w:rsid w:val="007C1AD0"/>
    <w:rsid w:val="007C4A88"/>
    <w:rsid w:val="007C578D"/>
    <w:rsid w:val="007C63AD"/>
    <w:rsid w:val="007D01DC"/>
    <w:rsid w:val="007D2EE9"/>
    <w:rsid w:val="007E0158"/>
    <w:rsid w:val="007E24AC"/>
    <w:rsid w:val="007E6840"/>
    <w:rsid w:val="007F44F2"/>
    <w:rsid w:val="007F661D"/>
    <w:rsid w:val="007F68F7"/>
    <w:rsid w:val="0080679C"/>
    <w:rsid w:val="00806AC1"/>
    <w:rsid w:val="00810470"/>
    <w:rsid w:val="00810484"/>
    <w:rsid w:val="00811969"/>
    <w:rsid w:val="00817728"/>
    <w:rsid w:val="00823F63"/>
    <w:rsid w:val="00825676"/>
    <w:rsid w:val="008276C6"/>
    <w:rsid w:val="00832351"/>
    <w:rsid w:val="008335FB"/>
    <w:rsid w:val="00836C71"/>
    <w:rsid w:val="008370AB"/>
    <w:rsid w:val="00843B70"/>
    <w:rsid w:val="00847251"/>
    <w:rsid w:val="0085098B"/>
    <w:rsid w:val="00850B22"/>
    <w:rsid w:val="0085118B"/>
    <w:rsid w:val="00853421"/>
    <w:rsid w:val="00854105"/>
    <w:rsid w:val="008568BB"/>
    <w:rsid w:val="00861971"/>
    <w:rsid w:val="008621CE"/>
    <w:rsid w:val="00862DB8"/>
    <w:rsid w:val="008649BC"/>
    <w:rsid w:val="00865E55"/>
    <w:rsid w:val="0086694A"/>
    <w:rsid w:val="00866E88"/>
    <w:rsid w:val="00872DC6"/>
    <w:rsid w:val="0087533C"/>
    <w:rsid w:val="0088229B"/>
    <w:rsid w:val="00884847"/>
    <w:rsid w:val="00884D9C"/>
    <w:rsid w:val="008901AF"/>
    <w:rsid w:val="008960F4"/>
    <w:rsid w:val="00896684"/>
    <w:rsid w:val="00896AA6"/>
    <w:rsid w:val="008970B9"/>
    <w:rsid w:val="008A0276"/>
    <w:rsid w:val="008A730F"/>
    <w:rsid w:val="008B0435"/>
    <w:rsid w:val="008B074A"/>
    <w:rsid w:val="008B1032"/>
    <w:rsid w:val="008B1A11"/>
    <w:rsid w:val="008B2AD4"/>
    <w:rsid w:val="008B778D"/>
    <w:rsid w:val="008C1D32"/>
    <w:rsid w:val="008C481F"/>
    <w:rsid w:val="008C77F9"/>
    <w:rsid w:val="008D0092"/>
    <w:rsid w:val="008D39E8"/>
    <w:rsid w:val="008D4128"/>
    <w:rsid w:val="008D4A86"/>
    <w:rsid w:val="008D62D3"/>
    <w:rsid w:val="008E0D33"/>
    <w:rsid w:val="008E0F96"/>
    <w:rsid w:val="008E1A41"/>
    <w:rsid w:val="008E1D22"/>
    <w:rsid w:val="008E290B"/>
    <w:rsid w:val="008E6A11"/>
    <w:rsid w:val="008F1FBF"/>
    <w:rsid w:val="008F29ED"/>
    <w:rsid w:val="008F2EDA"/>
    <w:rsid w:val="0090268C"/>
    <w:rsid w:val="00902B7A"/>
    <w:rsid w:val="0090724F"/>
    <w:rsid w:val="00911247"/>
    <w:rsid w:val="00913C09"/>
    <w:rsid w:val="009151F1"/>
    <w:rsid w:val="00916297"/>
    <w:rsid w:val="00916E4D"/>
    <w:rsid w:val="00917075"/>
    <w:rsid w:val="00920C43"/>
    <w:rsid w:val="00921AC9"/>
    <w:rsid w:val="00921CCB"/>
    <w:rsid w:val="009238F1"/>
    <w:rsid w:val="009256AF"/>
    <w:rsid w:val="00926627"/>
    <w:rsid w:val="009266B6"/>
    <w:rsid w:val="00927CB7"/>
    <w:rsid w:val="0093075A"/>
    <w:rsid w:val="009325AD"/>
    <w:rsid w:val="00932C06"/>
    <w:rsid w:val="00936E35"/>
    <w:rsid w:val="00937B58"/>
    <w:rsid w:val="009411DE"/>
    <w:rsid w:val="0094138C"/>
    <w:rsid w:val="00944F24"/>
    <w:rsid w:val="00951CBB"/>
    <w:rsid w:val="00951D45"/>
    <w:rsid w:val="009543FC"/>
    <w:rsid w:val="0095691A"/>
    <w:rsid w:val="00961514"/>
    <w:rsid w:val="00961EF0"/>
    <w:rsid w:val="0096222E"/>
    <w:rsid w:val="00963245"/>
    <w:rsid w:val="00964484"/>
    <w:rsid w:val="009657C2"/>
    <w:rsid w:val="00967FB6"/>
    <w:rsid w:val="009717BB"/>
    <w:rsid w:val="00971DC8"/>
    <w:rsid w:val="0097759F"/>
    <w:rsid w:val="00990037"/>
    <w:rsid w:val="0099004A"/>
    <w:rsid w:val="00990FA2"/>
    <w:rsid w:val="009925B0"/>
    <w:rsid w:val="00992C83"/>
    <w:rsid w:val="00994403"/>
    <w:rsid w:val="00995298"/>
    <w:rsid w:val="00995692"/>
    <w:rsid w:val="009966E2"/>
    <w:rsid w:val="00996976"/>
    <w:rsid w:val="009A3337"/>
    <w:rsid w:val="009A592E"/>
    <w:rsid w:val="009A5C16"/>
    <w:rsid w:val="009A66D3"/>
    <w:rsid w:val="009A6F18"/>
    <w:rsid w:val="009A7E4E"/>
    <w:rsid w:val="009B01F3"/>
    <w:rsid w:val="009B2DFC"/>
    <w:rsid w:val="009B2E6C"/>
    <w:rsid w:val="009B591D"/>
    <w:rsid w:val="009B5AA0"/>
    <w:rsid w:val="009B6644"/>
    <w:rsid w:val="009C1813"/>
    <w:rsid w:val="009C317C"/>
    <w:rsid w:val="009D15E2"/>
    <w:rsid w:val="009D1C1B"/>
    <w:rsid w:val="009D2687"/>
    <w:rsid w:val="009D4C2D"/>
    <w:rsid w:val="009D716F"/>
    <w:rsid w:val="009E16B4"/>
    <w:rsid w:val="009E4B85"/>
    <w:rsid w:val="009E4EC8"/>
    <w:rsid w:val="009E501B"/>
    <w:rsid w:val="009F742F"/>
    <w:rsid w:val="00A0385D"/>
    <w:rsid w:val="00A0543A"/>
    <w:rsid w:val="00A054A9"/>
    <w:rsid w:val="00A1125E"/>
    <w:rsid w:val="00A11915"/>
    <w:rsid w:val="00A11C1F"/>
    <w:rsid w:val="00A11E70"/>
    <w:rsid w:val="00A11FB6"/>
    <w:rsid w:val="00A155B4"/>
    <w:rsid w:val="00A27014"/>
    <w:rsid w:val="00A30A9A"/>
    <w:rsid w:val="00A321BF"/>
    <w:rsid w:val="00A34DAF"/>
    <w:rsid w:val="00A36161"/>
    <w:rsid w:val="00A430E7"/>
    <w:rsid w:val="00A5058C"/>
    <w:rsid w:val="00A50EB4"/>
    <w:rsid w:val="00A549E0"/>
    <w:rsid w:val="00A55B61"/>
    <w:rsid w:val="00A56B0B"/>
    <w:rsid w:val="00A60C3C"/>
    <w:rsid w:val="00A6392D"/>
    <w:rsid w:val="00A65262"/>
    <w:rsid w:val="00A703C7"/>
    <w:rsid w:val="00A70AFA"/>
    <w:rsid w:val="00A71AA8"/>
    <w:rsid w:val="00A73E83"/>
    <w:rsid w:val="00A74E21"/>
    <w:rsid w:val="00A75AD7"/>
    <w:rsid w:val="00A80C34"/>
    <w:rsid w:val="00A97853"/>
    <w:rsid w:val="00AA17A6"/>
    <w:rsid w:val="00AA3B8E"/>
    <w:rsid w:val="00AA3E46"/>
    <w:rsid w:val="00AA4D57"/>
    <w:rsid w:val="00AA6D3F"/>
    <w:rsid w:val="00AA708E"/>
    <w:rsid w:val="00AA7153"/>
    <w:rsid w:val="00AA71FB"/>
    <w:rsid w:val="00AB048C"/>
    <w:rsid w:val="00AB05FF"/>
    <w:rsid w:val="00AB096E"/>
    <w:rsid w:val="00AB0FD6"/>
    <w:rsid w:val="00AB5D92"/>
    <w:rsid w:val="00AC1001"/>
    <w:rsid w:val="00AC149E"/>
    <w:rsid w:val="00AC1CCD"/>
    <w:rsid w:val="00AC23AC"/>
    <w:rsid w:val="00AC5348"/>
    <w:rsid w:val="00AC79E7"/>
    <w:rsid w:val="00AD0A96"/>
    <w:rsid w:val="00AD3919"/>
    <w:rsid w:val="00AD50EF"/>
    <w:rsid w:val="00AD6CDF"/>
    <w:rsid w:val="00AE0461"/>
    <w:rsid w:val="00AE0C74"/>
    <w:rsid w:val="00AE1E7E"/>
    <w:rsid w:val="00AE29B7"/>
    <w:rsid w:val="00AE2A9F"/>
    <w:rsid w:val="00AE4089"/>
    <w:rsid w:val="00AE4B09"/>
    <w:rsid w:val="00AE5FE9"/>
    <w:rsid w:val="00AE6E72"/>
    <w:rsid w:val="00AE77A6"/>
    <w:rsid w:val="00AF0A91"/>
    <w:rsid w:val="00AF374A"/>
    <w:rsid w:val="00AF5146"/>
    <w:rsid w:val="00B00042"/>
    <w:rsid w:val="00B02856"/>
    <w:rsid w:val="00B0540C"/>
    <w:rsid w:val="00B055D7"/>
    <w:rsid w:val="00B06BC9"/>
    <w:rsid w:val="00B06CF6"/>
    <w:rsid w:val="00B0778D"/>
    <w:rsid w:val="00B126FF"/>
    <w:rsid w:val="00B159BA"/>
    <w:rsid w:val="00B20B16"/>
    <w:rsid w:val="00B20DB6"/>
    <w:rsid w:val="00B22F37"/>
    <w:rsid w:val="00B31002"/>
    <w:rsid w:val="00B3447D"/>
    <w:rsid w:val="00B347B8"/>
    <w:rsid w:val="00B40479"/>
    <w:rsid w:val="00B41A62"/>
    <w:rsid w:val="00B41B99"/>
    <w:rsid w:val="00B42046"/>
    <w:rsid w:val="00B42FCD"/>
    <w:rsid w:val="00B43183"/>
    <w:rsid w:val="00B451BE"/>
    <w:rsid w:val="00B47030"/>
    <w:rsid w:val="00B5039A"/>
    <w:rsid w:val="00B50CE5"/>
    <w:rsid w:val="00B5331B"/>
    <w:rsid w:val="00B56020"/>
    <w:rsid w:val="00B62E79"/>
    <w:rsid w:val="00B67121"/>
    <w:rsid w:val="00B731EF"/>
    <w:rsid w:val="00B735BF"/>
    <w:rsid w:val="00B76B18"/>
    <w:rsid w:val="00B85377"/>
    <w:rsid w:val="00B872BB"/>
    <w:rsid w:val="00B9487A"/>
    <w:rsid w:val="00B9677B"/>
    <w:rsid w:val="00BA0DC3"/>
    <w:rsid w:val="00BA6627"/>
    <w:rsid w:val="00BB33FD"/>
    <w:rsid w:val="00BB4CA8"/>
    <w:rsid w:val="00BB6C41"/>
    <w:rsid w:val="00BC386D"/>
    <w:rsid w:val="00BC3BFE"/>
    <w:rsid w:val="00BC4FF8"/>
    <w:rsid w:val="00BE04BB"/>
    <w:rsid w:val="00BE1067"/>
    <w:rsid w:val="00BE64AE"/>
    <w:rsid w:val="00BF0081"/>
    <w:rsid w:val="00BF1882"/>
    <w:rsid w:val="00BF2237"/>
    <w:rsid w:val="00BF46E3"/>
    <w:rsid w:val="00BF538E"/>
    <w:rsid w:val="00BF61D9"/>
    <w:rsid w:val="00C017C5"/>
    <w:rsid w:val="00C0458B"/>
    <w:rsid w:val="00C108B1"/>
    <w:rsid w:val="00C221FF"/>
    <w:rsid w:val="00C22630"/>
    <w:rsid w:val="00C25FB8"/>
    <w:rsid w:val="00C31E21"/>
    <w:rsid w:val="00C3247F"/>
    <w:rsid w:val="00C33C36"/>
    <w:rsid w:val="00C341FE"/>
    <w:rsid w:val="00C370F4"/>
    <w:rsid w:val="00C418DD"/>
    <w:rsid w:val="00C44D7D"/>
    <w:rsid w:val="00C461AC"/>
    <w:rsid w:val="00C546D0"/>
    <w:rsid w:val="00C63C01"/>
    <w:rsid w:val="00C668DD"/>
    <w:rsid w:val="00C8483E"/>
    <w:rsid w:val="00C8550D"/>
    <w:rsid w:val="00C85C0B"/>
    <w:rsid w:val="00C867CF"/>
    <w:rsid w:val="00C86970"/>
    <w:rsid w:val="00C87545"/>
    <w:rsid w:val="00C9124D"/>
    <w:rsid w:val="00C918B2"/>
    <w:rsid w:val="00C920CA"/>
    <w:rsid w:val="00C92BB8"/>
    <w:rsid w:val="00C9561D"/>
    <w:rsid w:val="00CA0839"/>
    <w:rsid w:val="00CA2608"/>
    <w:rsid w:val="00CA3663"/>
    <w:rsid w:val="00CA6B5D"/>
    <w:rsid w:val="00CB09A5"/>
    <w:rsid w:val="00CB14F4"/>
    <w:rsid w:val="00CB2C6A"/>
    <w:rsid w:val="00CB38AB"/>
    <w:rsid w:val="00CB3F00"/>
    <w:rsid w:val="00CB6109"/>
    <w:rsid w:val="00CC1EE6"/>
    <w:rsid w:val="00CC2F0B"/>
    <w:rsid w:val="00CC40B7"/>
    <w:rsid w:val="00CC6F33"/>
    <w:rsid w:val="00CD288B"/>
    <w:rsid w:val="00CD38EB"/>
    <w:rsid w:val="00CD4476"/>
    <w:rsid w:val="00CD70A1"/>
    <w:rsid w:val="00CE2BF1"/>
    <w:rsid w:val="00CE563F"/>
    <w:rsid w:val="00CF1A7C"/>
    <w:rsid w:val="00CF5474"/>
    <w:rsid w:val="00CF5F0C"/>
    <w:rsid w:val="00CF613B"/>
    <w:rsid w:val="00D01A92"/>
    <w:rsid w:val="00D03E68"/>
    <w:rsid w:val="00D06746"/>
    <w:rsid w:val="00D11AE2"/>
    <w:rsid w:val="00D14D01"/>
    <w:rsid w:val="00D15B99"/>
    <w:rsid w:val="00D205C1"/>
    <w:rsid w:val="00D222DA"/>
    <w:rsid w:val="00D22C24"/>
    <w:rsid w:val="00D22EBA"/>
    <w:rsid w:val="00D2437A"/>
    <w:rsid w:val="00D262AA"/>
    <w:rsid w:val="00D3299E"/>
    <w:rsid w:val="00D345B2"/>
    <w:rsid w:val="00D41241"/>
    <w:rsid w:val="00D45388"/>
    <w:rsid w:val="00D477BA"/>
    <w:rsid w:val="00D5292F"/>
    <w:rsid w:val="00D54644"/>
    <w:rsid w:val="00D553D2"/>
    <w:rsid w:val="00D55DB4"/>
    <w:rsid w:val="00D56954"/>
    <w:rsid w:val="00D575D8"/>
    <w:rsid w:val="00D6099B"/>
    <w:rsid w:val="00D616EF"/>
    <w:rsid w:val="00D63C8A"/>
    <w:rsid w:val="00D6491B"/>
    <w:rsid w:val="00D655C5"/>
    <w:rsid w:val="00D667EA"/>
    <w:rsid w:val="00D671EB"/>
    <w:rsid w:val="00D762C9"/>
    <w:rsid w:val="00D81277"/>
    <w:rsid w:val="00D81945"/>
    <w:rsid w:val="00D90060"/>
    <w:rsid w:val="00D91018"/>
    <w:rsid w:val="00D91177"/>
    <w:rsid w:val="00D93227"/>
    <w:rsid w:val="00D93CE3"/>
    <w:rsid w:val="00D94309"/>
    <w:rsid w:val="00D968CF"/>
    <w:rsid w:val="00DA122B"/>
    <w:rsid w:val="00DA124A"/>
    <w:rsid w:val="00DA1EB7"/>
    <w:rsid w:val="00DA73EC"/>
    <w:rsid w:val="00DA7BFB"/>
    <w:rsid w:val="00DB3123"/>
    <w:rsid w:val="00DB31FF"/>
    <w:rsid w:val="00DB4794"/>
    <w:rsid w:val="00DB5552"/>
    <w:rsid w:val="00DC12BE"/>
    <w:rsid w:val="00DC250E"/>
    <w:rsid w:val="00DC3371"/>
    <w:rsid w:val="00DC3E8D"/>
    <w:rsid w:val="00DC6312"/>
    <w:rsid w:val="00DD1386"/>
    <w:rsid w:val="00DD5425"/>
    <w:rsid w:val="00DD6448"/>
    <w:rsid w:val="00DD6B41"/>
    <w:rsid w:val="00DD72A7"/>
    <w:rsid w:val="00DE0734"/>
    <w:rsid w:val="00DE7239"/>
    <w:rsid w:val="00DE7332"/>
    <w:rsid w:val="00DF0855"/>
    <w:rsid w:val="00DF2356"/>
    <w:rsid w:val="00DF7E75"/>
    <w:rsid w:val="00E00F0E"/>
    <w:rsid w:val="00E0139D"/>
    <w:rsid w:val="00E0172A"/>
    <w:rsid w:val="00E0262E"/>
    <w:rsid w:val="00E04283"/>
    <w:rsid w:val="00E06D39"/>
    <w:rsid w:val="00E07353"/>
    <w:rsid w:val="00E07A5F"/>
    <w:rsid w:val="00E10AA0"/>
    <w:rsid w:val="00E11BC4"/>
    <w:rsid w:val="00E125BD"/>
    <w:rsid w:val="00E131E4"/>
    <w:rsid w:val="00E154D6"/>
    <w:rsid w:val="00E170B7"/>
    <w:rsid w:val="00E20033"/>
    <w:rsid w:val="00E214AE"/>
    <w:rsid w:val="00E217FE"/>
    <w:rsid w:val="00E26121"/>
    <w:rsid w:val="00E27CF8"/>
    <w:rsid w:val="00E30557"/>
    <w:rsid w:val="00E34E81"/>
    <w:rsid w:val="00E36F27"/>
    <w:rsid w:val="00E37582"/>
    <w:rsid w:val="00E4039B"/>
    <w:rsid w:val="00E438EA"/>
    <w:rsid w:val="00E4466B"/>
    <w:rsid w:val="00E44DA4"/>
    <w:rsid w:val="00E453C4"/>
    <w:rsid w:val="00E469A8"/>
    <w:rsid w:val="00E517D6"/>
    <w:rsid w:val="00E5272E"/>
    <w:rsid w:val="00E57589"/>
    <w:rsid w:val="00E622AB"/>
    <w:rsid w:val="00E666E7"/>
    <w:rsid w:val="00E67E19"/>
    <w:rsid w:val="00E70362"/>
    <w:rsid w:val="00E7066D"/>
    <w:rsid w:val="00E71CAF"/>
    <w:rsid w:val="00E722C1"/>
    <w:rsid w:val="00E73D92"/>
    <w:rsid w:val="00E73E20"/>
    <w:rsid w:val="00E75B8B"/>
    <w:rsid w:val="00E76448"/>
    <w:rsid w:val="00E775E2"/>
    <w:rsid w:val="00E8108C"/>
    <w:rsid w:val="00E81508"/>
    <w:rsid w:val="00E85D08"/>
    <w:rsid w:val="00E867C7"/>
    <w:rsid w:val="00E9224A"/>
    <w:rsid w:val="00E9454E"/>
    <w:rsid w:val="00E95A3C"/>
    <w:rsid w:val="00EA0019"/>
    <w:rsid w:val="00EA73CD"/>
    <w:rsid w:val="00EB01AF"/>
    <w:rsid w:val="00EB1465"/>
    <w:rsid w:val="00EB4DA4"/>
    <w:rsid w:val="00EB5F3B"/>
    <w:rsid w:val="00EC1206"/>
    <w:rsid w:val="00EC50DE"/>
    <w:rsid w:val="00EC604A"/>
    <w:rsid w:val="00EC68FA"/>
    <w:rsid w:val="00EC6F72"/>
    <w:rsid w:val="00ED5614"/>
    <w:rsid w:val="00EE5B4E"/>
    <w:rsid w:val="00EE6575"/>
    <w:rsid w:val="00EF2AAF"/>
    <w:rsid w:val="00EF3B6E"/>
    <w:rsid w:val="00EF41D2"/>
    <w:rsid w:val="00EF5EFC"/>
    <w:rsid w:val="00EF75D9"/>
    <w:rsid w:val="00F0002F"/>
    <w:rsid w:val="00F000FD"/>
    <w:rsid w:val="00F0188D"/>
    <w:rsid w:val="00F01D1A"/>
    <w:rsid w:val="00F02F7B"/>
    <w:rsid w:val="00F045F3"/>
    <w:rsid w:val="00F103DF"/>
    <w:rsid w:val="00F13659"/>
    <w:rsid w:val="00F21160"/>
    <w:rsid w:val="00F22D66"/>
    <w:rsid w:val="00F22DB8"/>
    <w:rsid w:val="00F24178"/>
    <w:rsid w:val="00F257C5"/>
    <w:rsid w:val="00F26440"/>
    <w:rsid w:val="00F30F4D"/>
    <w:rsid w:val="00F333EA"/>
    <w:rsid w:val="00F3471D"/>
    <w:rsid w:val="00F36CFA"/>
    <w:rsid w:val="00F455DE"/>
    <w:rsid w:val="00F46516"/>
    <w:rsid w:val="00F4755D"/>
    <w:rsid w:val="00F5065C"/>
    <w:rsid w:val="00F50A1D"/>
    <w:rsid w:val="00F57E0E"/>
    <w:rsid w:val="00F650A7"/>
    <w:rsid w:val="00F658C7"/>
    <w:rsid w:val="00F6635B"/>
    <w:rsid w:val="00F7344C"/>
    <w:rsid w:val="00F75346"/>
    <w:rsid w:val="00F75E37"/>
    <w:rsid w:val="00F7665F"/>
    <w:rsid w:val="00F76F56"/>
    <w:rsid w:val="00F847E9"/>
    <w:rsid w:val="00F84A81"/>
    <w:rsid w:val="00F9180A"/>
    <w:rsid w:val="00F91EF1"/>
    <w:rsid w:val="00F91F47"/>
    <w:rsid w:val="00F92ABE"/>
    <w:rsid w:val="00F95A61"/>
    <w:rsid w:val="00F96A4D"/>
    <w:rsid w:val="00F97C44"/>
    <w:rsid w:val="00FA1D79"/>
    <w:rsid w:val="00FA2502"/>
    <w:rsid w:val="00FA4B9E"/>
    <w:rsid w:val="00FA5CF6"/>
    <w:rsid w:val="00FB000F"/>
    <w:rsid w:val="00FB0A29"/>
    <w:rsid w:val="00FB1730"/>
    <w:rsid w:val="00FB20C7"/>
    <w:rsid w:val="00FB2153"/>
    <w:rsid w:val="00FB406A"/>
    <w:rsid w:val="00FB4816"/>
    <w:rsid w:val="00FC1747"/>
    <w:rsid w:val="00FC2955"/>
    <w:rsid w:val="00FC2A99"/>
    <w:rsid w:val="00FC2D54"/>
    <w:rsid w:val="00FD0D45"/>
    <w:rsid w:val="00FE130B"/>
    <w:rsid w:val="00FE1710"/>
    <w:rsid w:val="00FE2AAA"/>
    <w:rsid w:val="00FE3742"/>
    <w:rsid w:val="00FE415C"/>
    <w:rsid w:val="00FE4778"/>
    <w:rsid w:val="00FE5C4E"/>
    <w:rsid w:val="00FE657F"/>
    <w:rsid w:val="00FE7988"/>
    <w:rsid w:val="00FE7E53"/>
    <w:rsid w:val="00FF147A"/>
    <w:rsid w:val="00FF4E18"/>
    <w:rsid w:val="00FF61EB"/>
    <w:rsid w:val="00FF7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144848-1F52-45BB-B019-54BE206E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CFE"/>
    <w:pPr>
      <w:spacing w:before="120" w:after="120" w:line="276" w:lineRule="auto"/>
      <w:jc w:val="both"/>
    </w:pPr>
    <w:rPr>
      <w:sz w:val="24"/>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
    <w:basedOn w:val="Normln"/>
    <w:uiPriority w:val="34"/>
    <w:qFormat/>
    <w:rsid w:val="00E517D6"/>
    <w:pPr>
      <w:ind w:left="720"/>
      <w:contextualSpacing/>
    </w:pPr>
  </w:style>
  <w:style w:type="paragraph" w:styleId="Textpoznpodarou">
    <w:name w:val="footnote text"/>
    <w:basedOn w:val="Normln"/>
    <w:link w:val="TextpoznpodarouChar"/>
    <w:uiPriority w:val="99"/>
    <w:semiHidden/>
    <w:unhideWhenUsed/>
    <w:rsid w:val="00D90060"/>
    <w:pPr>
      <w:spacing w:after="0" w:line="240" w:lineRule="auto"/>
    </w:pPr>
    <w:rPr>
      <w:sz w:val="20"/>
      <w:szCs w:val="20"/>
    </w:rPr>
  </w:style>
  <w:style w:type="character" w:customStyle="1" w:styleId="TextpoznpodarouChar">
    <w:name w:val="Text pozn. pod čarou Char"/>
    <w:link w:val="Textpoznpodarou"/>
    <w:uiPriority w:val="99"/>
    <w:semiHidden/>
    <w:rsid w:val="00D90060"/>
    <w:rPr>
      <w:sz w:val="20"/>
      <w:szCs w:val="20"/>
    </w:rPr>
  </w:style>
  <w:style w:type="character" w:styleId="Znakapoznpodarou">
    <w:name w:val="footnote reference"/>
    <w:uiPriority w:val="99"/>
    <w:semiHidden/>
    <w:unhideWhenUsed/>
    <w:rsid w:val="00D90060"/>
    <w:rPr>
      <w:vertAlign w:val="superscript"/>
    </w:rPr>
  </w:style>
  <w:style w:type="paragraph" w:styleId="Normlnweb">
    <w:name w:val="Normal (Web)"/>
    <w:basedOn w:val="Normln"/>
    <w:uiPriority w:val="99"/>
    <w:semiHidden/>
    <w:unhideWhenUsed/>
    <w:rsid w:val="00DD5425"/>
    <w:rPr>
      <w:rFonts w:ascii="Times New Roman" w:hAnsi="Times New Roman"/>
      <w:szCs w:val="24"/>
    </w:rPr>
  </w:style>
  <w:style w:type="paragraph" w:styleId="Zhlav">
    <w:name w:val="header"/>
    <w:basedOn w:val="Normln"/>
    <w:link w:val="ZhlavChar"/>
    <w:uiPriority w:val="99"/>
    <w:unhideWhenUsed/>
    <w:rsid w:val="007A6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6307"/>
  </w:style>
  <w:style w:type="paragraph" w:styleId="Zpat">
    <w:name w:val="footer"/>
    <w:basedOn w:val="Normln"/>
    <w:link w:val="ZpatChar"/>
    <w:unhideWhenUsed/>
    <w:rsid w:val="007A6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6307"/>
  </w:style>
  <w:style w:type="character" w:styleId="slostrnky">
    <w:name w:val="page number"/>
    <w:basedOn w:val="Standardnpsmoodstavce"/>
    <w:semiHidden/>
    <w:rsid w:val="007A6307"/>
  </w:style>
  <w:style w:type="paragraph" w:customStyle="1" w:styleId="Default">
    <w:name w:val="Default"/>
    <w:rsid w:val="005D4E04"/>
    <w:pPr>
      <w:autoSpaceDE w:val="0"/>
      <w:autoSpaceDN w:val="0"/>
      <w:adjustRightInd w:val="0"/>
    </w:pPr>
    <w:rPr>
      <w:rFonts w:ascii="Arial" w:hAnsi="Arial" w:cs="Arial"/>
      <w:color w:val="000000"/>
      <w:sz w:val="24"/>
      <w:szCs w:val="24"/>
      <w:lang w:val="en-US" w:eastAsia="en-US"/>
    </w:rPr>
  </w:style>
  <w:style w:type="table" w:styleId="Mkatabulky">
    <w:name w:val="Table Grid"/>
    <w:basedOn w:val="Normlntabulka"/>
    <w:uiPriority w:val="59"/>
    <w:rsid w:val="0027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C707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0C7070"/>
    <w:rPr>
      <w:rFonts w:ascii="Tahoma" w:hAnsi="Tahoma" w:cs="Tahoma"/>
      <w:sz w:val="16"/>
      <w:szCs w:val="16"/>
    </w:rPr>
  </w:style>
  <w:style w:type="paragraph" w:customStyle="1" w:styleId="pracovn1">
    <w:name w:val="pracovní 1"/>
    <w:basedOn w:val="Normln"/>
    <w:qFormat/>
    <w:rsid w:val="001D4539"/>
    <w:pPr>
      <w:numPr>
        <w:numId w:val="2"/>
      </w:numPr>
    </w:pPr>
    <w:rPr>
      <w:rFonts w:ascii="Arial" w:eastAsia="Times New Roman" w:hAnsi="Arial" w:cs="Arial"/>
      <w:b/>
    </w:rPr>
  </w:style>
  <w:style w:type="paragraph" w:customStyle="1" w:styleId="pracovn2">
    <w:name w:val="pracovní 2"/>
    <w:basedOn w:val="pracovn1"/>
    <w:qFormat/>
    <w:rsid w:val="001D4539"/>
    <w:pPr>
      <w:numPr>
        <w:numId w:val="3"/>
      </w:numPr>
    </w:pPr>
  </w:style>
  <w:style w:type="paragraph" w:customStyle="1" w:styleId="graf">
    <w:name w:val="graf"/>
    <w:basedOn w:val="Normln"/>
    <w:qFormat/>
    <w:rsid w:val="000D3F54"/>
    <w:pPr>
      <w:numPr>
        <w:numId w:val="4"/>
      </w:numPr>
      <w:spacing w:after="0" w:line="240" w:lineRule="auto"/>
    </w:pPr>
    <w:rPr>
      <w:rFonts w:cs="Arial"/>
    </w:rPr>
  </w:style>
  <w:style w:type="paragraph" w:customStyle="1" w:styleId="Textodstavce">
    <w:name w:val="Text odstavce"/>
    <w:basedOn w:val="Normln"/>
    <w:rsid w:val="00FD0D45"/>
    <w:pPr>
      <w:numPr>
        <w:numId w:val="5"/>
      </w:numPr>
      <w:tabs>
        <w:tab w:val="left" w:pos="851"/>
      </w:tabs>
      <w:spacing w:line="240" w:lineRule="auto"/>
      <w:outlineLvl w:val="6"/>
    </w:pPr>
    <w:rPr>
      <w:rFonts w:ascii="Arial" w:eastAsia="Times New Roman" w:hAnsi="Arial"/>
      <w:szCs w:val="20"/>
      <w:lang w:eastAsia="cs-CZ"/>
    </w:rPr>
  </w:style>
  <w:style w:type="paragraph" w:customStyle="1" w:styleId="Textbodu">
    <w:name w:val="Text bodu"/>
    <w:basedOn w:val="Normln"/>
    <w:rsid w:val="00FD0D45"/>
    <w:pPr>
      <w:numPr>
        <w:ilvl w:val="2"/>
        <w:numId w:val="5"/>
      </w:numPr>
      <w:spacing w:after="0" w:line="240" w:lineRule="auto"/>
      <w:outlineLvl w:val="8"/>
    </w:pPr>
    <w:rPr>
      <w:rFonts w:ascii="Arial" w:eastAsia="Times New Roman" w:hAnsi="Arial"/>
      <w:szCs w:val="20"/>
      <w:lang w:eastAsia="cs-CZ"/>
    </w:rPr>
  </w:style>
  <w:style w:type="paragraph" w:customStyle="1" w:styleId="Textpsmene">
    <w:name w:val="Text písmene"/>
    <w:basedOn w:val="Normln"/>
    <w:rsid w:val="00FD0D45"/>
    <w:pPr>
      <w:numPr>
        <w:ilvl w:val="1"/>
        <w:numId w:val="5"/>
      </w:numPr>
      <w:spacing w:after="0" w:line="240" w:lineRule="auto"/>
      <w:outlineLvl w:val="7"/>
    </w:pPr>
    <w:rPr>
      <w:rFonts w:ascii="Arial" w:eastAsia="Times New Roman" w:hAnsi="Arial"/>
      <w:szCs w:val="20"/>
      <w:lang w:eastAsia="cs-CZ"/>
    </w:rPr>
  </w:style>
  <w:style w:type="paragraph" w:customStyle="1" w:styleId="tabulka">
    <w:name w:val="tabulka"/>
    <w:basedOn w:val="Normln"/>
    <w:qFormat/>
    <w:rsid w:val="002F6AFA"/>
    <w:pPr>
      <w:numPr>
        <w:numId w:val="6"/>
      </w:numPr>
      <w:spacing w:after="0" w:line="240" w:lineRule="auto"/>
    </w:pPr>
    <w:rPr>
      <w:rFonts w:ascii="Arial" w:hAnsi="Arial" w:cs="Arial"/>
    </w:rPr>
  </w:style>
  <w:style w:type="paragraph" w:customStyle="1" w:styleId="pracovn3">
    <w:name w:val="pracovní 3"/>
    <w:basedOn w:val="Normln"/>
    <w:qFormat/>
    <w:rsid w:val="002F6AFA"/>
    <w:pPr>
      <w:spacing w:after="0" w:line="240" w:lineRule="auto"/>
    </w:pPr>
    <w:rPr>
      <w:rFonts w:ascii="Arial" w:eastAsia="Times New Roman" w:hAnsi="Arial" w:cs="Arial"/>
      <w:b/>
      <w:color w:val="000000"/>
      <w:lang w:eastAsia="cs-CZ"/>
    </w:rPr>
  </w:style>
  <w:style w:type="character" w:styleId="Hypertextovodkaz">
    <w:name w:val="Hyperlink"/>
    <w:uiPriority w:val="99"/>
    <w:rsid w:val="00CF5F0C"/>
    <w:rPr>
      <w:color w:val="0000FF"/>
      <w:u w:val="single"/>
    </w:rPr>
  </w:style>
  <w:style w:type="character" w:styleId="Sledovanodkaz">
    <w:name w:val="FollowedHyperlink"/>
    <w:uiPriority w:val="99"/>
    <w:semiHidden/>
    <w:unhideWhenUsed/>
    <w:rsid w:val="00CF5F0C"/>
    <w:rPr>
      <w:color w:val="800080"/>
      <w:u w:val="single"/>
    </w:rPr>
  </w:style>
  <w:style w:type="paragraph" w:styleId="Zkladntext">
    <w:name w:val="Body Text"/>
    <w:basedOn w:val="Normln"/>
    <w:link w:val="ZkladntextChar"/>
    <w:uiPriority w:val="99"/>
    <w:semiHidden/>
    <w:unhideWhenUsed/>
    <w:rsid w:val="00EF3B6E"/>
    <w:rPr>
      <w:szCs w:val="20"/>
    </w:rPr>
  </w:style>
  <w:style w:type="character" w:customStyle="1" w:styleId="ZkladntextChar">
    <w:name w:val="Základní text Char"/>
    <w:link w:val="Zkladntext"/>
    <w:uiPriority w:val="99"/>
    <w:semiHidden/>
    <w:rsid w:val="00EF3B6E"/>
    <w:rPr>
      <w:sz w:val="24"/>
    </w:rPr>
  </w:style>
  <w:style w:type="character" w:styleId="Odkaznakoment">
    <w:name w:val="annotation reference"/>
    <w:uiPriority w:val="99"/>
    <w:semiHidden/>
    <w:unhideWhenUsed/>
    <w:rsid w:val="00CA6B5D"/>
    <w:rPr>
      <w:sz w:val="16"/>
      <w:szCs w:val="16"/>
    </w:rPr>
  </w:style>
  <w:style w:type="paragraph" w:styleId="Textkomente">
    <w:name w:val="annotation text"/>
    <w:basedOn w:val="Normln"/>
    <w:link w:val="TextkomenteChar"/>
    <w:uiPriority w:val="99"/>
    <w:semiHidden/>
    <w:unhideWhenUsed/>
    <w:rsid w:val="00CA6B5D"/>
    <w:pPr>
      <w:spacing w:line="240" w:lineRule="auto"/>
    </w:pPr>
    <w:rPr>
      <w:sz w:val="20"/>
      <w:szCs w:val="20"/>
    </w:rPr>
  </w:style>
  <w:style w:type="character" w:customStyle="1" w:styleId="TextkomenteChar">
    <w:name w:val="Text komentáře Char"/>
    <w:link w:val="Textkomente"/>
    <w:uiPriority w:val="99"/>
    <w:semiHidden/>
    <w:rsid w:val="00CA6B5D"/>
    <w:rPr>
      <w:sz w:val="20"/>
      <w:szCs w:val="20"/>
    </w:rPr>
  </w:style>
  <w:style w:type="paragraph" w:styleId="Pedmtkomente">
    <w:name w:val="annotation subject"/>
    <w:basedOn w:val="Textkomente"/>
    <w:next w:val="Textkomente"/>
    <w:link w:val="PedmtkomenteChar"/>
    <w:uiPriority w:val="99"/>
    <w:semiHidden/>
    <w:unhideWhenUsed/>
    <w:rsid w:val="00CA6B5D"/>
    <w:rPr>
      <w:b/>
      <w:bCs/>
    </w:rPr>
  </w:style>
  <w:style w:type="character" w:customStyle="1" w:styleId="PedmtkomenteChar">
    <w:name w:val="Předmět komentáře Char"/>
    <w:link w:val="Pedmtkomente"/>
    <w:uiPriority w:val="99"/>
    <w:semiHidden/>
    <w:rsid w:val="00CA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537">
      <w:bodyDiv w:val="1"/>
      <w:marLeft w:val="0"/>
      <w:marRight w:val="0"/>
      <w:marTop w:val="0"/>
      <w:marBottom w:val="0"/>
      <w:divBdr>
        <w:top w:val="none" w:sz="0" w:space="0" w:color="auto"/>
        <w:left w:val="none" w:sz="0" w:space="0" w:color="auto"/>
        <w:bottom w:val="none" w:sz="0" w:space="0" w:color="auto"/>
        <w:right w:val="none" w:sz="0" w:space="0" w:color="auto"/>
      </w:divBdr>
    </w:div>
    <w:div w:id="45960178">
      <w:bodyDiv w:val="1"/>
      <w:marLeft w:val="0"/>
      <w:marRight w:val="0"/>
      <w:marTop w:val="0"/>
      <w:marBottom w:val="0"/>
      <w:divBdr>
        <w:top w:val="none" w:sz="0" w:space="0" w:color="auto"/>
        <w:left w:val="none" w:sz="0" w:space="0" w:color="auto"/>
        <w:bottom w:val="none" w:sz="0" w:space="0" w:color="auto"/>
        <w:right w:val="none" w:sz="0" w:space="0" w:color="auto"/>
      </w:divBdr>
    </w:div>
    <w:div w:id="67731416">
      <w:bodyDiv w:val="1"/>
      <w:marLeft w:val="0"/>
      <w:marRight w:val="0"/>
      <w:marTop w:val="0"/>
      <w:marBottom w:val="0"/>
      <w:divBdr>
        <w:top w:val="none" w:sz="0" w:space="0" w:color="auto"/>
        <w:left w:val="none" w:sz="0" w:space="0" w:color="auto"/>
        <w:bottom w:val="none" w:sz="0" w:space="0" w:color="auto"/>
        <w:right w:val="none" w:sz="0" w:space="0" w:color="auto"/>
      </w:divBdr>
      <w:divsChild>
        <w:div w:id="1785492605">
          <w:marLeft w:val="0"/>
          <w:marRight w:val="0"/>
          <w:marTop w:val="0"/>
          <w:marBottom w:val="0"/>
          <w:divBdr>
            <w:top w:val="none" w:sz="0" w:space="0" w:color="auto"/>
            <w:left w:val="none" w:sz="0" w:space="0" w:color="auto"/>
            <w:bottom w:val="none" w:sz="0" w:space="0" w:color="auto"/>
            <w:right w:val="none" w:sz="0" w:space="0" w:color="auto"/>
          </w:divBdr>
          <w:divsChild>
            <w:div w:id="2129272456">
              <w:marLeft w:val="0"/>
              <w:marRight w:val="0"/>
              <w:marTop w:val="0"/>
              <w:marBottom w:val="0"/>
              <w:divBdr>
                <w:top w:val="none" w:sz="0" w:space="0" w:color="auto"/>
                <w:left w:val="none" w:sz="0" w:space="0" w:color="auto"/>
                <w:bottom w:val="none" w:sz="0" w:space="0" w:color="auto"/>
                <w:right w:val="none" w:sz="0" w:space="0" w:color="auto"/>
              </w:divBdr>
              <w:divsChild>
                <w:div w:id="724791507">
                  <w:marLeft w:val="0"/>
                  <w:marRight w:val="0"/>
                  <w:marTop w:val="0"/>
                  <w:marBottom w:val="0"/>
                  <w:divBdr>
                    <w:top w:val="none" w:sz="0" w:space="0" w:color="auto"/>
                    <w:left w:val="none" w:sz="0" w:space="0" w:color="auto"/>
                    <w:bottom w:val="none" w:sz="0" w:space="0" w:color="auto"/>
                    <w:right w:val="none" w:sz="0" w:space="0" w:color="auto"/>
                  </w:divBdr>
                  <w:divsChild>
                    <w:div w:id="1669287442">
                      <w:marLeft w:val="0"/>
                      <w:marRight w:val="0"/>
                      <w:marTop w:val="0"/>
                      <w:marBottom w:val="0"/>
                      <w:divBdr>
                        <w:top w:val="none" w:sz="0" w:space="0" w:color="auto"/>
                        <w:left w:val="none" w:sz="0" w:space="0" w:color="auto"/>
                        <w:bottom w:val="none" w:sz="0" w:space="0" w:color="auto"/>
                        <w:right w:val="none" w:sz="0" w:space="0" w:color="auto"/>
                      </w:divBdr>
                      <w:divsChild>
                        <w:div w:id="1833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1907">
      <w:bodyDiv w:val="1"/>
      <w:marLeft w:val="0"/>
      <w:marRight w:val="0"/>
      <w:marTop w:val="0"/>
      <w:marBottom w:val="0"/>
      <w:divBdr>
        <w:top w:val="none" w:sz="0" w:space="0" w:color="auto"/>
        <w:left w:val="none" w:sz="0" w:space="0" w:color="auto"/>
        <w:bottom w:val="none" w:sz="0" w:space="0" w:color="auto"/>
        <w:right w:val="none" w:sz="0" w:space="0" w:color="auto"/>
      </w:divBdr>
      <w:divsChild>
        <w:div w:id="58330340">
          <w:marLeft w:val="0"/>
          <w:marRight w:val="0"/>
          <w:marTop w:val="0"/>
          <w:marBottom w:val="0"/>
          <w:divBdr>
            <w:top w:val="none" w:sz="0" w:space="0" w:color="auto"/>
            <w:left w:val="none" w:sz="0" w:space="0" w:color="auto"/>
            <w:bottom w:val="none" w:sz="0" w:space="0" w:color="auto"/>
            <w:right w:val="none" w:sz="0" w:space="0" w:color="auto"/>
          </w:divBdr>
          <w:divsChild>
            <w:div w:id="1643195505">
              <w:marLeft w:val="0"/>
              <w:marRight w:val="0"/>
              <w:marTop w:val="0"/>
              <w:marBottom w:val="0"/>
              <w:divBdr>
                <w:top w:val="none" w:sz="0" w:space="0" w:color="auto"/>
                <w:left w:val="none" w:sz="0" w:space="0" w:color="auto"/>
                <w:bottom w:val="none" w:sz="0" w:space="0" w:color="auto"/>
                <w:right w:val="none" w:sz="0" w:space="0" w:color="auto"/>
              </w:divBdr>
              <w:divsChild>
                <w:div w:id="749043426">
                  <w:marLeft w:val="0"/>
                  <w:marRight w:val="0"/>
                  <w:marTop w:val="0"/>
                  <w:marBottom w:val="0"/>
                  <w:divBdr>
                    <w:top w:val="none" w:sz="0" w:space="0" w:color="auto"/>
                    <w:left w:val="none" w:sz="0" w:space="0" w:color="auto"/>
                    <w:bottom w:val="none" w:sz="0" w:space="0" w:color="auto"/>
                    <w:right w:val="none" w:sz="0" w:space="0" w:color="auto"/>
                  </w:divBdr>
                  <w:divsChild>
                    <w:div w:id="96028878">
                      <w:marLeft w:val="0"/>
                      <w:marRight w:val="0"/>
                      <w:marTop w:val="0"/>
                      <w:marBottom w:val="0"/>
                      <w:divBdr>
                        <w:top w:val="none" w:sz="0" w:space="0" w:color="auto"/>
                        <w:left w:val="none" w:sz="0" w:space="0" w:color="auto"/>
                        <w:bottom w:val="none" w:sz="0" w:space="0" w:color="auto"/>
                        <w:right w:val="none" w:sz="0" w:space="0" w:color="auto"/>
                      </w:divBdr>
                      <w:divsChild>
                        <w:div w:id="960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0886">
      <w:bodyDiv w:val="1"/>
      <w:marLeft w:val="0"/>
      <w:marRight w:val="0"/>
      <w:marTop w:val="0"/>
      <w:marBottom w:val="0"/>
      <w:divBdr>
        <w:top w:val="none" w:sz="0" w:space="0" w:color="auto"/>
        <w:left w:val="none" w:sz="0" w:space="0" w:color="auto"/>
        <w:bottom w:val="none" w:sz="0" w:space="0" w:color="auto"/>
        <w:right w:val="none" w:sz="0" w:space="0" w:color="auto"/>
      </w:divBdr>
    </w:div>
    <w:div w:id="175191890">
      <w:bodyDiv w:val="1"/>
      <w:marLeft w:val="0"/>
      <w:marRight w:val="0"/>
      <w:marTop w:val="0"/>
      <w:marBottom w:val="0"/>
      <w:divBdr>
        <w:top w:val="none" w:sz="0" w:space="0" w:color="auto"/>
        <w:left w:val="none" w:sz="0" w:space="0" w:color="auto"/>
        <w:bottom w:val="none" w:sz="0" w:space="0" w:color="auto"/>
        <w:right w:val="none" w:sz="0" w:space="0" w:color="auto"/>
      </w:divBdr>
    </w:div>
    <w:div w:id="247889724">
      <w:bodyDiv w:val="1"/>
      <w:marLeft w:val="0"/>
      <w:marRight w:val="0"/>
      <w:marTop w:val="0"/>
      <w:marBottom w:val="0"/>
      <w:divBdr>
        <w:top w:val="none" w:sz="0" w:space="0" w:color="auto"/>
        <w:left w:val="none" w:sz="0" w:space="0" w:color="auto"/>
        <w:bottom w:val="none" w:sz="0" w:space="0" w:color="auto"/>
        <w:right w:val="none" w:sz="0" w:space="0" w:color="auto"/>
      </w:divBdr>
    </w:div>
    <w:div w:id="291447878">
      <w:bodyDiv w:val="1"/>
      <w:marLeft w:val="0"/>
      <w:marRight w:val="0"/>
      <w:marTop w:val="0"/>
      <w:marBottom w:val="0"/>
      <w:divBdr>
        <w:top w:val="none" w:sz="0" w:space="0" w:color="auto"/>
        <w:left w:val="none" w:sz="0" w:space="0" w:color="auto"/>
        <w:bottom w:val="none" w:sz="0" w:space="0" w:color="auto"/>
        <w:right w:val="none" w:sz="0" w:space="0" w:color="auto"/>
      </w:divBdr>
    </w:div>
    <w:div w:id="295720561">
      <w:bodyDiv w:val="1"/>
      <w:marLeft w:val="0"/>
      <w:marRight w:val="0"/>
      <w:marTop w:val="0"/>
      <w:marBottom w:val="0"/>
      <w:divBdr>
        <w:top w:val="none" w:sz="0" w:space="0" w:color="auto"/>
        <w:left w:val="none" w:sz="0" w:space="0" w:color="auto"/>
        <w:bottom w:val="none" w:sz="0" w:space="0" w:color="auto"/>
        <w:right w:val="none" w:sz="0" w:space="0" w:color="auto"/>
      </w:divBdr>
    </w:div>
    <w:div w:id="321545162">
      <w:bodyDiv w:val="1"/>
      <w:marLeft w:val="0"/>
      <w:marRight w:val="0"/>
      <w:marTop w:val="0"/>
      <w:marBottom w:val="0"/>
      <w:divBdr>
        <w:top w:val="none" w:sz="0" w:space="0" w:color="auto"/>
        <w:left w:val="none" w:sz="0" w:space="0" w:color="auto"/>
        <w:bottom w:val="none" w:sz="0" w:space="0" w:color="auto"/>
        <w:right w:val="none" w:sz="0" w:space="0" w:color="auto"/>
      </w:divBdr>
    </w:div>
    <w:div w:id="537162481">
      <w:bodyDiv w:val="1"/>
      <w:marLeft w:val="0"/>
      <w:marRight w:val="0"/>
      <w:marTop w:val="0"/>
      <w:marBottom w:val="0"/>
      <w:divBdr>
        <w:top w:val="none" w:sz="0" w:space="0" w:color="auto"/>
        <w:left w:val="none" w:sz="0" w:space="0" w:color="auto"/>
        <w:bottom w:val="none" w:sz="0" w:space="0" w:color="auto"/>
        <w:right w:val="none" w:sz="0" w:space="0" w:color="auto"/>
      </w:divBdr>
      <w:divsChild>
        <w:div w:id="28073674">
          <w:marLeft w:val="0"/>
          <w:marRight w:val="0"/>
          <w:marTop w:val="0"/>
          <w:marBottom w:val="0"/>
          <w:divBdr>
            <w:top w:val="none" w:sz="0" w:space="0" w:color="auto"/>
            <w:left w:val="none" w:sz="0" w:space="0" w:color="auto"/>
            <w:bottom w:val="none" w:sz="0" w:space="0" w:color="auto"/>
            <w:right w:val="none" w:sz="0" w:space="0" w:color="auto"/>
          </w:divBdr>
          <w:divsChild>
            <w:div w:id="115294216">
              <w:marLeft w:val="0"/>
              <w:marRight w:val="0"/>
              <w:marTop w:val="0"/>
              <w:marBottom w:val="0"/>
              <w:divBdr>
                <w:top w:val="none" w:sz="0" w:space="0" w:color="auto"/>
                <w:left w:val="none" w:sz="0" w:space="0" w:color="auto"/>
                <w:bottom w:val="none" w:sz="0" w:space="0" w:color="auto"/>
                <w:right w:val="none" w:sz="0" w:space="0" w:color="auto"/>
              </w:divBdr>
              <w:divsChild>
                <w:div w:id="1791975891">
                  <w:marLeft w:val="0"/>
                  <w:marRight w:val="0"/>
                  <w:marTop w:val="0"/>
                  <w:marBottom w:val="0"/>
                  <w:divBdr>
                    <w:top w:val="none" w:sz="0" w:space="0" w:color="auto"/>
                    <w:left w:val="none" w:sz="0" w:space="0" w:color="auto"/>
                    <w:bottom w:val="none" w:sz="0" w:space="0" w:color="auto"/>
                    <w:right w:val="none" w:sz="0" w:space="0" w:color="auto"/>
                  </w:divBdr>
                  <w:divsChild>
                    <w:div w:id="1006248164">
                      <w:marLeft w:val="0"/>
                      <w:marRight w:val="0"/>
                      <w:marTop w:val="0"/>
                      <w:marBottom w:val="0"/>
                      <w:divBdr>
                        <w:top w:val="none" w:sz="0" w:space="0" w:color="auto"/>
                        <w:left w:val="none" w:sz="0" w:space="0" w:color="auto"/>
                        <w:bottom w:val="none" w:sz="0" w:space="0" w:color="auto"/>
                        <w:right w:val="none" w:sz="0" w:space="0" w:color="auto"/>
                      </w:divBdr>
                      <w:divsChild>
                        <w:div w:id="722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62884">
      <w:bodyDiv w:val="1"/>
      <w:marLeft w:val="0"/>
      <w:marRight w:val="0"/>
      <w:marTop w:val="0"/>
      <w:marBottom w:val="0"/>
      <w:divBdr>
        <w:top w:val="none" w:sz="0" w:space="0" w:color="auto"/>
        <w:left w:val="none" w:sz="0" w:space="0" w:color="auto"/>
        <w:bottom w:val="none" w:sz="0" w:space="0" w:color="auto"/>
        <w:right w:val="none" w:sz="0" w:space="0" w:color="auto"/>
      </w:divBdr>
    </w:div>
    <w:div w:id="607782922">
      <w:bodyDiv w:val="1"/>
      <w:marLeft w:val="0"/>
      <w:marRight w:val="0"/>
      <w:marTop w:val="0"/>
      <w:marBottom w:val="0"/>
      <w:divBdr>
        <w:top w:val="none" w:sz="0" w:space="0" w:color="auto"/>
        <w:left w:val="none" w:sz="0" w:space="0" w:color="auto"/>
        <w:bottom w:val="none" w:sz="0" w:space="0" w:color="auto"/>
        <w:right w:val="none" w:sz="0" w:space="0" w:color="auto"/>
      </w:divBdr>
      <w:divsChild>
        <w:div w:id="515196907">
          <w:marLeft w:val="0"/>
          <w:marRight w:val="0"/>
          <w:marTop w:val="0"/>
          <w:marBottom w:val="0"/>
          <w:divBdr>
            <w:top w:val="none" w:sz="0" w:space="0" w:color="auto"/>
            <w:left w:val="none" w:sz="0" w:space="0" w:color="auto"/>
            <w:bottom w:val="none" w:sz="0" w:space="0" w:color="auto"/>
            <w:right w:val="none" w:sz="0" w:space="0" w:color="auto"/>
          </w:divBdr>
          <w:divsChild>
            <w:div w:id="1817258141">
              <w:marLeft w:val="0"/>
              <w:marRight w:val="0"/>
              <w:marTop w:val="0"/>
              <w:marBottom w:val="0"/>
              <w:divBdr>
                <w:top w:val="none" w:sz="0" w:space="0" w:color="auto"/>
                <w:left w:val="none" w:sz="0" w:space="0" w:color="auto"/>
                <w:bottom w:val="none" w:sz="0" w:space="0" w:color="auto"/>
                <w:right w:val="none" w:sz="0" w:space="0" w:color="auto"/>
              </w:divBdr>
              <w:divsChild>
                <w:div w:id="926764300">
                  <w:marLeft w:val="0"/>
                  <w:marRight w:val="0"/>
                  <w:marTop w:val="0"/>
                  <w:marBottom w:val="0"/>
                  <w:divBdr>
                    <w:top w:val="none" w:sz="0" w:space="0" w:color="auto"/>
                    <w:left w:val="none" w:sz="0" w:space="0" w:color="auto"/>
                    <w:bottom w:val="none" w:sz="0" w:space="0" w:color="auto"/>
                    <w:right w:val="none" w:sz="0" w:space="0" w:color="auto"/>
                  </w:divBdr>
                  <w:divsChild>
                    <w:div w:id="1247570486">
                      <w:marLeft w:val="0"/>
                      <w:marRight w:val="0"/>
                      <w:marTop w:val="0"/>
                      <w:marBottom w:val="0"/>
                      <w:divBdr>
                        <w:top w:val="none" w:sz="0" w:space="0" w:color="auto"/>
                        <w:left w:val="none" w:sz="0" w:space="0" w:color="auto"/>
                        <w:bottom w:val="none" w:sz="0" w:space="0" w:color="auto"/>
                        <w:right w:val="none" w:sz="0" w:space="0" w:color="auto"/>
                      </w:divBdr>
                      <w:divsChild>
                        <w:div w:id="2414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521410">
      <w:bodyDiv w:val="1"/>
      <w:marLeft w:val="0"/>
      <w:marRight w:val="0"/>
      <w:marTop w:val="0"/>
      <w:marBottom w:val="0"/>
      <w:divBdr>
        <w:top w:val="none" w:sz="0" w:space="0" w:color="auto"/>
        <w:left w:val="none" w:sz="0" w:space="0" w:color="auto"/>
        <w:bottom w:val="none" w:sz="0" w:space="0" w:color="auto"/>
        <w:right w:val="none" w:sz="0" w:space="0" w:color="auto"/>
      </w:divBdr>
    </w:div>
    <w:div w:id="833185696">
      <w:bodyDiv w:val="1"/>
      <w:marLeft w:val="0"/>
      <w:marRight w:val="0"/>
      <w:marTop w:val="0"/>
      <w:marBottom w:val="0"/>
      <w:divBdr>
        <w:top w:val="none" w:sz="0" w:space="0" w:color="auto"/>
        <w:left w:val="none" w:sz="0" w:space="0" w:color="auto"/>
        <w:bottom w:val="none" w:sz="0" w:space="0" w:color="auto"/>
        <w:right w:val="none" w:sz="0" w:space="0" w:color="auto"/>
      </w:divBdr>
    </w:div>
    <w:div w:id="1183200471">
      <w:bodyDiv w:val="1"/>
      <w:marLeft w:val="0"/>
      <w:marRight w:val="0"/>
      <w:marTop w:val="0"/>
      <w:marBottom w:val="0"/>
      <w:divBdr>
        <w:top w:val="none" w:sz="0" w:space="0" w:color="auto"/>
        <w:left w:val="none" w:sz="0" w:space="0" w:color="auto"/>
        <w:bottom w:val="none" w:sz="0" w:space="0" w:color="auto"/>
        <w:right w:val="none" w:sz="0" w:space="0" w:color="auto"/>
      </w:divBdr>
    </w:div>
    <w:div w:id="1300695562">
      <w:bodyDiv w:val="1"/>
      <w:marLeft w:val="0"/>
      <w:marRight w:val="0"/>
      <w:marTop w:val="0"/>
      <w:marBottom w:val="0"/>
      <w:divBdr>
        <w:top w:val="none" w:sz="0" w:space="0" w:color="auto"/>
        <w:left w:val="none" w:sz="0" w:space="0" w:color="auto"/>
        <w:bottom w:val="none" w:sz="0" w:space="0" w:color="auto"/>
        <w:right w:val="none" w:sz="0" w:space="0" w:color="auto"/>
      </w:divBdr>
    </w:div>
    <w:div w:id="1365861356">
      <w:bodyDiv w:val="1"/>
      <w:marLeft w:val="0"/>
      <w:marRight w:val="0"/>
      <w:marTop w:val="0"/>
      <w:marBottom w:val="0"/>
      <w:divBdr>
        <w:top w:val="none" w:sz="0" w:space="0" w:color="auto"/>
        <w:left w:val="none" w:sz="0" w:space="0" w:color="auto"/>
        <w:bottom w:val="none" w:sz="0" w:space="0" w:color="auto"/>
        <w:right w:val="none" w:sz="0" w:space="0" w:color="auto"/>
      </w:divBdr>
      <w:divsChild>
        <w:div w:id="2120711883">
          <w:marLeft w:val="0"/>
          <w:marRight w:val="0"/>
          <w:marTop w:val="0"/>
          <w:marBottom w:val="0"/>
          <w:divBdr>
            <w:top w:val="none" w:sz="0" w:space="0" w:color="auto"/>
            <w:left w:val="none" w:sz="0" w:space="0" w:color="auto"/>
            <w:bottom w:val="none" w:sz="0" w:space="0" w:color="auto"/>
            <w:right w:val="none" w:sz="0" w:space="0" w:color="auto"/>
          </w:divBdr>
          <w:divsChild>
            <w:div w:id="1941404490">
              <w:marLeft w:val="0"/>
              <w:marRight w:val="0"/>
              <w:marTop w:val="0"/>
              <w:marBottom w:val="0"/>
              <w:divBdr>
                <w:top w:val="none" w:sz="0" w:space="0" w:color="auto"/>
                <w:left w:val="none" w:sz="0" w:space="0" w:color="auto"/>
                <w:bottom w:val="none" w:sz="0" w:space="0" w:color="auto"/>
                <w:right w:val="none" w:sz="0" w:space="0" w:color="auto"/>
              </w:divBdr>
              <w:divsChild>
                <w:div w:id="601377213">
                  <w:marLeft w:val="0"/>
                  <w:marRight w:val="0"/>
                  <w:marTop w:val="0"/>
                  <w:marBottom w:val="0"/>
                  <w:divBdr>
                    <w:top w:val="none" w:sz="0" w:space="0" w:color="auto"/>
                    <w:left w:val="none" w:sz="0" w:space="0" w:color="auto"/>
                    <w:bottom w:val="none" w:sz="0" w:space="0" w:color="auto"/>
                    <w:right w:val="none" w:sz="0" w:space="0" w:color="auto"/>
                  </w:divBdr>
                  <w:divsChild>
                    <w:div w:id="1101873367">
                      <w:marLeft w:val="0"/>
                      <w:marRight w:val="0"/>
                      <w:marTop w:val="0"/>
                      <w:marBottom w:val="0"/>
                      <w:divBdr>
                        <w:top w:val="none" w:sz="0" w:space="0" w:color="auto"/>
                        <w:left w:val="none" w:sz="0" w:space="0" w:color="auto"/>
                        <w:bottom w:val="none" w:sz="0" w:space="0" w:color="auto"/>
                        <w:right w:val="none" w:sz="0" w:space="0" w:color="auto"/>
                      </w:divBdr>
                      <w:divsChild>
                        <w:div w:id="14531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10219">
      <w:bodyDiv w:val="1"/>
      <w:marLeft w:val="0"/>
      <w:marRight w:val="0"/>
      <w:marTop w:val="0"/>
      <w:marBottom w:val="0"/>
      <w:divBdr>
        <w:top w:val="none" w:sz="0" w:space="0" w:color="auto"/>
        <w:left w:val="none" w:sz="0" w:space="0" w:color="auto"/>
        <w:bottom w:val="none" w:sz="0" w:space="0" w:color="auto"/>
        <w:right w:val="none" w:sz="0" w:space="0" w:color="auto"/>
      </w:divBdr>
    </w:div>
    <w:div w:id="1493177852">
      <w:bodyDiv w:val="1"/>
      <w:marLeft w:val="0"/>
      <w:marRight w:val="0"/>
      <w:marTop w:val="0"/>
      <w:marBottom w:val="0"/>
      <w:divBdr>
        <w:top w:val="none" w:sz="0" w:space="0" w:color="auto"/>
        <w:left w:val="none" w:sz="0" w:space="0" w:color="auto"/>
        <w:bottom w:val="none" w:sz="0" w:space="0" w:color="auto"/>
        <w:right w:val="none" w:sz="0" w:space="0" w:color="auto"/>
      </w:divBdr>
      <w:divsChild>
        <w:div w:id="1704289519">
          <w:marLeft w:val="0"/>
          <w:marRight w:val="0"/>
          <w:marTop w:val="0"/>
          <w:marBottom w:val="0"/>
          <w:divBdr>
            <w:top w:val="none" w:sz="0" w:space="0" w:color="auto"/>
            <w:left w:val="none" w:sz="0" w:space="0" w:color="auto"/>
            <w:bottom w:val="none" w:sz="0" w:space="0" w:color="auto"/>
            <w:right w:val="none" w:sz="0" w:space="0" w:color="auto"/>
          </w:divBdr>
          <w:divsChild>
            <w:div w:id="1614169169">
              <w:marLeft w:val="0"/>
              <w:marRight w:val="0"/>
              <w:marTop w:val="0"/>
              <w:marBottom w:val="0"/>
              <w:divBdr>
                <w:top w:val="none" w:sz="0" w:space="0" w:color="auto"/>
                <w:left w:val="none" w:sz="0" w:space="0" w:color="auto"/>
                <w:bottom w:val="none" w:sz="0" w:space="0" w:color="auto"/>
                <w:right w:val="none" w:sz="0" w:space="0" w:color="auto"/>
              </w:divBdr>
              <w:divsChild>
                <w:div w:id="1083799773">
                  <w:marLeft w:val="0"/>
                  <w:marRight w:val="0"/>
                  <w:marTop w:val="0"/>
                  <w:marBottom w:val="0"/>
                  <w:divBdr>
                    <w:top w:val="none" w:sz="0" w:space="0" w:color="auto"/>
                    <w:left w:val="none" w:sz="0" w:space="0" w:color="auto"/>
                    <w:bottom w:val="none" w:sz="0" w:space="0" w:color="auto"/>
                    <w:right w:val="none" w:sz="0" w:space="0" w:color="auto"/>
                  </w:divBdr>
                  <w:divsChild>
                    <w:div w:id="816382801">
                      <w:marLeft w:val="0"/>
                      <w:marRight w:val="0"/>
                      <w:marTop w:val="0"/>
                      <w:marBottom w:val="0"/>
                      <w:divBdr>
                        <w:top w:val="none" w:sz="0" w:space="0" w:color="auto"/>
                        <w:left w:val="none" w:sz="0" w:space="0" w:color="auto"/>
                        <w:bottom w:val="none" w:sz="0" w:space="0" w:color="auto"/>
                        <w:right w:val="none" w:sz="0" w:space="0" w:color="auto"/>
                      </w:divBdr>
                      <w:divsChild>
                        <w:div w:id="16418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459941">
      <w:bodyDiv w:val="1"/>
      <w:marLeft w:val="0"/>
      <w:marRight w:val="0"/>
      <w:marTop w:val="0"/>
      <w:marBottom w:val="0"/>
      <w:divBdr>
        <w:top w:val="none" w:sz="0" w:space="0" w:color="auto"/>
        <w:left w:val="none" w:sz="0" w:space="0" w:color="auto"/>
        <w:bottom w:val="none" w:sz="0" w:space="0" w:color="auto"/>
        <w:right w:val="none" w:sz="0" w:space="0" w:color="auto"/>
      </w:divBdr>
      <w:divsChild>
        <w:div w:id="1140995712">
          <w:marLeft w:val="0"/>
          <w:marRight w:val="0"/>
          <w:marTop w:val="0"/>
          <w:marBottom w:val="0"/>
          <w:divBdr>
            <w:top w:val="none" w:sz="0" w:space="0" w:color="auto"/>
            <w:left w:val="none" w:sz="0" w:space="0" w:color="auto"/>
            <w:bottom w:val="none" w:sz="0" w:space="0" w:color="auto"/>
            <w:right w:val="none" w:sz="0" w:space="0" w:color="auto"/>
          </w:divBdr>
          <w:divsChild>
            <w:div w:id="1783307855">
              <w:marLeft w:val="0"/>
              <w:marRight w:val="0"/>
              <w:marTop w:val="0"/>
              <w:marBottom w:val="0"/>
              <w:divBdr>
                <w:top w:val="none" w:sz="0" w:space="0" w:color="auto"/>
                <w:left w:val="none" w:sz="0" w:space="0" w:color="auto"/>
                <w:bottom w:val="none" w:sz="0" w:space="0" w:color="auto"/>
                <w:right w:val="none" w:sz="0" w:space="0" w:color="auto"/>
              </w:divBdr>
              <w:divsChild>
                <w:div w:id="1728645947">
                  <w:marLeft w:val="0"/>
                  <w:marRight w:val="0"/>
                  <w:marTop w:val="0"/>
                  <w:marBottom w:val="0"/>
                  <w:divBdr>
                    <w:top w:val="none" w:sz="0" w:space="0" w:color="auto"/>
                    <w:left w:val="none" w:sz="0" w:space="0" w:color="auto"/>
                    <w:bottom w:val="none" w:sz="0" w:space="0" w:color="auto"/>
                    <w:right w:val="none" w:sz="0" w:space="0" w:color="auto"/>
                  </w:divBdr>
                  <w:divsChild>
                    <w:div w:id="92630907">
                      <w:marLeft w:val="0"/>
                      <w:marRight w:val="0"/>
                      <w:marTop w:val="0"/>
                      <w:marBottom w:val="0"/>
                      <w:divBdr>
                        <w:top w:val="none" w:sz="0" w:space="0" w:color="auto"/>
                        <w:left w:val="none" w:sz="0" w:space="0" w:color="auto"/>
                        <w:bottom w:val="none" w:sz="0" w:space="0" w:color="auto"/>
                        <w:right w:val="none" w:sz="0" w:space="0" w:color="auto"/>
                      </w:divBdr>
                      <w:divsChild>
                        <w:div w:id="1592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11025">
      <w:bodyDiv w:val="1"/>
      <w:marLeft w:val="0"/>
      <w:marRight w:val="0"/>
      <w:marTop w:val="0"/>
      <w:marBottom w:val="0"/>
      <w:divBdr>
        <w:top w:val="none" w:sz="0" w:space="0" w:color="auto"/>
        <w:left w:val="none" w:sz="0" w:space="0" w:color="auto"/>
        <w:bottom w:val="none" w:sz="0" w:space="0" w:color="auto"/>
        <w:right w:val="none" w:sz="0" w:space="0" w:color="auto"/>
      </w:divBdr>
      <w:divsChild>
        <w:div w:id="313683641">
          <w:marLeft w:val="0"/>
          <w:marRight w:val="0"/>
          <w:marTop w:val="0"/>
          <w:marBottom w:val="0"/>
          <w:divBdr>
            <w:top w:val="none" w:sz="0" w:space="0" w:color="auto"/>
            <w:left w:val="none" w:sz="0" w:space="0" w:color="auto"/>
            <w:bottom w:val="none" w:sz="0" w:space="0" w:color="auto"/>
            <w:right w:val="none" w:sz="0" w:space="0" w:color="auto"/>
          </w:divBdr>
          <w:divsChild>
            <w:div w:id="2053848883">
              <w:marLeft w:val="0"/>
              <w:marRight w:val="0"/>
              <w:marTop w:val="0"/>
              <w:marBottom w:val="0"/>
              <w:divBdr>
                <w:top w:val="none" w:sz="0" w:space="0" w:color="auto"/>
                <w:left w:val="none" w:sz="0" w:space="0" w:color="auto"/>
                <w:bottom w:val="none" w:sz="0" w:space="0" w:color="auto"/>
                <w:right w:val="none" w:sz="0" w:space="0" w:color="auto"/>
              </w:divBdr>
              <w:divsChild>
                <w:div w:id="1077478627">
                  <w:marLeft w:val="0"/>
                  <w:marRight w:val="0"/>
                  <w:marTop w:val="0"/>
                  <w:marBottom w:val="0"/>
                  <w:divBdr>
                    <w:top w:val="none" w:sz="0" w:space="0" w:color="auto"/>
                    <w:left w:val="none" w:sz="0" w:space="0" w:color="auto"/>
                    <w:bottom w:val="none" w:sz="0" w:space="0" w:color="auto"/>
                    <w:right w:val="none" w:sz="0" w:space="0" w:color="auto"/>
                  </w:divBdr>
                  <w:divsChild>
                    <w:div w:id="816189549">
                      <w:marLeft w:val="0"/>
                      <w:marRight w:val="0"/>
                      <w:marTop w:val="0"/>
                      <w:marBottom w:val="0"/>
                      <w:divBdr>
                        <w:top w:val="none" w:sz="0" w:space="0" w:color="auto"/>
                        <w:left w:val="none" w:sz="0" w:space="0" w:color="auto"/>
                        <w:bottom w:val="none" w:sz="0" w:space="0" w:color="auto"/>
                        <w:right w:val="none" w:sz="0" w:space="0" w:color="auto"/>
                      </w:divBdr>
                      <w:divsChild>
                        <w:div w:id="19007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59964">
      <w:bodyDiv w:val="1"/>
      <w:marLeft w:val="0"/>
      <w:marRight w:val="0"/>
      <w:marTop w:val="0"/>
      <w:marBottom w:val="0"/>
      <w:divBdr>
        <w:top w:val="none" w:sz="0" w:space="0" w:color="auto"/>
        <w:left w:val="none" w:sz="0" w:space="0" w:color="auto"/>
        <w:bottom w:val="none" w:sz="0" w:space="0" w:color="auto"/>
        <w:right w:val="none" w:sz="0" w:space="0" w:color="auto"/>
      </w:divBdr>
      <w:divsChild>
        <w:div w:id="672221228">
          <w:marLeft w:val="0"/>
          <w:marRight w:val="0"/>
          <w:marTop w:val="0"/>
          <w:marBottom w:val="0"/>
          <w:divBdr>
            <w:top w:val="none" w:sz="0" w:space="0" w:color="auto"/>
            <w:left w:val="none" w:sz="0" w:space="0" w:color="auto"/>
            <w:bottom w:val="none" w:sz="0" w:space="0" w:color="auto"/>
            <w:right w:val="none" w:sz="0" w:space="0" w:color="auto"/>
          </w:divBdr>
          <w:divsChild>
            <w:div w:id="1911504771">
              <w:marLeft w:val="0"/>
              <w:marRight w:val="0"/>
              <w:marTop w:val="0"/>
              <w:marBottom w:val="0"/>
              <w:divBdr>
                <w:top w:val="none" w:sz="0" w:space="0" w:color="auto"/>
                <w:left w:val="none" w:sz="0" w:space="0" w:color="auto"/>
                <w:bottom w:val="none" w:sz="0" w:space="0" w:color="auto"/>
                <w:right w:val="none" w:sz="0" w:space="0" w:color="auto"/>
              </w:divBdr>
              <w:divsChild>
                <w:div w:id="805241479">
                  <w:marLeft w:val="0"/>
                  <w:marRight w:val="0"/>
                  <w:marTop w:val="0"/>
                  <w:marBottom w:val="0"/>
                  <w:divBdr>
                    <w:top w:val="none" w:sz="0" w:space="0" w:color="auto"/>
                    <w:left w:val="none" w:sz="0" w:space="0" w:color="auto"/>
                    <w:bottom w:val="none" w:sz="0" w:space="0" w:color="auto"/>
                    <w:right w:val="none" w:sz="0" w:space="0" w:color="auto"/>
                  </w:divBdr>
                  <w:divsChild>
                    <w:div w:id="1396970592">
                      <w:marLeft w:val="0"/>
                      <w:marRight w:val="0"/>
                      <w:marTop w:val="0"/>
                      <w:marBottom w:val="0"/>
                      <w:divBdr>
                        <w:top w:val="none" w:sz="0" w:space="0" w:color="auto"/>
                        <w:left w:val="none" w:sz="0" w:space="0" w:color="auto"/>
                        <w:bottom w:val="none" w:sz="0" w:space="0" w:color="auto"/>
                        <w:right w:val="none" w:sz="0" w:space="0" w:color="auto"/>
                      </w:divBdr>
                      <w:divsChild>
                        <w:div w:id="1910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9166">
      <w:bodyDiv w:val="1"/>
      <w:marLeft w:val="0"/>
      <w:marRight w:val="0"/>
      <w:marTop w:val="0"/>
      <w:marBottom w:val="0"/>
      <w:divBdr>
        <w:top w:val="none" w:sz="0" w:space="0" w:color="auto"/>
        <w:left w:val="none" w:sz="0" w:space="0" w:color="auto"/>
        <w:bottom w:val="none" w:sz="0" w:space="0" w:color="auto"/>
        <w:right w:val="none" w:sz="0" w:space="0" w:color="auto"/>
      </w:divBdr>
      <w:divsChild>
        <w:div w:id="1264611709">
          <w:marLeft w:val="0"/>
          <w:marRight w:val="0"/>
          <w:marTop w:val="0"/>
          <w:marBottom w:val="0"/>
          <w:divBdr>
            <w:top w:val="none" w:sz="0" w:space="0" w:color="auto"/>
            <w:left w:val="none" w:sz="0" w:space="0" w:color="auto"/>
            <w:bottom w:val="none" w:sz="0" w:space="0" w:color="auto"/>
            <w:right w:val="none" w:sz="0" w:space="0" w:color="auto"/>
          </w:divBdr>
          <w:divsChild>
            <w:div w:id="1793212569">
              <w:marLeft w:val="0"/>
              <w:marRight w:val="0"/>
              <w:marTop w:val="0"/>
              <w:marBottom w:val="0"/>
              <w:divBdr>
                <w:top w:val="none" w:sz="0" w:space="0" w:color="auto"/>
                <w:left w:val="none" w:sz="0" w:space="0" w:color="auto"/>
                <w:bottom w:val="none" w:sz="0" w:space="0" w:color="auto"/>
                <w:right w:val="none" w:sz="0" w:space="0" w:color="auto"/>
              </w:divBdr>
              <w:divsChild>
                <w:div w:id="1332877386">
                  <w:marLeft w:val="0"/>
                  <w:marRight w:val="0"/>
                  <w:marTop w:val="0"/>
                  <w:marBottom w:val="0"/>
                  <w:divBdr>
                    <w:top w:val="none" w:sz="0" w:space="0" w:color="auto"/>
                    <w:left w:val="none" w:sz="0" w:space="0" w:color="auto"/>
                    <w:bottom w:val="none" w:sz="0" w:space="0" w:color="auto"/>
                    <w:right w:val="none" w:sz="0" w:space="0" w:color="auto"/>
                  </w:divBdr>
                  <w:divsChild>
                    <w:div w:id="1033919350">
                      <w:marLeft w:val="0"/>
                      <w:marRight w:val="0"/>
                      <w:marTop w:val="0"/>
                      <w:marBottom w:val="0"/>
                      <w:divBdr>
                        <w:top w:val="none" w:sz="0" w:space="0" w:color="auto"/>
                        <w:left w:val="none" w:sz="0" w:space="0" w:color="auto"/>
                        <w:bottom w:val="none" w:sz="0" w:space="0" w:color="auto"/>
                        <w:right w:val="none" w:sz="0" w:space="0" w:color="auto"/>
                      </w:divBdr>
                      <w:divsChild>
                        <w:div w:id="19429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976970">
      <w:bodyDiv w:val="1"/>
      <w:marLeft w:val="0"/>
      <w:marRight w:val="0"/>
      <w:marTop w:val="0"/>
      <w:marBottom w:val="0"/>
      <w:divBdr>
        <w:top w:val="none" w:sz="0" w:space="0" w:color="auto"/>
        <w:left w:val="none" w:sz="0" w:space="0" w:color="auto"/>
        <w:bottom w:val="none" w:sz="0" w:space="0" w:color="auto"/>
        <w:right w:val="none" w:sz="0" w:space="0" w:color="auto"/>
      </w:divBdr>
    </w:div>
    <w:div w:id="1768231784">
      <w:bodyDiv w:val="1"/>
      <w:marLeft w:val="0"/>
      <w:marRight w:val="0"/>
      <w:marTop w:val="0"/>
      <w:marBottom w:val="0"/>
      <w:divBdr>
        <w:top w:val="none" w:sz="0" w:space="0" w:color="auto"/>
        <w:left w:val="none" w:sz="0" w:space="0" w:color="auto"/>
        <w:bottom w:val="none" w:sz="0" w:space="0" w:color="auto"/>
        <w:right w:val="none" w:sz="0" w:space="0" w:color="auto"/>
      </w:divBdr>
      <w:divsChild>
        <w:div w:id="1622763009">
          <w:marLeft w:val="0"/>
          <w:marRight w:val="0"/>
          <w:marTop w:val="0"/>
          <w:marBottom w:val="0"/>
          <w:divBdr>
            <w:top w:val="none" w:sz="0" w:space="0" w:color="auto"/>
            <w:left w:val="none" w:sz="0" w:space="0" w:color="auto"/>
            <w:bottom w:val="none" w:sz="0" w:space="0" w:color="auto"/>
            <w:right w:val="none" w:sz="0" w:space="0" w:color="auto"/>
          </w:divBdr>
          <w:divsChild>
            <w:div w:id="672142640">
              <w:marLeft w:val="0"/>
              <w:marRight w:val="0"/>
              <w:marTop w:val="0"/>
              <w:marBottom w:val="0"/>
              <w:divBdr>
                <w:top w:val="none" w:sz="0" w:space="0" w:color="auto"/>
                <w:left w:val="none" w:sz="0" w:space="0" w:color="auto"/>
                <w:bottom w:val="none" w:sz="0" w:space="0" w:color="auto"/>
                <w:right w:val="none" w:sz="0" w:space="0" w:color="auto"/>
              </w:divBdr>
              <w:divsChild>
                <w:div w:id="61104393">
                  <w:marLeft w:val="0"/>
                  <w:marRight w:val="0"/>
                  <w:marTop w:val="0"/>
                  <w:marBottom w:val="0"/>
                  <w:divBdr>
                    <w:top w:val="none" w:sz="0" w:space="0" w:color="auto"/>
                    <w:left w:val="none" w:sz="0" w:space="0" w:color="auto"/>
                    <w:bottom w:val="none" w:sz="0" w:space="0" w:color="auto"/>
                    <w:right w:val="none" w:sz="0" w:space="0" w:color="auto"/>
                  </w:divBdr>
                  <w:divsChild>
                    <w:div w:id="1931961241">
                      <w:marLeft w:val="0"/>
                      <w:marRight w:val="0"/>
                      <w:marTop w:val="0"/>
                      <w:marBottom w:val="0"/>
                      <w:divBdr>
                        <w:top w:val="none" w:sz="0" w:space="0" w:color="auto"/>
                        <w:left w:val="none" w:sz="0" w:space="0" w:color="auto"/>
                        <w:bottom w:val="none" w:sz="0" w:space="0" w:color="auto"/>
                        <w:right w:val="none" w:sz="0" w:space="0" w:color="auto"/>
                      </w:divBdr>
                      <w:divsChild>
                        <w:div w:id="89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2414">
      <w:bodyDiv w:val="1"/>
      <w:marLeft w:val="0"/>
      <w:marRight w:val="0"/>
      <w:marTop w:val="0"/>
      <w:marBottom w:val="0"/>
      <w:divBdr>
        <w:top w:val="none" w:sz="0" w:space="0" w:color="auto"/>
        <w:left w:val="none" w:sz="0" w:space="0" w:color="auto"/>
        <w:bottom w:val="none" w:sz="0" w:space="0" w:color="auto"/>
        <w:right w:val="none" w:sz="0" w:space="0" w:color="auto"/>
      </w:divBdr>
      <w:divsChild>
        <w:div w:id="39522705">
          <w:marLeft w:val="0"/>
          <w:marRight w:val="0"/>
          <w:marTop w:val="0"/>
          <w:marBottom w:val="0"/>
          <w:divBdr>
            <w:top w:val="none" w:sz="0" w:space="0" w:color="auto"/>
            <w:left w:val="none" w:sz="0" w:space="0" w:color="auto"/>
            <w:bottom w:val="none" w:sz="0" w:space="0" w:color="auto"/>
            <w:right w:val="none" w:sz="0" w:space="0" w:color="auto"/>
          </w:divBdr>
        </w:div>
        <w:div w:id="981427132">
          <w:marLeft w:val="0"/>
          <w:marRight w:val="0"/>
          <w:marTop w:val="0"/>
          <w:marBottom w:val="0"/>
          <w:divBdr>
            <w:top w:val="none" w:sz="0" w:space="0" w:color="auto"/>
            <w:left w:val="none" w:sz="0" w:space="0" w:color="auto"/>
            <w:bottom w:val="none" w:sz="0" w:space="0" w:color="auto"/>
            <w:right w:val="none" w:sz="0" w:space="0" w:color="auto"/>
          </w:divBdr>
        </w:div>
        <w:div w:id="1076442986">
          <w:marLeft w:val="0"/>
          <w:marRight w:val="0"/>
          <w:marTop w:val="0"/>
          <w:marBottom w:val="0"/>
          <w:divBdr>
            <w:top w:val="none" w:sz="0" w:space="0" w:color="auto"/>
            <w:left w:val="none" w:sz="0" w:space="0" w:color="auto"/>
            <w:bottom w:val="none" w:sz="0" w:space="0" w:color="auto"/>
            <w:right w:val="none" w:sz="0" w:space="0" w:color="auto"/>
          </w:divBdr>
        </w:div>
        <w:div w:id="1609269083">
          <w:marLeft w:val="0"/>
          <w:marRight w:val="0"/>
          <w:marTop w:val="0"/>
          <w:marBottom w:val="0"/>
          <w:divBdr>
            <w:top w:val="none" w:sz="0" w:space="0" w:color="auto"/>
            <w:left w:val="none" w:sz="0" w:space="0" w:color="auto"/>
            <w:bottom w:val="none" w:sz="0" w:space="0" w:color="auto"/>
            <w:right w:val="none" w:sz="0" w:space="0" w:color="auto"/>
          </w:divBdr>
        </w:div>
        <w:div w:id="2076194144">
          <w:marLeft w:val="0"/>
          <w:marRight w:val="0"/>
          <w:marTop w:val="0"/>
          <w:marBottom w:val="0"/>
          <w:divBdr>
            <w:top w:val="none" w:sz="0" w:space="0" w:color="auto"/>
            <w:left w:val="none" w:sz="0" w:space="0" w:color="auto"/>
            <w:bottom w:val="none" w:sz="0" w:space="0" w:color="auto"/>
            <w:right w:val="none" w:sz="0" w:space="0" w:color="auto"/>
          </w:divBdr>
        </w:div>
      </w:divsChild>
    </w:div>
    <w:div w:id="1903446711">
      <w:bodyDiv w:val="1"/>
      <w:marLeft w:val="0"/>
      <w:marRight w:val="0"/>
      <w:marTop w:val="0"/>
      <w:marBottom w:val="0"/>
      <w:divBdr>
        <w:top w:val="none" w:sz="0" w:space="0" w:color="auto"/>
        <w:left w:val="none" w:sz="0" w:space="0" w:color="auto"/>
        <w:bottom w:val="none" w:sz="0" w:space="0" w:color="auto"/>
        <w:right w:val="none" w:sz="0" w:space="0" w:color="auto"/>
      </w:divBdr>
      <w:divsChild>
        <w:div w:id="120806716">
          <w:marLeft w:val="0"/>
          <w:marRight w:val="0"/>
          <w:marTop w:val="0"/>
          <w:marBottom w:val="0"/>
          <w:divBdr>
            <w:top w:val="none" w:sz="0" w:space="0" w:color="auto"/>
            <w:left w:val="none" w:sz="0" w:space="0" w:color="auto"/>
            <w:bottom w:val="none" w:sz="0" w:space="0" w:color="auto"/>
            <w:right w:val="none" w:sz="0" w:space="0" w:color="auto"/>
          </w:divBdr>
        </w:div>
        <w:div w:id="829830586">
          <w:marLeft w:val="0"/>
          <w:marRight w:val="0"/>
          <w:marTop w:val="0"/>
          <w:marBottom w:val="0"/>
          <w:divBdr>
            <w:top w:val="none" w:sz="0" w:space="0" w:color="auto"/>
            <w:left w:val="none" w:sz="0" w:space="0" w:color="auto"/>
            <w:bottom w:val="none" w:sz="0" w:space="0" w:color="auto"/>
            <w:right w:val="none" w:sz="0" w:space="0" w:color="auto"/>
          </w:divBdr>
        </w:div>
        <w:div w:id="971833592">
          <w:marLeft w:val="0"/>
          <w:marRight w:val="0"/>
          <w:marTop w:val="0"/>
          <w:marBottom w:val="0"/>
          <w:divBdr>
            <w:top w:val="none" w:sz="0" w:space="0" w:color="auto"/>
            <w:left w:val="none" w:sz="0" w:space="0" w:color="auto"/>
            <w:bottom w:val="none" w:sz="0" w:space="0" w:color="auto"/>
            <w:right w:val="none" w:sz="0" w:space="0" w:color="auto"/>
          </w:divBdr>
        </w:div>
        <w:div w:id="1011296925">
          <w:marLeft w:val="0"/>
          <w:marRight w:val="0"/>
          <w:marTop w:val="0"/>
          <w:marBottom w:val="0"/>
          <w:divBdr>
            <w:top w:val="none" w:sz="0" w:space="0" w:color="auto"/>
            <w:left w:val="none" w:sz="0" w:space="0" w:color="auto"/>
            <w:bottom w:val="none" w:sz="0" w:space="0" w:color="auto"/>
            <w:right w:val="none" w:sz="0" w:space="0" w:color="auto"/>
          </w:divBdr>
        </w:div>
        <w:div w:id="1252005932">
          <w:marLeft w:val="0"/>
          <w:marRight w:val="0"/>
          <w:marTop w:val="0"/>
          <w:marBottom w:val="0"/>
          <w:divBdr>
            <w:top w:val="none" w:sz="0" w:space="0" w:color="auto"/>
            <w:left w:val="none" w:sz="0" w:space="0" w:color="auto"/>
            <w:bottom w:val="none" w:sz="0" w:space="0" w:color="auto"/>
            <w:right w:val="none" w:sz="0" w:space="0" w:color="auto"/>
          </w:divBdr>
        </w:div>
        <w:div w:id="1322007409">
          <w:marLeft w:val="0"/>
          <w:marRight w:val="0"/>
          <w:marTop w:val="0"/>
          <w:marBottom w:val="0"/>
          <w:divBdr>
            <w:top w:val="none" w:sz="0" w:space="0" w:color="auto"/>
            <w:left w:val="none" w:sz="0" w:space="0" w:color="auto"/>
            <w:bottom w:val="none" w:sz="0" w:space="0" w:color="auto"/>
            <w:right w:val="none" w:sz="0" w:space="0" w:color="auto"/>
          </w:divBdr>
        </w:div>
        <w:div w:id="1395662042">
          <w:marLeft w:val="0"/>
          <w:marRight w:val="0"/>
          <w:marTop w:val="0"/>
          <w:marBottom w:val="0"/>
          <w:divBdr>
            <w:top w:val="none" w:sz="0" w:space="0" w:color="auto"/>
            <w:left w:val="none" w:sz="0" w:space="0" w:color="auto"/>
            <w:bottom w:val="none" w:sz="0" w:space="0" w:color="auto"/>
            <w:right w:val="none" w:sz="0" w:space="0" w:color="auto"/>
          </w:divBdr>
        </w:div>
        <w:div w:id="1536886002">
          <w:marLeft w:val="0"/>
          <w:marRight w:val="0"/>
          <w:marTop w:val="0"/>
          <w:marBottom w:val="0"/>
          <w:divBdr>
            <w:top w:val="none" w:sz="0" w:space="0" w:color="auto"/>
            <w:left w:val="none" w:sz="0" w:space="0" w:color="auto"/>
            <w:bottom w:val="none" w:sz="0" w:space="0" w:color="auto"/>
            <w:right w:val="none" w:sz="0" w:space="0" w:color="auto"/>
          </w:divBdr>
        </w:div>
        <w:div w:id="1886603806">
          <w:marLeft w:val="0"/>
          <w:marRight w:val="0"/>
          <w:marTop w:val="0"/>
          <w:marBottom w:val="0"/>
          <w:divBdr>
            <w:top w:val="none" w:sz="0" w:space="0" w:color="auto"/>
            <w:left w:val="none" w:sz="0" w:space="0" w:color="auto"/>
            <w:bottom w:val="none" w:sz="0" w:space="0" w:color="auto"/>
            <w:right w:val="none" w:sz="0" w:space="0" w:color="auto"/>
          </w:divBdr>
        </w:div>
        <w:div w:id="2133792074">
          <w:marLeft w:val="0"/>
          <w:marRight w:val="0"/>
          <w:marTop w:val="0"/>
          <w:marBottom w:val="0"/>
          <w:divBdr>
            <w:top w:val="none" w:sz="0" w:space="0" w:color="auto"/>
            <w:left w:val="none" w:sz="0" w:space="0" w:color="auto"/>
            <w:bottom w:val="none" w:sz="0" w:space="0" w:color="auto"/>
            <w:right w:val="none" w:sz="0" w:space="0" w:color="auto"/>
          </w:divBdr>
        </w:div>
        <w:div w:id="2134513724">
          <w:marLeft w:val="0"/>
          <w:marRight w:val="0"/>
          <w:marTop w:val="0"/>
          <w:marBottom w:val="0"/>
          <w:divBdr>
            <w:top w:val="none" w:sz="0" w:space="0" w:color="auto"/>
            <w:left w:val="none" w:sz="0" w:space="0" w:color="auto"/>
            <w:bottom w:val="none" w:sz="0" w:space="0" w:color="auto"/>
            <w:right w:val="none" w:sz="0" w:space="0" w:color="auto"/>
          </w:divBdr>
        </w:div>
      </w:divsChild>
    </w:div>
    <w:div w:id="1944730357">
      <w:bodyDiv w:val="1"/>
      <w:marLeft w:val="0"/>
      <w:marRight w:val="0"/>
      <w:marTop w:val="0"/>
      <w:marBottom w:val="0"/>
      <w:divBdr>
        <w:top w:val="none" w:sz="0" w:space="0" w:color="auto"/>
        <w:left w:val="none" w:sz="0" w:space="0" w:color="auto"/>
        <w:bottom w:val="none" w:sz="0" w:space="0" w:color="auto"/>
        <w:right w:val="none" w:sz="0" w:space="0" w:color="auto"/>
      </w:divBdr>
    </w:div>
    <w:div w:id="1978804359">
      <w:bodyDiv w:val="1"/>
      <w:marLeft w:val="0"/>
      <w:marRight w:val="0"/>
      <w:marTop w:val="0"/>
      <w:marBottom w:val="0"/>
      <w:divBdr>
        <w:top w:val="none" w:sz="0" w:space="0" w:color="auto"/>
        <w:left w:val="none" w:sz="0" w:space="0" w:color="auto"/>
        <w:bottom w:val="none" w:sz="0" w:space="0" w:color="auto"/>
        <w:right w:val="none" w:sz="0" w:space="0" w:color="auto"/>
      </w:divBdr>
      <w:divsChild>
        <w:div w:id="601836616">
          <w:marLeft w:val="0"/>
          <w:marRight w:val="0"/>
          <w:marTop w:val="0"/>
          <w:marBottom w:val="0"/>
          <w:divBdr>
            <w:top w:val="none" w:sz="0" w:space="0" w:color="auto"/>
            <w:left w:val="none" w:sz="0" w:space="0" w:color="auto"/>
            <w:bottom w:val="none" w:sz="0" w:space="0" w:color="auto"/>
            <w:right w:val="none" w:sz="0" w:space="0" w:color="auto"/>
          </w:divBdr>
          <w:divsChild>
            <w:div w:id="1637494595">
              <w:marLeft w:val="0"/>
              <w:marRight w:val="0"/>
              <w:marTop w:val="0"/>
              <w:marBottom w:val="0"/>
              <w:divBdr>
                <w:top w:val="none" w:sz="0" w:space="0" w:color="auto"/>
                <w:left w:val="none" w:sz="0" w:space="0" w:color="auto"/>
                <w:bottom w:val="none" w:sz="0" w:space="0" w:color="auto"/>
                <w:right w:val="none" w:sz="0" w:space="0" w:color="auto"/>
              </w:divBdr>
              <w:divsChild>
                <w:div w:id="981541152">
                  <w:marLeft w:val="0"/>
                  <w:marRight w:val="0"/>
                  <w:marTop w:val="0"/>
                  <w:marBottom w:val="0"/>
                  <w:divBdr>
                    <w:top w:val="none" w:sz="0" w:space="0" w:color="auto"/>
                    <w:left w:val="none" w:sz="0" w:space="0" w:color="auto"/>
                    <w:bottom w:val="none" w:sz="0" w:space="0" w:color="auto"/>
                    <w:right w:val="none" w:sz="0" w:space="0" w:color="auto"/>
                  </w:divBdr>
                  <w:divsChild>
                    <w:div w:id="527380228">
                      <w:marLeft w:val="0"/>
                      <w:marRight w:val="0"/>
                      <w:marTop w:val="0"/>
                      <w:marBottom w:val="0"/>
                      <w:divBdr>
                        <w:top w:val="none" w:sz="0" w:space="0" w:color="auto"/>
                        <w:left w:val="none" w:sz="0" w:space="0" w:color="auto"/>
                        <w:bottom w:val="none" w:sz="0" w:space="0" w:color="auto"/>
                        <w:right w:val="none" w:sz="0" w:space="0" w:color="auto"/>
                      </w:divBdr>
                      <w:divsChild>
                        <w:div w:id="9563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79992">
      <w:bodyDiv w:val="1"/>
      <w:marLeft w:val="0"/>
      <w:marRight w:val="0"/>
      <w:marTop w:val="0"/>
      <w:marBottom w:val="0"/>
      <w:divBdr>
        <w:top w:val="none" w:sz="0" w:space="0" w:color="auto"/>
        <w:left w:val="none" w:sz="0" w:space="0" w:color="auto"/>
        <w:bottom w:val="none" w:sz="0" w:space="0" w:color="auto"/>
        <w:right w:val="none" w:sz="0" w:space="0" w:color="auto"/>
      </w:divBdr>
      <w:divsChild>
        <w:div w:id="1529563077">
          <w:marLeft w:val="0"/>
          <w:marRight w:val="0"/>
          <w:marTop w:val="0"/>
          <w:marBottom w:val="0"/>
          <w:divBdr>
            <w:top w:val="none" w:sz="0" w:space="0" w:color="auto"/>
            <w:left w:val="none" w:sz="0" w:space="0" w:color="auto"/>
            <w:bottom w:val="none" w:sz="0" w:space="0" w:color="auto"/>
            <w:right w:val="none" w:sz="0" w:space="0" w:color="auto"/>
          </w:divBdr>
          <w:divsChild>
            <w:div w:id="2004966666">
              <w:marLeft w:val="0"/>
              <w:marRight w:val="0"/>
              <w:marTop w:val="0"/>
              <w:marBottom w:val="0"/>
              <w:divBdr>
                <w:top w:val="none" w:sz="0" w:space="0" w:color="auto"/>
                <w:left w:val="none" w:sz="0" w:space="0" w:color="auto"/>
                <w:bottom w:val="none" w:sz="0" w:space="0" w:color="auto"/>
                <w:right w:val="none" w:sz="0" w:space="0" w:color="auto"/>
              </w:divBdr>
              <w:divsChild>
                <w:div w:id="1070080272">
                  <w:marLeft w:val="0"/>
                  <w:marRight w:val="0"/>
                  <w:marTop w:val="0"/>
                  <w:marBottom w:val="0"/>
                  <w:divBdr>
                    <w:top w:val="none" w:sz="0" w:space="0" w:color="auto"/>
                    <w:left w:val="none" w:sz="0" w:space="0" w:color="auto"/>
                    <w:bottom w:val="none" w:sz="0" w:space="0" w:color="auto"/>
                    <w:right w:val="none" w:sz="0" w:space="0" w:color="auto"/>
                  </w:divBdr>
                  <w:divsChild>
                    <w:div w:id="1868173742">
                      <w:marLeft w:val="0"/>
                      <w:marRight w:val="0"/>
                      <w:marTop w:val="0"/>
                      <w:marBottom w:val="0"/>
                      <w:divBdr>
                        <w:top w:val="none" w:sz="0" w:space="0" w:color="auto"/>
                        <w:left w:val="none" w:sz="0" w:space="0" w:color="auto"/>
                        <w:bottom w:val="none" w:sz="0" w:space="0" w:color="auto"/>
                        <w:right w:val="none" w:sz="0" w:space="0" w:color="auto"/>
                      </w:divBdr>
                      <w:divsChild>
                        <w:div w:id="10072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90962">
      <w:bodyDiv w:val="1"/>
      <w:marLeft w:val="0"/>
      <w:marRight w:val="0"/>
      <w:marTop w:val="0"/>
      <w:marBottom w:val="0"/>
      <w:divBdr>
        <w:top w:val="none" w:sz="0" w:space="0" w:color="auto"/>
        <w:left w:val="none" w:sz="0" w:space="0" w:color="auto"/>
        <w:bottom w:val="none" w:sz="0" w:space="0" w:color="auto"/>
        <w:right w:val="none" w:sz="0" w:space="0" w:color="auto"/>
      </w:divBdr>
      <w:divsChild>
        <w:div w:id="949092605">
          <w:marLeft w:val="0"/>
          <w:marRight w:val="0"/>
          <w:marTop w:val="0"/>
          <w:marBottom w:val="0"/>
          <w:divBdr>
            <w:top w:val="none" w:sz="0" w:space="0" w:color="auto"/>
            <w:left w:val="none" w:sz="0" w:space="0" w:color="auto"/>
            <w:bottom w:val="none" w:sz="0" w:space="0" w:color="auto"/>
            <w:right w:val="none" w:sz="0" w:space="0" w:color="auto"/>
          </w:divBdr>
          <w:divsChild>
            <w:div w:id="835611130">
              <w:marLeft w:val="0"/>
              <w:marRight w:val="0"/>
              <w:marTop w:val="0"/>
              <w:marBottom w:val="0"/>
              <w:divBdr>
                <w:top w:val="none" w:sz="0" w:space="0" w:color="auto"/>
                <w:left w:val="none" w:sz="0" w:space="0" w:color="auto"/>
                <w:bottom w:val="none" w:sz="0" w:space="0" w:color="auto"/>
                <w:right w:val="none" w:sz="0" w:space="0" w:color="auto"/>
              </w:divBdr>
              <w:divsChild>
                <w:div w:id="1262303234">
                  <w:marLeft w:val="0"/>
                  <w:marRight w:val="0"/>
                  <w:marTop w:val="0"/>
                  <w:marBottom w:val="0"/>
                  <w:divBdr>
                    <w:top w:val="none" w:sz="0" w:space="0" w:color="auto"/>
                    <w:left w:val="none" w:sz="0" w:space="0" w:color="auto"/>
                    <w:bottom w:val="none" w:sz="0" w:space="0" w:color="auto"/>
                    <w:right w:val="none" w:sz="0" w:space="0" w:color="auto"/>
                  </w:divBdr>
                  <w:divsChild>
                    <w:div w:id="70202724">
                      <w:marLeft w:val="0"/>
                      <w:marRight w:val="0"/>
                      <w:marTop w:val="0"/>
                      <w:marBottom w:val="0"/>
                      <w:divBdr>
                        <w:top w:val="none" w:sz="0" w:space="0" w:color="auto"/>
                        <w:left w:val="none" w:sz="0" w:space="0" w:color="auto"/>
                        <w:bottom w:val="none" w:sz="0" w:space="0" w:color="auto"/>
                        <w:right w:val="none" w:sz="0" w:space="0" w:color="auto"/>
                      </w:divBdr>
                      <w:divsChild>
                        <w:div w:id="9181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ACC2-17AE-43B8-97C3-BEE638765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60937481.dotm</Template>
  <TotalTime>11</TotalTime>
  <Pages>18</Pages>
  <Words>6032</Words>
  <Characters>35591</Characters>
  <Application>Microsoft Office Word</Application>
  <DocSecurity>0</DocSecurity>
  <Lines>296</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Audit Conclusion from Audit No. 15/02 - State budget funds provided for support of energy savings</vt:lpstr>
      <vt:lpstr/>
    </vt:vector>
  </TitlesOfParts>
  <Company>NKU</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from Audit No. 15/02 - State budget funds provided for support of energy savings</dc:title>
  <dc:creator>Nejvyšší kontrolní úřad</dc:creator>
  <cp:lastModifiedBy>KOKRDA Daniel</cp:lastModifiedBy>
  <cp:revision>4</cp:revision>
  <cp:lastPrinted>2017-03-15T09:09:00Z</cp:lastPrinted>
  <dcterms:created xsi:type="dcterms:W3CDTF">2017-03-15T09:00:00Z</dcterms:created>
  <dcterms:modified xsi:type="dcterms:W3CDTF">2017-03-15T09:09:00Z</dcterms:modified>
</cp:coreProperties>
</file>