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F805" w14:textId="3A71FF08" w:rsidR="00992484" w:rsidRPr="00992484" w:rsidRDefault="005D41EC" w:rsidP="00992484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315CB">
        <w:rPr>
          <w:noProof/>
        </w:rPr>
        <w:drawing>
          <wp:anchor distT="0" distB="0" distL="114300" distR="114300" simplePos="0" relativeHeight="251659264" behindDoc="0" locked="0" layoutInCell="1" allowOverlap="1" wp14:anchorId="4251A46E" wp14:editId="05B0175A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39861" w14:textId="77777777" w:rsidR="00992484" w:rsidRPr="00992484" w:rsidRDefault="00992484" w:rsidP="00992484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14:paraId="08B98880" w14:textId="77777777" w:rsidR="00992484" w:rsidRPr="00992484" w:rsidRDefault="00992484" w:rsidP="00992484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14:paraId="52C32A56" w14:textId="65E5AA4F" w:rsidR="0065119E" w:rsidRPr="00992484" w:rsidRDefault="0065119E" w:rsidP="00992484">
      <w:pPr>
        <w:pStyle w:val="Nzev"/>
        <w:outlineLvl w:val="0"/>
        <w:rPr>
          <w:rFonts w:asciiTheme="minorHAnsi" w:hAnsiTheme="minorHAnsi" w:cstheme="minorHAnsi"/>
          <w:sz w:val="28"/>
          <w:szCs w:val="24"/>
        </w:rPr>
      </w:pPr>
      <w:r w:rsidRPr="00992484">
        <w:rPr>
          <w:rFonts w:asciiTheme="minorHAnsi" w:hAnsiTheme="minorHAnsi" w:cstheme="minorHAnsi"/>
          <w:sz w:val="28"/>
          <w:szCs w:val="24"/>
        </w:rPr>
        <w:t>Kontrolní závěr z kontrolní akce</w:t>
      </w:r>
    </w:p>
    <w:p w14:paraId="243C0899" w14:textId="77777777" w:rsidR="0065119E" w:rsidRPr="00992484" w:rsidRDefault="0065119E" w:rsidP="0065119E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14:paraId="2E22A9E1" w14:textId="77777777" w:rsidR="0065119E" w:rsidRPr="00992484" w:rsidRDefault="0065119E" w:rsidP="0065119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92484">
        <w:rPr>
          <w:rFonts w:asciiTheme="minorHAnsi" w:hAnsiTheme="minorHAnsi" w:cstheme="minorHAnsi"/>
          <w:b/>
          <w:bCs/>
          <w:sz w:val="28"/>
        </w:rPr>
        <w:t>16/07</w:t>
      </w:r>
    </w:p>
    <w:p w14:paraId="02DBDD7B" w14:textId="77777777" w:rsidR="0065119E" w:rsidRPr="00992484" w:rsidRDefault="0065119E" w:rsidP="0065119E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7CC68C3" w14:textId="77777777" w:rsidR="0065119E" w:rsidRPr="00992484" w:rsidRDefault="0065119E" w:rsidP="0065119E">
      <w:pPr>
        <w:spacing w:before="120" w:line="200" w:lineRule="atLeast"/>
        <w:jc w:val="center"/>
        <w:rPr>
          <w:rFonts w:asciiTheme="minorHAnsi" w:hAnsiTheme="minorHAnsi" w:cstheme="minorHAnsi"/>
          <w:b/>
          <w:sz w:val="28"/>
        </w:rPr>
      </w:pPr>
      <w:r w:rsidRPr="00992484">
        <w:rPr>
          <w:rFonts w:asciiTheme="minorHAnsi" w:hAnsiTheme="minorHAnsi" w:cstheme="minorHAnsi"/>
          <w:b/>
          <w:sz w:val="28"/>
        </w:rPr>
        <w:t>Peněžní prostředky určené na zahlazování následků hornické činnosti v podniku DIAMO, státní podnik</w:t>
      </w:r>
    </w:p>
    <w:p w14:paraId="07DBD9B6" w14:textId="77777777" w:rsidR="0065119E" w:rsidRPr="00992484" w:rsidRDefault="0065119E" w:rsidP="00992484">
      <w:pPr>
        <w:rPr>
          <w:rFonts w:asciiTheme="minorHAnsi" w:hAnsiTheme="minorHAnsi" w:cstheme="minorHAnsi"/>
          <w:sz w:val="24"/>
        </w:rPr>
      </w:pPr>
    </w:p>
    <w:p w14:paraId="183BCF92" w14:textId="77777777" w:rsidR="0065119E" w:rsidRPr="005C441A" w:rsidRDefault="0065119E" w:rsidP="00992484">
      <w:pPr>
        <w:tabs>
          <w:tab w:val="left" w:pos="7988"/>
        </w:tabs>
        <w:rPr>
          <w:rFonts w:asciiTheme="minorHAnsi" w:hAnsiTheme="minorHAnsi" w:cstheme="minorHAnsi"/>
          <w:sz w:val="24"/>
        </w:rPr>
      </w:pPr>
    </w:p>
    <w:p w14:paraId="4996CD36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 xml:space="preserve">Kontrolní akce byla zařazena do plánu kontrolní činnosti Nejvyššího kontrolního úřadu (dále jen „NKÚ“) na rok 2016 pod číslem 16/07. Kontrolní akci řídila a kontrolní závěr vypracovala členka NKÚ Ing. Hana </w:t>
      </w:r>
      <w:proofErr w:type="spellStart"/>
      <w:r w:rsidRPr="005C441A">
        <w:rPr>
          <w:rFonts w:asciiTheme="minorHAnsi" w:hAnsiTheme="minorHAnsi" w:cstheme="minorHAnsi"/>
          <w:sz w:val="24"/>
        </w:rPr>
        <w:t>Hykšová</w:t>
      </w:r>
      <w:proofErr w:type="spellEnd"/>
      <w:r w:rsidRPr="005C441A">
        <w:rPr>
          <w:rFonts w:asciiTheme="minorHAnsi" w:hAnsiTheme="minorHAnsi" w:cstheme="minorHAnsi"/>
          <w:sz w:val="24"/>
        </w:rPr>
        <w:t>.</w:t>
      </w:r>
    </w:p>
    <w:p w14:paraId="394B5ACC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</w:p>
    <w:p w14:paraId="1AE71735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 xml:space="preserve">Cílem kontroly bylo prověřit systém poskytování, čerpání a použití peněžních prostředků určených na zahlazování následků hornické činnosti v podniku DIAMO, státní podnik. </w:t>
      </w:r>
    </w:p>
    <w:p w14:paraId="2E721097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</w:p>
    <w:p w14:paraId="68F33D81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 xml:space="preserve">Kontrola byla prováděna u kontrolovaných osob v období od února 2016 do srpna 2016. Kontrolovaným obdobím bylo období od roku 2006 do 2015, v případě věcných souvislostí i období předcházející. </w:t>
      </w:r>
    </w:p>
    <w:p w14:paraId="568B7719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</w:p>
    <w:p w14:paraId="3F64CFE0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>Kontrolované osoby:</w:t>
      </w:r>
    </w:p>
    <w:p w14:paraId="19879D64" w14:textId="2003B1A8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>Ministerstvo průmyslu a obchodu (dále také „MPO“)</w:t>
      </w:r>
      <w:r w:rsidR="00272C50">
        <w:rPr>
          <w:rFonts w:asciiTheme="minorHAnsi" w:hAnsiTheme="minorHAnsi" w:cstheme="minorHAnsi"/>
          <w:sz w:val="24"/>
        </w:rPr>
        <w:t>,</w:t>
      </w:r>
    </w:p>
    <w:p w14:paraId="02ADD714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>Ministerstvo financí (dále také „MF“),</w:t>
      </w:r>
    </w:p>
    <w:p w14:paraId="6220D442" w14:textId="48C33620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noProof/>
          <w:sz w:val="24"/>
        </w:rPr>
        <w:t>DIAMO, státní podnik (dále také „státní podnik DIAMO“</w:t>
      </w:r>
      <w:r w:rsidR="005C441A" w:rsidRPr="005C441A">
        <w:rPr>
          <w:rFonts w:asciiTheme="minorHAnsi" w:hAnsiTheme="minorHAnsi" w:cstheme="minorHAnsi"/>
          <w:noProof/>
          <w:sz w:val="24"/>
        </w:rPr>
        <w:t xml:space="preserve"> nebo „státní podnik“</w:t>
      </w:r>
      <w:r w:rsidRPr="005C441A">
        <w:rPr>
          <w:rFonts w:asciiTheme="minorHAnsi" w:hAnsiTheme="minorHAnsi" w:cstheme="minorHAnsi"/>
          <w:noProof/>
          <w:sz w:val="24"/>
        </w:rPr>
        <w:t>)</w:t>
      </w:r>
      <w:r w:rsidR="00272C50">
        <w:rPr>
          <w:rFonts w:asciiTheme="minorHAnsi" w:hAnsiTheme="minorHAnsi" w:cstheme="minorHAnsi"/>
          <w:noProof/>
          <w:sz w:val="24"/>
        </w:rPr>
        <w:t>.</w:t>
      </w:r>
    </w:p>
    <w:p w14:paraId="728BFD94" w14:textId="77777777" w:rsidR="00241F1A" w:rsidRDefault="00241F1A" w:rsidP="00B21849">
      <w:pPr>
        <w:pStyle w:val="Textkomente"/>
        <w:rPr>
          <w:rFonts w:asciiTheme="minorHAnsi" w:hAnsiTheme="minorHAnsi" w:cstheme="minorHAnsi"/>
          <w:sz w:val="24"/>
          <w:szCs w:val="24"/>
        </w:rPr>
      </w:pPr>
    </w:p>
    <w:p w14:paraId="2E11208A" w14:textId="68B06770" w:rsidR="00241F1A" w:rsidRPr="00241F1A" w:rsidRDefault="00241F1A" w:rsidP="00241F1A">
      <w:pPr>
        <w:pStyle w:val="Textkomente"/>
        <w:rPr>
          <w:rFonts w:asciiTheme="minorHAnsi" w:hAnsiTheme="minorHAnsi" w:cstheme="minorHAnsi"/>
          <w:sz w:val="24"/>
          <w:szCs w:val="24"/>
        </w:rPr>
      </w:pPr>
      <w:r w:rsidRPr="00241F1A">
        <w:rPr>
          <w:rFonts w:asciiTheme="minorHAnsi" w:hAnsiTheme="minorHAnsi" w:cstheme="minorHAnsi"/>
          <w:sz w:val="24"/>
          <w:szCs w:val="24"/>
        </w:rPr>
        <w:t>Námitky proti</w:t>
      </w:r>
      <w:r>
        <w:rPr>
          <w:rFonts w:asciiTheme="minorHAnsi" w:hAnsiTheme="minorHAnsi" w:cstheme="minorHAnsi"/>
          <w:sz w:val="24"/>
          <w:szCs w:val="24"/>
        </w:rPr>
        <w:t xml:space="preserve"> kontrolním</w:t>
      </w:r>
      <w:r w:rsidRPr="00241F1A">
        <w:rPr>
          <w:rFonts w:asciiTheme="minorHAnsi" w:hAnsiTheme="minorHAnsi" w:cstheme="minorHAnsi"/>
          <w:sz w:val="24"/>
          <w:szCs w:val="24"/>
        </w:rPr>
        <w:t xml:space="preserve"> protokol</w:t>
      </w:r>
      <w:r>
        <w:rPr>
          <w:rFonts w:asciiTheme="minorHAnsi" w:hAnsiTheme="minorHAnsi" w:cstheme="minorHAnsi"/>
          <w:sz w:val="24"/>
          <w:szCs w:val="24"/>
        </w:rPr>
        <w:t>ům</w:t>
      </w:r>
      <w:r w:rsidRPr="00241F1A">
        <w:rPr>
          <w:rFonts w:asciiTheme="minorHAnsi" w:hAnsiTheme="minorHAnsi" w:cstheme="minorHAnsi"/>
          <w:sz w:val="24"/>
          <w:szCs w:val="24"/>
        </w:rPr>
        <w:t xml:space="preserve"> nebyly podány.</w:t>
      </w:r>
    </w:p>
    <w:p w14:paraId="207BD873" w14:textId="77777777" w:rsidR="0065119E" w:rsidRPr="00241F1A" w:rsidRDefault="0065119E" w:rsidP="00992484">
      <w:pPr>
        <w:rPr>
          <w:rFonts w:asciiTheme="minorHAnsi" w:hAnsiTheme="minorHAnsi" w:cstheme="minorHAnsi"/>
          <w:i/>
          <w:sz w:val="24"/>
        </w:rPr>
      </w:pPr>
    </w:p>
    <w:p w14:paraId="4A2B708B" w14:textId="77777777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</w:p>
    <w:p w14:paraId="7F896A3F" w14:textId="527D1CA9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proofErr w:type="gramStart"/>
      <w:r w:rsidRPr="005C441A">
        <w:rPr>
          <w:rFonts w:asciiTheme="minorHAnsi" w:hAnsiTheme="minorHAnsi" w:cstheme="minorHAnsi"/>
          <w:b/>
          <w:bCs/>
          <w:i/>
          <w:iCs/>
          <w:sz w:val="24"/>
        </w:rPr>
        <w:t xml:space="preserve">K o l e g i u m   N K Ú  </w:t>
      </w:r>
      <w:r w:rsidRPr="005C441A">
        <w:rPr>
          <w:rFonts w:asciiTheme="minorHAnsi" w:hAnsiTheme="minorHAnsi" w:cstheme="minorHAnsi"/>
          <w:sz w:val="24"/>
        </w:rPr>
        <w:t xml:space="preserve"> na</w:t>
      </w:r>
      <w:proofErr w:type="gramEnd"/>
      <w:r w:rsidRPr="005C441A">
        <w:rPr>
          <w:rFonts w:asciiTheme="minorHAnsi" w:hAnsiTheme="minorHAnsi" w:cstheme="minorHAnsi"/>
          <w:sz w:val="24"/>
        </w:rPr>
        <w:t xml:space="preserve"> svém </w:t>
      </w:r>
      <w:r w:rsidR="00D25FF4">
        <w:rPr>
          <w:rFonts w:asciiTheme="minorHAnsi" w:hAnsiTheme="minorHAnsi" w:cstheme="minorHAnsi"/>
          <w:sz w:val="24"/>
        </w:rPr>
        <w:t>XIV.</w:t>
      </w:r>
      <w:r w:rsidRPr="005C441A">
        <w:rPr>
          <w:rFonts w:asciiTheme="minorHAnsi" w:hAnsiTheme="minorHAnsi" w:cstheme="minorHAnsi"/>
          <w:sz w:val="24"/>
        </w:rPr>
        <w:t xml:space="preserve"> jednání, </w:t>
      </w:r>
      <w:r w:rsidR="003854BF">
        <w:rPr>
          <w:rFonts w:asciiTheme="minorHAnsi" w:hAnsiTheme="minorHAnsi" w:cstheme="minorHAnsi"/>
          <w:sz w:val="24"/>
        </w:rPr>
        <w:t xml:space="preserve">které se </w:t>
      </w:r>
      <w:r w:rsidRPr="005C441A">
        <w:rPr>
          <w:rFonts w:asciiTheme="minorHAnsi" w:hAnsiTheme="minorHAnsi" w:cstheme="minorHAnsi"/>
          <w:sz w:val="24"/>
        </w:rPr>
        <w:t>kona</w:t>
      </w:r>
      <w:r w:rsidR="003854BF">
        <w:rPr>
          <w:rFonts w:asciiTheme="minorHAnsi" w:hAnsiTheme="minorHAnsi" w:cstheme="minorHAnsi"/>
          <w:sz w:val="24"/>
        </w:rPr>
        <w:t>lo</w:t>
      </w:r>
      <w:r w:rsidRPr="005C441A">
        <w:rPr>
          <w:rFonts w:asciiTheme="minorHAnsi" w:hAnsiTheme="minorHAnsi" w:cstheme="minorHAnsi"/>
          <w:sz w:val="24"/>
        </w:rPr>
        <w:t xml:space="preserve"> dne </w:t>
      </w:r>
      <w:r w:rsidR="00D25FF4">
        <w:rPr>
          <w:rFonts w:asciiTheme="minorHAnsi" w:hAnsiTheme="minorHAnsi" w:cstheme="minorHAnsi"/>
          <w:sz w:val="24"/>
        </w:rPr>
        <w:t>14. listopadu</w:t>
      </w:r>
      <w:r w:rsidRPr="005C441A">
        <w:rPr>
          <w:rFonts w:asciiTheme="minorHAnsi" w:hAnsiTheme="minorHAnsi" w:cstheme="minorHAnsi"/>
          <w:sz w:val="24"/>
        </w:rPr>
        <w:t xml:space="preserve"> 2016, </w:t>
      </w:r>
    </w:p>
    <w:p w14:paraId="55BDE65A" w14:textId="607E15D4" w:rsidR="0065119E" w:rsidRPr="005C441A" w:rsidRDefault="0065119E" w:rsidP="00992484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proofErr w:type="gramStart"/>
      <w:r w:rsidRPr="005C441A">
        <w:rPr>
          <w:rFonts w:asciiTheme="minorHAnsi" w:hAnsiTheme="minorHAnsi" w:cstheme="minorHAnsi"/>
          <w:b/>
          <w:bCs/>
          <w:i/>
          <w:iCs/>
          <w:sz w:val="24"/>
        </w:rPr>
        <w:t xml:space="preserve">s c h v á l i l o  </w:t>
      </w:r>
      <w:r w:rsidRPr="005C441A">
        <w:rPr>
          <w:rFonts w:asciiTheme="minorHAnsi" w:hAnsiTheme="minorHAnsi" w:cstheme="minorHAnsi"/>
          <w:sz w:val="24"/>
        </w:rPr>
        <w:t xml:space="preserve"> usnesením č.</w:t>
      </w:r>
      <w:proofErr w:type="gramEnd"/>
      <w:r w:rsidRPr="005C441A">
        <w:rPr>
          <w:rFonts w:asciiTheme="minorHAnsi" w:hAnsiTheme="minorHAnsi" w:cstheme="minorHAnsi"/>
          <w:sz w:val="24"/>
        </w:rPr>
        <w:t xml:space="preserve"> </w:t>
      </w:r>
      <w:r w:rsidR="0054794C">
        <w:rPr>
          <w:rFonts w:asciiTheme="minorHAnsi" w:hAnsiTheme="minorHAnsi" w:cstheme="minorHAnsi"/>
          <w:sz w:val="24"/>
        </w:rPr>
        <w:t>7</w:t>
      </w:r>
      <w:r w:rsidRPr="005C441A">
        <w:rPr>
          <w:rFonts w:asciiTheme="minorHAnsi" w:hAnsiTheme="minorHAnsi" w:cstheme="minorHAnsi"/>
          <w:sz w:val="24"/>
        </w:rPr>
        <w:t>/</w:t>
      </w:r>
      <w:r w:rsidR="00D25FF4">
        <w:rPr>
          <w:rFonts w:asciiTheme="minorHAnsi" w:hAnsiTheme="minorHAnsi" w:cstheme="minorHAnsi"/>
          <w:sz w:val="24"/>
        </w:rPr>
        <w:t>XIV</w:t>
      </w:r>
      <w:r w:rsidRPr="005C441A">
        <w:rPr>
          <w:rFonts w:asciiTheme="minorHAnsi" w:hAnsiTheme="minorHAnsi" w:cstheme="minorHAnsi"/>
          <w:sz w:val="24"/>
        </w:rPr>
        <w:t>/2016</w:t>
      </w:r>
    </w:p>
    <w:p w14:paraId="713AE116" w14:textId="77777777" w:rsidR="0065119E" w:rsidRPr="005C441A" w:rsidRDefault="0065119E" w:rsidP="00992484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proofErr w:type="gramStart"/>
      <w:r w:rsidRPr="005C441A">
        <w:rPr>
          <w:rFonts w:asciiTheme="minorHAnsi" w:hAnsiTheme="minorHAnsi" w:cstheme="minorHAnsi"/>
          <w:b/>
          <w:bCs/>
          <w:i/>
          <w:iCs/>
          <w:sz w:val="24"/>
        </w:rPr>
        <w:t>k o n t r o l n í   z á v ě r</w:t>
      </w:r>
      <w:r w:rsidRPr="005C441A">
        <w:rPr>
          <w:rFonts w:asciiTheme="minorHAnsi" w:hAnsiTheme="minorHAnsi" w:cstheme="minorHAnsi"/>
          <w:sz w:val="24"/>
        </w:rPr>
        <w:t xml:space="preserve">   v tomto</w:t>
      </w:r>
      <w:proofErr w:type="gramEnd"/>
      <w:r w:rsidRPr="005C441A">
        <w:rPr>
          <w:rFonts w:asciiTheme="minorHAnsi" w:hAnsiTheme="minorHAnsi" w:cstheme="minorHAnsi"/>
          <w:sz w:val="24"/>
        </w:rPr>
        <w:t xml:space="preserve"> znění:</w:t>
      </w:r>
    </w:p>
    <w:p w14:paraId="7AD9F363" w14:textId="77777777" w:rsidR="0065119E" w:rsidRPr="005C441A" w:rsidRDefault="0065119E" w:rsidP="00992484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165B1A79" w14:textId="77777777" w:rsidR="0065119E" w:rsidRPr="0065119E" w:rsidRDefault="0065119E" w:rsidP="00992484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7ABA8807" w14:textId="5D0D57D3" w:rsidR="0065119E" w:rsidRPr="00FC634A" w:rsidRDefault="0065119E" w:rsidP="00CD2332">
      <w:pPr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65119E">
        <w:rPr>
          <w:rFonts w:asciiTheme="minorHAnsi" w:hAnsiTheme="minorHAnsi" w:cstheme="minorHAnsi"/>
          <w:sz w:val="24"/>
        </w:rPr>
        <w:br w:type="page"/>
      </w:r>
      <w:r w:rsidRPr="00FC634A">
        <w:rPr>
          <w:rFonts w:asciiTheme="minorHAnsi" w:hAnsiTheme="minorHAnsi" w:cstheme="minorHAnsi"/>
          <w:b/>
          <w:color w:val="000000"/>
          <w:sz w:val="28"/>
        </w:rPr>
        <w:lastRenderedPageBreak/>
        <w:t>I. Úvod</w:t>
      </w:r>
    </w:p>
    <w:p w14:paraId="610172B8" w14:textId="77777777" w:rsidR="0065119E" w:rsidRPr="005C441A" w:rsidRDefault="0065119E" w:rsidP="00992484">
      <w:pPr>
        <w:rPr>
          <w:rFonts w:asciiTheme="minorHAnsi" w:hAnsiTheme="minorHAnsi" w:cstheme="minorHAnsi"/>
          <w:bCs/>
          <w:sz w:val="24"/>
        </w:rPr>
      </w:pPr>
    </w:p>
    <w:p w14:paraId="473E0ECA" w14:textId="32B8D7A4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5C441A">
        <w:rPr>
          <w:rFonts w:asciiTheme="minorHAnsi" w:hAnsiTheme="minorHAnsi" w:cstheme="minorHAnsi"/>
          <w:sz w:val="24"/>
        </w:rPr>
        <w:t>Kontrola byla zaměřena na poskytování</w:t>
      </w:r>
      <w:r w:rsidR="00BA3E51">
        <w:rPr>
          <w:rFonts w:asciiTheme="minorHAnsi" w:hAnsiTheme="minorHAnsi" w:cstheme="minorHAnsi"/>
          <w:sz w:val="24"/>
        </w:rPr>
        <w:t xml:space="preserve"> </w:t>
      </w:r>
      <w:r w:rsidRPr="005C441A">
        <w:rPr>
          <w:rFonts w:asciiTheme="minorHAnsi" w:hAnsiTheme="minorHAnsi" w:cstheme="minorHAnsi"/>
          <w:sz w:val="24"/>
        </w:rPr>
        <w:t>prostředků státního rozpočtu na zahlazování následků hornické činnosti (dále t</w:t>
      </w:r>
      <w:r w:rsidR="00437874">
        <w:rPr>
          <w:rFonts w:asciiTheme="minorHAnsi" w:hAnsiTheme="minorHAnsi" w:cstheme="minorHAnsi"/>
          <w:sz w:val="24"/>
        </w:rPr>
        <w:t>aké</w:t>
      </w:r>
      <w:r w:rsidR="00FE1A7B">
        <w:rPr>
          <w:rFonts w:asciiTheme="minorHAnsi" w:hAnsiTheme="minorHAnsi" w:cstheme="minorHAnsi"/>
          <w:sz w:val="24"/>
        </w:rPr>
        <w:t xml:space="preserve"> „ZNHČ</w:t>
      </w:r>
      <w:r w:rsidRPr="005C441A">
        <w:rPr>
          <w:rFonts w:asciiTheme="minorHAnsi" w:hAnsiTheme="minorHAnsi" w:cstheme="minorHAnsi"/>
          <w:sz w:val="24"/>
        </w:rPr>
        <w:t>“) Ministerstvem průmyslu a obchodu a Ministerstvem financí a na poskytování</w:t>
      </w:r>
      <w:r w:rsidR="00BA3E51">
        <w:rPr>
          <w:rFonts w:asciiTheme="minorHAnsi" w:hAnsiTheme="minorHAnsi" w:cstheme="minorHAnsi"/>
          <w:sz w:val="24"/>
        </w:rPr>
        <w:t xml:space="preserve"> </w:t>
      </w:r>
      <w:r w:rsidRPr="005C441A">
        <w:rPr>
          <w:rFonts w:asciiTheme="minorHAnsi" w:hAnsiTheme="minorHAnsi" w:cstheme="minorHAnsi"/>
          <w:sz w:val="24"/>
        </w:rPr>
        <w:t>prostředků ze zvláštního účtu</w:t>
      </w:r>
      <w:r w:rsidRPr="005C441A">
        <w:rPr>
          <w:rStyle w:val="Znakapoznpodarou"/>
          <w:rFonts w:asciiTheme="minorHAnsi" w:hAnsiTheme="minorHAnsi" w:cstheme="minorHAnsi"/>
          <w:sz w:val="24"/>
        </w:rPr>
        <w:footnoteReference w:id="2"/>
      </w:r>
      <w:r w:rsidRPr="005C441A">
        <w:rPr>
          <w:rFonts w:asciiTheme="minorHAnsi" w:hAnsiTheme="minorHAnsi" w:cstheme="minorHAnsi"/>
          <w:sz w:val="24"/>
        </w:rPr>
        <w:t xml:space="preserve"> Ministerstva financí státnímu podniku DIAMO</w:t>
      </w:r>
      <w:r w:rsidR="00BA3E51">
        <w:rPr>
          <w:rFonts w:asciiTheme="minorHAnsi" w:hAnsiTheme="minorHAnsi" w:cstheme="minorHAnsi"/>
          <w:sz w:val="24"/>
        </w:rPr>
        <w:t xml:space="preserve"> a </w:t>
      </w:r>
      <w:r w:rsidR="00BA3E51" w:rsidRPr="005A219B">
        <w:rPr>
          <w:rFonts w:asciiTheme="minorHAnsi" w:hAnsiTheme="minorHAnsi" w:cstheme="minorHAnsi"/>
          <w:sz w:val="24"/>
        </w:rPr>
        <w:t>na jejich užití</w:t>
      </w:r>
      <w:r w:rsidRPr="005A219B">
        <w:rPr>
          <w:rFonts w:asciiTheme="minorHAnsi" w:hAnsiTheme="minorHAnsi" w:cstheme="minorHAnsi"/>
          <w:sz w:val="24"/>
        </w:rPr>
        <w:t>.</w:t>
      </w:r>
      <w:r w:rsidRPr="005C441A">
        <w:rPr>
          <w:rFonts w:asciiTheme="minorHAnsi" w:hAnsiTheme="minorHAnsi" w:cstheme="minorHAnsi"/>
          <w:sz w:val="24"/>
        </w:rPr>
        <w:t xml:space="preserve"> </w:t>
      </w:r>
    </w:p>
    <w:p w14:paraId="32CA45DB" w14:textId="77777777" w:rsidR="00DC791F" w:rsidRPr="003854BF" w:rsidRDefault="00DC791F" w:rsidP="00992484">
      <w:pPr>
        <w:rPr>
          <w:rFonts w:asciiTheme="minorHAnsi" w:hAnsiTheme="minorHAnsi" w:cstheme="minorHAnsi"/>
          <w:bCs/>
          <w:sz w:val="24"/>
        </w:rPr>
      </w:pPr>
    </w:p>
    <w:p w14:paraId="14E6C0AC" w14:textId="77777777" w:rsidR="0065119E" w:rsidRDefault="0065119E" w:rsidP="00992484">
      <w:pPr>
        <w:rPr>
          <w:rFonts w:asciiTheme="minorHAnsi" w:hAnsiTheme="minorHAnsi" w:cstheme="minorHAnsi"/>
          <w:b/>
          <w:bCs/>
          <w:sz w:val="24"/>
        </w:rPr>
      </w:pPr>
      <w:r w:rsidRPr="005C441A">
        <w:rPr>
          <w:rFonts w:asciiTheme="minorHAnsi" w:hAnsiTheme="minorHAnsi" w:cstheme="minorHAnsi"/>
          <w:b/>
          <w:bCs/>
          <w:sz w:val="24"/>
        </w:rPr>
        <w:t>Kontrolované osoby a jejich působnost</w:t>
      </w:r>
    </w:p>
    <w:p w14:paraId="4797EAFB" w14:textId="77777777" w:rsidR="003854BF" w:rsidRPr="003854BF" w:rsidRDefault="003854BF" w:rsidP="00992484">
      <w:pPr>
        <w:rPr>
          <w:rFonts w:asciiTheme="minorHAnsi" w:hAnsiTheme="minorHAnsi" w:cstheme="minorHAnsi"/>
          <w:bCs/>
          <w:sz w:val="24"/>
        </w:rPr>
      </w:pPr>
    </w:p>
    <w:p w14:paraId="737A3F5A" w14:textId="5B6906F3" w:rsidR="0065119E" w:rsidRDefault="0065119E" w:rsidP="00992484">
      <w:pPr>
        <w:rPr>
          <w:rFonts w:asciiTheme="minorHAnsi" w:hAnsiTheme="minorHAnsi" w:cstheme="minorHAnsi"/>
          <w:sz w:val="24"/>
        </w:rPr>
      </w:pPr>
      <w:r w:rsidRPr="00AB2027">
        <w:rPr>
          <w:rFonts w:asciiTheme="minorHAnsi" w:hAnsiTheme="minorHAnsi" w:cstheme="minorHAnsi"/>
          <w:b/>
          <w:bCs/>
          <w:sz w:val="24"/>
        </w:rPr>
        <w:t>DIAMO, státní podnik</w:t>
      </w:r>
      <w:r w:rsidR="00611D9E">
        <w:rPr>
          <w:rFonts w:asciiTheme="minorHAnsi" w:hAnsiTheme="minorHAnsi" w:cstheme="minorHAnsi"/>
          <w:bCs/>
          <w:sz w:val="24"/>
          <w:u w:val="single"/>
        </w:rPr>
        <w:t>,</w:t>
      </w:r>
      <w:r w:rsidRPr="005C441A">
        <w:rPr>
          <w:rFonts w:asciiTheme="minorHAnsi" w:hAnsiTheme="minorHAnsi" w:cstheme="minorHAnsi"/>
          <w:noProof/>
          <w:sz w:val="24"/>
        </w:rPr>
        <w:t xml:space="preserve"> </w:t>
      </w:r>
      <w:r w:rsidRPr="005C441A">
        <w:rPr>
          <w:rFonts w:asciiTheme="minorHAnsi" w:hAnsiTheme="minorHAnsi" w:cstheme="minorHAnsi"/>
          <w:sz w:val="24"/>
        </w:rPr>
        <w:t>je právnickou osobou zapsanou v </w:t>
      </w:r>
      <w:r w:rsidR="003E1AA1">
        <w:rPr>
          <w:rFonts w:asciiTheme="minorHAnsi" w:hAnsiTheme="minorHAnsi" w:cstheme="minorHAnsi"/>
          <w:sz w:val="24"/>
        </w:rPr>
        <w:t xml:space="preserve">obchodním rejstříku. </w:t>
      </w:r>
      <w:r w:rsidR="00611D9E">
        <w:rPr>
          <w:rFonts w:asciiTheme="minorHAnsi" w:hAnsiTheme="minorHAnsi" w:cstheme="minorHAnsi"/>
          <w:sz w:val="24"/>
        </w:rPr>
        <w:t>Jeho p</w:t>
      </w:r>
      <w:r w:rsidRPr="005C441A">
        <w:rPr>
          <w:rFonts w:asciiTheme="minorHAnsi" w:hAnsiTheme="minorHAnsi" w:cstheme="minorHAnsi"/>
          <w:sz w:val="24"/>
        </w:rPr>
        <w:t>ostavení a</w:t>
      </w:r>
      <w:r w:rsidR="00611D9E">
        <w:rPr>
          <w:rFonts w:asciiTheme="minorHAnsi" w:hAnsiTheme="minorHAnsi" w:cstheme="minorHAnsi"/>
          <w:sz w:val="24"/>
        </w:rPr>
        <w:t> </w:t>
      </w:r>
      <w:r w:rsidRPr="005C441A">
        <w:rPr>
          <w:rFonts w:asciiTheme="minorHAnsi" w:hAnsiTheme="minorHAnsi" w:cstheme="minorHAnsi"/>
          <w:sz w:val="24"/>
        </w:rPr>
        <w:t>právní poměry se řídí zákonem č. 77/1997 Sb.</w:t>
      </w:r>
      <w:r w:rsidRPr="005C441A">
        <w:rPr>
          <w:rStyle w:val="Znakapoznpodarou"/>
          <w:rFonts w:asciiTheme="minorHAnsi" w:hAnsiTheme="minorHAnsi" w:cstheme="minorHAnsi"/>
          <w:sz w:val="24"/>
        </w:rPr>
        <w:footnoteReference w:id="3"/>
      </w:r>
      <w:r w:rsidRPr="005C441A">
        <w:rPr>
          <w:rFonts w:asciiTheme="minorHAnsi" w:hAnsiTheme="minorHAnsi" w:cstheme="minorHAnsi"/>
          <w:sz w:val="24"/>
        </w:rPr>
        <w:t xml:space="preserve"> Organizačními jednotkami jsou ředitelství se sídlem ve Stráži pod Ralskem a čtyři odštěpné závody – Těžba a úprava uranu se sídlem ve Stráži pod Ralskem; Správa uranových ložisek se sídlem v Příbrami; GEAM se sídlem v Dolní Rožínce a ODRA se sídlem v Ostravě-Vítkovicích. Hlavní činností státního podniku je kromě ZHNČ i těžba, výroba, odbyt uranu, správa skládek a odbyt dalších souběžných produktů při likvidaci starých zátěží.</w:t>
      </w:r>
    </w:p>
    <w:p w14:paraId="496E78F5" w14:textId="77777777" w:rsidR="00CD2332" w:rsidRPr="005C441A" w:rsidRDefault="00CD2332" w:rsidP="00992484">
      <w:pPr>
        <w:rPr>
          <w:rFonts w:asciiTheme="minorHAnsi" w:hAnsiTheme="minorHAnsi" w:cstheme="minorHAnsi"/>
          <w:sz w:val="24"/>
        </w:rPr>
      </w:pPr>
    </w:p>
    <w:p w14:paraId="4DEE754D" w14:textId="736341DA" w:rsidR="0065119E" w:rsidRDefault="0065119E" w:rsidP="00992484">
      <w:pPr>
        <w:rPr>
          <w:rFonts w:asciiTheme="minorHAnsi" w:hAnsiTheme="minorHAnsi" w:cstheme="minorHAnsi"/>
          <w:sz w:val="24"/>
        </w:rPr>
      </w:pPr>
      <w:r w:rsidRPr="00AB2027">
        <w:rPr>
          <w:rFonts w:asciiTheme="minorHAnsi" w:hAnsiTheme="minorHAnsi" w:cstheme="minorHAnsi"/>
          <w:b/>
          <w:bCs/>
          <w:sz w:val="24"/>
        </w:rPr>
        <w:t>Ministerstvo</w:t>
      </w:r>
      <w:r w:rsidRPr="00AB2027">
        <w:rPr>
          <w:rFonts w:asciiTheme="minorHAnsi" w:hAnsiTheme="minorHAnsi" w:cstheme="minorHAnsi"/>
          <w:b/>
          <w:sz w:val="24"/>
        </w:rPr>
        <w:t xml:space="preserve"> průmyslu a obchodu</w:t>
      </w:r>
      <w:r w:rsidRPr="005C441A">
        <w:rPr>
          <w:rFonts w:asciiTheme="minorHAnsi" w:hAnsiTheme="minorHAnsi" w:cstheme="minorHAnsi"/>
          <w:sz w:val="24"/>
        </w:rPr>
        <w:t xml:space="preserve"> je ústředním orgánem státní správy mimo jiné pro tvorbu jednotné surovinové politiky, využívání nerostného bohatství, těžbu, úpravu a zušlechťování ropy a zemního plynu, tuhých paliv, radioaktivních surovin a rud. MPO jako zakladatel státního podniku DIAMO poskytuje tomuto podniku na ZNHČ peněžní </w:t>
      </w:r>
      <w:r w:rsidRPr="00BA3E51">
        <w:rPr>
          <w:rFonts w:asciiTheme="minorHAnsi" w:hAnsiTheme="minorHAnsi" w:cstheme="minorHAnsi"/>
          <w:sz w:val="24"/>
        </w:rPr>
        <w:t>prostředky z</w:t>
      </w:r>
      <w:r w:rsidR="00992484">
        <w:rPr>
          <w:rFonts w:asciiTheme="minorHAnsi" w:hAnsiTheme="minorHAnsi" w:cstheme="minorHAnsi"/>
          <w:sz w:val="24"/>
        </w:rPr>
        <w:t> </w:t>
      </w:r>
      <w:r w:rsidRPr="00BA3E51">
        <w:rPr>
          <w:rFonts w:asciiTheme="minorHAnsi" w:hAnsiTheme="minorHAnsi" w:cstheme="minorHAnsi"/>
          <w:sz w:val="24"/>
        </w:rPr>
        <w:t>kapitoly</w:t>
      </w:r>
      <w:r w:rsidR="00992484">
        <w:rPr>
          <w:rFonts w:asciiTheme="minorHAnsi" w:hAnsiTheme="minorHAnsi" w:cstheme="minorHAnsi"/>
          <w:sz w:val="24"/>
        </w:rPr>
        <w:t xml:space="preserve"> </w:t>
      </w:r>
      <w:r w:rsidR="00992484">
        <w:rPr>
          <w:rFonts w:asciiTheme="minorHAnsi" w:hAnsiTheme="minorHAnsi" w:cstheme="minorHAnsi"/>
          <w:sz w:val="24"/>
        </w:rPr>
        <w:br/>
      </w:r>
      <w:r w:rsidRPr="00BA3E51">
        <w:rPr>
          <w:rFonts w:asciiTheme="minorHAnsi" w:hAnsiTheme="minorHAnsi" w:cstheme="minorHAnsi"/>
          <w:sz w:val="24"/>
        </w:rPr>
        <w:t>322</w:t>
      </w:r>
      <w:r w:rsidR="00992484">
        <w:rPr>
          <w:rFonts w:asciiTheme="minorHAnsi" w:hAnsiTheme="minorHAnsi" w:cstheme="minorHAnsi"/>
          <w:sz w:val="24"/>
        </w:rPr>
        <w:t> </w:t>
      </w:r>
      <w:r w:rsidRPr="00BA3E51">
        <w:rPr>
          <w:rFonts w:asciiTheme="minorHAnsi" w:hAnsiTheme="minorHAnsi" w:cstheme="minorHAnsi"/>
          <w:sz w:val="24"/>
        </w:rPr>
        <w:t xml:space="preserve">– </w:t>
      </w:r>
      <w:r w:rsidRPr="00AB2027">
        <w:rPr>
          <w:rFonts w:asciiTheme="minorHAnsi" w:hAnsiTheme="minorHAnsi" w:cstheme="minorHAnsi"/>
          <w:i/>
          <w:sz w:val="24"/>
        </w:rPr>
        <w:t>Ministerstvo průmyslu a obchodu</w:t>
      </w:r>
      <w:r w:rsidRPr="00BA3E51">
        <w:rPr>
          <w:rFonts w:asciiTheme="minorHAnsi" w:hAnsiTheme="minorHAnsi" w:cstheme="minorHAnsi"/>
          <w:sz w:val="24"/>
        </w:rPr>
        <w:t xml:space="preserve"> (dále také „kapitola 322 </w:t>
      </w:r>
      <w:r w:rsidR="00D803F7">
        <w:rPr>
          <w:rFonts w:asciiTheme="minorHAnsi" w:hAnsiTheme="minorHAnsi" w:cstheme="minorHAnsi"/>
          <w:sz w:val="24"/>
        </w:rPr>
        <w:t>–</w:t>
      </w:r>
      <w:r w:rsidR="005C441A" w:rsidRPr="00BA3E51">
        <w:rPr>
          <w:rFonts w:asciiTheme="minorHAnsi" w:hAnsiTheme="minorHAnsi" w:cstheme="minorHAnsi"/>
          <w:sz w:val="24"/>
        </w:rPr>
        <w:t xml:space="preserve"> </w:t>
      </w:r>
      <w:r w:rsidRPr="00BA3E51">
        <w:rPr>
          <w:rFonts w:asciiTheme="minorHAnsi" w:hAnsiTheme="minorHAnsi" w:cstheme="minorHAnsi"/>
          <w:sz w:val="24"/>
        </w:rPr>
        <w:t>MPO</w:t>
      </w:r>
      <w:r w:rsidR="005C441A" w:rsidRPr="00BA3E51">
        <w:rPr>
          <w:rFonts w:asciiTheme="minorHAnsi" w:hAnsiTheme="minorHAnsi" w:cstheme="minorHAnsi"/>
          <w:sz w:val="24"/>
        </w:rPr>
        <w:t>“</w:t>
      </w:r>
      <w:r w:rsidRPr="00BA3E51">
        <w:rPr>
          <w:rFonts w:asciiTheme="minorHAnsi" w:hAnsiTheme="minorHAnsi" w:cstheme="minorHAnsi"/>
          <w:sz w:val="24"/>
        </w:rPr>
        <w:t xml:space="preserve">). </w:t>
      </w:r>
    </w:p>
    <w:p w14:paraId="23F0014C" w14:textId="77777777" w:rsidR="00CD2332" w:rsidRPr="005C441A" w:rsidRDefault="00CD2332" w:rsidP="00992484">
      <w:pPr>
        <w:rPr>
          <w:rFonts w:asciiTheme="minorHAnsi" w:hAnsiTheme="minorHAnsi" w:cstheme="minorHAnsi"/>
          <w:b/>
          <w:bCs/>
          <w:sz w:val="24"/>
          <w:lang w:eastAsia="cs-CZ"/>
        </w:rPr>
      </w:pPr>
    </w:p>
    <w:p w14:paraId="5016DBBF" w14:textId="1DAA894A" w:rsidR="0065119E" w:rsidRPr="005C441A" w:rsidRDefault="0065119E" w:rsidP="00992484">
      <w:pPr>
        <w:rPr>
          <w:rFonts w:asciiTheme="minorHAnsi" w:hAnsiTheme="minorHAnsi" w:cstheme="minorHAnsi"/>
          <w:sz w:val="24"/>
        </w:rPr>
      </w:pPr>
      <w:r w:rsidRPr="00AB2027">
        <w:rPr>
          <w:rFonts w:asciiTheme="minorHAnsi" w:hAnsiTheme="minorHAnsi" w:cstheme="minorHAnsi"/>
          <w:b/>
          <w:bCs/>
          <w:sz w:val="24"/>
          <w:lang w:eastAsia="cs-CZ"/>
        </w:rPr>
        <w:t>Ministerstvo financí</w:t>
      </w:r>
      <w:r w:rsidR="005C441A" w:rsidRPr="005C441A">
        <w:rPr>
          <w:rFonts w:asciiTheme="minorHAnsi" w:hAnsiTheme="minorHAnsi" w:cstheme="minorHAnsi"/>
          <w:b/>
          <w:bCs/>
          <w:sz w:val="24"/>
          <w:lang w:eastAsia="cs-CZ"/>
        </w:rPr>
        <w:t xml:space="preserve"> </w:t>
      </w:r>
      <w:r w:rsidRPr="005C441A">
        <w:rPr>
          <w:rFonts w:asciiTheme="minorHAnsi" w:hAnsiTheme="minorHAnsi" w:cstheme="minorHAnsi"/>
          <w:sz w:val="24"/>
          <w:lang w:eastAsia="cs-CZ"/>
        </w:rPr>
        <w:t>je ústředním orgánem státní správy, který převzal na základě zákona č. 178/2005 Sb. a č. 179/2005</w:t>
      </w:r>
      <w:r w:rsidRPr="005C441A">
        <w:rPr>
          <w:rStyle w:val="Znakapoznpodarou"/>
          <w:rFonts w:asciiTheme="minorHAnsi" w:hAnsiTheme="minorHAnsi" w:cstheme="minorHAnsi"/>
          <w:sz w:val="24"/>
        </w:rPr>
        <w:footnoteReference w:id="4"/>
      </w:r>
      <w:r w:rsidRPr="005C441A">
        <w:rPr>
          <w:rFonts w:asciiTheme="minorHAnsi" w:hAnsiTheme="minorHAnsi" w:cstheme="minorHAnsi"/>
          <w:sz w:val="24"/>
          <w:lang w:eastAsia="cs-CZ"/>
        </w:rPr>
        <w:t xml:space="preserve"> Sb. od 1. ledna 2006 majetek a závazky Fondu národního majetku České republiky (dále jen „FNM</w:t>
      </w:r>
      <w:r w:rsidRPr="00EB2104">
        <w:rPr>
          <w:rFonts w:asciiTheme="minorHAnsi" w:hAnsiTheme="minorHAnsi" w:cstheme="minorHAnsi"/>
          <w:sz w:val="24"/>
          <w:lang w:eastAsia="cs-CZ"/>
        </w:rPr>
        <w:t xml:space="preserve">“). </w:t>
      </w:r>
      <w:r w:rsidR="00900B29" w:rsidRPr="00EB2104">
        <w:rPr>
          <w:rFonts w:asciiTheme="minorHAnsi" w:hAnsiTheme="minorHAnsi" w:cstheme="minorHAnsi"/>
          <w:sz w:val="24"/>
          <w:lang w:eastAsia="cs-CZ"/>
        </w:rPr>
        <w:t xml:space="preserve">Výnosy z prodeje privatizovaného majetku a zisk z účasti státu v obchodních společnostech lze mimo jiné použít v souladu s rozhodnutím vlády k úhradě nákladů a podpoře investičních a neinvestičních akcí spojených s nápravou škod způsobených na životním prostředí těžbou nerostů a na revitalizaci dotčených území. Tyto prostředky jsou vedeny na zvláštním účtu MF a nejsou součástí </w:t>
      </w:r>
      <w:r w:rsidRPr="00EB2104">
        <w:rPr>
          <w:rFonts w:asciiTheme="minorHAnsi" w:hAnsiTheme="minorHAnsi" w:cstheme="minorHAnsi"/>
          <w:sz w:val="24"/>
          <w:lang w:eastAsia="cs-CZ"/>
        </w:rPr>
        <w:t>státního rozpočtu</w:t>
      </w:r>
      <w:r w:rsidR="00900B29" w:rsidRPr="00EB2104">
        <w:rPr>
          <w:rFonts w:asciiTheme="minorHAnsi" w:hAnsiTheme="minorHAnsi" w:cstheme="minorHAnsi"/>
          <w:sz w:val="24"/>
          <w:lang w:eastAsia="cs-CZ"/>
        </w:rPr>
        <w:t>.</w:t>
      </w:r>
      <w:r w:rsidRPr="00EB2104">
        <w:rPr>
          <w:rFonts w:asciiTheme="minorHAnsi" w:hAnsiTheme="minorHAnsi" w:cstheme="minorHAnsi"/>
          <w:sz w:val="24"/>
          <w:lang w:eastAsia="cs-CZ"/>
        </w:rPr>
        <w:t xml:space="preserve"> V letech 2006 až 2015 na základě deseti usnesení vlády ČR hradilo MF ze zvláštního účtu státnímu podniku DIAMO výdaje na ZNHČ.</w:t>
      </w:r>
      <w:r w:rsidRPr="005C441A">
        <w:rPr>
          <w:rFonts w:asciiTheme="minorHAnsi" w:hAnsiTheme="minorHAnsi" w:cstheme="minorHAnsi"/>
          <w:sz w:val="24"/>
          <w:lang w:eastAsia="cs-CZ"/>
        </w:rPr>
        <w:t xml:space="preserve"> MF je rovněž správcem kapitoly </w:t>
      </w:r>
      <w:r w:rsidRPr="005C441A">
        <w:rPr>
          <w:rFonts w:asciiTheme="minorHAnsi" w:hAnsiTheme="minorHAnsi" w:cstheme="minorHAnsi"/>
          <w:sz w:val="24"/>
        </w:rPr>
        <w:t xml:space="preserve">397 – </w:t>
      </w:r>
      <w:r w:rsidRPr="00AB2027">
        <w:rPr>
          <w:rFonts w:asciiTheme="minorHAnsi" w:hAnsiTheme="minorHAnsi" w:cstheme="minorHAnsi"/>
          <w:i/>
          <w:sz w:val="24"/>
        </w:rPr>
        <w:t>Operace státních finančních aktiv</w:t>
      </w:r>
      <w:r w:rsidRPr="005C441A">
        <w:rPr>
          <w:rFonts w:asciiTheme="minorHAnsi" w:hAnsiTheme="minorHAnsi" w:cstheme="minorHAnsi"/>
          <w:sz w:val="24"/>
        </w:rPr>
        <w:t xml:space="preserve"> (dále také „kapitola 397 </w:t>
      </w:r>
      <w:r w:rsidR="00D803F7">
        <w:rPr>
          <w:rFonts w:asciiTheme="minorHAnsi" w:hAnsiTheme="minorHAnsi" w:cstheme="minorHAnsi"/>
          <w:sz w:val="24"/>
        </w:rPr>
        <w:t>–</w:t>
      </w:r>
      <w:r w:rsidR="005C441A" w:rsidRPr="005C441A">
        <w:rPr>
          <w:rFonts w:asciiTheme="minorHAnsi" w:hAnsiTheme="minorHAnsi" w:cstheme="minorHAnsi"/>
          <w:sz w:val="24"/>
        </w:rPr>
        <w:t xml:space="preserve"> </w:t>
      </w:r>
      <w:r w:rsidRPr="005C441A">
        <w:rPr>
          <w:rFonts w:asciiTheme="minorHAnsi" w:hAnsiTheme="minorHAnsi" w:cstheme="minorHAnsi"/>
          <w:sz w:val="24"/>
        </w:rPr>
        <w:t>OSFA“), ze které poskytlo peněžní prostředky státnímu podniku na ZNHČ v roce 2008.</w:t>
      </w:r>
    </w:p>
    <w:p w14:paraId="17F900E3" w14:textId="77777777" w:rsidR="0065119E" w:rsidRPr="005C441A" w:rsidRDefault="0065119E" w:rsidP="00992484">
      <w:pPr>
        <w:rPr>
          <w:rFonts w:asciiTheme="minorHAnsi" w:hAnsiTheme="minorHAnsi" w:cstheme="minorHAnsi"/>
          <w:b/>
          <w:color w:val="000000"/>
          <w:sz w:val="24"/>
        </w:rPr>
      </w:pPr>
    </w:p>
    <w:p w14:paraId="46A3B76A" w14:textId="77777777" w:rsidR="0065119E" w:rsidRPr="005C441A" w:rsidRDefault="0065119E" w:rsidP="00992484">
      <w:pPr>
        <w:rPr>
          <w:rFonts w:asciiTheme="minorHAnsi" w:hAnsiTheme="minorHAnsi" w:cstheme="minorHAnsi"/>
          <w:b/>
          <w:color w:val="000000"/>
          <w:sz w:val="24"/>
        </w:rPr>
      </w:pPr>
      <w:r w:rsidRPr="005C441A">
        <w:rPr>
          <w:rFonts w:asciiTheme="minorHAnsi" w:hAnsiTheme="minorHAnsi" w:cstheme="minorHAnsi"/>
          <w:b/>
          <w:color w:val="000000"/>
          <w:sz w:val="24"/>
        </w:rPr>
        <w:t>Kontrolovaná problematika</w:t>
      </w:r>
    </w:p>
    <w:p w14:paraId="0DBB22FE" w14:textId="77777777" w:rsidR="003854BF" w:rsidRDefault="003854BF" w:rsidP="00EC6AA5">
      <w:pPr>
        <w:rPr>
          <w:rFonts w:asciiTheme="minorHAnsi" w:hAnsiTheme="minorHAnsi" w:cstheme="minorHAnsi"/>
          <w:sz w:val="24"/>
        </w:rPr>
      </w:pPr>
    </w:p>
    <w:p w14:paraId="190F00DD" w14:textId="2D2957DD" w:rsidR="0065119E" w:rsidRPr="0065119E" w:rsidRDefault="003E1AA1" w:rsidP="00EC6A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Zákon</w:t>
      </w:r>
      <w:r w:rsidR="0065119E" w:rsidRPr="005C441A">
        <w:rPr>
          <w:rFonts w:asciiTheme="minorHAnsi" w:hAnsiTheme="minorHAnsi" w:cstheme="minorHAnsi"/>
          <w:sz w:val="24"/>
        </w:rPr>
        <w:t xml:space="preserve"> č. 44/1988 Sb.</w:t>
      </w:r>
      <w:r w:rsidR="0065119E" w:rsidRPr="005C441A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="0065119E" w:rsidRPr="005C441A">
        <w:rPr>
          <w:rFonts w:asciiTheme="minorHAnsi" w:hAnsiTheme="minorHAnsi" w:cstheme="minorHAnsi"/>
          <w:sz w:val="24"/>
        </w:rPr>
        <w:t xml:space="preserve"> ve zn</w:t>
      </w:r>
      <w:r>
        <w:rPr>
          <w:rFonts w:asciiTheme="minorHAnsi" w:hAnsiTheme="minorHAnsi" w:cstheme="minorHAnsi"/>
          <w:sz w:val="24"/>
        </w:rPr>
        <w:t>ění účinném od května 2006 stanoví</w:t>
      </w:r>
      <w:r w:rsidR="0065119E" w:rsidRPr="005C441A">
        <w:rPr>
          <w:rFonts w:asciiTheme="minorHAnsi" w:hAnsiTheme="minorHAnsi" w:cstheme="minorHAnsi"/>
          <w:sz w:val="24"/>
        </w:rPr>
        <w:t xml:space="preserve">, že u dolů a lomů, kde jediným vlastníkem je stát a byly v rámci restrukturalizace uhelného, uranového a rudného průmyslu </w:t>
      </w:r>
      <w:r w:rsidR="0065119E" w:rsidRPr="005C441A">
        <w:rPr>
          <w:rFonts w:asciiTheme="minorHAnsi" w:hAnsiTheme="minorHAnsi" w:cstheme="minorHAnsi"/>
          <w:sz w:val="24"/>
        </w:rPr>
        <w:lastRenderedPageBreak/>
        <w:t>zařazeny vládou do koncepce útlumu uhelného, uranového a rudného hornictví</w:t>
      </w:r>
      <w:r w:rsidR="001A6F0E">
        <w:rPr>
          <w:rFonts w:asciiTheme="minorHAnsi" w:hAnsiTheme="minorHAnsi" w:cstheme="minorHAnsi"/>
          <w:sz w:val="24"/>
        </w:rPr>
        <w:t>,</w:t>
      </w:r>
      <w:r w:rsidR="0065119E" w:rsidRPr="005C441A">
        <w:rPr>
          <w:rFonts w:asciiTheme="minorHAnsi" w:hAnsiTheme="minorHAnsi" w:cstheme="minorHAnsi"/>
          <w:sz w:val="24"/>
        </w:rPr>
        <w:t xml:space="preserve"> a</w:t>
      </w:r>
      <w:r w:rsidR="00D803F7">
        <w:rPr>
          <w:rFonts w:asciiTheme="minorHAnsi" w:hAnsiTheme="minorHAnsi" w:cstheme="minorHAnsi"/>
          <w:sz w:val="24"/>
        </w:rPr>
        <w:t> </w:t>
      </w:r>
      <w:r w:rsidR="0065119E" w:rsidRPr="005C441A">
        <w:rPr>
          <w:rFonts w:asciiTheme="minorHAnsi" w:hAnsiTheme="minorHAnsi" w:cstheme="minorHAnsi"/>
          <w:sz w:val="24"/>
        </w:rPr>
        <w:t xml:space="preserve">nebylo </w:t>
      </w:r>
      <w:r w:rsidR="00C7520F">
        <w:rPr>
          <w:rFonts w:asciiTheme="minorHAnsi" w:hAnsiTheme="minorHAnsi" w:cstheme="minorHAnsi"/>
          <w:sz w:val="24"/>
        </w:rPr>
        <w:t xml:space="preserve">proto </w:t>
      </w:r>
      <w:r w:rsidR="0065119E" w:rsidRPr="005C441A">
        <w:rPr>
          <w:rFonts w:asciiTheme="minorHAnsi" w:hAnsiTheme="minorHAnsi" w:cstheme="minorHAnsi"/>
          <w:sz w:val="24"/>
        </w:rPr>
        <w:t>možné vytvořit rezervu na sanace a rekultivace a rezervu na zahlazování důlních škod, nebo nebylo možné tyto rezervy vytvořit v dostatečné výši, hradí tyto náklady v potřebné výši</w:t>
      </w:r>
      <w:r w:rsidR="0065119E" w:rsidRPr="0065119E">
        <w:rPr>
          <w:rFonts w:asciiTheme="minorHAnsi" w:hAnsiTheme="minorHAnsi" w:cstheme="minorHAnsi"/>
          <w:sz w:val="24"/>
        </w:rPr>
        <w:t xml:space="preserve"> stát prostřednictvím rozpočtové kapitoly své příslušné organizační složky, v tomto případě prostřednictvím MPO. </w:t>
      </w:r>
      <w:r w:rsidR="0065119E" w:rsidRPr="00F23E28">
        <w:rPr>
          <w:rFonts w:asciiTheme="minorHAnsi" w:hAnsiTheme="minorHAnsi" w:cstheme="minorHAnsi"/>
          <w:sz w:val="24"/>
        </w:rPr>
        <w:t>ZNHČ ve státním podniku DIAMO se po věcné stránce týkalo jednak zátěží po uhelném a</w:t>
      </w:r>
      <w:r w:rsidR="00531FAC" w:rsidRPr="00F23E28">
        <w:rPr>
          <w:rFonts w:asciiTheme="minorHAnsi" w:hAnsiTheme="minorHAnsi" w:cstheme="minorHAnsi"/>
          <w:sz w:val="24"/>
        </w:rPr>
        <w:t> </w:t>
      </w:r>
      <w:r w:rsidR="0065119E" w:rsidRPr="00F23E28">
        <w:rPr>
          <w:rFonts w:asciiTheme="minorHAnsi" w:hAnsiTheme="minorHAnsi" w:cstheme="minorHAnsi"/>
          <w:sz w:val="24"/>
        </w:rPr>
        <w:t>rudném hornictví (zejména likvidace povrchových objektů, rekultivace odvalů a čerpání, čištění a nakládání s důlními vodami a plyny, revitalizace území, zajištění monitorování oblastí) a dále uranového hornictví (výstavba a provoz technologických zařízení pro vyvedení kontaminovaných roztoků z podzemí, jejich zpracování na využitelné suroviny, dekontaminace</w:t>
      </w:r>
      <w:r w:rsidR="0065119E" w:rsidRPr="0065119E">
        <w:rPr>
          <w:rFonts w:asciiTheme="minorHAnsi" w:hAnsiTheme="minorHAnsi" w:cstheme="minorHAnsi"/>
          <w:sz w:val="24"/>
        </w:rPr>
        <w:t xml:space="preserve"> odkaliště, likvidace důlních děl, povrchových areálů, odvalů a provoz neutralizačně dekontaminačních stanic, čistíren a monitoring území). </w:t>
      </w:r>
    </w:p>
    <w:p w14:paraId="6FA0E9E3" w14:textId="7CA78A3C" w:rsidR="0065119E" w:rsidRPr="0065119E" w:rsidRDefault="0065119E" w:rsidP="00EC6AA5">
      <w:pPr>
        <w:rPr>
          <w:rFonts w:asciiTheme="minorHAnsi" w:hAnsiTheme="minorHAnsi" w:cstheme="minorHAnsi"/>
          <w:color w:val="000000"/>
          <w:sz w:val="24"/>
        </w:rPr>
      </w:pPr>
    </w:p>
    <w:p w14:paraId="0B398DDF" w14:textId="223F1C77" w:rsidR="0065119E" w:rsidRPr="0065119E" w:rsidRDefault="0065119E" w:rsidP="003854BF">
      <w:pPr>
        <w:rPr>
          <w:rFonts w:asciiTheme="minorHAnsi" w:hAnsiTheme="minorHAnsi" w:cstheme="minorHAnsi"/>
          <w:sz w:val="24"/>
        </w:rPr>
      </w:pPr>
      <w:r w:rsidRPr="0065119E">
        <w:rPr>
          <w:rFonts w:asciiTheme="minorHAnsi" w:hAnsiTheme="minorHAnsi" w:cstheme="minorHAnsi"/>
          <w:sz w:val="24"/>
        </w:rPr>
        <w:t>Útlum hornictví v České republice byl zahájen již v 90. letech minulého století. Vláda ČR od té doby přijala řadu usnesení, kterými schválila koncepce, programy a informace o útlumu těžby uranu, rudného a uhelného hornictví a postupy zahlazování následků hornické činnosti včetně výše státních peněžních prostředků</w:t>
      </w:r>
      <w:r w:rsidR="00BD617D" w:rsidRPr="00BD617D">
        <w:rPr>
          <w:rFonts w:asciiTheme="minorHAnsi" w:hAnsiTheme="minorHAnsi" w:cstheme="minorHAnsi"/>
          <w:sz w:val="24"/>
        </w:rPr>
        <w:t xml:space="preserve"> </w:t>
      </w:r>
      <w:r w:rsidR="00BD617D" w:rsidRPr="0065119E">
        <w:rPr>
          <w:rFonts w:asciiTheme="minorHAnsi" w:hAnsiTheme="minorHAnsi" w:cstheme="minorHAnsi"/>
          <w:sz w:val="24"/>
        </w:rPr>
        <w:t>určených</w:t>
      </w:r>
      <w:r w:rsidR="00BD617D" w:rsidRPr="00BD617D">
        <w:rPr>
          <w:rFonts w:asciiTheme="minorHAnsi" w:hAnsiTheme="minorHAnsi" w:cstheme="minorHAnsi"/>
          <w:sz w:val="24"/>
        </w:rPr>
        <w:t xml:space="preserve"> </w:t>
      </w:r>
      <w:r w:rsidR="00BD617D" w:rsidRPr="0065119E">
        <w:rPr>
          <w:rFonts w:asciiTheme="minorHAnsi" w:hAnsiTheme="minorHAnsi" w:cstheme="minorHAnsi"/>
          <w:sz w:val="24"/>
        </w:rPr>
        <w:t>k tomuto účelu</w:t>
      </w:r>
      <w:r w:rsidRPr="0065119E">
        <w:rPr>
          <w:rFonts w:asciiTheme="minorHAnsi" w:hAnsiTheme="minorHAnsi" w:cstheme="minorHAnsi"/>
          <w:sz w:val="24"/>
        </w:rPr>
        <w:t xml:space="preserve"> v jednotlivých letech. </w:t>
      </w:r>
    </w:p>
    <w:p w14:paraId="1FB0F0EF" w14:textId="77777777" w:rsidR="003854BF" w:rsidRDefault="003854BF" w:rsidP="003854BF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14:paraId="55E78DB3" w14:textId="570813D5" w:rsidR="0065119E" w:rsidRPr="00BD617D" w:rsidRDefault="0065119E" w:rsidP="003854BF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BD617D">
        <w:rPr>
          <w:rFonts w:asciiTheme="minorHAnsi" w:hAnsiTheme="minorHAnsi" w:cstheme="minorHAnsi"/>
          <w:color w:val="000000"/>
          <w:sz w:val="24"/>
        </w:rPr>
        <w:t xml:space="preserve">Útlumový program uranového průmyslu zahájený </w:t>
      </w:r>
      <w:r w:rsidRPr="00BD617D">
        <w:rPr>
          <w:rFonts w:asciiTheme="minorHAnsi" w:hAnsiTheme="minorHAnsi" w:cstheme="minorHAnsi"/>
          <w:bCs/>
          <w:color w:val="000000"/>
          <w:sz w:val="24"/>
        </w:rPr>
        <w:t xml:space="preserve">v roce 1996 </w:t>
      </w:r>
      <w:r w:rsidRPr="00BD617D">
        <w:rPr>
          <w:rFonts w:asciiTheme="minorHAnsi" w:hAnsiTheme="minorHAnsi" w:cstheme="minorHAnsi"/>
          <w:color w:val="000000"/>
          <w:sz w:val="24"/>
        </w:rPr>
        <w:t>a postup sanace chemické těžby uranu ve Stráži pod Ralskem</w:t>
      </w:r>
      <w:r w:rsidRPr="00BD617D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Pr="00BD617D">
        <w:rPr>
          <w:rFonts w:asciiTheme="minorHAnsi" w:hAnsiTheme="minorHAnsi" w:cstheme="minorHAnsi"/>
          <w:color w:val="000000"/>
          <w:sz w:val="24"/>
        </w:rPr>
        <w:t>má charakter plošné likvidace všech těžebních a úpravárenských kapacit s následným zahlazením negativních projevů těžby a úpravy uranové rudy na životní prostředí. V rámci útlumového programu uranového hornictví jsou prostředky vynakládány na</w:t>
      </w:r>
      <w:r w:rsidR="00531FAC" w:rsidRPr="00BD617D">
        <w:rPr>
          <w:rFonts w:asciiTheme="minorHAnsi" w:hAnsiTheme="minorHAnsi" w:cstheme="minorHAnsi"/>
          <w:color w:val="000000"/>
          <w:sz w:val="24"/>
        </w:rPr>
        <w:t xml:space="preserve"> </w:t>
      </w:r>
      <w:r w:rsidRPr="00BD617D">
        <w:rPr>
          <w:rFonts w:asciiTheme="minorHAnsi" w:hAnsiTheme="minorHAnsi" w:cstheme="minorHAnsi"/>
          <w:color w:val="000000"/>
          <w:sz w:val="24"/>
        </w:rPr>
        <w:t>likvidační a sanační akce, ekologické investice určené na základě usnesení vlád k zabezpečení realizace sanace chemické těžby na Českolipsku, dále na sociální opatření, což je soubor nákladů na krytí sociálního a zdravotního zabezpečení zákonných nároků bývalých i stávajících pracovníků v</w:t>
      </w:r>
      <w:r w:rsidR="008B67C4" w:rsidRPr="00BD617D">
        <w:rPr>
          <w:rFonts w:asciiTheme="minorHAnsi" w:hAnsiTheme="minorHAnsi" w:cstheme="minorHAnsi"/>
          <w:color w:val="000000"/>
          <w:sz w:val="24"/>
        </w:rPr>
        <w:t> </w:t>
      </w:r>
      <w:r w:rsidRPr="00BD617D">
        <w:rPr>
          <w:rFonts w:asciiTheme="minorHAnsi" w:hAnsiTheme="minorHAnsi" w:cstheme="minorHAnsi"/>
          <w:color w:val="000000"/>
          <w:sz w:val="24"/>
        </w:rPr>
        <w:t>uranovém průmyslu, a v neposlední řadě na investice na podporu útlumu uranového hornictví pro zajištění útlumového programu těžby a zpracování uranu.</w:t>
      </w:r>
    </w:p>
    <w:p w14:paraId="2F33E8B7" w14:textId="77777777" w:rsidR="0065119E" w:rsidRPr="0065119E" w:rsidRDefault="0065119E" w:rsidP="00EC6AA5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</w:rPr>
      </w:pPr>
    </w:p>
    <w:p w14:paraId="197F446A" w14:textId="62671636" w:rsidR="00F23E28" w:rsidRDefault="0065119E" w:rsidP="00EC6AA5">
      <w:pPr>
        <w:rPr>
          <w:rFonts w:asciiTheme="minorHAnsi" w:hAnsiTheme="minorHAnsi" w:cstheme="minorHAnsi"/>
          <w:b/>
          <w:sz w:val="24"/>
        </w:rPr>
      </w:pPr>
      <w:r w:rsidRPr="00F23E28">
        <w:rPr>
          <w:rFonts w:asciiTheme="minorHAnsi" w:hAnsiTheme="minorHAnsi" w:cstheme="minorHAnsi"/>
          <w:b/>
          <w:sz w:val="24"/>
        </w:rPr>
        <w:t xml:space="preserve">Státní podnik DIAMO v kontrolovaném období </w:t>
      </w:r>
      <w:r w:rsidR="00BD617D">
        <w:rPr>
          <w:rFonts w:asciiTheme="minorHAnsi" w:hAnsiTheme="minorHAnsi" w:cstheme="minorHAnsi"/>
          <w:b/>
          <w:sz w:val="24"/>
        </w:rPr>
        <w:t>u</w:t>
      </w:r>
      <w:r w:rsidRPr="00F23E28">
        <w:rPr>
          <w:rFonts w:asciiTheme="minorHAnsi" w:hAnsiTheme="minorHAnsi" w:cstheme="minorHAnsi"/>
          <w:b/>
          <w:sz w:val="24"/>
        </w:rPr>
        <w:t>hradil výdaje na ZHNČ z prostředků státního rozpočtu (kapitol</w:t>
      </w:r>
      <w:r w:rsidR="00F6705E" w:rsidRPr="00F23E28">
        <w:rPr>
          <w:rFonts w:asciiTheme="minorHAnsi" w:hAnsiTheme="minorHAnsi" w:cstheme="minorHAnsi"/>
          <w:b/>
          <w:sz w:val="24"/>
        </w:rPr>
        <w:t>a</w:t>
      </w:r>
      <w:r w:rsidRPr="00F23E28">
        <w:rPr>
          <w:rFonts w:asciiTheme="minorHAnsi" w:hAnsiTheme="minorHAnsi" w:cstheme="minorHAnsi"/>
          <w:b/>
          <w:sz w:val="24"/>
        </w:rPr>
        <w:t xml:space="preserve"> MPO a kapitol</w:t>
      </w:r>
      <w:r w:rsidR="00F6705E" w:rsidRPr="00F23E28">
        <w:rPr>
          <w:rFonts w:asciiTheme="minorHAnsi" w:hAnsiTheme="minorHAnsi" w:cstheme="minorHAnsi"/>
          <w:b/>
          <w:sz w:val="24"/>
        </w:rPr>
        <w:t>a</w:t>
      </w:r>
      <w:r w:rsidRPr="00F23E28">
        <w:rPr>
          <w:rFonts w:asciiTheme="minorHAnsi" w:hAnsiTheme="minorHAnsi" w:cstheme="minorHAnsi"/>
          <w:b/>
          <w:sz w:val="24"/>
        </w:rPr>
        <w:t xml:space="preserve"> MF), zvláštního účtu MF a z vl</w:t>
      </w:r>
      <w:r w:rsidR="005C441A" w:rsidRPr="00F23E28">
        <w:rPr>
          <w:rFonts w:asciiTheme="minorHAnsi" w:hAnsiTheme="minorHAnsi" w:cstheme="minorHAnsi"/>
          <w:b/>
          <w:sz w:val="24"/>
        </w:rPr>
        <w:t>astn</w:t>
      </w:r>
      <w:r w:rsidR="007D6F98" w:rsidRPr="00F23E28">
        <w:rPr>
          <w:rFonts w:asciiTheme="minorHAnsi" w:hAnsiTheme="minorHAnsi" w:cstheme="minorHAnsi"/>
          <w:b/>
          <w:sz w:val="24"/>
        </w:rPr>
        <w:t>ích zdrojů v celkové výši 36 802</w:t>
      </w:r>
      <w:r w:rsidRPr="00F23E28">
        <w:rPr>
          <w:rFonts w:asciiTheme="minorHAnsi" w:hAnsiTheme="minorHAnsi" w:cstheme="minorHAnsi"/>
          <w:b/>
          <w:sz w:val="24"/>
        </w:rPr>
        <w:t xml:space="preserve"> mil. </w:t>
      </w:r>
      <w:r w:rsidRPr="00015AAA">
        <w:rPr>
          <w:rFonts w:asciiTheme="minorHAnsi" w:hAnsiTheme="minorHAnsi" w:cstheme="minorHAnsi"/>
          <w:b/>
          <w:sz w:val="24"/>
        </w:rPr>
        <w:t>Kč</w:t>
      </w:r>
      <w:r w:rsidR="00DC5BDA" w:rsidRPr="00015AAA">
        <w:rPr>
          <w:rFonts w:asciiTheme="minorHAnsi" w:hAnsiTheme="minorHAnsi" w:cstheme="minorHAnsi"/>
          <w:b/>
          <w:sz w:val="24"/>
        </w:rPr>
        <w:t xml:space="preserve"> a </w:t>
      </w:r>
      <w:r w:rsidR="005A219B" w:rsidRPr="00015AAA">
        <w:rPr>
          <w:rFonts w:asciiTheme="minorHAnsi" w:hAnsiTheme="minorHAnsi" w:cstheme="minorHAnsi"/>
          <w:b/>
          <w:sz w:val="24"/>
        </w:rPr>
        <w:t>MF</w:t>
      </w:r>
      <w:r w:rsidR="005A219B" w:rsidRPr="00F23E28">
        <w:rPr>
          <w:rFonts w:asciiTheme="minorHAnsi" w:hAnsiTheme="minorHAnsi" w:cstheme="minorHAnsi"/>
          <w:b/>
          <w:sz w:val="24"/>
        </w:rPr>
        <w:t xml:space="preserve"> uhradilo ze zvláštního účtu výdaje ve výši 59,31 mil. Kč za supervizi a</w:t>
      </w:r>
      <w:r w:rsidR="008B67C4" w:rsidRPr="00F23E28">
        <w:rPr>
          <w:rFonts w:asciiTheme="minorHAnsi" w:hAnsiTheme="minorHAnsi" w:cstheme="minorHAnsi"/>
          <w:b/>
          <w:sz w:val="24"/>
        </w:rPr>
        <w:t> </w:t>
      </w:r>
      <w:r w:rsidR="005A219B" w:rsidRPr="00F23E28">
        <w:rPr>
          <w:rFonts w:asciiTheme="minorHAnsi" w:hAnsiTheme="minorHAnsi" w:cstheme="minorHAnsi"/>
          <w:b/>
          <w:sz w:val="24"/>
        </w:rPr>
        <w:t>oponentní posudek. Ú</w:t>
      </w:r>
      <w:r w:rsidR="000E73E2" w:rsidRPr="00F23E28">
        <w:rPr>
          <w:rFonts w:asciiTheme="minorHAnsi" w:hAnsiTheme="minorHAnsi" w:cstheme="minorHAnsi"/>
          <w:b/>
          <w:sz w:val="24"/>
        </w:rPr>
        <w:t xml:space="preserve">čelnost a hospodárnost byla ověřena u </w:t>
      </w:r>
      <w:r w:rsidR="005A219B" w:rsidRPr="00F23E28">
        <w:rPr>
          <w:rFonts w:asciiTheme="minorHAnsi" w:hAnsiTheme="minorHAnsi" w:cstheme="minorHAnsi"/>
          <w:b/>
          <w:sz w:val="24"/>
        </w:rPr>
        <w:t xml:space="preserve">vybraného vzorku </w:t>
      </w:r>
      <w:r w:rsidR="000E73E2" w:rsidRPr="00F23E28">
        <w:rPr>
          <w:rFonts w:asciiTheme="minorHAnsi" w:hAnsiTheme="minorHAnsi" w:cstheme="minorHAnsi"/>
          <w:b/>
          <w:sz w:val="24"/>
        </w:rPr>
        <w:t>výdajů ve výši 1 146,5 mil. Kč</w:t>
      </w:r>
      <w:r w:rsidRPr="00F23E28">
        <w:rPr>
          <w:rFonts w:asciiTheme="minorHAnsi" w:hAnsiTheme="minorHAnsi" w:cstheme="minorHAnsi"/>
          <w:b/>
          <w:sz w:val="24"/>
        </w:rPr>
        <w:t>.</w:t>
      </w:r>
    </w:p>
    <w:p w14:paraId="2098C457" w14:textId="77777777" w:rsidR="003854BF" w:rsidRDefault="003854BF" w:rsidP="00EC6AA5">
      <w:pPr>
        <w:rPr>
          <w:rFonts w:asciiTheme="minorHAnsi" w:hAnsiTheme="minorHAnsi" w:cstheme="minorHAnsi"/>
          <w:sz w:val="24"/>
        </w:rPr>
      </w:pPr>
    </w:p>
    <w:p w14:paraId="75738267" w14:textId="60E124CC" w:rsidR="0065119E" w:rsidRDefault="00EF3058" w:rsidP="00EC6AA5">
      <w:pPr>
        <w:rPr>
          <w:rFonts w:asciiTheme="minorHAnsi" w:hAnsiTheme="minorHAnsi" w:cstheme="minorHAnsi"/>
          <w:sz w:val="24"/>
        </w:rPr>
      </w:pPr>
      <w:r w:rsidRPr="00EA1A49">
        <w:rPr>
          <w:rFonts w:asciiTheme="minorHAnsi" w:hAnsiTheme="minorHAnsi" w:cstheme="minorHAnsi"/>
          <w:sz w:val="24"/>
        </w:rPr>
        <w:t xml:space="preserve">Státnímu podniku byly </w:t>
      </w:r>
      <w:r w:rsidR="00CD2332" w:rsidRPr="00EA1A49">
        <w:rPr>
          <w:rFonts w:asciiTheme="minorHAnsi" w:hAnsiTheme="minorHAnsi" w:cstheme="minorHAnsi"/>
          <w:sz w:val="24"/>
        </w:rPr>
        <w:t>dále</w:t>
      </w:r>
      <w:r w:rsidR="00F6705E" w:rsidRPr="00EA1A49">
        <w:rPr>
          <w:rFonts w:asciiTheme="minorHAnsi" w:hAnsiTheme="minorHAnsi" w:cstheme="minorHAnsi"/>
          <w:sz w:val="24"/>
        </w:rPr>
        <w:t xml:space="preserve"> </w:t>
      </w:r>
      <w:r w:rsidR="0065119E" w:rsidRPr="00EA1A49">
        <w:rPr>
          <w:rFonts w:asciiTheme="minorHAnsi" w:hAnsiTheme="minorHAnsi" w:cstheme="minorHAnsi"/>
          <w:sz w:val="24"/>
        </w:rPr>
        <w:t>poskytnuty prostředky z </w:t>
      </w:r>
      <w:r w:rsidR="00BD617D">
        <w:rPr>
          <w:rFonts w:asciiTheme="minorHAnsi" w:hAnsiTheme="minorHAnsi" w:cstheme="minorHAnsi"/>
          <w:sz w:val="24"/>
        </w:rPr>
        <w:t>o</w:t>
      </w:r>
      <w:r w:rsidR="0065119E" w:rsidRPr="00EA1A49">
        <w:rPr>
          <w:rFonts w:asciiTheme="minorHAnsi" w:hAnsiTheme="minorHAnsi" w:cstheme="minorHAnsi"/>
          <w:sz w:val="24"/>
        </w:rPr>
        <w:t xml:space="preserve">peračního programu </w:t>
      </w:r>
      <w:r w:rsidR="00BD617D" w:rsidRPr="00F132F5">
        <w:rPr>
          <w:rFonts w:asciiTheme="minorHAnsi" w:hAnsiTheme="minorHAnsi" w:cstheme="minorHAnsi"/>
          <w:i/>
          <w:sz w:val="24"/>
        </w:rPr>
        <w:t>Ž</w:t>
      </w:r>
      <w:r w:rsidR="0065119E" w:rsidRPr="00F132F5">
        <w:rPr>
          <w:rFonts w:asciiTheme="minorHAnsi" w:hAnsiTheme="minorHAnsi" w:cstheme="minorHAnsi"/>
          <w:i/>
          <w:sz w:val="24"/>
        </w:rPr>
        <w:t>ivotní prostředí</w:t>
      </w:r>
      <w:r w:rsidR="0065119E" w:rsidRPr="00EA1A49">
        <w:rPr>
          <w:rFonts w:asciiTheme="minorHAnsi" w:hAnsiTheme="minorHAnsi" w:cstheme="minorHAnsi"/>
          <w:sz w:val="24"/>
        </w:rPr>
        <w:t xml:space="preserve"> ve výši 1 292 mil. Kč, které nebyly předmětem kontroly NKÚ.</w:t>
      </w:r>
      <w:r w:rsidR="007E5C38">
        <w:rPr>
          <w:rFonts w:asciiTheme="minorHAnsi" w:hAnsiTheme="minorHAnsi" w:cstheme="minorHAnsi"/>
          <w:sz w:val="24"/>
        </w:rPr>
        <w:t xml:space="preserve"> </w:t>
      </w:r>
    </w:p>
    <w:p w14:paraId="361BED94" w14:textId="77777777" w:rsidR="00C962A3" w:rsidRDefault="00C962A3" w:rsidP="00EC6AA5">
      <w:pPr>
        <w:rPr>
          <w:rFonts w:asciiTheme="minorHAnsi" w:hAnsiTheme="minorHAnsi" w:cstheme="minorHAnsi"/>
          <w:sz w:val="24"/>
        </w:rPr>
      </w:pPr>
    </w:p>
    <w:p w14:paraId="5AE438A6" w14:textId="77777777" w:rsidR="00C962A3" w:rsidRDefault="00C962A3" w:rsidP="00EC6AA5">
      <w:pPr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68760E65" w14:textId="7E0552E5" w:rsidR="00C962A3" w:rsidRPr="00C962A3" w:rsidRDefault="00C962A3" w:rsidP="00EC6AA5">
      <w:pPr>
        <w:ind w:left="1134" w:hanging="1134"/>
        <w:rPr>
          <w:rFonts w:asciiTheme="minorHAnsi" w:hAnsiTheme="minorHAnsi" w:cstheme="minorHAnsi"/>
          <w:b/>
          <w:sz w:val="24"/>
        </w:rPr>
      </w:pPr>
      <w:r w:rsidRPr="00C962A3">
        <w:rPr>
          <w:rFonts w:asciiTheme="minorHAnsi" w:hAnsiTheme="minorHAnsi" w:cstheme="minorHAnsi"/>
          <w:b/>
          <w:sz w:val="24"/>
        </w:rPr>
        <w:lastRenderedPageBreak/>
        <w:t xml:space="preserve">Graf č. 1 </w:t>
      </w:r>
      <w:r w:rsidR="00BD617D">
        <w:rPr>
          <w:rFonts w:asciiTheme="minorHAnsi" w:hAnsiTheme="minorHAnsi" w:cstheme="minorHAnsi"/>
          <w:b/>
          <w:sz w:val="24"/>
        </w:rPr>
        <w:t>–</w:t>
      </w:r>
      <w:r w:rsidR="00EC6AA5">
        <w:rPr>
          <w:rFonts w:asciiTheme="minorHAnsi" w:hAnsiTheme="minorHAnsi" w:cstheme="minorHAnsi"/>
          <w:b/>
          <w:sz w:val="24"/>
        </w:rPr>
        <w:tab/>
      </w:r>
      <w:r w:rsidRPr="00C962A3">
        <w:rPr>
          <w:rFonts w:asciiTheme="minorHAnsi" w:hAnsiTheme="minorHAnsi" w:cstheme="minorHAnsi"/>
          <w:b/>
          <w:sz w:val="24"/>
        </w:rPr>
        <w:t>Prostředky poskytnuté státnímu podniku DIAMO na zahlazování následků hornické činnosti a jeho vlastní zdroje</w:t>
      </w:r>
    </w:p>
    <w:p w14:paraId="291410B8" w14:textId="77777777" w:rsidR="0065119E" w:rsidRPr="0065119E" w:rsidRDefault="0065119E" w:rsidP="0065119E">
      <w:pPr>
        <w:rPr>
          <w:rFonts w:asciiTheme="minorHAnsi" w:hAnsiTheme="minorHAnsi" w:cstheme="minorHAnsi"/>
          <w:b/>
          <w:sz w:val="24"/>
        </w:rPr>
      </w:pPr>
    </w:p>
    <w:p w14:paraId="01D222E9" w14:textId="77777777" w:rsidR="0065119E" w:rsidRPr="0065119E" w:rsidRDefault="0065119E" w:rsidP="0065119E">
      <w:pPr>
        <w:rPr>
          <w:rFonts w:asciiTheme="minorHAnsi" w:hAnsiTheme="minorHAnsi" w:cstheme="minorHAnsi"/>
          <w:b/>
          <w:color w:val="000000"/>
          <w:sz w:val="24"/>
        </w:rPr>
      </w:pPr>
      <w:r w:rsidRPr="000E73E2">
        <w:rPr>
          <w:rFonts w:asciiTheme="minorHAnsi" w:hAnsiTheme="minorHAnsi" w:cstheme="minorHAnsi"/>
          <w:noProof/>
          <w:sz w:val="24"/>
          <w:lang w:eastAsia="cs-CZ"/>
        </w:rPr>
        <w:drawing>
          <wp:inline distT="0" distB="0" distL="0" distR="0" wp14:anchorId="6E3B1D8F" wp14:editId="669443FF">
            <wp:extent cx="5905500" cy="2523744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9203BB" w14:textId="77777777" w:rsidR="006E6F64" w:rsidRDefault="006E6F64">
      <w:pPr>
        <w:rPr>
          <w:rFonts w:asciiTheme="minorHAnsi" w:hAnsiTheme="minorHAnsi" w:cstheme="minorHAnsi"/>
          <w:sz w:val="24"/>
        </w:rPr>
      </w:pPr>
    </w:p>
    <w:p w14:paraId="4001E347" w14:textId="77777777" w:rsidR="00EC6AA5" w:rsidRPr="0065119E" w:rsidRDefault="00EC6AA5">
      <w:pPr>
        <w:rPr>
          <w:rFonts w:asciiTheme="minorHAnsi" w:hAnsiTheme="minorHAnsi" w:cstheme="minorHAnsi"/>
          <w:sz w:val="24"/>
        </w:rPr>
      </w:pPr>
    </w:p>
    <w:p w14:paraId="588761B2" w14:textId="5FEDC741" w:rsidR="0065119E" w:rsidRPr="009B4626" w:rsidRDefault="0065119E" w:rsidP="00EC6AA5">
      <w:pPr>
        <w:ind w:left="567" w:hanging="567"/>
        <w:rPr>
          <w:rFonts w:asciiTheme="minorHAnsi" w:hAnsiTheme="minorHAnsi" w:cstheme="minorHAnsi"/>
          <w:sz w:val="20"/>
          <w:szCs w:val="22"/>
        </w:rPr>
      </w:pPr>
      <w:r w:rsidRPr="009B4626">
        <w:rPr>
          <w:rFonts w:asciiTheme="minorHAnsi" w:hAnsiTheme="minorHAnsi" w:cstheme="minorHAnsi"/>
          <w:b/>
          <w:sz w:val="20"/>
          <w:szCs w:val="22"/>
        </w:rPr>
        <w:t>Pozn.:</w:t>
      </w:r>
      <w:r w:rsidRPr="009B4626">
        <w:rPr>
          <w:rFonts w:asciiTheme="minorHAnsi" w:hAnsiTheme="minorHAnsi" w:cstheme="minorHAnsi"/>
          <w:sz w:val="20"/>
          <w:szCs w:val="22"/>
        </w:rPr>
        <w:t xml:space="preserve"> </w:t>
      </w:r>
      <w:r w:rsidR="00EC6AA5" w:rsidRPr="009B4626">
        <w:rPr>
          <w:rFonts w:asciiTheme="minorHAnsi" w:hAnsiTheme="minorHAnsi" w:cstheme="minorHAnsi"/>
          <w:sz w:val="20"/>
          <w:szCs w:val="22"/>
        </w:rPr>
        <w:tab/>
      </w:r>
      <w:r w:rsidRPr="009B4626">
        <w:rPr>
          <w:rFonts w:asciiTheme="minorHAnsi" w:hAnsiTheme="minorHAnsi" w:cstheme="minorHAnsi"/>
          <w:sz w:val="20"/>
          <w:szCs w:val="22"/>
        </w:rPr>
        <w:t>Právní předpisy uvedené v tomto kontrolním závěru jsou aplikovány ve znění účinném pro kontrolované období</w:t>
      </w:r>
      <w:r w:rsidR="005A219B" w:rsidRPr="009B4626">
        <w:rPr>
          <w:rFonts w:asciiTheme="minorHAnsi" w:hAnsiTheme="minorHAnsi" w:cstheme="minorHAnsi"/>
          <w:sz w:val="20"/>
          <w:szCs w:val="22"/>
        </w:rPr>
        <w:t>.</w:t>
      </w:r>
    </w:p>
    <w:p w14:paraId="5CBBDFAD" w14:textId="77777777" w:rsidR="0065119E" w:rsidRPr="00EC6AA5" w:rsidRDefault="0065119E" w:rsidP="0065119E">
      <w:pPr>
        <w:jc w:val="center"/>
        <w:rPr>
          <w:rFonts w:asciiTheme="minorHAnsi" w:hAnsiTheme="minorHAnsi" w:cstheme="minorHAnsi"/>
          <w:sz w:val="24"/>
        </w:rPr>
      </w:pPr>
    </w:p>
    <w:p w14:paraId="4637CA72" w14:textId="77777777" w:rsidR="00F23E28" w:rsidRPr="00EC6AA5" w:rsidRDefault="00F23E28" w:rsidP="0065119E">
      <w:pPr>
        <w:jc w:val="center"/>
        <w:rPr>
          <w:rFonts w:asciiTheme="minorHAnsi" w:hAnsiTheme="minorHAnsi" w:cstheme="minorHAnsi"/>
          <w:sz w:val="24"/>
        </w:rPr>
      </w:pPr>
    </w:p>
    <w:p w14:paraId="1E41D10D" w14:textId="783B8F9F" w:rsidR="0065119E" w:rsidRPr="00FC634A" w:rsidRDefault="0065119E" w:rsidP="00CD2332">
      <w:pPr>
        <w:jc w:val="center"/>
        <w:rPr>
          <w:rFonts w:asciiTheme="minorHAnsi" w:hAnsiTheme="minorHAnsi" w:cstheme="minorHAnsi"/>
          <w:b/>
          <w:sz w:val="28"/>
        </w:rPr>
      </w:pPr>
      <w:r w:rsidRPr="00FC634A">
        <w:rPr>
          <w:rFonts w:asciiTheme="minorHAnsi" w:hAnsiTheme="minorHAnsi" w:cstheme="minorHAnsi"/>
          <w:b/>
          <w:sz w:val="28"/>
        </w:rPr>
        <w:t>II. Shrnutí a vyhodnocení skutečností zjištěných při kontrole</w:t>
      </w:r>
    </w:p>
    <w:p w14:paraId="5DFDA15C" w14:textId="77777777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</w:p>
    <w:p w14:paraId="662424C1" w14:textId="0D88E040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  <w:r w:rsidRPr="0065119E">
        <w:rPr>
          <w:rFonts w:asciiTheme="minorHAnsi" w:hAnsiTheme="minorHAnsi" w:cstheme="minorHAnsi"/>
          <w:sz w:val="24"/>
        </w:rPr>
        <w:t xml:space="preserve">V letech 2006 až 2015 bylo na zahlazování následků hornické činnosti </w:t>
      </w:r>
      <w:r w:rsidRPr="00015AAA">
        <w:rPr>
          <w:rFonts w:asciiTheme="minorHAnsi" w:hAnsiTheme="minorHAnsi" w:cstheme="minorHAnsi"/>
          <w:sz w:val="24"/>
        </w:rPr>
        <w:t xml:space="preserve">vynaloženo nejméně </w:t>
      </w:r>
      <w:r w:rsidR="00D049EC" w:rsidRPr="00015AAA">
        <w:rPr>
          <w:rFonts w:asciiTheme="minorHAnsi" w:hAnsiTheme="minorHAnsi" w:cstheme="minorHAnsi"/>
          <w:sz w:val="24"/>
        </w:rPr>
        <w:t>36 8</w:t>
      </w:r>
      <w:r w:rsidR="00DC5BDA" w:rsidRPr="00015AAA">
        <w:rPr>
          <w:rFonts w:asciiTheme="minorHAnsi" w:hAnsiTheme="minorHAnsi" w:cstheme="minorHAnsi"/>
          <w:sz w:val="24"/>
        </w:rPr>
        <w:t>61</w:t>
      </w:r>
      <w:r w:rsidRPr="00015AAA">
        <w:rPr>
          <w:rFonts w:asciiTheme="minorHAnsi" w:hAnsiTheme="minorHAnsi" w:cstheme="minorHAnsi"/>
          <w:sz w:val="24"/>
        </w:rPr>
        <w:t xml:space="preserve"> mil. Kč</w:t>
      </w:r>
      <w:r w:rsidR="004B04A2" w:rsidRPr="00015AAA">
        <w:rPr>
          <w:rStyle w:val="Znakapoznpodarou"/>
          <w:rFonts w:asciiTheme="minorHAnsi" w:hAnsiTheme="minorHAnsi" w:cstheme="minorHAnsi"/>
          <w:sz w:val="24"/>
        </w:rPr>
        <w:footnoteReference w:id="6"/>
      </w:r>
      <w:r w:rsidR="00DC5BDA" w:rsidRPr="00015AAA">
        <w:rPr>
          <w:rFonts w:asciiTheme="minorHAnsi" w:hAnsiTheme="minorHAnsi" w:cstheme="minorHAnsi"/>
          <w:sz w:val="24"/>
        </w:rPr>
        <w:t xml:space="preserve"> </w:t>
      </w:r>
      <w:r w:rsidRPr="00015AAA">
        <w:rPr>
          <w:rFonts w:asciiTheme="minorHAnsi" w:hAnsiTheme="minorHAnsi" w:cstheme="minorHAnsi"/>
          <w:sz w:val="24"/>
        </w:rPr>
        <w:t xml:space="preserve">a je předpoklad, že </w:t>
      </w:r>
      <w:r w:rsidR="00BD617D" w:rsidRPr="00015AAA">
        <w:rPr>
          <w:rFonts w:asciiTheme="minorHAnsi" w:hAnsiTheme="minorHAnsi" w:cstheme="minorHAnsi"/>
          <w:sz w:val="24"/>
        </w:rPr>
        <w:t xml:space="preserve">do konce celého procesu v roce 2042 </w:t>
      </w:r>
      <w:r w:rsidRPr="00015AAA">
        <w:rPr>
          <w:rFonts w:asciiTheme="minorHAnsi" w:hAnsiTheme="minorHAnsi" w:cstheme="minorHAnsi"/>
          <w:sz w:val="24"/>
        </w:rPr>
        <w:t>bude vynaloženo ještě cca</w:t>
      </w:r>
      <w:r w:rsidRPr="0065119E">
        <w:rPr>
          <w:rFonts w:asciiTheme="minorHAnsi" w:hAnsiTheme="minorHAnsi" w:cstheme="minorHAnsi"/>
          <w:sz w:val="24"/>
        </w:rPr>
        <w:t xml:space="preserve"> 45 767 mil. Kč. </w:t>
      </w:r>
    </w:p>
    <w:p w14:paraId="13A2F441" w14:textId="77777777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</w:p>
    <w:p w14:paraId="6D8129EB" w14:textId="096339AF" w:rsidR="0065119E" w:rsidRPr="0054794C" w:rsidRDefault="0065119E" w:rsidP="00EC6AA5">
      <w:pPr>
        <w:rPr>
          <w:rFonts w:asciiTheme="minorHAnsi" w:hAnsiTheme="minorHAnsi" w:cstheme="minorHAnsi"/>
          <w:sz w:val="24"/>
        </w:rPr>
      </w:pPr>
      <w:r w:rsidRPr="0065119E">
        <w:rPr>
          <w:rFonts w:asciiTheme="minorHAnsi" w:hAnsiTheme="minorHAnsi" w:cstheme="minorHAnsi"/>
          <w:sz w:val="24"/>
        </w:rPr>
        <w:t xml:space="preserve">Kontrolou NKÚ </w:t>
      </w:r>
      <w:r w:rsidR="007854E7">
        <w:rPr>
          <w:rFonts w:asciiTheme="minorHAnsi" w:hAnsiTheme="minorHAnsi" w:cstheme="minorHAnsi"/>
          <w:sz w:val="24"/>
        </w:rPr>
        <w:t>bylo zjištěno, že systém ZNHČ je funkční</w:t>
      </w:r>
      <w:r w:rsidR="007854E7" w:rsidRPr="0054794C">
        <w:rPr>
          <w:rFonts w:asciiTheme="minorHAnsi" w:hAnsiTheme="minorHAnsi" w:cstheme="minorHAnsi"/>
          <w:sz w:val="24"/>
        </w:rPr>
        <w:t xml:space="preserve">. </w:t>
      </w:r>
      <w:r w:rsidR="0054794C" w:rsidRPr="0054794C">
        <w:rPr>
          <w:rFonts w:asciiTheme="minorHAnsi" w:hAnsiTheme="minorHAnsi" w:cstheme="minorHAnsi"/>
          <w:sz w:val="24"/>
        </w:rPr>
        <w:t xml:space="preserve">Na </w:t>
      </w:r>
      <w:r w:rsidR="0054794C">
        <w:rPr>
          <w:rFonts w:asciiTheme="minorHAnsi" w:hAnsiTheme="minorHAnsi" w:cstheme="minorHAnsi"/>
          <w:sz w:val="24"/>
        </w:rPr>
        <w:t>vybraném</w:t>
      </w:r>
      <w:r w:rsidR="004B04A2" w:rsidRPr="0054794C">
        <w:rPr>
          <w:rFonts w:asciiTheme="minorHAnsi" w:hAnsiTheme="minorHAnsi" w:cstheme="minorHAnsi"/>
          <w:sz w:val="24"/>
        </w:rPr>
        <w:t xml:space="preserve"> vzorku výdajů v hodnotě 1 146,5 mil Kč </w:t>
      </w:r>
      <w:r w:rsidR="007854E7" w:rsidRPr="0054794C">
        <w:rPr>
          <w:rFonts w:asciiTheme="minorHAnsi" w:hAnsiTheme="minorHAnsi" w:cstheme="minorHAnsi"/>
          <w:sz w:val="24"/>
        </w:rPr>
        <w:t xml:space="preserve">nebylo </w:t>
      </w:r>
      <w:r w:rsidR="0054794C">
        <w:rPr>
          <w:rFonts w:asciiTheme="minorHAnsi" w:hAnsiTheme="minorHAnsi" w:cstheme="minorHAnsi"/>
          <w:sz w:val="24"/>
        </w:rPr>
        <w:t xml:space="preserve">kontrolou </w:t>
      </w:r>
      <w:r w:rsidRPr="0054794C">
        <w:rPr>
          <w:rFonts w:asciiTheme="minorHAnsi" w:hAnsiTheme="minorHAnsi" w:cstheme="minorHAnsi"/>
          <w:sz w:val="24"/>
        </w:rPr>
        <w:t xml:space="preserve">zjištěno neúčelné či nehospodárné užití peněžních prostředků. Nicméně byly zjištěny tři případy netransparentního postupu MF, které uzavřelo </w:t>
      </w:r>
      <w:r w:rsidR="00814FB7" w:rsidRPr="0054794C">
        <w:rPr>
          <w:rFonts w:asciiTheme="minorHAnsi" w:hAnsiTheme="minorHAnsi" w:cstheme="minorHAnsi"/>
          <w:sz w:val="24"/>
        </w:rPr>
        <w:t xml:space="preserve">písemné </w:t>
      </w:r>
      <w:r w:rsidRPr="0054794C">
        <w:rPr>
          <w:rFonts w:asciiTheme="minorHAnsi" w:hAnsiTheme="minorHAnsi" w:cstheme="minorHAnsi"/>
          <w:sz w:val="24"/>
        </w:rPr>
        <w:t>smlouvy s dodavateli v hodnotě 0,676</w:t>
      </w:r>
      <w:r w:rsidR="00F23E28" w:rsidRPr="0054794C">
        <w:rPr>
          <w:rFonts w:asciiTheme="minorHAnsi" w:hAnsiTheme="minorHAnsi" w:cstheme="minorHAnsi"/>
          <w:sz w:val="24"/>
        </w:rPr>
        <w:t> </w:t>
      </w:r>
      <w:r w:rsidRPr="0054794C">
        <w:rPr>
          <w:rFonts w:asciiTheme="minorHAnsi" w:hAnsiTheme="minorHAnsi" w:cstheme="minorHAnsi"/>
          <w:sz w:val="24"/>
        </w:rPr>
        <w:t xml:space="preserve">mil. Kč dodatečně, </w:t>
      </w:r>
      <w:r w:rsidR="00F23E28" w:rsidRPr="0054794C">
        <w:rPr>
          <w:rFonts w:asciiTheme="minorHAnsi" w:hAnsiTheme="minorHAnsi" w:cstheme="minorHAnsi"/>
          <w:sz w:val="24"/>
        </w:rPr>
        <w:t xml:space="preserve">tj. </w:t>
      </w:r>
      <w:r w:rsidRPr="0054794C">
        <w:rPr>
          <w:rFonts w:asciiTheme="minorHAnsi" w:hAnsiTheme="minorHAnsi" w:cstheme="minorHAnsi"/>
          <w:sz w:val="24"/>
        </w:rPr>
        <w:t>až po provedení příslušných činností.</w:t>
      </w:r>
    </w:p>
    <w:p w14:paraId="0F320114" w14:textId="77777777" w:rsidR="0065119E" w:rsidRDefault="0065119E" w:rsidP="00EC6AA5">
      <w:pPr>
        <w:rPr>
          <w:rFonts w:asciiTheme="minorHAnsi" w:hAnsiTheme="minorHAnsi" w:cstheme="minorHAnsi"/>
          <w:sz w:val="24"/>
        </w:rPr>
      </w:pPr>
    </w:p>
    <w:p w14:paraId="0C60148A" w14:textId="4CE5C62B" w:rsidR="00FD4368" w:rsidRPr="00FD4368" w:rsidRDefault="00FD4368" w:rsidP="00EC6AA5">
      <w:pPr>
        <w:rPr>
          <w:rFonts w:asciiTheme="minorHAnsi" w:hAnsiTheme="minorHAnsi" w:cstheme="minorHAnsi"/>
          <w:bCs/>
          <w:sz w:val="24"/>
        </w:rPr>
      </w:pPr>
      <w:r w:rsidRPr="00A3689E">
        <w:rPr>
          <w:rFonts w:asciiTheme="minorHAnsi" w:hAnsiTheme="minorHAnsi" w:cstheme="minorHAnsi"/>
          <w:bCs/>
          <w:sz w:val="24"/>
        </w:rPr>
        <w:t>Kontrolou bylo ověřeno, že vlivem ZNHČ dochází k postupnému snižování hodnoty majetku, se kterým má státní podnik právo hospodařit. Ani jeden z projektů likvidace včetně jejich aktualizací nebyl</w:t>
      </w:r>
      <w:r w:rsidR="00A3442B">
        <w:rPr>
          <w:rFonts w:asciiTheme="minorHAnsi" w:hAnsiTheme="minorHAnsi" w:cstheme="minorHAnsi"/>
          <w:bCs/>
          <w:sz w:val="24"/>
        </w:rPr>
        <w:t xml:space="preserve"> zatím do doby kontroly ukončen</w:t>
      </w:r>
      <w:r w:rsidR="00A3442B" w:rsidRPr="00015AAA">
        <w:rPr>
          <w:rFonts w:asciiTheme="minorHAnsi" w:hAnsiTheme="minorHAnsi" w:cstheme="minorHAnsi"/>
          <w:bCs/>
          <w:sz w:val="24"/>
        </w:rPr>
        <w:t xml:space="preserve">, protože na základě </w:t>
      </w:r>
      <w:r w:rsidR="00F23E28" w:rsidRPr="00015AAA">
        <w:rPr>
          <w:rFonts w:asciiTheme="minorHAnsi" w:hAnsiTheme="minorHAnsi" w:cstheme="minorHAnsi"/>
          <w:bCs/>
          <w:sz w:val="24"/>
        </w:rPr>
        <w:t xml:space="preserve">průběžného </w:t>
      </w:r>
      <w:r w:rsidR="00A3442B" w:rsidRPr="00015AAA">
        <w:rPr>
          <w:rFonts w:asciiTheme="minorHAnsi" w:hAnsiTheme="minorHAnsi" w:cstheme="minorHAnsi"/>
          <w:bCs/>
          <w:sz w:val="24"/>
        </w:rPr>
        <w:t>vyhodnoc</w:t>
      </w:r>
      <w:r w:rsidR="00F23E28" w:rsidRPr="00015AAA">
        <w:rPr>
          <w:rFonts w:asciiTheme="minorHAnsi" w:hAnsiTheme="minorHAnsi" w:cstheme="minorHAnsi"/>
          <w:bCs/>
          <w:sz w:val="24"/>
        </w:rPr>
        <w:t xml:space="preserve">ování postupu </w:t>
      </w:r>
      <w:r w:rsidR="00A3442B" w:rsidRPr="00015AAA">
        <w:rPr>
          <w:rFonts w:asciiTheme="minorHAnsi" w:hAnsiTheme="minorHAnsi" w:cstheme="minorHAnsi"/>
          <w:bCs/>
          <w:sz w:val="24"/>
        </w:rPr>
        <w:t>ZNHČ byly stanoveny další potřebné práce.</w:t>
      </w:r>
    </w:p>
    <w:p w14:paraId="5D00B56B" w14:textId="77777777" w:rsidR="00FD4368" w:rsidRPr="00FD4368" w:rsidRDefault="00FD4368" w:rsidP="00EC6AA5">
      <w:pPr>
        <w:rPr>
          <w:rFonts w:asciiTheme="minorHAnsi" w:hAnsiTheme="minorHAnsi" w:cstheme="minorHAnsi"/>
          <w:sz w:val="24"/>
        </w:rPr>
      </w:pPr>
    </w:p>
    <w:p w14:paraId="7F3CA80D" w14:textId="25F03BDC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  <w:r w:rsidRPr="0065119E">
        <w:rPr>
          <w:rFonts w:asciiTheme="minorHAnsi" w:hAnsiTheme="minorHAnsi" w:cstheme="minorHAnsi"/>
          <w:sz w:val="24"/>
        </w:rPr>
        <w:t xml:space="preserve">MPO a MF uplatnily odlišný přístup </w:t>
      </w:r>
      <w:r w:rsidR="00A3442B">
        <w:rPr>
          <w:rFonts w:asciiTheme="minorHAnsi" w:hAnsiTheme="minorHAnsi" w:cstheme="minorHAnsi"/>
          <w:sz w:val="24"/>
        </w:rPr>
        <w:t>při kontrole procesu ZNHČ.</w:t>
      </w:r>
      <w:r w:rsidRPr="0065119E">
        <w:rPr>
          <w:rFonts w:asciiTheme="minorHAnsi" w:hAnsiTheme="minorHAnsi" w:cstheme="minorHAnsi"/>
          <w:sz w:val="24"/>
        </w:rPr>
        <w:t xml:space="preserve"> MPO kontrolu zajistilo vlastními kapacitami. MF, které nemá ve své kompetenci předmětnou odbornou problematiku</w:t>
      </w:r>
      <w:r w:rsidR="00A3442B">
        <w:rPr>
          <w:rFonts w:asciiTheme="minorHAnsi" w:hAnsiTheme="minorHAnsi" w:cstheme="minorHAnsi"/>
          <w:sz w:val="24"/>
        </w:rPr>
        <w:t xml:space="preserve"> a ZNHČ financuje z důvodu správy zvláštního účtu</w:t>
      </w:r>
      <w:r w:rsidRPr="0065119E">
        <w:rPr>
          <w:rFonts w:asciiTheme="minorHAnsi" w:hAnsiTheme="minorHAnsi" w:cstheme="minorHAnsi"/>
          <w:sz w:val="24"/>
        </w:rPr>
        <w:t>, najalo externí firmy za účelem provedení tzv</w:t>
      </w:r>
      <w:r w:rsidR="00A3442B">
        <w:rPr>
          <w:rFonts w:asciiTheme="minorHAnsi" w:hAnsiTheme="minorHAnsi" w:cstheme="minorHAnsi"/>
          <w:sz w:val="24"/>
        </w:rPr>
        <w:t>. supervize</w:t>
      </w:r>
      <w:r w:rsidRPr="0065119E">
        <w:rPr>
          <w:rFonts w:asciiTheme="minorHAnsi" w:hAnsiTheme="minorHAnsi" w:cstheme="minorHAnsi"/>
          <w:sz w:val="24"/>
        </w:rPr>
        <w:t xml:space="preserve">. </w:t>
      </w:r>
    </w:p>
    <w:p w14:paraId="5508074A" w14:textId="77777777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</w:p>
    <w:p w14:paraId="300C726F" w14:textId="7B687B19" w:rsidR="0065119E" w:rsidRPr="0065119E" w:rsidRDefault="0065119E" w:rsidP="00EC6AA5">
      <w:pPr>
        <w:rPr>
          <w:rFonts w:asciiTheme="minorHAnsi" w:hAnsiTheme="minorHAnsi" w:cstheme="minorHAnsi"/>
          <w:sz w:val="24"/>
        </w:rPr>
      </w:pPr>
      <w:r w:rsidRPr="0065119E">
        <w:rPr>
          <w:rFonts w:asciiTheme="minorHAnsi" w:hAnsiTheme="minorHAnsi" w:cstheme="minorHAnsi"/>
          <w:sz w:val="24"/>
        </w:rPr>
        <w:lastRenderedPageBreak/>
        <w:t>NKÚ dále upozorňuje na následující skutečnosti a rizika, která mohou ohrozit zajištění financování zahlazování následků hornické činnosti nebo mohou celý proces prodražit a</w:t>
      </w:r>
      <w:r w:rsidR="00185931">
        <w:rPr>
          <w:rFonts w:asciiTheme="minorHAnsi" w:hAnsiTheme="minorHAnsi" w:cstheme="minorHAnsi"/>
          <w:sz w:val="24"/>
        </w:rPr>
        <w:t> </w:t>
      </w:r>
      <w:r w:rsidRPr="0065119E">
        <w:rPr>
          <w:rFonts w:asciiTheme="minorHAnsi" w:hAnsiTheme="minorHAnsi" w:cstheme="minorHAnsi"/>
          <w:sz w:val="24"/>
        </w:rPr>
        <w:t>prodloužit:</w:t>
      </w:r>
    </w:p>
    <w:p w14:paraId="688EC9EA" w14:textId="35DA77E7" w:rsidR="0065119E" w:rsidRPr="00EC6AA5" w:rsidRDefault="0065119E" w:rsidP="00EC6AA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C6AA5">
        <w:rPr>
          <w:rFonts w:asciiTheme="minorHAnsi" w:hAnsiTheme="minorHAnsi" w:cstheme="minorHAnsi"/>
          <w:sz w:val="24"/>
          <w:szCs w:val="24"/>
        </w:rPr>
        <w:t>Potřeba peněžních prostředků a doba na ZNHČ stanovená v aktualizovaných projektech likvidace je jen kvalifikovaný odhad, který se může změnit např. z důvodu změn technologií a postupů vyvolaných neočekávanými vlivy</w:t>
      </w:r>
      <w:r w:rsidR="00926281" w:rsidRPr="00EC6AA5">
        <w:rPr>
          <w:rFonts w:asciiTheme="minorHAnsi" w:hAnsiTheme="minorHAnsi" w:cstheme="minorHAnsi"/>
          <w:sz w:val="24"/>
          <w:szCs w:val="24"/>
        </w:rPr>
        <w:t>, přehodnocení</w:t>
      </w:r>
      <w:r w:rsidR="00814FB7" w:rsidRPr="00EC6AA5">
        <w:rPr>
          <w:rFonts w:asciiTheme="minorHAnsi" w:hAnsiTheme="minorHAnsi" w:cstheme="minorHAnsi"/>
          <w:sz w:val="24"/>
          <w:szCs w:val="24"/>
        </w:rPr>
        <w:t>m</w:t>
      </w:r>
      <w:r w:rsidR="00926281" w:rsidRPr="00EC6AA5">
        <w:rPr>
          <w:rFonts w:asciiTheme="minorHAnsi" w:hAnsiTheme="minorHAnsi" w:cstheme="minorHAnsi"/>
          <w:sz w:val="24"/>
          <w:szCs w:val="24"/>
        </w:rPr>
        <w:t xml:space="preserve"> cílových hodnot parametrů sanace</w:t>
      </w:r>
      <w:r w:rsidR="00B344E4" w:rsidRPr="00EC6AA5">
        <w:rPr>
          <w:rFonts w:asciiTheme="minorHAnsi" w:hAnsiTheme="minorHAnsi" w:cstheme="minorHAnsi"/>
          <w:sz w:val="24"/>
          <w:szCs w:val="24"/>
        </w:rPr>
        <w:t xml:space="preserve"> nebo na </w:t>
      </w:r>
      <w:r w:rsidRPr="00EC6AA5">
        <w:rPr>
          <w:rFonts w:asciiTheme="minorHAnsi" w:hAnsiTheme="minorHAnsi" w:cstheme="minorHAnsi"/>
          <w:sz w:val="24"/>
          <w:szCs w:val="24"/>
        </w:rPr>
        <w:t>základě výsledků monitoringu</w:t>
      </w:r>
      <w:r w:rsidR="00B344E4" w:rsidRPr="00EC6AA5">
        <w:rPr>
          <w:rFonts w:asciiTheme="minorHAnsi" w:hAnsiTheme="minorHAnsi" w:cstheme="minorHAnsi"/>
          <w:sz w:val="24"/>
          <w:szCs w:val="24"/>
        </w:rPr>
        <w:t>. V důsledku toho může být potřeba peněžních prostředků vyšší, než uvádí příslušná usnesení vlády a smlouva uzavřená mezi státním podnikem a MF.</w:t>
      </w:r>
    </w:p>
    <w:p w14:paraId="48E4FBAF" w14:textId="0E51FC0A" w:rsidR="0065119E" w:rsidRPr="00EC6AA5" w:rsidRDefault="0065119E" w:rsidP="00EC6AA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C6AA5">
        <w:rPr>
          <w:rFonts w:asciiTheme="minorHAnsi" w:hAnsiTheme="minorHAnsi" w:cstheme="minorHAnsi"/>
          <w:sz w:val="24"/>
          <w:szCs w:val="24"/>
        </w:rPr>
        <w:t>Po ukončení likvidačních, sa</w:t>
      </w:r>
      <w:r w:rsidR="00D049EC" w:rsidRPr="00EC6AA5">
        <w:rPr>
          <w:rFonts w:asciiTheme="minorHAnsi" w:hAnsiTheme="minorHAnsi" w:cstheme="minorHAnsi"/>
          <w:sz w:val="24"/>
          <w:szCs w:val="24"/>
        </w:rPr>
        <w:t xml:space="preserve">načních a rekultivačních prací </w:t>
      </w:r>
      <w:r w:rsidRPr="00EC6AA5">
        <w:rPr>
          <w:rFonts w:asciiTheme="minorHAnsi" w:hAnsiTheme="minorHAnsi" w:cstheme="minorHAnsi"/>
          <w:sz w:val="24"/>
          <w:szCs w:val="24"/>
        </w:rPr>
        <w:t xml:space="preserve">budou v některých lokalitách nadále pokračovat činnosti spojené s čištěním a čerpáním vod a post-sanačním monitoringem. Náklady </w:t>
      </w:r>
      <w:r w:rsidR="00B344E4" w:rsidRPr="00EC6AA5">
        <w:rPr>
          <w:rFonts w:asciiTheme="minorHAnsi" w:hAnsiTheme="minorHAnsi" w:cstheme="minorHAnsi"/>
          <w:sz w:val="24"/>
          <w:szCs w:val="24"/>
        </w:rPr>
        <w:t>na tyto činnosti</w:t>
      </w:r>
      <w:r w:rsidRPr="00EC6AA5">
        <w:rPr>
          <w:rFonts w:asciiTheme="minorHAnsi" w:hAnsiTheme="minorHAnsi" w:cstheme="minorHAnsi"/>
          <w:sz w:val="24"/>
          <w:szCs w:val="24"/>
        </w:rPr>
        <w:t xml:space="preserve"> nejsou součástí platných </w:t>
      </w:r>
      <w:r w:rsidR="00BD617D">
        <w:rPr>
          <w:rFonts w:asciiTheme="minorHAnsi" w:hAnsiTheme="minorHAnsi" w:cstheme="minorHAnsi"/>
          <w:sz w:val="24"/>
          <w:szCs w:val="24"/>
        </w:rPr>
        <w:t>a</w:t>
      </w:r>
      <w:r w:rsidR="00BF2691" w:rsidRPr="00EC6AA5">
        <w:rPr>
          <w:rFonts w:asciiTheme="minorHAnsi" w:hAnsiTheme="minorHAnsi" w:cstheme="minorHAnsi"/>
          <w:sz w:val="24"/>
          <w:szCs w:val="24"/>
        </w:rPr>
        <w:t>ktualizovaných technických a sociálních projektů likvidace</w:t>
      </w:r>
      <w:r w:rsidR="00FE1A7B" w:rsidRPr="00EC6AA5">
        <w:rPr>
          <w:rFonts w:asciiTheme="minorHAnsi" w:hAnsiTheme="minorHAnsi" w:cstheme="minorHAnsi"/>
          <w:sz w:val="24"/>
          <w:szCs w:val="24"/>
        </w:rPr>
        <w:t xml:space="preserve"> </w:t>
      </w:r>
      <w:r w:rsidR="00FE1A7B" w:rsidRPr="00EC6AA5">
        <w:rPr>
          <w:rFonts w:asciiTheme="minorHAnsi" w:hAnsiTheme="minorHAnsi" w:cstheme="minorHAnsi"/>
          <w:bCs/>
          <w:sz w:val="24"/>
        </w:rPr>
        <w:t>(dále také „aktualizované projekty likvidace“ nebo „ATSPL“)</w:t>
      </w:r>
      <w:r w:rsidRPr="00EC6AA5">
        <w:rPr>
          <w:rFonts w:asciiTheme="minorHAnsi" w:hAnsiTheme="minorHAnsi" w:cstheme="minorHAnsi"/>
          <w:sz w:val="24"/>
          <w:szCs w:val="24"/>
        </w:rPr>
        <w:t xml:space="preserve"> a nebyly dosud vyčísleny.</w:t>
      </w:r>
    </w:p>
    <w:p w14:paraId="13985513" w14:textId="08E57A1E" w:rsidR="0065119E" w:rsidRPr="00EC6AA5" w:rsidRDefault="0065119E" w:rsidP="00EC6AA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C6AA5">
        <w:rPr>
          <w:rFonts w:asciiTheme="minorHAnsi" w:eastAsia="Times New Roman" w:hAnsiTheme="minorHAnsi" w:cstheme="minorHAnsi"/>
          <w:sz w:val="24"/>
          <w:szCs w:val="24"/>
        </w:rPr>
        <w:t>Nedostatek prostředků státního rozpočtu na ZNHČ je řešen částečným financováním ze zvláštního účtu MF. Existuje však riziko nedostatku prostředků i na tomto účtu, protože příjmy účtu závisí zejména na dividendách společnosti ČEZ, a.s.</w:t>
      </w:r>
      <w:r w:rsidR="00BD617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EC6AA5">
        <w:rPr>
          <w:rFonts w:asciiTheme="minorHAnsi" w:eastAsia="Times New Roman" w:hAnsiTheme="minorHAnsi" w:cstheme="minorHAnsi"/>
          <w:sz w:val="24"/>
          <w:szCs w:val="24"/>
        </w:rPr>
        <w:t xml:space="preserve"> a významnou část výdajů účtu tvoří </w:t>
      </w:r>
      <w:r w:rsidRPr="00EC6AA5">
        <w:rPr>
          <w:rFonts w:asciiTheme="minorHAnsi" w:hAnsiTheme="minorHAnsi" w:cstheme="minorHAnsi"/>
          <w:sz w:val="24"/>
          <w:szCs w:val="24"/>
        </w:rPr>
        <w:t>převod prostředků do státního rozpočtu na krytí deficitu důchodového systému</w:t>
      </w:r>
      <w:r w:rsidRPr="00EC6AA5">
        <w:rPr>
          <w:rFonts w:asciiTheme="minorHAnsi" w:eastAsia="Times New Roman" w:hAnsiTheme="minorHAnsi" w:cstheme="minorHAnsi"/>
          <w:sz w:val="24"/>
          <w:szCs w:val="24"/>
        </w:rPr>
        <w:t xml:space="preserve"> a úhrady závazků státu za odstraňování ekologických škod vzniklých před privatizací podniků, které mohou v budoucnu narůstat.</w:t>
      </w:r>
    </w:p>
    <w:p w14:paraId="56046DFA" w14:textId="55E59372" w:rsidR="0065119E" w:rsidRPr="00EC6AA5" w:rsidRDefault="0065119E" w:rsidP="00EC6AA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C6AA5">
        <w:rPr>
          <w:rFonts w:asciiTheme="minorHAnsi" w:eastAsia="Times New Roman" w:hAnsiTheme="minorHAnsi" w:cstheme="minorHAnsi"/>
          <w:sz w:val="24"/>
          <w:szCs w:val="24"/>
        </w:rPr>
        <w:t>Vlastní zdroje státního podniku, tj. výnosy z těžby a prodeje uranu,</w:t>
      </w:r>
      <w:r w:rsidR="00B344E4" w:rsidRPr="00EC6AA5">
        <w:rPr>
          <w:rFonts w:asciiTheme="minorHAnsi" w:eastAsia="Times New Roman" w:hAnsiTheme="minorHAnsi" w:cstheme="minorHAnsi"/>
          <w:sz w:val="24"/>
          <w:szCs w:val="24"/>
        </w:rPr>
        <w:t xml:space="preserve"> které činily pouze 6 % všech výdajů,</w:t>
      </w:r>
      <w:r w:rsidRPr="00EC6AA5">
        <w:rPr>
          <w:rFonts w:asciiTheme="minorHAnsi" w:eastAsia="Times New Roman" w:hAnsiTheme="minorHAnsi" w:cstheme="minorHAnsi"/>
          <w:sz w:val="24"/>
          <w:szCs w:val="24"/>
        </w:rPr>
        <w:t xml:space="preserve"> jsou omezené </w:t>
      </w:r>
      <w:r w:rsidR="00BD617D">
        <w:rPr>
          <w:rFonts w:asciiTheme="minorHAnsi" w:eastAsia="Times New Roman" w:hAnsiTheme="minorHAnsi" w:cstheme="minorHAnsi"/>
          <w:sz w:val="24"/>
          <w:szCs w:val="24"/>
        </w:rPr>
        <w:t>a mají</w:t>
      </w:r>
      <w:r w:rsidRPr="00EC6AA5">
        <w:rPr>
          <w:rFonts w:asciiTheme="minorHAnsi" w:eastAsia="Times New Roman" w:hAnsiTheme="minorHAnsi" w:cstheme="minorHAnsi"/>
          <w:sz w:val="24"/>
          <w:szCs w:val="24"/>
        </w:rPr>
        <w:t xml:space="preserve"> trvale klesající tendenc</w:t>
      </w:r>
      <w:r w:rsidR="00BD617D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C6AA5">
        <w:rPr>
          <w:rFonts w:asciiTheme="minorHAnsi" w:eastAsia="Times New Roman" w:hAnsiTheme="minorHAnsi" w:cstheme="minorHAnsi"/>
          <w:sz w:val="24"/>
          <w:szCs w:val="24"/>
        </w:rPr>
        <w:t>.</w:t>
      </w:r>
      <w:r w:rsidR="00B344E4" w:rsidRPr="00EC6A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0CA81E" w14:textId="77777777" w:rsidR="00C76CF0" w:rsidRPr="00EC6AA5" w:rsidRDefault="00C76CF0" w:rsidP="00EB2F27">
      <w:pPr>
        <w:rPr>
          <w:rFonts w:asciiTheme="minorHAnsi" w:hAnsiTheme="minorHAnsi" w:cstheme="minorHAnsi"/>
          <w:sz w:val="24"/>
        </w:rPr>
      </w:pPr>
    </w:p>
    <w:p w14:paraId="3C43D3F2" w14:textId="77777777" w:rsidR="00EC6AA5" w:rsidRPr="00EC6AA5" w:rsidRDefault="00EC6AA5" w:rsidP="00EB2F27">
      <w:pPr>
        <w:rPr>
          <w:rFonts w:asciiTheme="minorHAnsi" w:hAnsiTheme="minorHAnsi" w:cstheme="minorHAnsi"/>
          <w:sz w:val="24"/>
        </w:rPr>
      </w:pPr>
    </w:p>
    <w:p w14:paraId="4B9A73D8" w14:textId="77777777" w:rsidR="0065119E" w:rsidRPr="00FC634A" w:rsidRDefault="0065119E" w:rsidP="0065119E">
      <w:pPr>
        <w:jc w:val="center"/>
        <w:rPr>
          <w:rFonts w:asciiTheme="minorHAnsi" w:hAnsiTheme="minorHAnsi" w:cstheme="minorHAnsi"/>
          <w:b/>
          <w:sz w:val="28"/>
        </w:rPr>
      </w:pPr>
      <w:r w:rsidRPr="00FC634A">
        <w:rPr>
          <w:rFonts w:asciiTheme="minorHAnsi" w:hAnsiTheme="minorHAnsi" w:cstheme="minorHAnsi"/>
          <w:b/>
          <w:sz w:val="28"/>
        </w:rPr>
        <w:t>III. Podrobnější informace ke zjištěným skutečnostem</w:t>
      </w:r>
    </w:p>
    <w:p w14:paraId="7F5B035A" w14:textId="77777777" w:rsidR="0065119E" w:rsidRPr="00EC6AA5" w:rsidRDefault="0065119E" w:rsidP="00EC6AA5">
      <w:pPr>
        <w:rPr>
          <w:rFonts w:asciiTheme="minorHAnsi" w:hAnsiTheme="minorHAnsi" w:cstheme="minorHAnsi"/>
          <w:sz w:val="24"/>
        </w:rPr>
      </w:pPr>
    </w:p>
    <w:p w14:paraId="619C8463" w14:textId="7CD33800" w:rsidR="0065119E" w:rsidRPr="00EC6AA5" w:rsidRDefault="00EC6AA5" w:rsidP="00EC6AA5">
      <w:pPr>
        <w:ind w:left="284" w:hanging="284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1. </w:t>
      </w:r>
      <w:r>
        <w:rPr>
          <w:rFonts w:asciiTheme="minorHAnsi" w:hAnsiTheme="minorHAnsi" w:cstheme="minorHAnsi"/>
          <w:b/>
          <w:sz w:val="24"/>
        </w:rPr>
        <w:tab/>
      </w:r>
      <w:r w:rsidR="0065119E" w:rsidRPr="00EC6AA5">
        <w:rPr>
          <w:rFonts w:asciiTheme="minorHAnsi" w:hAnsiTheme="minorHAnsi" w:cstheme="minorHAnsi"/>
          <w:b/>
          <w:sz w:val="24"/>
        </w:rPr>
        <w:t xml:space="preserve">Vymezení zahlazování následků hornické činnosti </w:t>
      </w:r>
      <w:r w:rsidR="0065119E" w:rsidRPr="00EC6AA5">
        <w:rPr>
          <w:rFonts w:asciiTheme="minorHAnsi" w:hAnsiTheme="minorHAnsi" w:cstheme="minorHAnsi"/>
          <w:b/>
          <w:bCs/>
          <w:sz w:val="24"/>
        </w:rPr>
        <w:t>po věcné, finanční a časové stránce</w:t>
      </w:r>
    </w:p>
    <w:p w14:paraId="69D5B9D2" w14:textId="77777777" w:rsidR="003854BF" w:rsidRDefault="003854BF" w:rsidP="0065119E">
      <w:pPr>
        <w:rPr>
          <w:rFonts w:asciiTheme="minorHAnsi" w:hAnsiTheme="minorHAnsi" w:cstheme="minorHAnsi"/>
          <w:bCs/>
          <w:sz w:val="24"/>
        </w:rPr>
      </w:pPr>
    </w:p>
    <w:p w14:paraId="4C8FAAFF" w14:textId="4EEF14A6" w:rsidR="0065119E" w:rsidRPr="0065119E" w:rsidRDefault="0065119E" w:rsidP="0065119E">
      <w:pPr>
        <w:rPr>
          <w:rFonts w:asciiTheme="minorHAnsi" w:hAnsiTheme="minorHAnsi" w:cstheme="minorHAnsi"/>
          <w:bCs/>
          <w:sz w:val="24"/>
        </w:rPr>
      </w:pPr>
      <w:r w:rsidRPr="0065119E">
        <w:rPr>
          <w:rFonts w:asciiTheme="minorHAnsi" w:hAnsiTheme="minorHAnsi" w:cstheme="minorHAnsi"/>
          <w:bCs/>
          <w:sz w:val="24"/>
        </w:rPr>
        <w:t xml:space="preserve">Zahlazování následků hornické činnosti státní podnik DIAMO realizuje podle </w:t>
      </w:r>
      <w:r w:rsidR="00BD617D">
        <w:rPr>
          <w:rFonts w:asciiTheme="minorHAnsi" w:hAnsiTheme="minorHAnsi" w:cstheme="minorHAnsi"/>
          <w:bCs/>
          <w:sz w:val="24"/>
        </w:rPr>
        <w:t>t</w:t>
      </w:r>
      <w:r w:rsidRPr="0065119E">
        <w:rPr>
          <w:rFonts w:asciiTheme="minorHAnsi" w:hAnsiTheme="minorHAnsi" w:cstheme="minorHAnsi"/>
          <w:bCs/>
          <w:sz w:val="24"/>
        </w:rPr>
        <w:t>echnických a</w:t>
      </w:r>
      <w:r w:rsidR="00185931">
        <w:rPr>
          <w:rFonts w:asciiTheme="minorHAnsi" w:hAnsiTheme="minorHAnsi" w:cstheme="minorHAnsi"/>
          <w:bCs/>
          <w:sz w:val="24"/>
        </w:rPr>
        <w:t> </w:t>
      </w:r>
      <w:r w:rsidRPr="0065119E">
        <w:rPr>
          <w:rFonts w:asciiTheme="minorHAnsi" w:hAnsiTheme="minorHAnsi" w:cstheme="minorHAnsi"/>
          <w:bCs/>
          <w:sz w:val="24"/>
        </w:rPr>
        <w:t>sociáln</w:t>
      </w:r>
      <w:r w:rsidR="00D049EC">
        <w:rPr>
          <w:rFonts w:asciiTheme="minorHAnsi" w:hAnsiTheme="minorHAnsi" w:cstheme="minorHAnsi"/>
          <w:bCs/>
          <w:sz w:val="24"/>
        </w:rPr>
        <w:t>ích projektů likvidace (dále také</w:t>
      </w:r>
      <w:r w:rsidRPr="0065119E">
        <w:rPr>
          <w:rFonts w:asciiTheme="minorHAnsi" w:hAnsiTheme="minorHAnsi" w:cstheme="minorHAnsi"/>
          <w:bCs/>
          <w:sz w:val="24"/>
        </w:rPr>
        <w:t xml:space="preserve"> „projekty likvidace“</w:t>
      </w:r>
      <w:r w:rsidR="00D049EC">
        <w:rPr>
          <w:rFonts w:asciiTheme="minorHAnsi" w:hAnsiTheme="minorHAnsi" w:cstheme="minorHAnsi"/>
          <w:bCs/>
          <w:sz w:val="24"/>
        </w:rPr>
        <w:t xml:space="preserve"> nebo „TSPL“)</w:t>
      </w:r>
      <w:r w:rsidRPr="0065119E">
        <w:rPr>
          <w:rFonts w:asciiTheme="minorHAnsi" w:hAnsiTheme="minorHAnsi" w:cstheme="minorHAnsi"/>
          <w:bCs/>
          <w:sz w:val="24"/>
        </w:rPr>
        <w:t xml:space="preserve"> a jejich aktualizací</w:t>
      </w:r>
      <w:r w:rsidR="003854BF">
        <w:rPr>
          <w:rFonts w:asciiTheme="minorHAnsi" w:hAnsiTheme="minorHAnsi" w:cstheme="minorHAnsi"/>
          <w:bCs/>
          <w:sz w:val="24"/>
        </w:rPr>
        <w:t> </w:t>
      </w:r>
      <w:r w:rsidRPr="0065119E">
        <w:rPr>
          <w:rFonts w:asciiTheme="minorHAnsi" w:hAnsiTheme="minorHAnsi" w:cstheme="minorHAnsi"/>
          <w:bCs/>
          <w:sz w:val="24"/>
        </w:rPr>
        <w:t xml:space="preserve">– </w:t>
      </w:r>
      <w:r w:rsidR="00BD617D">
        <w:rPr>
          <w:rFonts w:asciiTheme="minorHAnsi" w:hAnsiTheme="minorHAnsi" w:cstheme="minorHAnsi"/>
          <w:bCs/>
          <w:sz w:val="24"/>
        </w:rPr>
        <w:t>a</w:t>
      </w:r>
      <w:r w:rsidRPr="0065119E">
        <w:rPr>
          <w:rFonts w:asciiTheme="minorHAnsi" w:hAnsiTheme="minorHAnsi" w:cstheme="minorHAnsi"/>
          <w:bCs/>
          <w:sz w:val="24"/>
        </w:rPr>
        <w:t xml:space="preserve">ktualizovaných technických a sociálních projektů likvidace, které jsou konkretizovány </w:t>
      </w:r>
      <w:r w:rsidR="00BD617D">
        <w:rPr>
          <w:rFonts w:asciiTheme="minorHAnsi" w:hAnsiTheme="minorHAnsi" w:cstheme="minorHAnsi"/>
          <w:bCs/>
          <w:sz w:val="24"/>
        </w:rPr>
        <w:t>r</w:t>
      </w:r>
      <w:r w:rsidRPr="0065119E">
        <w:rPr>
          <w:rFonts w:asciiTheme="minorHAnsi" w:hAnsiTheme="minorHAnsi" w:cstheme="minorHAnsi"/>
          <w:bCs/>
          <w:sz w:val="24"/>
        </w:rPr>
        <w:t xml:space="preserve">očními programy zahlazování následků hornické činnosti a </w:t>
      </w:r>
      <w:r w:rsidR="00BD617D">
        <w:rPr>
          <w:rFonts w:asciiTheme="minorHAnsi" w:hAnsiTheme="minorHAnsi" w:cstheme="minorHAnsi"/>
          <w:bCs/>
          <w:sz w:val="24"/>
        </w:rPr>
        <w:t>s</w:t>
      </w:r>
      <w:r w:rsidRPr="0065119E">
        <w:rPr>
          <w:rFonts w:asciiTheme="minorHAnsi" w:hAnsiTheme="minorHAnsi" w:cstheme="minorHAnsi"/>
          <w:bCs/>
          <w:sz w:val="24"/>
        </w:rPr>
        <w:t xml:space="preserve">ouhrnnými projekty provozních prací. </w:t>
      </w:r>
    </w:p>
    <w:p w14:paraId="5B31BDB8" w14:textId="77777777" w:rsidR="00BF2691" w:rsidRDefault="00BF2691" w:rsidP="0065119E">
      <w:pPr>
        <w:rPr>
          <w:rFonts w:asciiTheme="minorHAnsi" w:hAnsiTheme="minorHAnsi" w:cstheme="minorHAnsi"/>
          <w:bCs/>
          <w:sz w:val="24"/>
        </w:rPr>
      </w:pPr>
    </w:p>
    <w:p w14:paraId="3E9FDB18" w14:textId="77777777" w:rsidR="0065119E" w:rsidRDefault="0065119E" w:rsidP="0065119E">
      <w:pPr>
        <w:rPr>
          <w:rFonts w:asciiTheme="minorHAnsi" w:hAnsiTheme="minorHAnsi" w:cstheme="minorHAnsi"/>
          <w:bCs/>
          <w:sz w:val="24"/>
        </w:rPr>
      </w:pPr>
      <w:r w:rsidRPr="0065119E">
        <w:rPr>
          <w:rFonts w:asciiTheme="minorHAnsi" w:hAnsiTheme="minorHAnsi" w:cstheme="minorHAnsi"/>
          <w:bCs/>
          <w:sz w:val="24"/>
        </w:rPr>
        <w:t>MPO do doby ukončení kontroly schválilo u státního podniku DIAMO deset projektů likvidace a k nim celkem 31 aktualizací</w:t>
      </w:r>
      <w:r w:rsidRPr="00BD617D">
        <w:rPr>
          <w:rFonts w:asciiTheme="minorHAnsi" w:hAnsiTheme="minorHAnsi" w:cstheme="minorHAnsi"/>
          <w:bCs/>
          <w:color w:val="000000" w:themeColor="text1"/>
          <w:sz w:val="24"/>
        </w:rPr>
        <w:t>. A</w:t>
      </w:r>
      <w:r w:rsidRPr="0065119E">
        <w:rPr>
          <w:rFonts w:asciiTheme="minorHAnsi" w:hAnsiTheme="minorHAnsi" w:cstheme="minorHAnsi"/>
          <w:bCs/>
          <w:sz w:val="24"/>
        </w:rPr>
        <w:t xml:space="preserve">ktualizované projekty likvidace obsahovaly zejména zhodnocení dosavadního časového </w:t>
      </w:r>
      <w:r w:rsidR="00BF56AA">
        <w:rPr>
          <w:rFonts w:asciiTheme="minorHAnsi" w:hAnsiTheme="minorHAnsi" w:cstheme="minorHAnsi"/>
          <w:bCs/>
          <w:sz w:val="24"/>
        </w:rPr>
        <w:t xml:space="preserve">a </w:t>
      </w:r>
      <w:r w:rsidR="00BF56AA" w:rsidRPr="0065119E">
        <w:rPr>
          <w:rFonts w:asciiTheme="minorHAnsi" w:hAnsiTheme="minorHAnsi" w:cstheme="minorHAnsi"/>
          <w:bCs/>
          <w:sz w:val="24"/>
        </w:rPr>
        <w:t xml:space="preserve">věcného </w:t>
      </w:r>
      <w:r w:rsidRPr="0065119E">
        <w:rPr>
          <w:rFonts w:asciiTheme="minorHAnsi" w:hAnsiTheme="minorHAnsi" w:cstheme="minorHAnsi"/>
          <w:bCs/>
          <w:sz w:val="24"/>
        </w:rPr>
        <w:t xml:space="preserve">průběhu zahlazování a jeho financování, popis dalšího věcného a časového postupu a potřebu finančních prostředků pro další období v cenové úrovni roku zpracování projektu včetně uvedení zdrojů financování. Uvedené dokumenty MPO schvalovalo a jejich plnění kontrolovalo. Ani jeden z projektů likvidace včetně aktualizací nebyl do doby kontroly ukončen. </w:t>
      </w:r>
    </w:p>
    <w:p w14:paraId="15A4F51F" w14:textId="77777777" w:rsidR="0065119E" w:rsidRDefault="0065119E" w:rsidP="0065119E">
      <w:pPr>
        <w:rPr>
          <w:rFonts w:asciiTheme="minorHAnsi" w:hAnsiTheme="minorHAnsi" w:cstheme="minorHAnsi"/>
          <w:sz w:val="24"/>
        </w:rPr>
      </w:pPr>
    </w:p>
    <w:p w14:paraId="745C7216" w14:textId="40A7EB9B" w:rsidR="00C962A3" w:rsidRDefault="00C809CD" w:rsidP="0065119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Při aktualizacích projektů likvidace dochází také k úpravě předpokládané doby ukončení zahlazování</w:t>
      </w:r>
      <w:r w:rsidR="00926281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Následující tabulka uvádí přehled </w:t>
      </w:r>
      <w:r w:rsidR="0065119E" w:rsidRPr="0065119E">
        <w:rPr>
          <w:rFonts w:asciiTheme="minorHAnsi" w:hAnsiTheme="minorHAnsi" w:cstheme="minorHAnsi"/>
          <w:sz w:val="24"/>
        </w:rPr>
        <w:t xml:space="preserve">termínů ukončení ZNHČ podle původních TSPL </w:t>
      </w:r>
      <w:r w:rsidR="00926281">
        <w:rPr>
          <w:rFonts w:asciiTheme="minorHAnsi" w:hAnsiTheme="minorHAnsi" w:cstheme="minorHAnsi"/>
          <w:sz w:val="24"/>
        </w:rPr>
        <w:t xml:space="preserve">z roku 2006 </w:t>
      </w:r>
      <w:r w:rsidR="0065119E" w:rsidRPr="0065119E">
        <w:rPr>
          <w:rFonts w:asciiTheme="minorHAnsi" w:hAnsiTheme="minorHAnsi" w:cstheme="minorHAnsi"/>
          <w:sz w:val="24"/>
        </w:rPr>
        <w:t xml:space="preserve">a </w:t>
      </w:r>
      <w:r w:rsidR="00926281">
        <w:rPr>
          <w:rFonts w:asciiTheme="minorHAnsi" w:hAnsiTheme="minorHAnsi" w:cstheme="minorHAnsi"/>
          <w:sz w:val="24"/>
        </w:rPr>
        <w:t xml:space="preserve">nových </w:t>
      </w:r>
      <w:r>
        <w:rPr>
          <w:rFonts w:asciiTheme="minorHAnsi" w:hAnsiTheme="minorHAnsi" w:cstheme="minorHAnsi"/>
          <w:sz w:val="24"/>
        </w:rPr>
        <w:t xml:space="preserve">termínů </w:t>
      </w:r>
      <w:r w:rsidR="00926281">
        <w:rPr>
          <w:rFonts w:asciiTheme="minorHAnsi" w:hAnsiTheme="minorHAnsi" w:cstheme="minorHAnsi"/>
          <w:sz w:val="24"/>
        </w:rPr>
        <w:t xml:space="preserve">upravených na základě aktualizace </w:t>
      </w:r>
      <w:r w:rsidR="0065119E" w:rsidRPr="0065119E">
        <w:rPr>
          <w:rFonts w:asciiTheme="minorHAnsi" w:hAnsiTheme="minorHAnsi" w:cstheme="minorHAnsi"/>
          <w:sz w:val="24"/>
        </w:rPr>
        <w:t>TSPL</w:t>
      </w:r>
      <w:r w:rsidR="00926281">
        <w:rPr>
          <w:rFonts w:asciiTheme="minorHAnsi" w:hAnsiTheme="minorHAnsi" w:cstheme="minorHAnsi"/>
          <w:sz w:val="24"/>
        </w:rPr>
        <w:t xml:space="preserve"> provedené v roce 2010</w:t>
      </w:r>
      <w:r>
        <w:rPr>
          <w:rFonts w:asciiTheme="minorHAnsi" w:hAnsiTheme="minorHAnsi" w:cstheme="minorHAnsi"/>
          <w:sz w:val="24"/>
        </w:rPr>
        <w:t>.</w:t>
      </w:r>
      <w:r w:rsidR="0065119E" w:rsidRPr="0065119E">
        <w:rPr>
          <w:rFonts w:asciiTheme="minorHAnsi" w:hAnsiTheme="minorHAnsi" w:cstheme="minorHAnsi"/>
          <w:sz w:val="24"/>
        </w:rPr>
        <w:t xml:space="preserve"> </w:t>
      </w:r>
    </w:p>
    <w:p w14:paraId="050663A4" w14:textId="77777777" w:rsidR="00C962A3" w:rsidRDefault="00C962A3">
      <w:pPr>
        <w:spacing w:after="160" w:line="259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1991AF4E" w14:textId="524DCE56" w:rsidR="00926281" w:rsidRPr="00BD617D" w:rsidRDefault="00BF731A" w:rsidP="003854BF">
      <w:pPr>
        <w:spacing w:after="40"/>
        <w:ind w:left="1418" w:hanging="141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Tabulka č. 1 –</w:t>
      </w:r>
      <w:r>
        <w:rPr>
          <w:rFonts w:asciiTheme="minorHAnsi" w:hAnsiTheme="minorHAnsi" w:cstheme="minorHAnsi"/>
          <w:b/>
          <w:sz w:val="24"/>
        </w:rPr>
        <w:tab/>
        <w:t>Přehled termínů ukončení</w:t>
      </w:r>
      <w:r w:rsidR="003854BF">
        <w:rPr>
          <w:rFonts w:asciiTheme="minorHAnsi" w:hAnsiTheme="minorHAnsi" w:cstheme="minorHAnsi"/>
          <w:b/>
          <w:sz w:val="24"/>
        </w:rPr>
        <w:t xml:space="preserve"> ZNHČ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52"/>
        <w:gridCol w:w="2655"/>
        <w:gridCol w:w="3224"/>
      </w:tblGrid>
      <w:tr w:rsidR="00A3442B" w:rsidRPr="00EC6AA5" w14:paraId="14EB2546" w14:textId="77777777" w:rsidTr="00EC6AA5">
        <w:trPr>
          <w:trHeight w:val="283"/>
        </w:trPr>
        <w:tc>
          <w:tcPr>
            <w:tcW w:w="3052" w:type="dxa"/>
            <w:shd w:val="clear" w:color="auto" w:fill="004595"/>
            <w:vAlign w:val="center"/>
          </w:tcPr>
          <w:p w14:paraId="44C25610" w14:textId="021A0329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Označení TSPL (ATSPL)</w:t>
            </w:r>
          </w:p>
        </w:tc>
        <w:tc>
          <w:tcPr>
            <w:tcW w:w="2655" w:type="dxa"/>
            <w:shd w:val="clear" w:color="auto" w:fill="004595"/>
            <w:vAlign w:val="center"/>
          </w:tcPr>
          <w:p w14:paraId="6E6C71CF" w14:textId="7C2DBD74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b/>
                <w:strike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Termín ukončení ZNHČ podle původních prvních TSPL</w:t>
            </w:r>
          </w:p>
        </w:tc>
        <w:tc>
          <w:tcPr>
            <w:tcW w:w="3224" w:type="dxa"/>
            <w:shd w:val="clear" w:color="auto" w:fill="004595"/>
            <w:vAlign w:val="center"/>
          </w:tcPr>
          <w:p w14:paraId="515715C6" w14:textId="01C9FAB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Termín ukončení ZNHČ podle posledních platných ATSPL</w:t>
            </w:r>
          </w:p>
        </w:tc>
      </w:tr>
      <w:tr w:rsidR="00EB2104" w:rsidRPr="00EC6AA5" w14:paraId="71AFC2FB" w14:textId="77777777" w:rsidTr="00EC6AA5">
        <w:trPr>
          <w:trHeight w:val="283"/>
        </w:trPr>
        <w:tc>
          <w:tcPr>
            <w:tcW w:w="3052" w:type="dxa"/>
          </w:tcPr>
          <w:p w14:paraId="3C14A118" w14:textId="2C6D8089" w:rsidR="00EB2104" w:rsidRPr="00EC6AA5" w:rsidRDefault="008372B6" w:rsidP="00EC6AA5">
            <w:pPr>
              <w:spacing w:before="20" w:after="20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S</w:t>
            </w:r>
            <w:r w:rsidR="00EB2104" w:rsidRPr="00EC6AA5">
              <w:rPr>
                <w:rFonts w:ascii="Calibri" w:hAnsi="Calibri" w:cs="Calibri"/>
                <w:b/>
                <w:szCs w:val="20"/>
              </w:rPr>
              <w:t>U</w:t>
            </w:r>
            <w:r w:rsidRPr="00EC6AA5">
              <w:rPr>
                <w:rFonts w:ascii="Calibri" w:hAnsi="Calibri" w:cs="Calibri"/>
                <w:b/>
                <w:szCs w:val="20"/>
              </w:rPr>
              <w:t>L Příbram</w:t>
            </w:r>
            <w:r w:rsidR="00EB2104" w:rsidRPr="00EC6AA5">
              <w:rPr>
                <w:rFonts w:ascii="Calibri" w:hAnsi="Calibri" w:cs="Calibri"/>
                <w:b/>
                <w:szCs w:val="20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7E74E211" w14:textId="77777777" w:rsidR="00EB2104" w:rsidRPr="00EC6AA5" w:rsidRDefault="00EB2104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24" w:type="dxa"/>
            <w:vAlign w:val="center"/>
          </w:tcPr>
          <w:p w14:paraId="6511A9E6" w14:textId="77777777" w:rsidR="00EB2104" w:rsidRPr="00EC6AA5" w:rsidRDefault="00EB2104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3442B" w:rsidRPr="00EC6AA5" w14:paraId="347D63D9" w14:textId="77777777" w:rsidTr="00EC6AA5">
        <w:trPr>
          <w:trHeight w:val="283"/>
        </w:trPr>
        <w:tc>
          <w:tcPr>
            <w:tcW w:w="3052" w:type="dxa"/>
          </w:tcPr>
          <w:p w14:paraId="7F776525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Uranové hornictví</w:t>
            </w:r>
          </w:p>
        </w:tc>
        <w:tc>
          <w:tcPr>
            <w:tcW w:w="2655" w:type="dxa"/>
            <w:vAlign w:val="center"/>
          </w:tcPr>
          <w:p w14:paraId="22704B42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2030</w:t>
            </w:r>
          </w:p>
        </w:tc>
        <w:tc>
          <w:tcPr>
            <w:tcW w:w="3224" w:type="dxa"/>
            <w:vAlign w:val="center"/>
          </w:tcPr>
          <w:p w14:paraId="4903DE8B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2023</w:t>
            </w:r>
          </w:p>
        </w:tc>
      </w:tr>
      <w:tr w:rsidR="00A3442B" w:rsidRPr="00EC6AA5" w14:paraId="32764A68" w14:textId="77777777" w:rsidTr="00EC6AA5">
        <w:trPr>
          <w:trHeight w:val="283"/>
        </w:trPr>
        <w:tc>
          <w:tcPr>
            <w:tcW w:w="3052" w:type="dxa"/>
          </w:tcPr>
          <w:p w14:paraId="5898E1C3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Mydlovary</w:t>
            </w:r>
          </w:p>
        </w:tc>
        <w:tc>
          <w:tcPr>
            <w:tcW w:w="2655" w:type="dxa"/>
            <w:vAlign w:val="center"/>
          </w:tcPr>
          <w:p w14:paraId="7C19EB40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2036</w:t>
            </w:r>
          </w:p>
        </w:tc>
        <w:tc>
          <w:tcPr>
            <w:tcW w:w="3224" w:type="dxa"/>
            <w:vAlign w:val="center"/>
          </w:tcPr>
          <w:p w14:paraId="0962E84B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2024</w:t>
            </w:r>
          </w:p>
        </w:tc>
      </w:tr>
      <w:tr w:rsidR="00A3442B" w:rsidRPr="00EC6AA5" w14:paraId="19C06C16" w14:textId="77777777" w:rsidTr="00EC6AA5">
        <w:trPr>
          <w:trHeight w:val="283"/>
        </w:trPr>
        <w:tc>
          <w:tcPr>
            <w:tcW w:w="3052" w:type="dxa"/>
          </w:tcPr>
          <w:p w14:paraId="54784953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Západní Čechy</w:t>
            </w:r>
          </w:p>
        </w:tc>
        <w:tc>
          <w:tcPr>
            <w:tcW w:w="2655" w:type="dxa"/>
            <w:vAlign w:val="center"/>
          </w:tcPr>
          <w:p w14:paraId="25A1CF25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2015</w:t>
            </w:r>
          </w:p>
        </w:tc>
        <w:tc>
          <w:tcPr>
            <w:tcW w:w="3224" w:type="dxa"/>
            <w:vAlign w:val="center"/>
          </w:tcPr>
          <w:p w14:paraId="4B9477B0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2018</w:t>
            </w:r>
          </w:p>
        </w:tc>
      </w:tr>
      <w:tr w:rsidR="00A3442B" w:rsidRPr="00EC6AA5" w14:paraId="2235E417" w14:textId="77777777" w:rsidTr="00EC6AA5">
        <w:trPr>
          <w:trHeight w:val="283"/>
        </w:trPr>
        <w:tc>
          <w:tcPr>
            <w:tcW w:w="3052" w:type="dxa"/>
          </w:tcPr>
          <w:p w14:paraId="2FB82CCE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Rudy</w:t>
            </w:r>
          </w:p>
        </w:tc>
        <w:tc>
          <w:tcPr>
            <w:tcW w:w="2655" w:type="dxa"/>
            <w:vAlign w:val="center"/>
          </w:tcPr>
          <w:p w14:paraId="479BA3F7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3224" w:type="dxa"/>
            <w:vAlign w:val="center"/>
          </w:tcPr>
          <w:p w14:paraId="38EE1F5C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2028</w:t>
            </w:r>
          </w:p>
        </w:tc>
      </w:tr>
      <w:tr w:rsidR="00A3442B" w:rsidRPr="00EC6AA5" w14:paraId="6F4FC0BE" w14:textId="77777777" w:rsidTr="00EC6AA5">
        <w:trPr>
          <w:trHeight w:val="283"/>
        </w:trPr>
        <w:tc>
          <w:tcPr>
            <w:tcW w:w="3052" w:type="dxa"/>
          </w:tcPr>
          <w:p w14:paraId="1A28CFA7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Břemena</w:t>
            </w:r>
          </w:p>
        </w:tc>
        <w:tc>
          <w:tcPr>
            <w:tcW w:w="2655" w:type="dxa"/>
            <w:vAlign w:val="center"/>
          </w:tcPr>
          <w:p w14:paraId="2AB2FD08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2007</w:t>
            </w:r>
          </w:p>
        </w:tc>
        <w:tc>
          <w:tcPr>
            <w:tcW w:w="3224" w:type="dxa"/>
            <w:vAlign w:val="center"/>
          </w:tcPr>
          <w:p w14:paraId="2FA1DAB3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2024</w:t>
            </w:r>
          </w:p>
        </w:tc>
      </w:tr>
      <w:tr w:rsidR="00A3442B" w:rsidRPr="00EC6AA5" w14:paraId="3A474024" w14:textId="77777777" w:rsidTr="00EC6AA5">
        <w:trPr>
          <w:trHeight w:val="283"/>
        </w:trPr>
        <w:tc>
          <w:tcPr>
            <w:tcW w:w="3052" w:type="dxa"/>
            <w:shd w:val="clear" w:color="auto" w:fill="FFFFFF" w:themeFill="background1"/>
          </w:tcPr>
          <w:p w14:paraId="26242722" w14:textId="3E132960" w:rsidR="00A3442B" w:rsidRPr="00EC6AA5" w:rsidRDefault="00A3442B" w:rsidP="00EC6AA5">
            <w:pPr>
              <w:tabs>
                <w:tab w:val="left" w:pos="2579"/>
              </w:tabs>
              <w:spacing w:before="20" w:after="20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TÚU Stráž pod Ralskem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53FE146C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2040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562619A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2042</w:t>
            </w:r>
          </w:p>
        </w:tc>
      </w:tr>
      <w:tr w:rsidR="008372B6" w:rsidRPr="00EC6AA5" w14:paraId="35B4F577" w14:textId="77777777" w:rsidTr="00EC6AA5">
        <w:trPr>
          <w:trHeight w:val="283"/>
        </w:trPr>
        <w:tc>
          <w:tcPr>
            <w:tcW w:w="3052" w:type="dxa"/>
          </w:tcPr>
          <w:p w14:paraId="4AFD77F7" w14:textId="7A39B04B" w:rsidR="008372B6" w:rsidRPr="00EC6AA5" w:rsidRDefault="008372B6" w:rsidP="00EC6AA5">
            <w:pPr>
              <w:spacing w:before="20" w:after="20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GEAM Dolní Rožínka</w:t>
            </w:r>
          </w:p>
        </w:tc>
        <w:tc>
          <w:tcPr>
            <w:tcW w:w="2655" w:type="dxa"/>
            <w:vAlign w:val="center"/>
          </w:tcPr>
          <w:p w14:paraId="78F01079" w14:textId="77777777" w:rsidR="008372B6" w:rsidRPr="00EC6AA5" w:rsidRDefault="008372B6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24" w:type="dxa"/>
            <w:vAlign w:val="center"/>
          </w:tcPr>
          <w:p w14:paraId="2CB4F8AE" w14:textId="77777777" w:rsidR="008372B6" w:rsidRPr="00EC6AA5" w:rsidRDefault="008372B6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3442B" w:rsidRPr="00EC6AA5" w14:paraId="3DEE39FB" w14:textId="77777777" w:rsidTr="00EC6AA5">
        <w:trPr>
          <w:trHeight w:val="283"/>
        </w:trPr>
        <w:tc>
          <w:tcPr>
            <w:tcW w:w="3052" w:type="dxa"/>
          </w:tcPr>
          <w:p w14:paraId="4D54DFF5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Uranové hornictví</w:t>
            </w:r>
          </w:p>
        </w:tc>
        <w:tc>
          <w:tcPr>
            <w:tcW w:w="2655" w:type="dxa"/>
            <w:vAlign w:val="center"/>
          </w:tcPr>
          <w:p w14:paraId="4C20A96C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  <w:tc>
          <w:tcPr>
            <w:tcW w:w="3224" w:type="dxa"/>
            <w:vAlign w:val="center"/>
          </w:tcPr>
          <w:p w14:paraId="1C1071E6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</w:tr>
      <w:tr w:rsidR="00A3442B" w:rsidRPr="00EC6AA5" w14:paraId="0A27C9BE" w14:textId="77777777" w:rsidTr="00EC6AA5">
        <w:trPr>
          <w:trHeight w:val="283"/>
        </w:trPr>
        <w:tc>
          <w:tcPr>
            <w:tcW w:w="3052" w:type="dxa"/>
          </w:tcPr>
          <w:p w14:paraId="7E5B344F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Rudné hornictví</w:t>
            </w:r>
          </w:p>
        </w:tc>
        <w:tc>
          <w:tcPr>
            <w:tcW w:w="2655" w:type="dxa"/>
            <w:vAlign w:val="center"/>
          </w:tcPr>
          <w:p w14:paraId="0BF2B91B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  <w:tc>
          <w:tcPr>
            <w:tcW w:w="3224" w:type="dxa"/>
            <w:vAlign w:val="center"/>
          </w:tcPr>
          <w:p w14:paraId="79B404C4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</w:tr>
      <w:tr w:rsidR="00A3442B" w:rsidRPr="00EC6AA5" w14:paraId="2DE50418" w14:textId="77777777" w:rsidTr="00EC6AA5">
        <w:trPr>
          <w:trHeight w:val="283"/>
        </w:trPr>
        <w:tc>
          <w:tcPr>
            <w:tcW w:w="3052" w:type="dxa"/>
          </w:tcPr>
          <w:p w14:paraId="674FB560" w14:textId="77777777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Uhelné hornictví</w:t>
            </w:r>
          </w:p>
        </w:tc>
        <w:tc>
          <w:tcPr>
            <w:tcW w:w="2655" w:type="dxa"/>
            <w:vAlign w:val="center"/>
          </w:tcPr>
          <w:p w14:paraId="77EE0641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  <w:tc>
          <w:tcPr>
            <w:tcW w:w="3224" w:type="dxa"/>
            <w:vAlign w:val="center"/>
          </w:tcPr>
          <w:p w14:paraId="0172D86A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2021</w:t>
            </w:r>
          </w:p>
        </w:tc>
      </w:tr>
      <w:tr w:rsidR="00A3442B" w:rsidRPr="00EC6AA5" w14:paraId="2AA1C3B9" w14:textId="77777777" w:rsidTr="00EC6AA5">
        <w:trPr>
          <w:trHeight w:val="283"/>
        </w:trPr>
        <w:tc>
          <w:tcPr>
            <w:tcW w:w="3052" w:type="dxa"/>
            <w:shd w:val="clear" w:color="auto" w:fill="FFFFFF" w:themeFill="background1"/>
          </w:tcPr>
          <w:p w14:paraId="78B505AA" w14:textId="122D13D3" w:rsidR="00A3442B" w:rsidRPr="00EC6AA5" w:rsidRDefault="00A3442B" w:rsidP="00EC6AA5">
            <w:pPr>
              <w:spacing w:before="20" w:after="20"/>
              <w:rPr>
                <w:rFonts w:ascii="Calibri" w:hAnsi="Calibri" w:cs="Calibri"/>
                <w:b/>
                <w:szCs w:val="20"/>
              </w:rPr>
            </w:pPr>
            <w:r w:rsidRPr="00EC6AA5">
              <w:rPr>
                <w:rFonts w:ascii="Calibri" w:hAnsi="Calibri" w:cs="Calibri"/>
                <w:b/>
                <w:szCs w:val="20"/>
              </w:rPr>
              <w:t>Odra Ostrava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53A742F1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2032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2BFFEE0" w14:textId="77777777" w:rsidR="00A3442B" w:rsidRPr="00EC6AA5" w:rsidRDefault="00A3442B" w:rsidP="00EC6AA5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C6AA5">
              <w:rPr>
                <w:rFonts w:ascii="Calibri" w:hAnsi="Calibri" w:cs="Calibri"/>
                <w:szCs w:val="20"/>
              </w:rPr>
              <w:t>2032</w:t>
            </w:r>
          </w:p>
        </w:tc>
      </w:tr>
    </w:tbl>
    <w:p w14:paraId="1ADE5CB6" w14:textId="44F80D51" w:rsidR="0065119E" w:rsidRPr="00EC6AA5" w:rsidRDefault="00BF731A" w:rsidP="00EC6AA5">
      <w:pPr>
        <w:spacing w:before="40"/>
        <w:rPr>
          <w:rFonts w:asciiTheme="minorHAnsi" w:hAnsiTheme="minorHAnsi" w:cstheme="minorHAnsi"/>
          <w:sz w:val="20"/>
          <w:szCs w:val="16"/>
        </w:rPr>
      </w:pPr>
      <w:r w:rsidRPr="00421D59">
        <w:rPr>
          <w:rFonts w:asciiTheme="minorHAnsi" w:hAnsiTheme="minorHAnsi" w:cstheme="minorHAnsi"/>
          <w:b/>
          <w:sz w:val="20"/>
          <w:szCs w:val="16"/>
        </w:rPr>
        <w:t>Z</w:t>
      </w:r>
      <w:r w:rsidR="0028677F" w:rsidRPr="00421D59">
        <w:rPr>
          <w:rFonts w:asciiTheme="minorHAnsi" w:hAnsiTheme="minorHAnsi" w:cstheme="minorHAnsi"/>
          <w:b/>
          <w:sz w:val="20"/>
          <w:szCs w:val="16"/>
        </w:rPr>
        <w:t>droj:</w:t>
      </w:r>
      <w:r w:rsidR="0028677F" w:rsidRPr="00EC6AA5">
        <w:rPr>
          <w:rFonts w:asciiTheme="minorHAnsi" w:hAnsiTheme="minorHAnsi" w:cstheme="minorHAnsi"/>
          <w:sz w:val="20"/>
          <w:szCs w:val="16"/>
        </w:rPr>
        <w:t xml:space="preserve"> MPO</w:t>
      </w:r>
      <w:r w:rsidR="00A273F1" w:rsidRPr="00EC6AA5">
        <w:rPr>
          <w:rFonts w:asciiTheme="minorHAnsi" w:hAnsiTheme="minorHAnsi" w:cstheme="minorHAnsi"/>
          <w:sz w:val="20"/>
          <w:szCs w:val="16"/>
        </w:rPr>
        <w:t>.</w:t>
      </w:r>
    </w:p>
    <w:p w14:paraId="0CB996A9" w14:textId="77777777" w:rsidR="001468C5" w:rsidRDefault="001468C5" w:rsidP="00926281">
      <w:pPr>
        <w:rPr>
          <w:rFonts w:asciiTheme="minorHAnsi" w:hAnsiTheme="minorHAnsi" w:cstheme="minorHAnsi"/>
          <w:sz w:val="24"/>
        </w:rPr>
      </w:pPr>
    </w:p>
    <w:p w14:paraId="5F97770D" w14:textId="7B23B8E2" w:rsidR="00926281" w:rsidRPr="00BF731A" w:rsidRDefault="0054478E" w:rsidP="00926281">
      <w:pPr>
        <w:rPr>
          <w:rFonts w:asciiTheme="minorHAnsi" w:hAnsiTheme="minorHAnsi" w:cstheme="minorHAnsi"/>
          <w:b/>
          <w:bCs/>
          <w:color w:val="000000"/>
          <w:sz w:val="24"/>
        </w:rPr>
      </w:pPr>
      <w:r w:rsidRPr="00BF731A">
        <w:rPr>
          <w:rFonts w:asciiTheme="minorHAnsi" w:hAnsiTheme="minorHAnsi" w:cstheme="minorHAnsi"/>
          <w:sz w:val="24"/>
        </w:rPr>
        <w:t>T</w:t>
      </w:r>
      <w:r w:rsidR="00926281" w:rsidRPr="00BF731A">
        <w:rPr>
          <w:rFonts w:asciiTheme="minorHAnsi" w:hAnsiTheme="minorHAnsi" w:cstheme="minorHAnsi"/>
          <w:sz w:val="24"/>
        </w:rPr>
        <w:t>ermín</w:t>
      </w:r>
      <w:r w:rsidR="00BF56AA" w:rsidRPr="00BF731A">
        <w:rPr>
          <w:rFonts w:asciiTheme="minorHAnsi" w:hAnsiTheme="minorHAnsi" w:cstheme="minorHAnsi"/>
          <w:sz w:val="24"/>
        </w:rPr>
        <w:t>y</w:t>
      </w:r>
      <w:r w:rsidR="00926281" w:rsidRPr="00BF731A">
        <w:rPr>
          <w:rFonts w:asciiTheme="minorHAnsi" w:hAnsiTheme="minorHAnsi" w:cstheme="minorHAnsi"/>
          <w:sz w:val="24"/>
        </w:rPr>
        <w:t xml:space="preserve"> pro dokončení zahlazování</w:t>
      </w:r>
      <w:r w:rsidR="00BF56AA" w:rsidRPr="00BF731A">
        <w:rPr>
          <w:rFonts w:asciiTheme="minorHAnsi" w:hAnsiTheme="minorHAnsi" w:cstheme="minorHAnsi"/>
          <w:sz w:val="24"/>
        </w:rPr>
        <w:t xml:space="preserve"> v TSPL byly ovlivněny řadou faktorů a v </w:t>
      </w:r>
      <w:r w:rsidR="00BF2691" w:rsidRPr="00BF731A">
        <w:rPr>
          <w:rFonts w:asciiTheme="minorHAnsi" w:hAnsiTheme="minorHAnsi" w:cstheme="minorHAnsi"/>
          <w:sz w:val="24"/>
        </w:rPr>
        <w:t>A</w:t>
      </w:r>
      <w:r w:rsidR="00BF56AA" w:rsidRPr="00BF731A">
        <w:rPr>
          <w:rFonts w:asciiTheme="minorHAnsi" w:hAnsiTheme="minorHAnsi" w:cstheme="minorHAnsi"/>
          <w:sz w:val="24"/>
        </w:rPr>
        <w:t>TSPL byly předpoklady dokončení zahlazování v jednotlivých lokalitách upraveny podle dosažené skutečnosti.</w:t>
      </w:r>
      <w:r w:rsidR="00926281" w:rsidRPr="00BF731A">
        <w:rPr>
          <w:rFonts w:asciiTheme="minorHAnsi" w:hAnsiTheme="minorHAnsi" w:cstheme="minorHAnsi"/>
          <w:sz w:val="24"/>
        </w:rPr>
        <w:t xml:space="preserve"> Například b</w:t>
      </w:r>
      <w:r w:rsidR="00926281" w:rsidRPr="00BF731A">
        <w:rPr>
          <w:rFonts w:asciiTheme="minorHAnsi" w:hAnsiTheme="minorHAnsi" w:cstheme="minorHAnsi"/>
          <w:bCs/>
          <w:sz w:val="24"/>
        </w:rPr>
        <w:t>yla výrazně prodloužena předpokládaná doba realizace SUL Příbram – Břemena, což MPO zdůvodnilo rozšířením břemen</w:t>
      </w:r>
      <w:r w:rsidR="00814FB7" w:rsidRPr="00BF731A">
        <w:rPr>
          <w:rFonts w:asciiTheme="minorHAnsi" w:hAnsiTheme="minorHAnsi" w:cstheme="minorHAnsi"/>
          <w:bCs/>
          <w:sz w:val="24"/>
        </w:rPr>
        <w:t>, tj. zařazením nových lokalit</w:t>
      </w:r>
      <w:r w:rsidR="00926281" w:rsidRPr="00BF731A">
        <w:rPr>
          <w:rFonts w:asciiTheme="minorHAnsi" w:hAnsiTheme="minorHAnsi" w:cstheme="minorHAnsi"/>
          <w:bCs/>
          <w:sz w:val="24"/>
        </w:rPr>
        <w:t xml:space="preserve"> a s tím spojeným nárůstem množství zpracovávaných důlních vod. </w:t>
      </w:r>
      <w:r w:rsidR="00814FB7" w:rsidRPr="00BF731A">
        <w:rPr>
          <w:rFonts w:asciiTheme="minorHAnsi" w:hAnsiTheme="minorHAnsi" w:cstheme="minorHAnsi"/>
          <w:bCs/>
          <w:color w:val="000000"/>
          <w:sz w:val="24"/>
        </w:rPr>
        <w:t>U odštěpného závodu</w:t>
      </w:r>
      <w:r w:rsidR="00926281" w:rsidRPr="00BF731A">
        <w:rPr>
          <w:rFonts w:asciiTheme="minorHAnsi" w:hAnsiTheme="minorHAnsi" w:cstheme="minorHAnsi"/>
          <w:bCs/>
          <w:color w:val="000000"/>
          <w:sz w:val="24"/>
        </w:rPr>
        <w:t> TÚU Stráž pod Ralskem došlo k prodloužení termínu o dva roky, a to v důsledku zpřísnění cílových hodnot parametrů sanace</w:t>
      </w:r>
      <w:r w:rsidR="00B817F8" w:rsidRPr="00BF731A">
        <w:rPr>
          <w:rFonts w:asciiTheme="minorHAnsi" w:hAnsiTheme="minorHAnsi" w:cstheme="minorHAnsi"/>
          <w:bCs/>
          <w:color w:val="000000"/>
          <w:sz w:val="24"/>
        </w:rPr>
        <w:t>.</w:t>
      </w:r>
      <w:r w:rsidR="00926281" w:rsidRPr="00BF731A">
        <w:rPr>
          <w:rFonts w:asciiTheme="minorHAnsi" w:hAnsiTheme="minorHAnsi" w:cstheme="minorHAnsi"/>
          <w:b/>
          <w:bCs/>
          <w:i/>
          <w:color w:val="000000"/>
          <w:sz w:val="24"/>
        </w:rPr>
        <w:t xml:space="preserve"> </w:t>
      </w:r>
    </w:p>
    <w:p w14:paraId="50BF0BC2" w14:textId="77777777" w:rsidR="0065119E" w:rsidRPr="0065119E" w:rsidRDefault="0065119E" w:rsidP="0065119E">
      <w:pPr>
        <w:rPr>
          <w:rFonts w:asciiTheme="minorHAnsi" w:hAnsiTheme="minorHAnsi" w:cstheme="minorHAnsi"/>
          <w:bCs/>
          <w:sz w:val="24"/>
        </w:rPr>
      </w:pPr>
    </w:p>
    <w:p w14:paraId="4C32E9BE" w14:textId="77777777" w:rsidR="0065119E" w:rsidRPr="00DC791F" w:rsidRDefault="00BF56AA" w:rsidP="00DC791F">
      <w:pPr>
        <w:shd w:val="clear" w:color="auto" w:fill="FFFFFF"/>
        <w:rPr>
          <w:rFonts w:asciiTheme="minorHAnsi" w:hAnsiTheme="minorHAnsi" w:cstheme="minorHAnsi"/>
          <w:bCs/>
          <w:color w:val="000000"/>
          <w:spacing w:val="-5"/>
          <w:sz w:val="24"/>
        </w:rPr>
      </w:pPr>
      <w:r w:rsidRPr="00DC791F">
        <w:rPr>
          <w:rFonts w:asciiTheme="minorHAnsi" w:hAnsiTheme="minorHAnsi" w:cstheme="minorHAnsi"/>
          <w:bCs/>
          <w:color w:val="000000"/>
          <w:spacing w:val="-5"/>
          <w:sz w:val="24"/>
        </w:rPr>
        <w:t>Kontrolou bylo ověřeno, že od roku 2006 dochází k postupnému snižování hodnoty majetku, se kterým má státní podnik DIAMO právo hospodařit</w:t>
      </w:r>
      <w:r w:rsidR="0065119E" w:rsidRPr="00DC791F">
        <w:rPr>
          <w:rFonts w:asciiTheme="minorHAnsi" w:hAnsiTheme="minorHAnsi" w:cstheme="minorHAnsi"/>
          <w:bCs/>
          <w:color w:val="000000"/>
          <w:spacing w:val="-5"/>
          <w:sz w:val="24"/>
        </w:rPr>
        <w:t>, např.:</w:t>
      </w:r>
    </w:p>
    <w:p w14:paraId="583DF6D0" w14:textId="6C342B2E" w:rsidR="0065119E" w:rsidRPr="00DC791F" w:rsidRDefault="0065119E" w:rsidP="00DC791F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V roce 2006 byla hodnota majetku ve výši 10 436 mil. Kč a v roce 2016 ve výši 8</w:t>
      </w:r>
      <w:r w:rsidR="00EC6AA5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738</w:t>
      </w:r>
      <w:r w:rsidR="00EC6AA5">
        <w:rPr>
          <w:rFonts w:asciiTheme="minorHAnsi" w:hAnsiTheme="minorHAnsi" w:cstheme="minorHAnsi"/>
          <w:bCs/>
          <w:color w:val="000000" w:themeColor="text1"/>
          <w:sz w:val="24"/>
        </w:rPr>
        <w:t> mil.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Kč, a</w:t>
      </w:r>
      <w:r w:rsidR="00185931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to i přestože státní podnik DIAMO mj. pořídil </w:t>
      </w:r>
      <w:r w:rsidR="00A273F1">
        <w:rPr>
          <w:rFonts w:asciiTheme="minorHAnsi" w:hAnsiTheme="minorHAnsi" w:cstheme="minorHAnsi"/>
          <w:bCs/>
          <w:color w:val="000000" w:themeColor="text1"/>
          <w:sz w:val="24"/>
        </w:rPr>
        <w:t>komplex sanačních technologií s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celkovou hodnotou 3 982 mil. Kč</w:t>
      </w:r>
      <w:r w:rsidR="00C9713B">
        <w:rPr>
          <w:rFonts w:asciiTheme="minorHAnsi" w:hAnsiTheme="minorHAnsi" w:cstheme="minorHAnsi"/>
          <w:bCs/>
          <w:color w:val="000000" w:themeColor="text1"/>
          <w:sz w:val="24"/>
        </w:rPr>
        <w:t>.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</w:p>
    <w:p w14:paraId="5C326CC4" w14:textId="5A487DE6" w:rsidR="0065119E" w:rsidRPr="00DC791F" w:rsidRDefault="0065119E" w:rsidP="00DC791F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Počet provozovaných areálů z celkového počtu 92 areálů v r. 2006 klesl na 51 areálů v</w:t>
      </w:r>
      <w:r w:rsidR="00185931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r.</w:t>
      </w:r>
      <w:r w:rsidR="00185931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2016</w:t>
      </w:r>
      <w:r w:rsidR="00C9713B">
        <w:rPr>
          <w:rFonts w:asciiTheme="minorHAnsi" w:hAnsiTheme="minorHAnsi" w:cstheme="minorHAnsi"/>
          <w:bCs/>
          <w:color w:val="000000" w:themeColor="text1"/>
          <w:sz w:val="24"/>
        </w:rPr>
        <w:t>.</w:t>
      </w:r>
    </w:p>
    <w:p w14:paraId="158387ED" w14:textId="66A53006" w:rsidR="0065119E" w:rsidRPr="00DC791F" w:rsidRDefault="0065119E" w:rsidP="00DC791F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Počet </w:t>
      </w:r>
      <w:r w:rsidR="0050653B">
        <w:rPr>
          <w:rFonts w:asciiTheme="minorHAnsi" w:hAnsiTheme="minorHAnsi" w:cstheme="minorHAnsi"/>
          <w:bCs/>
          <w:color w:val="000000" w:themeColor="text1"/>
          <w:sz w:val="24"/>
        </w:rPr>
        <w:t xml:space="preserve">zasažených 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pozemkových parcel a jejich rozloha klesla od roku 2006 do roku 2016 o 1 924 parcel s rozlohou 1</w:t>
      </w:r>
      <w:r w:rsidR="00BF56AA" w:rsidRPr="00DC791F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549 ha z důvodu jejich postupné rekultivace.</w:t>
      </w:r>
    </w:p>
    <w:p w14:paraId="5EF9CDF5" w14:textId="2478BBDA" w:rsidR="0065119E" w:rsidRPr="00DC791F" w:rsidRDefault="0065119E" w:rsidP="00DC791F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Počet evidovaných vrtů </w:t>
      </w:r>
      <w:r w:rsidR="00C76CF0">
        <w:rPr>
          <w:rFonts w:asciiTheme="minorHAnsi" w:hAnsiTheme="minorHAnsi" w:cstheme="minorHAnsi"/>
          <w:bCs/>
          <w:color w:val="000000" w:themeColor="text1"/>
          <w:sz w:val="24"/>
        </w:rPr>
        <w:t>16 649 určených k likvidaci v roce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 2006 klesl o 1 359 vrtů, tj. na 15</w:t>
      </w:r>
      <w:r w:rsidR="009B4E0C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>290</w:t>
      </w:r>
      <w:r w:rsidR="009B4E0C">
        <w:rPr>
          <w:rFonts w:asciiTheme="minorHAnsi" w:hAnsiTheme="minorHAnsi" w:cstheme="minorHAnsi"/>
          <w:bCs/>
          <w:color w:val="000000" w:themeColor="text1"/>
          <w:sz w:val="24"/>
        </w:rPr>
        <w:t>,</w:t>
      </w:r>
      <w:r w:rsidRPr="00DC791F">
        <w:rPr>
          <w:rFonts w:asciiTheme="minorHAnsi" w:hAnsiTheme="minorHAnsi" w:cstheme="minorHAnsi"/>
          <w:bCs/>
          <w:color w:val="000000" w:themeColor="text1"/>
          <w:sz w:val="24"/>
        </w:rPr>
        <w:t xml:space="preserve"> v roce 2016 s tím, že bylo zlikvidováno celkem 1 603 vrtů a přírůstek 244 vrtů tvořily nové a dohledané vrty.</w:t>
      </w:r>
    </w:p>
    <w:p w14:paraId="49F52A89" w14:textId="78E16B10" w:rsidR="00A809F4" w:rsidRPr="0090769B" w:rsidRDefault="00A809F4" w:rsidP="0065119E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</w:rPr>
        <w:t>P</w:t>
      </w:r>
      <w:r w:rsidRPr="0065119E">
        <w:rPr>
          <w:rFonts w:asciiTheme="minorHAnsi" w:hAnsiTheme="minorHAnsi" w:cstheme="minorHAnsi"/>
          <w:bCs/>
          <w:color w:val="000000" w:themeColor="text1"/>
          <w:sz w:val="24"/>
        </w:rPr>
        <w:t xml:space="preserve">eněžní potřeba </w:t>
      </w:r>
      <w:r w:rsidR="0065119E" w:rsidRPr="0065119E">
        <w:rPr>
          <w:rFonts w:asciiTheme="minorHAnsi" w:hAnsiTheme="minorHAnsi" w:cstheme="minorHAnsi"/>
          <w:bCs/>
          <w:color w:val="000000" w:themeColor="text1"/>
          <w:sz w:val="24"/>
        </w:rPr>
        <w:t xml:space="preserve">na zajištění optimálního průběhu </w:t>
      </w:r>
      <w:r>
        <w:rPr>
          <w:rFonts w:asciiTheme="minorHAnsi" w:hAnsiTheme="minorHAnsi" w:cstheme="minorHAnsi"/>
          <w:bCs/>
          <w:color w:val="000000" w:themeColor="text1"/>
          <w:sz w:val="24"/>
        </w:rPr>
        <w:t>ZNHČ</w:t>
      </w:r>
      <w:r w:rsidR="0065119E" w:rsidRPr="0065119E">
        <w:rPr>
          <w:rFonts w:asciiTheme="minorHAnsi" w:hAnsiTheme="minorHAnsi" w:cstheme="minorHAnsi"/>
          <w:bCs/>
          <w:color w:val="000000" w:themeColor="text1"/>
          <w:sz w:val="24"/>
        </w:rPr>
        <w:t xml:space="preserve"> ve státním podniku DIAMO </w:t>
      </w:r>
      <w:r w:rsidRPr="0065119E">
        <w:rPr>
          <w:rFonts w:asciiTheme="minorHAnsi" w:hAnsiTheme="minorHAnsi" w:cstheme="minorHAnsi"/>
          <w:bCs/>
          <w:color w:val="000000" w:themeColor="text1"/>
          <w:sz w:val="24"/>
        </w:rPr>
        <w:t>bude</w:t>
      </w:r>
      <w:r>
        <w:rPr>
          <w:rFonts w:asciiTheme="minorHAnsi" w:hAnsiTheme="minorHAnsi" w:cstheme="minorHAnsi"/>
          <w:bCs/>
          <w:color w:val="000000" w:themeColor="text1"/>
          <w:sz w:val="24"/>
        </w:rPr>
        <w:t xml:space="preserve"> p</w:t>
      </w:r>
      <w:r w:rsidRPr="0065119E">
        <w:rPr>
          <w:rFonts w:asciiTheme="minorHAnsi" w:hAnsiTheme="minorHAnsi" w:cstheme="minorHAnsi"/>
          <w:bCs/>
          <w:color w:val="000000" w:themeColor="text1"/>
          <w:sz w:val="24"/>
        </w:rPr>
        <w:t xml:space="preserve">odle platných aktualizovaných projektů likvidace </w:t>
      </w:r>
      <w:r w:rsidR="0065119E" w:rsidRPr="0065119E">
        <w:rPr>
          <w:rFonts w:asciiTheme="minorHAnsi" w:hAnsiTheme="minorHAnsi" w:cstheme="minorHAnsi"/>
          <w:bCs/>
          <w:color w:val="000000" w:themeColor="text1"/>
          <w:sz w:val="24"/>
        </w:rPr>
        <w:t xml:space="preserve">ještě od roku 2016 do konce zahlazování (do roku 2042) celkem 45 767 mil. Kč, </w:t>
      </w:r>
      <w:r>
        <w:rPr>
          <w:rFonts w:asciiTheme="minorHAnsi" w:hAnsiTheme="minorHAnsi" w:cstheme="minorHAnsi"/>
          <w:bCs/>
          <w:color w:val="000000" w:themeColor="text1"/>
          <w:sz w:val="24"/>
        </w:rPr>
        <w:t xml:space="preserve">z toho </w:t>
      </w:r>
      <w:r w:rsidR="0065119E" w:rsidRPr="0065119E">
        <w:rPr>
          <w:rFonts w:asciiTheme="minorHAnsi" w:hAnsiTheme="minorHAnsi" w:cstheme="minorHAnsi"/>
          <w:bCs/>
          <w:color w:val="000000" w:themeColor="text1"/>
          <w:sz w:val="24"/>
        </w:rPr>
        <w:t>26 955 mil. Kč (59 %) si vyžádá likvidace těžby a</w:t>
      </w:r>
      <w:r w:rsidR="00185931">
        <w:rPr>
          <w:rFonts w:asciiTheme="minorHAnsi" w:hAnsiTheme="minorHAnsi" w:cstheme="minorHAnsi"/>
          <w:bCs/>
          <w:color w:val="000000" w:themeColor="text1"/>
          <w:sz w:val="24"/>
        </w:rPr>
        <w:t> </w:t>
      </w:r>
      <w:r w:rsidR="0065119E" w:rsidRPr="0065119E">
        <w:rPr>
          <w:rFonts w:asciiTheme="minorHAnsi" w:hAnsiTheme="minorHAnsi" w:cstheme="minorHAnsi"/>
          <w:bCs/>
          <w:color w:val="000000" w:themeColor="text1"/>
          <w:sz w:val="24"/>
        </w:rPr>
        <w:t>úpravy uranu v oblasti Stráže pod Ralskem.</w:t>
      </w:r>
      <w:r w:rsidR="0065119E" w:rsidRPr="0065119E">
        <w:rPr>
          <w:rFonts w:asciiTheme="minorHAnsi" w:hAnsiTheme="minorHAnsi" w:cstheme="minorHAnsi"/>
          <w:bCs/>
          <w:sz w:val="24"/>
        </w:rPr>
        <w:t xml:space="preserve"> Potřeba peněžních prostředků uvedená v projektech likvidace a jejich aktualizacích je předpokládanou hodnotou a postupně se </w:t>
      </w:r>
      <w:r w:rsidR="00732554" w:rsidRPr="0065119E">
        <w:rPr>
          <w:rFonts w:asciiTheme="minorHAnsi" w:hAnsiTheme="minorHAnsi" w:cstheme="minorHAnsi"/>
          <w:bCs/>
          <w:sz w:val="24"/>
        </w:rPr>
        <w:t xml:space="preserve">na základě analýz rizik </w:t>
      </w:r>
      <w:r w:rsidR="00732554">
        <w:rPr>
          <w:rFonts w:asciiTheme="minorHAnsi" w:hAnsiTheme="minorHAnsi" w:cstheme="minorHAnsi"/>
          <w:bCs/>
          <w:sz w:val="24"/>
        </w:rPr>
        <w:t xml:space="preserve">a aktualizací TSPL </w:t>
      </w:r>
      <w:r w:rsidR="0065119E" w:rsidRPr="0065119E">
        <w:rPr>
          <w:rFonts w:asciiTheme="minorHAnsi" w:hAnsiTheme="minorHAnsi" w:cstheme="minorHAnsi"/>
          <w:bCs/>
          <w:sz w:val="24"/>
        </w:rPr>
        <w:t xml:space="preserve">mění. </w:t>
      </w:r>
      <w:r w:rsidR="00732554" w:rsidRPr="00015AAA">
        <w:rPr>
          <w:rFonts w:asciiTheme="minorHAnsi" w:hAnsiTheme="minorHAnsi" w:cstheme="minorHAnsi"/>
          <w:bCs/>
          <w:sz w:val="24"/>
        </w:rPr>
        <w:t>V původních deseti TSPL</w:t>
      </w:r>
      <w:r w:rsidR="00015AAA">
        <w:rPr>
          <w:rFonts w:asciiTheme="minorHAnsi" w:hAnsiTheme="minorHAnsi" w:cstheme="minorHAnsi"/>
          <w:bCs/>
          <w:sz w:val="24"/>
        </w:rPr>
        <w:t>, které byly v následujících letech upravovány,</w:t>
      </w:r>
      <w:r w:rsidR="00732554" w:rsidRPr="00015AAA">
        <w:rPr>
          <w:rFonts w:asciiTheme="minorHAnsi" w:hAnsiTheme="minorHAnsi" w:cstheme="minorHAnsi"/>
          <w:bCs/>
          <w:sz w:val="24"/>
        </w:rPr>
        <w:t xml:space="preserve"> byla potřeba peněžních prostředků od počátku do konce procesu ZNHČ stanovena na 65</w:t>
      </w:r>
      <w:r w:rsidR="00015AAA">
        <w:rPr>
          <w:rFonts w:asciiTheme="minorHAnsi" w:hAnsiTheme="minorHAnsi" w:cstheme="minorHAnsi"/>
          <w:bCs/>
          <w:sz w:val="24"/>
        </w:rPr>
        <w:t> </w:t>
      </w:r>
      <w:r w:rsidR="00732554" w:rsidRPr="00015AAA">
        <w:rPr>
          <w:rFonts w:asciiTheme="minorHAnsi" w:hAnsiTheme="minorHAnsi" w:cstheme="minorHAnsi"/>
          <w:bCs/>
          <w:sz w:val="24"/>
        </w:rPr>
        <w:t>835 m</w:t>
      </w:r>
      <w:r w:rsidR="00015AAA">
        <w:rPr>
          <w:rFonts w:asciiTheme="minorHAnsi" w:hAnsiTheme="minorHAnsi" w:cstheme="minorHAnsi"/>
          <w:bCs/>
          <w:sz w:val="24"/>
        </w:rPr>
        <w:t>i</w:t>
      </w:r>
      <w:r w:rsidR="00732554" w:rsidRPr="00015AAA">
        <w:rPr>
          <w:rFonts w:asciiTheme="minorHAnsi" w:hAnsiTheme="minorHAnsi" w:cstheme="minorHAnsi"/>
          <w:bCs/>
          <w:sz w:val="24"/>
        </w:rPr>
        <w:t xml:space="preserve">l. Kč. Od roku 1993 do roku 2015 bylo na proces ZNHČ </w:t>
      </w:r>
      <w:r w:rsidR="00FD6081" w:rsidRPr="00015AAA">
        <w:rPr>
          <w:rFonts w:asciiTheme="minorHAnsi" w:hAnsiTheme="minorHAnsi" w:cstheme="minorHAnsi"/>
          <w:bCs/>
          <w:sz w:val="24"/>
        </w:rPr>
        <w:t xml:space="preserve">ze státního rozpočtu a zvláštního účtu MF </w:t>
      </w:r>
      <w:r w:rsidR="00F23E28" w:rsidRPr="00015AAA">
        <w:rPr>
          <w:rFonts w:asciiTheme="minorHAnsi" w:hAnsiTheme="minorHAnsi" w:cstheme="minorHAnsi"/>
          <w:bCs/>
          <w:sz w:val="24"/>
        </w:rPr>
        <w:t xml:space="preserve">již </w:t>
      </w:r>
      <w:r w:rsidR="00732554" w:rsidRPr="00015AAA">
        <w:rPr>
          <w:rFonts w:asciiTheme="minorHAnsi" w:hAnsiTheme="minorHAnsi" w:cstheme="minorHAnsi"/>
          <w:bCs/>
          <w:sz w:val="24"/>
        </w:rPr>
        <w:t xml:space="preserve">poskytnuto </w:t>
      </w:r>
      <w:r w:rsidR="00015AAA" w:rsidRPr="00015AAA">
        <w:rPr>
          <w:rFonts w:asciiTheme="minorHAnsi" w:hAnsiTheme="minorHAnsi" w:cstheme="minorHAnsi"/>
          <w:bCs/>
          <w:sz w:val="24"/>
        </w:rPr>
        <w:t xml:space="preserve">56 400 </w:t>
      </w:r>
      <w:r w:rsidR="00DC5BDA" w:rsidRPr="00015AAA">
        <w:rPr>
          <w:rFonts w:asciiTheme="minorHAnsi" w:hAnsiTheme="minorHAnsi" w:cstheme="minorHAnsi"/>
          <w:bCs/>
          <w:sz w:val="24"/>
        </w:rPr>
        <w:t>m</w:t>
      </w:r>
      <w:r w:rsidR="00015AAA" w:rsidRPr="00015AAA">
        <w:rPr>
          <w:rFonts w:asciiTheme="minorHAnsi" w:hAnsiTheme="minorHAnsi" w:cstheme="minorHAnsi"/>
          <w:bCs/>
          <w:sz w:val="24"/>
        </w:rPr>
        <w:t>i</w:t>
      </w:r>
      <w:r w:rsidR="00DC5BDA" w:rsidRPr="00015AAA">
        <w:rPr>
          <w:rFonts w:asciiTheme="minorHAnsi" w:hAnsiTheme="minorHAnsi" w:cstheme="minorHAnsi"/>
          <w:bCs/>
          <w:sz w:val="24"/>
        </w:rPr>
        <w:t xml:space="preserve">l. Kč </w:t>
      </w:r>
      <w:r w:rsidR="00732554" w:rsidRPr="00015AAA">
        <w:rPr>
          <w:rFonts w:asciiTheme="minorHAnsi" w:hAnsiTheme="minorHAnsi" w:cstheme="minorHAnsi"/>
          <w:bCs/>
          <w:sz w:val="24"/>
        </w:rPr>
        <w:t xml:space="preserve">a potřeba peněžních prostředků </w:t>
      </w:r>
      <w:r w:rsidR="00732554" w:rsidRPr="00015AAA">
        <w:rPr>
          <w:rFonts w:asciiTheme="minorHAnsi" w:hAnsiTheme="minorHAnsi" w:cstheme="minorHAnsi"/>
          <w:bCs/>
          <w:sz w:val="24"/>
        </w:rPr>
        <w:lastRenderedPageBreak/>
        <w:t>na následující období 2016</w:t>
      </w:r>
      <w:r w:rsidR="00A273F1">
        <w:rPr>
          <w:rFonts w:asciiTheme="minorHAnsi" w:hAnsiTheme="minorHAnsi" w:cstheme="minorHAnsi"/>
          <w:bCs/>
          <w:sz w:val="24"/>
        </w:rPr>
        <w:t>–</w:t>
      </w:r>
      <w:r w:rsidR="00732554" w:rsidRPr="00015AAA">
        <w:rPr>
          <w:rFonts w:asciiTheme="minorHAnsi" w:hAnsiTheme="minorHAnsi" w:cstheme="minorHAnsi"/>
          <w:bCs/>
          <w:sz w:val="24"/>
        </w:rPr>
        <w:t xml:space="preserve">2042 je </w:t>
      </w:r>
      <w:r w:rsidR="00FD6081" w:rsidRPr="00015AAA">
        <w:rPr>
          <w:rFonts w:asciiTheme="minorHAnsi" w:hAnsiTheme="minorHAnsi" w:cstheme="minorHAnsi"/>
          <w:bCs/>
          <w:sz w:val="24"/>
        </w:rPr>
        <w:t xml:space="preserve">v aktualizovaných TSPL </w:t>
      </w:r>
      <w:r w:rsidR="00732554" w:rsidRPr="00015AAA">
        <w:rPr>
          <w:rFonts w:asciiTheme="minorHAnsi" w:hAnsiTheme="minorHAnsi" w:cstheme="minorHAnsi"/>
          <w:bCs/>
          <w:sz w:val="24"/>
        </w:rPr>
        <w:t>stanovena na dalších 45</w:t>
      </w:r>
      <w:r w:rsidR="00015AAA">
        <w:rPr>
          <w:rFonts w:asciiTheme="minorHAnsi" w:hAnsiTheme="minorHAnsi" w:cstheme="minorHAnsi"/>
          <w:bCs/>
          <w:sz w:val="24"/>
        </w:rPr>
        <w:t> 770 mil</w:t>
      </w:r>
      <w:r w:rsidR="00732554" w:rsidRPr="00015AAA">
        <w:rPr>
          <w:rFonts w:asciiTheme="minorHAnsi" w:hAnsiTheme="minorHAnsi" w:cstheme="minorHAnsi"/>
          <w:bCs/>
          <w:sz w:val="24"/>
        </w:rPr>
        <w:t>.</w:t>
      </w:r>
      <w:r w:rsidR="00015AAA">
        <w:rPr>
          <w:rFonts w:asciiTheme="minorHAnsi" w:hAnsiTheme="minorHAnsi" w:cstheme="minorHAnsi"/>
          <w:bCs/>
          <w:sz w:val="24"/>
        </w:rPr>
        <w:t> </w:t>
      </w:r>
      <w:r w:rsidR="00732554" w:rsidRPr="00015AAA">
        <w:rPr>
          <w:rFonts w:asciiTheme="minorHAnsi" w:hAnsiTheme="minorHAnsi" w:cstheme="minorHAnsi"/>
          <w:bCs/>
          <w:sz w:val="24"/>
        </w:rPr>
        <w:t>Kč.</w:t>
      </w:r>
    </w:p>
    <w:p w14:paraId="68B6954C" w14:textId="77777777" w:rsidR="00A3689E" w:rsidRDefault="00A3689E" w:rsidP="0065119E">
      <w:pPr>
        <w:rPr>
          <w:rFonts w:asciiTheme="minorHAnsi" w:hAnsiTheme="minorHAnsi" w:cstheme="minorHAnsi"/>
          <w:bCs/>
          <w:sz w:val="24"/>
        </w:rPr>
      </w:pPr>
    </w:p>
    <w:p w14:paraId="2A24204E" w14:textId="723248A9" w:rsidR="0065119E" w:rsidRDefault="0065119E" w:rsidP="0065119E">
      <w:pPr>
        <w:rPr>
          <w:rFonts w:asciiTheme="minorHAnsi" w:hAnsiTheme="minorHAnsi" w:cstheme="minorHAnsi"/>
          <w:bCs/>
          <w:sz w:val="24"/>
        </w:rPr>
      </w:pPr>
      <w:r w:rsidRPr="0065119E">
        <w:rPr>
          <w:rFonts w:asciiTheme="minorHAnsi" w:hAnsiTheme="minorHAnsi" w:cstheme="minorHAnsi"/>
          <w:bCs/>
          <w:sz w:val="24"/>
        </w:rPr>
        <w:t xml:space="preserve">Rozdíly mezi potřebou uvedenou v aktualizovaných projektech likvidace </w:t>
      </w:r>
      <w:r w:rsidR="00A809F4">
        <w:rPr>
          <w:rFonts w:asciiTheme="minorHAnsi" w:hAnsiTheme="minorHAnsi" w:cstheme="minorHAnsi"/>
          <w:bCs/>
          <w:sz w:val="24"/>
        </w:rPr>
        <w:t xml:space="preserve">a </w:t>
      </w:r>
      <w:r w:rsidR="00A809F4" w:rsidRPr="0065119E">
        <w:rPr>
          <w:rFonts w:asciiTheme="minorHAnsi" w:hAnsiTheme="minorHAnsi" w:cstheme="minorHAnsi"/>
          <w:bCs/>
          <w:sz w:val="24"/>
        </w:rPr>
        <w:t xml:space="preserve">skutečnou potřebou peněžních prostředků </w:t>
      </w:r>
      <w:r w:rsidRPr="0065119E">
        <w:rPr>
          <w:rFonts w:asciiTheme="minorHAnsi" w:hAnsiTheme="minorHAnsi" w:cstheme="minorHAnsi"/>
          <w:bCs/>
          <w:sz w:val="24"/>
        </w:rPr>
        <w:t xml:space="preserve">jsou způsobeny např. růstem cen (potřeby v projektech jsou v cenách z doby jejich zpracování), vyvolanými změnami technických řešení, nutností realizace ověřovacích prací, výsledkem monitoringu a nerealizováním plánovaných prací. </w:t>
      </w:r>
      <w:r w:rsidRPr="0065119E">
        <w:rPr>
          <w:rFonts w:asciiTheme="minorHAnsi" w:hAnsiTheme="minorHAnsi" w:cstheme="minorHAnsi"/>
          <w:sz w:val="24"/>
        </w:rPr>
        <w:t xml:space="preserve">Dosud odhadovaná potřeba peněžních prostředků a doba zahlazování hornické činnosti se tak může v budoucnu změnit. </w:t>
      </w:r>
      <w:r w:rsidR="0054478E" w:rsidRPr="0054478E">
        <w:rPr>
          <w:rFonts w:asciiTheme="minorHAnsi" w:hAnsiTheme="minorHAnsi" w:cstheme="minorHAnsi"/>
          <w:bCs/>
          <w:sz w:val="24"/>
        </w:rPr>
        <w:t>Významný vliv na potřebu peněžních prostředků a dobu zahlazování může mít i změna hodnot cílových parametrů sanace v lokalitě Stráže pod Ralskem, které byly dosud stanoveny jako prozatímní.</w:t>
      </w:r>
    </w:p>
    <w:p w14:paraId="6FB0519E" w14:textId="77777777" w:rsidR="00BF731A" w:rsidRPr="0065119E" w:rsidRDefault="00BF731A" w:rsidP="0065119E">
      <w:pPr>
        <w:rPr>
          <w:rFonts w:asciiTheme="minorHAnsi" w:hAnsiTheme="minorHAnsi" w:cstheme="minorHAnsi"/>
          <w:bCs/>
          <w:sz w:val="24"/>
        </w:rPr>
      </w:pPr>
    </w:p>
    <w:p w14:paraId="46F80B01" w14:textId="388E62DE" w:rsidR="0065119E" w:rsidRPr="0065119E" w:rsidRDefault="00A809F4" w:rsidP="0065119E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Dále budou</w:t>
      </w:r>
      <w:r w:rsidR="0065119E" w:rsidRPr="0065119E">
        <w:rPr>
          <w:rFonts w:asciiTheme="minorHAnsi" w:hAnsiTheme="minorHAnsi" w:cstheme="minorHAnsi"/>
          <w:bCs/>
          <w:sz w:val="24"/>
        </w:rPr>
        <w:t xml:space="preserve"> po ukončení likvidačních, s</w:t>
      </w:r>
      <w:r w:rsidR="00DB4F66">
        <w:rPr>
          <w:rFonts w:asciiTheme="minorHAnsi" w:hAnsiTheme="minorHAnsi" w:cstheme="minorHAnsi"/>
          <w:bCs/>
          <w:sz w:val="24"/>
        </w:rPr>
        <w:t>anačních a rekultivačních prací</w:t>
      </w:r>
      <w:r w:rsidR="00B817F8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pokračovat </w:t>
      </w:r>
      <w:r w:rsidR="0065119E" w:rsidRPr="0065119E">
        <w:rPr>
          <w:rFonts w:asciiTheme="minorHAnsi" w:hAnsiTheme="minorHAnsi" w:cstheme="minorHAnsi"/>
          <w:bCs/>
          <w:sz w:val="24"/>
        </w:rPr>
        <w:t xml:space="preserve">v jednotlivých lokalitách </w:t>
      </w:r>
      <w:r>
        <w:rPr>
          <w:rFonts w:asciiTheme="minorHAnsi" w:hAnsiTheme="minorHAnsi" w:cstheme="minorHAnsi"/>
          <w:bCs/>
          <w:sz w:val="24"/>
        </w:rPr>
        <w:t>další</w:t>
      </w:r>
      <w:r w:rsidR="0065119E" w:rsidRPr="0065119E">
        <w:rPr>
          <w:rFonts w:asciiTheme="minorHAnsi" w:hAnsiTheme="minorHAnsi" w:cstheme="minorHAnsi"/>
          <w:bCs/>
          <w:sz w:val="24"/>
        </w:rPr>
        <w:t xml:space="preserve"> činnosti spojené s čištěním a čerpáním vod a post-sanačním monitoringem. Náklady s tím spojené nejsou součástí platných aktualizovaných projektů likvidace a podle MPO zatím nebyly odhadnuty. </w:t>
      </w:r>
    </w:p>
    <w:p w14:paraId="34CB07D2" w14:textId="77777777" w:rsidR="0065119E" w:rsidRDefault="0065119E" w:rsidP="0065119E">
      <w:pPr>
        <w:rPr>
          <w:rFonts w:asciiTheme="minorHAnsi" w:hAnsiTheme="minorHAnsi" w:cstheme="minorHAnsi"/>
          <w:bCs/>
          <w:sz w:val="24"/>
        </w:rPr>
      </w:pPr>
    </w:p>
    <w:p w14:paraId="1D0DE221" w14:textId="2E6F4FE9" w:rsidR="00AA625C" w:rsidRPr="00EC6AA5" w:rsidRDefault="00EC6AA5" w:rsidP="00EC6AA5">
      <w:pPr>
        <w:ind w:left="284" w:hanging="28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2. </w:t>
      </w:r>
      <w:r>
        <w:rPr>
          <w:rFonts w:asciiTheme="minorHAnsi" w:hAnsiTheme="minorHAnsi" w:cstheme="minorHAnsi"/>
          <w:b/>
          <w:sz w:val="24"/>
        </w:rPr>
        <w:tab/>
      </w:r>
      <w:r w:rsidR="00AA625C" w:rsidRPr="00EC6AA5">
        <w:rPr>
          <w:rFonts w:asciiTheme="minorHAnsi" w:hAnsiTheme="minorHAnsi" w:cstheme="minorHAnsi"/>
          <w:b/>
          <w:sz w:val="24"/>
        </w:rPr>
        <w:t>Financování zahlazování následků hornické činnosti</w:t>
      </w:r>
    </w:p>
    <w:p w14:paraId="280E6093" w14:textId="77777777" w:rsidR="00BF731A" w:rsidRDefault="00BF731A" w:rsidP="00EC6AA5">
      <w:pPr>
        <w:tabs>
          <w:tab w:val="right" w:pos="8789"/>
        </w:tabs>
        <w:spacing w:line="240" w:lineRule="atLeast"/>
        <w:rPr>
          <w:rFonts w:asciiTheme="minorHAnsi" w:hAnsiTheme="minorHAnsi" w:cstheme="minorHAnsi"/>
          <w:bCs/>
          <w:sz w:val="24"/>
        </w:rPr>
      </w:pPr>
    </w:p>
    <w:p w14:paraId="7B8B3462" w14:textId="0E1A7C80" w:rsidR="00C962A3" w:rsidRDefault="00E6536F" w:rsidP="00EC6AA5">
      <w:pPr>
        <w:tabs>
          <w:tab w:val="right" w:pos="8789"/>
        </w:tabs>
        <w:spacing w:line="240" w:lineRule="atLeas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Následující tabulka uvádí p</w:t>
      </w:r>
      <w:r w:rsidR="00BE3B0D" w:rsidRPr="00DC791F">
        <w:rPr>
          <w:rFonts w:asciiTheme="minorHAnsi" w:hAnsiTheme="minorHAnsi" w:cstheme="minorHAnsi"/>
          <w:bCs/>
          <w:sz w:val="24"/>
        </w:rPr>
        <w:t>řehled peněžních prostředků, které státní</w:t>
      </w:r>
      <w:r w:rsidR="00C92F6D" w:rsidRPr="00DC791F">
        <w:rPr>
          <w:rFonts w:asciiTheme="minorHAnsi" w:hAnsiTheme="minorHAnsi" w:cstheme="minorHAnsi"/>
          <w:bCs/>
          <w:sz w:val="24"/>
        </w:rPr>
        <w:t>mu</w:t>
      </w:r>
      <w:r w:rsidR="00BE3B0D" w:rsidRPr="00DC791F">
        <w:rPr>
          <w:rFonts w:asciiTheme="minorHAnsi" w:hAnsiTheme="minorHAnsi" w:cstheme="minorHAnsi"/>
          <w:bCs/>
          <w:sz w:val="24"/>
        </w:rPr>
        <w:t xml:space="preserve"> podnik</w:t>
      </w:r>
      <w:r w:rsidR="00C92F6D" w:rsidRPr="00DC791F">
        <w:rPr>
          <w:rFonts w:asciiTheme="minorHAnsi" w:hAnsiTheme="minorHAnsi" w:cstheme="minorHAnsi"/>
          <w:bCs/>
          <w:sz w:val="24"/>
        </w:rPr>
        <w:t>u</w:t>
      </w:r>
      <w:r w:rsidR="00BE3B0D" w:rsidRPr="00DC791F">
        <w:rPr>
          <w:rFonts w:asciiTheme="minorHAnsi" w:hAnsiTheme="minorHAnsi" w:cstheme="minorHAnsi"/>
          <w:bCs/>
          <w:sz w:val="24"/>
        </w:rPr>
        <w:t xml:space="preserve"> DIAMO </w:t>
      </w:r>
      <w:r w:rsidR="00C92F6D" w:rsidRPr="00DC791F">
        <w:rPr>
          <w:rFonts w:asciiTheme="minorHAnsi" w:hAnsiTheme="minorHAnsi" w:cstheme="minorHAnsi"/>
          <w:bCs/>
          <w:sz w:val="24"/>
        </w:rPr>
        <w:t xml:space="preserve">v letech 2006 až 2015 poskytlo </w:t>
      </w:r>
      <w:r w:rsidR="00BE3B0D" w:rsidRPr="00DC791F">
        <w:rPr>
          <w:rFonts w:asciiTheme="minorHAnsi" w:hAnsiTheme="minorHAnsi" w:cstheme="minorHAnsi"/>
          <w:bCs/>
          <w:sz w:val="24"/>
        </w:rPr>
        <w:t xml:space="preserve">MPO a MF a které </w:t>
      </w:r>
      <w:r w:rsidR="00C92F6D" w:rsidRPr="00DC791F">
        <w:rPr>
          <w:rFonts w:asciiTheme="minorHAnsi" w:hAnsiTheme="minorHAnsi" w:cstheme="minorHAnsi"/>
          <w:bCs/>
          <w:sz w:val="24"/>
        </w:rPr>
        <w:t xml:space="preserve">státní podnik na ZNHČ </w:t>
      </w:r>
      <w:r w:rsidR="00BE3B0D" w:rsidRPr="00DC791F">
        <w:rPr>
          <w:rFonts w:asciiTheme="minorHAnsi" w:hAnsiTheme="minorHAnsi" w:cstheme="minorHAnsi"/>
          <w:bCs/>
          <w:sz w:val="24"/>
        </w:rPr>
        <w:t>vyčerpal</w:t>
      </w:r>
      <w:r w:rsidR="00B817F8" w:rsidRPr="00DC791F">
        <w:rPr>
          <w:rFonts w:asciiTheme="minorHAnsi" w:hAnsiTheme="minorHAnsi" w:cstheme="minorHAnsi"/>
          <w:bCs/>
          <w:sz w:val="24"/>
        </w:rPr>
        <w:t xml:space="preserve"> (včetně vlastních zdrojů státního podniku)</w:t>
      </w:r>
      <w:r w:rsidR="00C92F6D" w:rsidRPr="00DC791F">
        <w:rPr>
          <w:rFonts w:asciiTheme="minorHAnsi" w:hAnsiTheme="minorHAnsi" w:cstheme="minorHAnsi"/>
          <w:bCs/>
          <w:sz w:val="24"/>
        </w:rPr>
        <w:t>.</w:t>
      </w:r>
    </w:p>
    <w:p w14:paraId="2109A16A" w14:textId="77777777" w:rsidR="00C962A3" w:rsidRDefault="00C962A3" w:rsidP="00EC6AA5">
      <w:pPr>
        <w:tabs>
          <w:tab w:val="right" w:pos="8789"/>
        </w:tabs>
        <w:spacing w:line="240" w:lineRule="atLeast"/>
        <w:rPr>
          <w:rFonts w:asciiTheme="minorHAnsi" w:hAnsiTheme="minorHAnsi" w:cstheme="minorHAnsi"/>
          <w:bCs/>
          <w:sz w:val="24"/>
        </w:rPr>
      </w:pPr>
    </w:p>
    <w:p w14:paraId="38A8DEEF" w14:textId="1AA8E114" w:rsidR="00BE3B0D" w:rsidRPr="009526C4" w:rsidRDefault="00BF731A" w:rsidP="00BF731A">
      <w:pPr>
        <w:tabs>
          <w:tab w:val="left" w:pos="1418"/>
          <w:tab w:val="right" w:pos="8789"/>
        </w:tabs>
        <w:spacing w:after="40"/>
        <w:ind w:left="1418" w:hanging="141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4"/>
        </w:rPr>
        <w:t xml:space="preserve">Tabulka č. 2 – </w:t>
      </w:r>
      <w:r w:rsidR="00C92F6D" w:rsidRPr="00DC791F">
        <w:rPr>
          <w:rFonts w:asciiTheme="minorHAnsi" w:hAnsiTheme="minorHAnsi" w:cstheme="minorHAnsi"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>Peněžní prostředky v letech 2006 až 2015</w:t>
      </w:r>
      <w:r>
        <w:rPr>
          <w:rFonts w:asciiTheme="minorHAnsi" w:hAnsiTheme="minorHAnsi" w:cstheme="minorHAnsi"/>
          <w:bCs/>
          <w:sz w:val="24"/>
        </w:rPr>
        <w:tab/>
      </w:r>
      <w:r w:rsidRPr="009526C4">
        <w:rPr>
          <w:rFonts w:asciiTheme="minorHAnsi" w:hAnsiTheme="minorHAnsi" w:cstheme="minorHAnsi"/>
          <w:b/>
          <w:bCs/>
          <w:sz w:val="24"/>
        </w:rPr>
        <w:t>(</w:t>
      </w:r>
      <w:r w:rsidR="00BE3B0D" w:rsidRPr="009526C4">
        <w:rPr>
          <w:rFonts w:asciiTheme="minorHAnsi" w:hAnsiTheme="minorHAnsi" w:cstheme="minorHAnsi"/>
          <w:b/>
          <w:bCs/>
        </w:rPr>
        <w:t>v mil. Kč</w:t>
      </w:r>
      <w:r w:rsidRPr="009526C4">
        <w:rPr>
          <w:rFonts w:asciiTheme="minorHAnsi" w:hAnsiTheme="minorHAnsi" w:cstheme="minorHAnsi"/>
          <w:b/>
          <w:bCs/>
        </w:rPr>
        <w:t>)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2551"/>
      </w:tblGrid>
      <w:tr w:rsidR="00C92F6D" w:rsidRPr="00992484" w14:paraId="7962D6D3" w14:textId="77777777" w:rsidTr="00B21849">
        <w:trPr>
          <w:trHeight w:val="283"/>
          <w:jc w:val="center"/>
        </w:trPr>
        <w:tc>
          <w:tcPr>
            <w:tcW w:w="4248" w:type="dxa"/>
            <w:shd w:val="clear" w:color="auto" w:fill="004595"/>
            <w:vAlign w:val="center"/>
          </w:tcPr>
          <w:p w14:paraId="417D5396" w14:textId="250EB7E6" w:rsidR="00C92F6D" w:rsidRPr="00992484" w:rsidRDefault="00C92F6D" w:rsidP="00BF731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992484">
              <w:rPr>
                <w:rFonts w:ascii="Calibri" w:hAnsi="Calibri" w:cs="Calibri"/>
                <w:b/>
                <w:bCs/>
                <w:szCs w:val="20"/>
              </w:rPr>
              <w:t>Poskytovatel/</w:t>
            </w:r>
            <w:r w:rsidR="00BF731A">
              <w:rPr>
                <w:rFonts w:ascii="Calibri" w:hAnsi="Calibri" w:cs="Calibri"/>
                <w:b/>
                <w:bCs/>
                <w:szCs w:val="20"/>
              </w:rPr>
              <w:t>z</w:t>
            </w:r>
            <w:r w:rsidRPr="00992484">
              <w:rPr>
                <w:rFonts w:ascii="Calibri" w:hAnsi="Calibri" w:cs="Calibri"/>
                <w:b/>
                <w:bCs/>
                <w:szCs w:val="20"/>
              </w:rPr>
              <w:t>droj financování</w:t>
            </w:r>
          </w:p>
        </w:tc>
        <w:tc>
          <w:tcPr>
            <w:tcW w:w="2268" w:type="dxa"/>
            <w:shd w:val="clear" w:color="auto" w:fill="004595"/>
            <w:vAlign w:val="center"/>
          </w:tcPr>
          <w:p w14:paraId="7FFC7662" w14:textId="77777777" w:rsidR="00C92F6D" w:rsidRPr="00992484" w:rsidRDefault="00C92F6D" w:rsidP="00992484">
            <w:pPr>
              <w:spacing w:before="20" w:after="20"/>
              <w:jc w:val="center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 xml:space="preserve">Peněžní prostředky </w:t>
            </w:r>
            <w:r w:rsidRPr="00992484">
              <w:rPr>
                <w:rFonts w:ascii="Calibri" w:hAnsi="Calibri" w:cs="Calibri"/>
                <w:b/>
                <w:bCs/>
                <w:szCs w:val="20"/>
              </w:rPr>
              <w:t>poskytnuté</w:t>
            </w:r>
            <w:r w:rsidRPr="00992484">
              <w:rPr>
                <w:rFonts w:ascii="Calibri" w:hAnsi="Calibri" w:cs="Calibri"/>
                <w:bCs/>
                <w:szCs w:val="20"/>
              </w:rPr>
              <w:t xml:space="preserve"> státnímu podniku DIAMO</w:t>
            </w:r>
          </w:p>
        </w:tc>
        <w:tc>
          <w:tcPr>
            <w:tcW w:w="2551" w:type="dxa"/>
            <w:shd w:val="clear" w:color="auto" w:fill="004595"/>
            <w:vAlign w:val="center"/>
          </w:tcPr>
          <w:p w14:paraId="13568617" w14:textId="77777777" w:rsidR="00C92F6D" w:rsidRPr="00992484" w:rsidRDefault="00C92F6D" w:rsidP="00992484">
            <w:pPr>
              <w:spacing w:before="20" w:after="20"/>
              <w:jc w:val="center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 xml:space="preserve">Peněžní prostředky </w:t>
            </w:r>
            <w:r w:rsidRPr="00992484">
              <w:rPr>
                <w:rFonts w:ascii="Calibri" w:hAnsi="Calibri" w:cs="Calibri"/>
                <w:b/>
                <w:bCs/>
                <w:szCs w:val="20"/>
              </w:rPr>
              <w:t>vyčerpané</w:t>
            </w:r>
            <w:r w:rsidRPr="00992484">
              <w:rPr>
                <w:rFonts w:ascii="Calibri" w:hAnsi="Calibri" w:cs="Calibri"/>
                <w:bCs/>
                <w:szCs w:val="20"/>
              </w:rPr>
              <w:t xml:space="preserve"> státním podnikem DIAMO</w:t>
            </w:r>
          </w:p>
        </w:tc>
      </w:tr>
      <w:tr w:rsidR="00C92F6D" w:rsidRPr="00992484" w14:paraId="400C6D22" w14:textId="77777777" w:rsidTr="00B21849">
        <w:trPr>
          <w:trHeight w:val="283"/>
          <w:jc w:val="center"/>
        </w:trPr>
        <w:tc>
          <w:tcPr>
            <w:tcW w:w="4248" w:type="dxa"/>
            <w:vAlign w:val="center"/>
          </w:tcPr>
          <w:p w14:paraId="5FD85EE0" w14:textId="7B91632F" w:rsidR="00C92F6D" w:rsidRPr="00992484" w:rsidRDefault="00C92F6D" w:rsidP="00BF731A">
            <w:pPr>
              <w:spacing w:before="20" w:after="20"/>
              <w:jc w:val="lef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 xml:space="preserve">MPO </w:t>
            </w:r>
            <w:r w:rsidR="00BF731A">
              <w:rPr>
                <w:rFonts w:ascii="Calibri" w:hAnsi="Calibri" w:cs="Calibri"/>
                <w:bCs/>
                <w:szCs w:val="20"/>
              </w:rPr>
              <w:t>–</w:t>
            </w:r>
            <w:r w:rsidR="00DA280D" w:rsidRPr="00992484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BF731A">
              <w:rPr>
                <w:rFonts w:ascii="Calibri" w:hAnsi="Calibri" w:cs="Calibri"/>
                <w:bCs/>
                <w:szCs w:val="20"/>
              </w:rPr>
              <w:t>k</w:t>
            </w:r>
            <w:r w:rsidRPr="00992484">
              <w:rPr>
                <w:rFonts w:ascii="Calibri" w:hAnsi="Calibri" w:cs="Calibri"/>
                <w:bCs/>
                <w:szCs w:val="20"/>
              </w:rPr>
              <w:t>apitola 322</w:t>
            </w:r>
            <w:r w:rsidR="003854BF">
              <w:rPr>
                <w:rFonts w:ascii="Calibri" w:hAnsi="Calibri" w:cs="Calibri"/>
                <w:bCs/>
                <w:szCs w:val="20"/>
              </w:rPr>
              <w:t xml:space="preserve"> – MPO</w:t>
            </w:r>
          </w:p>
        </w:tc>
        <w:tc>
          <w:tcPr>
            <w:tcW w:w="2268" w:type="dxa"/>
            <w:vAlign w:val="center"/>
          </w:tcPr>
          <w:p w14:paraId="0ABCABE4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20 401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1B0E9E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20 325</w:t>
            </w:r>
          </w:p>
        </w:tc>
      </w:tr>
      <w:tr w:rsidR="00C92F6D" w:rsidRPr="00992484" w14:paraId="78517A0D" w14:textId="77777777" w:rsidTr="00B21849">
        <w:trPr>
          <w:trHeight w:val="283"/>
          <w:jc w:val="center"/>
        </w:trPr>
        <w:tc>
          <w:tcPr>
            <w:tcW w:w="4248" w:type="dxa"/>
            <w:vAlign w:val="center"/>
          </w:tcPr>
          <w:p w14:paraId="64BF93F7" w14:textId="04EE3025" w:rsidR="00C92F6D" w:rsidRPr="00992484" w:rsidRDefault="00B3393D" w:rsidP="00BF731A">
            <w:pPr>
              <w:spacing w:before="20" w:after="20"/>
              <w:jc w:val="lef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 xml:space="preserve">MF </w:t>
            </w:r>
            <w:r w:rsidR="00BF731A">
              <w:rPr>
                <w:rFonts w:ascii="Calibri" w:hAnsi="Calibri" w:cs="Calibri"/>
                <w:bCs/>
                <w:szCs w:val="20"/>
              </w:rPr>
              <w:t>–</w:t>
            </w:r>
            <w:r w:rsidRPr="00992484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BF731A">
              <w:rPr>
                <w:rFonts w:ascii="Calibri" w:hAnsi="Calibri" w:cs="Calibri"/>
                <w:bCs/>
                <w:szCs w:val="20"/>
              </w:rPr>
              <w:t>k</w:t>
            </w:r>
            <w:r w:rsidR="00C92F6D" w:rsidRPr="00992484">
              <w:rPr>
                <w:rFonts w:ascii="Calibri" w:hAnsi="Calibri" w:cs="Calibri"/>
                <w:bCs/>
                <w:szCs w:val="20"/>
              </w:rPr>
              <w:t xml:space="preserve">apitola </w:t>
            </w:r>
            <w:r w:rsidR="00C92F6D" w:rsidRPr="00992484">
              <w:rPr>
                <w:rFonts w:ascii="Calibri" w:hAnsi="Calibri" w:cs="Calibri"/>
                <w:szCs w:val="20"/>
              </w:rPr>
              <w:t xml:space="preserve">397 </w:t>
            </w:r>
            <w:r w:rsidR="00BF731A">
              <w:rPr>
                <w:rFonts w:ascii="Calibri" w:hAnsi="Calibri" w:cs="Calibri"/>
                <w:szCs w:val="20"/>
              </w:rPr>
              <w:t>–</w:t>
            </w:r>
            <w:r w:rsidR="00C92F6D" w:rsidRPr="00992484">
              <w:rPr>
                <w:rFonts w:ascii="Calibri" w:hAnsi="Calibri" w:cs="Calibri"/>
                <w:szCs w:val="20"/>
              </w:rPr>
              <w:t xml:space="preserve"> O</w:t>
            </w:r>
            <w:r w:rsidRPr="00992484">
              <w:rPr>
                <w:rFonts w:ascii="Calibri" w:hAnsi="Calibri" w:cs="Calibri"/>
                <w:szCs w:val="20"/>
              </w:rPr>
              <w:t>SFA</w:t>
            </w:r>
          </w:p>
        </w:tc>
        <w:tc>
          <w:tcPr>
            <w:tcW w:w="2268" w:type="dxa"/>
            <w:vAlign w:val="center"/>
          </w:tcPr>
          <w:p w14:paraId="1B191A0A" w14:textId="3F96B71B" w:rsidR="00C92F6D" w:rsidRPr="00992484" w:rsidRDefault="00C92F6D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80</w:t>
            </w:r>
          </w:p>
        </w:tc>
        <w:tc>
          <w:tcPr>
            <w:tcW w:w="2551" w:type="dxa"/>
            <w:vAlign w:val="center"/>
          </w:tcPr>
          <w:p w14:paraId="42595653" w14:textId="13FB6C31" w:rsidR="00C92F6D" w:rsidRPr="00992484" w:rsidRDefault="00C92F6D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80</w:t>
            </w:r>
          </w:p>
        </w:tc>
      </w:tr>
      <w:tr w:rsidR="00C92F6D" w:rsidRPr="00992484" w14:paraId="267F0C6F" w14:textId="77777777" w:rsidTr="00B21849">
        <w:trPr>
          <w:trHeight w:val="283"/>
          <w:jc w:val="center"/>
        </w:trPr>
        <w:tc>
          <w:tcPr>
            <w:tcW w:w="4248" w:type="dxa"/>
            <w:vAlign w:val="center"/>
          </w:tcPr>
          <w:p w14:paraId="68C444FF" w14:textId="77777777" w:rsidR="00C92F6D" w:rsidRPr="00992484" w:rsidRDefault="00C92F6D" w:rsidP="00992484">
            <w:pPr>
              <w:spacing w:before="20" w:after="20"/>
              <w:jc w:val="lef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Zvláštní účet MF</w:t>
            </w:r>
          </w:p>
        </w:tc>
        <w:tc>
          <w:tcPr>
            <w:tcW w:w="2268" w:type="dxa"/>
            <w:vAlign w:val="center"/>
          </w:tcPr>
          <w:p w14:paraId="4C97E9A4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14 625</w:t>
            </w:r>
          </w:p>
        </w:tc>
        <w:tc>
          <w:tcPr>
            <w:tcW w:w="2551" w:type="dxa"/>
            <w:vAlign w:val="center"/>
          </w:tcPr>
          <w:p w14:paraId="7AEB0DD8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14 239</w:t>
            </w:r>
          </w:p>
        </w:tc>
      </w:tr>
      <w:tr w:rsidR="00DA280D" w:rsidRPr="00992484" w14:paraId="3D2AF4F9" w14:textId="77777777" w:rsidTr="00B21849">
        <w:trPr>
          <w:trHeight w:val="283"/>
          <w:jc w:val="center"/>
        </w:trPr>
        <w:tc>
          <w:tcPr>
            <w:tcW w:w="4248" w:type="dxa"/>
            <w:vAlign w:val="center"/>
          </w:tcPr>
          <w:p w14:paraId="730CC6A1" w14:textId="77777777" w:rsidR="00DA280D" w:rsidRPr="00992484" w:rsidRDefault="00DA280D" w:rsidP="00992484">
            <w:pPr>
              <w:spacing w:before="20" w:after="20"/>
              <w:jc w:val="left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2CF331" w14:textId="77777777" w:rsidR="00DA280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/>
                <w:bCs/>
                <w:szCs w:val="20"/>
              </w:rPr>
            </w:pPr>
            <w:r w:rsidRPr="00992484">
              <w:rPr>
                <w:rFonts w:ascii="Calibri" w:hAnsi="Calibri" w:cs="Calibri"/>
                <w:b/>
                <w:bCs/>
                <w:szCs w:val="20"/>
              </w:rPr>
              <w:t>35 106</w:t>
            </w:r>
          </w:p>
        </w:tc>
        <w:tc>
          <w:tcPr>
            <w:tcW w:w="2551" w:type="dxa"/>
            <w:vAlign w:val="center"/>
          </w:tcPr>
          <w:p w14:paraId="737A7D6F" w14:textId="77777777" w:rsidR="00DA280D" w:rsidRPr="00992484" w:rsidRDefault="00DA280D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/>
                <w:szCs w:val="20"/>
              </w:rPr>
            </w:pPr>
            <w:r w:rsidRPr="00992484">
              <w:rPr>
                <w:rFonts w:ascii="Calibri" w:hAnsi="Calibri" w:cs="Calibri"/>
                <w:b/>
                <w:bCs/>
                <w:szCs w:val="20"/>
              </w:rPr>
              <w:t>34 </w:t>
            </w:r>
            <w:r w:rsidR="00B72F5F" w:rsidRPr="00992484">
              <w:rPr>
                <w:rFonts w:ascii="Calibri" w:hAnsi="Calibri" w:cs="Calibri"/>
                <w:b/>
                <w:szCs w:val="20"/>
              </w:rPr>
              <w:t>644</w:t>
            </w:r>
          </w:p>
        </w:tc>
      </w:tr>
      <w:tr w:rsidR="00C92F6D" w:rsidRPr="00992484" w14:paraId="79F76F3F" w14:textId="77777777" w:rsidTr="00B21849">
        <w:trPr>
          <w:trHeight w:val="283"/>
          <w:jc w:val="center"/>
        </w:trPr>
        <w:tc>
          <w:tcPr>
            <w:tcW w:w="4248" w:type="dxa"/>
            <w:vAlign w:val="center"/>
          </w:tcPr>
          <w:p w14:paraId="3404D2CB" w14:textId="77777777" w:rsidR="00C92F6D" w:rsidRPr="00992484" w:rsidRDefault="00C92F6D" w:rsidP="00992484">
            <w:pPr>
              <w:spacing w:before="20" w:after="20"/>
              <w:jc w:val="lef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Vlastní zdroje státního podniku DIAMO</w:t>
            </w:r>
          </w:p>
        </w:tc>
        <w:tc>
          <w:tcPr>
            <w:tcW w:w="2268" w:type="dxa"/>
            <w:vAlign w:val="center"/>
          </w:tcPr>
          <w:p w14:paraId="38178386" w14:textId="77777777" w:rsidR="00C92F6D" w:rsidRPr="00992484" w:rsidRDefault="00C92F6D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791D73FB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Cs/>
                <w:szCs w:val="20"/>
              </w:rPr>
            </w:pPr>
            <w:r w:rsidRPr="00992484">
              <w:rPr>
                <w:rFonts w:ascii="Calibri" w:hAnsi="Calibri" w:cs="Calibri"/>
                <w:bCs/>
                <w:szCs w:val="20"/>
              </w:rPr>
              <w:t>2 158</w:t>
            </w:r>
          </w:p>
        </w:tc>
      </w:tr>
      <w:tr w:rsidR="00C92F6D" w:rsidRPr="00992484" w14:paraId="3E44D6CE" w14:textId="77777777" w:rsidTr="00B21849">
        <w:trPr>
          <w:trHeight w:val="283"/>
          <w:jc w:val="center"/>
        </w:trPr>
        <w:tc>
          <w:tcPr>
            <w:tcW w:w="6516" w:type="dxa"/>
            <w:gridSpan w:val="2"/>
            <w:vAlign w:val="center"/>
          </w:tcPr>
          <w:p w14:paraId="2473C8E3" w14:textId="40B9A447" w:rsidR="00C92F6D" w:rsidRPr="00992484" w:rsidRDefault="00BF731A" w:rsidP="00992484">
            <w:pPr>
              <w:spacing w:before="20" w:after="2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C</w:t>
            </w:r>
            <w:r w:rsidR="00C92F6D" w:rsidRPr="00992484">
              <w:rPr>
                <w:rFonts w:ascii="Calibri" w:hAnsi="Calibri" w:cs="Calibri"/>
                <w:b/>
                <w:bCs/>
                <w:szCs w:val="20"/>
              </w:rPr>
              <w:t>elkem</w:t>
            </w:r>
          </w:p>
        </w:tc>
        <w:tc>
          <w:tcPr>
            <w:tcW w:w="2551" w:type="dxa"/>
            <w:vAlign w:val="center"/>
          </w:tcPr>
          <w:p w14:paraId="08EE6FD4" w14:textId="77777777" w:rsidR="00C92F6D" w:rsidRPr="00992484" w:rsidRDefault="00B72F5F" w:rsidP="00992484">
            <w:pPr>
              <w:spacing w:before="20" w:after="20"/>
              <w:ind w:right="176"/>
              <w:jc w:val="right"/>
              <w:rPr>
                <w:rFonts w:ascii="Calibri" w:hAnsi="Calibri" w:cs="Calibri"/>
                <w:b/>
                <w:bCs/>
                <w:szCs w:val="20"/>
              </w:rPr>
            </w:pPr>
            <w:r w:rsidRPr="00992484">
              <w:rPr>
                <w:rFonts w:ascii="Calibri" w:hAnsi="Calibri" w:cs="Calibri"/>
                <w:b/>
                <w:bCs/>
                <w:szCs w:val="20"/>
              </w:rPr>
              <w:t>36 802</w:t>
            </w:r>
          </w:p>
        </w:tc>
      </w:tr>
    </w:tbl>
    <w:p w14:paraId="7C6B4D20" w14:textId="77777777" w:rsidR="00EC6AA5" w:rsidRDefault="00EC6AA5" w:rsidP="00EC6AA5">
      <w:pPr>
        <w:tabs>
          <w:tab w:val="right" w:pos="8789"/>
        </w:tabs>
        <w:spacing w:line="240" w:lineRule="atLeast"/>
        <w:rPr>
          <w:rFonts w:asciiTheme="minorHAnsi" w:hAnsiTheme="minorHAnsi" w:cstheme="minorHAnsi"/>
          <w:bCs/>
          <w:sz w:val="24"/>
        </w:rPr>
      </w:pPr>
    </w:p>
    <w:p w14:paraId="589ECE4B" w14:textId="4C76ABBB" w:rsidR="00AA625C" w:rsidRPr="00E273ED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273ED">
        <w:rPr>
          <w:rFonts w:asciiTheme="minorHAnsi" w:hAnsiTheme="minorHAnsi" w:cstheme="minorHAnsi"/>
          <w:sz w:val="24"/>
          <w:szCs w:val="24"/>
        </w:rPr>
        <w:t>V letech 2006 až 2015 státní podnik DIAMO vynaložil na zahlazování celkem 34 </w:t>
      </w:r>
      <w:r w:rsidR="00B72F5F" w:rsidRPr="00E273ED">
        <w:rPr>
          <w:rFonts w:asciiTheme="minorHAnsi" w:hAnsiTheme="minorHAnsi" w:cstheme="minorHAnsi"/>
          <w:sz w:val="24"/>
          <w:szCs w:val="24"/>
        </w:rPr>
        <w:t>644</w:t>
      </w:r>
      <w:r w:rsidRPr="00E273ED">
        <w:rPr>
          <w:rFonts w:asciiTheme="minorHAnsi" w:hAnsiTheme="minorHAnsi" w:cstheme="minorHAnsi"/>
          <w:sz w:val="24"/>
          <w:szCs w:val="24"/>
        </w:rPr>
        <w:t xml:space="preserve"> mil. Kč, které získal z prostředků státního rozpočtu od MPO a MF a ze zvláštního účtu MF. K tomu </w:t>
      </w:r>
      <w:r w:rsidR="007E5968" w:rsidRPr="00E273ED">
        <w:rPr>
          <w:rFonts w:asciiTheme="minorHAnsi" w:hAnsiTheme="minorHAnsi" w:cstheme="minorHAnsi"/>
          <w:sz w:val="24"/>
          <w:szCs w:val="24"/>
        </w:rPr>
        <w:t xml:space="preserve">dále </w:t>
      </w:r>
      <w:r w:rsidRPr="00E273ED">
        <w:rPr>
          <w:rFonts w:asciiTheme="minorHAnsi" w:hAnsiTheme="minorHAnsi" w:cstheme="minorHAnsi"/>
          <w:sz w:val="24"/>
          <w:szCs w:val="24"/>
        </w:rPr>
        <w:t>použil vlastní zdroje ve výši 2 158 mil. Kč. Část prostředků zvláštního účtu MF určených na zahlazování následků hornické činnosti ve stá</w:t>
      </w:r>
      <w:r w:rsidR="004D38A3">
        <w:rPr>
          <w:rFonts w:asciiTheme="minorHAnsi" w:hAnsiTheme="minorHAnsi" w:cstheme="minorHAnsi"/>
          <w:sz w:val="24"/>
          <w:szCs w:val="24"/>
        </w:rPr>
        <w:t xml:space="preserve">tním podniku DIAMO použilo </w:t>
      </w:r>
      <w:r w:rsidRPr="00E273ED">
        <w:rPr>
          <w:rFonts w:asciiTheme="minorHAnsi" w:hAnsiTheme="minorHAnsi" w:cstheme="minorHAnsi"/>
          <w:sz w:val="24"/>
          <w:szCs w:val="24"/>
        </w:rPr>
        <w:t>MF, a to ve výši 59,31 mil. Kč</w:t>
      </w:r>
      <w:r w:rsidR="00E6536F">
        <w:rPr>
          <w:rFonts w:asciiTheme="minorHAnsi" w:hAnsiTheme="minorHAnsi" w:cstheme="minorHAnsi"/>
          <w:sz w:val="24"/>
          <w:szCs w:val="24"/>
        </w:rPr>
        <w:t>,</w:t>
      </w:r>
      <w:r w:rsidRPr="00E273ED">
        <w:rPr>
          <w:rFonts w:asciiTheme="minorHAnsi" w:hAnsiTheme="minorHAnsi" w:cstheme="minorHAnsi"/>
          <w:sz w:val="24"/>
          <w:szCs w:val="24"/>
        </w:rPr>
        <w:t xml:space="preserve"> na úhradu přímo svým smluvním partnerům za oponentní posudek k aktualizovanému projektu likvidace těžby a úpravy uranu v oblasti Stráže pod Ralskem a za supervizi procesu zahlazování.</w:t>
      </w:r>
    </w:p>
    <w:p w14:paraId="5F5CF3AD" w14:textId="77777777" w:rsidR="00AA625C" w:rsidRPr="00DC791F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</w:p>
    <w:p w14:paraId="0BFD2B49" w14:textId="77777777" w:rsidR="00AA625C" w:rsidRPr="00353623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/>
          <w:bCs/>
          <w:sz w:val="24"/>
          <w:szCs w:val="24"/>
        </w:rPr>
      </w:pPr>
      <w:r w:rsidRPr="00353623">
        <w:rPr>
          <w:rFonts w:asciiTheme="minorHAnsi" w:hAnsiTheme="minorHAnsi"/>
          <w:b/>
          <w:bCs/>
          <w:sz w:val="24"/>
          <w:szCs w:val="24"/>
        </w:rPr>
        <w:t>Státní rozpočet</w:t>
      </w:r>
    </w:p>
    <w:p w14:paraId="4A332B3B" w14:textId="77777777" w:rsidR="00BF731A" w:rsidRDefault="00BF731A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</w:p>
    <w:p w14:paraId="0A725787" w14:textId="2F459B2B" w:rsidR="007E5968" w:rsidRPr="00DC791F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DC791F">
        <w:rPr>
          <w:rFonts w:asciiTheme="minorHAnsi" w:hAnsiTheme="minorHAnsi"/>
          <w:bCs/>
          <w:sz w:val="24"/>
          <w:szCs w:val="24"/>
        </w:rPr>
        <w:t xml:space="preserve">MPO v materiálech a informacích do vlády opakovaně konstatovalo, že rozpočtované prostředky v kapitole 322 </w:t>
      </w:r>
      <w:r w:rsidR="00AE6A25">
        <w:rPr>
          <w:rFonts w:asciiTheme="minorHAnsi" w:hAnsiTheme="minorHAnsi"/>
          <w:bCs/>
          <w:sz w:val="24"/>
          <w:szCs w:val="24"/>
        </w:rPr>
        <w:t>–</w:t>
      </w:r>
      <w:r w:rsidRPr="00DC791F">
        <w:rPr>
          <w:rFonts w:asciiTheme="minorHAnsi" w:hAnsiTheme="minorHAnsi"/>
          <w:bCs/>
          <w:sz w:val="24"/>
          <w:szCs w:val="24"/>
        </w:rPr>
        <w:t xml:space="preserve"> </w:t>
      </w:r>
      <w:r w:rsidRPr="00353623">
        <w:rPr>
          <w:rFonts w:asciiTheme="minorHAnsi" w:hAnsiTheme="minorHAnsi"/>
          <w:bCs/>
          <w:i/>
          <w:sz w:val="24"/>
          <w:szCs w:val="24"/>
        </w:rPr>
        <w:t>Ministerstvo průmyslu a obchodu</w:t>
      </w:r>
      <w:r w:rsidRPr="00DC791F">
        <w:rPr>
          <w:rFonts w:asciiTheme="minorHAnsi" w:hAnsiTheme="minorHAnsi"/>
          <w:bCs/>
          <w:sz w:val="24"/>
          <w:szCs w:val="24"/>
        </w:rPr>
        <w:t xml:space="preserve"> neodpovídaly potřebám zahlazování následků hornické činnosti. K tomu uvádělo negativní důsledky nedostatku </w:t>
      </w:r>
      <w:r w:rsidRPr="00DC791F">
        <w:rPr>
          <w:rFonts w:asciiTheme="minorHAnsi" w:hAnsiTheme="minorHAnsi"/>
          <w:bCs/>
          <w:sz w:val="24"/>
          <w:szCs w:val="24"/>
        </w:rPr>
        <w:lastRenderedPageBreak/>
        <w:t xml:space="preserve">prostředků jako je prodlužování a prodražování procesu (např. způsobené vlivem trvalých nákladů na energii, ostrahu, údržbu objektů či nekontinuitou sanačních prací). Rovněž upozorňovalo na riziko možného porušování zákonů (např. vodní a horní zákon), riziko vzniku ekologické havárie a ohrožení bezpečnosti obyvatel. Zároveň ale </w:t>
      </w:r>
      <w:r w:rsidR="007E5968" w:rsidRPr="00DC791F">
        <w:rPr>
          <w:rFonts w:asciiTheme="minorHAnsi" w:hAnsiTheme="minorHAnsi"/>
          <w:bCs/>
          <w:sz w:val="24"/>
          <w:szCs w:val="24"/>
        </w:rPr>
        <w:t xml:space="preserve">MPO </w:t>
      </w:r>
      <w:r w:rsidRPr="00DC791F">
        <w:rPr>
          <w:rFonts w:asciiTheme="minorHAnsi" w:hAnsiTheme="minorHAnsi"/>
          <w:bCs/>
          <w:sz w:val="24"/>
          <w:szCs w:val="24"/>
        </w:rPr>
        <w:t>konstatovalo, že k žádným haváriím ani škodám</w:t>
      </w:r>
      <w:r w:rsidR="007E5968" w:rsidRPr="00DC791F">
        <w:rPr>
          <w:rFonts w:asciiTheme="minorHAnsi" w:hAnsiTheme="minorHAnsi"/>
          <w:bCs/>
          <w:sz w:val="24"/>
          <w:szCs w:val="24"/>
        </w:rPr>
        <w:t xml:space="preserve"> nedošlo</w:t>
      </w:r>
      <w:r w:rsidRPr="00DC791F">
        <w:rPr>
          <w:rFonts w:asciiTheme="minorHAnsi" w:hAnsiTheme="minorHAnsi"/>
          <w:bCs/>
          <w:sz w:val="24"/>
          <w:szCs w:val="24"/>
        </w:rPr>
        <w:t>.</w:t>
      </w:r>
    </w:p>
    <w:p w14:paraId="01D10180" w14:textId="77777777" w:rsidR="00BF731A" w:rsidRDefault="00BF731A" w:rsidP="007E5968">
      <w:pPr>
        <w:rPr>
          <w:rFonts w:asciiTheme="minorHAnsi" w:hAnsiTheme="minorHAnsi" w:cstheme="minorHAnsi"/>
          <w:color w:val="000000"/>
          <w:sz w:val="24"/>
        </w:rPr>
      </w:pPr>
    </w:p>
    <w:p w14:paraId="5F949EDF" w14:textId="3AA87743" w:rsidR="007E5968" w:rsidRPr="00992484" w:rsidRDefault="007E5968" w:rsidP="007E5968">
      <w:pPr>
        <w:rPr>
          <w:rFonts w:asciiTheme="minorHAnsi" w:hAnsiTheme="minorHAnsi" w:cstheme="minorHAnsi"/>
          <w:color w:val="000000" w:themeColor="text1"/>
          <w:sz w:val="24"/>
        </w:rPr>
      </w:pPr>
      <w:r w:rsidRPr="00DC791F">
        <w:rPr>
          <w:rFonts w:asciiTheme="minorHAnsi" w:hAnsiTheme="minorHAnsi" w:cstheme="minorHAnsi"/>
          <w:color w:val="000000"/>
          <w:sz w:val="24"/>
        </w:rPr>
        <w:t xml:space="preserve">Ze státního rozpočtu byly prostředky poskytovány jednak na </w:t>
      </w:r>
      <w:r w:rsidRPr="00DC791F">
        <w:rPr>
          <w:rFonts w:asciiTheme="minorHAnsi" w:hAnsiTheme="minorHAnsi" w:cstheme="minorHAnsi"/>
          <w:bCs/>
          <w:sz w:val="24"/>
        </w:rPr>
        <w:t xml:space="preserve">technickou část ZNHČ, tj. </w:t>
      </w:r>
      <w:r w:rsidRPr="00DC791F">
        <w:rPr>
          <w:rFonts w:asciiTheme="minorHAnsi" w:hAnsiTheme="minorHAnsi" w:cstheme="minorHAnsi"/>
          <w:sz w:val="24"/>
        </w:rPr>
        <w:t>na práce související přímo s dosažením požadovaného stavu v postižených oblastech a</w:t>
      </w:r>
      <w:r w:rsidR="00AE6A25">
        <w:rPr>
          <w:rFonts w:asciiTheme="minorHAnsi" w:hAnsiTheme="minorHAnsi" w:cstheme="minorHAnsi"/>
          <w:sz w:val="24"/>
        </w:rPr>
        <w:t> </w:t>
      </w:r>
      <w:r w:rsidRPr="00DC791F">
        <w:rPr>
          <w:rFonts w:asciiTheme="minorHAnsi" w:hAnsiTheme="minorHAnsi" w:cstheme="minorHAnsi"/>
          <w:sz w:val="24"/>
        </w:rPr>
        <w:t>plánovanými technickými opatřeními</w:t>
      </w:r>
      <w:r w:rsidR="00E6536F">
        <w:rPr>
          <w:rFonts w:asciiTheme="minorHAnsi" w:hAnsiTheme="minorHAnsi" w:cstheme="minorHAnsi"/>
          <w:sz w:val="24"/>
        </w:rPr>
        <w:t>,</w:t>
      </w:r>
      <w:r w:rsidRPr="00DC791F">
        <w:rPr>
          <w:rFonts w:asciiTheme="minorHAnsi" w:hAnsiTheme="minorHAnsi" w:cstheme="minorHAnsi"/>
          <w:sz w:val="24"/>
        </w:rPr>
        <w:t xml:space="preserve"> </w:t>
      </w:r>
      <w:r w:rsidR="003447E5" w:rsidRPr="00DC791F">
        <w:rPr>
          <w:rFonts w:asciiTheme="minorHAnsi" w:hAnsiTheme="minorHAnsi" w:cstheme="minorHAnsi"/>
          <w:sz w:val="24"/>
        </w:rPr>
        <w:t>a dále</w:t>
      </w:r>
      <w:r w:rsidR="00C9713B">
        <w:rPr>
          <w:rFonts w:asciiTheme="minorHAnsi" w:hAnsiTheme="minorHAnsi" w:cstheme="minorHAnsi"/>
          <w:sz w:val="24"/>
        </w:rPr>
        <w:t xml:space="preserve"> na</w:t>
      </w:r>
      <w:r w:rsidR="003447E5" w:rsidRPr="00DC791F">
        <w:rPr>
          <w:rFonts w:asciiTheme="minorHAnsi" w:hAnsiTheme="minorHAnsi" w:cstheme="minorHAnsi"/>
          <w:sz w:val="24"/>
        </w:rPr>
        <w:t xml:space="preserve"> soubor sociálních a zdravotních opatření, kterými jsou řešeny společensko-ekonomické a zdravotní dopady útlumu hornictví. Z celkového objemu </w:t>
      </w:r>
      <w:r w:rsidRPr="00DC791F">
        <w:rPr>
          <w:rFonts w:asciiTheme="minorHAnsi" w:hAnsiTheme="minorHAnsi" w:cstheme="minorHAnsi"/>
          <w:color w:val="000000"/>
          <w:sz w:val="24"/>
        </w:rPr>
        <w:t>čerpaných prostředků</w:t>
      </w:r>
      <w:r w:rsidRPr="00DC791F">
        <w:rPr>
          <w:rFonts w:asciiTheme="minorHAnsi" w:hAnsiTheme="minorHAnsi" w:cstheme="minorHAnsi"/>
          <w:bCs/>
          <w:sz w:val="24"/>
        </w:rPr>
        <w:t xml:space="preserve"> činily výdaje </w:t>
      </w:r>
      <w:r w:rsidR="00B72F5F" w:rsidRPr="00DC791F">
        <w:rPr>
          <w:rFonts w:asciiTheme="minorHAnsi" w:hAnsiTheme="minorHAnsi" w:cstheme="minorHAnsi"/>
          <w:bCs/>
          <w:sz w:val="24"/>
        </w:rPr>
        <w:t xml:space="preserve">z kapitoly MPO </w:t>
      </w:r>
      <w:r w:rsidRPr="00DC791F">
        <w:rPr>
          <w:rFonts w:asciiTheme="minorHAnsi" w:hAnsiTheme="minorHAnsi" w:cstheme="minorHAnsi"/>
          <w:sz w:val="24"/>
        </w:rPr>
        <w:t xml:space="preserve">na </w:t>
      </w:r>
      <w:r w:rsidR="00F4270C">
        <w:rPr>
          <w:rFonts w:asciiTheme="minorHAnsi" w:hAnsiTheme="minorHAnsi" w:cstheme="minorHAnsi"/>
          <w:sz w:val="24"/>
        </w:rPr>
        <w:t>sociální</w:t>
      </w:r>
      <w:r w:rsidR="00C9713B">
        <w:rPr>
          <w:rFonts w:asciiTheme="minorHAnsi" w:hAnsiTheme="minorHAnsi" w:cstheme="minorHAnsi"/>
          <w:sz w:val="24"/>
        </w:rPr>
        <w:t xml:space="preserve"> a</w:t>
      </w:r>
      <w:r w:rsidR="00AE6A25">
        <w:rPr>
          <w:rFonts w:asciiTheme="minorHAnsi" w:hAnsiTheme="minorHAnsi" w:cstheme="minorHAnsi"/>
          <w:sz w:val="24"/>
        </w:rPr>
        <w:t> </w:t>
      </w:r>
      <w:r w:rsidRPr="00DC791F">
        <w:rPr>
          <w:rFonts w:asciiTheme="minorHAnsi" w:hAnsiTheme="minorHAnsi" w:cstheme="minorHAnsi"/>
          <w:sz w:val="24"/>
        </w:rPr>
        <w:t>zdravotní výdaje</w:t>
      </w:r>
      <w:r w:rsidR="001858B9">
        <w:rPr>
          <w:rStyle w:val="Znakapoznpodarou"/>
          <w:rFonts w:asciiTheme="minorHAnsi" w:hAnsiTheme="minorHAnsi" w:cstheme="minorHAnsi"/>
          <w:sz w:val="24"/>
        </w:rPr>
        <w:footnoteReference w:id="7"/>
      </w:r>
      <w:r w:rsidRPr="00DC791F">
        <w:rPr>
          <w:rFonts w:asciiTheme="minorHAnsi" w:hAnsiTheme="minorHAnsi" w:cstheme="minorHAnsi"/>
          <w:sz w:val="24"/>
        </w:rPr>
        <w:t xml:space="preserve"> </w:t>
      </w:r>
      <w:r w:rsidRPr="00DC791F">
        <w:rPr>
          <w:rFonts w:asciiTheme="minorHAnsi" w:hAnsiTheme="minorHAnsi" w:cstheme="minorHAnsi"/>
          <w:bCs/>
          <w:sz w:val="24"/>
        </w:rPr>
        <w:t>54,2% (11 069,64 mil. Kč</w:t>
      </w:r>
      <w:r w:rsidR="003447E5" w:rsidRPr="00DC791F">
        <w:rPr>
          <w:rFonts w:asciiTheme="minorHAnsi" w:hAnsiTheme="minorHAnsi" w:cstheme="minorHAnsi"/>
          <w:bCs/>
          <w:sz w:val="24"/>
        </w:rPr>
        <w:t>)</w:t>
      </w:r>
      <w:r w:rsidRPr="00DC791F">
        <w:rPr>
          <w:rFonts w:asciiTheme="minorHAnsi" w:hAnsiTheme="minorHAnsi" w:cstheme="minorHAnsi"/>
          <w:sz w:val="24"/>
        </w:rPr>
        <w:t xml:space="preserve"> a</w:t>
      </w:r>
      <w:r w:rsidR="00B72F5F" w:rsidRPr="00DC791F">
        <w:rPr>
          <w:rFonts w:asciiTheme="minorHAnsi" w:hAnsiTheme="minorHAnsi" w:cstheme="minorHAnsi"/>
          <w:sz w:val="24"/>
        </w:rPr>
        <w:t xml:space="preserve"> na</w:t>
      </w:r>
      <w:r w:rsidRPr="00DC791F">
        <w:rPr>
          <w:rFonts w:asciiTheme="minorHAnsi" w:hAnsiTheme="minorHAnsi" w:cstheme="minorHAnsi"/>
          <w:sz w:val="24"/>
        </w:rPr>
        <w:t xml:space="preserve"> odstranění následků hornické činnosti či předcházení </w:t>
      </w:r>
      <w:r w:rsidRPr="00EA1A49">
        <w:rPr>
          <w:rFonts w:asciiTheme="minorHAnsi" w:hAnsiTheme="minorHAnsi" w:cstheme="minorHAnsi"/>
          <w:sz w:val="24"/>
        </w:rPr>
        <w:t>ekologických havárií</w:t>
      </w:r>
      <w:r w:rsidRPr="00EA1A49">
        <w:rPr>
          <w:rFonts w:asciiTheme="minorHAnsi" w:hAnsiTheme="minorHAnsi" w:cstheme="minorHAnsi"/>
          <w:bCs/>
          <w:sz w:val="24"/>
        </w:rPr>
        <w:t xml:space="preserve"> </w:t>
      </w:r>
      <w:r w:rsidRPr="00EA1A49">
        <w:rPr>
          <w:rFonts w:asciiTheme="minorHAnsi" w:hAnsiTheme="minorHAnsi" w:cstheme="minorHAnsi"/>
          <w:sz w:val="24"/>
        </w:rPr>
        <w:t>bylo p</w:t>
      </w:r>
      <w:r w:rsidR="00B72F5F" w:rsidRPr="00EA1A49">
        <w:rPr>
          <w:rFonts w:asciiTheme="minorHAnsi" w:hAnsiTheme="minorHAnsi" w:cstheme="minorHAnsi"/>
          <w:sz w:val="24"/>
        </w:rPr>
        <w:t xml:space="preserve">oužito </w:t>
      </w:r>
      <w:r w:rsidR="00F6705E" w:rsidRPr="00EA1A49">
        <w:rPr>
          <w:rFonts w:asciiTheme="minorHAnsi" w:hAnsiTheme="minorHAnsi" w:cstheme="minorHAnsi"/>
          <w:sz w:val="24"/>
        </w:rPr>
        <w:t>45,8%, tj.</w:t>
      </w:r>
      <w:r w:rsidRPr="00EA1A49">
        <w:rPr>
          <w:rFonts w:asciiTheme="minorHAnsi" w:hAnsiTheme="minorHAnsi" w:cstheme="minorHAnsi"/>
          <w:sz w:val="24"/>
        </w:rPr>
        <w:t xml:space="preserve"> </w:t>
      </w:r>
      <w:r w:rsidRPr="00EA1A49">
        <w:rPr>
          <w:rFonts w:asciiTheme="minorHAnsi" w:hAnsiTheme="minorHAnsi" w:cstheme="minorHAnsi"/>
          <w:bCs/>
          <w:sz w:val="24"/>
        </w:rPr>
        <w:t xml:space="preserve">9 255,19 </w:t>
      </w:r>
      <w:r w:rsidRPr="00992484">
        <w:rPr>
          <w:rFonts w:asciiTheme="minorHAnsi" w:hAnsiTheme="minorHAnsi" w:cstheme="minorHAnsi"/>
          <w:bCs/>
          <w:color w:val="000000" w:themeColor="text1"/>
          <w:sz w:val="24"/>
        </w:rPr>
        <w:t>mil. Kč</w:t>
      </w:r>
      <w:r w:rsidRPr="00992484">
        <w:rPr>
          <w:rFonts w:asciiTheme="minorHAnsi" w:hAnsiTheme="minorHAnsi" w:cstheme="minorHAnsi"/>
          <w:color w:val="000000" w:themeColor="text1"/>
          <w:sz w:val="24"/>
        </w:rPr>
        <w:t xml:space="preserve">. </w:t>
      </w:r>
    </w:p>
    <w:p w14:paraId="34281C43" w14:textId="77777777" w:rsidR="00BF731A" w:rsidRDefault="00BF731A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9FC021" w14:textId="7E9BE10C" w:rsidR="007E5968" w:rsidRPr="00DC791F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Nedostatek peněžních prostředků na technickou část zahlazování MPO částečně pokrývalo z prostředků určených na mandatorní sociálně zdravotní výdaje v rozpočtu </w:t>
      </w:r>
      <w:r w:rsidR="00AE6A25"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t>kapitol</w:t>
      </w:r>
      <w:r w:rsidR="001858B9"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AE6A25"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322 – </w:t>
      </w:r>
      <w:r w:rsidRPr="00D15AF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Ministerstvo průmyslu a obchodu</w:t>
      </w:r>
      <w:r w:rsidRPr="009924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V případě, že státní </w:t>
      </w:r>
      <w:r w:rsidRPr="00DC791F">
        <w:rPr>
          <w:rFonts w:asciiTheme="minorHAnsi" w:hAnsiTheme="minorHAnsi" w:cstheme="minorHAnsi"/>
          <w:sz w:val="24"/>
          <w:szCs w:val="24"/>
        </w:rPr>
        <w:t>podnik ne</w:t>
      </w:r>
      <w:r w:rsidR="003447E5" w:rsidRPr="00DC791F">
        <w:rPr>
          <w:rFonts w:asciiTheme="minorHAnsi" w:hAnsiTheme="minorHAnsi" w:cstheme="minorHAnsi"/>
          <w:sz w:val="24"/>
          <w:szCs w:val="24"/>
        </w:rPr>
        <w:t>s</w:t>
      </w:r>
      <w:r w:rsidRPr="00DC791F">
        <w:rPr>
          <w:rFonts w:asciiTheme="minorHAnsi" w:hAnsiTheme="minorHAnsi" w:cstheme="minorHAnsi"/>
          <w:sz w:val="24"/>
          <w:szCs w:val="24"/>
        </w:rPr>
        <w:t xml:space="preserve">potřeboval část prostředků </w:t>
      </w:r>
      <w:r w:rsidRPr="00EA1A49">
        <w:rPr>
          <w:rFonts w:asciiTheme="minorHAnsi" w:hAnsiTheme="minorHAnsi" w:cstheme="minorHAnsi"/>
          <w:sz w:val="24"/>
          <w:szCs w:val="24"/>
        </w:rPr>
        <w:t xml:space="preserve">určených na mandatorní sociálně zdravotní výdaje, MPO </w:t>
      </w:r>
      <w:r w:rsidR="003447E5" w:rsidRPr="00EA1A49">
        <w:rPr>
          <w:rFonts w:asciiTheme="minorHAnsi" w:hAnsiTheme="minorHAnsi" w:cstheme="minorHAnsi"/>
          <w:sz w:val="24"/>
          <w:szCs w:val="24"/>
        </w:rPr>
        <w:t xml:space="preserve">mu </w:t>
      </w:r>
      <w:r w:rsidRPr="00EA1A49">
        <w:rPr>
          <w:rFonts w:asciiTheme="minorHAnsi" w:hAnsiTheme="minorHAnsi" w:cstheme="minorHAnsi"/>
          <w:sz w:val="24"/>
          <w:szCs w:val="24"/>
        </w:rPr>
        <w:t xml:space="preserve">je </w:t>
      </w:r>
      <w:r w:rsidR="00F6705E" w:rsidRPr="00EA1A49">
        <w:rPr>
          <w:rFonts w:asciiTheme="minorHAnsi" w:hAnsiTheme="minorHAnsi" w:cstheme="minorHAnsi"/>
          <w:sz w:val="24"/>
          <w:szCs w:val="24"/>
        </w:rPr>
        <w:t xml:space="preserve">ponechalo </w:t>
      </w:r>
      <w:r w:rsidRPr="00EA1A49">
        <w:rPr>
          <w:rFonts w:asciiTheme="minorHAnsi" w:hAnsiTheme="minorHAnsi" w:cstheme="minorHAnsi"/>
          <w:sz w:val="24"/>
          <w:szCs w:val="24"/>
        </w:rPr>
        <w:t xml:space="preserve">na </w:t>
      </w:r>
      <w:r w:rsidR="001858B9">
        <w:rPr>
          <w:rFonts w:asciiTheme="minorHAnsi" w:hAnsiTheme="minorHAnsi" w:cstheme="minorHAnsi"/>
          <w:sz w:val="24"/>
          <w:szCs w:val="24"/>
        </w:rPr>
        <w:t>realizaci technické</w:t>
      </w:r>
      <w:r w:rsidRPr="00EA1A49">
        <w:rPr>
          <w:rFonts w:asciiTheme="minorHAnsi" w:hAnsiTheme="minorHAnsi" w:cstheme="minorHAnsi"/>
          <w:sz w:val="24"/>
          <w:szCs w:val="24"/>
        </w:rPr>
        <w:t xml:space="preserve"> část</w:t>
      </w:r>
      <w:r w:rsidR="001858B9">
        <w:rPr>
          <w:rFonts w:asciiTheme="minorHAnsi" w:hAnsiTheme="minorHAnsi" w:cstheme="minorHAnsi"/>
          <w:sz w:val="24"/>
          <w:szCs w:val="24"/>
        </w:rPr>
        <w:t>i</w:t>
      </w:r>
      <w:r w:rsidRPr="00DC791F">
        <w:rPr>
          <w:rFonts w:asciiTheme="minorHAnsi" w:hAnsiTheme="minorHAnsi" w:cstheme="minorHAnsi"/>
          <w:sz w:val="24"/>
          <w:szCs w:val="24"/>
        </w:rPr>
        <w:t xml:space="preserve"> zahlazování. </w:t>
      </w:r>
    </w:p>
    <w:p w14:paraId="029A9A25" w14:textId="77777777" w:rsidR="007E5968" w:rsidRPr="00DC791F" w:rsidRDefault="007E5968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0181CFE" w14:textId="77777777" w:rsidR="00AA625C" w:rsidRPr="00D15AF4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/>
          <w:bCs/>
          <w:sz w:val="24"/>
          <w:szCs w:val="24"/>
        </w:rPr>
      </w:pPr>
      <w:r w:rsidRPr="00D15AF4">
        <w:rPr>
          <w:rFonts w:asciiTheme="minorHAnsi" w:hAnsiTheme="minorHAnsi"/>
          <w:b/>
          <w:bCs/>
          <w:sz w:val="24"/>
          <w:szCs w:val="24"/>
        </w:rPr>
        <w:t>Zvláštní účet MF</w:t>
      </w:r>
    </w:p>
    <w:p w14:paraId="0118EC26" w14:textId="77777777" w:rsidR="00BF731A" w:rsidRDefault="00BF731A" w:rsidP="003447E5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</w:p>
    <w:p w14:paraId="381CDB72" w14:textId="2C11D9FD" w:rsidR="003447E5" w:rsidRDefault="003447E5" w:rsidP="003447E5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  <w:r w:rsidRPr="00DC791F">
        <w:rPr>
          <w:rFonts w:asciiTheme="minorHAnsi" w:hAnsiTheme="minorHAnsi"/>
          <w:bCs/>
          <w:sz w:val="24"/>
          <w:szCs w:val="24"/>
        </w:rPr>
        <w:t xml:space="preserve">Další prostředky poskytovalo státnímu podniku </w:t>
      </w:r>
      <w:r w:rsidR="00E6536F">
        <w:rPr>
          <w:rFonts w:asciiTheme="minorHAnsi" w:hAnsiTheme="minorHAnsi"/>
          <w:bCs/>
          <w:sz w:val="24"/>
          <w:szCs w:val="24"/>
        </w:rPr>
        <w:t>M</w:t>
      </w:r>
      <w:r w:rsidR="008C77B7">
        <w:rPr>
          <w:rFonts w:asciiTheme="minorHAnsi" w:hAnsiTheme="minorHAnsi"/>
          <w:bCs/>
          <w:sz w:val="24"/>
          <w:szCs w:val="24"/>
        </w:rPr>
        <w:t>inisterstvo financí z</w:t>
      </w:r>
      <w:r w:rsidR="00AF1A4C">
        <w:rPr>
          <w:rFonts w:asciiTheme="minorHAnsi" w:hAnsiTheme="minorHAnsi"/>
          <w:bCs/>
          <w:sz w:val="24"/>
          <w:szCs w:val="24"/>
        </w:rPr>
        <w:t>e zvláštního účtu, a </w:t>
      </w:r>
      <w:r w:rsidRPr="00DC791F">
        <w:rPr>
          <w:rFonts w:asciiTheme="minorHAnsi" w:hAnsiTheme="minorHAnsi"/>
          <w:bCs/>
          <w:sz w:val="24"/>
          <w:szCs w:val="24"/>
        </w:rPr>
        <w:t>to na základě usnesení vlády ČR schvalovaných do roku 2011 ve většině případů pro příslušný rok. Od roku</w:t>
      </w:r>
      <w:r w:rsidR="00C02F99">
        <w:rPr>
          <w:rFonts w:asciiTheme="minorHAnsi" w:hAnsiTheme="minorHAnsi"/>
          <w:bCs/>
          <w:sz w:val="24"/>
          <w:szCs w:val="24"/>
        </w:rPr>
        <w:t> </w:t>
      </w:r>
      <w:r w:rsidRPr="00DC791F">
        <w:rPr>
          <w:rFonts w:asciiTheme="minorHAnsi" w:hAnsiTheme="minorHAnsi"/>
          <w:bCs/>
          <w:sz w:val="24"/>
          <w:szCs w:val="24"/>
        </w:rPr>
        <w:t xml:space="preserve">2012 vláda ČR schvaluje </w:t>
      </w:r>
      <w:r w:rsidR="008C77B7" w:rsidRPr="00DC791F">
        <w:rPr>
          <w:rFonts w:asciiTheme="minorHAnsi" w:hAnsiTheme="minorHAnsi"/>
          <w:bCs/>
          <w:sz w:val="24"/>
          <w:szCs w:val="24"/>
        </w:rPr>
        <w:t xml:space="preserve">pro řešení důsledků po chemické těžbě uranu v oblasti Stráže pod Ralskem </w:t>
      </w:r>
      <w:r w:rsidRPr="00DC791F">
        <w:rPr>
          <w:rFonts w:asciiTheme="minorHAnsi" w:hAnsiTheme="minorHAnsi"/>
          <w:bCs/>
          <w:sz w:val="24"/>
          <w:szCs w:val="24"/>
        </w:rPr>
        <w:t xml:space="preserve">použití prostředků zvláštního účtu MF na tříleté období, což umožňuje proces </w:t>
      </w:r>
      <w:r w:rsidR="008C77B7">
        <w:rPr>
          <w:rFonts w:asciiTheme="minorHAnsi" w:hAnsiTheme="minorHAnsi"/>
          <w:bCs/>
          <w:sz w:val="24"/>
          <w:szCs w:val="24"/>
        </w:rPr>
        <w:t>ZNHČ v této lokalitě</w:t>
      </w:r>
      <w:r w:rsidRPr="00DC791F">
        <w:rPr>
          <w:rFonts w:asciiTheme="minorHAnsi" w:hAnsiTheme="minorHAnsi"/>
          <w:bCs/>
          <w:sz w:val="24"/>
          <w:szCs w:val="24"/>
        </w:rPr>
        <w:t xml:space="preserve"> lépe plánovat a realizovat.</w:t>
      </w:r>
    </w:p>
    <w:p w14:paraId="3ACA61DB" w14:textId="77777777" w:rsidR="00BF731A" w:rsidRPr="00DC791F" w:rsidRDefault="00BF731A" w:rsidP="003447E5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/>
          <w:bCs/>
          <w:sz w:val="24"/>
          <w:szCs w:val="24"/>
        </w:rPr>
      </w:pPr>
    </w:p>
    <w:p w14:paraId="461B8477" w14:textId="3423AB28" w:rsidR="00AA625C" w:rsidRPr="00DC791F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C791F">
        <w:rPr>
          <w:rFonts w:asciiTheme="minorHAnsi" w:hAnsiTheme="minorHAnsi" w:cstheme="minorHAnsi"/>
          <w:sz w:val="24"/>
          <w:szCs w:val="24"/>
        </w:rPr>
        <w:t xml:space="preserve">Podíl výdajů zvláštního účtu MF na celkových výdajích na </w:t>
      </w:r>
      <w:r w:rsidR="003447E5" w:rsidRPr="00DC791F">
        <w:rPr>
          <w:rFonts w:asciiTheme="minorHAnsi" w:hAnsiTheme="minorHAnsi" w:cstheme="minorHAnsi"/>
          <w:sz w:val="24"/>
          <w:szCs w:val="24"/>
        </w:rPr>
        <w:t xml:space="preserve">ZNHČ ve </w:t>
      </w:r>
      <w:r w:rsidRPr="00DC791F">
        <w:rPr>
          <w:rFonts w:asciiTheme="minorHAnsi" w:hAnsiTheme="minorHAnsi" w:cstheme="minorHAnsi"/>
          <w:sz w:val="24"/>
          <w:szCs w:val="24"/>
        </w:rPr>
        <w:t xml:space="preserve">státním podniku DIAMO v letech 2006 až 2015 činil </w:t>
      </w:r>
      <w:r w:rsidR="00746DCA" w:rsidRPr="00A3689E">
        <w:rPr>
          <w:rFonts w:asciiTheme="minorHAnsi" w:hAnsiTheme="minorHAnsi" w:cstheme="minorHAnsi"/>
          <w:sz w:val="24"/>
          <w:szCs w:val="24"/>
        </w:rPr>
        <w:t>38</w:t>
      </w:r>
      <w:r w:rsidRPr="00A3689E">
        <w:rPr>
          <w:rFonts w:asciiTheme="minorHAnsi" w:hAnsiTheme="minorHAnsi" w:cstheme="minorHAnsi"/>
          <w:sz w:val="24"/>
          <w:szCs w:val="24"/>
        </w:rPr>
        <w:t xml:space="preserve"> %.</w:t>
      </w:r>
      <w:r w:rsidRPr="00DC791F">
        <w:rPr>
          <w:rFonts w:asciiTheme="minorHAnsi" w:hAnsiTheme="minorHAnsi" w:cstheme="minorHAnsi"/>
          <w:sz w:val="24"/>
          <w:szCs w:val="24"/>
        </w:rPr>
        <w:t xml:space="preserve"> Celková potřeba peněžních prostředků do roku 2042 </w:t>
      </w:r>
      <w:r w:rsidR="00E6536F">
        <w:rPr>
          <w:rFonts w:asciiTheme="minorHAnsi" w:hAnsiTheme="minorHAnsi" w:cstheme="minorHAnsi"/>
          <w:sz w:val="24"/>
          <w:szCs w:val="24"/>
        </w:rPr>
        <w:t>se odhaduje</w:t>
      </w:r>
      <w:r w:rsidRPr="00DC791F">
        <w:rPr>
          <w:rFonts w:asciiTheme="minorHAnsi" w:hAnsiTheme="minorHAnsi" w:cstheme="minorHAnsi"/>
          <w:sz w:val="24"/>
          <w:szCs w:val="24"/>
        </w:rPr>
        <w:t xml:space="preserve"> na 45 767 mil. Kč. Vzhledem k nedostatku prostředků ve státním rozpočtu je zahlazování následků hornické činnosti ve státním podniku DIAMO závislé na prostředcích ze zvláštního účtu MF. V této souvislosti je třeba poukázat na riziko nedostatku disponibilních prostředků také na zvláštním účtu MF</w:t>
      </w:r>
      <w:r w:rsidR="00E6536F">
        <w:rPr>
          <w:rFonts w:asciiTheme="minorHAnsi" w:hAnsiTheme="minorHAnsi" w:cstheme="minorHAnsi"/>
          <w:sz w:val="24"/>
          <w:szCs w:val="24"/>
        </w:rPr>
        <w:t>,</w:t>
      </w:r>
      <w:r w:rsidRPr="00DC791F">
        <w:rPr>
          <w:rFonts w:asciiTheme="minorHAnsi" w:hAnsiTheme="minorHAnsi" w:cstheme="minorHAnsi"/>
          <w:sz w:val="24"/>
          <w:szCs w:val="24"/>
        </w:rPr>
        <w:t xml:space="preserve"> a to zejména z </w:t>
      </w:r>
      <w:r w:rsidR="00383292">
        <w:rPr>
          <w:rFonts w:asciiTheme="minorHAnsi" w:hAnsiTheme="minorHAnsi" w:cstheme="minorHAnsi"/>
          <w:sz w:val="24"/>
          <w:szCs w:val="24"/>
        </w:rPr>
        <w:t>následujících</w:t>
      </w:r>
      <w:r w:rsidRPr="00DC791F">
        <w:rPr>
          <w:rFonts w:asciiTheme="minorHAnsi" w:hAnsiTheme="minorHAnsi" w:cstheme="minorHAnsi"/>
          <w:sz w:val="24"/>
          <w:szCs w:val="24"/>
        </w:rPr>
        <w:t xml:space="preserve"> důvodů:</w:t>
      </w:r>
    </w:p>
    <w:p w14:paraId="28B5B341" w14:textId="14108E0B" w:rsidR="00AA625C" w:rsidRPr="00DC791F" w:rsidRDefault="00383292" w:rsidP="0090742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="00AA625C" w:rsidRPr="00DC791F">
        <w:rPr>
          <w:rFonts w:asciiTheme="minorHAnsi" w:eastAsia="Times New Roman" w:hAnsiTheme="minorHAnsi" w:cstheme="minorHAnsi"/>
          <w:sz w:val="24"/>
          <w:szCs w:val="24"/>
          <w:lang w:eastAsia="cs-CZ"/>
        </w:rPr>
        <w:t>tav zvláštního účtu MF závisí z 91 % na příjmech z dividend z majetkové účasti státu ve společnosti ČEZ, a.s. (</w:t>
      </w:r>
      <w:r w:rsidR="00AA625C" w:rsidRPr="00DC791F">
        <w:rPr>
          <w:rFonts w:cstheme="minorHAnsi"/>
          <w:sz w:val="24"/>
          <w:szCs w:val="24"/>
        </w:rPr>
        <w:t>dividenda za rok 2015 činila 12 700 mil. Kč)</w:t>
      </w:r>
      <w:r w:rsidR="00AA625C" w:rsidRPr="00DC791F">
        <w:rPr>
          <w:rFonts w:asciiTheme="minorHAnsi" w:eastAsia="Times New Roman" w:hAnsiTheme="minorHAnsi" w:cstheme="minorHAnsi"/>
          <w:sz w:val="24"/>
          <w:szCs w:val="24"/>
          <w:lang w:eastAsia="cs-CZ"/>
        </w:rPr>
        <w:t>, což znamená, že pokles těchto dividend by výrazně ovlivnil stav prostředků zvláštního účtu MF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5DAA9F46" w14:textId="7FD8FEAA" w:rsidR="00AA625C" w:rsidRPr="00DC791F" w:rsidRDefault="00383292" w:rsidP="0090742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P</w:t>
      </w:r>
      <w:r w:rsidR="00AA625C" w:rsidRPr="00DC791F">
        <w:rPr>
          <w:rFonts w:cstheme="minorHAnsi"/>
          <w:sz w:val="24"/>
          <w:szCs w:val="24"/>
        </w:rPr>
        <w:t xml:space="preserve">řipisování dividend na účet probíhá až ve třetím čtvrtletí příslušného roku. Např. </w:t>
      </w:r>
      <w:r w:rsidR="00AA625C" w:rsidRPr="00DC791F">
        <w:rPr>
          <w:rFonts w:asciiTheme="minorHAnsi" w:hAnsiTheme="minorHAnsi" w:cstheme="minorHAnsi"/>
          <w:sz w:val="24"/>
          <w:szCs w:val="24"/>
        </w:rPr>
        <w:t>stav disponibilních prostředků pro zahlazování následků hornické činnosti ve státním podniku DIAMO byl k 20. dubnu 2016 ve výši 3 547 mil. Kč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5AD3863" w14:textId="42AEB818" w:rsidR="00AA625C" w:rsidRPr="00DC791F" w:rsidRDefault="00383292" w:rsidP="00907425">
      <w:pPr>
        <w:pStyle w:val="Zkladntextodsazen"/>
        <w:numPr>
          <w:ilvl w:val="0"/>
          <w:numId w:val="4"/>
        </w:numPr>
        <w:spacing w:after="0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="00AA625C" w:rsidRPr="00DC791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ohou se zvýšit i ostatní výdaje zvláštního účtu MF, kterými jsou zejména převod prostředků do státního rozpočtu na krytí deficitu důchodového systému (65 % v roce 2014, </w:t>
      </w:r>
      <w:r w:rsidR="00AA625C" w:rsidRPr="00DC791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72 % v roce 2015) a krytí závazků státu za odstraňování ekologických škod vzniklých před privatizací podniků (22 % v roce 2014, 16 % v roce 2015). </w:t>
      </w:r>
    </w:p>
    <w:p w14:paraId="115926C1" w14:textId="77777777" w:rsidR="00AA625C" w:rsidRPr="00992484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4306619" w14:textId="77777777" w:rsidR="00AA625C" w:rsidRPr="00AD2399" w:rsidRDefault="00AA625C" w:rsidP="00AA625C">
      <w:pPr>
        <w:pStyle w:val="Zkladntextodsazen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D2399">
        <w:rPr>
          <w:rFonts w:asciiTheme="minorHAnsi" w:hAnsiTheme="minorHAnsi" w:cstheme="minorHAnsi"/>
          <w:b/>
          <w:sz w:val="24"/>
          <w:szCs w:val="24"/>
        </w:rPr>
        <w:t>Vlastní zdroje státního podniku DIAMO</w:t>
      </w:r>
    </w:p>
    <w:p w14:paraId="2D5F4442" w14:textId="77777777" w:rsidR="00BF731A" w:rsidRDefault="00BF731A" w:rsidP="00AA625C">
      <w:pPr>
        <w:rPr>
          <w:rFonts w:asciiTheme="minorHAnsi" w:hAnsiTheme="minorHAnsi" w:cstheme="minorHAnsi"/>
          <w:sz w:val="24"/>
        </w:rPr>
      </w:pPr>
    </w:p>
    <w:p w14:paraId="6FC99875" w14:textId="10669BFC" w:rsidR="00AA625C" w:rsidRPr="00DC791F" w:rsidRDefault="00AA625C" w:rsidP="00AA625C">
      <w:pPr>
        <w:rPr>
          <w:rFonts w:asciiTheme="minorHAnsi" w:hAnsiTheme="minorHAnsi" w:cstheme="minorHAnsi"/>
          <w:sz w:val="24"/>
        </w:rPr>
      </w:pPr>
      <w:r w:rsidRPr="00DC791F">
        <w:rPr>
          <w:rFonts w:asciiTheme="minorHAnsi" w:hAnsiTheme="minorHAnsi" w:cstheme="minorHAnsi"/>
          <w:sz w:val="24"/>
        </w:rPr>
        <w:t xml:space="preserve">Státní podnik DIAMO se podílel na financování zahlazování následků hornické činnosti vlastními zdroji jen cca z 6 %. Přesto je třeba upozornit na skutečnost, že vlastní zdroje podniku budou </w:t>
      </w:r>
      <w:r w:rsidR="008C77B7">
        <w:rPr>
          <w:rFonts w:asciiTheme="minorHAnsi" w:hAnsiTheme="minorHAnsi" w:cstheme="minorHAnsi"/>
          <w:sz w:val="24"/>
        </w:rPr>
        <w:t xml:space="preserve">dále </w:t>
      </w:r>
      <w:r w:rsidRPr="00DC791F">
        <w:rPr>
          <w:rFonts w:asciiTheme="minorHAnsi" w:hAnsiTheme="minorHAnsi" w:cstheme="minorHAnsi"/>
          <w:sz w:val="24"/>
        </w:rPr>
        <w:t>ovlivněny ztrátou výnosů z těžby uranu v důsledku uzavírky uranového dolu Rožná v Dolní Rožínce v roce 2017. Navíc samotné výdaje související s ukončením této těžby MPO odhadlo na 333 mil. Kč.</w:t>
      </w:r>
    </w:p>
    <w:p w14:paraId="23EAB65E" w14:textId="77777777" w:rsidR="00AA625C" w:rsidRPr="00DC791F" w:rsidRDefault="00AA625C" w:rsidP="00992484">
      <w:pPr>
        <w:rPr>
          <w:rFonts w:asciiTheme="minorHAnsi" w:hAnsiTheme="minorHAnsi" w:cstheme="minorHAnsi"/>
          <w:sz w:val="24"/>
          <w:lang w:eastAsia="cs-CZ"/>
        </w:rPr>
      </w:pPr>
    </w:p>
    <w:p w14:paraId="378446F2" w14:textId="6AB5363F" w:rsidR="00AA625C" w:rsidRPr="00992484" w:rsidRDefault="00992484" w:rsidP="00992484">
      <w:pPr>
        <w:ind w:left="284" w:hanging="284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3.</w:t>
      </w:r>
      <w:r>
        <w:rPr>
          <w:rFonts w:asciiTheme="minorHAnsi" w:hAnsiTheme="minorHAnsi" w:cstheme="minorHAnsi"/>
          <w:b/>
          <w:sz w:val="24"/>
        </w:rPr>
        <w:tab/>
      </w:r>
      <w:r w:rsidR="00AA625C" w:rsidRPr="00992484">
        <w:rPr>
          <w:rFonts w:asciiTheme="minorHAnsi" w:hAnsiTheme="minorHAnsi" w:cstheme="minorHAnsi"/>
          <w:b/>
          <w:sz w:val="24"/>
        </w:rPr>
        <w:t xml:space="preserve">Účelnost a hospodárnost vynaložených prostředků zahlazování následků hornické činnosti </w:t>
      </w:r>
    </w:p>
    <w:p w14:paraId="4C95D4CE" w14:textId="77777777" w:rsidR="00992484" w:rsidRDefault="00992484" w:rsidP="00992484">
      <w:pPr>
        <w:rPr>
          <w:rFonts w:asciiTheme="minorHAnsi" w:hAnsiTheme="minorHAnsi" w:cstheme="minorHAnsi"/>
          <w:sz w:val="24"/>
        </w:rPr>
      </w:pPr>
    </w:p>
    <w:p w14:paraId="403CACC0" w14:textId="75D29C4B" w:rsidR="003447E5" w:rsidRPr="00DC791F" w:rsidRDefault="00AA625C" w:rsidP="00992484">
      <w:pPr>
        <w:rPr>
          <w:rFonts w:asciiTheme="minorHAnsi" w:hAnsiTheme="minorHAnsi" w:cstheme="minorHAnsi"/>
          <w:sz w:val="24"/>
        </w:rPr>
      </w:pPr>
      <w:r w:rsidRPr="00DC791F">
        <w:rPr>
          <w:rFonts w:asciiTheme="minorHAnsi" w:hAnsiTheme="minorHAnsi" w:cstheme="minorHAnsi"/>
          <w:sz w:val="24"/>
        </w:rPr>
        <w:t>Kontrolou u státního podniku DIAMO byly ověřeny výdaje na technickou část zahlazování, výdaje na pořízení aut</w:t>
      </w:r>
      <w:r w:rsidR="00BF2691">
        <w:rPr>
          <w:rFonts w:asciiTheme="minorHAnsi" w:hAnsiTheme="minorHAnsi" w:cstheme="minorHAnsi"/>
          <w:sz w:val="24"/>
        </w:rPr>
        <w:t>omobilů</w:t>
      </w:r>
      <w:r w:rsidRPr="00DC791F">
        <w:rPr>
          <w:rFonts w:asciiTheme="minorHAnsi" w:hAnsiTheme="minorHAnsi" w:cstheme="minorHAnsi"/>
          <w:sz w:val="24"/>
        </w:rPr>
        <w:t>, výpočetní techniky, zajištění analýzy rizik a supervize v celkové hodnotě 1 </w:t>
      </w:r>
      <w:r w:rsidR="00D72C1F" w:rsidRPr="00DC791F">
        <w:rPr>
          <w:rFonts w:asciiTheme="minorHAnsi" w:hAnsiTheme="minorHAnsi" w:cstheme="minorHAnsi"/>
          <w:sz w:val="24"/>
        </w:rPr>
        <w:t>146</w:t>
      </w:r>
      <w:r w:rsidRPr="00DC791F">
        <w:rPr>
          <w:rFonts w:asciiTheme="minorHAnsi" w:hAnsiTheme="minorHAnsi" w:cstheme="minorHAnsi"/>
          <w:sz w:val="24"/>
        </w:rPr>
        <w:t>,</w:t>
      </w:r>
      <w:r w:rsidR="00D72C1F" w:rsidRPr="00DC791F">
        <w:rPr>
          <w:rFonts w:asciiTheme="minorHAnsi" w:hAnsiTheme="minorHAnsi" w:cstheme="minorHAnsi"/>
          <w:sz w:val="24"/>
        </w:rPr>
        <w:t>5</w:t>
      </w:r>
      <w:r w:rsidRPr="00DC791F">
        <w:rPr>
          <w:rFonts w:asciiTheme="minorHAnsi" w:hAnsiTheme="minorHAnsi" w:cstheme="minorHAnsi"/>
          <w:sz w:val="24"/>
        </w:rPr>
        <w:t xml:space="preserve"> mil. Kč. Kontrolou tohoto vzorku nebylo zjištěno nehospodárné nakládání s peněžními prostředky ani jejich použití na jiný než stanovený účel. Avšak při kontrole prostředků ve výši 59,31 mil. Kč, které byly určeny také na zahlazování následků hornické činnosti a které MF použilo samo na úhrady za zpracování oponentního posudku a supervizi procesu zahlazování, byly zjištěny tři případy, kdy MF uzavřelo smlouvy s dodavateli následně až po provedení příslušných činností, a to po třech, sedmi a jedenácti měsících. </w:t>
      </w:r>
      <w:r w:rsidR="00E241DA">
        <w:rPr>
          <w:rFonts w:asciiTheme="minorHAnsi" w:hAnsiTheme="minorHAnsi" w:cstheme="minorHAnsi"/>
          <w:sz w:val="24"/>
        </w:rPr>
        <w:t xml:space="preserve">Uvedený postup MF nebyl průkazný a nezajistil transparentní nakládání s peněžními prostředky ze zvláštního účtu MF ve výši celkem 676 tis. Kč (288 tis. Kč; </w:t>
      </w:r>
      <w:r w:rsidR="00E241DA" w:rsidRPr="002B138E">
        <w:rPr>
          <w:rFonts w:asciiTheme="minorHAnsi" w:hAnsiTheme="minorHAnsi" w:cstheme="minorHAnsi"/>
          <w:sz w:val="24"/>
        </w:rPr>
        <w:t xml:space="preserve">198 </w:t>
      </w:r>
      <w:r w:rsidR="002B138E">
        <w:rPr>
          <w:rFonts w:asciiTheme="minorHAnsi" w:hAnsiTheme="minorHAnsi" w:cstheme="minorHAnsi"/>
          <w:sz w:val="24"/>
        </w:rPr>
        <w:t>tis. Kč; 190 tis</w:t>
      </w:r>
      <w:r w:rsidR="00E241DA" w:rsidRPr="002B138E">
        <w:rPr>
          <w:rFonts w:asciiTheme="minorHAnsi" w:hAnsiTheme="minorHAnsi" w:cstheme="minorHAnsi"/>
          <w:sz w:val="24"/>
        </w:rPr>
        <w:t>. Kč).</w:t>
      </w:r>
    </w:p>
    <w:p w14:paraId="72BC0ED9" w14:textId="77777777" w:rsidR="003447E5" w:rsidRPr="00DC791F" w:rsidRDefault="003447E5" w:rsidP="00992484">
      <w:pPr>
        <w:rPr>
          <w:rFonts w:asciiTheme="minorHAnsi" w:hAnsiTheme="minorHAnsi" w:cstheme="minorHAnsi"/>
          <w:b/>
          <w:sz w:val="24"/>
        </w:rPr>
      </w:pPr>
    </w:p>
    <w:p w14:paraId="33929784" w14:textId="26D7B9FF" w:rsidR="00AA625C" w:rsidRPr="00992484" w:rsidRDefault="00992484" w:rsidP="00992484">
      <w:pPr>
        <w:tabs>
          <w:tab w:val="left" w:pos="284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4. </w:t>
      </w:r>
      <w:r>
        <w:rPr>
          <w:rFonts w:asciiTheme="minorHAnsi" w:hAnsiTheme="minorHAnsi" w:cstheme="minorHAnsi"/>
          <w:b/>
          <w:bCs/>
          <w:sz w:val="24"/>
        </w:rPr>
        <w:tab/>
      </w:r>
      <w:r w:rsidR="00AA625C" w:rsidRPr="00992484">
        <w:rPr>
          <w:rFonts w:asciiTheme="minorHAnsi" w:hAnsiTheme="minorHAnsi" w:cstheme="minorHAnsi"/>
          <w:b/>
          <w:bCs/>
          <w:sz w:val="24"/>
        </w:rPr>
        <w:t xml:space="preserve">Kontrola prostředků poskytnutých na zahlazování </w:t>
      </w:r>
      <w:r w:rsidR="00AA625C" w:rsidRPr="00992484">
        <w:rPr>
          <w:rFonts w:asciiTheme="minorHAnsi" w:hAnsiTheme="minorHAnsi" w:cstheme="minorHAnsi"/>
          <w:b/>
          <w:sz w:val="24"/>
        </w:rPr>
        <w:t>následků hornické činnosti</w:t>
      </w:r>
    </w:p>
    <w:p w14:paraId="0DCA597D" w14:textId="77777777" w:rsidR="00992484" w:rsidRDefault="00992484" w:rsidP="00AA625C">
      <w:pPr>
        <w:rPr>
          <w:rFonts w:asciiTheme="minorHAnsi" w:hAnsiTheme="minorHAnsi" w:cstheme="minorHAnsi"/>
          <w:sz w:val="24"/>
        </w:rPr>
      </w:pPr>
    </w:p>
    <w:p w14:paraId="7EE4D640" w14:textId="15FC8F7E" w:rsidR="0006312E" w:rsidRDefault="00AA625C" w:rsidP="00AA625C">
      <w:pPr>
        <w:rPr>
          <w:rFonts w:asciiTheme="minorHAnsi" w:hAnsiTheme="minorHAnsi" w:cstheme="minorHAnsi"/>
          <w:sz w:val="24"/>
        </w:rPr>
      </w:pPr>
      <w:r w:rsidRPr="00DC791F">
        <w:rPr>
          <w:rFonts w:asciiTheme="minorHAnsi" w:hAnsiTheme="minorHAnsi" w:cstheme="minorHAnsi"/>
          <w:sz w:val="24"/>
        </w:rPr>
        <w:t xml:space="preserve">MPO zajišťovalo v letech 2006 až 2015 </w:t>
      </w:r>
      <w:r w:rsidR="00347E53">
        <w:rPr>
          <w:rFonts w:asciiTheme="minorHAnsi" w:hAnsiTheme="minorHAnsi" w:cstheme="minorHAnsi"/>
          <w:sz w:val="24"/>
        </w:rPr>
        <w:t xml:space="preserve">dostatečnou </w:t>
      </w:r>
      <w:r w:rsidRPr="00DC791F">
        <w:rPr>
          <w:rFonts w:asciiTheme="minorHAnsi" w:hAnsiTheme="minorHAnsi" w:cstheme="minorHAnsi"/>
          <w:sz w:val="24"/>
        </w:rPr>
        <w:t xml:space="preserve">kontrolu čerpání a užití peněžních prostředků, které poskytlo státnímu podniku DIAMO na zahlazování následků hornické činnosti vlastními pracovníky prostřednictvím pravidelných kontrolních dnů a prostřednictvím samostatných kontrol. Kontrolních dnů se kromě zástupce MPO účastnili i zástupci MF, MŽP, státního podniku DIAMO a supervizora. MPO prověřovalo plnění projektů likvidace a jejich aktualizací, plnění </w:t>
      </w:r>
      <w:r w:rsidR="005C432A">
        <w:rPr>
          <w:rFonts w:asciiTheme="minorHAnsi" w:hAnsiTheme="minorHAnsi" w:cstheme="minorHAnsi"/>
          <w:bCs/>
          <w:sz w:val="24"/>
        </w:rPr>
        <w:t>r</w:t>
      </w:r>
      <w:r w:rsidRPr="00DC791F">
        <w:rPr>
          <w:rFonts w:asciiTheme="minorHAnsi" w:hAnsiTheme="minorHAnsi" w:cstheme="minorHAnsi"/>
          <w:bCs/>
          <w:sz w:val="24"/>
        </w:rPr>
        <w:t xml:space="preserve">očních programů zahlazování následků hornické činnosti, </w:t>
      </w:r>
      <w:r w:rsidR="005C432A">
        <w:rPr>
          <w:rFonts w:asciiTheme="minorHAnsi" w:hAnsiTheme="minorHAnsi" w:cstheme="minorHAnsi"/>
          <w:bCs/>
          <w:sz w:val="24"/>
        </w:rPr>
        <w:t>s</w:t>
      </w:r>
      <w:r w:rsidRPr="00DC791F">
        <w:rPr>
          <w:rFonts w:asciiTheme="minorHAnsi" w:hAnsiTheme="minorHAnsi" w:cstheme="minorHAnsi"/>
          <w:bCs/>
          <w:sz w:val="24"/>
        </w:rPr>
        <w:t>ouhrnných projektů provozních prací</w:t>
      </w:r>
      <w:r w:rsidRPr="00DC791F">
        <w:rPr>
          <w:rFonts w:asciiTheme="minorHAnsi" w:hAnsiTheme="minorHAnsi" w:cstheme="minorHAnsi"/>
          <w:sz w:val="24"/>
        </w:rPr>
        <w:t xml:space="preserve">, </w:t>
      </w:r>
      <w:r w:rsidR="005C432A">
        <w:rPr>
          <w:rFonts w:asciiTheme="minorHAnsi" w:hAnsiTheme="minorHAnsi" w:cstheme="minorHAnsi"/>
          <w:sz w:val="24"/>
        </w:rPr>
        <w:t>r</w:t>
      </w:r>
      <w:r w:rsidRPr="00DC791F">
        <w:rPr>
          <w:rFonts w:asciiTheme="minorHAnsi" w:hAnsiTheme="minorHAnsi" w:cstheme="minorHAnsi"/>
          <w:sz w:val="24"/>
        </w:rPr>
        <w:t>ozhodnutí o poskytnutí dotace včetně podmínek čerpání a užití dotace a</w:t>
      </w:r>
      <w:r w:rsidR="009F1DE2">
        <w:rPr>
          <w:rFonts w:asciiTheme="minorHAnsi" w:hAnsiTheme="minorHAnsi" w:cstheme="minorHAnsi"/>
          <w:sz w:val="24"/>
        </w:rPr>
        <w:t> </w:t>
      </w:r>
      <w:r w:rsidRPr="00DC791F">
        <w:rPr>
          <w:rFonts w:asciiTheme="minorHAnsi" w:hAnsiTheme="minorHAnsi" w:cstheme="minorHAnsi"/>
          <w:sz w:val="24"/>
        </w:rPr>
        <w:t xml:space="preserve">jejich změn, zadání a průběh výběrových řízení, financování akcí a technický průběh prací v terénu. Při kontrolách byly zjištěny jen formální nedostatky, které byly v průběhu kontrol odstraněny. </w:t>
      </w:r>
    </w:p>
    <w:p w14:paraId="12991B60" w14:textId="77777777" w:rsidR="00D10B57" w:rsidRDefault="00D10B57" w:rsidP="00AA625C">
      <w:pPr>
        <w:rPr>
          <w:rFonts w:asciiTheme="minorHAnsi" w:hAnsiTheme="minorHAnsi" w:cstheme="minorHAnsi"/>
          <w:sz w:val="24"/>
        </w:rPr>
      </w:pPr>
    </w:p>
    <w:p w14:paraId="16BBECB2" w14:textId="15886147" w:rsidR="00D10B57" w:rsidRDefault="00AA625C" w:rsidP="00AA625C">
      <w:pPr>
        <w:rPr>
          <w:rFonts w:asciiTheme="minorHAnsi" w:hAnsiTheme="minorHAnsi" w:cstheme="minorHAnsi"/>
          <w:bCs/>
          <w:sz w:val="24"/>
        </w:rPr>
      </w:pPr>
      <w:r w:rsidRPr="00DC791F">
        <w:rPr>
          <w:rFonts w:asciiTheme="minorHAnsi" w:hAnsiTheme="minorHAnsi" w:cstheme="minorHAnsi"/>
          <w:bCs/>
          <w:sz w:val="24"/>
        </w:rPr>
        <w:t>MF</w:t>
      </w:r>
      <w:r w:rsidR="00347E53">
        <w:rPr>
          <w:rFonts w:asciiTheme="minorHAnsi" w:hAnsiTheme="minorHAnsi" w:cstheme="minorHAnsi"/>
          <w:bCs/>
          <w:sz w:val="24"/>
        </w:rPr>
        <w:t xml:space="preserve"> nemá věcnou problematiku ZNHČ ve své kompetenci</w:t>
      </w:r>
      <w:r w:rsidR="00383292">
        <w:rPr>
          <w:rFonts w:asciiTheme="minorHAnsi" w:hAnsiTheme="minorHAnsi" w:cstheme="minorHAnsi"/>
          <w:bCs/>
          <w:sz w:val="24"/>
        </w:rPr>
        <w:t>,</w:t>
      </w:r>
      <w:r w:rsidR="00347E53">
        <w:rPr>
          <w:rFonts w:asciiTheme="minorHAnsi" w:hAnsiTheme="minorHAnsi" w:cstheme="minorHAnsi"/>
          <w:bCs/>
          <w:sz w:val="24"/>
        </w:rPr>
        <w:t xml:space="preserve"> a proto</w:t>
      </w:r>
      <w:r w:rsidRPr="00DC791F">
        <w:rPr>
          <w:rFonts w:asciiTheme="minorHAnsi" w:hAnsiTheme="minorHAnsi" w:cstheme="minorHAnsi"/>
          <w:bCs/>
          <w:sz w:val="24"/>
        </w:rPr>
        <w:t xml:space="preserve"> kromě účasti na kontrolních dnech nekontrolovalo vlastními kapacitami užití poskytnutých peněžních prostředků po věcné stránce. </w:t>
      </w:r>
      <w:r w:rsidR="002509CB" w:rsidRPr="00015AAA">
        <w:rPr>
          <w:rFonts w:asciiTheme="minorHAnsi" w:hAnsiTheme="minorHAnsi" w:cstheme="minorHAnsi"/>
          <w:bCs/>
          <w:sz w:val="24"/>
        </w:rPr>
        <w:t xml:space="preserve">Za účelem kontroly prostředků poskytnutých státnímu podniku na základě obou smluv (9 404,76 mil. Kč) uzavřelo </w:t>
      </w:r>
      <w:r w:rsidR="0006312E" w:rsidRPr="00015AAA">
        <w:rPr>
          <w:rFonts w:asciiTheme="minorHAnsi" w:hAnsiTheme="minorHAnsi" w:cstheme="minorHAnsi"/>
          <w:bCs/>
          <w:sz w:val="24"/>
        </w:rPr>
        <w:t xml:space="preserve">MF </w:t>
      </w:r>
      <w:r w:rsidRPr="00015AAA">
        <w:rPr>
          <w:rFonts w:asciiTheme="minorHAnsi" w:hAnsiTheme="minorHAnsi" w:cstheme="minorHAnsi"/>
          <w:bCs/>
          <w:sz w:val="24"/>
        </w:rPr>
        <w:t>smlouvy se</w:t>
      </w:r>
      <w:r w:rsidR="00383292">
        <w:rPr>
          <w:rFonts w:asciiTheme="minorHAnsi" w:hAnsiTheme="minorHAnsi" w:cstheme="minorHAnsi"/>
          <w:bCs/>
          <w:sz w:val="24"/>
        </w:rPr>
        <w:t xml:space="preserve"> </w:t>
      </w:r>
      <w:r w:rsidRPr="00015AAA">
        <w:rPr>
          <w:rFonts w:asciiTheme="minorHAnsi" w:hAnsiTheme="minorHAnsi" w:cstheme="minorHAnsi"/>
          <w:bCs/>
          <w:sz w:val="24"/>
        </w:rPr>
        <w:t xml:space="preserve">třemi externími firmami na zajištění supervizní činnosti. </w:t>
      </w:r>
      <w:r w:rsidR="00486EC7" w:rsidRPr="00015AAA">
        <w:rPr>
          <w:rFonts w:asciiTheme="minorHAnsi" w:hAnsiTheme="minorHAnsi" w:cstheme="minorHAnsi"/>
          <w:bCs/>
          <w:sz w:val="24"/>
        </w:rPr>
        <w:t>Kontrolu</w:t>
      </w:r>
      <w:r w:rsidR="002509CB" w:rsidRPr="00015AAA">
        <w:rPr>
          <w:rFonts w:asciiTheme="minorHAnsi" w:hAnsiTheme="minorHAnsi" w:cstheme="minorHAnsi"/>
          <w:bCs/>
          <w:sz w:val="24"/>
        </w:rPr>
        <w:t xml:space="preserve"> </w:t>
      </w:r>
      <w:r w:rsidRPr="00015AAA">
        <w:rPr>
          <w:rFonts w:asciiTheme="minorHAnsi" w:hAnsiTheme="minorHAnsi" w:cstheme="minorHAnsi"/>
          <w:bCs/>
          <w:sz w:val="24"/>
        </w:rPr>
        <w:t xml:space="preserve">užití prostředků </w:t>
      </w:r>
      <w:r w:rsidR="00BB53B6" w:rsidRPr="00015AAA">
        <w:rPr>
          <w:rFonts w:asciiTheme="minorHAnsi" w:hAnsiTheme="minorHAnsi" w:cstheme="minorHAnsi"/>
          <w:bCs/>
          <w:sz w:val="24"/>
        </w:rPr>
        <w:t>poskytnutých státnímu podniku ze zvláštního účtu MF (5 220 mil. Kč</w:t>
      </w:r>
      <w:r w:rsidR="002509CB" w:rsidRPr="00015AAA">
        <w:rPr>
          <w:rFonts w:asciiTheme="minorHAnsi" w:hAnsiTheme="minorHAnsi" w:cstheme="minorHAnsi"/>
          <w:bCs/>
          <w:sz w:val="24"/>
        </w:rPr>
        <w:t>)</w:t>
      </w:r>
      <w:r w:rsidR="00BB53B6" w:rsidRPr="00015AAA">
        <w:rPr>
          <w:rFonts w:asciiTheme="minorHAnsi" w:hAnsiTheme="minorHAnsi" w:cstheme="minorHAnsi"/>
          <w:bCs/>
          <w:sz w:val="24"/>
        </w:rPr>
        <w:t xml:space="preserve"> na základě usnesení vlády bez smluvního podkladu a 80 mil. Kč poskytnutých </w:t>
      </w:r>
      <w:r w:rsidR="005C432A">
        <w:rPr>
          <w:rFonts w:asciiTheme="minorHAnsi" w:hAnsiTheme="minorHAnsi" w:cstheme="minorHAnsi"/>
          <w:bCs/>
          <w:sz w:val="24"/>
        </w:rPr>
        <w:t xml:space="preserve">Ministerstvem financí </w:t>
      </w:r>
      <w:r w:rsidR="00BB53B6" w:rsidRPr="00015AAA">
        <w:rPr>
          <w:rFonts w:asciiTheme="minorHAnsi" w:hAnsiTheme="minorHAnsi" w:cstheme="minorHAnsi"/>
          <w:bCs/>
          <w:sz w:val="24"/>
        </w:rPr>
        <w:t xml:space="preserve">z kapitoly </w:t>
      </w:r>
      <w:r w:rsidR="00BB53B6" w:rsidRPr="00015AAA">
        <w:rPr>
          <w:rFonts w:asciiTheme="minorHAnsi" w:hAnsiTheme="minorHAnsi" w:cstheme="minorHAnsi"/>
          <w:sz w:val="24"/>
        </w:rPr>
        <w:t xml:space="preserve">397 – </w:t>
      </w:r>
      <w:r w:rsidR="00BB53B6" w:rsidRPr="00AD2399">
        <w:rPr>
          <w:rFonts w:asciiTheme="minorHAnsi" w:hAnsiTheme="minorHAnsi" w:cstheme="minorHAnsi"/>
          <w:i/>
          <w:sz w:val="24"/>
        </w:rPr>
        <w:t>Operace státních finančních aktiv</w:t>
      </w:r>
      <w:r w:rsidR="00BB53B6" w:rsidRPr="00015AAA">
        <w:rPr>
          <w:rFonts w:asciiTheme="minorHAnsi" w:hAnsiTheme="minorHAnsi" w:cstheme="minorHAnsi"/>
          <w:bCs/>
          <w:sz w:val="24"/>
        </w:rPr>
        <w:t xml:space="preserve"> 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provádělo průběžně </w:t>
      </w:r>
      <w:r w:rsidRPr="00015AAA">
        <w:rPr>
          <w:rFonts w:asciiTheme="minorHAnsi" w:hAnsiTheme="minorHAnsi" w:cstheme="minorHAnsi"/>
          <w:bCs/>
          <w:sz w:val="24"/>
        </w:rPr>
        <w:t>MPO</w:t>
      </w:r>
      <w:r w:rsidR="00383292">
        <w:rPr>
          <w:rFonts w:asciiTheme="minorHAnsi" w:hAnsiTheme="minorHAnsi" w:cstheme="minorHAnsi"/>
          <w:bCs/>
          <w:sz w:val="24"/>
        </w:rPr>
        <w:t>,</w:t>
      </w:r>
      <w:r w:rsidRPr="00015AAA">
        <w:rPr>
          <w:rFonts w:asciiTheme="minorHAnsi" w:hAnsiTheme="minorHAnsi" w:cstheme="minorHAnsi"/>
          <w:bCs/>
          <w:sz w:val="24"/>
        </w:rPr>
        <w:t xml:space="preserve"> </w:t>
      </w:r>
      <w:r w:rsidR="00486EC7" w:rsidRPr="00015AAA">
        <w:rPr>
          <w:rFonts w:asciiTheme="minorHAnsi" w:hAnsiTheme="minorHAnsi" w:cstheme="minorHAnsi"/>
          <w:bCs/>
          <w:sz w:val="24"/>
        </w:rPr>
        <w:t>s</w:t>
      </w:r>
      <w:r w:rsidRPr="00015AAA">
        <w:rPr>
          <w:rFonts w:asciiTheme="minorHAnsi" w:hAnsiTheme="minorHAnsi" w:cstheme="minorHAnsi"/>
          <w:bCs/>
          <w:sz w:val="24"/>
        </w:rPr>
        <w:t>uperviz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e </w:t>
      </w:r>
      <w:r w:rsidR="00383292">
        <w:rPr>
          <w:rFonts w:asciiTheme="minorHAnsi" w:hAnsiTheme="minorHAnsi" w:cstheme="minorHAnsi"/>
          <w:bCs/>
          <w:sz w:val="24"/>
        </w:rPr>
        <w:t xml:space="preserve">byla </w:t>
      </w:r>
      <w:r w:rsidR="00D10B57" w:rsidRPr="00015AAA">
        <w:rPr>
          <w:rFonts w:asciiTheme="minorHAnsi" w:hAnsiTheme="minorHAnsi" w:cstheme="minorHAnsi"/>
          <w:bCs/>
          <w:sz w:val="24"/>
        </w:rPr>
        <w:t>zaji</w:t>
      </w:r>
      <w:r w:rsidR="00486EC7" w:rsidRPr="00015AAA">
        <w:rPr>
          <w:rFonts w:asciiTheme="minorHAnsi" w:hAnsiTheme="minorHAnsi" w:cstheme="minorHAnsi"/>
          <w:bCs/>
          <w:sz w:val="24"/>
        </w:rPr>
        <w:t>štěn</w:t>
      </w:r>
      <w:r w:rsidR="00383292">
        <w:rPr>
          <w:rFonts w:asciiTheme="minorHAnsi" w:hAnsiTheme="minorHAnsi" w:cstheme="minorHAnsi"/>
          <w:bCs/>
          <w:sz w:val="24"/>
        </w:rPr>
        <w:t>a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 </w:t>
      </w:r>
      <w:r w:rsidRPr="00015AAA">
        <w:rPr>
          <w:rFonts w:asciiTheme="minorHAnsi" w:hAnsiTheme="minorHAnsi" w:cstheme="minorHAnsi"/>
          <w:bCs/>
          <w:sz w:val="24"/>
        </w:rPr>
        <w:t>státní</w:t>
      </w:r>
      <w:r w:rsidR="00486EC7" w:rsidRPr="00015AAA">
        <w:rPr>
          <w:rFonts w:asciiTheme="minorHAnsi" w:hAnsiTheme="minorHAnsi" w:cstheme="minorHAnsi"/>
          <w:bCs/>
          <w:sz w:val="24"/>
        </w:rPr>
        <w:t>m</w:t>
      </w:r>
      <w:r w:rsidRPr="00015AAA">
        <w:rPr>
          <w:rFonts w:asciiTheme="minorHAnsi" w:hAnsiTheme="minorHAnsi" w:cstheme="minorHAnsi"/>
          <w:bCs/>
          <w:sz w:val="24"/>
        </w:rPr>
        <w:t xml:space="preserve"> podnik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em a zástupci MF se účastnili pravidelných kontrolních dnů. MF při kontrole poskytnutých prostředků postupovalo </w:t>
      </w:r>
      <w:r w:rsidR="00486EC7" w:rsidRPr="00015AAA">
        <w:rPr>
          <w:rFonts w:asciiTheme="minorHAnsi" w:hAnsiTheme="minorHAnsi" w:cstheme="minorHAnsi"/>
          <w:bCs/>
          <w:sz w:val="24"/>
        </w:rPr>
        <w:lastRenderedPageBreak/>
        <w:t>v souladu se smlouvami</w:t>
      </w:r>
      <w:r w:rsidR="00486EC7" w:rsidRPr="00015AAA">
        <w:rPr>
          <w:rStyle w:val="Znakapoznpodarou"/>
          <w:rFonts w:asciiTheme="minorHAnsi" w:hAnsiTheme="minorHAnsi" w:cstheme="minorHAnsi"/>
          <w:bCs/>
          <w:sz w:val="24"/>
        </w:rPr>
        <w:footnoteReference w:id="8"/>
      </w:r>
      <w:r w:rsidR="00486EC7" w:rsidRPr="00015AAA">
        <w:rPr>
          <w:rFonts w:asciiTheme="minorHAnsi" w:hAnsiTheme="minorHAnsi" w:cstheme="minorHAnsi"/>
          <w:bCs/>
          <w:sz w:val="24"/>
        </w:rPr>
        <w:t xml:space="preserve"> č. 247 a</w:t>
      </w:r>
      <w:r w:rsidR="00AF1A4C">
        <w:rPr>
          <w:rFonts w:asciiTheme="minorHAnsi" w:hAnsiTheme="minorHAnsi" w:cstheme="minorHAnsi"/>
          <w:bCs/>
          <w:sz w:val="24"/>
        </w:rPr>
        <w:t> </w:t>
      </w:r>
      <w:r w:rsidR="00486EC7" w:rsidRPr="00015AAA">
        <w:rPr>
          <w:rFonts w:asciiTheme="minorHAnsi" w:hAnsiTheme="minorHAnsi" w:cstheme="minorHAnsi"/>
          <w:bCs/>
          <w:sz w:val="24"/>
        </w:rPr>
        <w:t>č. 254 uzavřenými se státním podnikem, zásad</w:t>
      </w:r>
      <w:r w:rsidR="00383292">
        <w:rPr>
          <w:rFonts w:asciiTheme="minorHAnsi" w:hAnsiTheme="minorHAnsi" w:cstheme="minorHAnsi"/>
          <w:bCs/>
          <w:sz w:val="24"/>
        </w:rPr>
        <w:t>ami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 o čerpání a</w:t>
      </w:r>
      <w:r w:rsidR="00383292">
        <w:rPr>
          <w:rFonts w:asciiTheme="minorHAnsi" w:hAnsiTheme="minorHAnsi" w:cstheme="minorHAnsi"/>
          <w:bCs/>
          <w:sz w:val="24"/>
        </w:rPr>
        <w:t> </w:t>
      </w:r>
      <w:r w:rsidR="00486EC7" w:rsidRPr="00015AAA">
        <w:rPr>
          <w:rFonts w:asciiTheme="minorHAnsi" w:hAnsiTheme="minorHAnsi" w:cstheme="minorHAnsi"/>
          <w:bCs/>
          <w:sz w:val="24"/>
        </w:rPr>
        <w:t>kontrole poskytnutých prostředků</w:t>
      </w:r>
      <w:r w:rsidR="00486EC7" w:rsidRPr="00015AAA">
        <w:rPr>
          <w:rStyle w:val="Znakapoznpodarou"/>
          <w:rFonts w:asciiTheme="minorHAnsi" w:hAnsiTheme="minorHAnsi" w:cstheme="minorHAnsi"/>
          <w:bCs/>
          <w:sz w:val="24"/>
        </w:rPr>
        <w:footnoteReference w:id="9"/>
      </w:r>
      <w:r w:rsidR="00486EC7" w:rsidRPr="00015AAA">
        <w:rPr>
          <w:rFonts w:asciiTheme="minorHAnsi" w:hAnsiTheme="minorHAnsi" w:cstheme="minorHAnsi"/>
          <w:bCs/>
          <w:sz w:val="24"/>
        </w:rPr>
        <w:t xml:space="preserve"> a </w:t>
      </w:r>
      <w:r w:rsidR="005C432A">
        <w:rPr>
          <w:rFonts w:asciiTheme="minorHAnsi" w:hAnsiTheme="minorHAnsi" w:cstheme="minorHAnsi"/>
          <w:bCs/>
          <w:sz w:val="24"/>
        </w:rPr>
        <w:t>s</w:t>
      </w:r>
      <w:r w:rsidR="00486EC7" w:rsidRPr="00015AAA">
        <w:rPr>
          <w:rFonts w:asciiTheme="minorHAnsi" w:hAnsiTheme="minorHAnsi" w:cstheme="minorHAnsi"/>
          <w:bCs/>
          <w:sz w:val="24"/>
        </w:rPr>
        <w:t>měrnic</w:t>
      </w:r>
      <w:r w:rsidR="007F4A36" w:rsidRPr="00015AAA">
        <w:rPr>
          <w:rFonts w:asciiTheme="minorHAnsi" w:hAnsiTheme="minorHAnsi" w:cstheme="minorHAnsi"/>
          <w:bCs/>
          <w:sz w:val="24"/>
        </w:rPr>
        <w:t>í</w:t>
      </w:r>
      <w:r w:rsidR="00486EC7" w:rsidRPr="00015AAA">
        <w:rPr>
          <w:rFonts w:asciiTheme="minorHAnsi" w:hAnsiTheme="minorHAnsi" w:cstheme="minorHAnsi"/>
          <w:bCs/>
          <w:sz w:val="24"/>
        </w:rPr>
        <w:t xml:space="preserve"> č. 3/2004</w:t>
      </w:r>
      <w:r w:rsidR="00486EC7" w:rsidRPr="00015AAA">
        <w:rPr>
          <w:rStyle w:val="Znakapoznpodarou"/>
          <w:rFonts w:asciiTheme="minorHAnsi" w:hAnsiTheme="minorHAnsi" w:cstheme="minorHAnsi"/>
          <w:bCs/>
          <w:sz w:val="24"/>
        </w:rPr>
        <w:footnoteReference w:id="10"/>
      </w:r>
      <w:r w:rsidR="00486EC7" w:rsidRPr="00015AAA">
        <w:rPr>
          <w:rFonts w:asciiTheme="minorHAnsi" w:hAnsiTheme="minorHAnsi" w:cstheme="minorHAnsi"/>
          <w:bCs/>
          <w:sz w:val="24"/>
        </w:rPr>
        <w:t>.</w:t>
      </w:r>
    </w:p>
    <w:p w14:paraId="7EC99BD2" w14:textId="77777777" w:rsidR="00D10B57" w:rsidRDefault="00D10B57" w:rsidP="00AA625C">
      <w:pPr>
        <w:rPr>
          <w:rFonts w:asciiTheme="minorHAnsi" w:hAnsiTheme="minorHAnsi" w:cstheme="minorHAnsi"/>
          <w:bCs/>
          <w:sz w:val="24"/>
        </w:rPr>
      </w:pPr>
    </w:p>
    <w:p w14:paraId="19CB6006" w14:textId="5B851DA0" w:rsidR="00AA625C" w:rsidRPr="00DC791F" w:rsidRDefault="00AA625C" w:rsidP="00AA625C">
      <w:pPr>
        <w:rPr>
          <w:rFonts w:asciiTheme="minorHAnsi" w:hAnsiTheme="minorHAnsi" w:cstheme="minorHAnsi"/>
          <w:sz w:val="24"/>
        </w:rPr>
      </w:pPr>
      <w:r w:rsidRPr="00DC791F">
        <w:rPr>
          <w:rFonts w:asciiTheme="minorHAnsi" w:hAnsiTheme="minorHAnsi" w:cstheme="minorHAnsi"/>
          <w:bCs/>
          <w:sz w:val="24"/>
        </w:rPr>
        <w:t>V letech 2006 až 2015 MF uhradilo externím firmám za provedení supervizní činnosti zahlazování následků hornické činnosti ve státním podniku DIAMO celkem 59,12 mil. Kč</w:t>
      </w:r>
      <w:r w:rsidR="001B68C8">
        <w:rPr>
          <w:rFonts w:asciiTheme="minorHAnsi" w:hAnsiTheme="minorHAnsi" w:cstheme="minorHAnsi"/>
          <w:bCs/>
          <w:sz w:val="24"/>
        </w:rPr>
        <w:t xml:space="preserve"> z prostředků zvláštního účtu</w:t>
      </w:r>
      <w:r w:rsidRPr="00DC791F">
        <w:rPr>
          <w:rFonts w:asciiTheme="minorHAnsi" w:hAnsiTheme="minorHAnsi" w:cstheme="minorHAnsi"/>
          <w:bCs/>
          <w:sz w:val="24"/>
        </w:rPr>
        <w:t xml:space="preserve">. K tomu státní podnik </w:t>
      </w:r>
      <w:r w:rsidR="001B68C8">
        <w:rPr>
          <w:rFonts w:asciiTheme="minorHAnsi" w:hAnsiTheme="minorHAnsi" w:cstheme="minorHAnsi"/>
          <w:bCs/>
          <w:sz w:val="24"/>
        </w:rPr>
        <w:t>v soula</w:t>
      </w:r>
      <w:r w:rsidR="00AF1A4C">
        <w:rPr>
          <w:rFonts w:asciiTheme="minorHAnsi" w:hAnsiTheme="minorHAnsi" w:cstheme="minorHAnsi"/>
          <w:bCs/>
          <w:sz w:val="24"/>
        </w:rPr>
        <w:t>du se smlouvou uzavřenou s MF a </w:t>
      </w:r>
      <w:r w:rsidR="001B68C8">
        <w:rPr>
          <w:rFonts w:asciiTheme="minorHAnsi" w:hAnsiTheme="minorHAnsi" w:cstheme="minorHAnsi"/>
          <w:bCs/>
          <w:sz w:val="24"/>
        </w:rPr>
        <w:t>zásadami užití a čerpání prostředků zvláštního účtu zajistil externí supervizi a uhradil</w:t>
      </w:r>
      <w:r w:rsidRPr="00DC791F">
        <w:rPr>
          <w:rFonts w:asciiTheme="minorHAnsi" w:hAnsiTheme="minorHAnsi" w:cstheme="minorHAnsi"/>
          <w:bCs/>
          <w:sz w:val="24"/>
        </w:rPr>
        <w:t xml:space="preserve"> za </w:t>
      </w:r>
      <w:r w:rsidR="001B68C8">
        <w:rPr>
          <w:rFonts w:asciiTheme="minorHAnsi" w:hAnsiTheme="minorHAnsi" w:cstheme="minorHAnsi"/>
          <w:bCs/>
          <w:sz w:val="24"/>
        </w:rPr>
        <w:t xml:space="preserve">její provedení </w:t>
      </w:r>
      <w:r w:rsidRPr="00DC791F">
        <w:rPr>
          <w:rFonts w:asciiTheme="minorHAnsi" w:hAnsiTheme="minorHAnsi" w:cstheme="minorHAnsi"/>
          <w:bCs/>
          <w:sz w:val="24"/>
        </w:rPr>
        <w:t>34,09 mil. Kč.</w:t>
      </w:r>
    </w:p>
    <w:p w14:paraId="2A2F7B15" w14:textId="77777777" w:rsidR="00AA625C" w:rsidRPr="00DC791F" w:rsidRDefault="00AA625C" w:rsidP="00AA625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</w:p>
    <w:p w14:paraId="1ABF8CD3" w14:textId="77777777" w:rsidR="00AF1A4C" w:rsidRDefault="00AF1A4C">
      <w:pPr>
        <w:spacing w:after="160" w:line="259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2447CFBC" w14:textId="51754406" w:rsidR="00BD3CED" w:rsidRDefault="006F4CF4" w:rsidP="00BD3CED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S</w:t>
      </w:r>
      <w:r w:rsidR="00BD3CED" w:rsidRPr="00BD3CED">
        <w:rPr>
          <w:rFonts w:asciiTheme="minorHAnsi" w:hAnsiTheme="minorHAnsi" w:cstheme="minorHAnsi"/>
          <w:b/>
          <w:sz w:val="24"/>
        </w:rPr>
        <w:t>eznam zkratek</w:t>
      </w:r>
    </w:p>
    <w:p w14:paraId="52A960E9" w14:textId="77777777" w:rsidR="00C02F99" w:rsidRPr="00BD3CED" w:rsidRDefault="00C02F99" w:rsidP="00BD3CED">
      <w:pPr>
        <w:rPr>
          <w:rFonts w:asciiTheme="minorHAnsi" w:hAnsiTheme="minorHAnsi" w:cstheme="minorHAnsi"/>
          <w:b/>
          <w:sz w:val="24"/>
        </w:rPr>
      </w:pPr>
    </w:p>
    <w:p w14:paraId="71F934DD" w14:textId="24C6C9F4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ATSPL</w:t>
      </w:r>
      <w:r w:rsidRPr="00BD3CED">
        <w:rPr>
          <w:rFonts w:asciiTheme="minorHAnsi" w:hAnsiTheme="minorHAnsi" w:cstheme="minorHAnsi"/>
          <w:sz w:val="24"/>
        </w:rPr>
        <w:tab/>
      </w:r>
      <w:r w:rsidRPr="00B079C3">
        <w:rPr>
          <w:rFonts w:asciiTheme="minorHAnsi" w:hAnsiTheme="minorHAnsi" w:cstheme="minorHAnsi"/>
          <w:i/>
          <w:sz w:val="24"/>
        </w:rPr>
        <w:t>Aktualizovaný technický a sociální projekt likvidace</w:t>
      </w:r>
    </w:p>
    <w:p w14:paraId="1420ACAA" w14:textId="0AC50B0B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 xml:space="preserve">FNM </w:t>
      </w:r>
      <w:r w:rsidRPr="00BD3CED">
        <w:rPr>
          <w:rFonts w:asciiTheme="minorHAnsi" w:hAnsiTheme="minorHAnsi" w:cstheme="minorHAnsi"/>
          <w:sz w:val="24"/>
        </w:rPr>
        <w:tab/>
        <w:t>Fond národního majetku</w:t>
      </w:r>
    </w:p>
    <w:p w14:paraId="448CB599" w14:textId="7C49C9CA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MF</w:t>
      </w:r>
      <w:r w:rsidRPr="00BD3CED">
        <w:rPr>
          <w:rFonts w:asciiTheme="minorHAnsi" w:hAnsiTheme="minorHAnsi" w:cstheme="minorHAnsi"/>
          <w:sz w:val="24"/>
        </w:rPr>
        <w:tab/>
        <w:t>Ministerstvo financí</w:t>
      </w:r>
    </w:p>
    <w:p w14:paraId="651F8AA1" w14:textId="6CAD6214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MPO</w:t>
      </w:r>
      <w:r w:rsidRPr="00BD3CED">
        <w:rPr>
          <w:rFonts w:asciiTheme="minorHAnsi" w:hAnsiTheme="minorHAnsi" w:cstheme="minorHAnsi"/>
          <w:sz w:val="24"/>
        </w:rPr>
        <w:tab/>
        <w:t>Ministerstvo průmyslu a obchodu</w:t>
      </w:r>
    </w:p>
    <w:p w14:paraId="06163522" w14:textId="35C7C085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MŽP</w:t>
      </w:r>
      <w:r w:rsidRPr="00BD3CED">
        <w:rPr>
          <w:rFonts w:asciiTheme="minorHAnsi" w:hAnsiTheme="minorHAnsi" w:cstheme="minorHAnsi"/>
          <w:sz w:val="24"/>
        </w:rPr>
        <w:tab/>
        <w:t>Ministerstvo životního prostředí</w:t>
      </w:r>
    </w:p>
    <w:p w14:paraId="1D010962" w14:textId="086DDE0F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NKÚ</w:t>
      </w:r>
      <w:r w:rsidRPr="00BD3CED">
        <w:rPr>
          <w:rFonts w:asciiTheme="minorHAnsi" w:hAnsiTheme="minorHAnsi" w:cstheme="minorHAnsi"/>
          <w:sz w:val="24"/>
        </w:rPr>
        <w:tab/>
        <w:t>Nejvyšší kontrolní úřad</w:t>
      </w:r>
    </w:p>
    <w:p w14:paraId="4BD1B8A3" w14:textId="2FF4701C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OPŽP</w:t>
      </w:r>
      <w:r w:rsidRPr="00BD3CED">
        <w:rPr>
          <w:rFonts w:asciiTheme="minorHAnsi" w:hAnsiTheme="minorHAnsi" w:cstheme="minorHAnsi"/>
          <w:sz w:val="24"/>
        </w:rPr>
        <w:tab/>
      </w:r>
      <w:r w:rsidR="00611D9E">
        <w:rPr>
          <w:rFonts w:asciiTheme="minorHAnsi" w:hAnsiTheme="minorHAnsi" w:cstheme="minorHAnsi"/>
          <w:sz w:val="24"/>
        </w:rPr>
        <w:t>o</w:t>
      </w:r>
      <w:r w:rsidRPr="00BD3CED">
        <w:rPr>
          <w:rFonts w:asciiTheme="minorHAnsi" w:hAnsiTheme="minorHAnsi" w:cstheme="minorHAnsi"/>
          <w:sz w:val="24"/>
        </w:rPr>
        <w:t xml:space="preserve">perační program </w:t>
      </w:r>
      <w:r w:rsidR="00611D9E" w:rsidRPr="00B079C3">
        <w:rPr>
          <w:rFonts w:asciiTheme="minorHAnsi" w:hAnsiTheme="minorHAnsi" w:cstheme="minorHAnsi"/>
          <w:i/>
          <w:sz w:val="24"/>
        </w:rPr>
        <w:t>Ž</w:t>
      </w:r>
      <w:r w:rsidRPr="00B079C3">
        <w:rPr>
          <w:rFonts w:asciiTheme="minorHAnsi" w:hAnsiTheme="minorHAnsi" w:cstheme="minorHAnsi"/>
          <w:i/>
          <w:sz w:val="24"/>
        </w:rPr>
        <w:t>ivotní prostředí</w:t>
      </w:r>
    </w:p>
    <w:p w14:paraId="47A51C5B" w14:textId="368E5B42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OSFA</w:t>
      </w:r>
      <w:r w:rsidRPr="00BD3CED">
        <w:rPr>
          <w:rFonts w:asciiTheme="minorHAnsi" w:hAnsiTheme="minorHAnsi" w:cstheme="minorHAnsi"/>
          <w:sz w:val="24"/>
        </w:rPr>
        <w:tab/>
      </w:r>
      <w:r w:rsidRPr="00B079C3">
        <w:rPr>
          <w:rFonts w:asciiTheme="minorHAnsi" w:hAnsiTheme="minorHAnsi" w:cstheme="minorHAnsi"/>
          <w:i/>
          <w:sz w:val="24"/>
        </w:rPr>
        <w:t>Operace státních finančních aktiv</w:t>
      </w:r>
    </w:p>
    <w:p w14:paraId="243DB26A" w14:textId="176EBFBD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 xml:space="preserve">GEAM </w:t>
      </w:r>
      <w:r w:rsidR="008372B6">
        <w:rPr>
          <w:rFonts w:asciiTheme="minorHAnsi" w:hAnsiTheme="minorHAnsi" w:cstheme="minorHAnsi"/>
          <w:sz w:val="24"/>
        </w:rPr>
        <w:t>Dolní Rožínka</w:t>
      </w:r>
      <w:r w:rsidR="00992484">
        <w:rPr>
          <w:rFonts w:asciiTheme="minorHAnsi" w:hAnsiTheme="minorHAnsi" w:cstheme="minorHAnsi"/>
          <w:sz w:val="24"/>
        </w:rPr>
        <w:t xml:space="preserve"> </w:t>
      </w:r>
      <w:r w:rsidR="00992484">
        <w:rPr>
          <w:rFonts w:asciiTheme="minorHAnsi" w:hAnsiTheme="minorHAnsi" w:cstheme="minorHAnsi"/>
          <w:sz w:val="24"/>
        </w:rPr>
        <w:tab/>
      </w:r>
      <w:r w:rsidRPr="00BD3CED">
        <w:rPr>
          <w:rFonts w:asciiTheme="minorHAnsi" w:hAnsiTheme="minorHAnsi" w:cstheme="minorHAnsi"/>
          <w:sz w:val="24"/>
        </w:rPr>
        <w:t xml:space="preserve">odštěpný závod GEAM </w:t>
      </w:r>
    </w:p>
    <w:p w14:paraId="6DF260CD" w14:textId="0EBE6A57" w:rsidR="00BD3CED" w:rsidRPr="00BD3CED" w:rsidRDefault="00BD3CED" w:rsidP="00992484">
      <w:pPr>
        <w:tabs>
          <w:tab w:val="left" w:pos="2835"/>
          <w:tab w:val="left" w:pos="4253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ODRA</w:t>
      </w:r>
      <w:r w:rsidR="008372B6">
        <w:rPr>
          <w:rFonts w:asciiTheme="minorHAnsi" w:hAnsiTheme="minorHAnsi" w:cstheme="minorHAnsi"/>
          <w:sz w:val="24"/>
        </w:rPr>
        <w:t xml:space="preserve"> Ostrava</w:t>
      </w:r>
      <w:r w:rsidRPr="00BD3CED">
        <w:rPr>
          <w:rFonts w:asciiTheme="minorHAnsi" w:hAnsiTheme="minorHAnsi" w:cstheme="minorHAnsi"/>
          <w:sz w:val="24"/>
        </w:rPr>
        <w:tab/>
        <w:t xml:space="preserve">odštěpný závod ODRA </w:t>
      </w:r>
    </w:p>
    <w:p w14:paraId="06787F94" w14:textId="01778E9C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SUL</w:t>
      </w:r>
      <w:r w:rsidR="008372B6">
        <w:rPr>
          <w:rFonts w:asciiTheme="minorHAnsi" w:hAnsiTheme="minorHAnsi" w:cstheme="minorHAnsi"/>
          <w:sz w:val="24"/>
        </w:rPr>
        <w:t xml:space="preserve"> Příbram</w:t>
      </w:r>
      <w:r w:rsidR="008372B6">
        <w:rPr>
          <w:rFonts w:asciiTheme="minorHAnsi" w:hAnsiTheme="minorHAnsi" w:cstheme="minorHAnsi"/>
          <w:sz w:val="24"/>
        </w:rPr>
        <w:tab/>
      </w:r>
      <w:r w:rsidRPr="00BD3CED">
        <w:rPr>
          <w:rFonts w:asciiTheme="minorHAnsi" w:hAnsiTheme="minorHAnsi" w:cstheme="minorHAnsi"/>
          <w:sz w:val="24"/>
        </w:rPr>
        <w:t xml:space="preserve">odštěpný závod Správa uranových ložisek </w:t>
      </w:r>
    </w:p>
    <w:p w14:paraId="57C301D8" w14:textId="47667CB4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 xml:space="preserve">TÚU </w:t>
      </w:r>
      <w:r w:rsidR="008372B6">
        <w:rPr>
          <w:rFonts w:asciiTheme="minorHAnsi" w:hAnsiTheme="minorHAnsi" w:cstheme="minorHAnsi"/>
          <w:sz w:val="24"/>
        </w:rPr>
        <w:t>Stráž pod Ralskem</w:t>
      </w:r>
      <w:r>
        <w:rPr>
          <w:rFonts w:asciiTheme="minorHAnsi" w:hAnsiTheme="minorHAnsi" w:cstheme="minorHAnsi"/>
          <w:sz w:val="24"/>
        </w:rPr>
        <w:tab/>
      </w:r>
      <w:r w:rsidRPr="00BD3CED">
        <w:rPr>
          <w:rFonts w:asciiTheme="minorHAnsi" w:hAnsiTheme="minorHAnsi" w:cstheme="minorHAnsi"/>
          <w:sz w:val="24"/>
        </w:rPr>
        <w:t>odštěpný závod Těžba a úprava uranu</w:t>
      </w:r>
    </w:p>
    <w:p w14:paraId="6F2A9455" w14:textId="20201D35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TSPL</w:t>
      </w:r>
      <w:r w:rsidRPr="00BD3CED">
        <w:rPr>
          <w:rFonts w:asciiTheme="minorHAnsi" w:hAnsiTheme="minorHAnsi" w:cstheme="minorHAnsi"/>
          <w:sz w:val="24"/>
        </w:rPr>
        <w:tab/>
      </w:r>
      <w:r w:rsidRPr="00B079C3">
        <w:rPr>
          <w:rFonts w:asciiTheme="minorHAnsi" w:hAnsiTheme="minorHAnsi" w:cstheme="minorHAnsi"/>
          <w:i/>
          <w:sz w:val="24"/>
        </w:rPr>
        <w:t>Technický a sociální projekt likvidace</w:t>
      </w:r>
    </w:p>
    <w:p w14:paraId="4F896B0D" w14:textId="302CEA06" w:rsidR="00BD3CED" w:rsidRPr="00BD3CED" w:rsidRDefault="00BD3CED" w:rsidP="00992484">
      <w:pPr>
        <w:tabs>
          <w:tab w:val="left" w:pos="2835"/>
        </w:tabs>
        <w:rPr>
          <w:rFonts w:asciiTheme="minorHAnsi" w:hAnsiTheme="minorHAnsi" w:cstheme="minorHAnsi"/>
          <w:sz w:val="24"/>
        </w:rPr>
      </w:pPr>
      <w:r w:rsidRPr="00BD3CED">
        <w:rPr>
          <w:rFonts w:asciiTheme="minorHAnsi" w:hAnsiTheme="minorHAnsi" w:cstheme="minorHAnsi"/>
          <w:sz w:val="24"/>
        </w:rPr>
        <w:t>ZNHČ</w:t>
      </w:r>
      <w:r w:rsidRPr="00BD3CED">
        <w:rPr>
          <w:rFonts w:asciiTheme="minorHAnsi" w:hAnsiTheme="minorHAnsi" w:cstheme="minorHAnsi"/>
          <w:sz w:val="24"/>
        </w:rPr>
        <w:tab/>
        <w:t>zahlazování následků hornické činnosti</w:t>
      </w:r>
    </w:p>
    <w:p w14:paraId="65DCBA65" w14:textId="77777777" w:rsidR="0065119E" w:rsidRPr="00BD3CED" w:rsidRDefault="0065119E">
      <w:pPr>
        <w:rPr>
          <w:rFonts w:asciiTheme="minorHAnsi" w:hAnsiTheme="minorHAnsi" w:cstheme="minorHAnsi"/>
          <w:sz w:val="24"/>
        </w:rPr>
      </w:pPr>
    </w:p>
    <w:sectPr w:rsidR="0065119E" w:rsidRPr="00BD3CED" w:rsidSect="005038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BA2B9" w14:textId="77777777" w:rsidR="00744C5F" w:rsidRDefault="00744C5F" w:rsidP="0065119E">
      <w:r>
        <w:separator/>
      </w:r>
    </w:p>
  </w:endnote>
  <w:endnote w:type="continuationSeparator" w:id="0">
    <w:p w14:paraId="5E269ECB" w14:textId="77777777" w:rsidR="00744C5F" w:rsidRDefault="00744C5F" w:rsidP="0065119E">
      <w:r>
        <w:continuationSeparator/>
      </w:r>
    </w:p>
  </w:endnote>
  <w:endnote w:type="continuationNotice" w:id="1">
    <w:p w14:paraId="2460F8E7" w14:textId="77777777" w:rsidR="00B21849" w:rsidRDefault="00B21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9571" w14:textId="77777777" w:rsidR="00B44B8A" w:rsidRDefault="00B44B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075920"/>
      <w:docPartObj>
        <w:docPartGallery w:val="Page Numbers (Bottom of Page)"/>
        <w:docPartUnique/>
      </w:docPartObj>
    </w:sdtPr>
    <w:sdtEndPr/>
    <w:sdtContent>
      <w:p w14:paraId="4E84C0B1" w14:textId="31BDCE2A" w:rsidR="00DC791F" w:rsidRDefault="00DC791F" w:rsidP="009924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8A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7E25" w14:textId="77777777" w:rsidR="00B44B8A" w:rsidRDefault="00B44B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B6424" w14:textId="77777777" w:rsidR="00744C5F" w:rsidRDefault="00744C5F" w:rsidP="0065119E">
      <w:r>
        <w:separator/>
      </w:r>
    </w:p>
  </w:footnote>
  <w:footnote w:type="continuationSeparator" w:id="0">
    <w:p w14:paraId="38E65B86" w14:textId="77777777" w:rsidR="00744C5F" w:rsidRDefault="00744C5F" w:rsidP="0065119E">
      <w:r>
        <w:continuationSeparator/>
      </w:r>
    </w:p>
  </w:footnote>
  <w:footnote w:type="continuationNotice" w:id="1">
    <w:p w14:paraId="3ABB521E" w14:textId="77777777" w:rsidR="00B21849" w:rsidRDefault="00B21849"/>
  </w:footnote>
  <w:footnote w:id="2">
    <w:p w14:paraId="4CE4C4BE" w14:textId="64B96A9D" w:rsidR="0065119E" w:rsidRPr="00992484" w:rsidRDefault="0065119E" w:rsidP="0099248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92484">
        <w:rPr>
          <w:rStyle w:val="Znakapoznpodarou"/>
          <w:rFonts w:ascii="Calibri" w:hAnsi="Calibri" w:cs="Calibri"/>
        </w:rPr>
        <w:footnoteRef/>
      </w:r>
      <w:r w:rsidRPr="00992484">
        <w:rPr>
          <w:rFonts w:ascii="Calibri" w:hAnsi="Calibri" w:cs="Calibri"/>
        </w:rPr>
        <w:t xml:space="preserve"> </w:t>
      </w:r>
      <w:r w:rsidR="00992484">
        <w:rPr>
          <w:rFonts w:ascii="Calibri" w:hAnsi="Calibri" w:cs="Calibri"/>
        </w:rPr>
        <w:tab/>
      </w:r>
      <w:r w:rsidRPr="00992484">
        <w:rPr>
          <w:rFonts w:ascii="Calibri" w:hAnsi="Calibri" w:cs="Calibri"/>
          <w:lang w:eastAsia="cs-CZ"/>
        </w:rPr>
        <w:t>Prostředky FNM, které přešly na stát, jsou spolu s finančními prostředky z výnosu prodeje privatizovaného majetku a ze zisku z účasti státu v obchodních společnostech vedeny MF na zvláštních účtech a nejsou součástí státního rozpočtu.</w:t>
      </w:r>
    </w:p>
  </w:footnote>
  <w:footnote w:id="3">
    <w:p w14:paraId="7F5C8BA8" w14:textId="383BE5F2" w:rsidR="0065119E" w:rsidRPr="00992484" w:rsidRDefault="0065119E" w:rsidP="0099248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92484">
        <w:rPr>
          <w:rStyle w:val="Znakapoznpodarou"/>
          <w:rFonts w:ascii="Calibri" w:hAnsi="Calibri" w:cs="Calibri"/>
        </w:rPr>
        <w:footnoteRef/>
      </w:r>
      <w:r w:rsidRPr="00992484">
        <w:rPr>
          <w:rFonts w:ascii="Calibri" w:hAnsi="Calibri" w:cs="Calibri"/>
        </w:rPr>
        <w:t xml:space="preserve"> </w:t>
      </w:r>
      <w:r w:rsidR="00992484">
        <w:rPr>
          <w:rFonts w:ascii="Calibri" w:hAnsi="Calibri" w:cs="Calibri"/>
        </w:rPr>
        <w:tab/>
      </w:r>
      <w:r w:rsidRPr="00992484">
        <w:rPr>
          <w:rFonts w:ascii="Calibri" w:hAnsi="Calibri" w:cs="Calibri"/>
        </w:rPr>
        <w:t>Zákon č. 77/1997 Sb., o státním podniku</w:t>
      </w:r>
      <w:r w:rsidR="00D803F7" w:rsidRPr="00992484">
        <w:rPr>
          <w:rFonts w:ascii="Calibri" w:hAnsi="Calibri" w:cs="Calibri"/>
        </w:rPr>
        <w:t>.</w:t>
      </w:r>
    </w:p>
  </w:footnote>
  <w:footnote w:id="4">
    <w:p w14:paraId="1C6695AF" w14:textId="04E5AEA9" w:rsidR="0065119E" w:rsidRPr="00992484" w:rsidRDefault="0065119E" w:rsidP="0099248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92484">
        <w:rPr>
          <w:rStyle w:val="Znakapoznpodarou"/>
          <w:rFonts w:ascii="Calibri" w:hAnsi="Calibri" w:cs="Calibri"/>
        </w:rPr>
        <w:footnoteRef/>
      </w:r>
      <w:r w:rsidRPr="00992484">
        <w:rPr>
          <w:rFonts w:ascii="Calibri" w:hAnsi="Calibri" w:cs="Calibri"/>
        </w:rPr>
        <w:t xml:space="preserve"> </w:t>
      </w:r>
      <w:r w:rsidR="00992484">
        <w:rPr>
          <w:rFonts w:ascii="Calibri" w:hAnsi="Calibri" w:cs="Calibri"/>
        </w:rPr>
        <w:tab/>
      </w:r>
      <w:r w:rsidRPr="00992484">
        <w:rPr>
          <w:rFonts w:ascii="Calibri" w:hAnsi="Calibri" w:cs="Calibri"/>
        </w:rPr>
        <w:t>Zákon č. 178/2005 Sb., o zrušení Fondu národního majetku České republiky a o působnosti Ministerstva financí při privatizaci majetku České republiky (zákon o zrušení Fondu národního majetku); zákon č.</w:t>
      </w:r>
      <w:r w:rsidR="00EC6AA5">
        <w:rPr>
          <w:rFonts w:ascii="Calibri" w:hAnsi="Calibri" w:cs="Calibri"/>
        </w:rPr>
        <w:t> 179/2005 </w:t>
      </w:r>
      <w:r w:rsidRPr="00992484">
        <w:rPr>
          <w:rFonts w:ascii="Calibri" w:hAnsi="Calibri" w:cs="Calibri"/>
        </w:rPr>
        <w:t>Sb., kterým se mění některé zákony v souvislosti s přijetím zákona o zrušení Fondu národního majetku České republiky.</w:t>
      </w:r>
    </w:p>
  </w:footnote>
  <w:footnote w:id="5">
    <w:p w14:paraId="2689128C" w14:textId="01C00445" w:rsidR="0065119E" w:rsidRPr="00992484" w:rsidRDefault="0065119E" w:rsidP="00992484">
      <w:pPr>
        <w:widowControl w:val="0"/>
        <w:ind w:left="284" w:hanging="284"/>
        <w:rPr>
          <w:rFonts w:ascii="Calibri" w:hAnsi="Calibri" w:cs="Calibri"/>
          <w:sz w:val="20"/>
          <w:szCs w:val="20"/>
        </w:rPr>
      </w:pPr>
      <w:r w:rsidRPr="00992484">
        <w:rPr>
          <w:rStyle w:val="Znakapoznpodarou"/>
          <w:rFonts w:ascii="Calibri" w:hAnsi="Calibri" w:cs="Calibri"/>
          <w:sz w:val="20"/>
          <w:szCs w:val="20"/>
        </w:rPr>
        <w:footnoteRef/>
      </w:r>
      <w:r w:rsidRPr="00992484">
        <w:rPr>
          <w:rFonts w:ascii="Calibri" w:hAnsi="Calibri" w:cs="Calibri"/>
          <w:sz w:val="20"/>
          <w:szCs w:val="20"/>
        </w:rPr>
        <w:t xml:space="preserve"> </w:t>
      </w:r>
      <w:r w:rsidR="00992484">
        <w:rPr>
          <w:rFonts w:ascii="Calibri" w:hAnsi="Calibri" w:cs="Calibri"/>
          <w:sz w:val="20"/>
          <w:szCs w:val="20"/>
        </w:rPr>
        <w:tab/>
      </w:r>
      <w:r w:rsidRPr="00992484">
        <w:rPr>
          <w:rFonts w:ascii="Calibri" w:hAnsi="Calibri" w:cs="Calibri"/>
          <w:bCs/>
          <w:sz w:val="20"/>
          <w:szCs w:val="20"/>
        </w:rPr>
        <w:t>Zákon č. 44/1988 Sb., o ochraně a využití nerostného bohatst</w:t>
      </w:r>
      <w:r w:rsidR="00C7520F" w:rsidRPr="00992484">
        <w:rPr>
          <w:rFonts w:ascii="Calibri" w:hAnsi="Calibri" w:cs="Calibri"/>
          <w:bCs/>
          <w:sz w:val="20"/>
          <w:szCs w:val="20"/>
        </w:rPr>
        <w:t>ví</w:t>
      </w:r>
      <w:r w:rsidRPr="00992484">
        <w:rPr>
          <w:rFonts w:ascii="Calibri" w:hAnsi="Calibri" w:cs="Calibri"/>
          <w:bCs/>
          <w:sz w:val="20"/>
          <w:szCs w:val="20"/>
        </w:rPr>
        <w:t xml:space="preserve"> (horní zákon)</w:t>
      </w:r>
      <w:r w:rsidR="00D803F7" w:rsidRPr="00992484">
        <w:rPr>
          <w:rFonts w:ascii="Calibri" w:hAnsi="Calibri" w:cs="Calibri"/>
          <w:bCs/>
          <w:sz w:val="20"/>
          <w:szCs w:val="20"/>
        </w:rPr>
        <w:t>.</w:t>
      </w:r>
      <w:r w:rsidRPr="00992484">
        <w:rPr>
          <w:rFonts w:ascii="Calibri" w:hAnsi="Calibri" w:cs="Calibri"/>
          <w:bCs/>
          <w:sz w:val="20"/>
          <w:szCs w:val="20"/>
        </w:rPr>
        <w:t xml:space="preserve"> </w:t>
      </w:r>
    </w:p>
  </w:footnote>
  <w:footnote w:id="6">
    <w:p w14:paraId="0BC4C44D" w14:textId="570FA5A1" w:rsidR="004B04A2" w:rsidRPr="00857580" w:rsidRDefault="004B04A2" w:rsidP="00EC6AA5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857580">
        <w:rPr>
          <w:rStyle w:val="Znakapoznpodarou"/>
          <w:rFonts w:asciiTheme="minorHAnsi" w:hAnsiTheme="minorHAnsi"/>
        </w:rPr>
        <w:footnoteRef/>
      </w:r>
      <w:r w:rsidRPr="00857580">
        <w:rPr>
          <w:rFonts w:asciiTheme="minorHAnsi" w:hAnsiTheme="minorHAnsi"/>
        </w:rPr>
        <w:t xml:space="preserve"> </w:t>
      </w:r>
      <w:r w:rsidR="00EC6AA5">
        <w:rPr>
          <w:rFonts w:asciiTheme="minorHAnsi" w:hAnsiTheme="minorHAnsi"/>
        </w:rPr>
        <w:tab/>
      </w:r>
      <w:r w:rsidR="003854BF">
        <w:rPr>
          <w:rFonts w:asciiTheme="minorHAnsi" w:hAnsiTheme="minorHAnsi"/>
        </w:rPr>
        <w:t>Č</w:t>
      </w:r>
      <w:r w:rsidRPr="00857580">
        <w:rPr>
          <w:rFonts w:asciiTheme="minorHAnsi" w:hAnsiTheme="minorHAnsi"/>
        </w:rPr>
        <w:t>ástka nezahrnuje prostředky Evropské unie poskytnuté státnímu podniku DIAMO z OPŽP, které nebyly předmětem kontroly</w:t>
      </w:r>
      <w:r w:rsidR="009A57E7" w:rsidRPr="00857580">
        <w:rPr>
          <w:rFonts w:asciiTheme="minorHAnsi" w:hAnsiTheme="minorHAnsi"/>
        </w:rPr>
        <w:t>.</w:t>
      </w:r>
    </w:p>
  </w:footnote>
  <w:footnote w:id="7">
    <w:p w14:paraId="11E70EAD" w14:textId="6B9119E5" w:rsidR="001858B9" w:rsidRPr="00857580" w:rsidRDefault="001858B9" w:rsidP="00992484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857580">
        <w:rPr>
          <w:rStyle w:val="Znakapoznpodarou"/>
          <w:rFonts w:asciiTheme="minorHAnsi" w:hAnsiTheme="minorHAnsi"/>
        </w:rPr>
        <w:footnoteRef/>
      </w:r>
      <w:r w:rsidRPr="00857580">
        <w:rPr>
          <w:rFonts w:asciiTheme="minorHAnsi" w:hAnsiTheme="minorHAnsi"/>
        </w:rPr>
        <w:t xml:space="preserve"> </w:t>
      </w:r>
      <w:r w:rsidR="00992484">
        <w:rPr>
          <w:rFonts w:asciiTheme="minorHAnsi" w:hAnsiTheme="minorHAnsi"/>
        </w:rPr>
        <w:tab/>
      </w:r>
      <w:r w:rsidR="00945C56" w:rsidRPr="00857580">
        <w:rPr>
          <w:rFonts w:asciiTheme="minorHAnsi" w:hAnsiTheme="minorHAnsi"/>
        </w:rPr>
        <w:t>Dotaci na sociálně zdravotní výdaje poskytuje MPO státnímu podniku DIAM</w:t>
      </w:r>
      <w:r w:rsidR="00992484">
        <w:rPr>
          <w:rFonts w:asciiTheme="minorHAnsi" w:hAnsiTheme="minorHAnsi"/>
        </w:rPr>
        <w:t>O na základě zákona č. 154/2002 </w:t>
      </w:r>
      <w:r w:rsidR="00945C56" w:rsidRPr="00857580">
        <w:rPr>
          <w:rFonts w:asciiTheme="minorHAnsi" w:hAnsiTheme="minorHAnsi"/>
        </w:rPr>
        <w:t>S</w:t>
      </w:r>
      <w:r w:rsidR="00857580">
        <w:rPr>
          <w:rFonts w:asciiTheme="minorHAnsi" w:hAnsiTheme="minorHAnsi"/>
        </w:rPr>
        <w:t>b</w:t>
      </w:r>
      <w:r w:rsidR="00945C56" w:rsidRPr="00857580">
        <w:rPr>
          <w:rFonts w:asciiTheme="minorHAnsi" w:hAnsiTheme="minorHAnsi"/>
        </w:rPr>
        <w:t>., o financování některých sociálně zdravotních dávek horníků</w:t>
      </w:r>
      <w:r w:rsidR="00BF731A">
        <w:rPr>
          <w:rFonts w:asciiTheme="minorHAnsi" w:hAnsiTheme="minorHAnsi"/>
        </w:rPr>
        <w:t>,</w:t>
      </w:r>
      <w:r w:rsidR="00015AAA" w:rsidRPr="00857580">
        <w:rPr>
          <w:rFonts w:asciiTheme="minorHAnsi" w:hAnsiTheme="minorHAnsi"/>
        </w:rPr>
        <w:t xml:space="preserve"> a usnesení vlá</w:t>
      </w:r>
      <w:r w:rsidR="00992484">
        <w:rPr>
          <w:rFonts w:asciiTheme="minorHAnsi" w:hAnsiTheme="minorHAnsi"/>
        </w:rPr>
        <w:t xml:space="preserve">dy </w:t>
      </w:r>
      <w:r w:rsidR="00BF731A">
        <w:rPr>
          <w:rFonts w:asciiTheme="minorHAnsi" w:hAnsiTheme="minorHAnsi"/>
        </w:rPr>
        <w:t xml:space="preserve">ČR </w:t>
      </w:r>
      <w:r w:rsidR="00992484">
        <w:rPr>
          <w:rFonts w:asciiTheme="minorHAnsi" w:hAnsiTheme="minorHAnsi"/>
        </w:rPr>
        <w:t>ze dne 12. </w:t>
      </w:r>
      <w:r w:rsidR="00857580">
        <w:rPr>
          <w:rFonts w:asciiTheme="minorHAnsi" w:hAnsiTheme="minorHAnsi"/>
        </w:rPr>
        <w:t>listopadu 2003 č. </w:t>
      </w:r>
      <w:r w:rsidR="00015AAA" w:rsidRPr="00857580">
        <w:rPr>
          <w:rFonts w:asciiTheme="minorHAnsi" w:hAnsiTheme="minorHAnsi"/>
        </w:rPr>
        <w:t xml:space="preserve">1128, </w:t>
      </w:r>
      <w:r w:rsidR="00015AAA" w:rsidRPr="00D15AF4">
        <w:rPr>
          <w:rFonts w:asciiTheme="minorHAnsi" w:hAnsiTheme="minorHAnsi"/>
          <w:i/>
        </w:rPr>
        <w:t>o Programu dokončení restrukturalizace uhelného hornictví</w:t>
      </w:r>
      <w:r w:rsidR="00015AAA" w:rsidRPr="00857580">
        <w:rPr>
          <w:rFonts w:asciiTheme="minorHAnsi" w:hAnsiTheme="minorHAnsi"/>
        </w:rPr>
        <w:t xml:space="preserve">. </w:t>
      </w:r>
      <w:r w:rsidR="00945C56" w:rsidRPr="00857580">
        <w:rPr>
          <w:rFonts w:asciiTheme="minorHAnsi" w:hAnsiTheme="minorHAnsi"/>
        </w:rPr>
        <w:t xml:space="preserve">Jedná se </w:t>
      </w:r>
      <w:r w:rsidRPr="00857580">
        <w:rPr>
          <w:rFonts w:asciiTheme="minorHAnsi" w:hAnsiTheme="minorHAnsi"/>
        </w:rPr>
        <w:t>např.</w:t>
      </w:r>
      <w:r w:rsidR="00945C56" w:rsidRPr="00857580">
        <w:rPr>
          <w:rFonts w:asciiTheme="minorHAnsi" w:hAnsiTheme="minorHAnsi"/>
        </w:rPr>
        <w:t xml:space="preserve"> o</w:t>
      </w:r>
      <w:r w:rsidR="00992484">
        <w:rPr>
          <w:rFonts w:asciiTheme="minorHAnsi" w:hAnsiTheme="minorHAnsi"/>
        </w:rPr>
        <w:t> </w:t>
      </w:r>
      <w:r w:rsidRPr="00857580">
        <w:rPr>
          <w:rFonts w:asciiTheme="minorHAnsi" w:hAnsiTheme="minorHAnsi"/>
        </w:rPr>
        <w:t>zvláštní zdravotní příspěvek horníkům, doplatek do průměrného výdělku</w:t>
      </w:r>
      <w:r w:rsidR="00AF1A4C" w:rsidRPr="00857580">
        <w:rPr>
          <w:rFonts w:asciiTheme="minorHAnsi" w:hAnsiTheme="minorHAnsi"/>
        </w:rPr>
        <w:t>, odškodnění pracovních úrazů a </w:t>
      </w:r>
      <w:r w:rsidRPr="00857580">
        <w:rPr>
          <w:rFonts w:asciiTheme="minorHAnsi" w:hAnsiTheme="minorHAnsi"/>
        </w:rPr>
        <w:t xml:space="preserve">nemocí z povolání, </w:t>
      </w:r>
      <w:r w:rsidR="00BF731A">
        <w:rPr>
          <w:rFonts w:asciiTheme="minorHAnsi" w:hAnsiTheme="minorHAnsi"/>
        </w:rPr>
        <w:t>o </w:t>
      </w:r>
      <w:r w:rsidRPr="00857580">
        <w:rPr>
          <w:rFonts w:asciiTheme="minorHAnsi" w:hAnsiTheme="minorHAnsi"/>
        </w:rPr>
        <w:t>náhrad</w:t>
      </w:r>
      <w:r w:rsidR="00BF731A">
        <w:rPr>
          <w:rFonts w:asciiTheme="minorHAnsi" w:hAnsiTheme="minorHAnsi"/>
        </w:rPr>
        <w:t>u</w:t>
      </w:r>
      <w:r w:rsidRPr="00857580">
        <w:rPr>
          <w:rFonts w:asciiTheme="minorHAnsi" w:hAnsiTheme="minorHAnsi"/>
        </w:rPr>
        <w:t xml:space="preserve"> za ztrátu výdělku</w:t>
      </w:r>
      <w:r w:rsidR="00015AAA" w:rsidRPr="00857580">
        <w:rPr>
          <w:rFonts w:asciiTheme="minorHAnsi" w:hAnsiTheme="minorHAnsi"/>
        </w:rPr>
        <w:t>.</w:t>
      </w:r>
    </w:p>
  </w:footnote>
  <w:footnote w:id="8">
    <w:p w14:paraId="7008532F" w14:textId="2C08AE45" w:rsidR="00486EC7" w:rsidRPr="00B25851" w:rsidRDefault="00486EC7" w:rsidP="0099248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25851">
        <w:rPr>
          <w:rStyle w:val="Znakapoznpodarou"/>
          <w:rFonts w:asciiTheme="minorHAnsi" w:hAnsiTheme="minorHAnsi" w:cstheme="minorHAnsi"/>
        </w:rPr>
        <w:footnoteRef/>
      </w:r>
      <w:r w:rsidRPr="00B25851">
        <w:rPr>
          <w:rFonts w:asciiTheme="minorHAnsi" w:hAnsiTheme="minorHAnsi" w:cstheme="minorHAnsi"/>
        </w:rPr>
        <w:t xml:space="preserve"> </w:t>
      </w:r>
      <w:r w:rsidR="00992484">
        <w:rPr>
          <w:rFonts w:asciiTheme="minorHAnsi" w:hAnsiTheme="minorHAnsi" w:cstheme="minorHAnsi"/>
        </w:rPr>
        <w:tab/>
      </w:r>
      <w:r w:rsidRPr="00B25851">
        <w:rPr>
          <w:rFonts w:asciiTheme="minorHAnsi" w:hAnsiTheme="minorHAnsi" w:cstheme="minorHAnsi"/>
        </w:rPr>
        <w:t>Smlouva č. 247, o úhradě nákladů na likvidaci ekologické zátěže po chemické těžbě uranu ve Stráži pod Ralskem</w:t>
      </w:r>
      <w:r w:rsidR="005C432A">
        <w:rPr>
          <w:rFonts w:asciiTheme="minorHAnsi" w:hAnsiTheme="minorHAnsi" w:cstheme="minorHAnsi"/>
        </w:rPr>
        <w:t>,</w:t>
      </w:r>
      <w:r w:rsidRPr="00B25851">
        <w:rPr>
          <w:rFonts w:asciiTheme="minorHAnsi" w:hAnsiTheme="minorHAnsi" w:cstheme="minorHAnsi"/>
        </w:rPr>
        <w:t xml:space="preserve"> a smlouv</w:t>
      </w:r>
      <w:r w:rsidR="005C432A">
        <w:rPr>
          <w:rFonts w:asciiTheme="minorHAnsi" w:hAnsiTheme="minorHAnsi" w:cstheme="minorHAnsi"/>
        </w:rPr>
        <w:t>a</w:t>
      </w:r>
      <w:r w:rsidRPr="00B25851">
        <w:rPr>
          <w:rFonts w:asciiTheme="minorHAnsi" w:hAnsiTheme="minorHAnsi" w:cstheme="minorHAnsi"/>
        </w:rPr>
        <w:t xml:space="preserve"> č. 254, o úhradě nákladů a výdajů spojených s řešením důs</w:t>
      </w:r>
      <w:r w:rsidR="00AF1A4C" w:rsidRPr="00B25851">
        <w:rPr>
          <w:rFonts w:asciiTheme="minorHAnsi" w:hAnsiTheme="minorHAnsi" w:cstheme="minorHAnsi"/>
        </w:rPr>
        <w:t>ledků po chemické těžbě uranu a </w:t>
      </w:r>
      <w:r w:rsidRPr="00B25851">
        <w:rPr>
          <w:rFonts w:asciiTheme="minorHAnsi" w:hAnsiTheme="minorHAnsi" w:cstheme="minorHAnsi"/>
        </w:rPr>
        <w:t>souvisejících činností v oblasti Stráže pod Ralskem</w:t>
      </w:r>
      <w:r w:rsidR="00AF1A4C" w:rsidRPr="00B25851">
        <w:rPr>
          <w:rFonts w:asciiTheme="minorHAnsi" w:hAnsiTheme="minorHAnsi" w:cstheme="minorHAnsi"/>
        </w:rPr>
        <w:t>.</w:t>
      </w:r>
    </w:p>
  </w:footnote>
  <w:footnote w:id="9">
    <w:p w14:paraId="0A6C1941" w14:textId="4D508033" w:rsidR="00486EC7" w:rsidRPr="00B25851" w:rsidRDefault="00486EC7" w:rsidP="0099248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25851">
        <w:rPr>
          <w:rStyle w:val="Znakapoznpodarou"/>
          <w:rFonts w:asciiTheme="minorHAnsi" w:hAnsiTheme="minorHAnsi" w:cstheme="minorHAnsi"/>
        </w:rPr>
        <w:footnoteRef/>
      </w:r>
      <w:r w:rsidRPr="00B25851">
        <w:rPr>
          <w:rFonts w:asciiTheme="minorHAnsi" w:hAnsiTheme="minorHAnsi" w:cstheme="minorHAnsi"/>
        </w:rPr>
        <w:t xml:space="preserve"> </w:t>
      </w:r>
      <w:r w:rsidR="00992484">
        <w:rPr>
          <w:rFonts w:asciiTheme="minorHAnsi" w:hAnsiTheme="minorHAnsi" w:cstheme="minorHAnsi"/>
        </w:rPr>
        <w:tab/>
      </w:r>
      <w:r w:rsidRPr="00B25851">
        <w:rPr>
          <w:rFonts w:asciiTheme="minorHAnsi" w:hAnsiTheme="minorHAnsi" w:cstheme="minorHAnsi"/>
        </w:rPr>
        <w:t>Zásady čerpání a kontroly užití finančních prostředků uvolněných z výnosů pr</w:t>
      </w:r>
      <w:r w:rsidR="006E2B7C" w:rsidRPr="00B25851">
        <w:rPr>
          <w:rFonts w:asciiTheme="minorHAnsi" w:hAnsiTheme="minorHAnsi" w:cstheme="minorHAnsi"/>
        </w:rPr>
        <w:t>odeje privatizovaného majetku a </w:t>
      </w:r>
      <w:r w:rsidRPr="00B25851">
        <w:rPr>
          <w:rFonts w:asciiTheme="minorHAnsi" w:hAnsiTheme="minorHAnsi" w:cstheme="minorHAnsi"/>
        </w:rPr>
        <w:t>zisku z účasti státu v obchodních společnostech, a to na úhradu nákladů vynaložených na odstraňování ekologických škod v podniku DIAMO, státní podnik</w:t>
      </w:r>
      <w:r w:rsidR="005C432A">
        <w:rPr>
          <w:rFonts w:asciiTheme="minorHAnsi" w:hAnsiTheme="minorHAnsi" w:cstheme="minorHAnsi"/>
        </w:rPr>
        <w:t>.</w:t>
      </w:r>
    </w:p>
  </w:footnote>
  <w:footnote w:id="10">
    <w:p w14:paraId="70118ABB" w14:textId="7512E2D6" w:rsidR="00486EC7" w:rsidRPr="00B25851" w:rsidRDefault="00486EC7" w:rsidP="00992484">
      <w:pPr>
        <w:pStyle w:val="Textpoznpodarou"/>
        <w:ind w:left="284" w:hanging="284"/>
        <w:rPr>
          <w:rFonts w:asciiTheme="minorHAnsi" w:hAnsiTheme="minorHAnsi" w:cstheme="minorHAnsi"/>
        </w:rPr>
      </w:pPr>
      <w:r w:rsidRPr="00B25851">
        <w:rPr>
          <w:rStyle w:val="Znakapoznpodarou"/>
          <w:rFonts w:asciiTheme="minorHAnsi" w:hAnsiTheme="minorHAnsi" w:cstheme="minorHAnsi"/>
        </w:rPr>
        <w:footnoteRef/>
      </w:r>
      <w:r w:rsidRPr="00B25851">
        <w:rPr>
          <w:rFonts w:asciiTheme="minorHAnsi" w:hAnsiTheme="minorHAnsi" w:cstheme="minorHAnsi"/>
        </w:rPr>
        <w:t xml:space="preserve"> </w:t>
      </w:r>
      <w:r w:rsidR="00992484">
        <w:rPr>
          <w:rFonts w:asciiTheme="minorHAnsi" w:hAnsiTheme="minorHAnsi" w:cstheme="minorHAnsi"/>
        </w:rPr>
        <w:tab/>
      </w:r>
      <w:r w:rsidRPr="00B25851">
        <w:rPr>
          <w:rFonts w:asciiTheme="minorHAnsi" w:hAnsiTheme="minorHAnsi" w:cstheme="minorHAnsi"/>
        </w:rPr>
        <w:t>Směrnice FNM a MŽP pro přípravu a realizaci zakázek řešících ekologické závazky při privatizaci</w:t>
      </w:r>
      <w:r w:rsidR="00AF1A4C" w:rsidRPr="00B25851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CF71" w14:textId="77777777" w:rsidR="00B44B8A" w:rsidRDefault="00B44B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38AC" w14:textId="77777777" w:rsidR="00B21849" w:rsidRDefault="00B218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57FD" w14:textId="77777777" w:rsidR="00B44B8A" w:rsidRDefault="00B44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92CDA0"/>
    <w:lvl w:ilvl="0">
      <w:numFmt w:val="bullet"/>
      <w:lvlText w:val="*"/>
      <w:lvlJc w:val="left"/>
    </w:lvl>
  </w:abstractNum>
  <w:abstractNum w:abstractNumId="1">
    <w:nsid w:val="2B0809EE"/>
    <w:multiLevelType w:val="hybridMultilevel"/>
    <w:tmpl w:val="85E88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2EF"/>
    <w:multiLevelType w:val="hybridMultilevel"/>
    <w:tmpl w:val="1644AEF6"/>
    <w:lvl w:ilvl="0" w:tplc="BE16C1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504C0"/>
    <w:multiLevelType w:val="hybridMultilevel"/>
    <w:tmpl w:val="E3D4D5D2"/>
    <w:lvl w:ilvl="0" w:tplc="2BF2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96818"/>
    <w:multiLevelType w:val="hybridMultilevel"/>
    <w:tmpl w:val="4BF20184"/>
    <w:lvl w:ilvl="0" w:tplc="2BF2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959C4"/>
    <w:multiLevelType w:val="hybridMultilevel"/>
    <w:tmpl w:val="D9C61A06"/>
    <w:lvl w:ilvl="0" w:tplc="5D089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E"/>
    <w:rsid w:val="00010741"/>
    <w:rsid w:val="00015AAA"/>
    <w:rsid w:val="000250EB"/>
    <w:rsid w:val="00032986"/>
    <w:rsid w:val="0006312E"/>
    <w:rsid w:val="00074A16"/>
    <w:rsid w:val="000A7D65"/>
    <w:rsid w:val="000C2537"/>
    <w:rsid w:val="000E73E2"/>
    <w:rsid w:val="000F24CE"/>
    <w:rsid w:val="00136D0E"/>
    <w:rsid w:val="001468C5"/>
    <w:rsid w:val="001611AF"/>
    <w:rsid w:val="001858B9"/>
    <w:rsid w:val="00185931"/>
    <w:rsid w:val="001A6F0E"/>
    <w:rsid w:val="001B68C8"/>
    <w:rsid w:val="001E65F1"/>
    <w:rsid w:val="00202416"/>
    <w:rsid w:val="002250A3"/>
    <w:rsid w:val="00241F1A"/>
    <w:rsid w:val="002509CB"/>
    <w:rsid w:val="00272C50"/>
    <w:rsid w:val="0028677F"/>
    <w:rsid w:val="002A7C6A"/>
    <w:rsid w:val="002B138E"/>
    <w:rsid w:val="00315C2E"/>
    <w:rsid w:val="003447E5"/>
    <w:rsid w:val="00347E53"/>
    <w:rsid w:val="00353623"/>
    <w:rsid w:val="00383292"/>
    <w:rsid w:val="003854BF"/>
    <w:rsid w:val="00392F49"/>
    <w:rsid w:val="003B0C30"/>
    <w:rsid w:val="003B1174"/>
    <w:rsid w:val="003E1AA1"/>
    <w:rsid w:val="00421D59"/>
    <w:rsid w:val="00437874"/>
    <w:rsid w:val="00486EC7"/>
    <w:rsid w:val="004B04A2"/>
    <w:rsid w:val="004D38A3"/>
    <w:rsid w:val="004E0ADA"/>
    <w:rsid w:val="004F4A9F"/>
    <w:rsid w:val="004F7979"/>
    <w:rsid w:val="00503812"/>
    <w:rsid w:val="0050653B"/>
    <w:rsid w:val="00531FAC"/>
    <w:rsid w:val="0054478E"/>
    <w:rsid w:val="0054794C"/>
    <w:rsid w:val="00550781"/>
    <w:rsid w:val="00580B66"/>
    <w:rsid w:val="005A219B"/>
    <w:rsid w:val="005C432A"/>
    <w:rsid w:val="005C441A"/>
    <w:rsid w:val="005D41EC"/>
    <w:rsid w:val="00611D9E"/>
    <w:rsid w:val="00650004"/>
    <w:rsid w:val="00650619"/>
    <w:rsid w:val="0065119E"/>
    <w:rsid w:val="00672216"/>
    <w:rsid w:val="006D3532"/>
    <w:rsid w:val="006E2B7C"/>
    <w:rsid w:val="006E6F64"/>
    <w:rsid w:val="006F4CF4"/>
    <w:rsid w:val="007258D9"/>
    <w:rsid w:val="00732554"/>
    <w:rsid w:val="00744C5F"/>
    <w:rsid w:val="00746DCA"/>
    <w:rsid w:val="007854E7"/>
    <w:rsid w:val="0079295C"/>
    <w:rsid w:val="007D6F98"/>
    <w:rsid w:val="007E5968"/>
    <w:rsid w:val="007E5C38"/>
    <w:rsid w:val="007F4A36"/>
    <w:rsid w:val="00814FB7"/>
    <w:rsid w:val="008372B6"/>
    <w:rsid w:val="008572E8"/>
    <w:rsid w:val="00857580"/>
    <w:rsid w:val="0086037E"/>
    <w:rsid w:val="00881E14"/>
    <w:rsid w:val="008B67C4"/>
    <w:rsid w:val="008C77B7"/>
    <w:rsid w:val="00900B29"/>
    <w:rsid w:val="00907425"/>
    <w:rsid w:val="0090769B"/>
    <w:rsid w:val="00922853"/>
    <w:rsid w:val="00926281"/>
    <w:rsid w:val="00945C56"/>
    <w:rsid w:val="009526C4"/>
    <w:rsid w:val="00992484"/>
    <w:rsid w:val="009A57E7"/>
    <w:rsid w:val="009B4626"/>
    <w:rsid w:val="009B4E0C"/>
    <w:rsid w:val="009C1177"/>
    <w:rsid w:val="009F1DE2"/>
    <w:rsid w:val="00A273F1"/>
    <w:rsid w:val="00A3442B"/>
    <w:rsid w:val="00A3689E"/>
    <w:rsid w:val="00A43173"/>
    <w:rsid w:val="00A809F4"/>
    <w:rsid w:val="00AA625C"/>
    <w:rsid w:val="00AA73D7"/>
    <w:rsid w:val="00AB2027"/>
    <w:rsid w:val="00AD2399"/>
    <w:rsid w:val="00AE6A25"/>
    <w:rsid w:val="00AF1A4C"/>
    <w:rsid w:val="00B079C3"/>
    <w:rsid w:val="00B17806"/>
    <w:rsid w:val="00B21849"/>
    <w:rsid w:val="00B25851"/>
    <w:rsid w:val="00B3393D"/>
    <w:rsid w:val="00B344E4"/>
    <w:rsid w:val="00B35301"/>
    <w:rsid w:val="00B44B8A"/>
    <w:rsid w:val="00B72F5F"/>
    <w:rsid w:val="00B817F8"/>
    <w:rsid w:val="00B87BC2"/>
    <w:rsid w:val="00BA3E51"/>
    <w:rsid w:val="00BB53B6"/>
    <w:rsid w:val="00BC2592"/>
    <w:rsid w:val="00BD3CED"/>
    <w:rsid w:val="00BD617D"/>
    <w:rsid w:val="00BE3B0D"/>
    <w:rsid w:val="00BF2691"/>
    <w:rsid w:val="00BF56AA"/>
    <w:rsid w:val="00BF731A"/>
    <w:rsid w:val="00C02F99"/>
    <w:rsid w:val="00C0604B"/>
    <w:rsid w:val="00C203E8"/>
    <w:rsid w:val="00C7520F"/>
    <w:rsid w:val="00C76CF0"/>
    <w:rsid w:val="00C809CD"/>
    <w:rsid w:val="00C92F6D"/>
    <w:rsid w:val="00C962A3"/>
    <w:rsid w:val="00C9713B"/>
    <w:rsid w:val="00CB13D3"/>
    <w:rsid w:val="00CB2873"/>
    <w:rsid w:val="00CD2332"/>
    <w:rsid w:val="00D049EC"/>
    <w:rsid w:val="00D10B57"/>
    <w:rsid w:val="00D15AF4"/>
    <w:rsid w:val="00D25FF4"/>
    <w:rsid w:val="00D72C1F"/>
    <w:rsid w:val="00D739AA"/>
    <w:rsid w:val="00D803F7"/>
    <w:rsid w:val="00DA280D"/>
    <w:rsid w:val="00DB4F66"/>
    <w:rsid w:val="00DC5BDA"/>
    <w:rsid w:val="00DC791F"/>
    <w:rsid w:val="00DF1680"/>
    <w:rsid w:val="00E241DA"/>
    <w:rsid w:val="00E273ED"/>
    <w:rsid w:val="00E334BD"/>
    <w:rsid w:val="00E6536F"/>
    <w:rsid w:val="00EA1A49"/>
    <w:rsid w:val="00EB2104"/>
    <w:rsid w:val="00EB2F27"/>
    <w:rsid w:val="00EC6AA5"/>
    <w:rsid w:val="00ED28DD"/>
    <w:rsid w:val="00EF3058"/>
    <w:rsid w:val="00F132F5"/>
    <w:rsid w:val="00F23E28"/>
    <w:rsid w:val="00F4270C"/>
    <w:rsid w:val="00F6705E"/>
    <w:rsid w:val="00F82A7C"/>
    <w:rsid w:val="00F85BB2"/>
    <w:rsid w:val="00FB6F27"/>
    <w:rsid w:val="00FC634A"/>
    <w:rsid w:val="00FD4368"/>
    <w:rsid w:val="00FD6081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DEF4C"/>
  <w15:chartTrackingRefBased/>
  <w15:docId w15:val="{AEB251F0-9189-48AE-914E-7C4A71EA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19E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119E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5119E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65119E"/>
    <w:pPr>
      <w:spacing w:after="120"/>
      <w:ind w:firstLine="425"/>
    </w:pPr>
    <w:rPr>
      <w:lang w:eastAsia="cs-CZ"/>
    </w:rPr>
  </w:style>
  <w:style w:type="paragraph" w:styleId="Textpoznpodarou">
    <w:name w:val="footnote text"/>
    <w:aliases w:val="Schriftart: 10 pt,Schriftart: 8 pt,Schriftart: 9 pt"/>
    <w:basedOn w:val="Normln"/>
    <w:link w:val="TextpoznpodarouChar"/>
    <w:unhideWhenUsed/>
    <w:rsid w:val="0065119E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10 pt Char,Schriftart: 8 pt Char,Schriftart: 9 pt Char"/>
    <w:basedOn w:val="Standardnpsmoodstavce"/>
    <w:link w:val="Textpoznpodarou"/>
    <w:rsid w:val="0065119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12 b.,PGI Fußnote Ziffer,PGI Fußnote Ziffer + Times New Roman,Zúžené o ..."/>
    <w:basedOn w:val="Standardnpsmoodstavce"/>
    <w:uiPriority w:val="99"/>
    <w:unhideWhenUsed/>
    <w:rsid w:val="0065119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9E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5119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5119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5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AA625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A62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7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91F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DC7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91F"/>
    <w:rPr>
      <w:rFonts w:ascii="Arial" w:eastAsia="Times New Roman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37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8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874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87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Graf%20v%20aplikaci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5262043857421"/>
          <c:y val="8.8411683818838196E-2"/>
          <c:w val="0.36372601811870292"/>
          <c:h val="0.85119576459585733"/>
        </c:manualLayout>
      </c:layout>
      <c:doughnutChart>
        <c:varyColors val="1"/>
        <c:ser>
          <c:idx val="0"/>
          <c:order val="0"/>
          <c:tx>
            <c:strRef>
              <c:f>'[Graf v aplikaci Microsoft Word]List1'!$B$1</c:f>
              <c:strCache>
                <c:ptCount val="1"/>
                <c:pt idx="0">
                  <c:v>zdroje  financování zahlazování následků hornické činnosti</c:v>
                </c:pt>
              </c:strCache>
            </c:strRef>
          </c:tx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4595">
                  <a:alpha val="5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BD2A33">
                  <a:alpha val="5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0322580645161285E-2"/>
                  <c:y val="-1.1808773943670719E-1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53 %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11031"/>
                        <a:gd name="adj2" fmla="val 2447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1"/>
              <c:layout>
                <c:manualLayout>
                  <c:x val="-8.6021505376344093E-2"/>
                  <c:y val="-2.886002886002894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38 %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07472"/>
                        <a:gd name="adj2" fmla="val 2617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2"/>
              <c:layout>
                <c:manualLayout>
                  <c:x val="-3.2258064516129031E-2"/>
                  <c:y val="-0.1298701298701298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6 %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9093"/>
                        <a:gd name="adj2" fmla="val 113698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3"/>
              <c:layout>
                <c:manualLayout>
                  <c:x val="-8.6021505376344485E-3"/>
                  <c:y val="-0.1369422938139425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3 %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6811"/>
                        <a:gd name="adj2" fmla="val 143950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'[Graf v aplikaci Microsoft Word]List1'!$A$2:$A$5</c:f>
              <c:strCache>
                <c:ptCount val="4"/>
                <c:pt idx="0">
                  <c:v>státní  rozpočet</c:v>
                </c:pt>
                <c:pt idx="1">
                  <c:v>zvláštní účet MF</c:v>
                </c:pt>
                <c:pt idx="2">
                  <c:v>vlastní zdroje státního podniku DIAMO</c:v>
                </c:pt>
                <c:pt idx="3">
                  <c:v>OPŽP</c:v>
                </c:pt>
              </c:strCache>
            </c:strRef>
          </c:cat>
          <c:val>
            <c:numRef>
              <c:f>'[Graf v aplikaci Microsoft Word]List1'!$B$2:$B$5</c:f>
              <c:numCache>
                <c:formatCode>General</c:formatCode>
                <c:ptCount val="4"/>
                <c:pt idx="0">
                  <c:v>20481</c:v>
                </c:pt>
                <c:pt idx="1">
                  <c:v>14624</c:v>
                </c:pt>
                <c:pt idx="2">
                  <c:v>2158</c:v>
                </c:pt>
                <c:pt idx="3">
                  <c:v>1292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63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57573448480229"/>
          <c:y val="0.30880117258070017"/>
          <c:w val="0.37252103970874606"/>
          <c:h val="0.3535376259785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8AE2-9716-4525-A4CF-C3B437E6A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04B59-7180-4B05-A71D-C11E5BC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C0841EF2.dotm</Template>
  <TotalTime>1</TotalTime>
  <Pages>11</Pages>
  <Words>3373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16/07 - Peněžní prostředky určené na zahlazování následků hornické činnosti v podniku DIAMO, státní podnik</vt:lpstr>
    </vt:vector>
  </TitlesOfParts>
  <Company>NKU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16/07 - Peněžní prostředky určené na zahlazování následků hornické činnosti v podniku DIAMO, státní podnik</dc:title>
  <dc:subject/>
  <dc:creator>Nejvyšší kontrolní úřad</dc:creator>
  <cp:keywords>kontrolní závěr; Diamo; státní podniky; ekologické zátěže; hornictví; ekologie</cp:keywords>
  <dc:description/>
  <cp:lastModifiedBy>KOKRDA Daniel</cp:lastModifiedBy>
  <cp:revision>3</cp:revision>
  <cp:lastPrinted>2016-11-04T08:15:00Z</cp:lastPrinted>
  <dcterms:created xsi:type="dcterms:W3CDTF">2016-11-24T06:25:00Z</dcterms:created>
  <dcterms:modified xsi:type="dcterms:W3CDTF">2016-11-24T06:26:00Z</dcterms:modified>
</cp:coreProperties>
</file>