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26002" w14:textId="77777777" w:rsidR="00E40384" w:rsidRPr="000169E8" w:rsidRDefault="00964A95" w:rsidP="000169E8">
      <w:pPr>
        <w:jc w:val="center"/>
        <w:rPr>
          <w:rFonts w:ascii="Calibri" w:hAnsi="Calibri" w:cs="Calibri"/>
        </w:rPr>
      </w:pPr>
      <w:r w:rsidRPr="000169E8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FE291B5" wp14:editId="41FCA6BE">
            <wp:simplePos x="0" y="0"/>
            <wp:positionH relativeFrom="column">
              <wp:posOffset>2487461</wp:posOffset>
            </wp:positionH>
            <wp:positionV relativeFrom="paragraph">
              <wp:posOffset>-1298</wp:posOffset>
            </wp:positionV>
            <wp:extent cx="780415" cy="560705"/>
            <wp:effectExtent l="0" t="0" r="635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139141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0A213D" w14:textId="77777777" w:rsidR="00E40384" w:rsidRPr="000169E8" w:rsidRDefault="00E40384" w:rsidP="000169E8">
      <w:pPr>
        <w:pStyle w:val="Nadpis9"/>
        <w:spacing w:before="0" w:after="0"/>
        <w:jc w:val="center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14:paraId="75AA0C61" w14:textId="77777777" w:rsidR="000169E8" w:rsidRPr="000169E8" w:rsidRDefault="000169E8" w:rsidP="000169E8">
      <w:pPr>
        <w:jc w:val="center"/>
        <w:rPr>
          <w:rFonts w:ascii="Calibri" w:hAnsi="Calibri" w:cs="Calibri"/>
        </w:rPr>
      </w:pPr>
    </w:p>
    <w:p w14:paraId="17A9E2AC" w14:textId="77777777" w:rsidR="00E40384" w:rsidRPr="00663441" w:rsidRDefault="00964A95" w:rsidP="00E40384">
      <w:pPr>
        <w:pStyle w:val="Nadpis9"/>
        <w:spacing w:before="0" w:after="0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663441">
        <w:rPr>
          <w:rFonts w:asciiTheme="minorHAnsi" w:hAnsiTheme="minorHAnsi" w:cstheme="minorHAnsi"/>
          <w:b/>
          <w:sz w:val="28"/>
          <w:szCs w:val="24"/>
        </w:rPr>
        <w:t>Kontrolní závěr z kontrolní akce</w:t>
      </w:r>
    </w:p>
    <w:p w14:paraId="6B6996A8" w14:textId="77777777" w:rsidR="00E40384" w:rsidRPr="00663441" w:rsidRDefault="00E40384" w:rsidP="00E40384">
      <w:pPr>
        <w:jc w:val="center"/>
        <w:rPr>
          <w:rFonts w:asciiTheme="minorHAnsi" w:hAnsiTheme="minorHAnsi" w:cstheme="minorHAnsi"/>
        </w:rPr>
      </w:pPr>
    </w:p>
    <w:p w14:paraId="4CC59162" w14:textId="77777777" w:rsidR="00E40384" w:rsidRPr="00663441" w:rsidRDefault="00964A95" w:rsidP="00E40384">
      <w:pPr>
        <w:spacing w:line="264" w:lineRule="auto"/>
        <w:jc w:val="center"/>
        <w:rPr>
          <w:rFonts w:asciiTheme="minorHAnsi" w:hAnsiTheme="minorHAnsi" w:cstheme="minorHAnsi"/>
          <w:b/>
          <w:bCs/>
          <w:sz w:val="28"/>
        </w:rPr>
      </w:pPr>
      <w:r w:rsidRPr="00663441">
        <w:rPr>
          <w:rFonts w:asciiTheme="minorHAnsi" w:hAnsiTheme="minorHAnsi" w:cstheme="minorHAnsi"/>
          <w:b/>
          <w:bCs/>
          <w:sz w:val="28"/>
        </w:rPr>
        <w:t>17/34</w:t>
      </w:r>
    </w:p>
    <w:p w14:paraId="52673B3C" w14:textId="77777777" w:rsidR="00E40384" w:rsidRPr="00663441" w:rsidRDefault="00964A95" w:rsidP="00E40384">
      <w:pPr>
        <w:spacing w:line="264" w:lineRule="auto"/>
        <w:jc w:val="center"/>
        <w:rPr>
          <w:rFonts w:asciiTheme="minorHAnsi" w:hAnsiTheme="minorHAnsi" w:cstheme="minorHAnsi"/>
        </w:rPr>
      </w:pPr>
      <w:r w:rsidRPr="00663441">
        <w:rPr>
          <w:rFonts w:asciiTheme="minorHAnsi" w:hAnsiTheme="minorHAnsi" w:cstheme="minorHAnsi"/>
          <w:b/>
          <w:bCs/>
          <w:sz w:val="28"/>
        </w:rPr>
        <w:t>Státní záruky a jejich realizace z prostředků státního rozpočtu</w:t>
      </w:r>
    </w:p>
    <w:p w14:paraId="5D585672" w14:textId="77777777" w:rsidR="00E40384" w:rsidRPr="00663441" w:rsidRDefault="00E40384" w:rsidP="000169E8">
      <w:pPr>
        <w:jc w:val="both"/>
        <w:rPr>
          <w:rFonts w:asciiTheme="minorHAnsi" w:hAnsiTheme="minorHAnsi" w:cstheme="minorHAnsi"/>
        </w:rPr>
      </w:pPr>
    </w:p>
    <w:p w14:paraId="20F9319A" w14:textId="77777777" w:rsidR="00E40384" w:rsidRPr="00663441" w:rsidRDefault="00E40384" w:rsidP="000169E8">
      <w:pPr>
        <w:jc w:val="both"/>
        <w:rPr>
          <w:rFonts w:asciiTheme="minorHAnsi" w:hAnsiTheme="minorHAnsi" w:cstheme="minorHAnsi"/>
        </w:rPr>
      </w:pPr>
    </w:p>
    <w:p w14:paraId="12F0A0CA" w14:textId="1999C4F8" w:rsidR="00E40384" w:rsidRPr="00663441" w:rsidRDefault="00964A95" w:rsidP="000169E8">
      <w:pPr>
        <w:pStyle w:val="Zkladn"/>
        <w:spacing w:before="0"/>
        <w:rPr>
          <w:rFonts w:asciiTheme="minorHAnsi" w:hAnsiTheme="minorHAnsi" w:cstheme="minorHAnsi"/>
        </w:rPr>
      </w:pPr>
      <w:r w:rsidRPr="00663441">
        <w:rPr>
          <w:rFonts w:asciiTheme="minorHAnsi" w:hAnsiTheme="minorHAnsi" w:cstheme="minorHAnsi"/>
        </w:rPr>
        <w:t>Kontrolní akce byla zařazena do plánu kontrolní činnosti Nejvyššího kont</w:t>
      </w:r>
      <w:r w:rsidR="00070A8A" w:rsidRPr="00663441">
        <w:rPr>
          <w:rFonts w:asciiTheme="minorHAnsi" w:hAnsiTheme="minorHAnsi" w:cstheme="minorHAnsi"/>
        </w:rPr>
        <w:t>r</w:t>
      </w:r>
      <w:r w:rsidRPr="00663441">
        <w:rPr>
          <w:rFonts w:asciiTheme="minorHAnsi" w:hAnsiTheme="minorHAnsi" w:cstheme="minorHAnsi"/>
        </w:rPr>
        <w:t>olního úřadu (dále</w:t>
      </w:r>
      <w:r w:rsidR="00435381">
        <w:rPr>
          <w:rFonts w:asciiTheme="minorHAnsi" w:hAnsiTheme="minorHAnsi" w:cstheme="minorHAnsi"/>
        </w:rPr>
        <w:t xml:space="preserve"> </w:t>
      </w:r>
      <w:r w:rsidRPr="00663441">
        <w:rPr>
          <w:rFonts w:asciiTheme="minorHAnsi" w:hAnsiTheme="minorHAnsi" w:cstheme="minorHAnsi"/>
        </w:rPr>
        <w:t xml:space="preserve">jen „NKÚ“) na rok 2017 pod číslem 17/34. Kontrolní akci řídil a kontrolní závěr vypracoval člen NKÚ Ing. Daniel Reisiegel, MPA. </w:t>
      </w:r>
    </w:p>
    <w:p w14:paraId="34550F92" w14:textId="77777777" w:rsidR="00E40384" w:rsidRPr="00663441" w:rsidRDefault="00E40384" w:rsidP="000169E8">
      <w:pPr>
        <w:jc w:val="both"/>
        <w:rPr>
          <w:rFonts w:asciiTheme="minorHAnsi" w:hAnsiTheme="minorHAnsi" w:cstheme="minorHAnsi"/>
          <w:lang w:eastAsia="en-US"/>
        </w:rPr>
      </w:pPr>
    </w:p>
    <w:p w14:paraId="3E4311A1" w14:textId="77777777" w:rsidR="00E40384" w:rsidRPr="00663441" w:rsidRDefault="00964A95" w:rsidP="000169E8">
      <w:pPr>
        <w:jc w:val="both"/>
        <w:rPr>
          <w:rFonts w:asciiTheme="minorHAnsi" w:hAnsiTheme="minorHAnsi" w:cstheme="minorHAnsi"/>
        </w:rPr>
      </w:pPr>
      <w:r w:rsidRPr="00663441">
        <w:rPr>
          <w:rFonts w:asciiTheme="minorHAnsi" w:hAnsiTheme="minorHAnsi" w:cstheme="minorHAnsi"/>
          <w:lang w:eastAsia="en-US"/>
        </w:rPr>
        <w:t xml:space="preserve">Cílem kontroly bylo </w:t>
      </w:r>
      <w:r w:rsidR="00A84676">
        <w:rPr>
          <w:rFonts w:asciiTheme="minorHAnsi" w:hAnsiTheme="minorHAnsi" w:cstheme="minorHAnsi"/>
        </w:rPr>
        <w:t>posoudit</w:t>
      </w:r>
      <w:r w:rsidRPr="00663441">
        <w:rPr>
          <w:rFonts w:asciiTheme="minorHAnsi" w:hAnsiTheme="minorHAnsi" w:cstheme="minorHAnsi"/>
        </w:rPr>
        <w:t xml:space="preserve">, zda Ministerstvo financí postupuje při </w:t>
      </w:r>
      <w:r w:rsidR="00A84676">
        <w:rPr>
          <w:rFonts w:asciiTheme="minorHAnsi" w:hAnsiTheme="minorHAnsi" w:cstheme="minorHAnsi"/>
        </w:rPr>
        <w:t xml:space="preserve">vzniku, </w:t>
      </w:r>
      <w:r w:rsidRPr="00663441">
        <w:rPr>
          <w:rFonts w:asciiTheme="minorHAnsi" w:hAnsiTheme="minorHAnsi" w:cstheme="minorHAnsi"/>
        </w:rPr>
        <w:t>evidenci a realizaci státních záruk v souladu s právními předpisy a zda jsou nastavena a dodržována pravidla pro hospodaření s pohledávkami z realizovaných státních záruk</w:t>
      </w:r>
      <w:r w:rsidR="008777A5">
        <w:rPr>
          <w:rFonts w:asciiTheme="minorHAnsi" w:hAnsiTheme="minorHAnsi" w:cstheme="minorHAnsi"/>
        </w:rPr>
        <w:t xml:space="preserve"> tak</w:t>
      </w:r>
      <w:r w:rsidRPr="00663441">
        <w:rPr>
          <w:rFonts w:asciiTheme="minorHAnsi" w:hAnsiTheme="minorHAnsi" w:cstheme="minorHAnsi"/>
        </w:rPr>
        <w:t>, aby byla minimalizována rizika vzniku ztrát pro státní rozpočet.</w:t>
      </w:r>
    </w:p>
    <w:p w14:paraId="2E08332B" w14:textId="77777777" w:rsidR="00E40384" w:rsidRPr="00663441" w:rsidRDefault="00E40384" w:rsidP="000169E8">
      <w:pPr>
        <w:jc w:val="both"/>
        <w:rPr>
          <w:rFonts w:asciiTheme="minorHAnsi" w:hAnsiTheme="minorHAnsi" w:cstheme="minorHAnsi"/>
          <w:color w:val="000000"/>
        </w:rPr>
      </w:pPr>
    </w:p>
    <w:p w14:paraId="0B9FBEC2" w14:textId="77777777" w:rsidR="00E40384" w:rsidRPr="00663441" w:rsidRDefault="00964A95" w:rsidP="000169E8">
      <w:pPr>
        <w:pStyle w:val="Zkladntextodsazen"/>
        <w:spacing w:after="0"/>
        <w:ind w:left="0"/>
        <w:jc w:val="both"/>
        <w:rPr>
          <w:rFonts w:asciiTheme="minorHAnsi" w:hAnsiTheme="minorHAnsi" w:cstheme="minorHAnsi"/>
        </w:rPr>
      </w:pPr>
      <w:r w:rsidRPr="00663441">
        <w:rPr>
          <w:rFonts w:asciiTheme="minorHAnsi" w:hAnsiTheme="minorHAnsi" w:cstheme="minorHAnsi"/>
        </w:rPr>
        <w:t xml:space="preserve">Kontrolovaným obdobím byly roky </w:t>
      </w:r>
      <w:r w:rsidR="001D5365" w:rsidRPr="00663441">
        <w:rPr>
          <w:rFonts w:asciiTheme="minorHAnsi" w:hAnsiTheme="minorHAnsi" w:cstheme="minorHAnsi"/>
        </w:rPr>
        <w:t>201</w:t>
      </w:r>
      <w:r w:rsidR="001D5365">
        <w:rPr>
          <w:rFonts w:asciiTheme="minorHAnsi" w:hAnsiTheme="minorHAnsi" w:cstheme="minorHAnsi"/>
        </w:rPr>
        <w:t>3</w:t>
      </w:r>
      <w:r w:rsidR="001D5365" w:rsidRPr="00663441">
        <w:rPr>
          <w:rFonts w:asciiTheme="minorHAnsi" w:hAnsiTheme="minorHAnsi" w:cstheme="minorHAnsi"/>
        </w:rPr>
        <w:t xml:space="preserve"> </w:t>
      </w:r>
      <w:r w:rsidRPr="00663441">
        <w:rPr>
          <w:rFonts w:asciiTheme="minorHAnsi" w:hAnsiTheme="minorHAnsi" w:cstheme="minorHAnsi"/>
        </w:rPr>
        <w:t xml:space="preserve">až 2016, v případě věcných souvislostí i období předcházející a následující. </w:t>
      </w:r>
    </w:p>
    <w:p w14:paraId="0A65CC8E" w14:textId="77777777" w:rsidR="00E40384" w:rsidRPr="00663441" w:rsidRDefault="00E40384" w:rsidP="000169E8">
      <w:pPr>
        <w:pStyle w:val="Zkladntextodsazen"/>
        <w:spacing w:after="0"/>
        <w:ind w:left="0"/>
        <w:jc w:val="both"/>
        <w:rPr>
          <w:rFonts w:asciiTheme="minorHAnsi" w:hAnsiTheme="minorHAnsi" w:cstheme="minorHAnsi"/>
        </w:rPr>
      </w:pPr>
    </w:p>
    <w:p w14:paraId="7E652046" w14:textId="77777777" w:rsidR="00E40384" w:rsidRPr="00663441" w:rsidRDefault="00964A95" w:rsidP="000169E8">
      <w:pPr>
        <w:pStyle w:val="Zkladntextodsazen"/>
        <w:spacing w:after="0"/>
        <w:ind w:left="0"/>
        <w:jc w:val="both"/>
        <w:rPr>
          <w:rFonts w:asciiTheme="minorHAnsi" w:hAnsiTheme="minorHAnsi" w:cstheme="minorHAnsi"/>
        </w:rPr>
      </w:pPr>
      <w:r w:rsidRPr="00663441">
        <w:rPr>
          <w:rFonts w:asciiTheme="minorHAnsi" w:hAnsiTheme="minorHAnsi" w:cstheme="minorHAnsi"/>
        </w:rPr>
        <w:t>Kontrola byla u kontrolované osoby prováděna od prosince 2017 do května 2018.</w:t>
      </w:r>
    </w:p>
    <w:p w14:paraId="08942295" w14:textId="77777777" w:rsidR="00E40384" w:rsidRPr="00663441" w:rsidRDefault="00E40384" w:rsidP="000169E8">
      <w:pPr>
        <w:pStyle w:val="Zkladn"/>
        <w:spacing w:before="0"/>
        <w:rPr>
          <w:rFonts w:asciiTheme="minorHAnsi" w:hAnsiTheme="minorHAnsi" w:cstheme="minorHAnsi"/>
        </w:rPr>
      </w:pPr>
    </w:p>
    <w:p w14:paraId="35FF5910" w14:textId="77777777" w:rsidR="00E40384" w:rsidRPr="00663441" w:rsidRDefault="00964A95" w:rsidP="000169E8">
      <w:pPr>
        <w:pStyle w:val="Zkladn"/>
        <w:spacing w:before="0"/>
        <w:rPr>
          <w:rFonts w:asciiTheme="minorHAnsi" w:hAnsiTheme="minorHAnsi" w:cstheme="minorHAnsi"/>
          <w:b/>
        </w:rPr>
      </w:pPr>
      <w:r w:rsidRPr="00663441">
        <w:rPr>
          <w:rFonts w:asciiTheme="minorHAnsi" w:hAnsiTheme="minorHAnsi" w:cstheme="minorHAnsi"/>
          <w:b/>
        </w:rPr>
        <w:t>Kontrolovaná osoba:</w:t>
      </w:r>
    </w:p>
    <w:p w14:paraId="200897BA" w14:textId="77777777" w:rsidR="00E40384" w:rsidRPr="00663441" w:rsidRDefault="00964A95" w:rsidP="000169E8">
      <w:pPr>
        <w:jc w:val="both"/>
        <w:rPr>
          <w:rFonts w:asciiTheme="minorHAnsi" w:hAnsiTheme="minorHAnsi" w:cstheme="minorHAnsi"/>
        </w:rPr>
      </w:pPr>
      <w:r w:rsidRPr="00663441">
        <w:rPr>
          <w:rFonts w:asciiTheme="minorHAnsi" w:hAnsiTheme="minorHAnsi" w:cstheme="minorHAnsi"/>
          <w:iCs/>
        </w:rPr>
        <w:t xml:space="preserve">Ministerstvo financí </w:t>
      </w:r>
      <w:r w:rsidRPr="00663441">
        <w:rPr>
          <w:rFonts w:asciiTheme="minorHAnsi" w:hAnsiTheme="minorHAnsi" w:cstheme="minorHAnsi"/>
        </w:rPr>
        <w:t>(dále také „MF“)</w:t>
      </w:r>
      <w:r w:rsidR="00682A29">
        <w:rPr>
          <w:rFonts w:asciiTheme="minorHAnsi" w:hAnsiTheme="minorHAnsi" w:cstheme="minorHAnsi"/>
        </w:rPr>
        <w:t>.</w:t>
      </w:r>
    </w:p>
    <w:p w14:paraId="04B1770B" w14:textId="77777777" w:rsidR="00E40384" w:rsidRPr="00663441" w:rsidRDefault="00E40384" w:rsidP="000169E8">
      <w:pPr>
        <w:pStyle w:val="Zkladn"/>
        <w:spacing w:before="0"/>
        <w:rPr>
          <w:rFonts w:asciiTheme="minorHAnsi" w:hAnsiTheme="minorHAnsi" w:cstheme="minorHAnsi"/>
        </w:rPr>
      </w:pPr>
    </w:p>
    <w:p w14:paraId="27308484" w14:textId="77777777" w:rsidR="00E40384" w:rsidRPr="00663441" w:rsidRDefault="00E40384" w:rsidP="000169E8">
      <w:pPr>
        <w:ind w:right="70"/>
        <w:jc w:val="both"/>
        <w:rPr>
          <w:rFonts w:asciiTheme="minorHAnsi" w:hAnsiTheme="minorHAnsi" w:cstheme="minorHAnsi"/>
        </w:rPr>
      </w:pPr>
    </w:p>
    <w:p w14:paraId="0B58732E" w14:textId="77777777" w:rsidR="00E40384" w:rsidRPr="00663441" w:rsidRDefault="00E40384" w:rsidP="000169E8">
      <w:pPr>
        <w:ind w:right="70"/>
        <w:jc w:val="both"/>
        <w:rPr>
          <w:rFonts w:asciiTheme="minorHAnsi" w:hAnsiTheme="minorHAnsi" w:cstheme="minorHAnsi"/>
        </w:rPr>
      </w:pPr>
    </w:p>
    <w:p w14:paraId="5B475A2A" w14:textId="77777777" w:rsidR="00E40384" w:rsidRPr="00663441" w:rsidRDefault="00964A95" w:rsidP="000169E8">
      <w:pPr>
        <w:spacing w:after="120"/>
        <w:ind w:right="70"/>
        <w:jc w:val="both"/>
        <w:rPr>
          <w:rFonts w:asciiTheme="minorHAnsi" w:hAnsiTheme="minorHAnsi" w:cstheme="minorHAnsi"/>
        </w:rPr>
      </w:pPr>
      <w:r w:rsidRPr="00663441">
        <w:rPr>
          <w:rFonts w:asciiTheme="minorHAnsi" w:hAnsiTheme="minorHAnsi" w:cstheme="minorHAnsi"/>
          <w:b/>
          <w:bCs/>
          <w:i/>
          <w:iCs/>
        </w:rPr>
        <w:t>K o l e g i u m</w:t>
      </w:r>
      <w:r w:rsidRPr="00663441">
        <w:rPr>
          <w:rFonts w:asciiTheme="minorHAnsi" w:hAnsiTheme="minorHAnsi" w:cstheme="minorHAnsi"/>
        </w:rPr>
        <w:t xml:space="preserve">   </w:t>
      </w:r>
      <w:r w:rsidRPr="00663441">
        <w:rPr>
          <w:rFonts w:asciiTheme="minorHAnsi" w:hAnsiTheme="minorHAnsi" w:cstheme="minorHAnsi"/>
          <w:b/>
          <w:bCs/>
          <w:i/>
          <w:iCs/>
        </w:rPr>
        <w:t xml:space="preserve">N K Ú  </w:t>
      </w:r>
      <w:r w:rsidRPr="00663441">
        <w:rPr>
          <w:rFonts w:asciiTheme="minorHAnsi" w:hAnsiTheme="minorHAnsi" w:cstheme="minorHAnsi"/>
          <w:b/>
          <w:bCs/>
          <w:iCs/>
        </w:rPr>
        <w:t xml:space="preserve"> </w:t>
      </w:r>
      <w:r w:rsidRPr="00663441">
        <w:rPr>
          <w:rFonts w:asciiTheme="minorHAnsi" w:hAnsiTheme="minorHAnsi" w:cstheme="minorHAnsi"/>
        </w:rPr>
        <w:t xml:space="preserve">na svém </w:t>
      </w:r>
      <w:r w:rsidR="002607CC">
        <w:rPr>
          <w:rFonts w:asciiTheme="minorHAnsi" w:hAnsiTheme="minorHAnsi" w:cstheme="minorHAnsi"/>
        </w:rPr>
        <w:t>XII.</w:t>
      </w:r>
      <w:r w:rsidRPr="00663441">
        <w:rPr>
          <w:rFonts w:asciiTheme="minorHAnsi" w:hAnsiTheme="minorHAnsi" w:cstheme="minorHAnsi"/>
        </w:rPr>
        <w:t xml:space="preserve"> jednání, které se konalo dne</w:t>
      </w:r>
      <w:r w:rsidR="002607CC">
        <w:rPr>
          <w:rFonts w:asciiTheme="minorHAnsi" w:hAnsiTheme="minorHAnsi" w:cstheme="minorHAnsi"/>
        </w:rPr>
        <w:t xml:space="preserve"> 17. září</w:t>
      </w:r>
      <w:r w:rsidRPr="00663441">
        <w:rPr>
          <w:rFonts w:asciiTheme="minorHAnsi" w:hAnsiTheme="minorHAnsi" w:cstheme="minorHAnsi"/>
        </w:rPr>
        <w:t xml:space="preserve"> 2018, </w:t>
      </w:r>
    </w:p>
    <w:p w14:paraId="5B5AEEC6" w14:textId="77777777" w:rsidR="00E40384" w:rsidRPr="00663441" w:rsidRDefault="00964A95" w:rsidP="000169E8">
      <w:pPr>
        <w:spacing w:after="120"/>
        <w:ind w:right="68"/>
        <w:jc w:val="both"/>
        <w:rPr>
          <w:rFonts w:asciiTheme="minorHAnsi" w:hAnsiTheme="minorHAnsi" w:cstheme="minorHAnsi"/>
        </w:rPr>
      </w:pPr>
      <w:r w:rsidRPr="00663441">
        <w:rPr>
          <w:rFonts w:asciiTheme="minorHAnsi" w:hAnsiTheme="minorHAnsi" w:cstheme="minorHAnsi"/>
          <w:b/>
          <w:bCs/>
          <w:i/>
          <w:iCs/>
        </w:rPr>
        <w:t>s c h v á l i l o</w:t>
      </w:r>
      <w:r w:rsidR="00682A29">
        <w:rPr>
          <w:rFonts w:asciiTheme="minorHAnsi" w:hAnsiTheme="minorHAnsi" w:cstheme="minorHAnsi"/>
        </w:rPr>
        <w:t xml:space="preserve">   usnesením č</w:t>
      </w:r>
      <w:r w:rsidRPr="00663441">
        <w:rPr>
          <w:rFonts w:asciiTheme="minorHAnsi" w:hAnsiTheme="minorHAnsi" w:cstheme="minorHAnsi"/>
        </w:rPr>
        <w:t>.</w:t>
      </w:r>
      <w:r w:rsidR="00682A29">
        <w:rPr>
          <w:rFonts w:asciiTheme="minorHAnsi" w:hAnsiTheme="minorHAnsi" w:cstheme="minorHAnsi"/>
        </w:rPr>
        <w:t xml:space="preserve"> 8</w:t>
      </w:r>
      <w:r w:rsidRPr="00663441">
        <w:rPr>
          <w:rFonts w:asciiTheme="minorHAnsi" w:hAnsiTheme="minorHAnsi" w:cstheme="minorHAnsi"/>
        </w:rPr>
        <w:t>/</w:t>
      </w:r>
      <w:r w:rsidR="002607CC">
        <w:rPr>
          <w:rFonts w:asciiTheme="minorHAnsi" w:hAnsiTheme="minorHAnsi" w:cstheme="minorHAnsi"/>
        </w:rPr>
        <w:t>XII</w:t>
      </w:r>
      <w:r w:rsidRPr="00663441">
        <w:rPr>
          <w:rFonts w:asciiTheme="minorHAnsi" w:hAnsiTheme="minorHAnsi" w:cstheme="minorHAnsi"/>
        </w:rPr>
        <w:t xml:space="preserve">/2018 </w:t>
      </w:r>
    </w:p>
    <w:p w14:paraId="4A8702E3" w14:textId="77777777" w:rsidR="00E40384" w:rsidRPr="00663441" w:rsidRDefault="00964A95" w:rsidP="000169E8">
      <w:pPr>
        <w:spacing w:after="120"/>
        <w:ind w:right="70"/>
        <w:jc w:val="both"/>
        <w:rPr>
          <w:rFonts w:asciiTheme="minorHAnsi" w:hAnsiTheme="minorHAnsi" w:cstheme="minorHAnsi"/>
        </w:rPr>
      </w:pPr>
      <w:r w:rsidRPr="00663441">
        <w:rPr>
          <w:rFonts w:asciiTheme="minorHAnsi" w:hAnsiTheme="minorHAnsi" w:cstheme="minorHAnsi"/>
          <w:b/>
          <w:bCs/>
          <w:i/>
          <w:iCs/>
        </w:rPr>
        <w:t>k o n t r o l n í   z á v ě r</w:t>
      </w:r>
      <w:r w:rsidRPr="00663441">
        <w:rPr>
          <w:rFonts w:asciiTheme="minorHAnsi" w:hAnsiTheme="minorHAnsi" w:cstheme="minorHAnsi"/>
        </w:rPr>
        <w:t xml:space="preserve">   v tomto znění:</w:t>
      </w:r>
    </w:p>
    <w:p w14:paraId="388699F4" w14:textId="77777777" w:rsidR="00E40384" w:rsidRPr="00663441" w:rsidRDefault="00E40384" w:rsidP="000169E8">
      <w:pPr>
        <w:ind w:right="70"/>
        <w:jc w:val="both"/>
        <w:rPr>
          <w:rFonts w:asciiTheme="minorHAnsi" w:hAnsiTheme="minorHAnsi" w:cstheme="minorHAnsi"/>
        </w:rPr>
      </w:pPr>
    </w:p>
    <w:p w14:paraId="1ECCF72A" w14:textId="77777777" w:rsidR="00E40384" w:rsidRPr="00663441" w:rsidRDefault="00E40384" w:rsidP="000169E8">
      <w:pPr>
        <w:ind w:right="70"/>
        <w:jc w:val="both"/>
        <w:rPr>
          <w:rFonts w:asciiTheme="minorHAnsi" w:hAnsiTheme="minorHAnsi" w:cstheme="minorHAnsi"/>
        </w:rPr>
      </w:pPr>
    </w:p>
    <w:p w14:paraId="3832D1B6" w14:textId="77777777" w:rsidR="006A1149" w:rsidRPr="00663441" w:rsidRDefault="00964A95" w:rsidP="006A1149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63441">
        <w:rPr>
          <w:rFonts w:asciiTheme="minorHAnsi" w:hAnsiTheme="minorHAnsi" w:cstheme="minorHAnsi"/>
          <w:b/>
          <w:sz w:val="28"/>
          <w:szCs w:val="28"/>
        </w:rPr>
        <w:br w:type="page"/>
      </w:r>
      <w:r w:rsidR="006A1149" w:rsidRPr="00663441">
        <w:rPr>
          <w:rFonts w:asciiTheme="minorHAnsi" w:hAnsiTheme="minorHAnsi" w:cstheme="minorHAnsi"/>
          <w:b/>
          <w:sz w:val="28"/>
          <w:szCs w:val="28"/>
        </w:rPr>
        <w:lastRenderedPageBreak/>
        <w:t>Klíčová fakta</w:t>
      </w:r>
    </w:p>
    <w:p w14:paraId="10A40996" w14:textId="77777777" w:rsidR="006A1149" w:rsidRPr="00663441" w:rsidRDefault="006A1149" w:rsidP="006A1149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0108A80" w14:textId="77777777" w:rsidR="006A1149" w:rsidRPr="00663441" w:rsidRDefault="006A1149" w:rsidP="006A1149">
      <w:pPr>
        <w:spacing w:after="120"/>
        <w:rPr>
          <w:rFonts w:asciiTheme="minorHAnsi" w:hAnsiTheme="minorHAnsi" w:cstheme="minorHAnsi"/>
          <w:b/>
          <w:sz w:val="32"/>
          <w:szCs w:val="28"/>
        </w:rPr>
      </w:pPr>
      <w:r w:rsidRPr="00663441">
        <w:rPr>
          <w:rFonts w:asciiTheme="minorHAnsi" w:hAnsiTheme="minorHAnsi" w:cstheme="minorHAnsi"/>
          <w:b/>
          <w:szCs w:val="21"/>
        </w:rPr>
        <w:t>Stav státních záruk k 31. 12. 2016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F1FF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5103"/>
      </w:tblGrid>
      <w:tr w:rsidR="006A1149" w:rsidRPr="00663441" w14:paraId="6CA2BFD3" w14:textId="77777777" w:rsidTr="00C149E6">
        <w:trPr>
          <w:trHeight w:val="1361"/>
        </w:trPr>
        <w:tc>
          <w:tcPr>
            <w:tcW w:w="1560" w:type="dxa"/>
            <w:shd w:val="clear" w:color="auto" w:fill="004595"/>
            <w:vAlign w:val="center"/>
          </w:tcPr>
          <w:p w14:paraId="159DFD29" w14:textId="77777777" w:rsidR="006A1149" w:rsidRPr="00663441" w:rsidRDefault="006A1149" w:rsidP="00057903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663441">
              <w:rPr>
                <w:rFonts w:asciiTheme="minorHAnsi" w:hAnsiTheme="minorHAnsi" w:cstheme="minorHAnsi"/>
                <w:b/>
                <w:i/>
                <w:noProof/>
                <w:color w:val="004595"/>
                <w:sz w:val="40"/>
                <w:szCs w:val="22"/>
              </w:rPr>
              <w:drawing>
                <wp:inline distT="0" distB="0" distL="0" distR="0" wp14:anchorId="1972921C" wp14:editId="5B5C0CA5">
                  <wp:extent cx="333559" cy="438150"/>
                  <wp:effectExtent l="0" t="0" r="9525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ěšec bílý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92" cy="460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63441">
              <w:rPr>
                <w:rFonts w:asciiTheme="minorHAnsi" w:hAnsiTheme="minorHAnsi" w:cstheme="minorHAnsi"/>
              </w:rPr>
              <w:br/>
            </w:r>
            <w:r w:rsidRPr="00663441">
              <w:rPr>
                <w:rFonts w:asciiTheme="minorHAnsi" w:hAnsiTheme="minorHAnsi" w:cstheme="minorHAnsi"/>
                <w:sz w:val="22"/>
              </w:rPr>
              <w:t>Celkem</w:t>
            </w:r>
            <w:r w:rsidRPr="00663441">
              <w:rPr>
                <w:rFonts w:asciiTheme="minorHAnsi" w:hAnsiTheme="minorHAnsi" w:cstheme="minorHAnsi"/>
                <w:sz w:val="22"/>
              </w:rPr>
              <w:br/>
              <w:t>438,5 mld. Kč</w:t>
            </w:r>
          </w:p>
        </w:tc>
        <w:tc>
          <w:tcPr>
            <w:tcW w:w="2409" w:type="dxa"/>
            <w:shd w:val="clear" w:color="auto" w:fill="E5F1FF"/>
            <w:vAlign w:val="center"/>
          </w:tcPr>
          <w:p w14:paraId="6905CB43" w14:textId="77777777" w:rsidR="006A1149" w:rsidRPr="00663441" w:rsidRDefault="006A1149" w:rsidP="00C149E6">
            <w:pPr>
              <w:pStyle w:val="Titulek"/>
              <w:keepNext/>
              <w:spacing w:after="0"/>
              <w:ind w:right="216"/>
              <w:jc w:val="right"/>
              <w:rPr>
                <w:rFonts w:asciiTheme="minorHAnsi" w:hAnsiTheme="minorHAnsi" w:cstheme="minorHAnsi"/>
                <w:b/>
                <w:i w:val="0"/>
                <w:color w:val="004595"/>
                <w:sz w:val="28"/>
                <w:szCs w:val="22"/>
              </w:rPr>
            </w:pPr>
            <w:r w:rsidRPr="00001F06">
              <w:rPr>
                <w:rFonts w:asciiTheme="minorHAnsi" w:hAnsiTheme="minorHAnsi" w:cstheme="minorHAnsi"/>
                <w:b/>
                <w:i w:val="0"/>
                <w:color w:val="004595"/>
                <w:sz w:val="28"/>
                <w:szCs w:val="22"/>
              </w:rPr>
              <w:t>6,7 mld. Kč</w:t>
            </w:r>
          </w:p>
        </w:tc>
        <w:tc>
          <w:tcPr>
            <w:tcW w:w="5103" w:type="dxa"/>
            <w:shd w:val="clear" w:color="auto" w:fill="E5F1FF"/>
            <w:vAlign w:val="center"/>
          </w:tcPr>
          <w:p w14:paraId="1E53A7C5" w14:textId="77777777" w:rsidR="006A1149" w:rsidRPr="00663441" w:rsidRDefault="006A1149" w:rsidP="00C149E6">
            <w:pPr>
              <w:autoSpaceDE w:val="0"/>
              <w:autoSpaceDN w:val="0"/>
              <w:adjustRightInd w:val="0"/>
              <w:spacing w:line="259" w:lineRule="auto"/>
              <w:ind w:right="505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63441">
              <w:rPr>
                <w:rFonts w:asciiTheme="minorHAnsi" w:hAnsiTheme="minorHAnsi" w:cstheme="minorHAnsi"/>
                <w:b/>
                <w:sz w:val="21"/>
                <w:szCs w:val="21"/>
              </w:rPr>
              <w:t>Stav standardních státních záruk k 31. 12. 2016.</w:t>
            </w:r>
          </w:p>
          <w:p w14:paraId="0A57FD72" w14:textId="77777777" w:rsidR="006A1149" w:rsidRPr="00663441" w:rsidRDefault="006A1149" w:rsidP="00C149E6">
            <w:pPr>
              <w:autoSpaceDE w:val="0"/>
              <w:autoSpaceDN w:val="0"/>
              <w:adjustRightInd w:val="0"/>
              <w:spacing w:line="259" w:lineRule="auto"/>
              <w:ind w:right="505"/>
              <w:rPr>
                <w:rFonts w:asciiTheme="minorHAnsi" w:hAnsiTheme="minorHAnsi" w:cstheme="minorHAnsi"/>
                <w:b/>
                <w:i/>
                <w:color w:val="004595"/>
                <w:sz w:val="28"/>
                <w:szCs w:val="22"/>
              </w:rPr>
            </w:pPr>
            <w:r w:rsidRPr="00663441">
              <w:rPr>
                <w:rFonts w:asciiTheme="minorHAnsi" w:hAnsiTheme="minorHAnsi" w:cstheme="minorHAnsi"/>
                <w:sz w:val="21"/>
                <w:szCs w:val="21"/>
              </w:rPr>
              <w:t xml:space="preserve">V kontrolovaném období 2013–2016 neposkytlo MF žádnou novou standardní státní záruku a jejich stav poklesl celkem o 14,9 mld. Kč. </w:t>
            </w:r>
          </w:p>
        </w:tc>
      </w:tr>
      <w:tr w:rsidR="006A1149" w:rsidRPr="00663441" w14:paraId="51E2B1AE" w14:textId="77777777" w:rsidTr="00C149E6">
        <w:trPr>
          <w:trHeight w:val="1568"/>
        </w:trPr>
        <w:tc>
          <w:tcPr>
            <w:tcW w:w="1560" w:type="dxa"/>
            <w:shd w:val="clear" w:color="auto" w:fill="auto"/>
            <w:vAlign w:val="center"/>
          </w:tcPr>
          <w:p w14:paraId="3AA5F172" w14:textId="77777777" w:rsidR="006A1149" w:rsidRPr="00663441" w:rsidRDefault="006A1149" w:rsidP="00057903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409" w:type="dxa"/>
            <w:shd w:val="clear" w:color="auto" w:fill="E5F1FF"/>
            <w:vAlign w:val="center"/>
          </w:tcPr>
          <w:p w14:paraId="0B2C7C8E" w14:textId="77777777" w:rsidR="006A1149" w:rsidRPr="00663441" w:rsidRDefault="006A1149" w:rsidP="00C149E6">
            <w:pPr>
              <w:pStyle w:val="Titulek"/>
              <w:keepNext/>
              <w:spacing w:after="0"/>
              <w:ind w:right="216"/>
              <w:jc w:val="right"/>
              <w:rPr>
                <w:rFonts w:asciiTheme="minorHAnsi" w:hAnsiTheme="minorHAnsi" w:cstheme="minorHAnsi"/>
                <w:b/>
                <w:i w:val="0"/>
                <w:color w:val="004595"/>
                <w:sz w:val="28"/>
                <w:szCs w:val="22"/>
              </w:rPr>
            </w:pPr>
            <w:r w:rsidRPr="00001F06">
              <w:rPr>
                <w:rFonts w:asciiTheme="minorHAnsi" w:hAnsiTheme="minorHAnsi" w:cstheme="minorHAnsi"/>
                <w:b/>
                <w:i w:val="0"/>
                <w:color w:val="004595"/>
                <w:sz w:val="28"/>
                <w:szCs w:val="22"/>
              </w:rPr>
              <w:t>156,7 mld. Kč</w:t>
            </w:r>
          </w:p>
        </w:tc>
        <w:tc>
          <w:tcPr>
            <w:tcW w:w="5103" w:type="dxa"/>
            <w:shd w:val="clear" w:color="auto" w:fill="E5F1FF"/>
            <w:vAlign w:val="center"/>
          </w:tcPr>
          <w:p w14:paraId="44B31AC5" w14:textId="77777777" w:rsidR="006A1149" w:rsidRPr="00663441" w:rsidRDefault="006A1149" w:rsidP="00C149E6">
            <w:pPr>
              <w:autoSpaceDE w:val="0"/>
              <w:autoSpaceDN w:val="0"/>
              <w:adjustRightInd w:val="0"/>
              <w:spacing w:line="259" w:lineRule="auto"/>
              <w:ind w:right="505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63441">
              <w:rPr>
                <w:rFonts w:asciiTheme="minorHAnsi" w:hAnsiTheme="minorHAnsi" w:cstheme="minorHAnsi"/>
                <w:b/>
                <w:sz w:val="21"/>
                <w:szCs w:val="21"/>
              </w:rPr>
              <w:t>Stav nestandardních státních záruk k 31. 12. 2016.</w:t>
            </w:r>
          </w:p>
          <w:p w14:paraId="2616C079" w14:textId="77777777" w:rsidR="006A1149" w:rsidRPr="00663441" w:rsidRDefault="006A1149" w:rsidP="00C149E6">
            <w:pPr>
              <w:autoSpaceDE w:val="0"/>
              <w:autoSpaceDN w:val="0"/>
              <w:adjustRightInd w:val="0"/>
              <w:spacing w:line="259" w:lineRule="auto"/>
              <w:ind w:right="505"/>
              <w:rPr>
                <w:rFonts w:asciiTheme="minorHAnsi" w:hAnsiTheme="minorHAnsi" w:cstheme="minorHAnsi"/>
                <w:b/>
                <w:i/>
                <w:color w:val="004595"/>
                <w:sz w:val="28"/>
                <w:szCs w:val="22"/>
              </w:rPr>
            </w:pPr>
            <w:r w:rsidRPr="00663441">
              <w:rPr>
                <w:rFonts w:asciiTheme="minorHAnsi" w:hAnsiTheme="minorHAnsi" w:cstheme="minorHAnsi"/>
                <w:sz w:val="21"/>
                <w:szCs w:val="21"/>
              </w:rPr>
              <w:t xml:space="preserve">V roce 2017 se stav snížil na 20 mld. Kč, což představuje zůstatek záruky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ve prospěch České národní banky</w:t>
            </w:r>
            <w:r w:rsidRPr="00663441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</w:tr>
      <w:tr w:rsidR="006A1149" w:rsidRPr="00663441" w14:paraId="34AD2D0C" w14:textId="77777777" w:rsidTr="00C149E6">
        <w:trPr>
          <w:trHeight w:val="1095"/>
        </w:trPr>
        <w:tc>
          <w:tcPr>
            <w:tcW w:w="1560" w:type="dxa"/>
            <w:shd w:val="clear" w:color="auto" w:fill="auto"/>
            <w:vAlign w:val="center"/>
          </w:tcPr>
          <w:p w14:paraId="00C7443F" w14:textId="77777777" w:rsidR="006A1149" w:rsidRPr="00663441" w:rsidRDefault="006A1149" w:rsidP="00057903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409" w:type="dxa"/>
            <w:shd w:val="clear" w:color="auto" w:fill="E5F1FF"/>
            <w:vAlign w:val="center"/>
          </w:tcPr>
          <w:p w14:paraId="7791C4CE" w14:textId="77777777" w:rsidR="006A1149" w:rsidRPr="00663441" w:rsidRDefault="006A1149" w:rsidP="00C149E6">
            <w:pPr>
              <w:pStyle w:val="Titulek"/>
              <w:keepNext/>
              <w:spacing w:after="0"/>
              <w:ind w:right="216"/>
              <w:jc w:val="right"/>
              <w:rPr>
                <w:rFonts w:asciiTheme="minorHAnsi" w:hAnsiTheme="minorHAnsi" w:cstheme="minorHAnsi"/>
                <w:b/>
                <w:i w:val="0"/>
                <w:color w:val="004595"/>
                <w:sz w:val="28"/>
                <w:szCs w:val="22"/>
              </w:rPr>
            </w:pPr>
            <w:r w:rsidRPr="00663441">
              <w:rPr>
                <w:rFonts w:asciiTheme="minorHAnsi" w:hAnsiTheme="minorHAnsi" w:cstheme="minorHAnsi"/>
                <w:b/>
                <w:i w:val="0"/>
                <w:color w:val="004595"/>
                <w:sz w:val="28"/>
                <w:szCs w:val="22"/>
              </w:rPr>
              <w:t>275,1 mld. Kč</w:t>
            </w:r>
          </w:p>
        </w:tc>
        <w:tc>
          <w:tcPr>
            <w:tcW w:w="5103" w:type="dxa"/>
            <w:shd w:val="clear" w:color="auto" w:fill="E5F1FF"/>
            <w:vAlign w:val="center"/>
          </w:tcPr>
          <w:p w14:paraId="2E37FB37" w14:textId="77777777" w:rsidR="006A1149" w:rsidRPr="00966358" w:rsidRDefault="006A1149" w:rsidP="00C149E6">
            <w:pPr>
              <w:autoSpaceDE w:val="0"/>
              <w:autoSpaceDN w:val="0"/>
              <w:adjustRightInd w:val="0"/>
              <w:spacing w:line="259" w:lineRule="auto"/>
              <w:ind w:right="505"/>
              <w:rPr>
                <w:rFonts w:asciiTheme="minorHAnsi" w:hAnsiTheme="minorHAnsi" w:cstheme="minorHAnsi"/>
                <w:i/>
                <w:color w:val="004595"/>
                <w:sz w:val="28"/>
                <w:szCs w:val="22"/>
              </w:rPr>
            </w:pPr>
            <w:r w:rsidRPr="00966358">
              <w:rPr>
                <w:rFonts w:asciiTheme="minorHAnsi" w:hAnsiTheme="minorHAnsi" w:cstheme="minorHAnsi"/>
                <w:sz w:val="21"/>
                <w:szCs w:val="21"/>
              </w:rPr>
              <w:t xml:space="preserve">Stav státních záruk poskytovaných </w:t>
            </w:r>
            <w:r w:rsidRPr="00AC025B">
              <w:rPr>
                <w:rFonts w:asciiTheme="minorHAnsi" w:hAnsiTheme="minorHAnsi" w:cstheme="minorHAnsi"/>
                <w:b/>
                <w:sz w:val="21"/>
                <w:szCs w:val="21"/>
              </w:rPr>
              <w:t>v souvislosti s pojišťováním a financováním vývozu</w:t>
            </w:r>
            <w:r w:rsidRPr="00966358">
              <w:rPr>
                <w:rFonts w:asciiTheme="minorHAnsi" w:hAnsiTheme="minorHAnsi" w:cstheme="minorHAnsi"/>
                <w:sz w:val="21"/>
                <w:szCs w:val="21"/>
              </w:rPr>
              <w:t xml:space="preserve"> se státní podporou k 31. 12. 2016.</w:t>
            </w:r>
          </w:p>
        </w:tc>
      </w:tr>
    </w:tbl>
    <w:p w14:paraId="72A5E472" w14:textId="77777777" w:rsidR="006A1149" w:rsidRDefault="006A1149" w:rsidP="006A1149">
      <w:pPr>
        <w:autoSpaceDE w:val="0"/>
        <w:autoSpaceDN w:val="0"/>
        <w:adjustRightInd w:val="0"/>
        <w:spacing w:after="120" w:line="259" w:lineRule="auto"/>
        <w:ind w:right="851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6139E75E" w14:textId="77777777" w:rsidR="006A1149" w:rsidRPr="00663441" w:rsidRDefault="006A1149" w:rsidP="006A1149">
      <w:pPr>
        <w:autoSpaceDE w:val="0"/>
        <w:autoSpaceDN w:val="0"/>
        <w:adjustRightInd w:val="0"/>
        <w:spacing w:before="240" w:after="120" w:line="259" w:lineRule="auto"/>
        <w:ind w:right="851"/>
        <w:jc w:val="both"/>
        <w:rPr>
          <w:rFonts w:asciiTheme="minorHAnsi" w:hAnsiTheme="minorHAnsi" w:cstheme="minorHAnsi"/>
          <w:b/>
          <w:szCs w:val="21"/>
        </w:rPr>
      </w:pPr>
      <w:r w:rsidRPr="00663441">
        <w:rPr>
          <w:rFonts w:asciiTheme="minorHAnsi" w:hAnsiTheme="minorHAnsi" w:cstheme="minorHAnsi"/>
          <w:b/>
          <w:szCs w:val="21"/>
        </w:rPr>
        <w:t>Stav pohledávek z realizovaných státních záruk evidovaných k 31. 12. 2016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F1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29"/>
        <w:gridCol w:w="2409"/>
        <w:gridCol w:w="1347"/>
        <w:gridCol w:w="3756"/>
      </w:tblGrid>
      <w:tr w:rsidR="006A1149" w:rsidRPr="00663441" w14:paraId="5CCDADD2" w14:textId="77777777" w:rsidTr="00057903">
        <w:trPr>
          <w:trHeight w:val="694"/>
        </w:trPr>
        <w:tc>
          <w:tcPr>
            <w:tcW w:w="1560" w:type="dxa"/>
            <w:gridSpan w:val="2"/>
            <w:vMerge w:val="restart"/>
            <w:shd w:val="clear" w:color="auto" w:fill="004595"/>
            <w:vAlign w:val="center"/>
          </w:tcPr>
          <w:p w14:paraId="056DE807" w14:textId="77777777" w:rsidR="006A1149" w:rsidRPr="00663441" w:rsidRDefault="006A1149" w:rsidP="00057903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663441">
              <w:rPr>
                <w:rFonts w:asciiTheme="minorHAnsi" w:hAnsiTheme="minorHAnsi" w:cstheme="minorHAnsi"/>
                <w:b/>
                <w:i/>
                <w:noProof/>
                <w:color w:val="004595"/>
                <w:sz w:val="40"/>
                <w:szCs w:val="22"/>
              </w:rPr>
              <w:drawing>
                <wp:inline distT="0" distB="0" distL="0" distR="0" wp14:anchorId="2EBF6A71" wp14:editId="00634427">
                  <wp:extent cx="333559" cy="438150"/>
                  <wp:effectExtent l="0" t="0" r="9525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ěšec bílý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92" cy="460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63441">
              <w:rPr>
                <w:rFonts w:asciiTheme="minorHAnsi" w:hAnsiTheme="minorHAnsi" w:cstheme="minorHAnsi"/>
              </w:rPr>
              <w:br/>
            </w:r>
            <w:r w:rsidRPr="00663441">
              <w:rPr>
                <w:rFonts w:asciiTheme="minorHAnsi" w:hAnsiTheme="minorHAnsi" w:cstheme="minorHAnsi"/>
                <w:sz w:val="22"/>
              </w:rPr>
              <w:t>Celkem</w:t>
            </w:r>
            <w:r w:rsidRPr="00663441">
              <w:rPr>
                <w:rFonts w:asciiTheme="minorHAnsi" w:hAnsiTheme="minorHAnsi" w:cstheme="minorHAnsi"/>
                <w:sz w:val="22"/>
              </w:rPr>
              <w:br/>
              <w:t>4,9 mld. Kč</w:t>
            </w:r>
          </w:p>
        </w:tc>
        <w:tc>
          <w:tcPr>
            <w:tcW w:w="3756" w:type="dxa"/>
            <w:gridSpan w:val="2"/>
            <w:shd w:val="clear" w:color="auto" w:fill="E5F1FF"/>
            <w:vAlign w:val="center"/>
          </w:tcPr>
          <w:p w14:paraId="646B1714" w14:textId="77777777" w:rsidR="006A1149" w:rsidRPr="00663441" w:rsidRDefault="006A1149" w:rsidP="00057903">
            <w:pPr>
              <w:pStyle w:val="Titulek"/>
              <w:keepNext/>
              <w:spacing w:before="120" w:after="0"/>
              <w:jc w:val="center"/>
              <w:rPr>
                <w:rFonts w:asciiTheme="minorHAnsi" w:hAnsiTheme="minorHAnsi" w:cstheme="minorHAnsi"/>
                <w:b/>
                <w:i w:val="0"/>
                <w:color w:val="004595"/>
                <w:sz w:val="28"/>
                <w:szCs w:val="22"/>
              </w:rPr>
            </w:pPr>
            <w:r w:rsidRPr="00663441">
              <w:rPr>
                <w:rFonts w:asciiTheme="minorHAnsi" w:hAnsiTheme="minorHAnsi" w:cstheme="minorHAnsi"/>
                <w:b/>
                <w:i w:val="0"/>
                <w:color w:val="004595"/>
                <w:sz w:val="28"/>
                <w:szCs w:val="22"/>
              </w:rPr>
              <w:t>4,3 mld. Kč</w:t>
            </w:r>
          </w:p>
        </w:tc>
        <w:tc>
          <w:tcPr>
            <w:tcW w:w="3756" w:type="dxa"/>
            <w:shd w:val="clear" w:color="auto" w:fill="E5F1FF"/>
            <w:vAlign w:val="center"/>
          </w:tcPr>
          <w:p w14:paraId="7B613F7E" w14:textId="77777777" w:rsidR="006A1149" w:rsidRPr="00663441" w:rsidRDefault="006A1149" w:rsidP="00057903">
            <w:pPr>
              <w:pStyle w:val="Titulek"/>
              <w:keepNext/>
              <w:spacing w:before="120" w:after="0"/>
              <w:jc w:val="center"/>
              <w:rPr>
                <w:rFonts w:asciiTheme="minorHAnsi" w:hAnsiTheme="minorHAnsi" w:cstheme="minorHAnsi"/>
                <w:b/>
                <w:i w:val="0"/>
                <w:color w:val="004595"/>
                <w:sz w:val="28"/>
                <w:szCs w:val="22"/>
              </w:rPr>
            </w:pPr>
            <w:r w:rsidRPr="00663441">
              <w:rPr>
                <w:rFonts w:asciiTheme="minorHAnsi" w:hAnsiTheme="minorHAnsi" w:cstheme="minorHAnsi"/>
                <w:b/>
                <w:i w:val="0"/>
                <w:color w:val="004595"/>
                <w:sz w:val="28"/>
                <w:szCs w:val="22"/>
              </w:rPr>
              <w:t>0,6 mld. Kč</w:t>
            </w:r>
          </w:p>
        </w:tc>
      </w:tr>
      <w:tr w:rsidR="006A1149" w:rsidRPr="00663441" w14:paraId="4147602F" w14:textId="77777777" w:rsidTr="00057903">
        <w:trPr>
          <w:trHeight w:val="694"/>
        </w:trPr>
        <w:tc>
          <w:tcPr>
            <w:tcW w:w="1560" w:type="dxa"/>
            <w:gridSpan w:val="2"/>
            <w:vMerge/>
            <w:shd w:val="clear" w:color="auto" w:fill="004595"/>
          </w:tcPr>
          <w:p w14:paraId="5992449A" w14:textId="77777777" w:rsidR="006A1149" w:rsidRPr="00663441" w:rsidRDefault="006A1149" w:rsidP="00057903">
            <w:pPr>
              <w:pStyle w:val="Titulek"/>
              <w:keepNext/>
              <w:spacing w:after="0"/>
              <w:jc w:val="center"/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3756" w:type="dxa"/>
            <w:gridSpan w:val="2"/>
            <w:shd w:val="clear" w:color="auto" w:fill="E5F1FF"/>
          </w:tcPr>
          <w:p w14:paraId="5B5EB6B0" w14:textId="77777777" w:rsidR="006A1149" w:rsidRPr="00663441" w:rsidRDefault="006A1149" w:rsidP="00057903">
            <w:pPr>
              <w:pStyle w:val="Titulek"/>
              <w:keepNext/>
              <w:spacing w:after="120"/>
              <w:jc w:val="center"/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</w:pPr>
            <w:r w:rsidRPr="00663441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>Promlčené</w:t>
            </w:r>
            <w:r w:rsidRPr="00663441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br/>
              <w:t>pohledávky</w:t>
            </w:r>
          </w:p>
        </w:tc>
        <w:tc>
          <w:tcPr>
            <w:tcW w:w="3756" w:type="dxa"/>
            <w:shd w:val="clear" w:color="auto" w:fill="E5F1FF"/>
          </w:tcPr>
          <w:p w14:paraId="5B93699C" w14:textId="77777777" w:rsidR="006A1149" w:rsidRPr="00663441" w:rsidRDefault="006A1149" w:rsidP="00057903">
            <w:pPr>
              <w:pStyle w:val="Titulek"/>
              <w:keepNext/>
              <w:spacing w:after="120"/>
              <w:jc w:val="center"/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</w:pPr>
            <w:r w:rsidRPr="00663441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>Ostatní</w:t>
            </w:r>
            <w:r w:rsidRPr="00663441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br/>
              <w:t>(SŽDC, s.o.)</w:t>
            </w:r>
          </w:p>
        </w:tc>
      </w:tr>
      <w:tr w:rsidR="006A1149" w:rsidRPr="00663441" w14:paraId="7A98FABE" w14:textId="77777777" w:rsidTr="00057903">
        <w:tblPrEx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9072" w:type="dxa"/>
            <w:gridSpan w:val="5"/>
          </w:tcPr>
          <w:p w14:paraId="6A41D518" w14:textId="77777777" w:rsidR="006A1149" w:rsidRPr="00663441" w:rsidRDefault="006A1149" w:rsidP="00057903">
            <w:pPr>
              <w:tabs>
                <w:tab w:val="left" w:pos="3017"/>
              </w:tabs>
              <w:autoSpaceDE w:val="0"/>
              <w:autoSpaceDN w:val="0"/>
              <w:adjustRightInd w:val="0"/>
              <w:spacing w:line="259" w:lineRule="auto"/>
              <w:ind w:right="448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A1149" w:rsidRPr="00663441" w14:paraId="4E75F752" w14:textId="77777777" w:rsidTr="00057903">
        <w:tblPrEx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1531" w:type="dxa"/>
          </w:tcPr>
          <w:p w14:paraId="59D842FB" w14:textId="77777777" w:rsidR="006A1149" w:rsidRPr="00663441" w:rsidRDefault="006A1149" w:rsidP="00057903">
            <w:pPr>
              <w:spacing w:after="120"/>
              <w:jc w:val="center"/>
              <w:rPr>
                <w:rFonts w:asciiTheme="minorHAnsi" w:hAnsiTheme="minorHAnsi" w:cstheme="minorHAnsi"/>
                <w:b/>
                <w:sz w:val="32"/>
                <w:szCs w:val="28"/>
              </w:rPr>
            </w:pPr>
          </w:p>
        </w:tc>
        <w:tc>
          <w:tcPr>
            <w:tcW w:w="2438" w:type="dxa"/>
            <w:gridSpan w:val="2"/>
            <w:vAlign w:val="center"/>
          </w:tcPr>
          <w:p w14:paraId="588E900B" w14:textId="77777777" w:rsidR="006A1149" w:rsidRPr="00663441" w:rsidRDefault="006A1149" w:rsidP="00057903">
            <w:pPr>
              <w:spacing w:after="120"/>
              <w:ind w:right="317"/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63441">
              <w:rPr>
                <w:rFonts w:asciiTheme="minorHAnsi" w:hAnsiTheme="minorHAnsi" w:cstheme="minorHAnsi"/>
                <w:b/>
                <w:sz w:val="32"/>
                <w:szCs w:val="28"/>
              </w:rPr>
              <w:t>87 %</w:t>
            </w:r>
          </w:p>
        </w:tc>
        <w:tc>
          <w:tcPr>
            <w:tcW w:w="5103" w:type="dxa"/>
            <w:gridSpan w:val="2"/>
          </w:tcPr>
          <w:p w14:paraId="7038CF4F" w14:textId="77777777" w:rsidR="006A1149" w:rsidRPr="00663441" w:rsidRDefault="006A1149" w:rsidP="00057903">
            <w:pPr>
              <w:tabs>
                <w:tab w:val="left" w:pos="3017"/>
              </w:tabs>
              <w:autoSpaceDE w:val="0"/>
              <w:autoSpaceDN w:val="0"/>
              <w:adjustRightInd w:val="0"/>
              <w:spacing w:line="259" w:lineRule="auto"/>
              <w:ind w:right="448"/>
              <w:rPr>
                <w:rFonts w:asciiTheme="minorHAnsi" w:hAnsiTheme="minorHAnsi" w:cstheme="minorHAnsi"/>
                <w:sz w:val="21"/>
                <w:szCs w:val="21"/>
              </w:rPr>
            </w:pPr>
            <w:r w:rsidRPr="00663441">
              <w:rPr>
                <w:rFonts w:asciiTheme="minorHAnsi" w:hAnsiTheme="minorHAnsi" w:cstheme="minorHAnsi"/>
                <w:sz w:val="21"/>
                <w:szCs w:val="21"/>
              </w:rPr>
              <w:t>Více než 87 % těchto pohledávek je promlčených, zbylá část pohledávek je průběžně promíjena.</w:t>
            </w:r>
          </w:p>
        </w:tc>
      </w:tr>
    </w:tbl>
    <w:p w14:paraId="1E9DD4BD" w14:textId="77777777" w:rsidR="006A1149" w:rsidRPr="00663441" w:rsidRDefault="006A1149" w:rsidP="006A1149">
      <w:pPr>
        <w:spacing w:after="120"/>
        <w:rPr>
          <w:rFonts w:asciiTheme="minorHAnsi" w:hAnsiTheme="minorHAnsi" w:cstheme="minorHAnsi"/>
          <w:b/>
          <w:sz w:val="28"/>
          <w:szCs w:val="28"/>
        </w:rPr>
      </w:pPr>
    </w:p>
    <w:p w14:paraId="27F7293C" w14:textId="77777777" w:rsidR="006A1149" w:rsidRPr="00817E5D" w:rsidRDefault="006A1149" w:rsidP="006A1149">
      <w:pPr>
        <w:autoSpaceDE w:val="0"/>
        <w:autoSpaceDN w:val="0"/>
        <w:adjustRightInd w:val="0"/>
        <w:spacing w:before="240" w:after="120" w:line="259" w:lineRule="auto"/>
        <w:ind w:right="851"/>
        <w:jc w:val="both"/>
        <w:rPr>
          <w:rFonts w:asciiTheme="minorHAnsi" w:hAnsiTheme="minorHAnsi" w:cstheme="minorHAnsi"/>
          <w:b/>
          <w:szCs w:val="21"/>
        </w:rPr>
      </w:pPr>
      <w:r w:rsidRPr="00817E5D">
        <w:rPr>
          <w:rFonts w:asciiTheme="minorHAnsi" w:hAnsiTheme="minorHAnsi" w:cstheme="minorHAnsi"/>
          <w:b/>
          <w:szCs w:val="21"/>
        </w:rPr>
        <w:t xml:space="preserve">Peněžní prostředky </w:t>
      </w:r>
      <w:r>
        <w:rPr>
          <w:rFonts w:asciiTheme="minorHAnsi" w:hAnsiTheme="minorHAnsi" w:cstheme="minorHAnsi"/>
          <w:b/>
          <w:szCs w:val="21"/>
        </w:rPr>
        <w:t xml:space="preserve">uhrazené v letech 2013–2016 </w:t>
      </w:r>
      <w:r w:rsidRPr="00817E5D">
        <w:rPr>
          <w:rFonts w:asciiTheme="minorHAnsi" w:hAnsiTheme="minorHAnsi" w:cstheme="minorHAnsi"/>
          <w:b/>
          <w:szCs w:val="21"/>
        </w:rPr>
        <w:t>ze státního rozpočtu</w:t>
      </w:r>
    </w:p>
    <w:tbl>
      <w:tblPr>
        <w:tblW w:w="9075" w:type="dxa"/>
        <w:jc w:val="center"/>
        <w:shd w:val="clear" w:color="auto" w:fill="E5F1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106"/>
      </w:tblGrid>
      <w:tr w:rsidR="006A1149" w:rsidRPr="00663441" w14:paraId="757ACA6E" w14:textId="77777777" w:rsidTr="00057903">
        <w:trPr>
          <w:trHeight w:val="393"/>
          <w:jc w:val="center"/>
        </w:trPr>
        <w:tc>
          <w:tcPr>
            <w:tcW w:w="3969" w:type="dxa"/>
            <w:shd w:val="clear" w:color="auto" w:fill="E5F1FF"/>
            <w:vAlign w:val="center"/>
          </w:tcPr>
          <w:p w14:paraId="4FF59CB7" w14:textId="77777777" w:rsidR="006A1149" w:rsidRPr="00663441" w:rsidRDefault="006A1149" w:rsidP="000579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</w:pPr>
            <w:r w:rsidRPr="00817E5D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>13,6 mld. Kč</w:t>
            </w:r>
          </w:p>
        </w:tc>
        <w:tc>
          <w:tcPr>
            <w:tcW w:w="5106" w:type="dxa"/>
            <w:shd w:val="clear" w:color="auto" w:fill="E5F1FF"/>
            <w:vAlign w:val="center"/>
          </w:tcPr>
          <w:p w14:paraId="1C8A01FB" w14:textId="77777777" w:rsidR="006A1149" w:rsidRPr="00663441" w:rsidRDefault="006A1149" w:rsidP="00057903">
            <w:pPr>
              <w:autoSpaceDE w:val="0"/>
              <w:autoSpaceDN w:val="0"/>
              <w:adjustRightInd w:val="0"/>
              <w:spacing w:before="120" w:after="120" w:line="259" w:lineRule="auto"/>
              <w:ind w:right="488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817E5D">
              <w:rPr>
                <w:rFonts w:asciiTheme="minorHAnsi" w:hAnsiTheme="minorHAnsi" w:cstheme="minorHAnsi"/>
                <w:sz w:val="21"/>
                <w:szCs w:val="21"/>
              </w:rPr>
              <w:t>Peněžní prostředky uhrazené v kontrolovaném období 2013–2016 ze státního rozpočtu v souvislosti se státními zárukami a ručením.</w:t>
            </w:r>
          </w:p>
        </w:tc>
      </w:tr>
    </w:tbl>
    <w:p w14:paraId="02B4CC69" w14:textId="77777777" w:rsidR="006A1149" w:rsidRDefault="006A1149" w:rsidP="006A1149">
      <w:pPr>
        <w:rPr>
          <w:rFonts w:asciiTheme="minorHAnsi" w:hAnsiTheme="minorHAnsi" w:cstheme="minorHAnsi"/>
          <w:b/>
          <w:sz w:val="28"/>
          <w:szCs w:val="28"/>
        </w:rPr>
      </w:pPr>
    </w:p>
    <w:p w14:paraId="6D1281BA" w14:textId="77777777" w:rsidR="006A1149" w:rsidRPr="00817E5D" w:rsidRDefault="006A1149" w:rsidP="006A1149">
      <w:pPr>
        <w:autoSpaceDE w:val="0"/>
        <w:autoSpaceDN w:val="0"/>
        <w:adjustRightInd w:val="0"/>
        <w:spacing w:before="240" w:after="120" w:line="259" w:lineRule="auto"/>
        <w:ind w:right="851"/>
        <w:jc w:val="both"/>
        <w:rPr>
          <w:rFonts w:asciiTheme="minorHAnsi" w:hAnsiTheme="minorHAnsi" w:cstheme="minorHAnsi"/>
          <w:b/>
          <w:szCs w:val="21"/>
        </w:rPr>
      </w:pPr>
      <w:r w:rsidRPr="00B354C9">
        <w:rPr>
          <w:rFonts w:asciiTheme="minorHAnsi" w:hAnsiTheme="minorHAnsi" w:cstheme="minorHAnsi"/>
          <w:b/>
          <w:szCs w:val="21"/>
        </w:rPr>
        <w:t>Ručení státu za závazky příspěvkových organizací k 31. 12. 2016</w:t>
      </w:r>
      <w:r>
        <w:rPr>
          <w:rFonts w:asciiTheme="minorHAnsi" w:hAnsiTheme="minorHAnsi" w:cstheme="minorHAnsi"/>
          <w:b/>
          <w:szCs w:val="21"/>
        </w:rPr>
        <w:t xml:space="preserve"> </w:t>
      </w:r>
    </w:p>
    <w:tbl>
      <w:tblPr>
        <w:tblW w:w="9075" w:type="dxa"/>
        <w:jc w:val="center"/>
        <w:shd w:val="clear" w:color="auto" w:fill="E5F1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106"/>
      </w:tblGrid>
      <w:tr w:rsidR="006A1149" w:rsidRPr="00663441" w14:paraId="4CC72B2F" w14:textId="77777777" w:rsidTr="00057903">
        <w:trPr>
          <w:trHeight w:val="393"/>
          <w:jc w:val="center"/>
        </w:trPr>
        <w:tc>
          <w:tcPr>
            <w:tcW w:w="3969" w:type="dxa"/>
            <w:shd w:val="clear" w:color="auto" w:fill="E5F1FF"/>
            <w:vAlign w:val="center"/>
          </w:tcPr>
          <w:p w14:paraId="7A07B581" w14:textId="77777777" w:rsidR="006A1149" w:rsidRPr="00663441" w:rsidRDefault="006A1149" w:rsidP="000579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</w:pPr>
            <w:r w:rsidRPr="00663441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>34 mld. Kč</w:t>
            </w:r>
          </w:p>
        </w:tc>
        <w:tc>
          <w:tcPr>
            <w:tcW w:w="5106" w:type="dxa"/>
            <w:shd w:val="clear" w:color="auto" w:fill="E5F1FF"/>
            <w:vAlign w:val="center"/>
          </w:tcPr>
          <w:p w14:paraId="14CB0D3A" w14:textId="77777777" w:rsidR="006A1149" w:rsidRPr="00663441" w:rsidRDefault="006A1149" w:rsidP="00294863">
            <w:pPr>
              <w:autoSpaceDE w:val="0"/>
              <w:autoSpaceDN w:val="0"/>
              <w:adjustRightInd w:val="0"/>
              <w:spacing w:before="120" w:after="120" w:line="259" w:lineRule="auto"/>
              <w:ind w:right="488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63441">
              <w:rPr>
                <w:rFonts w:asciiTheme="minorHAnsi" w:hAnsiTheme="minorHAnsi" w:cstheme="minorHAnsi"/>
                <w:sz w:val="21"/>
                <w:szCs w:val="21"/>
              </w:rPr>
              <w:t xml:space="preserve">V letech 2014 až 2016 se celková výše závazků příspěvkových organizací zvýšila o 42 %. </w:t>
            </w:r>
            <w:r w:rsidR="001E3AC6">
              <w:rPr>
                <w:rFonts w:asciiTheme="minorHAnsi" w:hAnsiTheme="minorHAnsi" w:cstheme="minorHAnsi"/>
                <w:sz w:val="21"/>
                <w:szCs w:val="21"/>
              </w:rPr>
              <w:t>Z</w:t>
            </w:r>
            <w:r w:rsidRPr="00663441">
              <w:rPr>
                <w:rFonts w:asciiTheme="minorHAnsi" w:hAnsiTheme="minorHAnsi" w:cstheme="minorHAnsi"/>
                <w:sz w:val="21"/>
                <w:szCs w:val="21"/>
              </w:rPr>
              <w:t>ávěrečn</w:t>
            </w:r>
            <w:r w:rsidR="001E3AC6">
              <w:rPr>
                <w:rFonts w:asciiTheme="minorHAnsi" w:hAnsiTheme="minorHAnsi" w:cstheme="minorHAnsi"/>
                <w:sz w:val="21"/>
                <w:szCs w:val="21"/>
              </w:rPr>
              <w:t>é</w:t>
            </w:r>
            <w:r w:rsidRPr="00663441">
              <w:rPr>
                <w:rFonts w:asciiTheme="minorHAnsi" w:hAnsiTheme="minorHAnsi" w:cstheme="minorHAnsi"/>
                <w:sz w:val="21"/>
                <w:szCs w:val="21"/>
              </w:rPr>
              <w:t xml:space="preserve"> účt</w:t>
            </w:r>
            <w:r w:rsidR="001E3AC6">
              <w:rPr>
                <w:rFonts w:asciiTheme="minorHAnsi" w:hAnsiTheme="minorHAnsi" w:cstheme="minorHAnsi"/>
                <w:sz w:val="21"/>
                <w:szCs w:val="21"/>
              </w:rPr>
              <w:t>y neobsahují informace o s</w:t>
            </w:r>
            <w:r w:rsidR="001E3AC6" w:rsidRPr="00663441">
              <w:rPr>
                <w:rFonts w:asciiTheme="minorHAnsi" w:hAnsiTheme="minorHAnsi" w:cstheme="minorHAnsi"/>
                <w:sz w:val="21"/>
                <w:szCs w:val="21"/>
              </w:rPr>
              <w:t>tav</w:t>
            </w:r>
            <w:r w:rsidR="001E3AC6">
              <w:rPr>
                <w:rFonts w:asciiTheme="minorHAnsi" w:hAnsiTheme="minorHAnsi" w:cstheme="minorHAnsi"/>
                <w:sz w:val="21"/>
                <w:szCs w:val="21"/>
              </w:rPr>
              <w:t>u</w:t>
            </w:r>
            <w:r w:rsidR="001E3AC6" w:rsidRPr="00663441">
              <w:rPr>
                <w:rFonts w:asciiTheme="minorHAnsi" w:hAnsiTheme="minorHAnsi" w:cstheme="minorHAnsi"/>
                <w:sz w:val="21"/>
                <w:szCs w:val="21"/>
              </w:rPr>
              <w:t xml:space="preserve"> a vývoj</w:t>
            </w:r>
            <w:r w:rsidR="001E3AC6">
              <w:rPr>
                <w:rFonts w:asciiTheme="minorHAnsi" w:hAnsiTheme="minorHAnsi" w:cstheme="minorHAnsi"/>
                <w:sz w:val="21"/>
                <w:szCs w:val="21"/>
              </w:rPr>
              <w:t>i</w:t>
            </w:r>
            <w:r w:rsidR="001E3AC6" w:rsidRPr="0066344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1E3AC6">
              <w:rPr>
                <w:rFonts w:asciiTheme="minorHAnsi" w:hAnsiTheme="minorHAnsi" w:cstheme="minorHAnsi"/>
                <w:sz w:val="21"/>
                <w:szCs w:val="21"/>
              </w:rPr>
              <w:t>závazků, za které ručí stát</w:t>
            </w:r>
            <w:r w:rsidRPr="001E3AC6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</w:tr>
    </w:tbl>
    <w:p w14:paraId="0FD07DFF" w14:textId="77777777" w:rsidR="006A1149" w:rsidRPr="000169E8" w:rsidRDefault="006A1149" w:rsidP="000169E8">
      <w:pPr>
        <w:jc w:val="both"/>
        <w:rPr>
          <w:rFonts w:asciiTheme="minorHAnsi" w:hAnsiTheme="minorHAnsi" w:cstheme="minorHAnsi"/>
          <w:szCs w:val="28"/>
        </w:rPr>
      </w:pPr>
    </w:p>
    <w:p w14:paraId="4C7E63E5" w14:textId="77777777" w:rsidR="000169E8" w:rsidRDefault="000169E8">
      <w:p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br w:type="page"/>
      </w:r>
    </w:p>
    <w:p w14:paraId="27CB343D" w14:textId="77777777" w:rsidR="00E40384" w:rsidRPr="00663441" w:rsidRDefault="00964A95" w:rsidP="000169E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63441">
        <w:rPr>
          <w:rFonts w:asciiTheme="minorHAnsi" w:hAnsiTheme="minorHAnsi" w:cstheme="minorHAnsi"/>
          <w:b/>
          <w:sz w:val="28"/>
          <w:szCs w:val="28"/>
        </w:rPr>
        <w:lastRenderedPageBreak/>
        <w:t>I. Shrnutí a vyhodnocení</w:t>
      </w:r>
    </w:p>
    <w:p w14:paraId="399FDF27" w14:textId="77777777" w:rsidR="000169E8" w:rsidRDefault="000169E8" w:rsidP="000169E8">
      <w:pPr>
        <w:jc w:val="both"/>
        <w:rPr>
          <w:rFonts w:asciiTheme="minorHAnsi" w:hAnsiTheme="minorHAnsi" w:cstheme="minorHAnsi"/>
          <w:bCs/>
        </w:rPr>
      </w:pPr>
    </w:p>
    <w:p w14:paraId="4540B096" w14:textId="42EB6183" w:rsidR="00394CBF" w:rsidRPr="00394CBF" w:rsidRDefault="00394CBF" w:rsidP="000169E8">
      <w:pPr>
        <w:jc w:val="both"/>
        <w:rPr>
          <w:rFonts w:asciiTheme="minorHAnsi" w:hAnsiTheme="minorHAnsi" w:cstheme="minorHAnsi"/>
          <w:bCs/>
        </w:rPr>
      </w:pPr>
      <w:r w:rsidRPr="00394CBF">
        <w:rPr>
          <w:rFonts w:asciiTheme="minorHAnsi" w:hAnsiTheme="minorHAnsi" w:cstheme="minorHAnsi"/>
          <w:bCs/>
        </w:rPr>
        <w:t xml:space="preserve">NKÚ provedl kontrolu státních záruk, zejména prověřoval, zda </w:t>
      </w:r>
      <w:r w:rsidR="00123271">
        <w:rPr>
          <w:rFonts w:asciiTheme="minorHAnsi" w:hAnsiTheme="minorHAnsi" w:cstheme="minorHAnsi"/>
          <w:bCs/>
        </w:rPr>
        <w:t>MF v kontrolovaném období (2013–</w:t>
      </w:r>
      <w:r w:rsidRPr="00394CBF">
        <w:rPr>
          <w:rFonts w:asciiTheme="minorHAnsi" w:hAnsiTheme="minorHAnsi" w:cstheme="minorHAnsi"/>
          <w:bCs/>
        </w:rPr>
        <w:t xml:space="preserve">2016) při </w:t>
      </w:r>
      <w:r w:rsidR="00B0145A">
        <w:rPr>
          <w:rFonts w:asciiTheme="minorHAnsi" w:hAnsiTheme="minorHAnsi" w:cstheme="minorHAnsi"/>
          <w:bCs/>
        </w:rPr>
        <w:t xml:space="preserve">jejich </w:t>
      </w:r>
      <w:r w:rsidRPr="00394CBF">
        <w:rPr>
          <w:rFonts w:asciiTheme="minorHAnsi" w:hAnsiTheme="minorHAnsi" w:cstheme="minorHAnsi"/>
          <w:bCs/>
        </w:rPr>
        <w:t xml:space="preserve">správě </w:t>
      </w:r>
      <w:r w:rsidR="001D5365">
        <w:rPr>
          <w:rFonts w:asciiTheme="minorHAnsi" w:hAnsiTheme="minorHAnsi" w:cstheme="minorHAnsi"/>
          <w:bCs/>
        </w:rPr>
        <w:t>postupovalo</w:t>
      </w:r>
      <w:r w:rsidR="001D5365" w:rsidRPr="00394CBF">
        <w:rPr>
          <w:rFonts w:asciiTheme="minorHAnsi" w:hAnsiTheme="minorHAnsi" w:cstheme="minorHAnsi"/>
          <w:bCs/>
        </w:rPr>
        <w:t xml:space="preserve"> </w:t>
      </w:r>
      <w:r w:rsidRPr="00394CBF">
        <w:rPr>
          <w:rFonts w:asciiTheme="minorHAnsi" w:hAnsiTheme="minorHAnsi" w:cstheme="minorHAnsi"/>
          <w:bCs/>
        </w:rPr>
        <w:t>v souladu s právními předpisy, usneseními vlády, smluvními podmínkami a zda MF dodržovalo předpisy při evidenci státních záruk a při nakládání s pohledávkami vzniklými z jejich realizace. V kontrolovaném období dosáhla výše peněžních prostředků uhrazených ze státního rozpočtu v souvislosti se státními zárukami a ručením částky 13 620 mil. Kč.</w:t>
      </w:r>
    </w:p>
    <w:p w14:paraId="5DC34707" w14:textId="77777777" w:rsidR="00E40384" w:rsidRPr="00663441" w:rsidRDefault="00E40384" w:rsidP="000169E8">
      <w:pPr>
        <w:rPr>
          <w:rFonts w:asciiTheme="minorHAnsi" w:hAnsiTheme="minorHAnsi" w:cstheme="minorHAnsi"/>
        </w:rPr>
      </w:pPr>
    </w:p>
    <w:p w14:paraId="2788BDE6" w14:textId="132CFDE0" w:rsidR="00EF7388" w:rsidRPr="00663441" w:rsidRDefault="00964A95" w:rsidP="000169E8">
      <w:pPr>
        <w:jc w:val="both"/>
        <w:rPr>
          <w:rFonts w:asciiTheme="minorHAnsi" w:hAnsiTheme="minorHAnsi" w:cstheme="minorHAnsi"/>
          <w:b/>
          <w:bCs/>
        </w:rPr>
      </w:pPr>
      <w:r w:rsidRPr="00663441">
        <w:rPr>
          <w:rFonts w:asciiTheme="minorHAnsi" w:hAnsiTheme="minorHAnsi" w:cstheme="minorHAnsi"/>
          <w:b/>
          <w:bCs/>
        </w:rPr>
        <w:t>Kontrolou byly zjištěny pouze dílčí nedostatky při evidenci státních záruk</w:t>
      </w:r>
      <w:r w:rsidR="001E3AC6">
        <w:rPr>
          <w:rFonts w:asciiTheme="minorHAnsi" w:hAnsiTheme="minorHAnsi" w:cstheme="minorHAnsi"/>
          <w:b/>
          <w:bCs/>
        </w:rPr>
        <w:t>,</w:t>
      </w:r>
      <w:r w:rsidR="008A6B47">
        <w:rPr>
          <w:rFonts w:asciiTheme="minorHAnsi" w:hAnsiTheme="minorHAnsi" w:cstheme="minorHAnsi"/>
          <w:b/>
        </w:rPr>
        <w:t xml:space="preserve"> </w:t>
      </w:r>
      <w:r w:rsidRPr="00663441">
        <w:rPr>
          <w:rFonts w:asciiTheme="minorHAnsi" w:hAnsiTheme="minorHAnsi" w:cstheme="minorHAnsi"/>
          <w:b/>
        </w:rPr>
        <w:t xml:space="preserve">jejich </w:t>
      </w:r>
      <w:r w:rsidR="00123271">
        <w:rPr>
          <w:rFonts w:asciiTheme="minorHAnsi" w:hAnsiTheme="minorHAnsi" w:cstheme="minorHAnsi"/>
          <w:b/>
        </w:rPr>
        <w:t>vykazová</w:t>
      </w:r>
      <w:r w:rsidRPr="00B94B18">
        <w:rPr>
          <w:rFonts w:asciiTheme="minorHAnsi" w:hAnsiTheme="minorHAnsi" w:cstheme="minorHAnsi"/>
          <w:b/>
        </w:rPr>
        <w:t>ní</w:t>
      </w:r>
      <w:r w:rsidRPr="00663441">
        <w:rPr>
          <w:rFonts w:asciiTheme="minorHAnsi" w:hAnsiTheme="minorHAnsi" w:cstheme="minorHAnsi"/>
          <w:b/>
        </w:rPr>
        <w:t xml:space="preserve"> </w:t>
      </w:r>
      <w:r w:rsidR="001E3AC6" w:rsidRPr="00663441">
        <w:rPr>
          <w:rFonts w:asciiTheme="minorHAnsi" w:hAnsiTheme="minorHAnsi" w:cstheme="minorHAnsi"/>
          <w:b/>
        </w:rPr>
        <w:t>v účetnictví a</w:t>
      </w:r>
      <w:r w:rsidR="001E3AC6">
        <w:rPr>
          <w:rFonts w:asciiTheme="minorHAnsi" w:hAnsiTheme="minorHAnsi" w:cstheme="minorHAnsi"/>
          <w:b/>
        </w:rPr>
        <w:t xml:space="preserve"> zveřejňování</w:t>
      </w:r>
      <w:r w:rsidR="001E3AC6" w:rsidRPr="00663441">
        <w:rPr>
          <w:rFonts w:asciiTheme="minorHAnsi" w:hAnsiTheme="minorHAnsi" w:cstheme="minorHAnsi"/>
          <w:b/>
        </w:rPr>
        <w:t xml:space="preserve"> </w:t>
      </w:r>
      <w:r w:rsidR="00127480" w:rsidRPr="00663441">
        <w:rPr>
          <w:rFonts w:asciiTheme="minorHAnsi" w:hAnsiTheme="minorHAnsi" w:cstheme="minorHAnsi"/>
          <w:b/>
        </w:rPr>
        <w:t xml:space="preserve">ve </w:t>
      </w:r>
      <w:r w:rsidR="008A6B47">
        <w:rPr>
          <w:rFonts w:asciiTheme="minorHAnsi" w:hAnsiTheme="minorHAnsi" w:cstheme="minorHAnsi"/>
          <w:b/>
        </w:rPr>
        <w:t>s</w:t>
      </w:r>
      <w:r w:rsidR="00127480" w:rsidRPr="00663441">
        <w:rPr>
          <w:rFonts w:asciiTheme="minorHAnsi" w:hAnsiTheme="minorHAnsi" w:cstheme="minorHAnsi"/>
          <w:b/>
        </w:rPr>
        <w:t>tátním závěrečném účtu</w:t>
      </w:r>
      <w:r w:rsidRPr="00663441">
        <w:rPr>
          <w:rFonts w:asciiTheme="minorHAnsi" w:hAnsiTheme="minorHAnsi" w:cstheme="minorHAnsi"/>
          <w:b/>
          <w:bCs/>
        </w:rPr>
        <w:t xml:space="preserve">. </w:t>
      </w:r>
      <w:r w:rsidR="00294863">
        <w:rPr>
          <w:rFonts w:asciiTheme="minorHAnsi" w:hAnsiTheme="minorHAnsi" w:cstheme="minorHAnsi"/>
          <w:b/>
          <w:bCs/>
        </w:rPr>
        <w:t>P</w:t>
      </w:r>
      <w:r w:rsidR="00294863" w:rsidRPr="00844538">
        <w:rPr>
          <w:rFonts w:asciiTheme="minorHAnsi" w:hAnsiTheme="minorHAnsi" w:cstheme="minorHAnsi"/>
          <w:b/>
          <w:bCs/>
          <w:noProof/>
        </w:rPr>
        <w:t>ostupy MF pro správu pohledávek</w:t>
      </w:r>
      <w:r w:rsidR="00294863" w:rsidRPr="00294863">
        <w:rPr>
          <w:rFonts w:asciiTheme="minorHAnsi" w:hAnsiTheme="minorHAnsi" w:cstheme="minorHAnsi"/>
          <w:b/>
          <w:bCs/>
          <w:noProof/>
        </w:rPr>
        <w:t xml:space="preserve"> </w:t>
      </w:r>
      <w:r w:rsidR="00294863" w:rsidRPr="00844538">
        <w:rPr>
          <w:rFonts w:asciiTheme="minorHAnsi" w:hAnsiTheme="minorHAnsi" w:cstheme="minorHAnsi"/>
          <w:b/>
          <w:bCs/>
          <w:noProof/>
        </w:rPr>
        <w:t xml:space="preserve">byly </w:t>
      </w:r>
      <w:r w:rsidR="00294863">
        <w:rPr>
          <w:rFonts w:asciiTheme="minorHAnsi" w:hAnsiTheme="minorHAnsi" w:cstheme="minorHAnsi"/>
          <w:b/>
          <w:bCs/>
          <w:noProof/>
        </w:rPr>
        <w:t xml:space="preserve">v </w:t>
      </w:r>
      <w:r w:rsidR="00294863" w:rsidRPr="00844538">
        <w:rPr>
          <w:rFonts w:asciiTheme="minorHAnsi" w:hAnsiTheme="minorHAnsi" w:cstheme="minorHAnsi"/>
          <w:b/>
          <w:bCs/>
          <w:noProof/>
        </w:rPr>
        <w:t xml:space="preserve">kontrolovaném období vnitřními předpisy nastaveny </w:t>
      </w:r>
      <w:r w:rsidR="00294863">
        <w:rPr>
          <w:rFonts w:asciiTheme="minorHAnsi" w:hAnsiTheme="minorHAnsi" w:cstheme="minorHAnsi"/>
          <w:b/>
          <w:bCs/>
          <w:noProof/>
        </w:rPr>
        <w:t>a dodržovány</w:t>
      </w:r>
      <w:r w:rsidR="00294863" w:rsidRPr="00844538">
        <w:rPr>
          <w:rFonts w:asciiTheme="minorHAnsi" w:hAnsiTheme="minorHAnsi" w:cstheme="minorHAnsi"/>
          <w:b/>
          <w:bCs/>
          <w:noProof/>
        </w:rPr>
        <w:t>.</w:t>
      </w:r>
    </w:p>
    <w:p w14:paraId="43E9D8AD" w14:textId="77777777" w:rsidR="00347EB1" w:rsidRDefault="00347EB1" w:rsidP="000169E8">
      <w:pPr>
        <w:jc w:val="both"/>
        <w:rPr>
          <w:rFonts w:asciiTheme="minorHAnsi" w:hAnsiTheme="minorHAnsi" w:cstheme="minorHAnsi"/>
          <w:bCs/>
        </w:rPr>
      </w:pPr>
    </w:p>
    <w:p w14:paraId="7D2A408E" w14:textId="2F270795" w:rsidR="00924F2E" w:rsidRPr="00924F2E" w:rsidRDefault="00924F2E" w:rsidP="000169E8">
      <w:pPr>
        <w:jc w:val="both"/>
        <w:rPr>
          <w:rFonts w:asciiTheme="minorHAnsi" w:hAnsiTheme="minorHAnsi" w:cstheme="minorHAnsi"/>
          <w:b/>
          <w:bCs/>
        </w:rPr>
      </w:pPr>
      <w:r w:rsidRPr="00924F2E">
        <w:rPr>
          <w:rFonts w:asciiTheme="minorHAnsi" w:hAnsiTheme="minorHAnsi" w:cstheme="minorHAnsi"/>
          <w:b/>
          <w:bCs/>
        </w:rPr>
        <w:t>Závazky příspěvkových organizací</w:t>
      </w:r>
      <w:r w:rsidRPr="0072242F">
        <w:rPr>
          <w:rFonts w:asciiTheme="minorHAnsi" w:hAnsiTheme="minorHAnsi" w:cstheme="minorHAnsi"/>
          <w:b/>
          <w:bCs/>
        </w:rPr>
        <w:t>,</w:t>
      </w:r>
      <w:r w:rsidRPr="00924F2E">
        <w:rPr>
          <w:rFonts w:asciiTheme="minorHAnsi" w:hAnsiTheme="minorHAnsi" w:cstheme="minorHAnsi"/>
          <w:bCs/>
        </w:rPr>
        <w:t xml:space="preserve"> za které dle zákona č. 218/2000 Sb. ručí stát</w:t>
      </w:r>
      <w:r w:rsidR="001A37C1">
        <w:rPr>
          <w:rStyle w:val="Znakapoznpodarou"/>
          <w:rFonts w:asciiTheme="minorHAnsi" w:hAnsiTheme="minorHAnsi" w:cstheme="minorHAnsi"/>
          <w:bCs/>
        </w:rPr>
        <w:footnoteReference w:id="2"/>
      </w:r>
      <w:r w:rsidRPr="00924F2E">
        <w:rPr>
          <w:rFonts w:asciiTheme="minorHAnsi" w:hAnsiTheme="minorHAnsi" w:cstheme="minorHAnsi"/>
          <w:bCs/>
        </w:rPr>
        <w:t xml:space="preserve">, </w:t>
      </w:r>
      <w:r w:rsidRPr="00924F2E">
        <w:rPr>
          <w:rFonts w:asciiTheme="minorHAnsi" w:hAnsiTheme="minorHAnsi" w:cstheme="minorHAnsi"/>
          <w:b/>
          <w:bCs/>
        </w:rPr>
        <w:t>vzrostly v</w:t>
      </w:r>
      <w:r>
        <w:rPr>
          <w:rFonts w:asciiTheme="minorHAnsi" w:hAnsiTheme="minorHAnsi" w:cstheme="minorHAnsi"/>
          <w:b/>
          <w:bCs/>
        </w:rPr>
        <w:t> </w:t>
      </w:r>
      <w:r w:rsidRPr="00924F2E">
        <w:rPr>
          <w:rFonts w:asciiTheme="minorHAnsi" w:hAnsiTheme="minorHAnsi" w:cstheme="minorHAnsi"/>
          <w:b/>
          <w:bCs/>
        </w:rPr>
        <w:t>letech 2014 až 2016 o 42 % na cca 34 mld. Kč</w:t>
      </w:r>
      <w:r w:rsidR="00130CD9">
        <w:rPr>
          <w:rFonts w:asciiTheme="minorHAnsi" w:hAnsiTheme="minorHAnsi" w:cstheme="minorHAnsi"/>
          <w:b/>
          <w:bCs/>
        </w:rPr>
        <w:t>.</w:t>
      </w:r>
      <w:r w:rsidRPr="00924F2E">
        <w:rPr>
          <w:rFonts w:asciiTheme="minorHAnsi" w:hAnsiTheme="minorHAnsi" w:cstheme="minorHAnsi"/>
          <w:b/>
          <w:bCs/>
        </w:rPr>
        <w:t xml:space="preserve"> </w:t>
      </w:r>
      <w:r w:rsidRPr="00924F2E">
        <w:rPr>
          <w:rFonts w:asciiTheme="minorHAnsi" w:hAnsiTheme="minorHAnsi" w:cstheme="minorHAnsi"/>
          <w:bCs/>
        </w:rPr>
        <w:t>Podle platné legislativy však informace o</w:t>
      </w:r>
      <w:r>
        <w:rPr>
          <w:rFonts w:asciiTheme="minorHAnsi" w:hAnsiTheme="minorHAnsi" w:cstheme="minorHAnsi"/>
          <w:bCs/>
        </w:rPr>
        <w:t> </w:t>
      </w:r>
      <w:r w:rsidRPr="00924F2E">
        <w:rPr>
          <w:rFonts w:asciiTheme="minorHAnsi" w:hAnsiTheme="minorHAnsi" w:cstheme="minorHAnsi"/>
          <w:bCs/>
        </w:rPr>
        <w:t xml:space="preserve">stavu a vývoji těchto závazků nejsou povinnou součástí </w:t>
      </w:r>
      <w:r w:rsidR="008A6B47">
        <w:rPr>
          <w:rFonts w:asciiTheme="minorHAnsi" w:hAnsiTheme="minorHAnsi" w:cstheme="minorHAnsi"/>
          <w:bCs/>
        </w:rPr>
        <w:t>s</w:t>
      </w:r>
      <w:r w:rsidR="006935A0">
        <w:rPr>
          <w:rFonts w:asciiTheme="minorHAnsi" w:hAnsiTheme="minorHAnsi" w:cstheme="minorHAnsi"/>
          <w:bCs/>
        </w:rPr>
        <w:t>tátního závěrečného</w:t>
      </w:r>
      <w:r w:rsidR="006935A0" w:rsidRPr="006935A0">
        <w:rPr>
          <w:rFonts w:asciiTheme="minorHAnsi" w:hAnsiTheme="minorHAnsi" w:cstheme="minorHAnsi"/>
          <w:bCs/>
        </w:rPr>
        <w:t xml:space="preserve"> účtu</w:t>
      </w:r>
      <w:r w:rsidRPr="00924F2E">
        <w:rPr>
          <w:rFonts w:asciiTheme="minorHAnsi" w:hAnsiTheme="minorHAnsi" w:cstheme="minorHAnsi"/>
          <w:bCs/>
        </w:rPr>
        <w:t xml:space="preserve"> </w:t>
      </w:r>
      <w:r w:rsidR="006935A0" w:rsidRPr="006935A0">
        <w:rPr>
          <w:rFonts w:asciiTheme="minorHAnsi" w:hAnsiTheme="minorHAnsi" w:cstheme="minorHAnsi"/>
          <w:bCs/>
        </w:rPr>
        <w:t>(dále také „SZÚ“)</w:t>
      </w:r>
      <w:r w:rsidR="006935A0">
        <w:rPr>
          <w:rFonts w:asciiTheme="minorHAnsi" w:hAnsiTheme="minorHAnsi" w:cstheme="minorHAnsi"/>
          <w:bCs/>
        </w:rPr>
        <w:t xml:space="preserve"> </w:t>
      </w:r>
      <w:r w:rsidRPr="00924F2E">
        <w:rPr>
          <w:rFonts w:asciiTheme="minorHAnsi" w:hAnsiTheme="minorHAnsi" w:cstheme="minorHAnsi"/>
          <w:bCs/>
        </w:rPr>
        <w:t xml:space="preserve">ani závěrečných účtů příslušných kapitol státního rozpočtu. </w:t>
      </w:r>
      <w:r w:rsidRPr="00924F2E">
        <w:rPr>
          <w:rFonts w:asciiTheme="minorHAnsi" w:hAnsiTheme="minorHAnsi" w:cstheme="minorHAnsi"/>
          <w:b/>
          <w:bCs/>
        </w:rPr>
        <w:t xml:space="preserve">NKÚ doporučuje stanovit pravidla a právními předpisy upravit povinnost </w:t>
      </w:r>
      <w:r w:rsidR="000758B0" w:rsidRPr="00924F2E">
        <w:rPr>
          <w:rFonts w:asciiTheme="minorHAnsi" w:hAnsiTheme="minorHAnsi" w:cstheme="minorHAnsi"/>
          <w:b/>
          <w:bCs/>
        </w:rPr>
        <w:t xml:space="preserve">informovat </w:t>
      </w:r>
      <w:r w:rsidRPr="00924F2E">
        <w:rPr>
          <w:rFonts w:asciiTheme="minorHAnsi" w:hAnsiTheme="minorHAnsi" w:cstheme="minorHAnsi"/>
          <w:b/>
          <w:bCs/>
        </w:rPr>
        <w:t>o výši</w:t>
      </w:r>
      <w:r w:rsidR="000758B0">
        <w:rPr>
          <w:rFonts w:asciiTheme="minorHAnsi" w:hAnsiTheme="minorHAnsi" w:cstheme="minorHAnsi"/>
          <w:b/>
          <w:bCs/>
        </w:rPr>
        <w:t xml:space="preserve"> </w:t>
      </w:r>
      <w:r w:rsidR="000758B0" w:rsidRPr="00924F2E">
        <w:rPr>
          <w:rFonts w:asciiTheme="minorHAnsi" w:hAnsiTheme="minorHAnsi" w:cstheme="minorHAnsi"/>
          <w:b/>
          <w:bCs/>
        </w:rPr>
        <w:t>závazků příspěvkových organizací, za které ručí stát</w:t>
      </w:r>
      <w:r w:rsidR="00EA4199">
        <w:rPr>
          <w:rFonts w:asciiTheme="minorHAnsi" w:hAnsiTheme="minorHAnsi" w:cstheme="minorHAnsi"/>
          <w:b/>
          <w:bCs/>
        </w:rPr>
        <w:t>.</w:t>
      </w:r>
    </w:p>
    <w:p w14:paraId="58FB9460" w14:textId="77777777" w:rsidR="00924F2E" w:rsidRPr="00663441" w:rsidRDefault="00924F2E" w:rsidP="000169E8">
      <w:pPr>
        <w:jc w:val="both"/>
        <w:rPr>
          <w:rFonts w:asciiTheme="minorHAnsi" w:hAnsiTheme="minorHAnsi" w:cstheme="minorHAnsi"/>
          <w:bCs/>
        </w:rPr>
      </w:pPr>
    </w:p>
    <w:p w14:paraId="46780C67" w14:textId="77777777" w:rsidR="00EF7388" w:rsidRPr="00663441" w:rsidRDefault="00EF7388" w:rsidP="000169E8">
      <w:pPr>
        <w:jc w:val="both"/>
        <w:rPr>
          <w:rFonts w:asciiTheme="minorHAnsi" w:hAnsiTheme="minorHAnsi" w:cstheme="minorHAnsi"/>
          <w:bCs/>
        </w:rPr>
      </w:pPr>
      <w:r w:rsidRPr="00663441">
        <w:rPr>
          <w:rFonts w:asciiTheme="minorHAnsi" w:hAnsiTheme="minorHAnsi" w:cstheme="minorHAnsi"/>
          <w:bCs/>
        </w:rPr>
        <w:t>MF nevyhodnotilo záruku ve výši 280 mil. Kč jako rizikovou a neevidovalo</w:t>
      </w:r>
      <w:r w:rsidR="007D46FE" w:rsidRPr="00663441">
        <w:rPr>
          <w:rFonts w:asciiTheme="minorHAnsi" w:hAnsiTheme="minorHAnsi" w:cstheme="minorHAnsi"/>
          <w:bCs/>
        </w:rPr>
        <w:t xml:space="preserve"> ji</w:t>
      </w:r>
      <w:r w:rsidRPr="00663441">
        <w:rPr>
          <w:rFonts w:asciiTheme="minorHAnsi" w:hAnsiTheme="minorHAnsi" w:cstheme="minorHAnsi"/>
          <w:bCs/>
        </w:rPr>
        <w:t xml:space="preserve"> k</w:t>
      </w:r>
      <w:r w:rsidR="00522B25" w:rsidRPr="00663441">
        <w:rPr>
          <w:rFonts w:asciiTheme="minorHAnsi" w:hAnsiTheme="minorHAnsi" w:cstheme="minorHAnsi"/>
          <w:bCs/>
        </w:rPr>
        <w:t> </w:t>
      </w:r>
      <w:r w:rsidRPr="00663441">
        <w:rPr>
          <w:rFonts w:asciiTheme="minorHAnsi" w:hAnsiTheme="minorHAnsi" w:cstheme="minorHAnsi"/>
          <w:bCs/>
        </w:rPr>
        <w:t>31.</w:t>
      </w:r>
      <w:r w:rsidR="00522B25" w:rsidRPr="00663441">
        <w:rPr>
          <w:rFonts w:asciiTheme="minorHAnsi" w:hAnsiTheme="minorHAnsi" w:cstheme="minorHAnsi"/>
          <w:bCs/>
        </w:rPr>
        <w:t> </w:t>
      </w:r>
      <w:r w:rsidRPr="00663441">
        <w:rPr>
          <w:rFonts w:asciiTheme="minorHAnsi" w:hAnsiTheme="minorHAnsi" w:cstheme="minorHAnsi"/>
          <w:bCs/>
        </w:rPr>
        <w:t>12.</w:t>
      </w:r>
      <w:r w:rsidR="00522B25" w:rsidRPr="00663441">
        <w:rPr>
          <w:rFonts w:asciiTheme="minorHAnsi" w:hAnsiTheme="minorHAnsi" w:cstheme="minorHAnsi"/>
          <w:bCs/>
        </w:rPr>
        <w:t> </w:t>
      </w:r>
      <w:r w:rsidRPr="00663441">
        <w:rPr>
          <w:rFonts w:asciiTheme="minorHAnsi" w:hAnsiTheme="minorHAnsi" w:cstheme="minorHAnsi"/>
          <w:bCs/>
        </w:rPr>
        <w:t>2016 v</w:t>
      </w:r>
      <w:r w:rsidR="00C05CAA">
        <w:rPr>
          <w:rFonts w:asciiTheme="minorHAnsi" w:hAnsiTheme="minorHAnsi" w:cstheme="minorHAnsi"/>
          <w:bCs/>
        </w:rPr>
        <w:t> </w:t>
      </w:r>
      <w:r w:rsidRPr="00663441">
        <w:rPr>
          <w:rFonts w:asciiTheme="minorHAnsi" w:hAnsiTheme="minorHAnsi" w:cstheme="minorHAnsi"/>
          <w:bCs/>
        </w:rPr>
        <w:t>účetnictví</w:t>
      </w:r>
      <w:r w:rsidR="00C05CAA">
        <w:rPr>
          <w:rFonts w:asciiTheme="minorHAnsi" w:hAnsiTheme="minorHAnsi" w:cstheme="minorHAnsi"/>
          <w:bCs/>
        </w:rPr>
        <w:t>,</w:t>
      </w:r>
      <w:r w:rsidR="008A717E">
        <w:rPr>
          <w:rFonts w:asciiTheme="minorHAnsi" w:hAnsiTheme="minorHAnsi" w:cstheme="minorHAnsi"/>
          <w:bCs/>
        </w:rPr>
        <w:t xml:space="preserve"> ani </w:t>
      </w:r>
      <w:r w:rsidR="00EC7577">
        <w:rPr>
          <w:rFonts w:asciiTheme="minorHAnsi" w:hAnsiTheme="minorHAnsi" w:cstheme="minorHAnsi"/>
          <w:bCs/>
        </w:rPr>
        <w:t xml:space="preserve">ji </w:t>
      </w:r>
      <w:r w:rsidR="00C05CAA">
        <w:rPr>
          <w:rFonts w:asciiTheme="minorHAnsi" w:hAnsiTheme="minorHAnsi" w:cstheme="minorHAnsi"/>
          <w:bCs/>
        </w:rPr>
        <w:t xml:space="preserve">neuvedlo </w:t>
      </w:r>
      <w:r w:rsidR="008A717E">
        <w:rPr>
          <w:rFonts w:asciiTheme="minorHAnsi" w:hAnsiTheme="minorHAnsi" w:cstheme="minorHAnsi"/>
          <w:bCs/>
        </w:rPr>
        <w:t>v SZÚ</w:t>
      </w:r>
      <w:r w:rsidR="004B1290">
        <w:rPr>
          <w:rFonts w:asciiTheme="minorHAnsi" w:hAnsiTheme="minorHAnsi" w:cstheme="minorHAnsi"/>
          <w:bCs/>
        </w:rPr>
        <w:t>, přestože</w:t>
      </w:r>
      <w:r w:rsidR="00C35CB1" w:rsidRPr="00663441">
        <w:rPr>
          <w:rFonts w:asciiTheme="minorHAnsi" w:hAnsiTheme="minorHAnsi" w:cstheme="minorHAnsi"/>
          <w:bCs/>
        </w:rPr>
        <w:t xml:space="preserve"> </w:t>
      </w:r>
      <w:r w:rsidR="00A350F3" w:rsidRPr="00663441">
        <w:rPr>
          <w:rFonts w:asciiTheme="minorHAnsi" w:hAnsiTheme="minorHAnsi" w:cstheme="minorHAnsi"/>
          <w:bCs/>
        </w:rPr>
        <w:t xml:space="preserve">z důvodu změny </w:t>
      </w:r>
      <w:r w:rsidR="00A350F3">
        <w:rPr>
          <w:rFonts w:asciiTheme="minorHAnsi" w:hAnsiTheme="minorHAnsi" w:cstheme="minorHAnsi"/>
          <w:bCs/>
        </w:rPr>
        <w:t>legislativy</w:t>
      </w:r>
      <w:r w:rsidR="00A350F3" w:rsidRPr="00663441">
        <w:rPr>
          <w:rStyle w:val="Znakapoznpodarou"/>
          <w:rFonts w:asciiTheme="minorHAnsi" w:hAnsiTheme="minorHAnsi" w:cstheme="minorHAnsi"/>
          <w:bCs/>
        </w:rPr>
        <w:footnoteReference w:id="3"/>
      </w:r>
      <w:r w:rsidR="00A350F3">
        <w:rPr>
          <w:rFonts w:asciiTheme="minorHAnsi" w:hAnsiTheme="minorHAnsi" w:cstheme="minorHAnsi"/>
          <w:bCs/>
        </w:rPr>
        <w:t xml:space="preserve"> </w:t>
      </w:r>
      <w:r w:rsidR="00A350F3">
        <w:rPr>
          <w:rFonts w:asciiTheme="minorHAnsi" w:hAnsiTheme="minorHAnsi" w:cstheme="minorHAnsi"/>
        </w:rPr>
        <w:t>byl zřejmý fakt</w:t>
      </w:r>
      <w:r w:rsidR="00A350F3" w:rsidRPr="00663441">
        <w:rPr>
          <w:rFonts w:asciiTheme="minorHAnsi" w:hAnsiTheme="minorHAnsi" w:cstheme="minorHAnsi"/>
        </w:rPr>
        <w:t xml:space="preserve"> o</w:t>
      </w:r>
      <w:r w:rsidR="00C05CAA">
        <w:rPr>
          <w:rFonts w:asciiTheme="minorHAnsi" w:hAnsiTheme="minorHAnsi" w:cstheme="minorHAnsi"/>
        </w:rPr>
        <w:t> </w:t>
      </w:r>
      <w:r w:rsidR="00C35CB1" w:rsidRPr="00663441">
        <w:rPr>
          <w:rFonts w:asciiTheme="minorHAnsi" w:hAnsiTheme="minorHAnsi" w:cstheme="minorHAnsi"/>
          <w:bCs/>
        </w:rPr>
        <w:t xml:space="preserve">nevyhnutelnosti splatit </w:t>
      </w:r>
      <w:r w:rsidR="00E865D4" w:rsidRPr="00663441">
        <w:rPr>
          <w:rFonts w:asciiTheme="minorHAnsi" w:hAnsiTheme="minorHAnsi" w:cstheme="minorHAnsi"/>
          <w:bCs/>
        </w:rPr>
        <w:t xml:space="preserve">zaručený </w:t>
      </w:r>
      <w:r w:rsidR="00C35CB1" w:rsidRPr="00663441">
        <w:rPr>
          <w:rFonts w:asciiTheme="minorHAnsi" w:hAnsiTheme="minorHAnsi" w:cstheme="minorHAnsi"/>
          <w:bCs/>
        </w:rPr>
        <w:t>úvěr</w:t>
      </w:r>
      <w:r w:rsidR="00B94325">
        <w:rPr>
          <w:rFonts w:asciiTheme="minorHAnsi" w:hAnsiTheme="minorHAnsi" w:cstheme="minorHAnsi"/>
          <w:bCs/>
        </w:rPr>
        <w:t>.</w:t>
      </w:r>
      <w:r w:rsidR="00C35CB1" w:rsidRPr="00663441">
        <w:rPr>
          <w:rFonts w:asciiTheme="minorHAnsi" w:hAnsiTheme="minorHAnsi" w:cstheme="minorHAnsi"/>
          <w:bCs/>
        </w:rPr>
        <w:t xml:space="preserve"> </w:t>
      </w:r>
      <w:r w:rsidRPr="00663441">
        <w:rPr>
          <w:rFonts w:asciiTheme="minorHAnsi" w:hAnsiTheme="minorHAnsi" w:cstheme="minorHAnsi"/>
          <w:bCs/>
        </w:rPr>
        <w:t>Záruka byla v roce 2017 realizována a MF úvěr uhradilo.</w:t>
      </w:r>
    </w:p>
    <w:p w14:paraId="0680A9FB" w14:textId="77777777" w:rsidR="0041585E" w:rsidRPr="00663441" w:rsidRDefault="0041585E" w:rsidP="000169E8">
      <w:pPr>
        <w:pStyle w:val="Bezmezer"/>
        <w:jc w:val="both"/>
        <w:rPr>
          <w:rFonts w:cstheme="minorHAnsi"/>
          <w:noProof/>
          <w:sz w:val="24"/>
          <w:szCs w:val="24"/>
        </w:rPr>
      </w:pPr>
    </w:p>
    <w:p w14:paraId="1105BE81" w14:textId="7F6E1FBC" w:rsidR="00EF7388" w:rsidRPr="00663441" w:rsidRDefault="000B11A7" w:rsidP="000169E8">
      <w:pPr>
        <w:pStyle w:val="Bezmezer"/>
        <w:jc w:val="both"/>
        <w:rPr>
          <w:rFonts w:eastAsia="Times New Roman" w:cstheme="minorHAnsi"/>
          <w:bCs/>
          <w:sz w:val="24"/>
          <w:szCs w:val="24"/>
          <w:lang w:eastAsia="cs-CZ"/>
        </w:rPr>
      </w:pPr>
      <w:r w:rsidRPr="00663441">
        <w:rPr>
          <w:rFonts w:cstheme="minorHAnsi"/>
          <w:noProof/>
          <w:sz w:val="24"/>
          <w:szCs w:val="24"/>
        </w:rPr>
        <w:t>S</w:t>
      </w:r>
      <w:r w:rsidR="00EF7388" w:rsidRPr="00663441">
        <w:rPr>
          <w:rFonts w:cstheme="minorHAnsi"/>
          <w:noProof/>
          <w:sz w:val="24"/>
          <w:szCs w:val="24"/>
        </w:rPr>
        <w:t xml:space="preserve">tav </w:t>
      </w:r>
      <w:r w:rsidR="001B6375" w:rsidRPr="00663441">
        <w:rPr>
          <w:rFonts w:cstheme="minorHAnsi"/>
          <w:noProof/>
          <w:sz w:val="24"/>
          <w:szCs w:val="24"/>
        </w:rPr>
        <w:t xml:space="preserve">standardních </w:t>
      </w:r>
      <w:r w:rsidR="000F496F" w:rsidRPr="00663441">
        <w:rPr>
          <w:rFonts w:cstheme="minorHAnsi"/>
          <w:noProof/>
          <w:sz w:val="24"/>
          <w:szCs w:val="24"/>
        </w:rPr>
        <w:t>státních záruk</w:t>
      </w:r>
      <w:r w:rsidR="00EF7388" w:rsidRPr="00663441">
        <w:rPr>
          <w:rFonts w:cstheme="minorHAnsi"/>
          <w:noProof/>
          <w:sz w:val="24"/>
          <w:szCs w:val="24"/>
        </w:rPr>
        <w:t xml:space="preserve"> evidovaný v účetnictví </w:t>
      </w:r>
      <w:r w:rsidRPr="00663441">
        <w:rPr>
          <w:rFonts w:cstheme="minorHAnsi"/>
          <w:noProof/>
          <w:sz w:val="24"/>
          <w:szCs w:val="24"/>
        </w:rPr>
        <w:t xml:space="preserve">k 31. 12. 2014 se </w:t>
      </w:r>
      <w:r w:rsidR="00EF7388" w:rsidRPr="00663441">
        <w:rPr>
          <w:rFonts w:cstheme="minorHAnsi"/>
          <w:noProof/>
          <w:sz w:val="24"/>
          <w:szCs w:val="24"/>
        </w:rPr>
        <w:t xml:space="preserve">lišil oproti údaji uvedenému ve </w:t>
      </w:r>
      <w:r w:rsidR="008A6B47">
        <w:rPr>
          <w:rFonts w:cstheme="minorHAnsi"/>
          <w:noProof/>
          <w:sz w:val="24"/>
          <w:szCs w:val="24"/>
        </w:rPr>
        <w:t>s</w:t>
      </w:r>
      <w:r w:rsidR="00EF7388" w:rsidRPr="00663441">
        <w:rPr>
          <w:rFonts w:cstheme="minorHAnsi"/>
          <w:noProof/>
          <w:sz w:val="24"/>
          <w:szCs w:val="24"/>
        </w:rPr>
        <w:t>tátním závěrečném účtu. M</w:t>
      </w:r>
      <w:r w:rsidR="000B157C" w:rsidRPr="00663441">
        <w:rPr>
          <w:rFonts w:cstheme="minorHAnsi"/>
          <w:noProof/>
          <w:sz w:val="24"/>
          <w:szCs w:val="24"/>
        </w:rPr>
        <w:t>inisterstvo financí</w:t>
      </w:r>
      <w:r w:rsidR="00EF7388" w:rsidRPr="00663441">
        <w:rPr>
          <w:rFonts w:cstheme="minorHAnsi"/>
          <w:noProof/>
          <w:sz w:val="24"/>
          <w:szCs w:val="24"/>
        </w:rPr>
        <w:t xml:space="preserve"> uvedlo v SZÚ částku o</w:t>
      </w:r>
      <w:r w:rsidR="006935A0">
        <w:rPr>
          <w:rFonts w:cstheme="minorHAnsi"/>
          <w:noProof/>
          <w:sz w:val="24"/>
          <w:szCs w:val="24"/>
        </w:rPr>
        <w:t> </w:t>
      </w:r>
      <w:r w:rsidR="001B1D33" w:rsidRPr="00663441">
        <w:rPr>
          <w:rFonts w:cstheme="minorHAnsi"/>
          <w:noProof/>
          <w:sz w:val="24"/>
          <w:szCs w:val="24"/>
        </w:rPr>
        <w:t>1</w:t>
      </w:r>
      <w:r w:rsidR="00EF7388" w:rsidRPr="00663441">
        <w:rPr>
          <w:rFonts w:cstheme="minorHAnsi"/>
          <w:noProof/>
          <w:sz w:val="24"/>
          <w:szCs w:val="24"/>
        </w:rPr>
        <w:t>5,6</w:t>
      </w:r>
      <w:r w:rsidR="006935A0">
        <w:rPr>
          <w:rFonts w:cstheme="minorHAnsi"/>
          <w:noProof/>
          <w:sz w:val="24"/>
          <w:szCs w:val="24"/>
        </w:rPr>
        <w:t> </w:t>
      </w:r>
      <w:r w:rsidR="00EF7388" w:rsidRPr="00663441">
        <w:rPr>
          <w:rFonts w:eastAsia="Times New Roman" w:cstheme="minorHAnsi"/>
          <w:bCs/>
          <w:sz w:val="24"/>
          <w:szCs w:val="24"/>
          <w:lang w:eastAsia="cs-CZ"/>
        </w:rPr>
        <w:t>mil.</w:t>
      </w:r>
      <w:r w:rsidR="006935A0">
        <w:rPr>
          <w:rFonts w:eastAsia="Times New Roman" w:cstheme="minorHAnsi"/>
          <w:bCs/>
          <w:sz w:val="24"/>
          <w:szCs w:val="24"/>
          <w:lang w:eastAsia="cs-CZ"/>
        </w:rPr>
        <w:t> </w:t>
      </w:r>
      <w:r w:rsidR="00EF7388" w:rsidRPr="00663441">
        <w:rPr>
          <w:rFonts w:eastAsia="Times New Roman" w:cstheme="minorHAnsi"/>
          <w:bCs/>
          <w:sz w:val="24"/>
          <w:szCs w:val="24"/>
          <w:lang w:eastAsia="cs-CZ"/>
        </w:rPr>
        <w:t xml:space="preserve">Kč </w:t>
      </w:r>
      <w:r w:rsidR="001B1D33" w:rsidRPr="00663441">
        <w:rPr>
          <w:rFonts w:eastAsia="Times New Roman" w:cstheme="minorHAnsi"/>
          <w:bCs/>
          <w:sz w:val="24"/>
          <w:szCs w:val="24"/>
          <w:lang w:eastAsia="cs-CZ"/>
        </w:rPr>
        <w:t>nižší</w:t>
      </w:r>
      <w:r w:rsidR="008A6B47">
        <w:rPr>
          <w:rFonts w:eastAsia="Times New Roman" w:cstheme="minorHAnsi"/>
          <w:bCs/>
          <w:sz w:val="24"/>
          <w:szCs w:val="24"/>
          <w:lang w:eastAsia="cs-CZ"/>
        </w:rPr>
        <w:t>,</w:t>
      </w:r>
      <w:r w:rsidR="001B1D33" w:rsidRPr="00663441">
        <w:rPr>
          <w:rFonts w:eastAsia="Times New Roman" w:cstheme="minorHAnsi"/>
          <w:bCs/>
          <w:sz w:val="24"/>
          <w:szCs w:val="24"/>
          <w:lang w:eastAsia="cs-CZ"/>
        </w:rPr>
        <w:t xml:space="preserve"> než </w:t>
      </w:r>
      <w:r w:rsidR="00925B4B">
        <w:rPr>
          <w:rFonts w:eastAsia="Times New Roman" w:cstheme="minorHAnsi"/>
          <w:bCs/>
          <w:sz w:val="24"/>
          <w:szCs w:val="24"/>
          <w:lang w:eastAsia="cs-CZ"/>
        </w:rPr>
        <w:t xml:space="preserve">byl </w:t>
      </w:r>
      <w:r w:rsidR="001B1D33" w:rsidRPr="00663441">
        <w:rPr>
          <w:rFonts w:eastAsia="Times New Roman" w:cstheme="minorHAnsi"/>
          <w:bCs/>
          <w:sz w:val="24"/>
          <w:szCs w:val="24"/>
          <w:lang w:eastAsia="cs-CZ"/>
        </w:rPr>
        <w:t xml:space="preserve">stav </w:t>
      </w:r>
      <w:r w:rsidR="00450D2E">
        <w:rPr>
          <w:rFonts w:eastAsia="Times New Roman" w:cstheme="minorHAnsi"/>
          <w:bCs/>
          <w:sz w:val="24"/>
          <w:szCs w:val="24"/>
          <w:lang w:eastAsia="cs-CZ"/>
        </w:rPr>
        <w:t>správně</w:t>
      </w:r>
      <w:r w:rsidR="00450D2E" w:rsidRPr="00663441">
        <w:rPr>
          <w:rFonts w:eastAsia="Times New Roman" w:cstheme="minorHAnsi"/>
          <w:bCs/>
          <w:sz w:val="24"/>
          <w:szCs w:val="24"/>
          <w:lang w:eastAsia="cs-CZ"/>
        </w:rPr>
        <w:t xml:space="preserve"> </w:t>
      </w:r>
      <w:r w:rsidR="001D1D08">
        <w:rPr>
          <w:rFonts w:eastAsia="Times New Roman" w:cstheme="minorHAnsi"/>
          <w:bCs/>
          <w:sz w:val="24"/>
          <w:szCs w:val="24"/>
          <w:lang w:eastAsia="cs-CZ"/>
        </w:rPr>
        <w:t>vedený</w:t>
      </w:r>
      <w:r w:rsidR="001D1D08" w:rsidRPr="00663441">
        <w:rPr>
          <w:rFonts w:eastAsia="Times New Roman" w:cstheme="minorHAnsi"/>
          <w:bCs/>
          <w:sz w:val="24"/>
          <w:szCs w:val="24"/>
          <w:lang w:eastAsia="cs-CZ"/>
        </w:rPr>
        <w:t xml:space="preserve"> </w:t>
      </w:r>
      <w:r w:rsidR="001B1D33" w:rsidRPr="00663441">
        <w:rPr>
          <w:rFonts w:eastAsia="Times New Roman" w:cstheme="minorHAnsi"/>
          <w:bCs/>
          <w:sz w:val="24"/>
          <w:szCs w:val="24"/>
          <w:lang w:eastAsia="cs-CZ"/>
        </w:rPr>
        <w:t>v účetnictví ve výši 12 761,7 mil. Kč</w:t>
      </w:r>
      <w:r w:rsidR="000F496F" w:rsidRPr="00663441">
        <w:rPr>
          <w:rFonts w:eastAsia="Times New Roman" w:cstheme="minorHAnsi"/>
          <w:bCs/>
          <w:sz w:val="24"/>
          <w:szCs w:val="24"/>
          <w:lang w:eastAsia="cs-CZ"/>
        </w:rPr>
        <w:t xml:space="preserve">. </w:t>
      </w:r>
    </w:p>
    <w:p w14:paraId="246A16CF" w14:textId="77777777" w:rsidR="0041585E" w:rsidRPr="00663441" w:rsidRDefault="0041585E" w:rsidP="000169E8">
      <w:pPr>
        <w:jc w:val="both"/>
        <w:rPr>
          <w:rFonts w:asciiTheme="minorHAnsi" w:hAnsiTheme="minorHAnsi" w:cstheme="minorHAnsi"/>
          <w:bCs/>
        </w:rPr>
      </w:pPr>
    </w:p>
    <w:p w14:paraId="14F9C2AB" w14:textId="77777777" w:rsidR="00E40384" w:rsidRPr="00663441" w:rsidRDefault="00964A95" w:rsidP="000169E8">
      <w:pPr>
        <w:jc w:val="both"/>
        <w:rPr>
          <w:rFonts w:asciiTheme="minorHAnsi" w:hAnsiTheme="minorHAnsi" w:cstheme="minorHAnsi"/>
          <w:bCs/>
        </w:rPr>
      </w:pPr>
      <w:r w:rsidRPr="00663441">
        <w:rPr>
          <w:rFonts w:asciiTheme="minorHAnsi" w:hAnsiTheme="minorHAnsi" w:cstheme="minorHAnsi"/>
        </w:rPr>
        <w:t xml:space="preserve">U pohledávek z realizovaných státních záruk sleduje </w:t>
      </w:r>
      <w:r w:rsidR="000B157C" w:rsidRPr="00663441">
        <w:rPr>
          <w:rFonts w:asciiTheme="minorHAnsi" w:hAnsiTheme="minorHAnsi" w:cstheme="minorHAnsi"/>
        </w:rPr>
        <w:t xml:space="preserve">MF </w:t>
      </w:r>
      <w:r w:rsidRPr="00663441">
        <w:rPr>
          <w:rFonts w:asciiTheme="minorHAnsi" w:hAnsiTheme="minorHAnsi" w:cstheme="minorHAnsi"/>
        </w:rPr>
        <w:t>v současné době už jen pohledávky za státní organizací Správa železniční dopravní cesty (dále také „</w:t>
      </w:r>
      <w:r w:rsidRPr="00663441">
        <w:rPr>
          <w:rFonts w:asciiTheme="minorHAnsi" w:hAnsiTheme="minorHAnsi" w:cstheme="minorHAnsi"/>
          <w:bCs/>
        </w:rPr>
        <w:t>SŽDC“)</w:t>
      </w:r>
      <w:r w:rsidR="007B3BCB" w:rsidRPr="00663441">
        <w:rPr>
          <w:rFonts w:asciiTheme="minorHAnsi" w:hAnsiTheme="minorHAnsi" w:cstheme="minorHAnsi"/>
          <w:bCs/>
        </w:rPr>
        <w:t>.</w:t>
      </w:r>
      <w:r w:rsidRPr="00663441">
        <w:rPr>
          <w:rFonts w:asciiTheme="minorHAnsi" w:hAnsiTheme="minorHAnsi" w:cstheme="minorHAnsi"/>
        </w:rPr>
        <w:t xml:space="preserve"> </w:t>
      </w:r>
      <w:r w:rsidR="00347EB1" w:rsidRPr="00663441">
        <w:rPr>
          <w:rFonts w:asciiTheme="minorHAnsi" w:hAnsiTheme="minorHAnsi" w:cstheme="minorHAnsi"/>
          <w:bCs/>
        </w:rPr>
        <w:t xml:space="preserve">V kontrolovaném období vláda </w:t>
      </w:r>
      <w:r w:rsidR="007B3BCB" w:rsidRPr="00663441">
        <w:rPr>
          <w:rFonts w:asciiTheme="minorHAnsi" w:hAnsiTheme="minorHAnsi" w:cstheme="minorHAnsi"/>
        </w:rPr>
        <w:t xml:space="preserve">na základě </w:t>
      </w:r>
      <w:r w:rsidR="000F496F" w:rsidRPr="00663441">
        <w:rPr>
          <w:rFonts w:asciiTheme="minorHAnsi" w:hAnsiTheme="minorHAnsi" w:cstheme="minorHAnsi"/>
        </w:rPr>
        <w:t xml:space="preserve">svých </w:t>
      </w:r>
      <w:r w:rsidR="007B3BCB" w:rsidRPr="00663441">
        <w:rPr>
          <w:rFonts w:asciiTheme="minorHAnsi" w:hAnsiTheme="minorHAnsi" w:cstheme="minorHAnsi"/>
        </w:rPr>
        <w:t xml:space="preserve">usnesení </w:t>
      </w:r>
      <w:r w:rsidR="00347EB1" w:rsidRPr="00663441">
        <w:rPr>
          <w:rFonts w:asciiTheme="minorHAnsi" w:hAnsiTheme="minorHAnsi" w:cstheme="minorHAnsi"/>
          <w:bCs/>
        </w:rPr>
        <w:t xml:space="preserve">prominula </w:t>
      </w:r>
      <w:r w:rsidR="007B3BCB" w:rsidRPr="00663441">
        <w:rPr>
          <w:rFonts w:asciiTheme="minorHAnsi" w:hAnsiTheme="minorHAnsi" w:cstheme="minorHAnsi"/>
          <w:bCs/>
        </w:rPr>
        <w:t xml:space="preserve">SŽDC </w:t>
      </w:r>
      <w:r w:rsidR="00347EB1" w:rsidRPr="00663441">
        <w:rPr>
          <w:rFonts w:asciiTheme="minorHAnsi" w:hAnsiTheme="minorHAnsi" w:cstheme="minorHAnsi"/>
          <w:bCs/>
        </w:rPr>
        <w:t xml:space="preserve">závazky ve výši téměř 7,6 mld. Kč. </w:t>
      </w:r>
      <w:r w:rsidRPr="00663441">
        <w:rPr>
          <w:rFonts w:asciiTheme="minorHAnsi" w:hAnsiTheme="minorHAnsi" w:cstheme="minorHAnsi"/>
          <w:bCs/>
        </w:rPr>
        <w:t>Ostatní pohledávky z realizovaných státních záruk</w:t>
      </w:r>
      <w:r w:rsidR="00F05D8C" w:rsidRPr="00663441">
        <w:rPr>
          <w:rFonts w:asciiTheme="minorHAnsi" w:hAnsiTheme="minorHAnsi" w:cstheme="minorHAnsi"/>
          <w:bCs/>
        </w:rPr>
        <w:t xml:space="preserve"> ve výši 4 305,9 mil. Kč</w:t>
      </w:r>
      <w:r w:rsidRPr="00663441">
        <w:rPr>
          <w:rFonts w:asciiTheme="minorHAnsi" w:hAnsiTheme="minorHAnsi" w:cstheme="minorHAnsi"/>
          <w:bCs/>
        </w:rPr>
        <w:t>, které představují více než 87</w:t>
      </w:r>
      <w:r w:rsidR="007B3BCB" w:rsidRPr="00663441">
        <w:rPr>
          <w:rFonts w:asciiTheme="minorHAnsi" w:hAnsiTheme="minorHAnsi" w:cstheme="minorHAnsi"/>
          <w:bCs/>
        </w:rPr>
        <w:t> </w:t>
      </w:r>
      <w:r w:rsidRPr="00663441">
        <w:rPr>
          <w:rFonts w:asciiTheme="minorHAnsi" w:hAnsiTheme="minorHAnsi" w:cstheme="minorHAnsi"/>
          <w:bCs/>
        </w:rPr>
        <w:t>% ze všech evidovaných pohledávek k</w:t>
      </w:r>
      <w:r w:rsidR="00AB52DA" w:rsidRPr="00663441">
        <w:rPr>
          <w:rFonts w:asciiTheme="minorHAnsi" w:hAnsiTheme="minorHAnsi" w:cstheme="minorHAnsi"/>
          <w:bCs/>
        </w:rPr>
        <w:t> </w:t>
      </w:r>
      <w:r w:rsidRPr="00663441">
        <w:rPr>
          <w:rFonts w:asciiTheme="minorHAnsi" w:hAnsiTheme="minorHAnsi" w:cstheme="minorHAnsi"/>
          <w:bCs/>
        </w:rPr>
        <w:t>31.</w:t>
      </w:r>
      <w:r w:rsidR="00AB52DA" w:rsidRPr="00663441">
        <w:rPr>
          <w:rFonts w:asciiTheme="minorHAnsi" w:hAnsiTheme="minorHAnsi" w:cstheme="minorHAnsi"/>
          <w:bCs/>
        </w:rPr>
        <w:t> </w:t>
      </w:r>
      <w:r w:rsidRPr="00663441">
        <w:rPr>
          <w:rFonts w:asciiTheme="minorHAnsi" w:hAnsiTheme="minorHAnsi" w:cstheme="minorHAnsi"/>
          <w:bCs/>
        </w:rPr>
        <w:t>12.</w:t>
      </w:r>
      <w:r w:rsidR="00AB52DA" w:rsidRPr="00663441">
        <w:rPr>
          <w:rFonts w:asciiTheme="minorHAnsi" w:hAnsiTheme="minorHAnsi" w:cstheme="minorHAnsi"/>
          <w:bCs/>
        </w:rPr>
        <w:t> </w:t>
      </w:r>
      <w:r w:rsidRPr="00663441">
        <w:rPr>
          <w:rFonts w:asciiTheme="minorHAnsi" w:hAnsiTheme="minorHAnsi" w:cstheme="minorHAnsi"/>
          <w:bCs/>
        </w:rPr>
        <w:t>2016,</w:t>
      </w:r>
      <w:r w:rsidR="007B3BCB" w:rsidRPr="00663441">
        <w:rPr>
          <w:rFonts w:asciiTheme="minorHAnsi" w:hAnsiTheme="minorHAnsi" w:cstheme="minorHAnsi"/>
          <w:bCs/>
        </w:rPr>
        <w:t xml:space="preserve"> jsou promlčené</w:t>
      </w:r>
      <w:r w:rsidRPr="00663441">
        <w:rPr>
          <w:rFonts w:asciiTheme="minorHAnsi" w:hAnsiTheme="minorHAnsi" w:cstheme="minorHAnsi"/>
          <w:bCs/>
        </w:rPr>
        <w:t xml:space="preserve">, přičemž jejich vznik spadá do devadesátých let minulého století. </w:t>
      </w:r>
    </w:p>
    <w:p w14:paraId="4CADC7D4" w14:textId="77777777" w:rsidR="007B3BCB" w:rsidRPr="00663441" w:rsidRDefault="007B3BCB" w:rsidP="000169E8">
      <w:pPr>
        <w:jc w:val="both"/>
        <w:rPr>
          <w:rFonts w:asciiTheme="minorHAnsi" w:hAnsiTheme="minorHAnsi" w:cstheme="minorHAnsi"/>
        </w:rPr>
      </w:pPr>
    </w:p>
    <w:p w14:paraId="41D7E236" w14:textId="4121D382" w:rsidR="00E535F1" w:rsidRDefault="00E535F1" w:rsidP="000169E8">
      <w:pPr>
        <w:jc w:val="both"/>
        <w:rPr>
          <w:rFonts w:asciiTheme="minorHAnsi" w:hAnsiTheme="minorHAnsi" w:cstheme="minorHAnsi"/>
        </w:rPr>
      </w:pPr>
      <w:r w:rsidRPr="00663441">
        <w:rPr>
          <w:rFonts w:asciiTheme="minorHAnsi" w:hAnsiTheme="minorHAnsi" w:cstheme="minorHAnsi"/>
          <w:bCs/>
        </w:rPr>
        <w:t>MF realizovalo platby za zaručené úvěry čerpané v cizí měně prostřednictvím Českomoravské záruční a rozvojové banky, a. s.</w:t>
      </w:r>
      <w:r w:rsidR="009A178F">
        <w:rPr>
          <w:rFonts w:asciiTheme="minorHAnsi" w:hAnsiTheme="minorHAnsi" w:cstheme="minorHAnsi"/>
          <w:bCs/>
        </w:rPr>
        <w:t>,</w:t>
      </w:r>
      <w:r w:rsidRPr="00663441">
        <w:rPr>
          <w:rFonts w:asciiTheme="minorHAnsi" w:hAnsiTheme="minorHAnsi" w:cstheme="minorHAnsi"/>
          <w:bCs/>
        </w:rPr>
        <w:t xml:space="preserve"> (dále také „ČMZRB“) v souladu s uzavřenou smlouvou</w:t>
      </w:r>
      <w:r w:rsidR="00CE4DF4" w:rsidRPr="00CE4DF4">
        <w:rPr>
          <w:rFonts w:asciiTheme="minorHAnsi" w:hAnsiTheme="minorHAnsi" w:cstheme="minorHAnsi"/>
          <w:bCs/>
        </w:rPr>
        <w:t xml:space="preserve"> </w:t>
      </w:r>
      <w:r w:rsidR="00CE4DF4" w:rsidRPr="00663441">
        <w:rPr>
          <w:rFonts w:asciiTheme="minorHAnsi" w:hAnsiTheme="minorHAnsi" w:cstheme="minorHAnsi"/>
          <w:bCs/>
        </w:rPr>
        <w:t>v českých korunách</w:t>
      </w:r>
      <w:r w:rsidRPr="00663441">
        <w:rPr>
          <w:rFonts w:asciiTheme="minorHAnsi" w:hAnsiTheme="minorHAnsi" w:cstheme="minorHAnsi"/>
          <w:bCs/>
        </w:rPr>
        <w:t xml:space="preserve">. Konverzí splátek jistin a úroků z úvěrů do českých korun kurzem ČMZRB v porovnání s vyhlášeným kurzem ČNB </w:t>
      </w:r>
      <w:r w:rsidR="0048023D" w:rsidRPr="00663441">
        <w:rPr>
          <w:rFonts w:asciiTheme="minorHAnsi" w:hAnsiTheme="minorHAnsi" w:cstheme="minorHAnsi"/>
          <w:bCs/>
        </w:rPr>
        <w:t xml:space="preserve">byly výdaje </w:t>
      </w:r>
      <w:r w:rsidRPr="00663441">
        <w:rPr>
          <w:rFonts w:asciiTheme="minorHAnsi" w:hAnsiTheme="minorHAnsi" w:cstheme="minorHAnsi"/>
          <w:bCs/>
        </w:rPr>
        <w:t xml:space="preserve">u vybraného vzorku tří kontrolovaných úvěrů </w:t>
      </w:r>
      <w:r w:rsidR="0048023D">
        <w:rPr>
          <w:rFonts w:asciiTheme="minorHAnsi" w:hAnsiTheme="minorHAnsi" w:cstheme="minorHAnsi"/>
          <w:bCs/>
        </w:rPr>
        <w:t xml:space="preserve">jen </w:t>
      </w:r>
      <w:r w:rsidR="0048023D" w:rsidRPr="00663441">
        <w:rPr>
          <w:rFonts w:asciiTheme="minorHAnsi" w:hAnsiTheme="minorHAnsi" w:cstheme="minorHAnsi"/>
          <w:bCs/>
        </w:rPr>
        <w:t>v roce 2016</w:t>
      </w:r>
      <w:r w:rsidR="0048023D">
        <w:rPr>
          <w:rFonts w:asciiTheme="minorHAnsi" w:hAnsiTheme="minorHAnsi" w:cstheme="minorHAnsi"/>
          <w:bCs/>
        </w:rPr>
        <w:t xml:space="preserve"> </w:t>
      </w:r>
      <w:r w:rsidR="001B6375" w:rsidRPr="00663441">
        <w:rPr>
          <w:rFonts w:asciiTheme="minorHAnsi" w:hAnsiTheme="minorHAnsi" w:cstheme="minorHAnsi"/>
          <w:bCs/>
        </w:rPr>
        <w:t xml:space="preserve">vyšší </w:t>
      </w:r>
      <w:r w:rsidRPr="00663441">
        <w:rPr>
          <w:rFonts w:asciiTheme="minorHAnsi" w:hAnsiTheme="minorHAnsi" w:cstheme="minorHAnsi"/>
          <w:bCs/>
        </w:rPr>
        <w:t xml:space="preserve">o částku 1,8 mil. </w:t>
      </w:r>
      <w:r w:rsidR="00A01354" w:rsidRPr="00663441">
        <w:rPr>
          <w:rFonts w:asciiTheme="minorHAnsi" w:hAnsiTheme="minorHAnsi" w:cstheme="minorHAnsi"/>
          <w:bCs/>
        </w:rPr>
        <w:t>Kč, než</w:t>
      </w:r>
      <w:r w:rsidR="001B6375" w:rsidRPr="00663441">
        <w:rPr>
          <w:rFonts w:asciiTheme="minorHAnsi" w:hAnsiTheme="minorHAnsi" w:cstheme="minorHAnsi"/>
          <w:bCs/>
        </w:rPr>
        <w:t xml:space="preserve"> kdyby MF provádělo platby přímo v cizí měně</w:t>
      </w:r>
      <w:r w:rsidRPr="00663441">
        <w:rPr>
          <w:rFonts w:asciiTheme="minorHAnsi" w:hAnsiTheme="minorHAnsi" w:cstheme="minorHAnsi"/>
          <w:bCs/>
        </w:rPr>
        <w:t xml:space="preserve">. MF tím, že neiniciovalo změnu smluvně stanovených úhrad tak, aby byly hrazeny přímo </w:t>
      </w:r>
      <w:r w:rsidRPr="00663441">
        <w:rPr>
          <w:rFonts w:asciiTheme="minorHAnsi" w:hAnsiTheme="minorHAnsi" w:cstheme="minorHAnsi"/>
          <w:bCs/>
        </w:rPr>
        <w:lastRenderedPageBreak/>
        <w:t xml:space="preserve">v cizí měně, nevyužilo možnost snížit výdaje související s konverzí a </w:t>
      </w:r>
      <w:r w:rsidRPr="00663441">
        <w:rPr>
          <w:rFonts w:asciiTheme="minorHAnsi" w:eastAsia="Calibri" w:hAnsiTheme="minorHAnsi" w:cstheme="minorHAnsi"/>
        </w:rPr>
        <w:t xml:space="preserve">nevyužilo možnost </w:t>
      </w:r>
      <w:r w:rsidRPr="00663441">
        <w:rPr>
          <w:rFonts w:asciiTheme="minorHAnsi" w:hAnsiTheme="minorHAnsi" w:cstheme="minorHAnsi"/>
          <w:noProof/>
        </w:rPr>
        <w:t>optimalizovat eurovou likviditu státní pokladny</w:t>
      </w:r>
      <w:r w:rsidR="003C38A3" w:rsidRPr="00663441">
        <w:rPr>
          <w:rFonts w:asciiTheme="minorHAnsi" w:hAnsiTheme="minorHAnsi" w:cstheme="minorHAnsi"/>
          <w:noProof/>
        </w:rPr>
        <w:t>, přičemž</w:t>
      </w:r>
      <w:r w:rsidR="00D758A5">
        <w:rPr>
          <w:rFonts w:asciiTheme="minorHAnsi" w:hAnsiTheme="minorHAnsi" w:cstheme="minorHAnsi"/>
        </w:rPr>
        <w:t xml:space="preserve"> </w:t>
      </w:r>
      <w:r w:rsidR="003C38A3" w:rsidRPr="00663441">
        <w:rPr>
          <w:rFonts w:asciiTheme="minorHAnsi" w:hAnsiTheme="minorHAnsi" w:cstheme="minorHAnsi"/>
        </w:rPr>
        <w:t>v letech 2014 až 2016 ve snaze vyhnout se zápornému úročení převádělo přebytek eurové likvidity mimo státní pokladnu.</w:t>
      </w:r>
      <w:r w:rsidR="00D45C1C" w:rsidRPr="00D45C1C">
        <w:t xml:space="preserve"> </w:t>
      </w:r>
      <w:r w:rsidR="00D45C1C" w:rsidRPr="00D45C1C">
        <w:rPr>
          <w:rFonts w:asciiTheme="minorHAnsi" w:hAnsiTheme="minorHAnsi" w:cstheme="minorHAnsi"/>
        </w:rPr>
        <w:t>Vzhledem k tomu, že NKÚ nehodnotí takový postup jako nejhospodárnější, doporučuje iniciovat změnu smluvně stanového způsobu úhrad.</w:t>
      </w:r>
    </w:p>
    <w:p w14:paraId="120E156D" w14:textId="77777777" w:rsidR="000169E8" w:rsidRDefault="000169E8" w:rsidP="000169E8">
      <w:pPr>
        <w:jc w:val="both"/>
        <w:rPr>
          <w:rFonts w:asciiTheme="minorHAnsi" w:hAnsiTheme="minorHAnsi" w:cstheme="minorHAnsi"/>
        </w:rPr>
      </w:pPr>
    </w:p>
    <w:p w14:paraId="4158A7FA" w14:textId="77777777" w:rsidR="000169E8" w:rsidRPr="00663441" w:rsidRDefault="000169E8" w:rsidP="000169E8">
      <w:pPr>
        <w:jc w:val="both"/>
        <w:rPr>
          <w:rFonts w:asciiTheme="minorHAnsi" w:hAnsiTheme="minorHAnsi" w:cstheme="minorHAnsi"/>
          <w:bCs/>
        </w:rPr>
      </w:pPr>
    </w:p>
    <w:p w14:paraId="0130F033" w14:textId="77777777" w:rsidR="00E40384" w:rsidRPr="00663441" w:rsidRDefault="00964A95" w:rsidP="000169E8">
      <w:pPr>
        <w:keepNext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63441">
        <w:rPr>
          <w:rFonts w:asciiTheme="minorHAnsi" w:hAnsiTheme="minorHAnsi" w:cstheme="minorHAnsi"/>
          <w:b/>
          <w:sz w:val="28"/>
          <w:szCs w:val="28"/>
        </w:rPr>
        <w:t>II. Informace o kontrolované oblasti</w:t>
      </w:r>
    </w:p>
    <w:p w14:paraId="4D7B87DA" w14:textId="77777777" w:rsidR="000169E8" w:rsidRDefault="000169E8" w:rsidP="000169E8">
      <w:pPr>
        <w:jc w:val="both"/>
        <w:rPr>
          <w:rFonts w:asciiTheme="minorHAnsi" w:hAnsiTheme="minorHAnsi" w:cstheme="minorHAnsi"/>
        </w:rPr>
      </w:pPr>
    </w:p>
    <w:p w14:paraId="1717A04C" w14:textId="77777777" w:rsidR="00E40384" w:rsidRPr="000169E8" w:rsidRDefault="00E86433" w:rsidP="000169E8">
      <w:pPr>
        <w:rPr>
          <w:rFonts w:ascii="Calibri" w:hAnsi="Calibri" w:cs="Calibri"/>
          <w:b/>
        </w:rPr>
      </w:pPr>
      <w:r w:rsidRPr="000169E8">
        <w:rPr>
          <w:rFonts w:ascii="Calibri" w:hAnsi="Calibri" w:cs="Calibri"/>
          <w:b/>
        </w:rPr>
        <w:t>Státní záruky a ručení státu</w:t>
      </w:r>
    </w:p>
    <w:p w14:paraId="006D4A59" w14:textId="77777777" w:rsidR="000169E8" w:rsidRDefault="000169E8" w:rsidP="000169E8">
      <w:pPr>
        <w:jc w:val="both"/>
        <w:rPr>
          <w:rFonts w:asciiTheme="minorHAnsi" w:hAnsiTheme="minorHAnsi" w:cstheme="minorHAnsi"/>
        </w:rPr>
      </w:pPr>
    </w:p>
    <w:p w14:paraId="7BC9D76D" w14:textId="1BBF25FD" w:rsidR="00785FA6" w:rsidRDefault="000E26EA" w:rsidP="000169E8">
      <w:pPr>
        <w:jc w:val="both"/>
        <w:rPr>
          <w:rFonts w:asciiTheme="minorHAnsi" w:eastAsia="Calibri" w:hAnsiTheme="minorHAnsi" w:cstheme="minorHAnsi"/>
        </w:rPr>
      </w:pPr>
      <w:r w:rsidRPr="00663441">
        <w:rPr>
          <w:rFonts w:asciiTheme="minorHAnsi" w:eastAsiaTheme="minorEastAsia" w:hAnsiTheme="minorHAnsi" w:cstheme="minorHAnsi"/>
        </w:rPr>
        <w:t>P</w:t>
      </w:r>
      <w:r w:rsidR="00B72AF2" w:rsidRPr="00663441">
        <w:rPr>
          <w:rFonts w:asciiTheme="minorHAnsi" w:eastAsiaTheme="minorEastAsia" w:hAnsiTheme="minorHAnsi" w:cstheme="minorHAnsi"/>
        </w:rPr>
        <w:t xml:space="preserve">oskytování </w:t>
      </w:r>
      <w:r w:rsidR="00210A08" w:rsidRPr="00663441">
        <w:rPr>
          <w:rFonts w:asciiTheme="minorHAnsi" w:eastAsiaTheme="minorEastAsia" w:hAnsiTheme="minorHAnsi" w:cstheme="minorHAnsi"/>
        </w:rPr>
        <w:t>státní</w:t>
      </w:r>
      <w:r w:rsidR="00B72AF2" w:rsidRPr="00663441">
        <w:rPr>
          <w:rFonts w:asciiTheme="minorHAnsi" w:eastAsiaTheme="minorEastAsia" w:hAnsiTheme="minorHAnsi" w:cstheme="minorHAnsi"/>
        </w:rPr>
        <w:t>ch</w:t>
      </w:r>
      <w:r w:rsidR="00210A08" w:rsidRPr="00663441">
        <w:rPr>
          <w:rFonts w:asciiTheme="minorHAnsi" w:eastAsiaTheme="minorEastAsia" w:hAnsiTheme="minorHAnsi" w:cstheme="minorHAnsi"/>
        </w:rPr>
        <w:t xml:space="preserve"> záruk </w:t>
      </w:r>
      <w:r w:rsidRPr="00663441">
        <w:rPr>
          <w:rFonts w:asciiTheme="minorHAnsi" w:eastAsiaTheme="minorEastAsia" w:hAnsiTheme="minorHAnsi" w:cstheme="minorHAnsi"/>
        </w:rPr>
        <w:t xml:space="preserve">a ručení </w:t>
      </w:r>
      <w:r w:rsidR="00D713AE" w:rsidRPr="00663441">
        <w:rPr>
          <w:rFonts w:asciiTheme="minorHAnsi" w:eastAsiaTheme="minorEastAsia" w:hAnsiTheme="minorHAnsi" w:cstheme="minorHAnsi"/>
        </w:rPr>
        <w:t xml:space="preserve">státu </w:t>
      </w:r>
      <w:r w:rsidRPr="00663441">
        <w:rPr>
          <w:rFonts w:asciiTheme="minorHAnsi" w:eastAsiaTheme="minorEastAsia" w:hAnsiTheme="minorHAnsi" w:cstheme="minorHAnsi"/>
        </w:rPr>
        <w:t>vymezuje</w:t>
      </w:r>
      <w:r w:rsidR="00210A08" w:rsidRPr="00663441">
        <w:rPr>
          <w:rFonts w:asciiTheme="minorHAnsi" w:eastAsiaTheme="minorEastAsia" w:hAnsiTheme="minorHAnsi" w:cstheme="minorHAnsi"/>
        </w:rPr>
        <w:t xml:space="preserve"> </w:t>
      </w:r>
      <w:r w:rsidRPr="00663441">
        <w:rPr>
          <w:rFonts w:asciiTheme="minorHAnsi" w:eastAsiaTheme="minorEastAsia" w:hAnsiTheme="minorHAnsi" w:cstheme="minorHAnsi"/>
        </w:rPr>
        <w:t>zákon č. 218/2000 Sb.</w:t>
      </w:r>
      <w:r w:rsidRPr="00663441">
        <w:rPr>
          <w:rStyle w:val="Znakapoznpodarou"/>
          <w:rFonts w:asciiTheme="minorHAnsi" w:eastAsiaTheme="minorEastAsia" w:hAnsiTheme="minorHAnsi" w:cstheme="minorHAnsi"/>
        </w:rPr>
        <w:footnoteReference w:id="4"/>
      </w:r>
      <w:r w:rsidR="00CB1C94" w:rsidRPr="00663441">
        <w:rPr>
          <w:rFonts w:asciiTheme="minorHAnsi" w:hAnsiTheme="minorHAnsi" w:cstheme="minorHAnsi"/>
        </w:rPr>
        <w:t xml:space="preserve"> </w:t>
      </w:r>
      <w:r w:rsidR="00516DEA" w:rsidRPr="00663441">
        <w:rPr>
          <w:rFonts w:asciiTheme="minorHAnsi" w:eastAsiaTheme="minorEastAsia" w:hAnsiTheme="minorHAnsi" w:cstheme="minorHAnsi"/>
        </w:rPr>
        <w:t xml:space="preserve">a </w:t>
      </w:r>
      <w:r w:rsidR="00CB1C94" w:rsidRPr="00663441">
        <w:rPr>
          <w:rFonts w:asciiTheme="minorHAnsi" w:eastAsiaTheme="minorHAnsi" w:hAnsiTheme="minorHAnsi" w:cstheme="minorHAnsi"/>
        </w:rPr>
        <w:t>z</w:t>
      </w:r>
      <w:r w:rsidR="00CB1C94" w:rsidRPr="00663441">
        <w:rPr>
          <w:rFonts w:asciiTheme="minorHAnsi" w:hAnsiTheme="minorHAnsi" w:cstheme="minorHAnsi"/>
        </w:rPr>
        <w:t>ákon č.</w:t>
      </w:r>
      <w:r w:rsidR="004409E6">
        <w:rPr>
          <w:rFonts w:asciiTheme="minorHAnsi" w:hAnsiTheme="minorHAnsi" w:cstheme="minorHAnsi"/>
        </w:rPr>
        <w:t> </w:t>
      </w:r>
      <w:r w:rsidR="00CB1C94" w:rsidRPr="00663441">
        <w:rPr>
          <w:rFonts w:asciiTheme="minorHAnsi" w:hAnsiTheme="minorHAnsi" w:cstheme="minorHAnsi"/>
        </w:rPr>
        <w:t>219/2000 Sb.</w:t>
      </w:r>
      <w:r w:rsidR="00CB1C94" w:rsidRPr="00663441">
        <w:rPr>
          <w:rStyle w:val="Znakapoznpodarou"/>
          <w:rFonts w:asciiTheme="minorHAnsi" w:hAnsiTheme="minorHAnsi" w:cstheme="minorHAnsi"/>
        </w:rPr>
        <w:footnoteReference w:id="5"/>
      </w:r>
      <w:r w:rsidR="00BE40EB">
        <w:rPr>
          <w:rFonts w:asciiTheme="minorHAnsi" w:hAnsiTheme="minorHAnsi" w:cstheme="minorHAnsi"/>
        </w:rPr>
        <w:t>.</w:t>
      </w:r>
      <w:r w:rsidR="00CB1C94" w:rsidRPr="00663441">
        <w:rPr>
          <w:rFonts w:asciiTheme="minorHAnsi" w:hAnsiTheme="minorHAnsi" w:cstheme="minorHAnsi"/>
        </w:rPr>
        <w:t xml:space="preserve"> </w:t>
      </w:r>
      <w:r w:rsidR="00964A95" w:rsidRPr="00663441">
        <w:rPr>
          <w:rFonts w:asciiTheme="minorHAnsi" w:eastAsiaTheme="minorEastAsia" w:hAnsiTheme="minorHAnsi" w:cstheme="minorHAnsi"/>
        </w:rPr>
        <w:t xml:space="preserve">Realizací státní záruky se rozumí zaplacení zaručené částky státem za dlužníka, jehož ručitelem byl stát, věřiteli dlužníka na základě ručitelské smlouvy, kterou stát s věřitelem ve prospěch dlužníka uzavřel, ručitelského prohlášení nebo záruční listiny, které stát věřiteli ve prospěch dlužníka vystavil, nebo zákona, který státu ručitelskou povinnost ukládá. </w:t>
      </w:r>
      <w:r w:rsidR="00E86433" w:rsidRPr="00663441">
        <w:rPr>
          <w:rFonts w:asciiTheme="minorHAnsi" w:eastAsiaTheme="minorEastAsia" w:hAnsiTheme="minorHAnsi" w:cstheme="minorHAnsi"/>
        </w:rPr>
        <w:t>Přílohu státního závěrečného účtu tvoří kromě jiných údajů i přehled o</w:t>
      </w:r>
      <w:r w:rsidR="00516DEA" w:rsidRPr="00663441">
        <w:rPr>
          <w:rFonts w:asciiTheme="minorHAnsi" w:eastAsiaTheme="minorEastAsia" w:hAnsiTheme="minorHAnsi" w:cstheme="minorHAnsi"/>
        </w:rPr>
        <w:t> </w:t>
      </w:r>
      <w:r w:rsidR="00E86433" w:rsidRPr="00663441">
        <w:rPr>
          <w:rFonts w:asciiTheme="minorHAnsi" w:eastAsiaTheme="minorEastAsia" w:hAnsiTheme="minorHAnsi" w:cstheme="minorHAnsi"/>
        </w:rPr>
        <w:t>státních zárukách</w:t>
      </w:r>
      <w:r w:rsidR="00D51636" w:rsidRPr="00663441">
        <w:rPr>
          <w:rStyle w:val="Znakapoznpodarou"/>
          <w:rFonts w:asciiTheme="minorHAnsi" w:eastAsiaTheme="minorEastAsia" w:hAnsiTheme="minorHAnsi" w:cstheme="minorHAnsi"/>
        </w:rPr>
        <w:footnoteReference w:id="6"/>
      </w:r>
      <w:r w:rsidR="00E86433" w:rsidRPr="00663441">
        <w:rPr>
          <w:rFonts w:asciiTheme="minorHAnsi" w:eastAsiaTheme="minorEastAsia" w:hAnsiTheme="minorHAnsi" w:cstheme="minorHAnsi"/>
        </w:rPr>
        <w:t>.</w:t>
      </w:r>
      <w:r w:rsidR="00785FA6" w:rsidRPr="00663441">
        <w:rPr>
          <w:rFonts w:asciiTheme="minorHAnsi" w:eastAsia="Calibri" w:hAnsiTheme="minorHAnsi" w:cstheme="minorHAnsi"/>
        </w:rPr>
        <w:t xml:space="preserve"> Podle </w:t>
      </w:r>
      <w:r w:rsidR="00633162">
        <w:rPr>
          <w:rFonts w:asciiTheme="minorHAnsi" w:eastAsia="Calibri" w:hAnsiTheme="minorHAnsi" w:cstheme="minorHAnsi"/>
        </w:rPr>
        <w:t xml:space="preserve">zákona č. 218/2000 Sb. </w:t>
      </w:r>
      <w:r w:rsidR="00785FA6" w:rsidRPr="00663441">
        <w:rPr>
          <w:rFonts w:asciiTheme="minorHAnsi" w:eastAsia="Calibri" w:hAnsiTheme="minorHAnsi" w:cstheme="minorHAnsi"/>
        </w:rPr>
        <w:t>stát také ručí za závazky příspěvkových organizací vzniklé v souvislosti s provozováním jejich hlavní činnosti.</w:t>
      </w:r>
    </w:p>
    <w:p w14:paraId="095A590D" w14:textId="77777777" w:rsidR="000169E8" w:rsidRPr="00663441" w:rsidRDefault="000169E8" w:rsidP="000169E8">
      <w:pPr>
        <w:jc w:val="both"/>
        <w:rPr>
          <w:rFonts w:asciiTheme="minorHAnsi" w:eastAsiaTheme="minorEastAsia" w:hAnsiTheme="minorHAnsi" w:cstheme="minorHAnsi"/>
        </w:rPr>
      </w:pPr>
    </w:p>
    <w:p w14:paraId="6A170EAD" w14:textId="49C96CB6" w:rsidR="00E40384" w:rsidRDefault="00964A95" w:rsidP="000169E8">
      <w:pPr>
        <w:jc w:val="both"/>
        <w:rPr>
          <w:rFonts w:asciiTheme="minorHAnsi" w:eastAsiaTheme="minorEastAsia" w:hAnsiTheme="minorHAnsi" w:cstheme="minorHAnsi"/>
        </w:rPr>
      </w:pPr>
      <w:r w:rsidRPr="00663441">
        <w:rPr>
          <w:rFonts w:asciiTheme="minorHAnsi" w:eastAsiaTheme="minorEastAsia" w:hAnsiTheme="minorHAnsi" w:cstheme="minorHAnsi"/>
        </w:rPr>
        <w:t>Před</w:t>
      </w:r>
      <w:r w:rsidR="00B67402">
        <w:rPr>
          <w:rFonts w:asciiTheme="minorHAnsi" w:eastAsiaTheme="minorEastAsia" w:hAnsiTheme="minorHAnsi" w:cstheme="minorHAnsi"/>
        </w:rPr>
        <w:t xml:space="preserve"> </w:t>
      </w:r>
      <w:r w:rsidR="008577B1">
        <w:rPr>
          <w:rFonts w:asciiTheme="minorHAnsi" w:eastAsiaTheme="minorEastAsia" w:hAnsiTheme="minorHAnsi" w:cstheme="minorHAnsi"/>
        </w:rPr>
        <w:t>nabytím účinnosti</w:t>
      </w:r>
      <w:r w:rsidRPr="00663441">
        <w:rPr>
          <w:rFonts w:asciiTheme="minorHAnsi" w:eastAsiaTheme="minorEastAsia" w:hAnsiTheme="minorHAnsi" w:cstheme="minorHAnsi"/>
        </w:rPr>
        <w:t xml:space="preserve"> </w:t>
      </w:r>
      <w:r w:rsidR="001E46E4">
        <w:rPr>
          <w:rFonts w:asciiTheme="minorHAnsi" w:eastAsiaTheme="minorEastAsia" w:hAnsiTheme="minorHAnsi" w:cstheme="minorHAnsi"/>
        </w:rPr>
        <w:t>zákona č. 218/2000 Sb.</w:t>
      </w:r>
      <w:r w:rsidRPr="00663441">
        <w:rPr>
          <w:rFonts w:asciiTheme="minorHAnsi" w:eastAsiaTheme="minorEastAsia" w:hAnsiTheme="minorHAnsi" w:cstheme="minorHAnsi"/>
        </w:rPr>
        <w:t xml:space="preserve"> poskytovala Česká republika</w:t>
      </w:r>
      <w:r w:rsidR="00E12BFC" w:rsidRPr="00663441">
        <w:rPr>
          <w:rFonts w:asciiTheme="minorHAnsi" w:eastAsiaTheme="minorEastAsia" w:hAnsiTheme="minorHAnsi" w:cstheme="minorHAnsi"/>
        </w:rPr>
        <w:t xml:space="preserve"> </w:t>
      </w:r>
      <w:r w:rsidRPr="00663441">
        <w:rPr>
          <w:rFonts w:asciiTheme="minorHAnsi" w:eastAsiaTheme="minorEastAsia" w:hAnsiTheme="minorHAnsi" w:cstheme="minorHAnsi"/>
        </w:rPr>
        <w:t>státní záruky na základě ručitelské smlouvy, kterou stát s věřitelem ve prospěch dlužníka uzavřel, ručitelského prohlášení nebo záruční listiny, které stát věřiteli ve prospěch dlužníka vystavil.</w:t>
      </w:r>
    </w:p>
    <w:p w14:paraId="119B0394" w14:textId="77777777" w:rsidR="000169E8" w:rsidRPr="00663441" w:rsidRDefault="000169E8" w:rsidP="000169E8">
      <w:pPr>
        <w:jc w:val="both"/>
        <w:rPr>
          <w:rFonts w:asciiTheme="minorHAnsi" w:eastAsiaTheme="minorEastAsia" w:hAnsiTheme="minorHAnsi" w:cstheme="minorHAnsi"/>
        </w:rPr>
      </w:pPr>
    </w:p>
    <w:p w14:paraId="02E4FA7E" w14:textId="255A7684" w:rsidR="00A635E4" w:rsidRPr="00663441" w:rsidRDefault="00CB1C94" w:rsidP="000169E8">
      <w:pPr>
        <w:jc w:val="both"/>
        <w:rPr>
          <w:rFonts w:asciiTheme="minorHAnsi" w:hAnsiTheme="minorHAnsi" w:cstheme="minorHAnsi"/>
        </w:rPr>
      </w:pPr>
      <w:r w:rsidRPr="00663441">
        <w:rPr>
          <w:rFonts w:asciiTheme="minorHAnsi" w:hAnsiTheme="minorHAnsi" w:cstheme="minorHAnsi"/>
        </w:rPr>
        <w:t>MF rozděluje státní záruky na standardní, tj. záruky vydané v souladu s</w:t>
      </w:r>
      <w:r w:rsidR="009E33A9">
        <w:rPr>
          <w:rFonts w:asciiTheme="minorHAnsi" w:hAnsiTheme="minorHAnsi" w:cstheme="minorHAnsi"/>
        </w:rPr>
        <w:t>e zákonem č.</w:t>
      </w:r>
      <w:r w:rsidR="00C713EF">
        <w:rPr>
          <w:rFonts w:asciiTheme="minorHAnsi" w:hAnsiTheme="minorHAnsi" w:cstheme="minorHAnsi"/>
        </w:rPr>
        <w:t> </w:t>
      </w:r>
      <w:r w:rsidR="009E33A9">
        <w:rPr>
          <w:rFonts w:asciiTheme="minorHAnsi" w:hAnsiTheme="minorHAnsi" w:cstheme="minorHAnsi"/>
        </w:rPr>
        <w:t>218/2000</w:t>
      </w:r>
      <w:r w:rsidR="00BD1FE3">
        <w:rPr>
          <w:rFonts w:asciiTheme="minorHAnsi" w:hAnsiTheme="minorHAnsi" w:cstheme="minorHAnsi"/>
        </w:rPr>
        <w:t> </w:t>
      </w:r>
      <w:r w:rsidR="009E33A9">
        <w:rPr>
          <w:rFonts w:asciiTheme="minorHAnsi" w:hAnsiTheme="minorHAnsi" w:cstheme="minorHAnsi"/>
        </w:rPr>
        <w:t>Sb.</w:t>
      </w:r>
      <w:r w:rsidR="00BD1FE3">
        <w:rPr>
          <w:rFonts w:asciiTheme="minorHAnsi" w:hAnsiTheme="minorHAnsi" w:cstheme="minorHAnsi"/>
        </w:rPr>
        <w:t>,</w:t>
      </w:r>
      <w:r w:rsidRPr="00663441">
        <w:rPr>
          <w:rFonts w:asciiTheme="minorHAnsi" w:hAnsiTheme="minorHAnsi" w:cstheme="minorHAnsi"/>
        </w:rPr>
        <w:t xml:space="preserve"> a nestandardní, kdy se jedná o záruky, které nesplňují všechny podmínky stanovené </w:t>
      </w:r>
      <w:r w:rsidR="004302F3">
        <w:rPr>
          <w:rFonts w:asciiTheme="minorHAnsi" w:hAnsiTheme="minorHAnsi" w:cstheme="minorHAnsi"/>
        </w:rPr>
        <w:t>zákonem č. 218/2000 Sb.</w:t>
      </w:r>
      <w:r w:rsidR="004302F3" w:rsidRPr="00663441">
        <w:rPr>
          <w:rFonts w:asciiTheme="minorHAnsi" w:hAnsiTheme="minorHAnsi" w:cstheme="minorHAnsi"/>
        </w:rPr>
        <w:t xml:space="preserve"> </w:t>
      </w:r>
      <w:r w:rsidR="00753596" w:rsidRPr="00663441">
        <w:rPr>
          <w:rFonts w:asciiTheme="minorHAnsi" w:hAnsiTheme="minorHAnsi" w:cstheme="minorHAnsi"/>
        </w:rPr>
        <w:t>nebo které byly poskytnuty před je</w:t>
      </w:r>
      <w:r w:rsidR="004302F3">
        <w:rPr>
          <w:rFonts w:asciiTheme="minorHAnsi" w:hAnsiTheme="minorHAnsi" w:cstheme="minorHAnsi"/>
        </w:rPr>
        <w:t>ho</w:t>
      </w:r>
      <w:r w:rsidR="00753596" w:rsidRPr="00663441">
        <w:rPr>
          <w:rFonts w:asciiTheme="minorHAnsi" w:hAnsiTheme="minorHAnsi" w:cstheme="minorHAnsi"/>
        </w:rPr>
        <w:t xml:space="preserve"> účinností</w:t>
      </w:r>
      <w:r w:rsidRPr="00663441">
        <w:rPr>
          <w:rFonts w:asciiTheme="minorHAnsi" w:hAnsiTheme="minorHAnsi" w:cstheme="minorHAnsi"/>
        </w:rPr>
        <w:t>.</w:t>
      </w:r>
      <w:r w:rsidR="00753596" w:rsidRPr="00663441">
        <w:rPr>
          <w:rFonts w:asciiTheme="minorHAnsi" w:hAnsiTheme="minorHAnsi" w:cstheme="minorHAnsi"/>
        </w:rPr>
        <w:t xml:space="preserve"> </w:t>
      </w:r>
      <w:r w:rsidR="00A635E4" w:rsidRPr="00663441">
        <w:rPr>
          <w:rFonts w:asciiTheme="minorHAnsi" w:hAnsiTheme="minorHAnsi" w:cstheme="minorHAnsi"/>
        </w:rPr>
        <w:t>Kromě standardních a nestandardních státních záruk, jejichž předmětem jsou smluvně určené konkrétní úvěrové či jiné závazky, existují i záruky vyplývající ze zákonů č. 58/1995 Sb.</w:t>
      </w:r>
      <w:r w:rsidR="00A635E4" w:rsidRPr="00663441">
        <w:rPr>
          <w:rStyle w:val="Znakapoznpodarou"/>
          <w:rFonts w:asciiTheme="minorHAnsi" w:hAnsiTheme="minorHAnsi" w:cstheme="minorHAnsi"/>
        </w:rPr>
        <w:footnoteReference w:id="7"/>
      </w:r>
      <w:r w:rsidR="00A635E4" w:rsidRPr="00663441">
        <w:rPr>
          <w:rFonts w:asciiTheme="minorHAnsi" w:hAnsiTheme="minorHAnsi" w:cstheme="minorHAnsi"/>
        </w:rPr>
        <w:t xml:space="preserve"> a č. 77/2002 Sb.</w:t>
      </w:r>
      <w:r w:rsidR="00A635E4" w:rsidRPr="00663441">
        <w:rPr>
          <w:rStyle w:val="Znakapoznpodarou"/>
          <w:rFonts w:asciiTheme="minorHAnsi" w:hAnsiTheme="minorHAnsi" w:cstheme="minorHAnsi"/>
        </w:rPr>
        <w:footnoteReference w:id="8"/>
      </w:r>
      <w:r w:rsidR="00BE40EB">
        <w:rPr>
          <w:rFonts w:asciiTheme="minorHAnsi" w:hAnsiTheme="minorHAnsi" w:cstheme="minorHAnsi"/>
        </w:rPr>
        <w:t>.</w:t>
      </w:r>
    </w:p>
    <w:p w14:paraId="256A7051" w14:textId="77777777" w:rsidR="008C41F6" w:rsidRDefault="008C41F6" w:rsidP="000169E8">
      <w:pPr>
        <w:tabs>
          <w:tab w:val="right" w:pos="9072"/>
        </w:tabs>
        <w:jc w:val="both"/>
        <w:rPr>
          <w:rFonts w:asciiTheme="minorHAnsi" w:hAnsiTheme="minorHAnsi" w:cstheme="minorHAnsi"/>
        </w:rPr>
      </w:pPr>
    </w:p>
    <w:p w14:paraId="7F63A446" w14:textId="77777777" w:rsidR="00E40384" w:rsidRPr="00663441" w:rsidRDefault="00964A95" w:rsidP="000169E8">
      <w:pPr>
        <w:tabs>
          <w:tab w:val="right" w:pos="9072"/>
        </w:tabs>
        <w:jc w:val="both"/>
        <w:rPr>
          <w:rFonts w:asciiTheme="minorHAnsi" w:hAnsiTheme="minorHAnsi" w:cstheme="minorHAnsi"/>
        </w:rPr>
      </w:pPr>
      <w:r w:rsidRPr="00663441">
        <w:rPr>
          <w:rFonts w:asciiTheme="minorHAnsi" w:hAnsiTheme="minorHAnsi" w:cstheme="minorHAnsi"/>
        </w:rPr>
        <w:t>Stav státních záruk a</w:t>
      </w:r>
      <w:r w:rsidR="00456AC5" w:rsidRPr="00663441">
        <w:rPr>
          <w:rFonts w:asciiTheme="minorHAnsi" w:hAnsiTheme="minorHAnsi" w:cstheme="minorHAnsi"/>
        </w:rPr>
        <w:t> </w:t>
      </w:r>
      <w:r w:rsidRPr="00663441">
        <w:rPr>
          <w:rFonts w:asciiTheme="minorHAnsi" w:hAnsiTheme="minorHAnsi" w:cstheme="minorHAnsi"/>
        </w:rPr>
        <w:t>pohledávek z realizovaných státních záruk v kontrolovaném období je uveden v tabulkách č.</w:t>
      </w:r>
      <w:r w:rsidR="00456AC5" w:rsidRPr="00663441">
        <w:rPr>
          <w:rFonts w:asciiTheme="minorHAnsi" w:hAnsiTheme="minorHAnsi" w:cstheme="minorHAnsi"/>
        </w:rPr>
        <w:t> </w:t>
      </w:r>
      <w:r w:rsidRPr="00663441">
        <w:rPr>
          <w:rFonts w:asciiTheme="minorHAnsi" w:hAnsiTheme="minorHAnsi" w:cstheme="minorHAnsi"/>
        </w:rPr>
        <w:t xml:space="preserve">1 až č. </w:t>
      </w:r>
      <w:r w:rsidR="000F29B7" w:rsidRPr="00663441">
        <w:rPr>
          <w:rFonts w:asciiTheme="minorHAnsi" w:hAnsiTheme="minorHAnsi" w:cstheme="minorHAnsi"/>
        </w:rPr>
        <w:t>4</w:t>
      </w:r>
      <w:r w:rsidRPr="00663441">
        <w:rPr>
          <w:rFonts w:asciiTheme="minorHAnsi" w:hAnsiTheme="minorHAnsi" w:cstheme="minorHAnsi"/>
        </w:rPr>
        <w:t xml:space="preserve">. </w:t>
      </w:r>
    </w:p>
    <w:p w14:paraId="2CA201E6" w14:textId="77777777" w:rsidR="00450D2E" w:rsidRDefault="00450D2E" w:rsidP="000169E8">
      <w:pPr>
        <w:jc w:val="both"/>
        <w:rPr>
          <w:rFonts w:asciiTheme="minorHAnsi" w:hAnsiTheme="minorHAnsi" w:cstheme="minorHAnsi"/>
        </w:rPr>
      </w:pPr>
    </w:p>
    <w:p w14:paraId="5E2FA0C1" w14:textId="29484E75" w:rsidR="004B1290" w:rsidRPr="00663441" w:rsidRDefault="004B1290" w:rsidP="000169E8">
      <w:pPr>
        <w:jc w:val="both"/>
        <w:rPr>
          <w:rFonts w:asciiTheme="minorHAnsi" w:eastAsiaTheme="minorEastAsia" w:hAnsiTheme="minorHAnsi" w:cstheme="minorHAnsi"/>
        </w:rPr>
      </w:pPr>
      <w:r w:rsidRPr="00663441">
        <w:rPr>
          <w:rFonts w:asciiTheme="minorHAnsi" w:eastAsiaTheme="minorEastAsia" w:hAnsiTheme="minorHAnsi" w:cstheme="minorHAnsi"/>
        </w:rPr>
        <w:t>Standardní státní záruky zahrnují zejména státní záruky ve prospěch společností České dráhy</w:t>
      </w:r>
      <w:r w:rsidR="00057ED8">
        <w:rPr>
          <w:rFonts w:asciiTheme="minorHAnsi" w:eastAsiaTheme="minorEastAsia" w:hAnsiTheme="minorHAnsi" w:cstheme="minorHAnsi"/>
        </w:rPr>
        <w:t>, a.s.,</w:t>
      </w:r>
      <w:r w:rsidRPr="00663441">
        <w:rPr>
          <w:rFonts w:asciiTheme="minorHAnsi" w:eastAsiaTheme="minorEastAsia" w:hAnsiTheme="minorHAnsi" w:cstheme="minorHAnsi"/>
        </w:rPr>
        <w:t xml:space="preserve"> a SŽDC. Od nabytí účinnosti zákona č. 218/2000 Sb. bylo poskytnuto v letech 2002 až 2007 celkem sedm standardních státních záruk.</w:t>
      </w:r>
      <w:r w:rsidRPr="00663441">
        <w:rPr>
          <w:rFonts w:asciiTheme="minorHAnsi" w:hAnsiTheme="minorHAnsi" w:cstheme="minorHAnsi"/>
        </w:rPr>
        <w:t xml:space="preserve"> </w:t>
      </w:r>
      <w:r w:rsidR="00E9383B">
        <w:rPr>
          <w:rFonts w:asciiTheme="minorHAnsi" w:eastAsiaTheme="minorEastAsia" w:hAnsiTheme="minorHAnsi" w:cstheme="minorHAnsi"/>
        </w:rPr>
        <w:t>Od roku 2008</w:t>
      </w:r>
      <w:r w:rsidRPr="00663441">
        <w:rPr>
          <w:rFonts w:asciiTheme="minorHAnsi" w:eastAsiaTheme="minorEastAsia" w:hAnsiTheme="minorHAnsi" w:cstheme="minorHAnsi"/>
        </w:rPr>
        <w:t xml:space="preserve"> nebyla poskytnuta žádná.</w:t>
      </w:r>
    </w:p>
    <w:p w14:paraId="643701E6" w14:textId="77777777" w:rsidR="00384614" w:rsidRDefault="00384614" w:rsidP="000169E8">
      <w:pPr>
        <w:jc w:val="both"/>
        <w:rPr>
          <w:rFonts w:asciiTheme="minorHAnsi" w:hAnsiTheme="minorHAnsi" w:cstheme="minorHAnsi"/>
        </w:rPr>
      </w:pPr>
    </w:p>
    <w:p w14:paraId="2D50C313" w14:textId="634F2491" w:rsidR="00E40384" w:rsidRPr="00663441" w:rsidRDefault="00964A95" w:rsidP="003C6A4A">
      <w:pPr>
        <w:tabs>
          <w:tab w:val="right" w:pos="9072"/>
        </w:tabs>
        <w:spacing w:after="60" w:line="259" w:lineRule="auto"/>
        <w:rPr>
          <w:rFonts w:asciiTheme="minorHAnsi" w:hAnsiTheme="minorHAnsi" w:cstheme="minorHAnsi"/>
          <w:b/>
          <w:sz w:val="23"/>
          <w:szCs w:val="23"/>
        </w:rPr>
      </w:pPr>
      <w:r w:rsidRPr="00663441">
        <w:rPr>
          <w:rFonts w:asciiTheme="minorHAnsi" w:hAnsiTheme="minorHAnsi" w:cstheme="minorHAnsi"/>
          <w:b/>
          <w:sz w:val="23"/>
          <w:szCs w:val="23"/>
        </w:rPr>
        <w:lastRenderedPageBreak/>
        <w:t>Tabulka č. 1: Změna stavu standardních státních záruk v kontrolovaném období</w:t>
      </w:r>
      <w:r w:rsidR="00D12C01" w:rsidRPr="00663441">
        <w:rPr>
          <w:rFonts w:asciiTheme="minorHAnsi" w:hAnsiTheme="minorHAnsi" w:cstheme="minorHAnsi"/>
          <w:b/>
          <w:sz w:val="23"/>
          <w:szCs w:val="23"/>
        </w:rPr>
        <w:tab/>
      </w:r>
      <w:r w:rsidRPr="00663441">
        <w:rPr>
          <w:rFonts w:asciiTheme="minorHAnsi" w:hAnsiTheme="minorHAnsi" w:cstheme="minorHAnsi"/>
          <w:b/>
          <w:sz w:val="23"/>
          <w:szCs w:val="23"/>
        </w:rPr>
        <w:t>(v mil. Kč)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0" w:type="dxa"/>
        </w:tblCellMar>
        <w:tblLook w:val="0600" w:firstRow="0" w:lastRow="0" w:firstColumn="0" w:lastColumn="0" w:noHBand="1" w:noVBand="1"/>
      </w:tblPr>
      <w:tblGrid>
        <w:gridCol w:w="1575"/>
        <w:gridCol w:w="1070"/>
        <w:gridCol w:w="1070"/>
        <w:gridCol w:w="1070"/>
        <w:gridCol w:w="1071"/>
        <w:gridCol w:w="1070"/>
        <w:gridCol w:w="1070"/>
        <w:gridCol w:w="1071"/>
      </w:tblGrid>
      <w:tr w:rsidR="00974715" w:rsidRPr="000169E8" w14:paraId="261EE735" w14:textId="77777777" w:rsidTr="000169E8">
        <w:trPr>
          <w:trHeight w:val="283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E5F1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5886AC" w14:textId="77777777" w:rsidR="00E40384" w:rsidRPr="000169E8" w:rsidRDefault="00964A95" w:rsidP="00A44EB4">
            <w:pPr>
              <w:spacing w:before="20" w:after="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169E8">
              <w:rPr>
                <w:rFonts w:ascii="Calibri" w:hAnsi="Calibri" w:cs="Calibri"/>
                <w:b/>
                <w:sz w:val="18"/>
                <w:szCs w:val="18"/>
              </w:rPr>
              <w:t>Standardní státní záruky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5F1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334FF" w14:textId="77777777" w:rsidR="00E40384" w:rsidRPr="000169E8" w:rsidRDefault="00964A95" w:rsidP="00A44EB4">
            <w:pPr>
              <w:spacing w:before="20" w:after="20"/>
              <w:jc w:val="center"/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0169E8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18"/>
                <w:szCs w:val="18"/>
              </w:rPr>
              <w:t>Stav</w:t>
            </w:r>
            <w:r w:rsidR="000169E8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Pr="000169E8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18"/>
                <w:szCs w:val="18"/>
              </w:rPr>
              <w:t>k</w:t>
            </w:r>
            <w:r w:rsidR="000169E8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18"/>
                <w:szCs w:val="18"/>
              </w:rPr>
              <w:t> </w:t>
            </w:r>
            <w:r w:rsidRPr="000169E8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18"/>
                <w:szCs w:val="18"/>
              </w:rPr>
              <w:t>31.</w:t>
            </w:r>
            <w:r w:rsidR="000169E8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18"/>
                <w:szCs w:val="18"/>
              </w:rPr>
              <w:t> 12. </w:t>
            </w:r>
            <w:r w:rsidRPr="000169E8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18"/>
                <w:szCs w:val="18"/>
              </w:rPr>
              <w:t>2012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5F1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50389" w14:textId="77777777" w:rsidR="00E40384" w:rsidRPr="000169E8" w:rsidRDefault="00964A95" w:rsidP="00A44EB4">
            <w:pPr>
              <w:spacing w:before="20" w:after="20"/>
              <w:jc w:val="center"/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0169E8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18"/>
                <w:szCs w:val="18"/>
              </w:rPr>
              <w:t>Vyúčtování úroků a</w:t>
            </w:r>
            <w:r w:rsidR="000169E8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18"/>
                <w:szCs w:val="18"/>
              </w:rPr>
              <w:t> </w:t>
            </w:r>
            <w:r w:rsidRPr="000169E8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18"/>
                <w:szCs w:val="18"/>
              </w:rPr>
              <w:t>poplatků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5F1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E58400" w14:textId="77777777" w:rsidR="00E40384" w:rsidRPr="000169E8" w:rsidRDefault="00964A95" w:rsidP="00A44EB4">
            <w:pPr>
              <w:spacing w:before="20" w:after="20"/>
              <w:jc w:val="center"/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0169E8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18"/>
                <w:szCs w:val="18"/>
              </w:rPr>
              <w:t>Splátky od dlužníků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E5F1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05B6B0" w14:textId="77777777" w:rsidR="00E40384" w:rsidRPr="000169E8" w:rsidRDefault="00964A95" w:rsidP="00A44EB4">
            <w:pPr>
              <w:spacing w:before="20" w:after="20"/>
              <w:jc w:val="center"/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0169E8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18"/>
                <w:szCs w:val="18"/>
              </w:rPr>
              <w:t xml:space="preserve">Realizace </w:t>
            </w:r>
            <w:r w:rsidR="000169E8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18"/>
                <w:szCs w:val="18"/>
              </w:rPr>
              <w:t>st. </w:t>
            </w:r>
            <w:r w:rsidRPr="000169E8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18"/>
                <w:szCs w:val="18"/>
              </w:rPr>
              <w:t>záruk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5F1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3E4ABD" w14:textId="77777777" w:rsidR="00E40384" w:rsidRPr="000169E8" w:rsidRDefault="00964A95" w:rsidP="00A44EB4">
            <w:pPr>
              <w:spacing w:before="20" w:after="20"/>
              <w:jc w:val="center"/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0169E8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18"/>
                <w:szCs w:val="18"/>
              </w:rPr>
              <w:t>Úhrada ze SR (EIB)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5F1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61578" w14:textId="77777777" w:rsidR="00E40384" w:rsidRPr="000169E8" w:rsidRDefault="00964A95" w:rsidP="00A44EB4">
            <w:pPr>
              <w:spacing w:before="20" w:after="20"/>
              <w:jc w:val="center"/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0169E8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18"/>
                <w:szCs w:val="18"/>
              </w:rPr>
              <w:t>Kurzové rozdíly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E5F1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26A26" w14:textId="77777777" w:rsidR="00E40384" w:rsidRPr="000169E8" w:rsidRDefault="00964A95" w:rsidP="00A44EB4">
            <w:pPr>
              <w:spacing w:before="20" w:after="20"/>
              <w:jc w:val="center"/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0169E8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18"/>
                <w:szCs w:val="18"/>
              </w:rPr>
              <w:t>Stav k</w:t>
            </w:r>
            <w:r w:rsidR="00A44EB4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18"/>
                <w:szCs w:val="18"/>
              </w:rPr>
              <w:t> </w:t>
            </w:r>
            <w:r w:rsidRPr="000169E8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18"/>
                <w:szCs w:val="18"/>
              </w:rPr>
              <w:t>31.</w:t>
            </w:r>
            <w:r w:rsidR="00A44EB4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18"/>
                <w:szCs w:val="18"/>
              </w:rPr>
              <w:t> </w:t>
            </w:r>
            <w:r w:rsidRPr="000169E8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18"/>
                <w:szCs w:val="18"/>
              </w:rPr>
              <w:t>12.</w:t>
            </w:r>
            <w:r w:rsidR="00A44EB4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18"/>
                <w:szCs w:val="18"/>
              </w:rPr>
              <w:t> </w:t>
            </w:r>
            <w:r w:rsidRPr="000169E8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18"/>
                <w:szCs w:val="18"/>
              </w:rPr>
              <w:t>2016</w:t>
            </w:r>
          </w:p>
        </w:tc>
      </w:tr>
      <w:tr w:rsidR="00974715" w:rsidRPr="000169E8" w14:paraId="4A468A29" w14:textId="77777777" w:rsidTr="00A44EB4">
        <w:trPr>
          <w:trHeight w:val="283"/>
        </w:trPr>
        <w:tc>
          <w:tcPr>
            <w:tcW w:w="1575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83AFCE" w14:textId="77777777" w:rsidR="00E40384" w:rsidRPr="000169E8" w:rsidRDefault="00964A95" w:rsidP="00A44EB4">
            <w:pPr>
              <w:spacing w:before="20" w:after="20"/>
              <w:ind w:left="57"/>
              <w:textAlignment w:val="bottom"/>
              <w:rPr>
                <w:rFonts w:ascii="Calibri" w:hAnsi="Calibri" w:cs="Calibri"/>
                <w:color w:val="000000" w:themeColor="dark1"/>
                <w:kern w:val="24"/>
                <w:sz w:val="18"/>
                <w:szCs w:val="18"/>
              </w:rPr>
            </w:pPr>
            <w:r w:rsidRPr="000169E8">
              <w:rPr>
                <w:rFonts w:ascii="Calibri" w:hAnsi="Calibri" w:cs="Calibri"/>
                <w:color w:val="000000" w:themeColor="dark1"/>
                <w:kern w:val="24"/>
                <w:sz w:val="18"/>
                <w:szCs w:val="18"/>
              </w:rPr>
              <w:t>Zaručené úvěry od tuzemských bank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FC411B" w14:textId="77777777" w:rsidR="00E40384" w:rsidRPr="000169E8" w:rsidRDefault="00964A95" w:rsidP="00A44EB4">
            <w:pPr>
              <w:spacing w:before="20" w:after="20"/>
              <w:ind w:right="170"/>
              <w:jc w:val="right"/>
              <w:textAlignment w:val="bottom"/>
              <w:rPr>
                <w:rFonts w:ascii="Calibri" w:hAnsi="Calibri" w:cs="Calibri"/>
                <w:sz w:val="18"/>
                <w:szCs w:val="18"/>
              </w:rPr>
            </w:pPr>
            <w:r w:rsidRPr="000169E8">
              <w:rPr>
                <w:rFonts w:ascii="Calibri" w:hAnsi="Calibri" w:cs="Calibri"/>
                <w:color w:val="000000" w:themeColor="dark1"/>
                <w:kern w:val="24"/>
                <w:sz w:val="18"/>
                <w:szCs w:val="18"/>
              </w:rPr>
              <w:t>862,2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AAFC2" w14:textId="77777777" w:rsidR="00E40384" w:rsidRPr="000169E8" w:rsidRDefault="00964A95" w:rsidP="00A44EB4">
            <w:pPr>
              <w:spacing w:before="20" w:after="20"/>
              <w:ind w:right="170"/>
              <w:jc w:val="right"/>
              <w:textAlignment w:val="bottom"/>
              <w:rPr>
                <w:rFonts w:ascii="Calibri" w:hAnsi="Calibri" w:cs="Calibri"/>
                <w:sz w:val="18"/>
                <w:szCs w:val="18"/>
              </w:rPr>
            </w:pPr>
            <w:r w:rsidRPr="000169E8">
              <w:rPr>
                <w:rFonts w:ascii="Calibri" w:hAnsi="Calibri" w:cs="Calibri"/>
                <w:color w:val="000000" w:themeColor="dark1"/>
                <w:kern w:val="24"/>
                <w:sz w:val="18"/>
                <w:szCs w:val="18"/>
              </w:rPr>
              <w:t>2,9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55E33" w14:textId="77777777" w:rsidR="00E40384" w:rsidRPr="000169E8" w:rsidRDefault="00964A95" w:rsidP="00A44EB4">
            <w:pPr>
              <w:spacing w:before="20" w:after="20"/>
              <w:ind w:right="170"/>
              <w:jc w:val="right"/>
              <w:textAlignment w:val="bottom"/>
              <w:rPr>
                <w:rFonts w:ascii="Calibri" w:hAnsi="Calibri" w:cs="Calibri"/>
                <w:sz w:val="18"/>
                <w:szCs w:val="18"/>
              </w:rPr>
            </w:pPr>
            <w:r w:rsidRPr="000169E8">
              <w:rPr>
                <w:rFonts w:ascii="Calibri" w:hAnsi="Calibri" w:cs="Calibri"/>
                <w:color w:val="000000" w:themeColor="dark1"/>
                <w:kern w:val="24"/>
                <w:sz w:val="18"/>
                <w:szCs w:val="18"/>
              </w:rPr>
              <w:t>-553,9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CB9142" w14:textId="77777777" w:rsidR="00E40384" w:rsidRPr="000169E8" w:rsidRDefault="00964A95" w:rsidP="00A44EB4">
            <w:pPr>
              <w:spacing w:before="20" w:after="20"/>
              <w:ind w:right="170"/>
              <w:jc w:val="right"/>
              <w:textAlignment w:val="bottom"/>
              <w:rPr>
                <w:rFonts w:ascii="Calibri" w:hAnsi="Calibri" w:cs="Calibri"/>
                <w:sz w:val="18"/>
                <w:szCs w:val="18"/>
              </w:rPr>
            </w:pPr>
            <w:r w:rsidRPr="000169E8">
              <w:rPr>
                <w:rFonts w:ascii="Calibri" w:hAnsi="Calibri" w:cs="Calibri"/>
                <w:color w:val="000000" w:themeColor="dark1"/>
                <w:kern w:val="24"/>
                <w:sz w:val="18"/>
                <w:szCs w:val="18"/>
              </w:rPr>
              <w:t>-349,9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907CCC" w14:textId="77777777" w:rsidR="00E40384" w:rsidRPr="000169E8" w:rsidRDefault="00964A95" w:rsidP="00A44EB4">
            <w:pPr>
              <w:spacing w:before="20" w:after="20"/>
              <w:ind w:right="170"/>
              <w:jc w:val="right"/>
              <w:textAlignment w:val="bottom"/>
              <w:rPr>
                <w:rFonts w:ascii="Calibri" w:hAnsi="Calibri" w:cs="Calibri"/>
                <w:sz w:val="18"/>
                <w:szCs w:val="18"/>
              </w:rPr>
            </w:pPr>
            <w:r w:rsidRPr="000169E8">
              <w:rPr>
                <w:rFonts w:ascii="Calibri" w:hAnsi="Calibri" w:cs="Calibri"/>
                <w:color w:val="000000" w:themeColor="dark1"/>
                <w:kern w:val="24"/>
                <w:sz w:val="18"/>
                <w:szCs w:val="18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0868F" w14:textId="77777777" w:rsidR="00E40384" w:rsidRPr="000169E8" w:rsidRDefault="00964A95" w:rsidP="00A44EB4">
            <w:pPr>
              <w:spacing w:before="20" w:after="20"/>
              <w:ind w:right="170"/>
              <w:jc w:val="right"/>
              <w:textAlignment w:val="bottom"/>
              <w:rPr>
                <w:rFonts w:ascii="Calibri" w:hAnsi="Calibri" w:cs="Calibri"/>
                <w:sz w:val="18"/>
                <w:szCs w:val="18"/>
              </w:rPr>
            </w:pPr>
            <w:r w:rsidRPr="000169E8">
              <w:rPr>
                <w:rFonts w:ascii="Calibri" w:hAnsi="Calibri" w:cs="Calibri"/>
                <w:color w:val="000000" w:themeColor="dark1"/>
                <w:kern w:val="24"/>
                <w:sz w:val="18"/>
                <w:szCs w:val="18"/>
              </w:rPr>
              <w:t>38,7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6FDE1" w14:textId="77777777" w:rsidR="00E40384" w:rsidRPr="000169E8" w:rsidRDefault="00964A95" w:rsidP="00A44EB4">
            <w:pPr>
              <w:spacing w:before="20" w:after="20"/>
              <w:ind w:right="170"/>
              <w:jc w:val="right"/>
              <w:textAlignment w:val="bottom"/>
              <w:rPr>
                <w:rFonts w:ascii="Calibri" w:hAnsi="Calibri" w:cs="Calibri"/>
                <w:sz w:val="18"/>
                <w:szCs w:val="18"/>
              </w:rPr>
            </w:pPr>
            <w:r w:rsidRPr="000169E8">
              <w:rPr>
                <w:rFonts w:ascii="Calibri" w:hAnsi="Calibri" w:cs="Calibri"/>
                <w:color w:val="000000" w:themeColor="dark1"/>
                <w:kern w:val="24"/>
                <w:sz w:val="18"/>
                <w:szCs w:val="18"/>
              </w:rPr>
              <w:t>0,0</w:t>
            </w:r>
          </w:p>
        </w:tc>
      </w:tr>
      <w:tr w:rsidR="00974715" w:rsidRPr="000169E8" w14:paraId="6C10140E" w14:textId="77777777" w:rsidTr="00A44EB4">
        <w:trPr>
          <w:trHeight w:val="283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2F369E" w14:textId="77777777" w:rsidR="00E40384" w:rsidRPr="000169E8" w:rsidRDefault="00964A95" w:rsidP="00A44EB4">
            <w:pPr>
              <w:spacing w:before="20" w:after="20"/>
              <w:ind w:left="57"/>
              <w:textAlignment w:val="bottom"/>
              <w:rPr>
                <w:rFonts w:ascii="Calibri" w:hAnsi="Calibri" w:cs="Calibri"/>
                <w:sz w:val="18"/>
                <w:szCs w:val="18"/>
              </w:rPr>
            </w:pPr>
            <w:r w:rsidRPr="000169E8">
              <w:rPr>
                <w:rFonts w:ascii="Calibri" w:hAnsi="Calibri" w:cs="Calibri"/>
                <w:color w:val="000000" w:themeColor="dark1"/>
                <w:kern w:val="24"/>
                <w:sz w:val="18"/>
                <w:szCs w:val="18"/>
              </w:rPr>
              <w:t>Zaručené zahraniční úvěry</w:t>
            </w:r>
          </w:p>
        </w:tc>
        <w:tc>
          <w:tcPr>
            <w:tcW w:w="10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EF835" w14:textId="77777777" w:rsidR="00E40384" w:rsidRPr="000169E8" w:rsidRDefault="00964A95" w:rsidP="00A44EB4">
            <w:pPr>
              <w:spacing w:before="20" w:after="20"/>
              <w:ind w:right="170"/>
              <w:jc w:val="right"/>
              <w:textAlignment w:val="bottom"/>
              <w:rPr>
                <w:rFonts w:ascii="Calibri" w:hAnsi="Calibri" w:cs="Calibri"/>
                <w:sz w:val="18"/>
                <w:szCs w:val="18"/>
              </w:rPr>
            </w:pPr>
            <w:r w:rsidRPr="000169E8">
              <w:rPr>
                <w:rFonts w:ascii="Calibri" w:hAnsi="Calibri" w:cs="Calibri"/>
                <w:color w:val="000000" w:themeColor="dark1"/>
                <w:kern w:val="24"/>
                <w:sz w:val="18"/>
                <w:szCs w:val="18"/>
              </w:rPr>
              <w:t>20 698,7</w:t>
            </w:r>
          </w:p>
        </w:tc>
        <w:tc>
          <w:tcPr>
            <w:tcW w:w="10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4D48E" w14:textId="77777777" w:rsidR="00E40384" w:rsidRPr="000169E8" w:rsidRDefault="00964A95" w:rsidP="00A44EB4">
            <w:pPr>
              <w:spacing w:before="20" w:after="20"/>
              <w:ind w:right="170"/>
              <w:jc w:val="right"/>
              <w:textAlignment w:val="bottom"/>
              <w:rPr>
                <w:rFonts w:ascii="Calibri" w:hAnsi="Calibri" w:cs="Calibri"/>
                <w:sz w:val="18"/>
                <w:szCs w:val="18"/>
              </w:rPr>
            </w:pPr>
            <w:r w:rsidRPr="000169E8">
              <w:rPr>
                <w:rFonts w:ascii="Calibri" w:hAnsi="Calibri" w:cs="Calibri"/>
                <w:color w:val="000000" w:themeColor="dark1"/>
                <w:kern w:val="24"/>
                <w:sz w:val="18"/>
                <w:szCs w:val="18"/>
              </w:rPr>
              <w:t>2 112,6</w:t>
            </w:r>
          </w:p>
        </w:tc>
        <w:tc>
          <w:tcPr>
            <w:tcW w:w="10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AB3A7C" w14:textId="77777777" w:rsidR="00E40384" w:rsidRPr="000169E8" w:rsidRDefault="00964A95" w:rsidP="00A44EB4">
            <w:pPr>
              <w:spacing w:before="20" w:after="20"/>
              <w:ind w:right="170"/>
              <w:jc w:val="right"/>
              <w:textAlignment w:val="bottom"/>
              <w:rPr>
                <w:rFonts w:ascii="Calibri" w:hAnsi="Calibri" w:cs="Calibri"/>
                <w:sz w:val="18"/>
                <w:szCs w:val="18"/>
              </w:rPr>
            </w:pPr>
            <w:r w:rsidRPr="000169E8">
              <w:rPr>
                <w:rFonts w:ascii="Calibri" w:hAnsi="Calibri" w:cs="Calibri"/>
                <w:color w:val="000000" w:themeColor="dark1"/>
                <w:kern w:val="24"/>
                <w:sz w:val="18"/>
                <w:szCs w:val="18"/>
              </w:rPr>
              <w:t>-6 239,6</w:t>
            </w:r>
          </w:p>
        </w:tc>
        <w:tc>
          <w:tcPr>
            <w:tcW w:w="10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EF53EE" w14:textId="77777777" w:rsidR="00E40384" w:rsidRPr="000169E8" w:rsidRDefault="00964A95" w:rsidP="00A44EB4">
            <w:pPr>
              <w:spacing w:before="20" w:after="20"/>
              <w:ind w:right="170"/>
              <w:jc w:val="right"/>
              <w:textAlignment w:val="bottom"/>
              <w:rPr>
                <w:rFonts w:ascii="Calibri" w:hAnsi="Calibri" w:cs="Calibri"/>
                <w:sz w:val="18"/>
                <w:szCs w:val="18"/>
              </w:rPr>
            </w:pPr>
            <w:r w:rsidRPr="000169E8">
              <w:rPr>
                <w:rFonts w:ascii="Calibri" w:hAnsi="Calibri" w:cs="Calibri"/>
                <w:color w:val="000000" w:themeColor="dark1"/>
                <w:kern w:val="24"/>
                <w:sz w:val="18"/>
                <w:szCs w:val="18"/>
              </w:rPr>
              <w:t>-6 555,0</w:t>
            </w:r>
          </w:p>
        </w:tc>
        <w:tc>
          <w:tcPr>
            <w:tcW w:w="10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73A3BD" w14:textId="77777777" w:rsidR="00E40384" w:rsidRPr="000169E8" w:rsidRDefault="00964A95" w:rsidP="00A44EB4">
            <w:pPr>
              <w:spacing w:before="20" w:after="20"/>
              <w:ind w:right="170"/>
              <w:jc w:val="right"/>
              <w:textAlignment w:val="bottom"/>
              <w:rPr>
                <w:rFonts w:ascii="Calibri" w:hAnsi="Calibri" w:cs="Calibri"/>
                <w:sz w:val="18"/>
                <w:szCs w:val="18"/>
              </w:rPr>
            </w:pPr>
            <w:r w:rsidRPr="000169E8">
              <w:rPr>
                <w:rFonts w:ascii="Calibri" w:hAnsi="Calibri" w:cs="Calibri"/>
                <w:color w:val="000000" w:themeColor="dark1"/>
                <w:kern w:val="24"/>
                <w:sz w:val="18"/>
                <w:szCs w:val="18"/>
              </w:rPr>
              <w:t>-6 715,2</w:t>
            </w:r>
          </w:p>
        </w:tc>
        <w:tc>
          <w:tcPr>
            <w:tcW w:w="10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5D3EB6" w14:textId="77777777" w:rsidR="00E40384" w:rsidRPr="000169E8" w:rsidRDefault="00964A95" w:rsidP="00A44EB4">
            <w:pPr>
              <w:spacing w:before="20" w:after="20"/>
              <w:ind w:right="170"/>
              <w:jc w:val="right"/>
              <w:textAlignment w:val="bottom"/>
              <w:rPr>
                <w:rFonts w:ascii="Calibri" w:hAnsi="Calibri" w:cs="Calibri"/>
                <w:sz w:val="18"/>
                <w:szCs w:val="18"/>
              </w:rPr>
            </w:pPr>
            <w:r w:rsidRPr="000169E8">
              <w:rPr>
                <w:rFonts w:ascii="Calibri" w:hAnsi="Calibri" w:cs="Calibri"/>
                <w:color w:val="000000" w:themeColor="dark1"/>
                <w:kern w:val="24"/>
                <w:sz w:val="18"/>
                <w:szCs w:val="18"/>
              </w:rPr>
              <w:t>3 364,9</w:t>
            </w:r>
          </w:p>
        </w:tc>
        <w:tc>
          <w:tcPr>
            <w:tcW w:w="10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B96AC" w14:textId="77777777" w:rsidR="00E40384" w:rsidRPr="000169E8" w:rsidRDefault="00964A95" w:rsidP="00A44EB4">
            <w:pPr>
              <w:spacing w:before="20" w:after="20"/>
              <w:ind w:right="170"/>
              <w:jc w:val="right"/>
              <w:textAlignment w:val="bottom"/>
              <w:rPr>
                <w:rFonts w:ascii="Calibri" w:hAnsi="Calibri" w:cs="Calibri"/>
                <w:sz w:val="18"/>
                <w:szCs w:val="18"/>
              </w:rPr>
            </w:pPr>
            <w:r w:rsidRPr="000169E8">
              <w:rPr>
                <w:rFonts w:ascii="Calibri" w:hAnsi="Calibri" w:cs="Calibri"/>
                <w:color w:val="000000" w:themeColor="dark1"/>
                <w:kern w:val="24"/>
                <w:sz w:val="18"/>
                <w:szCs w:val="18"/>
              </w:rPr>
              <w:t>6 666,4</w:t>
            </w:r>
          </w:p>
        </w:tc>
      </w:tr>
      <w:tr w:rsidR="00974715" w:rsidRPr="000169E8" w14:paraId="2BD74B67" w14:textId="77777777" w:rsidTr="00A44EB4">
        <w:trPr>
          <w:trHeight w:val="283"/>
        </w:trPr>
        <w:tc>
          <w:tcPr>
            <w:tcW w:w="1575" w:type="dxa"/>
            <w:shd w:val="clear" w:color="auto" w:fill="F2C6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DE598B" w14:textId="77777777" w:rsidR="00E40384" w:rsidRPr="000169E8" w:rsidRDefault="00964A95" w:rsidP="00A44EB4">
            <w:pPr>
              <w:spacing w:before="20" w:after="20"/>
              <w:ind w:left="57"/>
              <w:textAlignment w:val="bottom"/>
              <w:rPr>
                <w:rFonts w:ascii="Calibri" w:hAnsi="Calibri" w:cs="Calibri"/>
                <w:sz w:val="18"/>
                <w:szCs w:val="18"/>
              </w:rPr>
            </w:pPr>
            <w:r w:rsidRPr="000169E8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18"/>
                <w:szCs w:val="18"/>
              </w:rPr>
              <w:t>Celkem</w:t>
            </w:r>
          </w:p>
        </w:tc>
        <w:tc>
          <w:tcPr>
            <w:tcW w:w="1070" w:type="dxa"/>
            <w:shd w:val="clear" w:color="auto" w:fill="F2C6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1DF818" w14:textId="77777777" w:rsidR="00E40384" w:rsidRPr="000169E8" w:rsidRDefault="00964A95" w:rsidP="00A44EB4">
            <w:pPr>
              <w:spacing w:before="20" w:after="20"/>
              <w:ind w:right="170"/>
              <w:jc w:val="right"/>
              <w:textAlignment w:val="bottom"/>
              <w:rPr>
                <w:rFonts w:ascii="Calibri" w:hAnsi="Calibri" w:cs="Calibri"/>
                <w:sz w:val="18"/>
                <w:szCs w:val="18"/>
              </w:rPr>
            </w:pPr>
            <w:r w:rsidRPr="000169E8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18"/>
                <w:szCs w:val="18"/>
              </w:rPr>
              <w:t>21 560,9</w:t>
            </w:r>
          </w:p>
        </w:tc>
        <w:tc>
          <w:tcPr>
            <w:tcW w:w="1070" w:type="dxa"/>
            <w:shd w:val="clear" w:color="auto" w:fill="F2C6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C39F51" w14:textId="77777777" w:rsidR="00E40384" w:rsidRPr="000169E8" w:rsidRDefault="00964A95" w:rsidP="00A44EB4">
            <w:pPr>
              <w:spacing w:before="20" w:after="20"/>
              <w:ind w:right="170"/>
              <w:jc w:val="right"/>
              <w:textAlignment w:val="bottom"/>
              <w:rPr>
                <w:rFonts w:ascii="Calibri" w:hAnsi="Calibri" w:cs="Calibri"/>
                <w:sz w:val="18"/>
                <w:szCs w:val="18"/>
              </w:rPr>
            </w:pPr>
            <w:r w:rsidRPr="000169E8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18"/>
                <w:szCs w:val="18"/>
              </w:rPr>
              <w:t>2 115,5</w:t>
            </w:r>
          </w:p>
        </w:tc>
        <w:tc>
          <w:tcPr>
            <w:tcW w:w="1070" w:type="dxa"/>
            <w:shd w:val="clear" w:color="auto" w:fill="F2C6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39DCC" w14:textId="77777777" w:rsidR="00E40384" w:rsidRPr="000169E8" w:rsidRDefault="00964A95" w:rsidP="00A44EB4">
            <w:pPr>
              <w:spacing w:before="20" w:after="20"/>
              <w:ind w:right="170"/>
              <w:jc w:val="right"/>
              <w:textAlignment w:val="bottom"/>
              <w:rPr>
                <w:rFonts w:ascii="Calibri" w:hAnsi="Calibri" w:cs="Calibri"/>
                <w:sz w:val="18"/>
                <w:szCs w:val="18"/>
              </w:rPr>
            </w:pPr>
            <w:r w:rsidRPr="000169E8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18"/>
                <w:szCs w:val="18"/>
              </w:rPr>
              <w:t>-6 793,5</w:t>
            </w:r>
          </w:p>
        </w:tc>
        <w:tc>
          <w:tcPr>
            <w:tcW w:w="1071" w:type="dxa"/>
            <w:shd w:val="clear" w:color="auto" w:fill="F2C6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897DDE" w14:textId="77777777" w:rsidR="00E40384" w:rsidRPr="000169E8" w:rsidRDefault="00964A95" w:rsidP="00A44EB4">
            <w:pPr>
              <w:spacing w:before="20" w:after="20"/>
              <w:ind w:right="170"/>
              <w:jc w:val="right"/>
              <w:textAlignment w:val="bottom"/>
              <w:rPr>
                <w:rFonts w:ascii="Calibri" w:hAnsi="Calibri" w:cs="Calibri"/>
                <w:sz w:val="18"/>
                <w:szCs w:val="18"/>
              </w:rPr>
            </w:pPr>
            <w:r w:rsidRPr="000169E8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18"/>
                <w:szCs w:val="18"/>
              </w:rPr>
              <w:t>-6 904,9</w:t>
            </w:r>
          </w:p>
        </w:tc>
        <w:tc>
          <w:tcPr>
            <w:tcW w:w="1070" w:type="dxa"/>
            <w:shd w:val="clear" w:color="auto" w:fill="F2C6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AE70B5" w14:textId="77777777" w:rsidR="00E40384" w:rsidRPr="000169E8" w:rsidRDefault="00964A95" w:rsidP="00A44EB4">
            <w:pPr>
              <w:spacing w:before="20" w:after="20"/>
              <w:ind w:right="170"/>
              <w:jc w:val="right"/>
              <w:textAlignment w:val="bottom"/>
              <w:rPr>
                <w:rFonts w:ascii="Calibri" w:hAnsi="Calibri" w:cs="Calibri"/>
                <w:sz w:val="18"/>
                <w:szCs w:val="18"/>
              </w:rPr>
            </w:pPr>
            <w:r w:rsidRPr="000169E8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18"/>
                <w:szCs w:val="18"/>
              </w:rPr>
              <w:t>-6 715,2</w:t>
            </w:r>
          </w:p>
        </w:tc>
        <w:tc>
          <w:tcPr>
            <w:tcW w:w="1070" w:type="dxa"/>
            <w:shd w:val="clear" w:color="auto" w:fill="F2C6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26BF66" w14:textId="77777777" w:rsidR="00E40384" w:rsidRPr="000169E8" w:rsidRDefault="00964A95" w:rsidP="00A44EB4">
            <w:pPr>
              <w:spacing w:before="20" w:after="20"/>
              <w:ind w:right="170"/>
              <w:jc w:val="right"/>
              <w:textAlignment w:val="bottom"/>
              <w:rPr>
                <w:rFonts w:ascii="Calibri" w:hAnsi="Calibri" w:cs="Calibri"/>
                <w:sz w:val="18"/>
                <w:szCs w:val="18"/>
              </w:rPr>
            </w:pPr>
            <w:r w:rsidRPr="000169E8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18"/>
                <w:szCs w:val="18"/>
              </w:rPr>
              <w:t>3 403,6</w:t>
            </w:r>
          </w:p>
        </w:tc>
        <w:tc>
          <w:tcPr>
            <w:tcW w:w="1071" w:type="dxa"/>
            <w:shd w:val="clear" w:color="auto" w:fill="F2C6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97841" w14:textId="77777777" w:rsidR="00E40384" w:rsidRPr="000169E8" w:rsidRDefault="00964A95" w:rsidP="00A44EB4">
            <w:pPr>
              <w:spacing w:before="20" w:after="20"/>
              <w:ind w:right="170"/>
              <w:jc w:val="right"/>
              <w:textAlignment w:val="bottom"/>
              <w:rPr>
                <w:rFonts w:ascii="Calibri" w:hAnsi="Calibri" w:cs="Calibri"/>
                <w:sz w:val="18"/>
                <w:szCs w:val="18"/>
              </w:rPr>
            </w:pPr>
            <w:r w:rsidRPr="000169E8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18"/>
                <w:szCs w:val="18"/>
              </w:rPr>
              <w:t>6 666,4</w:t>
            </w:r>
          </w:p>
        </w:tc>
      </w:tr>
    </w:tbl>
    <w:p w14:paraId="7D747692" w14:textId="77777777" w:rsidR="00E40384" w:rsidRPr="00663441" w:rsidRDefault="00964A95" w:rsidP="00A44EB4">
      <w:pPr>
        <w:spacing w:before="60"/>
        <w:jc w:val="both"/>
        <w:rPr>
          <w:rFonts w:asciiTheme="minorHAnsi" w:hAnsiTheme="minorHAnsi" w:cstheme="minorHAnsi"/>
          <w:sz w:val="20"/>
        </w:rPr>
      </w:pPr>
      <w:r w:rsidRPr="00663441">
        <w:rPr>
          <w:rFonts w:asciiTheme="minorHAnsi" w:hAnsiTheme="minorHAnsi" w:cstheme="minorHAnsi"/>
          <w:b/>
          <w:sz w:val="20"/>
        </w:rPr>
        <w:t>Použité zkratky:</w:t>
      </w:r>
      <w:r w:rsidRPr="00663441">
        <w:rPr>
          <w:rFonts w:asciiTheme="minorHAnsi" w:hAnsiTheme="minorHAnsi" w:cstheme="minorHAnsi"/>
          <w:sz w:val="20"/>
        </w:rPr>
        <w:t xml:space="preserve"> SR – státní rozpočet; EIB – Evropská investiční banka</w:t>
      </w:r>
      <w:r w:rsidR="000454EF" w:rsidRPr="00663441">
        <w:rPr>
          <w:rFonts w:asciiTheme="minorHAnsi" w:hAnsiTheme="minorHAnsi" w:cstheme="minorHAnsi"/>
          <w:sz w:val="20"/>
        </w:rPr>
        <w:t>.</w:t>
      </w:r>
    </w:p>
    <w:p w14:paraId="77F5BC2B" w14:textId="7EA1AB24" w:rsidR="00E40384" w:rsidRPr="00663441" w:rsidRDefault="00964A95" w:rsidP="00A44EB4">
      <w:pPr>
        <w:jc w:val="both"/>
        <w:rPr>
          <w:rFonts w:asciiTheme="minorHAnsi" w:hAnsiTheme="minorHAnsi" w:cstheme="minorHAnsi"/>
          <w:sz w:val="20"/>
        </w:rPr>
      </w:pPr>
      <w:r w:rsidRPr="00663441">
        <w:rPr>
          <w:rFonts w:asciiTheme="minorHAnsi" w:hAnsiTheme="minorHAnsi" w:cstheme="minorHAnsi"/>
          <w:b/>
          <w:sz w:val="20"/>
        </w:rPr>
        <w:t>Zdroj:</w:t>
      </w:r>
      <w:r w:rsidRPr="00663441">
        <w:rPr>
          <w:rFonts w:asciiTheme="minorHAnsi" w:hAnsiTheme="minorHAnsi" w:cstheme="minorHAnsi"/>
          <w:sz w:val="20"/>
        </w:rPr>
        <w:t xml:space="preserve"> </w:t>
      </w:r>
      <w:r w:rsidR="00057ED8">
        <w:rPr>
          <w:rFonts w:asciiTheme="minorHAnsi" w:eastAsiaTheme="minorEastAsia" w:hAnsiTheme="minorHAnsi" w:cstheme="minorHAnsi"/>
          <w:iCs/>
          <w:color w:val="000000" w:themeColor="text1"/>
          <w:kern w:val="24"/>
          <w:sz w:val="20"/>
          <w:szCs w:val="20"/>
        </w:rPr>
        <w:t>s</w:t>
      </w:r>
      <w:r w:rsidR="00756082" w:rsidRPr="00663441">
        <w:rPr>
          <w:rFonts w:asciiTheme="minorHAnsi" w:eastAsiaTheme="minorEastAsia" w:hAnsiTheme="minorHAnsi" w:cstheme="minorHAnsi"/>
          <w:iCs/>
          <w:color w:val="000000" w:themeColor="text1"/>
          <w:kern w:val="24"/>
          <w:sz w:val="20"/>
          <w:szCs w:val="20"/>
        </w:rPr>
        <w:t>tátní závěrečné účty za roky 2012–2016</w:t>
      </w:r>
      <w:r w:rsidRPr="00663441">
        <w:rPr>
          <w:rFonts w:asciiTheme="minorHAnsi" w:hAnsiTheme="minorHAnsi" w:cstheme="minorHAnsi"/>
          <w:sz w:val="20"/>
        </w:rPr>
        <w:t>, vlastní výpočty</w:t>
      </w:r>
      <w:r w:rsidR="000454EF" w:rsidRPr="00663441">
        <w:rPr>
          <w:rFonts w:asciiTheme="minorHAnsi" w:hAnsiTheme="minorHAnsi" w:cstheme="minorHAnsi"/>
          <w:sz w:val="20"/>
        </w:rPr>
        <w:t>.</w:t>
      </w:r>
    </w:p>
    <w:p w14:paraId="2940A4A6" w14:textId="77777777" w:rsidR="00E86433" w:rsidRPr="00663441" w:rsidRDefault="00E86433" w:rsidP="000169E8">
      <w:pPr>
        <w:jc w:val="both"/>
        <w:rPr>
          <w:rFonts w:asciiTheme="minorHAnsi" w:hAnsiTheme="minorHAnsi" w:cstheme="minorHAnsi"/>
          <w:highlight w:val="green"/>
        </w:rPr>
      </w:pPr>
    </w:p>
    <w:p w14:paraId="2FF944DB" w14:textId="77777777" w:rsidR="000F29B7" w:rsidRPr="00663441" w:rsidRDefault="000F29B7" w:rsidP="000169E8">
      <w:pPr>
        <w:jc w:val="both"/>
        <w:rPr>
          <w:rFonts w:asciiTheme="minorHAnsi" w:eastAsiaTheme="minorEastAsia" w:hAnsiTheme="minorHAnsi" w:cstheme="minorHAnsi"/>
        </w:rPr>
      </w:pPr>
      <w:r w:rsidRPr="00663441">
        <w:rPr>
          <w:rFonts w:asciiTheme="minorHAnsi" w:eastAsiaTheme="minorEastAsia" w:hAnsiTheme="minorHAnsi" w:cstheme="minorHAnsi"/>
        </w:rPr>
        <w:t xml:space="preserve">Do nestandardních státních záruk zahrnuje MF </w:t>
      </w:r>
      <w:r w:rsidR="00842FB2" w:rsidRPr="00663441">
        <w:rPr>
          <w:rFonts w:asciiTheme="minorHAnsi" w:eastAsiaTheme="minorEastAsia" w:hAnsiTheme="minorHAnsi" w:cstheme="minorHAnsi"/>
        </w:rPr>
        <w:t>záruky</w:t>
      </w:r>
      <w:r w:rsidRPr="00663441">
        <w:rPr>
          <w:rFonts w:asciiTheme="minorHAnsi" w:eastAsiaTheme="minorEastAsia" w:hAnsiTheme="minorHAnsi" w:cstheme="minorHAnsi"/>
        </w:rPr>
        <w:t xml:space="preserve"> ve prospěch </w:t>
      </w:r>
      <w:r w:rsidR="00A773AE" w:rsidRPr="00663441">
        <w:rPr>
          <w:rFonts w:asciiTheme="minorHAnsi" w:eastAsiaTheme="minorEastAsia" w:hAnsiTheme="minorHAnsi" w:cstheme="minorHAnsi"/>
        </w:rPr>
        <w:t>České národní banky (dále také „</w:t>
      </w:r>
      <w:r w:rsidRPr="00663441">
        <w:rPr>
          <w:rFonts w:asciiTheme="minorHAnsi" w:eastAsiaTheme="minorEastAsia" w:hAnsiTheme="minorHAnsi" w:cstheme="minorHAnsi"/>
        </w:rPr>
        <w:t>ČNB</w:t>
      </w:r>
      <w:r w:rsidR="00A773AE" w:rsidRPr="00663441">
        <w:rPr>
          <w:rFonts w:asciiTheme="minorHAnsi" w:eastAsiaTheme="minorEastAsia" w:hAnsiTheme="minorHAnsi" w:cstheme="minorHAnsi"/>
        </w:rPr>
        <w:t>“)</w:t>
      </w:r>
      <w:r w:rsidRPr="00663441">
        <w:rPr>
          <w:rFonts w:asciiTheme="minorHAnsi" w:eastAsiaTheme="minorEastAsia" w:hAnsiTheme="minorHAnsi" w:cstheme="minorHAnsi"/>
        </w:rPr>
        <w:t xml:space="preserve"> a </w:t>
      </w:r>
      <w:r w:rsidR="00A773AE" w:rsidRPr="00663441">
        <w:rPr>
          <w:rFonts w:asciiTheme="minorHAnsi" w:eastAsiaTheme="minorEastAsia" w:hAnsiTheme="minorHAnsi" w:cstheme="minorHAnsi"/>
        </w:rPr>
        <w:t>Československé obchodní banky, a. s. (dále také „</w:t>
      </w:r>
      <w:r w:rsidRPr="00663441">
        <w:rPr>
          <w:rFonts w:asciiTheme="minorHAnsi" w:eastAsiaTheme="minorEastAsia" w:hAnsiTheme="minorHAnsi" w:cstheme="minorHAnsi"/>
        </w:rPr>
        <w:t>ČSOB</w:t>
      </w:r>
      <w:r w:rsidR="00A773AE" w:rsidRPr="00663441">
        <w:rPr>
          <w:rFonts w:asciiTheme="minorHAnsi" w:eastAsiaTheme="minorEastAsia" w:hAnsiTheme="minorHAnsi" w:cstheme="minorHAnsi"/>
        </w:rPr>
        <w:t>“)</w:t>
      </w:r>
      <w:r w:rsidRPr="00663441">
        <w:rPr>
          <w:rFonts w:asciiTheme="minorHAnsi" w:eastAsiaTheme="minorEastAsia" w:hAnsiTheme="minorHAnsi" w:cstheme="minorHAnsi"/>
        </w:rPr>
        <w:t>, poskytnuté při prodeji Investiční a Poštovní banky, a. s.</w:t>
      </w:r>
      <w:r w:rsidR="00842FB2" w:rsidRPr="00663441">
        <w:rPr>
          <w:rFonts w:asciiTheme="minorHAnsi" w:eastAsiaTheme="minorEastAsia" w:hAnsiTheme="minorHAnsi" w:cstheme="minorHAnsi"/>
        </w:rPr>
        <w:t xml:space="preserve"> (dále také „IPB“)</w:t>
      </w:r>
      <w:r w:rsidRPr="00663441">
        <w:rPr>
          <w:rFonts w:asciiTheme="minorHAnsi" w:eastAsiaTheme="minorEastAsia" w:hAnsiTheme="minorHAnsi" w:cstheme="minorHAnsi"/>
        </w:rPr>
        <w:t>, a dále státní záruku na zajištění půjčky ČNB pro Mezinárodní měnový fond</w:t>
      </w:r>
      <w:r w:rsidR="00842FB2" w:rsidRPr="00663441">
        <w:rPr>
          <w:rFonts w:asciiTheme="minorHAnsi" w:eastAsiaTheme="minorEastAsia" w:hAnsiTheme="minorHAnsi" w:cstheme="minorHAnsi"/>
        </w:rPr>
        <w:t xml:space="preserve"> (dále také „MMF“)</w:t>
      </w:r>
      <w:r w:rsidRPr="00663441">
        <w:rPr>
          <w:rFonts w:asciiTheme="minorHAnsi" w:eastAsiaTheme="minorEastAsia" w:hAnsiTheme="minorHAnsi" w:cstheme="minorHAnsi"/>
        </w:rPr>
        <w:t xml:space="preserve">. </w:t>
      </w:r>
    </w:p>
    <w:p w14:paraId="08D34327" w14:textId="77777777" w:rsidR="00BC1231" w:rsidRPr="0076441B" w:rsidRDefault="00BC1231" w:rsidP="000169E8">
      <w:pPr>
        <w:jc w:val="both"/>
        <w:rPr>
          <w:rFonts w:asciiTheme="minorHAnsi" w:hAnsiTheme="minorHAnsi" w:cstheme="minorHAnsi"/>
        </w:rPr>
      </w:pPr>
    </w:p>
    <w:p w14:paraId="2BC3EE7C" w14:textId="1BDAEC2F" w:rsidR="00E40384" w:rsidRPr="00E37EF7" w:rsidRDefault="00964A95" w:rsidP="003C6A4A">
      <w:pPr>
        <w:tabs>
          <w:tab w:val="right" w:pos="9072"/>
        </w:tabs>
        <w:spacing w:after="60" w:line="259" w:lineRule="au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E37EF7">
        <w:rPr>
          <w:rFonts w:asciiTheme="minorHAnsi" w:hAnsiTheme="minorHAnsi" w:cstheme="minorHAnsi"/>
          <w:b/>
          <w:sz w:val="23"/>
          <w:szCs w:val="23"/>
        </w:rPr>
        <w:t>Tabulka č. 2: Stav nestandardních státních záruk</w:t>
      </w:r>
      <w:r w:rsidR="00057ED8">
        <w:rPr>
          <w:rFonts w:asciiTheme="minorHAnsi" w:hAnsiTheme="minorHAnsi" w:cstheme="minorHAnsi"/>
          <w:b/>
          <w:sz w:val="23"/>
          <w:szCs w:val="23"/>
        </w:rPr>
        <w:t xml:space="preserve"> v letech 2012–2016</w:t>
      </w:r>
      <w:r w:rsidR="000454EF" w:rsidRPr="00E37EF7">
        <w:rPr>
          <w:rFonts w:asciiTheme="minorHAnsi" w:hAnsiTheme="minorHAnsi" w:cstheme="minorHAnsi"/>
          <w:b/>
          <w:sz w:val="23"/>
          <w:szCs w:val="23"/>
        </w:rPr>
        <w:tab/>
      </w:r>
      <w:r w:rsidRPr="00E37EF7">
        <w:rPr>
          <w:rFonts w:asciiTheme="minorHAnsi" w:hAnsiTheme="minorHAnsi" w:cstheme="minorHAnsi"/>
          <w:b/>
          <w:sz w:val="23"/>
          <w:szCs w:val="23"/>
        </w:rPr>
        <w:t>(v mil. Kč)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72"/>
        <w:gridCol w:w="1219"/>
        <w:gridCol w:w="1219"/>
        <w:gridCol w:w="1219"/>
        <w:gridCol w:w="1219"/>
        <w:gridCol w:w="1219"/>
      </w:tblGrid>
      <w:tr w:rsidR="003133E2" w:rsidRPr="0076441B" w14:paraId="771F69CA" w14:textId="77777777" w:rsidTr="00851A5C">
        <w:trPr>
          <w:trHeight w:val="283"/>
        </w:trPr>
        <w:tc>
          <w:tcPr>
            <w:tcW w:w="2972" w:type="dxa"/>
            <w:shd w:val="clear" w:color="auto" w:fill="E5F1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A0D12F" w14:textId="77777777" w:rsidR="00E40384" w:rsidRPr="0076441B" w:rsidRDefault="00964A95" w:rsidP="0076441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b/>
                <w:bCs/>
                <w:sz w:val="18"/>
                <w:szCs w:val="18"/>
              </w:rPr>
              <w:t>Nestandardní státní záruky</w:t>
            </w:r>
          </w:p>
        </w:tc>
        <w:tc>
          <w:tcPr>
            <w:tcW w:w="1219" w:type="dxa"/>
            <w:shd w:val="clear" w:color="auto" w:fill="E5F1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85AC27" w14:textId="77777777" w:rsidR="00E40384" w:rsidRPr="0076441B" w:rsidRDefault="00964A95" w:rsidP="0076441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6441B">
              <w:rPr>
                <w:rFonts w:ascii="Calibri" w:hAnsi="Calibri" w:cs="Calibri"/>
                <w:b/>
                <w:sz w:val="18"/>
                <w:szCs w:val="18"/>
              </w:rPr>
              <w:t>Stav</w:t>
            </w:r>
            <w:r w:rsidRPr="0076441B">
              <w:rPr>
                <w:rFonts w:ascii="Calibri" w:hAnsi="Calibri" w:cs="Calibri"/>
                <w:b/>
                <w:sz w:val="18"/>
                <w:szCs w:val="18"/>
              </w:rPr>
              <w:br/>
              <w:t>k 31. 12. 2012</w:t>
            </w:r>
          </w:p>
        </w:tc>
        <w:tc>
          <w:tcPr>
            <w:tcW w:w="1219" w:type="dxa"/>
            <w:shd w:val="clear" w:color="auto" w:fill="E5F1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2A10DC" w14:textId="77777777" w:rsidR="00E40384" w:rsidRPr="0076441B" w:rsidRDefault="00964A95" w:rsidP="0076441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6441B">
              <w:rPr>
                <w:rFonts w:ascii="Calibri" w:hAnsi="Calibri" w:cs="Calibri"/>
                <w:b/>
                <w:sz w:val="18"/>
                <w:szCs w:val="18"/>
              </w:rPr>
              <w:t>Stav</w:t>
            </w:r>
            <w:r w:rsidRPr="0076441B">
              <w:rPr>
                <w:rFonts w:ascii="Calibri" w:hAnsi="Calibri" w:cs="Calibri"/>
                <w:b/>
                <w:sz w:val="18"/>
                <w:szCs w:val="18"/>
              </w:rPr>
              <w:br/>
              <w:t>k 31. 12. 2013</w:t>
            </w:r>
          </w:p>
        </w:tc>
        <w:tc>
          <w:tcPr>
            <w:tcW w:w="1219" w:type="dxa"/>
            <w:shd w:val="clear" w:color="auto" w:fill="E5F1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D5A6B4" w14:textId="77777777" w:rsidR="00E40384" w:rsidRPr="0076441B" w:rsidRDefault="00964A95" w:rsidP="0076441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6441B">
              <w:rPr>
                <w:rFonts w:ascii="Calibri" w:hAnsi="Calibri" w:cs="Calibri"/>
                <w:b/>
                <w:sz w:val="18"/>
                <w:szCs w:val="18"/>
              </w:rPr>
              <w:t>Stav</w:t>
            </w:r>
            <w:r w:rsidRPr="0076441B">
              <w:rPr>
                <w:rFonts w:ascii="Calibri" w:hAnsi="Calibri" w:cs="Calibri"/>
                <w:b/>
                <w:sz w:val="18"/>
                <w:szCs w:val="18"/>
              </w:rPr>
              <w:br/>
              <w:t>k 31. 12. 2014</w:t>
            </w:r>
          </w:p>
        </w:tc>
        <w:tc>
          <w:tcPr>
            <w:tcW w:w="1219" w:type="dxa"/>
            <w:shd w:val="clear" w:color="auto" w:fill="E5F1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693EFA" w14:textId="77777777" w:rsidR="00E40384" w:rsidRPr="0076441B" w:rsidRDefault="00964A95" w:rsidP="0076441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6441B">
              <w:rPr>
                <w:rFonts w:ascii="Calibri" w:hAnsi="Calibri" w:cs="Calibri"/>
                <w:b/>
                <w:sz w:val="18"/>
                <w:szCs w:val="18"/>
              </w:rPr>
              <w:t>Stav</w:t>
            </w:r>
            <w:r w:rsidRPr="0076441B">
              <w:rPr>
                <w:rFonts w:ascii="Calibri" w:hAnsi="Calibri" w:cs="Calibri"/>
                <w:b/>
                <w:sz w:val="18"/>
                <w:szCs w:val="18"/>
              </w:rPr>
              <w:br/>
              <w:t>k 31. 12. 2015</w:t>
            </w:r>
          </w:p>
        </w:tc>
        <w:tc>
          <w:tcPr>
            <w:tcW w:w="1219" w:type="dxa"/>
            <w:shd w:val="clear" w:color="auto" w:fill="E5F1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A1D2C3" w14:textId="77777777" w:rsidR="00E40384" w:rsidRPr="0076441B" w:rsidRDefault="00964A95" w:rsidP="0076441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6441B">
              <w:rPr>
                <w:rFonts w:ascii="Calibri" w:hAnsi="Calibri" w:cs="Calibri"/>
                <w:b/>
                <w:sz w:val="18"/>
                <w:szCs w:val="18"/>
              </w:rPr>
              <w:t>Stav</w:t>
            </w:r>
            <w:r w:rsidRPr="0076441B">
              <w:rPr>
                <w:rFonts w:ascii="Calibri" w:hAnsi="Calibri" w:cs="Calibri"/>
                <w:b/>
                <w:sz w:val="18"/>
                <w:szCs w:val="18"/>
              </w:rPr>
              <w:br/>
              <w:t>k 31. 12. 2016</w:t>
            </w:r>
          </w:p>
        </w:tc>
      </w:tr>
      <w:tr w:rsidR="003133E2" w:rsidRPr="0076441B" w14:paraId="08805C06" w14:textId="77777777" w:rsidTr="00851A5C">
        <w:trPr>
          <w:trHeight w:val="283"/>
        </w:trPr>
        <w:tc>
          <w:tcPr>
            <w:tcW w:w="2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2A5A41" w14:textId="18CF881C" w:rsidR="00E40384" w:rsidRPr="0076441B" w:rsidRDefault="00964A95" w:rsidP="00057ED8">
            <w:pPr>
              <w:ind w:left="57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57ED8">
              <w:rPr>
                <w:rFonts w:ascii="Calibri" w:hAnsi="Calibri" w:cs="Calibri"/>
                <w:sz w:val="18"/>
                <w:szCs w:val="18"/>
              </w:rPr>
              <w:t>–</w:t>
            </w:r>
            <w:r w:rsidRPr="0076441B">
              <w:rPr>
                <w:rFonts w:ascii="Calibri" w:hAnsi="Calibri" w:cs="Calibri"/>
                <w:sz w:val="18"/>
                <w:szCs w:val="18"/>
              </w:rPr>
              <w:t xml:space="preserve"> ve prospěch ČNB na odškodnění strategického investora IPB</w:t>
            </w:r>
          </w:p>
        </w:tc>
        <w:tc>
          <w:tcPr>
            <w:tcW w:w="1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52A6E" w14:textId="77777777" w:rsidR="00E40384" w:rsidRPr="0076441B" w:rsidRDefault="00964A95" w:rsidP="0076441B">
            <w:pPr>
              <w:ind w:right="17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sz w:val="18"/>
                <w:szCs w:val="18"/>
              </w:rPr>
              <w:t>156 950,5</w:t>
            </w:r>
          </w:p>
        </w:tc>
        <w:tc>
          <w:tcPr>
            <w:tcW w:w="1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9AE5A" w14:textId="77777777" w:rsidR="00E40384" w:rsidRPr="0076441B" w:rsidRDefault="00964A95" w:rsidP="0076441B">
            <w:pPr>
              <w:ind w:right="17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sz w:val="18"/>
                <w:szCs w:val="18"/>
              </w:rPr>
              <w:t>156 950,5</w:t>
            </w:r>
          </w:p>
        </w:tc>
        <w:tc>
          <w:tcPr>
            <w:tcW w:w="1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29E38" w14:textId="77777777" w:rsidR="00E40384" w:rsidRPr="0076441B" w:rsidRDefault="00964A95" w:rsidP="0076441B">
            <w:pPr>
              <w:ind w:right="17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sz w:val="18"/>
                <w:szCs w:val="18"/>
              </w:rPr>
              <w:t>156 950,5</w:t>
            </w:r>
          </w:p>
        </w:tc>
        <w:tc>
          <w:tcPr>
            <w:tcW w:w="1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EC96FE" w14:textId="77777777" w:rsidR="00E40384" w:rsidRPr="0076441B" w:rsidRDefault="00964A95" w:rsidP="0076441B">
            <w:pPr>
              <w:ind w:right="17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sz w:val="18"/>
                <w:szCs w:val="18"/>
              </w:rPr>
              <w:t>156 950,5</w:t>
            </w:r>
          </w:p>
        </w:tc>
        <w:tc>
          <w:tcPr>
            <w:tcW w:w="1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698782" w14:textId="77777777" w:rsidR="00E40384" w:rsidRPr="0076441B" w:rsidRDefault="00964A95" w:rsidP="0076441B">
            <w:pPr>
              <w:ind w:right="17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sz w:val="18"/>
                <w:szCs w:val="18"/>
              </w:rPr>
              <w:t>156 656,4</w:t>
            </w:r>
          </w:p>
        </w:tc>
      </w:tr>
      <w:tr w:rsidR="003133E2" w:rsidRPr="0076441B" w14:paraId="164ED3F5" w14:textId="77777777" w:rsidTr="00851A5C">
        <w:trPr>
          <w:trHeight w:val="283"/>
        </w:trPr>
        <w:tc>
          <w:tcPr>
            <w:tcW w:w="2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5704D5" w14:textId="68FDC285" w:rsidR="00E40384" w:rsidRPr="0076441B" w:rsidRDefault="00964A95" w:rsidP="00057ED8">
            <w:pPr>
              <w:ind w:left="57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57ED8">
              <w:rPr>
                <w:rFonts w:ascii="Calibri" w:hAnsi="Calibri" w:cs="Calibri"/>
                <w:sz w:val="18"/>
                <w:szCs w:val="18"/>
              </w:rPr>
              <w:t>–</w:t>
            </w:r>
            <w:r w:rsidRPr="0076441B">
              <w:rPr>
                <w:rFonts w:ascii="Calibri" w:hAnsi="Calibri" w:cs="Calibri"/>
                <w:sz w:val="18"/>
                <w:szCs w:val="18"/>
              </w:rPr>
              <w:t xml:space="preserve"> ve prospěch ČSOB za nekvalitní aktiva IPB</w:t>
            </w:r>
          </w:p>
        </w:tc>
        <w:tc>
          <w:tcPr>
            <w:tcW w:w="1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613121" w14:textId="77777777" w:rsidR="00E40384" w:rsidRPr="0076441B" w:rsidRDefault="00964A95" w:rsidP="0076441B">
            <w:pPr>
              <w:ind w:right="17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sz w:val="18"/>
                <w:szCs w:val="18"/>
              </w:rPr>
              <w:t>0,0</w:t>
            </w:r>
          </w:p>
        </w:tc>
        <w:tc>
          <w:tcPr>
            <w:tcW w:w="1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A678FC" w14:textId="77777777" w:rsidR="00E40384" w:rsidRPr="0076441B" w:rsidRDefault="00964A95" w:rsidP="0076441B">
            <w:pPr>
              <w:ind w:right="17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sz w:val="18"/>
                <w:szCs w:val="18"/>
              </w:rPr>
              <w:t>0,0</w:t>
            </w:r>
          </w:p>
        </w:tc>
        <w:tc>
          <w:tcPr>
            <w:tcW w:w="1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7C25A6" w14:textId="77777777" w:rsidR="00E40384" w:rsidRPr="0076441B" w:rsidRDefault="00964A95" w:rsidP="0076441B">
            <w:pPr>
              <w:ind w:right="17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sz w:val="18"/>
                <w:szCs w:val="18"/>
              </w:rPr>
              <w:t>0,0</w:t>
            </w:r>
          </w:p>
        </w:tc>
        <w:tc>
          <w:tcPr>
            <w:tcW w:w="1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D43CB" w14:textId="77777777" w:rsidR="00E40384" w:rsidRPr="0076441B" w:rsidRDefault="00964A95" w:rsidP="0076441B">
            <w:pPr>
              <w:ind w:right="17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sz w:val="18"/>
                <w:szCs w:val="18"/>
              </w:rPr>
              <w:t>0,0</w:t>
            </w:r>
          </w:p>
        </w:tc>
        <w:tc>
          <w:tcPr>
            <w:tcW w:w="1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DEB191" w14:textId="77777777" w:rsidR="00E40384" w:rsidRPr="0076441B" w:rsidRDefault="00964A95" w:rsidP="0076441B">
            <w:pPr>
              <w:ind w:right="17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sz w:val="18"/>
                <w:szCs w:val="18"/>
              </w:rPr>
              <w:t>0,0</w:t>
            </w:r>
          </w:p>
        </w:tc>
      </w:tr>
      <w:tr w:rsidR="003133E2" w:rsidRPr="0076441B" w14:paraId="5D37765B" w14:textId="77777777" w:rsidTr="00851A5C">
        <w:trPr>
          <w:trHeight w:val="283"/>
        </w:trPr>
        <w:tc>
          <w:tcPr>
            <w:tcW w:w="2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260E08" w14:textId="4DC442FA" w:rsidR="00E40384" w:rsidRPr="0076441B" w:rsidRDefault="00964A95" w:rsidP="00057ED8">
            <w:pPr>
              <w:ind w:left="57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57ED8">
              <w:rPr>
                <w:rFonts w:ascii="Calibri" w:hAnsi="Calibri" w:cs="Calibri"/>
                <w:sz w:val="18"/>
                <w:szCs w:val="18"/>
              </w:rPr>
              <w:t>–</w:t>
            </w:r>
            <w:r w:rsidRPr="0076441B">
              <w:rPr>
                <w:rFonts w:ascii="Calibri" w:hAnsi="Calibri" w:cs="Calibri"/>
                <w:sz w:val="18"/>
                <w:szCs w:val="18"/>
              </w:rPr>
              <w:t xml:space="preserve"> MMF </w:t>
            </w:r>
            <w:r w:rsidR="00057ED8">
              <w:rPr>
                <w:rFonts w:ascii="Calibri" w:hAnsi="Calibri" w:cs="Calibri"/>
                <w:sz w:val="18"/>
                <w:szCs w:val="18"/>
              </w:rPr>
              <w:t>–</w:t>
            </w:r>
            <w:r w:rsidRPr="0076441B">
              <w:rPr>
                <w:rFonts w:ascii="Calibri" w:hAnsi="Calibri" w:cs="Calibri"/>
                <w:sz w:val="18"/>
                <w:szCs w:val="18"/>
              </w:rPr>
              <w:t xml:space="preserve"> půjčky od ČNB na posílení zdrojů</w:t>
            </w:r>
          </w:p>
        </w:tc>
        <w:tc>
          <w:tcPr>
            <w:tcW w:w="1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F5334D" w14:textId="77777777" w:rsidR="00E40384" w:rsidRPr="0076441B" w:rsidRDefault="00964A95" w:rsidP="0076441B">
            <w:pPr>
              <w:ind w:right="17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E0E7B" w14:textId="77777777" w:rsidR="00E40384" w:rsidRPr="0076441B" w:rsidRDefault="00964A95" w:rsidP="0076441B">
            <w:pPr>
              <w:ind w:right="17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sz w:val="18"/>
                <w:szCs w:val="18"/>
              </w:rPr>
              <w:t>3 759,2</w:t>
            </w:r>
          </w:p>
        </w:tc>
        <w:tc>
          <w:tcPr>
            <w:tcW w:w="1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3E41C0" w14:textId="77777777" w:rsidR="00E40384" w:rsidRPr="0076441B" w:rsidRDefault="00964A95" w:rsidP="0076441B">
            <w:pPr>
              <w:ind w:right="17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sz w:val="18"/>
                <w:szCs w:val="18"/>
              </w:rPr>
              <w:t>2 179,2</w:t>
            </w:r>
          </w:p>
        </w:tc>
        <w:tc>
          <w:tcPr>
            <w:tcW w:w="1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6D3E04" w14:textId="77777777" w:rsidR="00E40384" w:rsidRPr="0076441B" w:rsidRDefault="00964A95" w:rsidP="0076441B">
            <w:pPr>
              <w:ind w:right="17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sz w:val="18"/>
                <w:szCs w:val="18"/>
              </w:rPr>
              <w:t>398,1</w:t>
            </w:r>
          </w:p>
        </w:tc>
        <w:tc>
          <w:tcPr>
            <w:tcW w:w="1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0DC12" w14:textId="77777777" w:rsidR="00E40384" w:rsidRPr="0076441B" w:rsidRDefault="00964A95" w:rsidP="0076441B">
            <w:pPr>
              <w:ind w:right="17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sz w:val="18"/>
                <w:szCs w:val="18"/>
              </w:rPr>
              <w:t>0,0</w:t>
            </w:r>
          </w:p>
        </w:tc>
      </w:tr>
      <w:tr w:rsidR="003133E2" w:rsidRPr="0076441B" w14:paraId="6C7BBF70" w14:textId="77777777" w:rsidTr="00851A5C">
        <w:trPr>
          <w:trHeight w:val="283"/>
        </w:trPr>
        <w:tc>
          <w:tcPr>
            <w:tcW w:w="2972" w:type="dxa"/>
            <w:shd w:val="clear" w:color="auto" w:fill="F2C6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C45667" w14:textId="77777777" w:rsidR="00E40384" w:rsidRPr="0076441B" w:rsidRDefault="00964A95" w:rsidP="0076441B">
            <w:pPr>
              <w:ind w:left="57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b/>
                <w:bCs/>
                <w:sz w:val="18"/>
                <w:szCs w:val="18"/>
              </w:rPr>
              <w:t>Úhrn nestandardních státních záruk</w:t>
            </w:r>
          </w:p>
        </w:tc>
        <w:tc>
          <w:tcPr>
            <w:tcW w:w="1219" w:type="dxa"/>
            <w:shd w:val="clear" w:color="auto" w:fill="F2C6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3382FD" w14:textId="77777777" w:rsidR="00E40384" w:rsidRPr="0076441B" w:rsidRDefault="00964A95" w:rsidP="0076441B">
            <w:pPr>
              <w:ind w:right="17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b/>
                <w:bCs/>
                <w:sz w:val="18"/>
                <w:szCs w:val="18"/>
              </w:rPr>
              <w:t>156 950,5</w:t>
            </w:r>
          </w:p>
        </w:tc>
        <w:tc>
          <w:tcPr>
            <w:tcW w:w="1219" w:type="dxa"/>
            <w:shd w:val="clear" w:color="auto" w:fill="F2C6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4E805" w14:textId="77777777" w:rsidR="00E40384" w:rsidRPr="0076441B" w:rsidRDefault="00964A95" w:rsidP="0076441B">
            <w:pPr>
              <w:ind w:right="17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b/>
                <w:bCs/>
                <w:sz w:val="18"/>
                <w:szCs w:val="18"/>
              </w:rPr>
              <w:t>160 709,7</w:t>
            </w:r>
          </w:p>
        </w:tc>
        <w:tc>
          <w:tcPr>
            <w:tcW w:w="1219" w:type="dxa"/>
            <w:shd w:val="clear" w:color="auto" w:fill="F2C6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B5E5EE" w14:textId="77777777" w:rsidR="00E40384" w:rsidRPr="0076441B" w:rsidRDefault="00964A95" w:rsidP="0076441B">
            <w:pPr>
              <w:ind w:right="17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b/>
                <w:bCs/>
                <w:sz w:val="18"/>
                <w:szCs w:val="18"/>
              </w:rPr>
              <w:t>159 129,7</w:t>
            </w:r>
          </w:p>
        </w:tc>
        <w:tc>
          <w:tcPr>
            <w:tcW w:w="1219" w:type="dxa"/>
            <w:shd w:val="clear" w:color="auto" w:fill="F2C6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429455" w14:textId="77777777" w:rsidR="00E40384" w:rsidRPr="0076441B" w:rsidRDefault="00964A95" w:rsidP="0076441B">
            <w:pPr>
              <w:ind w:right="17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b/>
                <w:bCs/>
                <w:sz w:val="18"/>
                <w:szCs w:val="18"/>
              </w:rPr>
              <w:t>157 348,6</w:t>
            </w:r>
          </w:p>
        </w:tc>
        <w:tc>
          <w:tcPr>
            <w:tcW w:w="1219" w:type="dxa"/>
            <w:shd w:val="clear" w:color="auto" w:fill="F2C6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1558D" w14:textId="77777777" w:rsidR="00E40384" w:rsidRPr="0076441B" w:rsidRDefault="00964A95" w:rsidP="0076441B">
            <w:pPr>
              <w:ind w:right="17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b/>
                <w:bCs/>
                <w:sz w:val="18"/>
                <w:szCs w:val="18"/>
              </w:rPr>
              <w:t>156 656,4</w:t>
            </w:r>
          </w:p>
        </w:tc>
      </w:tr>
    </w:tbl>
    <w:p w14:paraId="626C14E3" w14:textId="0FDAF6B0" w:rsidR="00E40384" w:rsidRPr="00663441" w:rsidRDefault="00964A95" w:rsidP="00A44EB4">
      <w:pPr>
        <w:spacing w:before="60"/>
        <w:jc w:val="both"/>
        <w:rPr>
          <w:rFonts w:asciiTheme="minorHAnsi" w:hAnsiTheme="minorHAnsi" w:cstheme="minorHAnsi"/>
          <w:sz w:val="20"/>
        </w:rPr>
      </w:pPr>
      <w:r w:rsidRPr="00663441">
        <w:rPr>
          <w:rFonts w:asciiTheme="minorHAnsi" w:hAnsiTheme="minorHAnsi" w:cstheme="minorHAnsi"/>
          <w:b/>
          <w:sz w:val="20"/>
        </w:rPr>
        <w:t>Zdroj:</w:t>
      </w:r>
      <w:r w:rsidRPr="00663441">
        <w:rPr>
          <w:rFonts w:asciiTheme="minorHAnsi" w:hAnsiTheme="minorHAnsi" w:cstheme="minorHAnsi"/>
          <w:sz w:val="20"/>
        </w:rPr>
        <w:t xml:space="preserve"> </w:t>
      </w:r>
      <w:r w:rsidR="009C458D">
        <w:rPr>
          <w:rFonts w:asciiTheme="minorHAnsi" w:eastAsiaTheme="minorEastAsia" w:hAnsiTheme="minorHAnsi" w:cstheme="minorHAnsi"/>
          <w:iCs/>
          <w:color w:val="000000" w:themeColor="text1"/>
          <w:kern w:val="24"/>
          <w:sz w:val="20"/>
          <w:szCs w:val="20"/>
        </w:rPr>
        <w:t>s</w:t>
      </w:r>
      <w:r w:rsidR="00756082" w:rsidRPr="00663441">
        <w:rPr>
          <w:rFonts w:asciiTheme="minorHAnsi" w:eastAsiaTheme="minorEastAsia" w:hAnsiTheme="minorHAnsi" w:cstheme="minorHAnsi"/>
          <w:iCs/>
          <w:color w:val="000000" w:themeColor="text1"/>
          <w:kern w:val="24"/>
          <w:sz w:val="20"/>
          <w:szCs w:val="20"/>
        </w:rPr>
        <w:t>tátní závěrečné účty za roky 2012–2016</w:t>
      </w:r>
      <w:r w:rsidR="003133E2" w:rsidRPr="00663441">
        <w:rPr>
          <w:rFonts w:asciiTheme="minorHAnsi" w:hAnsiTheme="minorHAnsi" w:cstheme="minorHAnsi"/>
          <w:sz w:val="20"/>
        </w:rPr>
        <w:t>.</w:t>
      </w:r>
    </w:p>
    <w:p w14:paraId="676A2333" w14:textId="77777777" w:rsidR="00CB1C94" w:rsidRPr="00A44EB4" w:rsidRDefault="00CB1C94" w:rsidP="00A44EB4">
      <w:pPr>
        <w:jc w:val="both"/>
        <w:rPr>
          <w:rFonts w:asciiTheme="minorHAnsi" w:eastAsiaTheme="minorEastAsia" w:hAnsiTheme="minorHAnsi" w:cstheme="minorHAnsi"/>
        </w:rPr>
      </w:pPr>
    </w:p>
    <w:p w14:paraId="6DD55A74" w14:textId="77777777" w:rsidR="006B5897" w:rsidRPr="00663441" w:rsidRDefault="006A475D" w:rsidP="00A44EB4">
      <w:pPr>
        <w:jc w:val="both"/>
        <w:rPr>
          <w:rFonts w:asciiTheme="minorHAnsi" w:eastAsiaTheme="minorEastAsia" w:hAnsiTheme="minorHAnsi" w:cstheme="minorHAnsi"/>
          <w:i/>
        </w:rPr>
      </w:pPr>
      <w:r w:rsidRPr="00663441">
        <w:rPr>
          <w:rFonts w:asciiTheme="minorHAnsi" w:eastAsiaTheme="minorEastAsia" w:hAnsiTheme="minorHAnsi" w:cstheme="minorHAnsi"/>
          <w:i/>
        </w:rPr>
        <w:t>Záruka ve prospěch ČNB</w:t>
      </w:r>
      <w:r w:rsidR="006B5897" w:rsidRPr="00663441">
        <w:rPr>
          <w:rFonts w:asciiTheme="minorHAnsi" w:hAnsiTheme="minorHAnsi" w:cstheme="minorHAnsi"/>
        </w:rPr>
        <w:t xml:space="preserve"> </w:t>
      </w:r>
      <w:r w:rsidR="006B5897" w:rsidRPr="00663441">
        <w:rPr>
          <w:rFonts w:asciiTheme="minorHAnsi" w:eastAsiaTheme="minorEastAsia" w:hAnsiTheme="minorHAnsi" w:cstheme="minorHAnsi"/>
          <w:i/>
        </w:rPr>
        <w:t>na odškodnění strategického investora IPB</w:t>
      </w:r>
    </w:p>
    <w:p w14:paraId="2CFC08CE" w14:textId="77777777" w:rsidR="0076441B" w:rsidRDefault="0076441B" w:rsidP="00A44EB4">
      <w:pPr>
        <w:jc w:val="both"/>
        <w:rPr>
          <w:rFonts w:asciiTheme="minorHAnsi" w:eastAsiaTheme="minorEastAsia" w:hAnsiTheme="minorHAnsi" w:cstheme="minorHAnsi"/>
        </w:rPr>
      </w:pPr>
    </w:p>
    <w:p w14:paraId="5BEA99A1" w14:textId="448301D7" w:rsidR="0063038A" w:rsidRPr="00663441" w:rsidRDefault="006B5897" w:rsidP="00A44EB4">
      <w:pPr>
        <w:jc w:val="both"/>
        <w:rPr>
          <w:rFonts w:asciiTheme="minorHAnsi" w:eastAsiaTheme="minorEastAsia" w:hAnsiTheme="minorHAnsi" w:cstheme="minorHAnsi"/>
        </w:rPr>
      </w:pPr>
      <w:r w:rsidRPr="00663441">
        <w:rPr>
          <w:rFonts w:asciiTheme="minorHAnsi" w:eastAsiaTheme="minorEastAsia" w:hAnsiTheme="minorHAnsi" w:cstheme="minorHAnsi"/>
        </w:rPr>
        <w:t xml:space="preserve">Státní </w:t>
      </w:r>
      <w:r w:rsidR="00F55C11" w:rsidRPr="00663441">
        <w:rPr>
          <w:rFonts w:asciiTheme="minorHAnsi" w:eastAsiaTheme="minorEastAsia" w:hAnsiTheme="minorHAnsi" w:cstheme="minorHAnsi"/>
        </w:rPr>
        <w:t>záruk</w:t>
      </w:r>
      <w:r w:rsidR="005D7997" w:rsidRPr="00663441">
        <w:rPr>
          <w:rFonts w:asciiTheme="minorHAnsi" w:eastAsiaTheme="minorEastAsia" w:hAnsiTheme="minorHAnsi" w:cstheme="minorHAnsi"/>
        </w:rPr>
        <w:t xml:space="preserve">u </w:t>
      </w:r>
      <w:r w:rsidR="00F55C11" w:rsidRPr="00663441">
        <w:rPr>
          <w:rFonts w:asciiTheme="minorHAnsi" w:eastAsiaTheme="minorEastAsia" w:hAnsiTheme="minorHAnsi" w:cstheme="minorHAnsi"/>
        </w:rPr>
        <w:t xml:space="preserve">vydalo </w:t>
      </w:r>
      <w:r w:rsidR="005D7997" w:rsidRPr="00663441">
        <w:rPr>
          <w:rFonts w:asciiTheme="minorHAnsi" w:eastAsiaTheme="minorEastAsia" w:hAnsiTheme="minorHAnsi" w:cstheme="minorHAnsi"/>
        </w:rPr>
        <w:t xml:space="preserve">MF dne 23. </w:t>
      </w:r>
      <w:r w:rsidR="00516BD2" w:rsidRPr="00663441">
        <w:rPr>
          <w:rFonts w:asciiTheme="minorHAnsi" w:eastAsiaTheme="minorEastAsia" w:hAnsiTheme="minorHAnsi" w:cstheme="minorHAnsi"/>
        </w:rPr>
        <w:t>6.</w:t>
      </w:r>
      <w:r w:rsidR="005D7997" w:rsidRPr="00663441">
        <w:rPr>
          <w:rFonts w:asciiTheme="minorHAnsi" w:eastAsiaTheme="minorEastAsia" w:hAnsiTheme="minorHAnsi" w:cstheme="minorHAnsi"/>
        </w:rPr>
        <w:t xml:space="preserve"> 2000 </w:t>
      </w:r>
      <w:r w:rsidR="00F55C11" w:rsidRPr="00663441">
        <w:rPr>
          <w:rFonts w:asciiTheme="minorHAnsi" w:eastAsiaTheme="minorEastAsia" w:hAnsiTheme="minorHAnsi" w:cstheme="minorHAnsi"/>
        </w:rPr>
        <w:t>České národní bance na základě usnesení vlády</w:t>
      </w:r>
      <w:r w:rsidR="00FC2BCD">
        <w:rPr>
          <w:rStyle w:val="Znakapoznpodarou"/>
          <w:rFonts w:asciiTheme="minorHAnsi" w:eastAsiaTheme="minorEastAsia" w:hAnsiTheme="minorHAnsi" w:cstheme="minorHAnsi"/>
        </w:rPr>
        <w:footnoteReference w:id="9"/>
      </w:r>
      <w:r w:rsidR="00F55C11" w:rsidRPr="00663441">
        <w:rPr>
          <w:rFonts w:asciiTheme="minorHAnsi" w:eastAsiaTheme="minorEastAsia" w:hAnsiTheme="minorHAnsi" w:cstheme="minorHAnsi"/>
        </w:rPr>
        <w:t xml:space="preserve"> </w:t>
      </w:r>
      <w:r w:rsidR="00136A39" w:rsidRPr="00663441">
        <w:rPr>
          <w:rFonts w:asciiTheme="minorHAnsi" w:eastAsiaTheme="minorEastAsia" w:hAnsiTheme="minorHAnsi" w:cstheme="minorHAnsi"/>
        </w:rPr>
        <w:t>při</w:t>
      </w:r>
      <w:r w:rsidR="00F55C11" w:rsidRPr="00663441">
        <w:rPr>
          <w:rFonts w:asciiTheme="minorHAnsi" w:eastAsiaTheme="minorEastAsia" w:hAnsiTheme="minorHAnsi" w:cstheme="minorHAnsi"/>
        </w:rPr>
        <w:t xml:space="preserve"> řešení finanční situace Investiční a</w:t>
      </w:r>
      <w:r w:rsidR="00516BD2" w:rsidRPr="00663441">
        <w:rPr>
          <w:rFonts w:asciiTheme="minorHAnsi" w:eastAsiaTheme="minorEastAsia" w:hAnsiTheme="minorHAnsi" w:cstheme="minorHAnsi"/>
        </w:rPr>
        <w:t> </w:t>
      </w:r>
      <w:r w:rsidR="00F55C11" w:rsidRPr="00663441">
        <w:rPr>
          <w:rFonts w:asciiTheme="minorHAnsi" w:eastAsiaTheme="minorEastAsia" w:hAnsiTheme="minorHAnsi" w:cstheme="minorHAnsi"/>
        </w:rPr>
        <w:t>Poštovní banky, a. s.</w:t>
      </w:r>
      <w:r w:rsidR="00136A39" w:rsidRPr="00663441">
        <w:rPr>
          <w:rFonts w:asciiTheme="minorHAnsi" w:eastAsiaTheme="minorEastAsia" w:hAnsiTheme="minorHAnsi" w:cstheme="minorHAnsi"/>
        </w:rPr>
        <w:t xml:space="preserve"> </w:t>
      </w:r>
      <w:r w:rsidR="002548B6" w:rsidRPr="00663441">
        <w:rPr>
          <w:rFonts w:asciiTheme="minorHAnsi" w:eastAsiaTheme="minorEastAsia" w:hAnsiTheme="minorHAnsi" w:cstheme="minorHAnsi"/>
        </w:rPr>
        <w:t>Dne 6.</w:t>
      </w:r>
      <w:r w:rsidR="00136A39" w:rsidRPr="00663441">
        <w:rPr>
          <w:rFonts w:asciiTheme="minorHAnsi" w:eastAsiaTheme="minorEastAsia" w:hAnsiTheme="minorHAnsi" w:cstheme="minorHAnsi"/>
        </w:rPr>
        <w:t> </w:t>
      </w:r>
      <w:r w:rsidR="00306C19" w:rsidRPr="00663441">
        <w:rPr>
          <w:rFonts w:asciiTheme="minorHAnsi" w:eastAsiaTheme="minorEastAsia" w:hAnsiTheme="minorHAnsi" w:cstheme="minorHAnsi"/>
        </w:rPr>
        <w:t>11.</w:t>
      </w:r>
      <w:r w:rsidR="00136A39" w:rsidRPr="00663441">
        <w:rPr>
          <w:rFonts w:asciiTheme="minorHAnsi" w:eastAsiaTheme="minorEastAsia" w:hAnsiTheme="minorHAnsi" w:cstheme="minorHAnsi"/>
        </w:rPr>
        <w:t> </w:t>
      </w:r>
      <w:r w:rsidR="002548B6" w:rsidRPr="00663441">
        <w:rPr>
          <w:rFonts w:asciiTheme="minorHAnsi" w:eastAsiaTheme="minorEastAsia" w:hAnsiTheme="minorHAnsi" w:cstheme="minorHAnsi"/>
        </w:rPr>
        <w:t>2002 obdržela ČNB jednostranné závazné</w:t>
      </w:r>
      <w:r w:rsidR="006A475D" w:rsidRPr="00663441">
        <w:rPr>
          <w:rFonts w:asciiTheme="minorHAnsi" w:eastAsiaTheme="minorEastAsia" w:hAnsiTheme="minorHAnsi" w:cstheme="minorHAnsi"/>
        </w:rPr>
        <w:t xml:space="preserve"> </w:t>
      </w:r>
      <w:r w:rsidR="002548B6" w:rsidRPr="00663441">
        <w:rPr>
          <w:rFonts w:asciiTheme="minorHAnsi" w:eastAsiaTheme="minorEastAsia" w:hAnsiTheme="minorHAnsi" w:cstheme="minorHAnsi"/>
        </w:rPr>
        <w:t xml:space="preserve">prohlášení ČSOB, podle kterého budou veškeré nároky na peněžitá plnění ČNB </w:t>
      </w:r>
      <w:r w:rsidR="00984611">
        <w:rPr>
          <w:rFonts w:asciiTheme="minorHAnsi" w:eastAsiaTheme="minorEastAsia" w:hAnsiTheme="minorHAnsi" w:cstheme="minorHAnsi"/>
        </w:rPr>
        <w:t xml:space="preserve">ve prospěch </w:t>
      </w:r>
      <w:r w:rsidR="002548B6" w:rsidRPr="00663441">
        <w:rPr>
          <w:rFonts w:asciiTheme="minorHAnsi" w:eastAsiaTheme="minorEastAsia" w:hAnsiTheme="minorHAnsi" w:cstheme="minorHAnsi"/>
        </w:rPr>
        <w:t xml:space="preserve">ČSOB na základě </w:t>
      </w:r>
      <w:r w:rsidR="009C458D">
        <w:rPr>
          <w:rFonts w:asciiTheme="minorHAnsi" w:eastAsiaTheme="minorEastAsia" w:hAnsiTheme="minorHAnsi" w:cstheme="minorHAnsi"/>
        </w:rPr>
        <w:t>s</w:t>
      </w:r>
      <w:r w:rsidR="002548B6" w:rsidRPr="00663441">
        <w:rPr>
          <w:rFonts w:asciiTheme="minorHAnsi" w:eastAsiaTheme="minorEastAsia" w:hAnsiTheme="minorHAnsi" w:cstheme="minorHAnsi"/>
        </w:rPr>
        <w:t xml:space="preserve">libu odškodnění ze strany ČSOB </w:t>
      </w:r>
      <w:r w:rsidR="00845A6B" w:rsidRPr="00663441">
        <w:rPr>
          <w:rFonts w:asciiTheme="minorHAnsi" w:eastAsiaTheme="minorEastAsia" w:hAnsiTheme="minorHAnsi" w:cstheme="minorHAnsi"/>
        </w:rPr>
        <w:t>uplatněny</w:t>
      </w:r>
      <w:r w:rsidR="00AA2645" w:rsidRPr="00663441">
        <w:rPr>
          <w:rFonts w:asciiTheme="minorHAnsi" w:eastAsiaTheme="minorEastAsia" w:hAnsiTheme="minorHAnsi" w:cstheme="minorHAnsi"/>
        </w:rPr>
        <w:t xml:space="preserve"> do 31.</w:t>
      </w:r>
      <w:r w:rsidR="00984611">
        <w:rPr>
          <w:rFonts w:asciiTheme="minorHAnsi" w:eastAsiaTheme="minorEastAsia" w:hAnsiTheme="minorHAnsi" w:cstheme="minorHAnsi"/>
        </w:rPr>
        <w:t> </w:t>
      </w:r>
      <w:r w:rsidR="00AA2645" w:rsidRPr="00663441">
        <w:rPr>
          <w:rFonts w:asciiTheme="minorHAnsi" w:eastAsiaTheme="minorEastAsia" w:hAnsiTheme="minorHAnsi" w:cstheme="minorHAnsi"/>
        </w:rPr>
        <w:t>1</w:t>
      </w:r>
      <w:r w:rsidR="00845A6B" w:rsidRPr="00663441">
        <w:rPr>
          <w:rFonts w:asciiTheme="minorHAnsi" w:eastAsiaTheme="minorEastAsia" w:hAnsiTheme="minorHAnsi" w:cstheme="minorHAnsi"/>
        </w:rPr>
        <w:t>2. 2016 a celková</w:t>
      </w:r>
      <w:r w:rsidR="002548B6" w:rsidRPr="00663441">
        <w:rPr>
          <w:rFonts w:asciiTheme="minorHAnsi" w:eastAsiaTheme="minorEastAsia" w:hAnsiTheme="minorHAnsi" w:cstheme="minorHAnsi"/>
        </w:rPr>
        <w:t xml:space="preserve"> částka odškodnění dosáhne maximálně</w:t>
      </w:r>
      <w:r w:rsidR="006A475D" w:rsidRPr="00663441">
        <w:rPr>
          <w:rFonts w:asciiTheme="minorHAnsi" w:eastAsiaTheme="minorEastAsia" w:hAnsiTheme="minorHAnsi" w:cstheme="minorHAnsi"/>
        </w:rPr>
        <w:t xml:space="preserve"> </w:t>
      </w:r>
      <w:r w:rsidR="002548B6" w:rsidRPr="00663441">
        <w:rPr>
          <w:rFonts w:asciiTheme="minorHAnsi" w:eastAsiaTheme="minorEastAsia" w:hAnsiTheme="minorHAnsi" w:cstheme="minorHAnsi"/>
        </w:rPr>
        <w:t>160 m</w:t>
      </w:r>
      <w:r w:rsidR="005E68F7" w:rsidRPr="00663441">
        <w:rPr>
          <w:rFonts w:asciiTheme="minorHAnsi" w:eastAsiaTheme="minorEastAsia" w:hAnsiTheme="minorHAnsi" w:cstheme="minorHAnsi"/>
        </w:rPr>
        <w:t>ld.</w:t>
      </w:r>
      <w:r w:rsidR="002548B6" w:rsidRPr="00663441">
        <w:rPr>
          <w:rFonts w:asciiTheme="minorHAnsi" w:eastAsiaTheme="minorEastAsia" w:hAnsiTheme="minorHAnsi" w:cstheme="minorHAnsi"/>
        </w:rPr>
        <w:t xml:space="preserve"> Kč.</w:t>
      </w:r>
      <w:r w:rsidR="007A07DD" w:rsidRPr="00663441">
        <w:rPr>
          <w:rFonts w:asciiTheme="minorHAnsi" w:eastAsiaTheme="minorEastAsia" w:hAnsiTheme="minorHAnsi" w:cstheme="minorHAnsi"/>
        </w:rPr>
        <w:t xml:space="preserve"> K datu 31.</w:t>
      </w:r>
      <w:r w:rsidR="004552F8" w:rsidRPr="00663441">
        <w:rPr>
          <w:rFonts w:asciiTheme="minorHAnsi" w:eastAsiaTheme="minorEastAsia" w:hAnsiTheme="minorHAnsi" w:cstheme="minorHAnsi"/>
        </w:rPr>
        <w:t> </w:t>
      </w:r>
      <w:r w:rsidR="007A07DD" w:rsidRPr="00663441">
        <w:rPr>
          <w:rFonts w:asciiTheme="minorHAnsi" w:eastAsiaTheme="minorEastAsia" w:hAnsiTheme="minorHAnsi" w:cstheme="minorHAnsi"/>
        </w:rPr>
        <w:t>12.</w:t>
      </w:r>
      <w:r w:rsidR="009C193B" w:rsidRPr="00663441">
        <w:rPr>
          <w:rFonts w:asciiTheme="minorHAnsi" w:eastAsiaTheme="minorEastAsia" w:hAnsiTheme="minorHAnsi" w:cstheme="minorHAnsi"/>
        </w:rPr>
        <w:t> </w:t>
      </w:r>
      <w:r w:rsidR="007A07DD" w:rsidRPr="00663441">
        <w:rPr>
          <w:rFonts w:asciiTheme="minorHAnsi" w:eastAsiaTheme="minorEastAsia" w:hAnsiTheme="minorHAnsi" w:cstheme="minorHAnsi"/>
        </w:rPr>
        <w:t>2016</w:t>
      </w:r>
      <w:r w:rsidR="005D5C04" w:rsidRPr="00663441">
        <w:rPr>
          <w:rFonts w:asciiTheme="minorHAnsi" w:eastAsiaTheme="minorEastAsia" w:hAnsiTheme="minorHAnsi" w:cstheme="minorHAnsi"/>
        </w:rPr>
        <w:t xml:space="preserve"> tak došlo k zániku práv ČSOB</w:t>
      </w:r>
      <w:r w:rsidR="004552F8" w:rsidRPr="00663441">
        <w:rPr>
          <w:rFonts w:asciiTheme="minorHAnsi" w:eastAsiaTheme="minorEastAsia" w:hAnsiTheme="minorHAnsi" w:cstheme="minorHAnsi"/>
        </w:rPr>
        <w:t xml:space="preserve"> </w:t>
      </w:r>
      <w:r w:rsidR="005D5C04" w:rsidRPr="00663441">
        <w:rPr>
          <w:rFonts w:asciiTheme="minorHAnsi" w:eastAsiaTheme="minorEastAsia" w:hAnsiTheme="minorHAnsi" w:cstheme="minorHAnsi"/>
        </w:rPr>
        <w:t xml:space="preserve">na plnění ze záruky s výjimkou uplatněných, ale nevypořádaných nároků. </w:t>
      </w:r>
      <w:r w:rsidR="00E45E48" w:rsidRPr="00663441">
        <w:rPr>
          <w:rFonts w:asciiTheme="minorHAnsi" w:eastAsiaTheme="minorEastAsia" w:hAnsiTheme="minorHAnsi" w:cstheme="minorHAnsi"/>
        </w:rPr>
        <w:t>K 31. 12. 2017 uvedlo MF v SZÚ</w:t>
      </w:r>
      <w:r w:rsidR="005D5C04" w:rsidRPr="00663441">
        <w:rPr>
          <w:rFonts w:asciiTheme="minorHAnsi" w:eastAsiaTheme="minorEastAsia" w:hAnsiTheme="minorHAnsi" w:cstheme="minorHAnsi"/>
        </w:rPr>
        <w:t xml:space="preserve"> zůstatek </w:t>
      </w:r>
      <w:r w:rsidR="00E45E48" w:rsidRPr="00663441">
        <w:rPr>
          <w:rFonts w:asciiTheme="minorHAnsi" w:eastAsiaTheme="minorEastAsia" w:hAnsiTheme="minorHAnsi" w:cstheme="minorHAnsi"/>
        </w:rPr>
        <w:t xml:space="preserve">záruky </w:t>
      </w:r>
      <w:r w:rsidR="005D5C04" w:rsidRPr="00663441">
        <w:rPr>
          <w:rFonts w:asciiTheme="minorHAnsi" w:eastAsiaTheme="minorEastAsia" w:hAnsiTheme="minorHAnsi" w:cstheme="minorHAnsi"/>
        </w:rPr>
        <w:t>ve výši 20</w:t>
      </w:r>
      <w:r w:rsidRPr="00663441">
        <w:rPr>
          <w:rFonts w:asciiTheme="minorHAnsi" w:eastAsiaTheme="minorEastAsia" w:hAnsiTheme="minorHAnsi" w:cstheme="minorHAnsi"/>
        </w:rPr>
        <w:t> </w:t>
      </w:r>
      <w:r w:rsidR="005D5C04" w:rsidRPr="00663441">
        <w:rPr>
          <w:rFonts w:asciiTheme="minorHAnsi" w:eastAsiaTheme="minorEastAsia" w:hAnsiTheme="minorHAnsi" w:cstheme="minorHAnsi"/>
        </w:rPr>
        <w:t>mld.</w:t>
      </w:r>
      <w:r w:rsidR="005E68F7" w:rsidRPr="00663441">
        <w:rPr>
          <w:rFonts w:asciiTheme="minorHAnsi" w:eastAsiaTheme="minorEastAsia" w:hAnsiTheme="minorHAnsi" w:cstheme="minorHAnsi"/>
        </w:rPr>
        <w:t> </w:t>
      </w:r>
      <w:r w:rsidR="005D5C04" w:rsidRPr="00663441">
        <w:rPr>
          <w:rFonts w:asciiTheme="minorHAnsi" w:eastAsiaTheme="minorEastAsia" w:hAnsiTheme="minorHAnsi" w:cstheme="minorHAnsi"/>
        </w:rPr>
        <w:t xml:space="preserve">Kč z důvodu dosud </w:t>
      </w:r>
      <w:r w:rsidR="0071182C" w:rsidRPr="00663441">
        <w:rPr>
          <w:rFonts w:asciiTheme="minorHAnsi" w:eastAsiaTheme="minorEastAsia" w:hAnsiTheme="minorHAnsi" w:cstheme="minorHAnsi"/>
        </w:rPr>
        <w:t>probíhajícího</w:t>
      </w:r>
      <w:r w:rsidR="005D5C04" w:rsidRPr="00663441">
        <w:rPr>
          <w:rFonts w:asciiTheme="minorHAnsi" w:eastAsiaTheme="minorEastAsia" w:hAnsiTheme="minorHAnsi" w:cstheme="minorHAnsi"/>
        </w:rPr>
        <w:t xml:space="preserve"> </w:t>
      </w:r>
      <w:r w:rsidR="00E45E48" w:rsidRPr="00663441">
        <w:rPr>
          <w:rFonts w:asciiTheme="minorHAnsi" w:eastAsiaTheme="minorEastAsia" w:hAnsiTheme="minorHAnsi" w:cstheme="minorHAnsi"/>
        </w:rPr>
        <w:t xml:space="preserve">soudního </w:t>
      </w:r>
      <w:r w:rsidR="00C17029" w:rsidRPr="00663441">
        <w:rPr>
          <w:rFonts w:asciiTheme="minorHAnsi" w:eastAsiaTheme="minorEastAsia" w:hAnsiTheme="minorHAnsi" w:cstheme="minorHAnsi"/>
        </w:rPr>
        <w:t>sporu.</w:t>
      </w:r>
      <w:r w:rsidR="0063038A" w:rsidRPr="00663441">
        <w:rPr>
          <w:rFonts w:asciiTheme="minorHAnsi" w:eastAsiaTheme="minorEastAsia" w:hAnsiTheme="minorHAnsi" w:cstheme="minorHAnsi"/>
        </w:rPr>
        <w:t xml:space="preserve"> Od vzniku záruky do 31. 12. 2016 uhradilo MF celkem 3 344 mil.</w:t>
      </w:r>
      <w:r w:rsidR="00516BD2" w:rsidRPr="00663441">
        <w:rPr>
          <w:rFonts w:asciiTheme="minorHAnsi" w:eastAsiaTheme="minorEastAsia" w:hAnsiTheme="minorHAnsi" w:cstheme="minorHAnsi"/>
        </w:rPr>
        <w:t> </w:t>
      </w:r>
      <w:r w:rsidR="0063038A" w:rsidRPr="00663441">
        <w:rPr>
          <w:rFonts w:asciiTheme="minorHAnsi" w:eastAsiaTheme="minorEastAsia" w:hAnsiTheme="minorHAnsi" w:cstheme="minorHAnsi"/>
        </w:rPr>
        <w:t xml:space="preserve">Kč, z toho v kontrolovaném období 294 mil. Kč. </w:t>
      </w:r>
    </w:p>
    <w:p w14:paraId="5214AAAD" w14:textId="77777777" w:rsidR="00C17029" w:rsidRPr="00663441" w:rsidRDefault="00C17029" w:rsidP="00A44EB4">
      <w:pPr>
        <w:jc w:val="both"/>
        <w:rPr>
          <w:rFonts w:asciiTheme="minorHAnsi" w:eastAsiaTheme="minorEastAsia" w:hAnsiTheme="minorHAnsi" w:cstheme="minorHAnsi"/>
        </w:rPr>
      </w:pPr>
    </w:p>
    <w:p w14:paraId="7DE48BFB" w14:textId="2FDED1D6" w:rsidR="007A07DD" w:rsidRPr="00663441" w:rsidRDefault="007A07DD" w:rsidP="0076441B">
      <w:pPr>
        <w:keepNext/>
        <w:jc w:val="both"/>
        <w:rPr>
          <w:rFonts w:asciiTheme="minorHAnsi" w:eastAsiaTheme="minorEastAsia" w:hAnsiTheme="minorHAnsi" w:cstheme="minorHAnsi"/>
          <w:i/>
        </w:rPr>
      </w:pPr>
      <w:r w:rsidRPr="00663441">
        <w:rPr>
          <w:rFonts w:asciiTheme="minorHAnsi" w:eastAsiaTheme="minorEastAsia" w:hAnsiTheme="minorHAnsi" w:cstheme="minorHAnsi"/>
          <w:i/>
        </w:rPr>
        <w:lastRenderedPageBreak/>
        <w:t>Záruka ve prospěch ČSOB, a.s.</w:t>
      </w:r>
      <w:r w:rsidR="009C458D">
        <w:rPr>
          <w:rFonts w:asciiTheme="minorHAnsi" w:eastAsiaTheme="minorEastAsia" w:hAnsiTheme="minorHAnsi" w:cstheme="minorHAnsi"/>
          <w:i/>
        </w:rPr>
        <w:t>,</w:t>
      </w:r>
      <w:r w:rsidRPr="00663441">
        <w:rPr>
          <w:rFonts w:asciiTheme="minorHAnsi" w:eastAsiaTheme="minorEastAsia" w:hAnsiTheme="minorHAnsi" w:cstheme="minorHAnsi"/>
          <w:i/>
        </w:rPr>
        <w:t xml:space="preserve"> za nekvalitní aktiva IPB, a.s. </w:t>
      </w:r>
    </w:p>
    <w:p w14:paraId="43DB13EB" w14:textId="77777777" w:rsidR="0076441B" w:rsidRDefault="0076441B" w:rsidP="0076441B">
      <w:pPr>
        <w:keepNext/>
        <w:jc w:val="both"/>
        <w:rPr>
          <w:rFonts w:asciiTheme="minorHAnsi" w:eastAsiaTheme="minorEastAsia" w:hAnsiTheme="minorHAnsi" w:cstheme="minorHAnsi"/>
        </w:rPr>
      </w:pPr>
    </w:p>
    <w:p w14:paraId="46980266" w14:textId="08206A85" w:rsidR="007A07DD" w:rsidRPr="00663441" w:rsidRDefault="007A07DD" w:rsidP="00A44EB4">
      <w:pPr>
        <w:jc w:val="both"/>
        <w:rPr>
          <w:rFonts w:asciiTheme="minorHAnsi" w:eastAsiaTheme="minorEastAsia" w:hAnsiTheme="minorHAnsi" w:cstheme="minorHAnsi"/>
        </w:rPr>
      </w:pPr>
      <w:r w:rsidRPr="00663441">
        <w:rPr>
          <w:rFonts w:asciiTheme="minorHAnsi" w:eastAsiaTheme="minorEastAsia" w:hAnsiTheme="minorHAnsi" w:cstheme="minorHAnsi"/>
        </w:rPr>
        <w:t xml:space="preserve">Dne 19. 6. 2000 byla mezi ČR </w:t>
      </w:r>
      <w:r w:rsidR="009C458D">
        <w:rPr>
          <w:rFonts w:asciiTheme="minorHAnsi" w:eastAsiaTheme="minorEastAsia" w:hAnsiTheme="minorHAnsi" w:cstheme="minorHAnsi"/>
        </w:rPr>
        <w:t>–</w:t>
      </w:r>
      <w:r w:rsidRPr="00663441">
        <w:rPr>
          <w:rFonts w:asciiTheme="minorHAnsi" w:eastAsiaTheme="minorEastAsia" w:hAnsiTheme="minorHAnsi" w:cstheme="minorHAnsi"/>
        </w:rPr>
        <w:t xml:space="preserve"> MF a ČSOB uzavřena </w:t>
      </w:r>
      <w:r w:rsidR="0071182C" w:rsidRPr="00663441">
        <w:rPr>
          <w:rFonts w:asciiTheme="minorHAnsi" w:eastAsiaTheme="minorEastAsia" w:hAnsiTheme="minorHAnsi" w:cstheme="minorHAnsi"/>
        </w:rPr>
        <w:t>s</w:t>
      </w:r>
      <w:r w:rsidRPr="00663441">
        <w:rPr>
          <w:rFonts w:asciiTheme="minorHAnsi" w:eastAsiaTheme="minorEastAsia" w:hAnsiTheme="minorHAnsi" w:cstheme="minorHAnsi"/>
        </w:rPr>
        <w:t>mlouva, ve které se MF zaručilo za vybraná aktiva IPB. Plnění z</w:t>
      </w:r>
      <w:r w:rsidR="00340A1C" w:rsidRPr="00663441">
        <w:rPr>
          <w:rFonts w:asciiTheme="minorHAnsi" w:eastAsiaTheme="minorEastAsia" w:hAnsiTheme="minorHAnsi" w:cstheme="minorHAnsi"/>
        </w:rPr>
        <w:t> této záruky</w:t>
      </w:r>
      <w:r w:rsidR="00015005">
        <w:rPr>
          <w:rFonts w:asciiTheme="minorHAnsi" w:eastAsiaTheme="minorEastAsia" w:hAnsiTheme="minorHAnsi" w:cstheme="minorHAnsi"/>
        </w:rPr>
        <w:t>, které probíhalo v letech 2003–</w:t>
      </w:r>
      <w:r w:rsidRPr="00663441">
        <w:rPr>
          <w:rFonts w:asciiTheme="minorHAnsi" w:eastAsiaTheme="minorEastAsia" w:hAnsiTheme="minorHAnsi" w:cstheme="minorHAnsi"/>
        </w:rPr>
        <w:t xml:space="preserve">2012, dosáhlo celkové výše 2 790 </w:t>
      </w:r>
      <w:r w:rsidR="00A301A0" w:rsidRPr="00663441">
        <w:rPr>
          <w:rFonts w:asciiTheme="minorHAnsi" w:eastAsiaTheme="minorEastAsia" w:hAnsiTheme="minorHAnsi" w:cstheme="minorHAnsi"/>
        </w:rPr>
        <w:t>mil.</w:t>
      </w:r>
      <w:r w:rsidRPr="00663441">
        <w:rPr>
          <w:rFonts w:asciiTheme="minorHAnsi" w:eastAsiaTheme="minorEastAsia" w:hAnsiTheme="minorHAnsi" w:cstheme="minorHAnsi"/>
        </w:rPr>
        <w:t xml:space="preserve"> Kč.</w:t>
      </w:r>
      <w:r w:rsidR="00AF7F25" w:rsidRPr="00663441">
        <w:rPr>
          <w:rFonts w:asciiTheme="minorHAnsi" w:eastAsiaTheme="minorEastAsia" w:hAnsiTheme="minorHAnsi" w:cstheme="minorHAnsi"/>
        </w:rPr>
        <w:t xml:space="preserve"> V kontrolovaném období k plnění z</w:t>
      </w:r>
      <w:r w:rsidR="00EB524F">
        <w:rPr>
          <w:rFonts w:asciiTheme="minorHAnsi" w:eastAsiaTheme="minorEastAsia" w:hAnsiTheme="minorHAnsi" w:cstheme="minorHAnsi"/>
        </w:rPr>
        <w:t xml:space="preserve"> této</w:t>
      </w:r>
      <w:r w:rsidR="00AF7F25" w:rsidRPr="00663441">
        <w:rPr>
          <w:rFonts w:asciiTheme="minorHAnsi" w:eastAsiaTheme="minorEastAsia" w:hAnsiTheme="minorHAnsi" w:cstheme="minorHAnsi"/>
        </w:rPr>
        <w:t xml:space="preserve"> státní záruky nedošlo.</w:t>
      </w:r>
    </w:p>
    <w:p w14:paraId="50A0EFB3" w14:textId="77777777" w:rsidR="00146CD9" w:rsidRPr="00663441" w:rsidRDefault="00146CD9" w:rsidP="00A44EB4">
      <w:pPr>
        <w:jc w:val="both"/>
        <w:rPr>
          <w:rFonts w:asciiTheme="minorHAnsi" w:eastAsiaTheme="minorEastAsia" w:hAnsiTheme="minorHAnsi" w:cstheme="minorHAnsi"/>
        </w:rPr>
      </w:pPr>
    </w:p>
    <w:p w14:paraId="49188E67" w14:textId="77777777" w:rsidR="006B5897" w:rsidRPr="00663441" w:rsidRDefault="006B5897" w:rsidP="00A44EB4">
      <w:pPr>
        <w:jc w:val="both"/>
        <w:rPr>
          <w:rFonts w:asciiTheme="minorHAnsi" w:eastAsiaTheme="minorEastAsia" w:hAnsiTheme="minorHAnsi" w:cstheme="minorHAnsi"/>
        </w:rPr>
      </w:pPr>
      <w:r w:rsidRPr="00663441">
        <w:rPr>
          <w:rFonts w:asciiTheme="minorHAnsi" w:eastAsiaTheme="minorEastAsia" w:hAnsiTheme="minorHAnsi" w:cstheme="minorHAnsi"/>
        </w:rPr>
        <w:t xml:space="preserve">V rámci obou </w:t>
      </w:r>
      <w:r w:rsidR="00E45E48" w:rsidRPr="00663441">
        <w:rPr>
          <w:rFonts w:asciiTheme="minorHAnsi" w:eastAsiaTheme="minorEastAsia" w:hAnsiTheme="minorHAnsi" w:cstheme="minorHAnsi"/>
        </w:rPr>
        <w:t xml:space="preserve">výše uvedených </w:t>
      </w:r>
      <w:r w:rsidRPr="00663441">
        <w:rPr>
          <w:rFonts w:asciiTheme="minorHAnsi" w:eastAsiaTheme="minorEastAsia" w:hAnsiTheme="minorHAnsi" w:cstheme="minorHAnsi"/>
        </w:rPr>
        <w:t xml:space="preserve">záruk poskytnutých při prodeji IPB uhradilo MF </w:t>
      </w:r>
      <w:r w:rsidR="00C43CC8" w:rsidRPr="00663441">
        <w:rPr>
          <w:rFonts w:asciiTheme="minorHAnsi" w:eastAsiaTheme="minorEastAsia" w:hAnsiTheme="minorHAnsi" w:cstheme="minorHAnsi"/>
        </w:rPr>
        <w:t xml:space="preserve">od vzniku záruk </w:t>
      </w:r>
      <w:r w:rsidRPr="00663441">
        <w:rPr>
          <w:rFonts w:asciiTheme="minorHAnsi" w:eastAsiaTheme="minorEastAsia" w:hAnsiTheme="minorHAnsi" w:cstheme="minorHAnsi"/>
        </w:rPr>
        <w:t xml:space="preserve">do 31. 12. 2016 celkem 6 134 mil. Kč, z toho v kontrolovaném období 294 mil. Kč. </w:t>
      </w:r>
    </w:p>
    <w:p w14:paraId="4E1BE03B" w14:textId="77777777" w:rsidR="00483622" w:rsidRPr="00663441" w:rsidRDefault="00483622" w:rsidP="00A44EB4">
      <w:pPr>
        <w:jc w:val="both"/>
        <w:rPr>
          <w:rFonts w:asciiTheme="minorHAnsi" w:eastAsiaTheme="minorEastAsia" w:hAnsiTheme="minorHAnsi" w:cstheme="minorHAnsi"/>
          <w:i/>
        </w:rPr>
      </w:pPr>
    </w:p>
    <w:p w14:paraId="1E7616F8" w14:textId="77777777" w:rsidR="006B5897" w:rsidRPr="00663441" w:rsidRDefault="00CA30C8" w:rsidP="00A44EB4">
      <w:pPr>
        <w:jc w:val="both"/>
        <w:rPr>
          <w:rFonts w:asciiTheme="minorHAnsi" w:eastAsiaTheme="minorEastAsia" w:hAnsiTheme="minorHAnsi" w:cstheme="minorHAnsi"/>
          <w:i/>
        </w:rPr>
      </w:pPr>
      <w:r w:rsidRPr="00663441">
        <w:rPr>
          <w:rFonts w:asciiTheme="minorHAnsi" w:eastAsiaTheme="minorEastAsia" w:hAnsiTheme="minorHAnsi" w:cstheme="minorHAnsi"/>
          <w:i/>
        </w:rPr>
        <w:t>Z</w:t>
      </w:r>
      <w:r w:rsidR="006B5897" w:rsidRPr="00663441">
        <w:rPr>
          <w:rFonts w:asciiTheme="minorHAnsi" w:eastAsiaTheme="minorEastAsia" w:hAnsiTheme="minorHAnsi" w:cstheme="minorHAnsi"/>
          <w:i/>
        </w:rPr>
        <w:t>áruka ve prospěch ČNB za půjčky MMF</w:t>
      </w:r>
    </w:p>
    <w:p w14:paraId="335BF246" w14:textId="77777777" w:rsidR="0076441B" w:rsidRDefault="0076441B" w:rsidP="00A44EB4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96A3A86" w14:textId="77777777" w:rsidR="00611E35" w:rsidRPr="00663441" w:rsidRDefault="002C5CEA" w:rsidP="00A44EB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 w:rsidRPr="00663441">
        <w:rPr>
          <w:rFonts w:asciiTheme="minorHAnsi" w:hAnsiTheme="minorHAnsi" w:cstheme="minorHAnsi"/>
        </w:rPr>
        <w:t>Na základě zákona č. 216/2013 Sb.</w:t>
      </w:r>
      <w:r w:rsidRPr="00663441">
        <w:rPr>
          <w:rStyle w:val="Znakapoznpodarou"/>
          <w:rFonts w:asciiTheme="minorHAnsi" w:hAnsiTheme="minorHAnsi" w:cstheme="minorHAnsi"/>
        </w:rPr>
        <w:footnoteReference w:id="10"/>
      </w:r>
      <w:r w:rsidRPr="00663441">
        <w:rPr>
          <w:rFonts w:asciiTheme="minorHAnsi" w:hAnsiTheme="minorHAnsi" w:cstheme="minorHAnsi"/>
        </w:rPr>
        <w:t xml:space="preserve"> </w:t>
      </w:r>
      <w:r w:rsidR="00860E65">
        <w:rPr>
          <w:rFonts w:asciiTheme="minorHAnsi" w:hAnsiTheme="minorHAnsi" w:cstheme="minorHAnsi"/>
        </w:rPr>
        <w:t xml:space="preserve">poskytlo MF </w:t>
      </w:r>
      <w:r w:rsidR="004D35F5" w:rsidRPr="00663441">
        <w:rPr>
          <w:rFonts w:asciiTheme="minorHAnsi" w:hAnsiTheme="minorHAnsi" w:cstheme="minorHAnsi"/>
        </w:rPr>
        <w:t>státní záruk</w:t>
      </w:r>
      <w:r w:rsidR="00860E65">
        <w:rPr>
          <w:rFonts w:asciiTheme="minorHAnsi" w:hAnsiTheme="minorHAnsi" w:cstheme="minorHAnsi"/>
        </w:rPr>
        <w:t>u</w:t>
      </w:r>
      <w:r w:rsidR="006B5897" w:rsidRPr="00663441">
        <w:rPr>
          <w:rFonts w:asciiTheme="minorHAnsi" w:hAnsiTheme="minorHAnsi" w:cstheme="minorHAnsi"/>
        </w:rPr>
        <w:t xml:space="preserve"> </w:t>
      </w:r>
      <w:r w:rsidR="004D35F5" w:rsidRPr="00663441">
        <w:rPr>
          <w:rFonts w:asciiTheme="minorHAnsi" w:hAnsiTheme="minorHAnsi" w:cstheme="minorHAnsi"/>
        </w:rPr>
        <w:t>na zajištění</w:t>
      </w:r>
      <w:r w:rsidR="006B5897" w:rsidRPr="00663441">
        <w:rPr>
          <w:rFonts w:asciiTheme="minorHAnsi" w:hAnsiTheme="minorHAnsi" w:cstheme="minorHAnsi"/>
        </w:rPr>
        <w:t xml:space="preserve"> půjč</w:t>
      </w:r>
      <w:r w:rsidR="004D35F5" w:rsidRPr="00663441">
        <w:rPr>
          <w:rFonts w:asciiTheme="minorHAnsi" w:hAnsiTheme="minorHAnsi" w:cstheme="minorHAnsi"/>
        </w:rPr>
        <w:t>ek poskytnutých Českou národní bankou</w:t>
      </w:r>
      <w:r w:rsidR="006B5897" w:rsidRPr="00663441">
        <w:rPr>
          <w:rFonts w:asciiTheme="minorHAnsi" w:hAnsiTheme="minorHAnsi" w:cstheme="minorHAnsi"/>
        </w:rPr>
        <w:t xml:space="preserve"> M</w:t>
      </w:r>
      <w:r w:rsidR="004D35F5" w:rsidRPr="00663441">
        <w:rPr>
          <w:rFonts w:asciiTheme="minorHAnsi" w:hAnsiTheme="minorHAnsi" w:cstheme="minorHAnsi"/>
        </w:rPr>
        <w:t>ezinárodnímu měnovému fondu</w:t>
      </w:r>
      <w:r w:rsidR="006B5897" w:rsidRPr="00663441">
        <w:rPr>
          <w:rFonts w:asciiTheme="minorHAnsi" w:hAnsiTheme="minorHAnsi" w:cstheme="minorHAnsi"/>
        </w:rPr>
        <w:t xml:space="preserve"> v celkové výši 2,53 mld. €. </w:t>
      </w:r>
      <w:r w:rsidR="00611E35">
        <w:rPr>
          <w:rFonts w:asciiTheme="minorHAnsi" w:hAnsiTheme="minorHAnsi" w:cstheme="minorHAnsi"/>
        </w:rPr>
        <w:t>K plnění ze záruky nedošlo a j</w:t>
      </w:r>
      <w:r w:rsidR="00611E35" w:rsidRPr="00663441">
        <w:rPr>
          <w:rFonts w:asciiTheme="minorHAnsi" w:hAnsiTheme="minorHAnsi" w:cstheme="minorHAnsi"/>
          <w:bCs/>
        </w:rPr>
        <w:t xml:space="preserve">ejí platnost již vypršela. </w:t>
      </w:r>
      <w:r w:rsidR="00611E35" w:rsidRPr="00663441">
        <w:rPr>
          <w:rFonts w:asciiTheme="minorHAnsi" w:hAnsiTheme="minorHAnsi" w:cstheme="minorHAnsi"/>
        </w:rPr>
        <w:t xml:space="preserve">Ministerstvo financí </w:t>
      </w:r>
      <w:r w:rsidR="00611E35" w:rsidRPr="00663441">
        <w:rPr>
          <w:rFonts w:asciiTheme="minorHAnsi" w:eastAsiaTheme="minorEastAsia" w:hAnsiTheme="minorHAnsi" w:cstheme="minorHAnsi"/>
        </w:rPr>
        <w:t>v souvislosti s poskytnutím půjč</w:t>
      </w:r>
      <w:r w:rsidR="00611E35">
        <w:rPr>
          <w:rFonts w:asciiTheme="minorHAnsi" w:eastAsiaTheme="minorEastAsia" w:hAnsiTheme="minorHAnsi" w:cstheme="minorHAnsi"/>
        </w:rPr>
        <w:t>e</w:t>
      </w:r>
      <w:r w:rsidR="00611E35" w:rsidRPr="00663441">
        <w:rPr>
          <w:rFonts w:asciiTheme="minorHAnsi" w:eastAsiaTheme="minorEastAsia" w:hAnsiTheme="minorHAnsi" w:cstheme="minorHAnsi"/>
        </w:rPr>
        <w:t xml:space="preserve">k MMF </w:t>
      </w:r>
      <w:r w:rsidR="00611E35" w:rsidRPr="00663441">
        <w:rPr>
          <w:rFonts w:asciiTheme="minorHAnsi" w:hAnsiTheme="minorHAnsi" w:cstheme="minorHAnsi"/>
        </w:rPr>
        <w:t>hradilo ČNB náklady ušlé příležitosti, transakční náklady a náklady na zajištění proti kurzovému riziku</w:t>
      </w:r>
      <w:r w:rsidR="00C47CC3">
        <w:rPr>
          <w:rFonts w:asciiTheme="minorHAnsi" w:hAnsiTheme="minorHAnsi" w:cstheme="minorHAnsi"/>
        </w:rPr>
        <w:t>.</w:t>
      </w:r>
      <w:r w:rsidR="00611E35" w:rsidRPr="00663441">
        <w:rPr>
          <w:rFonts w:asciiTheme="minorHAnsi" w:eastAsiaTheme="minorEastAsia" w:hAnsiTheme="minorHAnsi" w:cstheme="minorHAnsi"/>
        </w:rPr>
        <w:t xml:space="preserve"> Za tyto náklady zaplatilo MF do 31. 12. 2016 celkem 121 mil. Kč, z toho v kontrolovaném období 37 mil. Kč. </w:t>
      </w:r>
      <w:r w:rsidR="00611E35" w:rsidRPr="00663441">
        <w:rPr>
          <w:rFonts w:asciiTheme="minorHAnsi" w:hAnsiTheme="minorHAnsi" w:cstheme="minorHAnsi"/>
          <w:bCs/>
        </w:rPr>
        <w:t>Uzavření nové smlouvy na zajištění půjčky ČNB pro MMF na úvěrový rámec ve výši 1,5 mld. € očekává MF v průběhu roku 2018.</w:t>
      </w:r>
    </w:p>
    <w:p w14:paraId="2B541161" w14:textId="77777777" w:rsidR="00767B1D" w:rsidRPr="00663441" w:rsidRDefault="00767B1D" w:rsidP="00A44EB4">
      <w:pPr>
        <w:jc w:val="both"/>
        <w:rPr>
          <w:rFonts w:asciiTheme="minorHAnsi" w:hAnsiTheme="minorHAnsi" w:cstheme="minorHAnsi"/>
        </w:rPr>
      </w:pPr>
    </w:p>
    <w:p w14:paraId="532B82E4" w14:textId="0BFE1B42" w:rsidR="00E15442" w:rsidRPr="00663441" w:rsidRDefault="00E15442" w:rsidP="00A44EB4">
      <w:pPr>
        <w:jc w:val="both"/>
        <w:rPr>
          <w:rFonts w:asciiTheme="minorHAnsi" w:hAnsiTheme="minorHAnsi" w:cstheme="minorHAnsi"/>
          <w:i/>
        </w:rPr>
      </w:pPr>
      <w:r w:rsidRPr="00663441">
        <w:rPr>
          <w:rFonts w:asciiTheme="minorHAnsi" w:hAnsiTheme="minorHAnsi" w:cstheme="minorHAnsi"/>
          <w:i/>
        </w:rPr>
        <w:t xml:space="preserve">Záruky </w:t>
      </w:r>
      <w:r w:rsidR="000711F8" w:rsidRPr="00663441">
        <w:rPr>
          <w:rFonts w:asciiTheme="minorHAnsi" w:hAnsiTheme="minorHAnsi" w:cstheme="minorHAnsi"/>
          <w:i/>
        </w:rPr>
        <w:t>za závazky Exportní garanční a pojišťovací společnosti, a.s.</w:t>
      </w:r>
      <w:r w:rsidR="009C458D">
        <w:rPr>
          <w:rFonts w:asciiTheme="minorHAnsi" w:hAnsiTheme="minorHAnsi" w:cstheme="minorHAnsi"/>
          <w:i/>
        </w:rPr>
        <w:t>,</w:t>
      </w:r>
      <w:r w:rsidR="000711F8" w:rsidRPr="00663441">
        <w:rPr>
          <w:rFonts w:asciiTheme="minorHAnsi" w:hAnsiTheme="minorHAnsi" w:cstheme="minorHAnsi"/>
          <w:i/>
        </w:rPr>
        <w:t xml:space="preserve"> a</w:t>
      </w:r>
      <w:r w:rsidR="000711F8" w:rsidRPr="00663441">
        <w:rPr>
          <w:rFonts w:asciiTheme="minorHAnsi" w:hAnsiTheme="minorHAnsi" w:cstheme="minorHAnsi"/>
        </w:rPr>
        <w:t xml:space="preserve"> </w:t>
      </w:r>
      <w:r w:rsidR="000711F8" w:rsidRPr="00663441">
        <w:rPr>
          <w:rFonts w:asciiTheme="minorHAnsi" w:hAnsiTheme="minorHAnsi" w:cstheme="minorHAnsi"/>
          <w:i/>
        </w:rPr>
        <w:t>České exportní banky, a.s.</w:t>
      </w:r>
    </w:p>
    <w:p w14:paraId="474937B3" w14:textId="77777777" w:rsidR="0076441B" w:rsidRDefault="0076441B" w:rsidP="00A44EB4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EEAA3D2" w14:textId="31BE4222" w:rsidR="00E15442" w:rsidRPr="00663441" w:rsidRDefault="00E15442" w:rsidP="00A44EB4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63441">
        <w:rPr>
          <w:rFonts w:asciiTheme="minorHAnsi" w:hAnsiTheme="minorHAnsi" w:cstheme="minorHAnsi"/>
        </w:rPr>
        <w:t>Součástí zákona č. 58/1995 Sb. jsou ustanovení týkající se státních záruk poskytovaných v</w:t>
      </w:r>
      <w:r w:rsidR="00CA30C8" w:rsidRPr="00663441">
        <w:rPr>
          <w:rFonts w:asciiTheme="minorHAnsi" w:hAnsiTheme="minorHAnsi" w:cstheme="minorHAnsi"/>
        </w:rPr>
        <w:t> </w:t>
      </w:r>
      <w:r w:rsidRPr="00663441">
        <w:rPr>
          <w:rFonts w:asciiTheme="minorHAnsi" w:hAnsiTheme="minorHAnsi" w:cstheme="minorHAnsi"/>
        </w:rPr>
        <w:t xml:space="preserve">souvislosti s pojišťováním a financováním vývozu se státní podporou. </w:t>
      </w:r>
      <w:r w:rsidR="00746A5F" w:rsidRPr="00663441">
        <w:rPr>
          <w:rFonts w:asciiTheme="minorHAnsi" w:hAnsiTheme="minorHAnsi" w:cstheme="minorHAnsi"/>
        </w:rPr>
        <w:t>Stát ručí z</w:t>
      </w:r>
      <w:r w:rsidRPr="00663441">
        <w:rPr>
          <w:rFonts w:asciiTheme="minorHAnsi" w:hAnsiTheme="minorHAnsi" w:cstheme="minorHAnsi"/>
        </w:rPr>
        <w:t xml:space="preserve">a závazky </w:t>
      </w:r>
      <w:r w:rsidR="009C458D" w:rsidRPr="009C458D">
        <w:rPr>
          <w:rFonts w:asciiTheme="minorHAnsi" w:hAnsiTheme="minorHAnsi" w:cstheme="minorHAnsi"/>
        </w:rPr>
        <w:t>Exportní garanční a pojišťovací společnosti, a.s.</w:t>
      </w:r>
      <w:r w:rsidR="009C458D">
        <w:rPr>
          <w:rFonts w:asciiTheme="minorHAnsi" w:hAnsiTheme="minorHAnsi" w:cstheme="minorHAnsi"/>
        </w:rPr>
        <w:t xml:space="preserve"> (dále také „</w:t>
      </w:r>
      <w:r w:rsidR="00117A4B" w:rsidRPr="00663441">
        <w:rPr>
          <w:rFonts w:asciiTheme="minorHAnsi" w:hAnsiTheme="minorHAnsi" w:cstheme="minorHAnsi"/>
        </w:rPr>
        <w:t>EGAP</w:t>
      </w:r>
      <w:r w:rsidR="009C458D">
        <w:rPr>
          <w:rFonts w:asciiTheme="minorHAnsi" w:hAnsiTheme="minorHAnsi" w:cstheme="minorHAnsi"/>
        </w:rPr>
        <w:t>“)</w:t>
      </w:r>
      <w:r w:rsidR="00746A5F" w:rsidRPr="00663441">
        <w:rPr>
          <w:rFonts w:asciiTheme="minorHAnsi" w:hAnsiTheme="minorHAnsi" w:cstheme="minorHAnsi"/>
        </w:rPr>
        <w:t xml:space="preserve"> z</w:t>
      </w:r>
      <w:r w:rsidRPr="00663441">
        <w:rPr>
          <w:rFonts w:asciiTheme="minorHAnsi" w:hAnsiTheme="minorHAnsi" w:cstheme="minorHAnsi"/>
        </w:rPr>
        <w:t xml:space="preserve"> pojištění vývozních úvěrových rizik</w:t>
      </w:r>
      <w:r w:rsidR="00746A5F" w:rsidRPr="00663441">
        <w:rPr>
          <w:rStyle w:val="Znakapoznpodarou"/>
          <w:rFonts w:asciiTheme="minorHAnsi" w:hAnsiTheme="minorHAnsi" w:cstheme="minorHAnsi"/>
        </w:rPr>
        <w:footnoteReference w:id="11"/>
      </w:r>
      <w:r w:rsidR="00746A5F" w:rsidRPr="00663441">
        <w:rPr>
          <w:rFonts w:asciiTheme="minorHAnsi" w:hAnsiTheme="minorHAnsi" w:cstheme="minorHAnsi"/>
        </w:rPr>
        <w:t xml:space="preserve"> a </w:t>
      </w:r>
      <w:r w:rsidRPr="00663441">
        <w:rPr>
          <w:rFonts w:asciiTheme="minorHAnsi" w:hAnsiTheme="minorHAnsi" w:cstheme="minorHAnsi"/>
        </w:rPr>
        <w:t xml:space="preserve">za závazky </w:t>
      </w:r>
      <w:r w:rsidR="009C458D" w:rsidRPr="009C458D">
        <w:rPr>
          <w:rFonts w:asciiTheme="minorHAnsi" w:hAnsiTheme="minorHAnsi" w:cstheme="minorHAnsi"/>
        </w:rPr>
        <w:t>České exportní banky, a.s</w:t>
      </w:r>
      <w:r w:rsidR="009C458D">
        <w:rPr>
          <w:rFonts w:asciiTheme="minorHAnsi" w:hAnsiTheme="minorHAnsi" w:cstheme="minorHAnsi"/>
        </w:rPr>
        <w:t>.</w:t>
      </w:r>
      <w:r w:rsidR="009C458D" w:rsidRPr="009C458D">
        <w:rPr>
          <w:rFonts w:asciiTheme="minorHAnsi" w:hAnsiTheme="minorHAnsi" w:cstheme="minorHAnsi"/>
        </w:rPr>
        <w:t xml:space="preserve"> </w:t>
      </w:r>
      <w:r w:rsidR="009C458D">
        <w:rPr>
          <w:rFonts w:asciiTheme="minorHAnsi" w:hAnsiTheme="minorHAnsi" w:cstheme="minorHAnsi"/>
        </w:rPr>
        <w:t>(dále také „</w:t>
      </w:r>
      <w:r w:rsidR="00117A4B" w:rsidRPr="00663441">
        <w:rPr>
          <w:rFonts w:asciiTheme="minorHAnsi" w:hAnsiTheme="minorHAnsi" w:cstheme="minorHAnsi"/>
        </w:rPr>
        <w:t>ČEB</w:t>
      </w:r>
      <w:r w:rsidR="009C458D">
        <w:rPr>
          <w:rFonts w:asciiTheme="minorHAnsi" w:hAnsiTheme="minorHAnsi" w:cstheme="minorHAnsi"/>
        </w:rPr>
        <w:t>“)</w:t>
      </w:r>
      <w:r w:rsidR="00117A4B" w:rsidRPr="00663441">
        <w:rPr>
          <w:rFonts w:asciiTheme="minorHAnsi" w:hAnsiTheme="minorHAnsi" w:cstheme="minorHAnsi"/>
        </w:rPr>
        <w:t xml:space="preserve"> </w:t>
      </w:r>
      <w:r w:rsidRPr="00663441">
        <w:rPr>
          <w:rFonts w:asciiTheme="minorHAnsi" w:hAnsiTheme="minorHAnsi" w:cstheme="minorHAnsi"/>
        </w:rPr>
        <w:t>ze splácení finančních zdrojů a</w:t>
      </w:r>
      <w:r w:rsidR="00C47CC3">
        <w:rPr>
          <w:rFonts w:asciiTheme="minorHAnsi" w:hAnsiTheme="minorHAnsi" w:cstheme="minorHAnsi"/>
        </w:rPr>
        <w:t> </w:t>
      </w:r>
      <w:r w:rsidRPr="00663441">
        <w:rPr>
          <w:rFonts w:asciiTheme="minorHAnsi" w:hAnsiTheme="minorHAnsi" w:cstheme="minorHAnsi"/>
        </w:rPr>
        <w:t>za závazky z operací ČEB na finančních trzích</w:t>
      </w:r>
      <w:r w:rsidR="00746A5F" w:rsidRPr="00663441">
        <w:rPr>
          <w:rStyle w:val="Znakapoznpodarou"/>
          <w:rFonts w:asciiTheme="minorHAnsi" w:hAnsiTheme="minorHAnsi" w:cstheme="minorHAnsi"/>
        </w:rPr>
        <w:footnoteReference w:id="12"/>
      </w:r>
      <w:r w:rsidRPr="00663441">
        <w:rPr>
          <w:rFonts w:asciiTheme="minorHAnsi" w:hAnsiTheme="minorHAnsi" w:cstheme="minorHAnsi"/>
        </w:rPr>
        <w:t>.</w:t>
      </w:r>
      <w:r w:rsidR="00980F7B" w:rsidRPr="00663441">
        <w:rPr>
          <w:rFonts w:asciiTheme="minorHAnsi" w:hAnsiTheme="minorHAnsi" w:cstheme="minorHAnsi"/>
        </w:rPr>
        <w:t xml:space="preserve"> </w:t>
      </w:r>
    </w:p>
    <w:p w14:paraId="6A9B884D" w14:textId="77777777" w:rsidR="00E15442" w:rsidRPr="00663441" w:rsidRDefault="00E15442" w:rsidP="00A44EB4">
      <w:pPr>
        <w:jc w:val="both"/>
        <w:rPr>
          <w:rFonts w:asciiTheme="minorHAnsi" w:hAnsiTheme="minorHAnsi" w:cstheme="minorHAnsi"/>
        </w:rPr>
      </w:pPr>
    </w:p>
    <w:p w14:paraId="6BC8EA15" w14:textId="77777777" w:rsidR="00884984" w:rsidRPr="00E37EF7" w:rsidRDefault="00884984" w:rsidP="003C6A4A">
      <w:pPr>
        <w:tabs>
          <w:tab w:val="right" w:pos="9072"/>
        </w:tabs>
        <w:spacing w:after="60" w:line="259" w:lineRule="auto"/>
        <w:rPr>
          <w:rFonts w:asciiTheme="minorHAnsi" w:hAnsiTheme="minorHAnsi" w:cstheme="minorHAnsi"/>
          <w:b/>
          <w:sz w:val="23"/>
          <w:szCs w:val="23"/>
        </w:rPr>
      </w:pPr>
      <w:r w:rsidRPr="00E37EF7">
        <w:rPr>
          <w:rFonts w:asciiTheme="minorHAnsi" w:hAnsiTheme="minorHAnsi" w:cstheme="minorHAnsi"/>
          <w:b/>
          <w:sz w:val="23"/>
          <w:szCs w:val="23"/>
        </w:rPr>
        <w:t xml:space="preserve">Tabulka č. </w:t>
      </w:r>
      <w:r w:rsidR="003243F2" w:rsidRPr="00E37EF7">
        <w:rPr>
          <w:rFonts w:asciiTheme="minorHAnsi" w:hAnsiTheme="minorHAnsi" w:cstheme="minorHAnsi"/>
          <w:b/>
          <w:sz w:val="23"/>
          <w:szCs w:val="23"/>
        </w:rPr>
        <w:t>3</w:t>
      </w:r>
      <w:r w:rsidRPr="00E37EF7">
        <w:rPr>
          <w:rFonts w:asciiTheme="minorHAnsi" w:hAnsiTheme="minorHAnsi" w:cstheme="minorHAnsi"/>
          <w:b/>
          <w:sz w:val="23"/>
          <w:szCs w:val="23"/>
        </w:rPr>
        <w:t xml:space="preserve">: Stav záruk ze zákona č. 58/1995 Sb. v letech 2012 až 2016 </w:t>
      </w:r>
      <w:r w:rsidR="000454EF" w:rsidRPr="00E37EF7">
        <w:rPr>
          <w:rFonts w:asciiTheme="minorHAnsi" w:hAnsiTheme="minorHAnsi" w:cstheme="minorHAnsi"/>
          <w:b/>
          <w:sz w:val="23"/>
          <w:szCs w:val="23"/>
        </w:rPr>
        <w:tab/>
      </w:r>
      <w:r w:rsidRPr="00E37EF7">
        <w:rPr>
          <w:rFonts w:asciiTheme="minorHAnsi" w:eastAsiaTheme="minorEastAsia" w:hAnsiTheme="minorHAnsi" w:cstheme="minorHAnsi"/>
          <w:b/>
          <w:color w:val="000000" w:themeColor="text1"/>
          <w:kern w:val="24"/>
          <w:sz w:val="23"/>
          <w:szCs w:val="23"/>
        </w:rPr>
        <w:t>(v mil. Kč)</w:t>
      </w:r>
    </w:p>
    <w:tbl>
      <w:tblPr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00"/>
        <w:gridCol w:w="1421"/>
        <w:gridCol w:w="1421"/>
        <w:gridCol w:w="1422"/>
        <w:gridCol w:w="1421"/>
        <w:gridCol w:w="1422"/>
      </w:tblGrid>
      <w:tr w:rsidR="00884984" w:rsidRPr="0076441B" w14:paraId="65D78037" w14:textId="77777777" w:rsidTr="0076441B">
        <w:trPr>
          <w:trHeight w:val="283"/>
        </w:trPr>
        <w:tc>
          <w:tcPr>
            <w:tcW w:w="2000" w:type="dxa"/>
            <w:shd w:val="clear" w:color="auto" w:fill="E5F1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C907FD" w14:textId="77777777" w:rsidR="00884984" w:rsidRPr="0076441B" w:rsidRDefault="00884984" w:rsidP="0076441B">
            <w:pPr>
              <w:jc w:val="center"/>
              <w:textAlignment w:val="bottom"/>
              <w:rPr>
                <w:rFonts w:ascii="Calibri" w:hAnsi="Calibri" w:cs="Calibri"/>
                <w:b/>
                <w:sz w:val="18"/>
                <w:szCs w:val="18"/>
              </w:rPr>
            </w:pPr>
            <w:r w:rsidRPr="0076441B">
              <w:rPr>
                <w:rFonts w:ascii="Calibri" w:hAnsi="Calibri" w:cs="Calibri"/>
                <w:b/>
                <w:bCs/>
                <w:color w:val="000000"/>
                <w:kern w:val="24"/>
                <w:sz w:val="18"/>
                <w:szCs w:val="18"/>
              </w:rPr>
              <w:t xml:space="preserve">Záruky ze zákona </w:t>
            </w:r>
            <w:r w:rsidRPr="0076441B">
              <w:rPr>
                <w:rFonts w:ascii="Calibri" w:hAnsi="Calibri" w:cs="Calibri"/>
                <w:b/>
                <w:bCs/>
                <w:color w:val="000000"/>
                <w:kern w:val="24"/>
                <w:sz w:val="18"/>
                <w:szCs w:val="18"/>
              </w:rPr>
              <w:br/>
              <w:t>č. 58/1995 Sb.</w:t>
            </w:r>
          </w:p>
        </w:tc>
        <w:tc>
          <w:tcPr>
            <w:tcW w:w="1421" w:type="dxa"/>
            <w:shd w:val="clear" w:color="auto" w:fill="E5F1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443F2A" w14:textId="77777777" w:rsidR="00884984" w:rsidRPr="0076441B" w:rsidRDefault="00884984" w:rsidP="0076441B">
            <w:pPr>
              <w:jc w:val="center"/>
              <w:textAlignment w:val="bottom"/>
              <w:rPr>
                <w:rFonts w:ascii="Calibri" w:hAnsi="Calibri" w:cs="Calibri"/>
                <w:b/>
                <w:sz w:val="18"/>
                <w:szCs w:val="18"/>
              </w:rPr>
            </w:pPr>
            <w:r w:rsidRPr="0076441B">
              <w:rPr>
                <w:rFonts w:ascii="Calibri" w:hAnsi="Calibri" w:cs="Calibri"/>
                <w:b/>
                <w:color w:val="000000"/>
                <w:kern w:val="24"/>
                <w:sz w:val="18"/>
                <w:szCs w:val="18"/>
              </w:rPr>
              <w:t>Stav</w:t>
            </w:r>
            <w:r w:rsidRPr="0076441B">
              <w:rPr>
                <w:rFonts w:ascii="Calibri" w:hAnsi="Calibri" w:cs="Calibri"/>
                <w:b/>
                <w:color w:val="000000"/>
                <w:kern w:val="24"/>
                <w:sz w:val="18"/>
                <w:szCs w:val="18"/>
              </w:rPr>
              <w:br/>
              <w:t>k 31. 12. 2012</w:t>
            </w:r>
          </w:p>
        </w:tc>
        <w:tc>
          <w:tcPr>
            <w:tcW w:w="1421" w:type="dxa"/>
            <w:shd w:val="clear" w:color="auto" w:fill="E5F1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380852" w14:textId="77777777" w:rsidR="00884984" w:rsidRPr="0076441B" w:rsidRDefault="00884984" w:rsidP="0076441B">
            <w:pPr>
              <w:jc w:val="center"/>
              <w:textAlignment w:val="bottom"/>
              <w:rPr>
                <w:rFonts w:ascii="Calibri" w:hAnsi="Calibri" w:cs="Calibri"/>
                <w:b/>
                <w:sz w:val="18"/>
                <w:szCs w:val="18"/>
              </w:rPr>
            </w:pPr>
            <w:r w:rsidRPr="0076441B">
              <w:rPr>
                <w:rFonts w:ascii="Calibri" w:hAnsi="Calibri" w:cs="Calibri"/>
                <w:b/>
                <w:color w:val="000000"/>
                <w:kern w:val="24"/>
                <w:sz w:val="18"/>
                <w:szCs w:val="18"/>
              </w:rPr>
              <w:t>Stav</w:t>
            </w:r>
            <w:r w:rsidRPr="0076441B">
              <w:rPr>
                <w:rFonts w:ascii="Calibri" w:hAnsi="Calibri" w:cs="Calibri"/>
                <w:b/>
                <w:color w:val="000000"/>
                <w:kern w:val="24"/>
                <w:sz w:val="18"/>
                <w:szCs w:val="18"/>
              </w:rPr>
              <w:br/>
              <w:t>k 31. 12. 2013</w:t>
            </w:r>
          </w:p>
        </w:tc>
        <w:tc>
          <w:tcPr>
            <w:tcW w:w="1422" w:type="dxa"/>
            <w:shd w:val="clear" w:color="auto" w:fill="E5F1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A4185E" w14:textId="77777777" w:rsidR="00884984" w:rsidRPr="0076441B" w:rsidRDefault="00884984" w:rsidP="0076441B">
            <w:pPr>
              <w:jc w:val="center"/>
              <w:textAlignment w:val="bottom"/>
              <w:rPr>
                <w:rFonts w:ascii="Calibri" w:hAnsi="Calibri" w:cs="Calibri"/>
                <w:b/>
                <w:sz w:val="18"/>
                <w:szCs w:val="18"/>
              </w:rPr>
            </w:pPr>
            <w:r w:rsidRPr="0076441B">
              <w:rPr>
                <w:rFonts w:ascii="Calibri" w:hAnsi="Calibri" w:cs="Calibri"/>
                <w:b/>
                <w:color w:val="000000"/>
                <w:kern w:val="24"/>
                <w:sz w:val="18"/>
                <w:szCs w:val="18"/>
              </w:rPr>
              <w:t>Stav</w:t>
            </w:r>
            <w:r w:rsidRPr="0076441B">
              <w:rPr>
                <w:rFonts w:ascii="Calibri" w:hAnsi="Calibri" w:cs="Calibri"/>
                <w:b/>
                <w:color w:val="000000"/>
                <w:kern w:val="24"/>
                <w:sz w:val="18"/>
                <w:szCs w:val="18"/>
              </w:rPr>
              <w:br/>
              <w:t>k 31. 12. 2014</w:t>
            </w:r>
          </w:p>
        </w:tc>
        <w:tc>
          <w:tcPr>
            <w:tcW w:w="1421" w:type="dxa"/>
            <w:shd w:val="clear" w:color="auto" w:fill="E5F1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479B2D" w14:textId="77777777" w:rsidR="00884984" w:rsidRPr="0076441B" w:rsidRDefault="00884984" w:rsidP="0076441B">
            <w:pPr>
              <w:jc w:val="center"/>
              <w:textAlignment w:val="bottom"/>
              <w:rPr>
                <w:rFonts w:ascii="Calibri" w:hAnsi="Calibri" w:cs="Calibri"/>
                <w:b/>
                <w:sz w:val="18"/>
                <w:szCs w:val="18"/>
              </w:rPr>
            </w:pPr>
            <w:r w:rsidRPr="0076441B">
              <w:rPr>
                <w:rFonts w:ascii="Calibri" w:hAnsi="Calibri" w:cs="Calibri"/>
                <w:b/>
                <w:color w:val="000000"/>
                <w:kern w:val="24"/>
                <w:sz w:val="18"/>
                <w:szCs w:val="18"/>
              </w:rPr>
              <w:t>Stav</w:t>
            </w:r>
            <w:r w:rsidRPr="0076441B">
              <w:rPr>
                <w:rFonts w:ascii="Calibri" w:hAnsi="Calibri" w:cs="Calibri"/>
                <w:b/>
                <w:color w:val="000000"/>
                <w:kern w:val="24"/>
                <w:sz w:val="18"/>
                <w:szCs w:val="18"/>
              </w:rPr>
              <w:br/>
              <w:t>k 31. 12. 2015</w:t>
            </w:r>
          </w:p>
        </w:tc>
        <w:tc>
          <w:tcPr>
            <w:tcW w:w="1422" w:type="dxa"/>
            <w:shd w:val="clear" w:color="auto" w:fill="E5F1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8DCB2" w14:textId="77777777" w:rsidR="00884984" w:rsidRPr="0076441B" w:rsidRDefault="00884984" w:rsidP="0076441B">
            <w:pPr>
              <w:jc w:val="center"/>
              <w:textAlignment w:val="bottom"/>
              <w:rPr>
                <w:rFonts w:ascii="Calibri" w:hAnsi="Calibri" w:cs="Calibri"/>
                <w:b/>
                <w:sz w:val="18"/>
                <w:szCs w:val="18"/>
              </w:rPr>
            </w:pPr>
            <w:r w:rsidRPr="0076441B">
              <w:rPr>
                <w:rFonts w:ascii="Calibri" w:hAnsi="Calibri" w:cs="Calibri"/>
                <w:b/>
                <w:color w:val="000000"/>
                <w:kern w:val="24"/>
                <w:sz w:val="18"/>
                <w:szCs w:val="18"/>
              </w:rPr>
              <w:t>Stav</w:t>
            </w:r>
            <w:r w:rsidRPr="0076441B">
              <w:rPr>
                <w:rFonts w:ascii="Calibri" w:hAnsi="Calibri" w:cs="Calibri"/>
                <w:b/>
                <w:color w:val="000000"/>
                <w:kern w:val="24"/>
                <w:sz w:val="18"/>
                <w:szCs w:val="18"/>
              </w:rPr>
              <w:br/>
              <w:t>k 31. 12. 2016</w:t>
            </w:r>
          </w:p>
        </w:tc>
      </w:tr>
      <w:tr w:rsidR="00884984" w:rsidRPr="0076441B" w14:paraId="1F33D1B3" w14:textId="77777777" w:rsidTr="0076441B">
        <w:trPr>
          <w:trHeight w:val="283"/>
        </w:trPr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E98DF" w14:textId="0036E875" w:rsidR="00884984" w:rsidRPr="0076441B" w:rsidRDefault="009C458D" w:rsidP="009C458D">
            <w:pPr>
              <w:ind w:left="57"/>
              <w:textAlignment w:val="bottom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 xml:space="preserve">– </w:t>
            </w:r>
            <w:r w:rsidR="00884984" w:rsidRPr="0076441B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za závazky exportní pojišťovny (EGAP)</w:t>
            </w:r>
          </w:p>
        </w:tc>
        <w:tc>
          <w:tcPr>
            <w:tcW w:w="14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1B6327" w14:textId="77777777" w:rsidR="00884984" w:rsidRPr="0076441B" w:rsidRDefault="00884984" w:rsidP="0076441B">
            <w:pPr>
              <w:ind w:right="227"/>
              <w:jc w:val="right"/>
              <w:textAlignment w:val="bottom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203 000,0</w:t>
            </w:r>
          </w:p>
        </w:tc>
        <w:tc>
          <w:tcPr>
            <w:tcW w:w="14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79539" w14:textId="77777777" w:rsidR="00884984" w:rsidRPr="0076441B" w:rsidRDefault="00884984" w:rsidP="0076441B">
            <w:pPr>
              <w:ind w:right="227"/>
              <w:jc w:val="right"/>
              <w:textAlignment w:val="bottom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228 742,0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E4A58A" w14:textId="77777777" w:rsidR="00884984" w:rsidRPr="0076441B" w:rsidRDefault="00884984" w:rsidP="0076441B">
            <w:pPr>
              <w:ind w:right="227"/>
              <w:jc w:val="right"/>
              <w:textAlignment w:val="bottom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214 000,0</w:t>
            </w:r>
          </w:p>
        </w:tc>
        <w:tc>
          <w:tcPr>
            <w:tcW w:w="14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F8676" w14:textId="77777777" w:rsidR="00884984" w:rsidRPr="0076441B" w:rsidRDefault="00884984" w:rsidP="0076441B">
            <w:pPr>
              <w:ind w:right="227"/>
              <w:jc w:val="right"/>
              <w:textAlignment w:val="bottom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220 300,0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C622D9" w14:textId="77777777" w:rsidR="00884984" w:rsidRPr="0076441B" w:rsidRDefault="00884984" w:rsidP="0076441B">
            <w:pPr>
              <w:ind w:right="227"/>
              <w:jc w:val="right"/>
              <w:textAlignment w:val="bottom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201 182,0</w:t>
            </w:r>
          </w:p>
        </w:tc>
      </w:tr>
      <w:tr w:rsidR="00884984" w:rsidRPr="0076441B" w14:paraId="2AB3C3FD" w14:textId="77777777" w:rsidTr="0076441B">
        <w:trPr>
          <w:trHeight w:val="283"/>
        </w:trPr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0850A" w14:textId="4488AABC" w:rsidR="00884984" w:rsidRPr="0076441B" w:rsidRDefault="009C458D" w:rsidP="00E23FAC">
            <w:pPr>
              <w:ind w:left="57"/>
              <w:textAlignment w:val="bottom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 xml:space="preserve">– </w:t>
            </w:r>
            <w:r w:rsidR="00884984" w:rsidRPr="0076441B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za závazky exportní banky (ČEB)</w:t>
            </w:r>
          </w:p>
        </w:tc>
        <w:tc>
          <w:tcPr>
            <w:tcW w:w="14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FC8F47" w14:textId="77777777" w:rsidR="00884984" w:rsidRPr="0076441B" w:rsidRDefault="00884984" w:rsidP="0076441B">
            <w:pPr>
              <w:ind w:right="227"/>
              <w:jc w:val="right"/>
              <w:textAlignment w:val="bottom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78 400,0</w:t>
            </w:r>
          </w:p>
        </w:tc>
        <w:tc>
          <w:tcPr>
            <w:tcW w:w="14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14493" w14:textId="77777777" w:rsidR="00884984" w:rsidRPr="0076441B" w:rsidRDefault="00884984" w:rsidP="0076441B">
            <w:pPr>
              <w:ind w:right="227"/>
              <w:jc w:val="right"/>
              <w:textAlignment w:val="bottom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90 100,0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09492" w14:textId="77777777" w:rsidR="00884984" w:rsidRPr="0076441B" w:rsidRDefault="00884984" w:rsidP="0076441B">
            <w:pPr>
              <w:ind w:right="227"/>
              <w:jc w:val="right"/>
              <w:textAlignment w:val="bottom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93 000,0</w:t>
            </w:r>
          </w:p>
        </w:tc>
        <w:tc>
          <w:tcPr>
            <w:tcW w:w="14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D05E5B" w14:textId="77777777" w:rsidR="00884984" w:rsidRPr="0076441B" w:rsidRDefault="00884984" w:rsidP="0076441B">
            <w:pPr>
              <w:ind w:right="227"/>
              <w:jc w:val="right"/>
              <w:textAlignment w:val="bottom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84 000,0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C0C78A" w14:textId="77777777" w:rsidR="00884984" w:rsidRPr="0076441B" w:rsidRDefault="00884984" w:rsidP="0076441B">
            <w:pPr>
              <w:ind w:right="227"/>
              <w:jc w:val="right"/>
              <w:textAlignment w:val="bottom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color w:val="000000"/>
                <w:kern w:val="24"/>
                <w:sz w:val="18"/>
                <w:szCs w:val="18"/>
              </w:rPr>
              <w:t>73 955,3</w:t>
            </w:r>
          </w:p>
        </w:tc>
      </w:tr>
      <w:tr w:rsidR="00884984" w:rsidRPr="0076441B" w14:paraId="120C3A37" w14:textId="77777777" w:rsidTr="0076441B">
        <w:trPr>
          <w:trHeight w:val="283"/>
        </w:trPr>
        <w:tc>
          <w:tcPr>
            <w:tcW w:w="2000" w:type="dxa"/>
            <w:shd w:val="clear" w:color="auto" w:fill="F2C6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7285FE" w14:textId="77777777" w:rsidR="00884984" w:rsidRPr="0076441B" w:rsidRDefault="00884984" w:rsidP="0076441B">
            <w:pPr>
              <w:ind w:left="57"/>
              <w:textAlignment w:val="bottom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b/>
                <w:bCs/>
                <w:color w:val="000000"/>
                <w:kern w:val="24"/>
                <w:sz w:val="18"/>
                <w:szCs w:val="18"/>
              </w:rPr>
              <w:t xml:space="preserve">Úhrn záruk ze zákona </w:t>
            </w:r>
            <w:r w:rsidRPr="0076441B">
              <w:rPr>
                <w:rFonts w:ascii="Calibri" w:hAnsi="Calibri" w:cs="Calibri"/>
                <w:b/>
                <w:bCs/>
                <w:color w:val="000000"/>
                <w:kern w:val="24"/>
                <w:sz w:val="18"/>
                <w:szCs w:val="18"/>
              </w:rPr>
              <w:br/>
              <w:t>č. 58/1995 Sb.</w:t>
            </w:r>
          </w:p>
        </w:tc>
        <w:tc>
          <w:tcPr>
            <w:tcW w:w="1421" w:type="dxa"/>
            <w:shd w:val="clear" w:color="auto" w:fill="F2C6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B4D3F" w14:textId="77777777" w:rsidR="00884984" w:rsidRPr="0076441B" w:rsidRDefault="00884984" w:rsidP="0076441B">
            <w:pPr>
              <w:ind w:right="227"/>
              <w:jc w:val="right"/>
              <w:textAlignment w:val="bottom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b/>
                <w:bCs/>
                <w:color w:val="000000"/>
                <w:kern w:val="24"/>
                <w:sz w:val="18"/>
                <w:szCs w:val="18"/>
              </w:rPr>
              <w:t>281 400,0</w:t>
            </w:r>
          </w:p>
        </w:tc>
        <w:tc>
          <w:tcPr>
            <w:tcW w:w="1421" w:type="dxa"/>
            <w:shd w:val="clear" w:color="auto" w:fill="F2C6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F39EA" w14:textId="77777777" w:rsidR="00884984" w:rsidRPr="0076441B" w:rsidRDefault="00884984" w:rsidP="0076441B">
            <w:pPr>
              <w:ind w:right="227"/>
              <w:jc w:val="right"/>
              <w:textAlignment w:val="bottom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b/>
                <w:bCs/>
                <w:color w:val="000000"/>
                <w:kern w:val="24"/>
                <w:sz w:val="18"/>
                <w:szCs w:val="18"/>
              </w:rPr>
              <w:t>318 842,0</w:t>
            </w:r>
          </w:p>
        </w:tc>
        <w:tc>
          <w:tcPr>
            <w:tcW w:w="1422" w:type="dxa"/>
            <w:shd w:val="clear" w:color="auto" w:fill="F2C6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D792F" w14:textId="77777777" w:rsidR="00884984" w:rsidRPr="0076441B" w:rsidRDefault="00884984" w:rsidP="0076441B">
            <w:pPr>
              <w:ind w:right="227"/>
              <w:jc w:val="right"/>
              <w:textAlignment w:val="bottom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b/>
                <w:bCs/>
                <w:color w:val="000000"/>
                <w:kern w:val="24"/>
                <w:sz w:val="18"/>
                <w:szCs w:val="18"/>
              </w:rPr>
              <w:t>307 000,0</w:t>
            </w:r>
          </w:p>
        </w:tc>
        <w:tc>
          <w:tcPr>
            <w:tcW w:w="1421" w:type="dxa"/>
            <w:shd w:val="clear" w:color="auto" w:fill="F2C6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1EDC3D" w14:textId="77777777" w:rsidR="00884984" w:rsidRPr="0076441B" w:rsidRDefault="00884984" w:rsidP="0076441B">
            <w:pPr>
              <w:ind w:right="227"/>
              <w:jc w:val="right"/>
              <w:textAlignment w:val="bottom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b/>
                <w:bCs/>
                <w:color w:val="000000"/>
                <w:kern w:val="24"/>
                <w:sz w:val="18"/>
                <w:szCs w:val="18"/>
              </w:rPr>
              <w:t>304 300,0</w:t>
            </w:r>
          </w:p>
        </w:tc>
        <w:tc>
          <w:tcPr>
            <w:tcW w:w="1422" w:type="dxa"/>
            <w:shd w:val="clear" w:color="auto" w:fill="F2C6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3D3AB" w14:textId="77777777" w:rsidR="00884984" w:rsidRPr="0076441B" w:rsidRDefault="00884984" w:rsidP="0076441B">
            <w:pPr>
              <w:ind w:right="227"/>
              <w:jc w:val="right"/>
              <w:textAlignment w:val="bottom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b/>
                <w:bCs/>
                <w:color w:val="000000"/>
                <w:kern w:val="24"/>
                <w:sz w:val="18"/>
                <w:szCs w:val="18"/>
              </w:rPr>
              <w:t>275 137,3</w:t>
            </w:r>
          </w:p>
        </w:tc>
      </w:tr>
    </w:tbl>
    <w:p w14:paraId="7A221A75" w14:textId="4871302F" w:rsidR="00884984" w:rsidRPr="00663441" w:rsidRDefault="00884984" w:rsidP="00A44EB4">
      <w:pPr>
        <w:tabs>
          <w:tab w:val="left" w:pos="285"/>
        </w:tabs>
        <w:spacing w:before="60"/>
        <w:jc w:val="both"/>
        <w:rPr>
          <w:rFonts w:asciiTheme="minorHAnsi" w:hAnsiTheme="minorHAnsi" w:cstheme="minorHAnsi"/>
          <w:sz w:val="20"/>
          <w:szCs w:val="20"/>
        </w:rPr>
      </w:pPr>
      <w:r w:rsidRPr="00663441">
        <w:rPr>
          <w:rFonts w:asciiTheme="minorHAnsi" w:eastAsiaTheme="minorEastAsia" w:hAnsiTheme="minorHAnsi" w:cstheme="minorHAnsi"/>
          <w:b/>
          <w:iCs/>
          <w:color w:val="000000" w:themeColor="text1"/>
          <w:kern w:val="24"/>
          <w:sz w:val="20"/>
          <w:szCs w:val="20"/>
        </w:rPr>
        <w:t>Zdroj:</w:t>
      </w:r>
      <w:r w:rsidRPr="00663441">
        <w:rPr>
          <w:rFonts w:asciiTheme="minorHAnsi" w:eastAsiaTheme="minorEastAsia" w:hAnsiTheme="minorHAnsi" w:cstheme="minorHAnsi"/>
          <w:iCs/>
          <w:color w:val="000000" w:themeColor="text1"/>
          <w:kern w:val="24"/>
          <w:sz w:val="20"/>
          <w:szCs w:val="20"/>
        </w:rPr>
        <w:t xml:space="preserve"> </w:t>
      </w:r>
      <w:r w:rsidR="009C458D">
        <w:rPr>
          <w:rFonts w:asciiTheme="minorHAnsi" w:eastAsiaTheme="minorEastAsia" w:hAnsiTheme="minorHAnsi" w:cstheme="minorHAnsi"/>
          <w:iCs/>
          <w:color w:val="000000" w:themeColor="text1"/>
          <w:kern w:val="24"/>
          <w:sz w:val="20"/>
          <w:szCs w:val="20"/>
        </w:rPr>
        <w:t>s</w:t>
      </w:r>
      <w:r w:rsidRPr="00663441">
        <w:rPr>
          <w:rFonts w:asciiTheme="minorHAnsi" w:eastAsiaTheme="minorEastAsia" w:hAnsiTheme="minorHAnsi" w:cstheme="minorHAnsi"/>
          <w:iCs/>
          <w:color w:val="000000" w:themeColor="text1"/>
          <w:kern w:val="24"/>
          <w:sz w:val="20"/>
          <w:szCs w:val="20"/>
        </w:rPr>
        <w:t>tátní závěrečné účty za roky 2012</w:t>
      </w:r>
      <w:r w:rsidR="00CC4583" w:rsidRPr="00663441">
        <w:rPr>
          <w:rFonts w:asciiTheme="minorHAnsi" w:eastAsiaTheme="minorEastAsia" w:hAnsiTheme="minorHAnsi" w:cstheme="minorHAnsi"/>
          <w:iCs/>
          <w:color w:val="000000" w:themeColor="text1"/>
          <w:kern w:val="24"/>
          <w:sz w:val="20"/>
          <w:szCs w:val="20"/>
        </w:rPr>
        <w:t>–</w:t>
      </w:r>
      <w:r w:rsidRPr="00663441">
        <w:rPr>
          <w:rFonts w:asciiTheme="minorHAnsi" w:eastAsiaTheme="minorEastAsia" w:hAnsiTheme="minorHAnsi" w:cstheme="minorHAnsi"/>
          <w:iCs/>
          <w:color w:val="000000" w:themeColor="text1"/>
          <w:kern w:val="24"/>
          <w:sz w:val="20"/>
          <w:szCs w:val="20"/>
        </w:rPr>
        <w:t>2016</w:t>
      </w:r>
      <w:r w:rsidR="00CC4583" w:rsidRPr="00663441">
        <w:rPr>
          <w:rFonts w:asciiTheme="minorHAnsi" w:eastAsiaTheme="minorEastAsia" w:hAnsiTheme="minorHAnsi" w:cstheme="minorHAnsi"/>
          <w:iCs/>
          <w:color w:val="000000" w:themeColor="text1"/>
          <w:kern w:val="24"/>
          <w:sz w:val="20"/>
          <w:szCs w:val="20"/>
        </w:rPr>
        <w:t>.</w:t>
      </w:r>
    </w:p>
    <w:p w14:paraId="095DE97A" w14:textId="77777777" w:rsidR="008418FA" w:rsidRDefault="008418FA" w:rsidP="00A44EB4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2D2A13E" w14:textId="354807DF" w:rsidR="008418FA" w:rsidRPr="00663441" w:rsidRDefault="008418FA" w:rsidP="00A44EB4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63441">
        <w:rPr>
          <w:rFonts w:asciiTheme="minorHAnsi" w:hAnsiTheme="minorHAnsi" w:cstheme="minorHAnsi"/>
        </w:rPr>
        <w:t>K plnění z těchto záruk v kontrolovaném období nedošlo.</w:t>
      </w:r>
      <w:r>
        <w:rPr>
          <w:rFonts w:asciiTheme="minorHAnsi" w:hAnsiTheme="minorHAnsi" w:cstheme="minorHAnsi"/>
        </w:rPr>
        <w:t xml:space="preserve"> </w:t>
      </w:r>
      <w:r w:rsidRPr="00663441">
        <w:rPr>
          <w:rFonts w:asciiTheme="minorHAnsi" w:hAnsiTheme="minorHAnsi" w:cstheme="minorHAnsi"/>
        </w:rPr>
        <w:t>Zhoršující se finanční pozici ČEB a</w:t>
      </w:r>
      <w:r>
        <w:rPr>
          <w:rFonts w:asciiTheme="minorHAnsi" w:hAnsiTheme="minorHAnsi" w:cstheme="minorHAnsi"/>
        </w:rPr>
        <w:t> </w:t>
      </w:r>
      <w:r w:rsidRPr="00663441">
        <w:rPr>
          <w:rFonts w:asciiTheme="minorHAnsi" w:hAnsiTheme="minorHAnsi" w:cstheme="minorHAnsi"/>
        </w:rPr>
        <w:t>EGAP řešilo MF poskytnutím dotací ze státního rozpočtu (</w:t>
      </w:r>
      <w:r w:rsidR="00E23FAC">
        <w:rPr>
          <w:rFonts w:asciiTheme="minorHAnsi" w:hAnsiTheme="minorHAnsi" w:cstheme="minorHAnsi"/>
        </w:rPr>
        <w:t xml:space="preserve">pro </w:t>
      </w:r>
      <w:r w:rsidRPr="00663441">
        <w:rPr>
          <w:rFonts w:asciiTheme="minorHAnsi" w:hAnsiTheme="minorHAnsi" w:cstheme="minorHAnsi"/>
        </w:rPr>
        <w:t xml:space="preserve">ČEB </w:t>
      </w:r>
      <w:r w:rsidR="00E23FAC">
        <w:rPr>
          <w:rFonts w:asciiTheme="minorHAnsi" w:hAnsiTheme="minorHAnsi" w:cstheme="minorHAnsi"/>
        </w:rPr>
        <w:t xml:space="preserve">ve výši </w:t>
      </w:r>
      <w:r w:rsidRPr="00663441">
        <w:rPr>
          <w:rFonts w:asciiTheme="minorHAnsi" w:hAnsiTheme="minorHAnsi" w:cstheme="minorHAnsi"/>
        </w:rPr>
        <w:t xml:space="preserve">3,82 mld. Kč v roce 2016; </w:t>
      </w:r>
      <w:r w:rsidR="00E23FAC">
        <w:rPr>
          <w:rFonts w:asciiTheme="minorHAnsi" w:hAnsiTheme="minorHAnsi" w:cstheme="minorHAnsi"/>
        </w:rPr>
        <w:t xml:space="preserve">pro </w:t>
      </w:r>
      <w:r w:rsidRPr="00663441">
        <w:rPr>
          <w:rFonts w:asciiTheme="minorHAnsi" w:hAnsiTheme="minorHAnsi" w:cstheme="minorHAnsi"/>
        </w:rPr>
        <w:t xml:space="preserve">EGAP </w:t>
      </w:r>
      <w:r w:rsidR="00E23FAC">
        <w:rPr>
          <w:rFonts w:asciiTheme="minorHAnsi" w:hAnsiTheme="minorHAnsi" w:cstheme="minorHAnsi"/>
        </w:rPr>
        <w:t xml:space="preserve">ve výši </w:t>
      </w:r>
      <w:r w:rsidRPr="00663441">
        <w:rPr>
          <w:rFonts w:asciiTheme="minorHAnsi" w:hAnsiTheme="minorHAnsi" w:cstheme="minorHAnsi"/>
        </w:rPr>
        <w:t>5,62 mld. Kč v roce 2015 a 2,37 mld. Kč v roce 2016) a navýšením základního kapitálu (ČEB o</w:t>
      </w:r>
      <w:r>
        <w:rPr>
          <w:rFonts w:asciiTheme="minorHAnsi" w:hAnsiTheme="minorHAnsi" w:cstheme="minorHAnsi"/>
        </w:rPr>
        <w:t> </w:t>
      </w:r>
      <w:r w:rsidRPr="00663441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 </w:t>
      </w:r>
      <w:r w:rsidRPr="00663441">
        <w:rPr>
          <w:rFonts w:asciiTheme="minorHAnsi" w:hAnsiTheme="minorHAnsi" w:cstheme="minorHAnsi"/>
        </w:rPr>
        <w:t>mld. Kč v roce 2016</w:t>
      </w:r>
      <w:r w:rsidR="008A717E">
        <w:rPr>
          <w:rFonts w:asciiTheme="minorHAnsi" w:hAnsiTheme="minorHAnsi" w:cstheme="minorHAnsi"/>
        </w:rPr>
        <w:t xml:space="preserve"> a</w:t>
      </w:r>
      <w:r w:rsidRPr="00663441">
        <w:rPr>
          <w:rFonts w:asciiTheme="minorHAnsi" w:hAnsiTheme="minorHAnsi" w:cstheme="minorHAnsi"/>
        </w:rPr>
        <w:t xml:space="preserve"> EGAP o 2,775 mld. Kč </w:t>
      </w:r>
      <w:r w:rsidR="008A717E">
        <w:rPr>
          <w:rFonts w:asciiTheme="minorHAnsi" w:hAnsiTheme="minorHAnsi" w:cstheme="minorHAnsi"/>
        </w:rPr>
        <w:t xml:space="preserve">také </w:t>
      </w:r>
      <w:r w:rsidRPr="00663441">
        <w:rPr>
          <w:rFonts w:asciiTheme="minorHAnsi" w:hAnsiTheme="minorHAnsi" w:cstheme="minorHAnsi"/>
        </w:rPr>
        <w:t xml:space="preserve">v roce 2016). </w:t>
      </w:r>
    </w:p>
    <w:p w14:paraId="1580C302" w14:textId="77777777" w:rsidR="00C27078" w:rsidRPr="00A44EB4" w:rsidRDefault="00C27078" w:rsidP="00A44EB4">
      <w:pPr>
        <w:jc w:val="both"/>
        <w:rPr>
          <w:rFonts w:asciiTheme="minorHAnsi" w:hAnsiTheme="minorHAnsi" w:cstheme="minorHAnsi"/>
        </w:rPr>
      </w:pPr>
    </w:p>
    <w:p w14:paraId="07C5E465" w14:textId="77777777" w:rsidR="00090E12" w:rsidRPr="00663441" w:rsidRDefault="002C690A" w:rsidP="00A44EB4">
      <w:pPr>
        <w:keepNext/>
        <w:jc w:val="both"/>
        <w:rPr>
          <w:rFonts w:asciiTheme="minorHAnsi" w:hAnsiTheme="minorHAnsi" w:cstheme="minorHAnsi"/>
          <w:i/>
        </w:rPr>
      </w:pPr>
      <w:r w:rsidRPr="00663441">
        <w:rPr>
          <w:rFonts w:asciiTheme="minorHAnsi" w:hAnsiTheme="minorHAnsi" w:cstheme="minorHAnsi"/>
          <w:i/>
        </w:rPr>
        <w:lastRenderedPageBreak/>
        <w:t>Záruky z</w:t>
      </w:r>
      <w:r w:rsidR="00476B5C" w:rsidRPr="00663441">
        <w:rPr>
          <w:rFonts w:asciiTheme="minorHAnsi" w:hAnsiTheme="minorHAnsi" w:cstheme="minorHAnsi"/>
          <w:i/>
        </w:rPr>
        <w:t>a</w:t>
      </w:r>
      <w:r w:rsidRPr="00663441">
        <w:rPr>
          <w:rFonts w:asciiTheme="minorHAnsi" w:hAnsiTheme="minorHAnsi" w:cstheme="minorHAnsi"/>
          <w:i/>
        </w:rPr>
        <w:t xml:space="preserve"> </w:t>
      </w:r>
      <w:r w:rsidR="00476B5C" w:rsidRPr="00663441">
        <w:rPr>
          <w:rFonts w:asciiTheme="minorHAnsi" w:hAnsiTheme="minorHAnsi" w:cstheme="minorHAnsi"/>
          <w:i/>
        </w:rPr>
        <w:t>úvěry SŽDC</w:t>
      </w:r>
    </w:p>
    <w:p w14:paraId="4DD7A0CD" w14:textId="77777777" w:rsidR="00A44EB4" w:rsidRDefault="00A44EB4" w:rsidP="00A44EB4">
      <w:pPr>
        <w:keepNext/>
        <w:jc w:val="both"/>
        <w:rPr>
          <w:rFonts w:asciiTheme="minorHAnsi" w:hAnsiTheme="minorHAnsi" w:cstheme="minorHAnsi"/>
        </w:rPr>
      </w:pPr>
    </w:p>
    <w:p w14:paraId="6440B575" w14:textId="2DEB3085" w:rsidR="00E40384" w:rsidRDefault="00AB15A9" w:rsidP="00A44EB4">
      <w:pPr>
        <w:jc w:val="both"/>
        <w:rPr>
          <w:rFonts w:asciiTheme="minorHAnsi" w:hAnsiTheme="minorHAnsi" w:cstheme="minorHAnsi"/>
        </w:rPr>
      </w:pPr>
      <w:r w:rsidRPr="00663441">
        <w:rPr>
          <w:rFonts w:asciiTheme="minorHAnsi" w:hAnsiTheme="minorHAnsi" w:cstheme="minorHAnsi"/>
        </w:rPr>
        <w:t xml:space="preserve">K 1. lednu 2003 došlo </w:t>
      </w:r>
      <w:r w:rsidR="00AF7F25" w:rsidRPr="00663441">
        <w:rPr>
          <w:rFonts w:asciiTheme="minorHAnsi" w:hAnsiTheme="minorHAnsi" w:cstheme="minorHAnsi"/>
        </w:rPr>
        <w:t>na základě</w:t>
      </w:r>
      <w:r w:rsidRPr="00663441">
        <w:rPr>
          <w:rFonts w:asciiTheme="minorHAnsi" w:hAnsiTheme="minorHAnsi" w:cstheme="minorHAnsi"/>
        </w:rPr>
        <w:t xml:space="preserve"> zákon</w:t>
      </w:r>
      <w:r w:rsidR="00AF7F25" w:rsidRPr="00663441">
        <w:rPr>
          <w:rFonts w:asciiTheme="minorHAnsi" w:hAnsiTheme="minorHAnsi" w:cstheme="minorHAnsi"/>
        </w:rPr>
        <w:t>a</w:t>
      </w:r>
      <w:r w:rsidRPr="00663441">
        <w:rPr>
          <w:rFonts w:asciiTheme="minorHAnsi" w:hAnsiTheme="minorHAnsi" w:cstheme="minorHAnsi"/>
        </w:rPr>
        <w:t xml:space="preserve"> č. 77/2002 Sb. k transformaci státní organizace České dráhy</w:t>
      </w:r>
      <w:r w:rsidR="00B1193E" w:rsidRPr="00663441">
        <w:rPr>
          <w:rFonts w:asciiTheme="minorHAnsi" w:hAnsiTheme="minorHAnsi" w:cstheme="minorHAnsi"/>
        </w:rPr>
        <w:t xml:space="preserve"> </w:t>
      </w:r>
      <w:r w:rsidRPr="00663441">
        <w:rPr>
          <w:rFonts w:asciiTheme="minorHAnsi" w:hAnsiTheme="minorHAnsi" w:cstheme="minorHAnsi"/>
        </w:rPr>
        <w:t xml:space="preserve">a převodu podstatné části jejích závazků na státní organizaci Správa železniční dopravní cesty. Podle </w:t>
      </w:r>
      <w:r w:rsidR="00D05FCD">
        <w:rPr>
          <w:rFonts w:asciiTheme="minorHAnsi" w:hAnsiTheme="minorHAnsi" w:cstheme="minorHAnsi"/>
        </w:rPr>
        <w:t xml:space="preserve">ustanovení </w:t>
      </w:r>
      <w:r w:rsidRPr="00663441">
        <w:rPr>
          <w:rFonts w:asciiTheme="minorHAnsi" w:hAnsiTheme="minorHAnsi" w:cstheme="minorHAnsi"/>
        </w:rPr>
        <w:t xml:space="preserve">§ 19 a </w:t>
      </w:r>
      <w:r w:rsidR="00D05FCD">
        <w:rPr>
          <w:rFonts w:asciiTheme="minorHAnsi" w:hAnsiTheme="minorHAnsi" w:cstheme="minorHAnsi"/>
        </w:rPr>
        <w:t xml:space="preserve">ustanovení </w:t>
      </w:r>
      <w:r w:rsidRPr="00663441">
        <w:rPr>
          <w:rFonts w:asciiTheme="minorHAnsi" w:hAnsiTheme="minorHAnsi" w:cstheme="minorHAnsi"/>
        </w:rPr>
        <w:t xml:space="preserve">§ 20 zmíněného zákona se stal stát ručitelem za závazky SŽDC, což ve svém důsledku znamenalo vedle standardních úvěrů zajištěných státní zárukou i ručení státu za </w:t>
      </w:r>
      <w:r w:rsidR="00476B5C" w:rsidRPr="00663441">
        <w:rPr>
          <w:rFonts w:asciiTheme="minorHAnsi" w:hAnsiTheme="minorHAnsi" w:cstheme="minorHAnsi"/>
        </w:rPr>
        <w:t xml:space="preserve">komerční úvěry </w:t>
      </w:r>
      <w:r w:rsidRPr="00663441">
        <w:rPr>
          <w:rFonts w:asciiTheme="minorHAnsi" w:hAnsiTheme="minorHAnsi" w:cstheme="minorHAnsi"/>
        </w:rPr>
        <w:t>čerpané v minulosti s</w:t>
      </w:r>
      <w:r w:rsidR="00E23FAC">
        <w:rPr>
          <w:rFonts w:asciiTheme="minorHAnsi" w:hAnsiTheme="minorHAnsi" w:cstheme="minorHAnsi"/>
        </w:rPr>
        <w:t>tátní</w:t>
      </w:r>
      <w:r w:rsidRPr="00663441">
        <w:rPr>
          <w:rFonts w:asciiTheme="minorHAnsi" w:hAnsiTheme="minorHAnsi" w:cstheme="minorHAnsi"/>
        </w:rPr>
        <w:t xml:space="preserve"> o</w:t>
      </w:r>
      <w:r w:rsidR="00E23FAC">
        <w:rPr>
          <w:rFonts w:asciiTheme="minorHAnsi" w:hAnsiTheme="minorHAnsi" w:cstheme="minorHAnsi"/>
        </w:rPr>
        <w:t>rganizací</w:t>
      </w:r>
      <w:r w:rsidRPr="00663441">
        <w:rPr>
          <w:rFonts w:asciiTheme="minorHAnsi" w:hAnsiTheme="minorHAnsi" w:cstheme="minorHAnsi"/>
        </w:rPr>
        <w:t xml:space="preserve"> České dráhy.</w:t>
      </w:r>
    </w:p>
    <w:p w14:paraId="217E334E" w14:textId="77777777" w:rsidR="00A44EB4" w:rsidRPr="00663441" w:rsidRDefault="00A44EB4" w:rsidP="00A44EB4">
      <w:pPr>
        <w:jc w:val="both"/>
        <w:rPr>
          <w:rFonts w:asciiTheme="minorHAnsi" w:hAnsiTheme="minorHAnsi" w:cstheme="minorHAnsi"/>
        </w:rPr>
      </w:pPr>
    </w:p>
    <w:p w14:paraId="0182FD19" w14:textId="77777777" w:rsidR="003243F2" w:rsidRPr="00663441" w:rsidRDefault="006E1FAD" w:rsidP="00A44EB4">
      <w:pPr>
        <w:jc w:val="both"/>
        <w:rPr>
          <w:rFonts w:asciiTheme="minorHAnsi" w:hAnsiTheme="minorHAnsi" w:cstheme="minorHAnsi"/>
        </w:rPr>
      </w:pPr>
      <w:r w:rsidRPr="00663441">
        <w:rPr>
          <w:rFonts w:asciiTheme="minorHAnsi" w:hAnsiTheme="minorHAnsi" w:cstheme="minorHAnsi"/>
        </w:rPr>
        <w:t>Pro splnění podmínek čerpání prostředků z Evropských fondů bylo nezbytné řešit závazky SŽDC</w:t>
      </w:r>
      <w:r w:rsidR="00AA093E">
        <w:rPr>
          <w:rFonts w:asciiTheme="minorHAnsi" w:hAnsiTheme="minorHAnsi" w:cstheme="minorHAnsi"/>
        </w:rPr>
        <w:t xml:space="preserve"> tak</w:t>
      </w:r>
      <w:r w:rsidRPr="00663441">
        <w:rPr>
          <w:rFonts w:asciiTheme="minorHAnsi" w:hAnsiTheme="minorHAnsi" w:cstheme="minorHAnsi"/>
        </w:rPr>
        <w:t>, aby společnost bylo možné považovat za bezdlužnou. Proto v</w:t>
      </w:r>
      <w:r w:rsidR="00AF7F25" w:rsidRPr="00663441">
        <w:rPr>
          <w:rFonts w:asciiTheme="minorHAnsi" w:hAnsiTheme="minorHAnsi" w:cstheme="minorHAnsi"/>
        </w:rPr>
        <w:t xml:space="preserve">láda </w:t>
      </w:r>
      <w:r w:rsidR="006B7A08" w:rsidRPr="00663441">
        <w:rPr>
          <w:rFonts w:asciiTheme="minorHAnsi" w:hAnsiTheme="minorHAnsi" w:cstheme="minorHAnsi"/>
        </w:rPr>
        <w:t>rozhodla svým usnesením</w:t>
      </w:r>
      <w:r w:rsidR="006958E6">
        <w:rPr>
          <w:rStyle w:val="Znakapoznpodarou"/>
          <w:rFonts w:asciiTheme="minorHAnsi" w:hAnsiTheme="minorHAnsi" w:cstheme="minorHAnsi"/>
        </w:rPr>
        <w:footnoteReference w:id="13"/>
      </w:r>
      <w:r w:rsidR="006B7A08" w:rsidRPr="00663441">
        <w:rPr>
          <w:rFonts w:asciiTheme="minorHAnsi" w:hAnsiTheme="minorHAnsi" w:cstheme="minorHAnsi"/>
        </w:rPr>
        <w:t xml:space="preserve"> o promíjení závazků SŽDC vzniklých z realizace státních záruk. </w:t>
      </w:r>
      <w:r w:rsidR="00F80982" w:rsidRPr="00663441">
        <w:rPr>
          <w:rFonts w:asciiTheme="minorHAnsi" w:hAnsiTheme="minorHAnsi" w:cstheme="minorHAnsi"/>
        </w:rPr>
        <w:t xml:space="preserve">Dle důvodové zprávy nevytváří </w:t>
      </w:r>
      <w:r w:rsidR="00686CAA" w:rsidRPr="00663441">
        <w:rPr>
          <w:rFonts w:asciiTheme="minorHAnsi" w:hAnsiTheme="minorHAnsi" w:cstheme="minorHAnsi"/>
        </w:rPr>
        <w:t xml:space="preserve">SŽDC </w:t>
      </w:r>
      <w:r w:rsidR="00F80982" w:rsidRPr="00663441">
        <w:rPr>
          <w:rFonts w:asciiTheme="minorHAnsi" w:hAnsiTheme="minorHAnsi" w:cstheme="minorHAnsi"/>
        </w:rPr>
        <w:t>zdroje, ze kterých by byla schopna splácet vysoké dluhy vyplývající ze závazků vzniklých nebo vznikajících z dříve uzavřených smluvních vztahů bývalých Č</w:t>
      </w:r>
      <w:r w:rsidR="001D6817">
        <w:rPr>
          <w:rFonts w:asciiTheme="minorHAnsi" w:hAnsiTheme="minorHAnsi" w:cstheme="minorHAnsi"/>
        </w:rPr>
        <w:t>eských drah</w:t>
      </w:r>
      <w:r w:rsidR="006B7A08" w:rsidRPr="00663441">
        <w:rPr>
          <w:rFonts w:asciiTheme="minorHAnsi" w:hAnsiTheme="minorHAnsi" w:cstheme="minorHAnsi"/>
        </w:rPr>
        <w:t>.</w:t>
      </w:r>
      <w:r w:rsidR="00F80982" w:rsidRPr="00663441">
        <w:rPr>
          <w:rFonts w:asciiTheme="minorHAnsi" w:hAnsiTheme="minorHAnsi" w:cstheme="minorHAnsi"/>
        </w:rPr>
        <w:t xml:space="preserve"> V kontrolovaném období vláda souhlasila s prominutím závazků SŽDC ve výši</w:t>
      </w:r>
      <w:r w:rsidR="003243F2" w:rsidRPr="00663441">
        <w:rPr>
          <w:rFonts w:asciiTheme="minorHAnsi" w:hAnsiTheme="minorHAnsi" w:cstheme="minorHAnsi"/>
        </w:rPr>
        <w:t xml:space="preserve"> téměř 7,6</w:t>
      </w:r>
      <w:r w:rsidR="00CA59B5" w:rsidRPr="00663441">
        <w:rPr>
          <w:rFonts w:asciiTheme="minorHAnsi" w:hAnsiTheme="minorHAnsi" w:cstheme="minorHAnsi"/>
        </w:rPr>
        <w:t> </w:t>
      </w:r>
      <w:r w:rsidR="003243F2" w:rsidRPr="00663441">
        <w:rPr>
          <w:rFonts w:asciiTheme="minorHAnsi" w:hAnsiTheme="minorHAnsi" w:cstheme="minorHAnsi"/>
        </w:rPr>
        <w:t>mld.</w:t>
      </w:r>
      <w:r w:rsidR="00CA59B5" w:rsidRPr="00663441">
        <w:rPr>
          <w:rFonts w:asciiTheme="minorHAnsi" w:hAnsiTheme="minorHAnsi" w:cstheme="minorHAnsi"/>
        </w:rPr>
        <w:t> </w:t>
      </w:r>
      <w:r w:rsidR="003243F2" w:rsidRPr="00663441">
        <w:rPr>
          <w:rFonts w:asciiTheme="minorHAnsi" w:hAnsiTheme="minorHAnsi" w:cstheme="minorHAnsi"/>
        </w:rPr>
        <w:t>Kč.</w:t>
      </w:r>
    </w:p>
    <w:p w14:paraId="19345FAE" w14:textId="77777777" w:rsidR="00E40384" w:rsidRPr="00663441" w:rsidRDefault="00E40384" w:rsidP="00A44EB4">
      <w:pPr>
        <w:jc w:val="both"/>
        <w:rPr>
          <w:rFonts w:asciiTheme="minorHAnsi" w:hAnsiTheme="minorHAnsi" w:cstheme="minorHAnsi"/>
        </w:rPr>
      </w:pPr>
    </w:p>
    <w:p w14:paraId="09476783" w14:textId="77777777" w:rsidR="00E40384" w:rsidRPr="00663441" w:rsidRDefault="00964A95" w:rsidP="003C6A4A">
      <w:pPr>
        <w:tabs>
          <w:tab w:val="right" w:pos="9214"/>
        </w:tabs>
        <w:spacing w:after="60" w:line="259" w:lineRule="auto"/>
        <w:ind w:left="8080" w:right="-142" w:hanging="8080"/>
        <w:jc w:val="both"/>
        <w:rPr>
          <w:rFonts w:asciiTheme="minorHAnsi" w:hAnsiTheme="minorHAnsi" w:cstheme="minorHAnsi"/>
          <w:b/>
          <w:sz w:val="23"/>
          <w:szCs w:val="23"/>
        </w:rPr>
      </w:pPr>
      <w:r w:rsidRPr="00663441">
        <w:rPr>
          <w:rFonts w:asciiTheme="minorHAnsi" w:hAnsiTheme="minorHAnsi" w:cstheme="minorHAnsi"/>
          <w:b/>
          <w:sz w:val="23"/>
          <w:szCs w:val="23"/>
        </w:rPr>
        <w:t xml:space="preserve">Tabulka č. </w:t>
      </w:r>
      <w:r w:rsidR="003243F2" w:rsidRPr="00663441">
        <w:rPr>
          <w:rFonts w:asciiTheme="minorHAnsi" w:hAnsiTheme="minorHAnsi" w:cstheme="minorHAnsi"/>
          <w:b/>
          <w:sz w:val="23"/>
          <w:szCs w:val="23"/>
        </w:rPr>
        <w:t>4</w:t>
      </w:r>
      <w:r w:rsidRPr="00663441">
        <w:rPr>
          <w:rFonts w:asciiTheme="minorHAnsi" w:hAnsiTheme="minorHAnsi" w:cstheme="minorHAnsi"/>
          <w:b/>
          <w:sz w:val="23"/>
          <w:szCs w:val="23"/>
        </w:rPr>
        <w:t>: Stav pohledávek z realizovaných státních záruk a změny jejich stavu</w:t>
      </w:r>
      <w:r w:rsidR="000454EF" w:rsidRPr="00663441">
        <w:rPr>
          <w:rFonts w:asciiTheme="minorHAnsi" w:hAnsiTheme="minorHAnsi" w:cstheme="minorHAnsi"/>
          <w:b/>
          <w:sz w:val="23"/>
          <w:szCs w:val="23"/>
        </w:rPr>
        <w:tab/>
      </w:r>
      <w:r w:rsidRPr="00663441">
        <w:rPr>
          <w:rFonts w:asciiTheme="minorHAnsi" w:hAnsiTheme="minorHAnsi" w:cstheme="minorHAnsi"/>
          <w:b/>
          <w:sz w:val="23"/>
          <w:szCs w:val="23"/>
        </w:rPr>
        <w:t>(v mil. Kč)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97"/>
        <w:gridCol w:w="1135"/>
        <w:gridCol w:w="992"/>
        <w:gridCol w:w="1262"/>
        <w:gridCol w:w="1128"/>
        <w:gridCol w:w="1153"/>
      </w:tblGrid>
      <w:tr w:rsidR="00974715" w:rsidRPr="0076441B" w14:paraId="1C8594F6" w14:textId="77777777" w:rsidTr="00A44EB4">
        <w:trPr>
          <w:trHeight w:val="283"/>
        </w:trPr>
        <w:tc>
          <w:tcPr>
            <w:tcW w:w="3397" w:type="dxa"/>
            <w:vMerge w:val="restart"/>
            <w:shd w:val="clear" w:color="auto" w:fill="E5F1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ACEA4" w14:textId="77777777" w:rsidR="00E40384" w:rsidRPr="0076441B" w:rsidRDefault="00964A95" w:rsidP="0076441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6441B">
              <w:rPr>
                <w:rFonts w:ascii="Calibri" w:hAnsi="Calibri" w:cs="Calibri"/>
                <w:b/>
                <w:sz w:val="18"/>
                <w:szCs w:val="18"/>
              </w:rPr>
              <w:t>+ zvýšení stavu pohledávek</w:t>
            </w:r>
            <w:r w:rsidRPr="0076441B">
              <w:rPr>
                <w:rFonts w:ascii="Calibri" w:hAnsi="Calibri" w:cs="Calibri"/>
                <w:b/>
                <w:sz w:val="18"/>
                <w:szCs w:val="18"/>
              </w:rPr>
              <w:br/>
              <w:t>- snížení stavu pohledávek</w:t>
            </w:r>
          </w:p>
        </w:tc>
        <w:tc>
          <w:tcPr>
            <w:tcW w:w="1135" w:type="dxa"/>
            <w:vMerge w:val="restart"/>
            <w:shd w:val="clear" w:color="auto" w:fill="E5F1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B634B2" w14:textId="77777777" w:rsidR="00E40384" w:rsidRPr="0076441B" w:rsidRDefault="00964A95" w:rsidP="0076441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6441B">
              <w:rPr>
                <w:rFonts w:ascii="Calibri" w:hAnsi="Calibri" w:cs="Calibri"/>
                <w:b/>
                <w:sz w:val="18"/>
                <w:szCs w:val="18"/>
              </w:rPr>
              <w:t xml:space="preserve">Stav pohledávek </w:t>
            </w:r>
            <w:r w:rsidRPr="0076441B">
              <w:rPr>
                <w:rFonts w:ascii="Calibri" w:hAnsi="Calibri" w:cs="Calibri"/>
                <w:b/>
                <w:sz w:val="18"/>
                <w:szCs w:val="18"/>
              </w:rPr>
              <w:br/>
              <w:t>k 31. 12. 2012</w:t>
            </w:r>
          </w:p>
        </w:tc>
        <w:tc>
          <w:tcPr>
            <w:tcW w:w="3382" w:type="dxa"/>
            <w:gridSpan w:val="3"/>
            <w:shd w:val="clear" w:color="auto" w:fill="E5F1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05AF4" w14:textId="77777777" w:rsidR="00E40384" w:rsidRPr="0076441B" w:rsidRDefault="00964A95" w:rsidP="0076441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6441B">
              <w:rPr>
                <w:rFonts w:ascii="Calibri" w:hAnsi="Calibri" w:cs="Calibri"/>
                <w:b/>
                <w:sz w:val="18"/>
                <w:szCs w:val="18"/>
              </w:rPr>
              <w:t>Změny za roky 2013 až 2016</w:t>
            </w:r>
          </w:p>
        </w:tc>
        <w:tc>
          <w:tcPr>
            <w:tcW w:w="1153" w:type="dxa"/>
            <w:vMerge w:val="restart"/>
            <w:shd w:val="clear" w:color="auto" w:fill="E5F1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E335E" w14:textId="77777777" w:rsidR="00E40384" w:rsidRPr="0076441B" w:rsidRDefault="00964A95" w:rsidP="0076441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6441B">
              <w:rPr>
                <w:rFonts w:ascii="Calibri" w:hAnsi="Calibri" w:cs="Calibri"/>
                <w:b/>
                <w:sz w:val="18"/>
                <w:szCs w:val="18"/>
              </w:rPr>
              <w:t xml:space="preserve">Stav pohledávek </w:t>
            </w:r>
            <w:r w:rsidRPr="0076441B">
              <w:rPr>
                <w:rFonts w:ascii="Calibri" w:hAnsi="Calibri" w:cs="Calibri"/>
                <w:b/>
                <w:sz w:val="18"/>
                <w:szCs w:val="18"/>
              </w:rPr>
              <w:br/>
              <w:t>k 31. 12. 2016</w:t>
            </w:r>
          </w:p>
        </w:tc>
      </w:tr>
      <w:tr w:rsidR="00322B95" w:rsidRPr="0076441B" w14:paraId="27ADF48F" w14:textId="77777777" w:rsidTr="00E23FAC">
        <w:trPr>
          <w:trHeight w:val="283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4BB065ED" w14:textId="77777777" w:rsidR="00E40384" w:rsidRPr="0076441B" w:rsidRDefault="00E40384" w:rsidP="0076441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14:paraId="494316A7" w14:textId="77777777" w:rsidR="00E40384" w:rsidRPr="0076441B" w:rsidRDefault="00E40384" w:rsidP="0076441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5F1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C8F18A" w14:textId="77777777" w:rsidR="00E40384" w:rsidRPr="0076441B" w:rsidRDefault="00964A95" w:rsidP="0076441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6441B">
              <w:rPr>
                <w:rFonts w:ascii="Calibri" w:hAnsi="Calibri" w:cs="Calibri"/>
                <w:b/>
                <w:sz w:val="18"/>
                <w:szCs w:val="18"/>
              </w:rPr>
              <w:t>realizace záruk (+)</w:t>
            </w:r>
          </w:p>
        </w:tc>
        <w:tc>
          <w:tcPr>
            <w:tcW w:w="1262" w:type="dxa"/>
            <w:shd w:val="clear" w:color="auto" w:fill="E5F1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7120E" w14:textId="77777777" w:rsidR="00E40384" w:rsidRPr="0076441B" w:rsidRDefault="00964A95" w:rsidP="0076441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6441B">
              <w:rPr>
                <w:rFonts w:ascii="Calibri" w:hAnsi="Calibri" w:cs="Calibri"/>
                <w:b/>
                <w:sz w:val="18"/>
                <w:szCs w:val="18"/>
              </w:rPr>
              <w:t>úhrada dlužníkem (-)</w:t>
            </w:r>
          </w:p>
        </w:tc>
        <w:tc>
          <w:tcPr>
            <w:tcW w:w="1128" w:type="dxa"/>
            <w:shd w:val="clear" w:color="auto" w:fill="E5F1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C4B2D" w14:textId="47615DA9" w:rsidR="00E40384" w:rsidRPr="002A02C4" w:rsidRDefault="00964A95" w:rsidP="00E23FA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6441B">
              <w:rPr>
                <w:rFonts w:ascii="Calibri" w:hAnsi="Calibri" w:cs="Calibri"/>
                <w:b/>
                <w:sz w:val="18"/>
                <w:szCs w:val="18"/>
              </w:rPr>
              <w:t xml:space="preserve">jiné změny </w:t>
            </w:r>
            <w:r w:rsidR="00E23FAC"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76441B">
              <w:rPr>
                <w:rFonts w:ascii="Calibri" w:hAnsi="Calibri" w:cs="Calibri"/>
                <w:b/>
                <w:sz w:val="18"/>
                <w:szCs w:val="18"/>
              </w:rPr>
              <w:t>(+,-)</w:t>
            </w:r>
            <w:r w:rsidR="00E23FAC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1153" w:type="dxa"/>
            <w:vMerge/>
            <w:shd w:val="clear" w:color="auto" w:fill="auto"/>
            <w:vAlign w:val="center"/>
            <w:hideMark/>
          </w:tcPr>
          <w:p w14:paraId="6BCCB7A4" w14:textId="77777777" w:rsidR="00E40384" w:rsidRPr="0076441B" w:rsidRDefault="00E40384" w:rsidP="0076441B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CC4583" w:rsidRPr="0076441B" w14:paraId="197050C1" w14:textId="77777777" w:rsidTr="00E23FAC">
        <w:trPr>
          <w:trHeight w:val="283"/>
        </w:trPr>
        <w:tc>
          <w:tcPr>
            <w:tcW w:w="33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8BCDAA" w14:textId="77777777" w:rsidR="00E40384" w:rsidRPr="0076441B" w:rsidRDefault="00964A95" w:rsidP="0076441B">
            <w:pPr>
              <w:ind w:left="57" w:right="57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sz w:val="18"/>
                <w:szCs w:val="18"/>
              </w:rPr>
              <w:t>Správa železniční dopravní cesty, s.o.</w:t>
            </w:r>
          </w:p>
        </w:tc>
        <w:tc>
          <w:tcPr>
            <w:tcW w:w="11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DEA0C" w14:textId="77777777" w:rsidR="00E40384" w:rsidRPr="0076441B" w:rsidRDefault="00964A95" w:rsidP="0076441B">
            <w:pPr>
              <w:ind w:right="22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sz w:val="18"/>
                <w:szCs w:val="18"/>
              </w:rPr>
              <w:t>1 410,6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E8886F" w14:textId="77777777" w:rsidR="00E40384" w:rsidRPr="0076441B" w:rsidRDefault="00964A95" w:rsidP="0076441B">
            <w:pPr>
              <w:ind w:right="22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sz w:val="18"/>
                <w:szCs w:val="18"/>
              </w:rPr>
              <w:t>6 822,8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6B508" w14:textId="77777777" w:rsidR="00E40384" w:rsidRPr="0076441B" w:rsidRDefault="00964A95" w:rsidP="0076441B">
            <w:pPr>
              <w:ind w:right="22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sz w:val="18"/>
                <w:szCs w:val="18"/>
              </w:rPr>
              <w:t>0,0</w:t>
            </w:r>
          </w:p>
        </w:tc>
        <w:tc>
          <w:tcPr>
            <w:tcW w:w="11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1BE246" w14:textId="77777777" w:rsidR="00E40384" w:rsidRPr="0076441B" w:rsidRDefault="00964A95" w:rsidP="0076441B">
            <w:pPr>
              <w:ind w:right="22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sz w:val="18"/>
                <w:szCs w:val="18"/>
              </w:rPr>
              <w:t>-7 597,2</w:t>
            </w:r>
          </w:p>
        </w:tc>
        <w:tc>
          <w:tcPr>
            <w:tcW w:w="11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C486B4" w14:textId="77777777" w:rsidR="00E40384" w:rsidRPr="0076441B" w:rsidRDefault="00964A95" w:rsidP="0076441B">
            <w:pPr>
              <w:ind w:right="22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sz w:val="18"/>
                <w:szCs w:val="18"/>
              </w:rPr>
              <w:t>636,2</w:t>
            </w:r>
          </w:p>
        </w:tc>
      </w:tr>
      <w:tr w:rsidR="00CC4583" w:rsidRPr="0076441B" w14:paraId="03EDF300" w14:textId="77777777" w:rsidTr="00E23FAC">
        <w:trPr>
          <w:trHeight w:val="283"/>
        </w:trPr>
        <w:tc>
          <w:tcPr>
            <w:tcW w:w="33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6B9C9" w14:textId="77777777" w:rsidR="00E40384" w:rsidRPr="0076441B" w:rsidRDefault="00964A95" w:rsidP="0076441B">
            <w:pPr>
              <w:ind w:left="57" w:right="57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sz w:val="18"/>
                <w:szCs w:val="18"/>
              </w:rPr>
              <w:t>Cheteng (Chepos Engineering, s.r.o.)</w:t>
            </w:r>
          </w:p>
        </w:tc>
        <w:tc>
          <w:tcPr>
            <w:tcW w:w="11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1F3F1" w14:textId="77777777" w:rsidR="00E40384" w:rsidRPr="0076441B" w:rsidRDefault="00964A95" w:rsidP="0076441B">
            <w:pPr>
              <w:ind w:right="22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sz w:val="18"/>
                <w:szCs w:val="18"/>
              </w:rPr>
              <w:t>812,5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82690" w14:textId="77777777" w:rsidR="00E40384" w:rsidRPr="0076441B" w:rsidRDefault="00964A95" w:rsidP="0076441B">
            <w:pPr>
              <w:ind w:right="22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sz w:val="18"/>
                <w:szCs w:val="18"/>
              </w:rPr>
              <w:t>0,0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C3D20" w14:textId="77777777" w:rsidR="00E40384" w:rsidRPr="0076441B" w:rsidRDefault="00964A95" w:rsidP="0076441B">
            <w:pPr>
              <w:ind w:right="22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sz w:val="18"/>
                <w:szCs w:val="18"/>
              </w:rPr>
              <w:t>0,0</w:t>
            </w:r>
          </w:p>
        </w:tc>
        <w:tc>
          <w:tcPr>
            <w:tcW w:w="11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11D428" w14:textId="77777777" w:rsidR="00E40384" w:rsidRPr="0076441B" w:rsidRDefault="00964A95" w:rsidP="0076441B">
            <w:pPr>
              <w:ind w:right="22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sz w:val="18"/>
                <w:szCs w:val="18"/>
              </w:rPr>
              <w:t>280,7</w:t>
            </w:r>
          </w:p>
        </w:tc>
        <w:tc>
          <w:tcPr>
            <w:tcW w:w="11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4F313" w14:textId="77777777" w:rsidR="00E40384" w:rsidRPr="0076441B" w:rsidRDefault="00964A95" w:rsidP="0076441B">
            <w:pPr>
              <w:ind w:right="22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sz w:val="18"/>
                <w:szCs w:val="18"/>
              </w:rPr>
              <w:t>1 093,2</w:t>
            </w:r>
          </w:p>
        </w:tc>
      </w:tr>
      <w:tr w:rsidR="00CC4583" w:rsidRPr="0076441B" w14:paraId="744AEACD" w14:textId="77777777" w:rsidTr="00E23FAC">
        <w:trPr>
          <w:trHeight w:val="283"/>
        </w:trPr>
        <w:tc>
          <w:tcPr>
            <w:tcW w:w="33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900B55" w14:textId="77777777" w:rsidR="00E40384" w:rsidRPr="0076441B" w:rsidRDefault="00964A95" w:rsidP="0076441B">
            <w:pPr>
              <w:ind w:left="57" w:right="57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sz w:val="18"/>
                <w:szCs w:val="18"/>
              </w:rPr>
              <w:t>Alumina Plant Project of Iran</w:t>
            </w:r>
          </w:p>
        </w:tc>
        <w:tc>
          <w:tcPr>
            <w:tcW w:w="11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0FAEE4" w14:textId="77777777" w:rsidR="00E40384" w:rsidRPr="0076441B" w:rsidRDefault="00964A95" w:rsidP="0076441B">
            <w:pPr>
              <w:ind w:right="22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sz w:val="18"/>
                <w:szCs w:val="18"/>
              </w:rPr>
              <w:t>1 216,5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B55A0F" w14:textId="77777777" w:rsidR="00E40384" w:rsidRPr="0076441B" w:rsidRDefault="00964A95" w:rsidP="0076441B">
            <w:pPr>
              <w:ind w:right="22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sz w:val="18"/>
                <w:szCs w:val="18"/>
              </w:rPr>
              <w:t>0,0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CED9B" w14:textId="77777777" w:rsidR="00E40384" w:rsidRPr="0076441B" w:rsidRDefault="00964A95" w:rsidP="0076441B">
            <w:pPr>
              <w:ind w:right="22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sz w:val="18"/>
                <w:szCs w:val="18"/>
              </w:rPr>
              <w:t>0,0</w:t>
            </w:r>
          </w:p>
        </w:tc>
        <w:tc>
          <w:tcPr>
            <w:tcW w:w="11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42C66" w14:textId="77777777" w:rsidR="00E40384" w:rsidRPr="0076441B" w:rsidRDefault="00964A95" w:rsidP="0076441B">
            <w:pPr>
              <w:ind w:right="22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sz w:val="18"/>
                <w:szCs w:val="18"/>
              </w:rPr>
              <w:t>420,3</w:t>
            </w:r>
          </w:p>
        </w:tc>
        <w:tc>
          <w:tcPr>
            <w:tcW w:w="11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681DC5" w14:textId="77777777" w:rsidR="00E40384" w:rsidRPr="0076441B" w:rsidRDefault="00964A95" w:rsidP="0076441B">
            <w:pPr>
              <w:ind w:right="22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sz w:val="18"/>
                <w:szCs w:val="18"/>
              </w:rPr>
              <w:t>1 636,8</w:t>
            </w:r>
          </w:p>
        </w:tc>
      </w:tr>
      <w:tr w:rsidR="00CC4583" w:rsidRPr="0076441B" w14:paraId="33BD2471" w14:textId="77777777" w:rsidTr="00E23FAC">
        <w:trPr>
          <w:trHeight w:val="283"/>
        </w:trPr>
        <w:tc>
          <w:tcPr>
            <w:tcW w:w="33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1EAB50" w14:textId="77777777" w:rsidR="00E40384" w:rsidRPr="0076441B" w:rsidRDefault="00964A95" w:rsidP="0076441B">
            <w:pPr>
              <w:ind w:left="57" w:right="57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sz w:val="18"/>
                <w:szCs w:val="18"/>
              </w:rPr>
              <w:t>VLT Brno, a.s. (ZETOR, s.p., Brno)</w:t>
            </w:r>
          </w:p>
        </w:tc>
        <w:tc>
          <w:tcPr>
            <w:tcW w:w="11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F0B2F" w14:textId="77777777" w:rsidR="00E40384" w:rsidRPr="0076441B" w:rsidRDefault="00964A95" w:rsidP="0076441B">
            <w:pPr>
              <w:ind w:right="22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sz w:val="18"/>
                <w:szCs w:val="18"/>
              </w:rPr>
              <w:t>1 575,9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CCBEF" w14:textId="77777777" w:rsidR="00E40384" w:rsidRPr="0076441B" w:rsidRDefault="00964A95" w:rsidP="0076441B">
            <w:pPr>
              <w:ind w:right="22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sz w:val="18"/>
                <w:szCs w:val="18"/>
              </w:rPr>
              <w:t>0,0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A88310" w14:textId="77777777" w:rsidR="00E40384" w:rsidRPr="0076441B" w:rsidRDefault="00964A95" w:rsidP="0076441B">
            <w:pPr>
              <w:ind w:right="22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sz w:val="18"/>
                <w:szCs w:val="18"/>
              </w:rPr>
              <w:t>0,0</w:t>
            </w:r>
          </w:p>
        </w:tc>
        <w:tc>
          <w:tcPr>
            <w:tcW w:w="11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B8E4BC" w14:textId="77777777" w:rsidR="00E40384" w:rsidRPr="0076441B" w:rsidRDefault="00964A95" w:rsidP="0076441B">
            <w:pPr>
              <w:ind w:right="22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sz w:val="18"/>
                <w:szCs w:val="18"/>
              </w:rPr>
              <w:t>0,0</w:t>
            </w:r>
          </w:p>
        </w:tc>
        <w:tc>
          <w:tcPr>
            <w:tcW w:w="11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2BFE06" w14:textId="77777777" w:rsidR="00E40384" w:rsidRPr="0076441B" w:rsidRDefault="00964A95" w:rsidP="0076441B">
            <w:pPr>
              <w:ind w:right="22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sz w:val="18"/>
                <w:szCs w:val="18"/>
              </w:rPr>
              <w:t>1 575,9</w:t>
            </w:r>
          </w:p>
        </w:tc>
      </w:tr>
      <w:tr w:rsidR="00CC4583" w:rsidRPr="0076441B" w14:paraId="460A85F4" w14:textId="77777777" w:rsidTr="00E23FAC">
        <w:trPr>
          <w:trHeight w:val="283"/>
        </w:trPr>
        <w:tc>
          <w:tcPr>
            <w:tcW w:w="33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BCB0E" w14:textId="77777777" w:rsidR="00E40384" w:rsidRPr="0076441B" w:rsidRDefault="00964A95" w:rsidP="0076441B">
            <w:pPr>
              <w:ind w:left="57" w:right="57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sz w:val="18"/>
                <w:szCs w:val="18"/>
              </w:rPr>
              <w:t>Mitas a. s.</w:t>
            </w:r>
          </w:p>
        </w:tc>
        <w:tc>
          <w:tcPr>
            <w:tcW w:w="11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9C747" w14:textId="77777777" w:rsidR="00E40384" w:rsidRPr="0076441B" w:rsidRDefault="00964A95" w:rsidP="0076441B">
            <w:pPr>
              <w:ind w:right="22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sz w:val="18"/>
                <w:szCs w:val="18"/>
              </w:rPr>
              <w:t>90,3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FEDDE9" w14:textId="77777777" w:rsidR="00E40384" w:rsidRPr="0076441B" w:rsidRDefault="00964A95" w:rsidP="0076441B">
            <w:pPr>
              <w:ind w:right="22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sz w:val="18"/>
                <w:szCs w:val="18"/>
              </w:rPr>
              <w:t>0,0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41BDF" w14:textId="77777777" w:rsidR="00E40384" w:rsidRPr="0076441B" w:rsidRDefault="00964A95" w:rsidP="0076441B">
            <w:pPr>
              <w:ind w:right="22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sz w:val="18"/>
                <w:szCs w:val="18"/>
              </w:rPr>
              <w:t>90,3</w:t>
            </w:r>
          </w:p>
        </w:tc>
        <w:tc>
          <w:tcPr>
            <w:tcW w:w="11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E06E3" w14:textId="77777777" w:rsidR="00E40384" w:rsidRPr="0076441B" w:rsidRDefault="00964A95" w:rsidP="0076441B">
            <w:pPr>
              <w:ind w:right="22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sz w:val="18"/>
                <w:szCs w:val="18"/>
              </w:rPr>
              <w:t>0,0</w:t>
            </w:r>
          </w:p>
        </w:tc>
        <w:tc>
          <w:tcPr>
            <w:tcW w:w="11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5B1A3D" w14:textId="77777777" w:rsidR="00E40384" w:rsidRPr="0076441B" w:rsidRDefault="00964A95" w:rsidP="0076441B">
            <w:pPr>
              <w:ind w:right="22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sz w:val="18"/>
                <w:szCs w:val="18"/>
              </w:rPr>
              <w:t>0,0</w:t>
            </w:r>
          </w:p>
        </w:tc>
      </w:tr>
      <w:tr w:rsidR="00CC4583" w:rsidRPr="0076441B" w14:paraId="3A4C47E0" w14:textId="77777777" w:rsidTr="00E23FAC">
        <w:trPr>
          <w:trHeight w:val="283"/>
        </w:trPr>
        <w:tc>
          <w:tcPr>
            <w:tcW w:w="33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C1BBC8" w14:textId="77777777" w:rsidR="00E40384" w:rsidRPr="0076441B" w:rsidRDefault="00964A95" w:rsidP="0076441B">
            <w:pPr>
              <w:ind w:left="57" w:right="57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sz w:val="18"/>
                <w:szCs w:val="18"/>
              </w:rPr>
              <w:t>Kongresové centrum Praha, a. s.</w:t>
            </w:r>
          </w:p>
        </w:tc>
        <w:tc>
          <w:tcPr>
            <w:tcW w:w="11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4DAED6" w14:textId="77777777" w:rsidR="00E40384" w:rsidRPr="0076441B" w:rsidRDefault="00964A95" w:rsidP="0076441B">
            <w:pPr>
              <w:ind w:right="22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sz w:val="18"/>
                <w:szCs w:val="18"/>
              </w:rPr>
              <w:t>78,6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93702" w14:textId="77777777" w:rsidR="00E40384" w:rsidRPr="0076441B" w:rsidRDefault="00964A95" w:rsidP="0076441B">
            <w:pPr>
              <w:ind w:right="22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sz w:val="18"/>
                <w:szCs w:val="18"/>
              </w:rPr>
              <w:t>82,1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003DD1" w14:textId="77777777" w:rsidR="00E40384" w:rsidRPr="0076441B" w:rsidRDefault="00964A95" w:rsidP="0076441B">
            <w:pPr>
              <w:ind w:right="22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sz w:val="18"/>
                <w:szCs w:val="18"/>
              </w:rPr>
              <w:t>160,7</w:t>
            </w:r>
          </w:p>
        </w:tc>
        <w:tc>
          <w:tcPr>
            <w:tcW w:w="11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03897" w14:textId="77777777" w:rsidR="00E40384" w:rsidRPr="0076441B" w:rsidRDefault="00964A95" w:rsidP="0076441B">
            <w:pPr>
              <w:ind w:right="22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sz w:val="18"/>
                <w:szCs w:val="18"/>
              </w:rPr>
              <w:t>0,0</w:t>
            </w:r>
          </w:p>
        </w:tc>
        <w:tc>
          <w:tcPr>
            <w:tcW w:w="11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7E581" w14:textId="77777777" w:rsidR="00E40384" w:rsidRPr="0076441B" w:rsidRDefault="00964A95" w:rsidP="0076441B">
            <w:pPr>
              <w:ind w:right="22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sz w:val="18"/>
                <w:szCs w:val="18"/>
              </w:rPr>
              <w:t>0,0</w:t>
            </w:r>
          </w:p>
        </w:tc>
      </w:tr>
      <w:tr w:rsidR="00322B95" w:rsidRPr="0076441B" w14:paraId="2ADC6608" w14:textId="77777777" w:rsidTr="00E23FAC">
        <w:trPr>
          <w:trHeight w:val="283"/>
        </w:trPr>
        <w:tc>
          <w:tcPr>
            <w:tcW w:w="3397" w:type="dxa"/>
            <w:shd w:val="clear" w:color="auto" w:fill="F2C6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6E3731" w14:textId="77777777" w:rsidR="00E40384" w:rsidRPr="0076441B" w:rsidRDefault="00964A95" w:rsidP="0076441B">
            <w:pPr>
              <w:ind w:left="57" w:right="57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135" w:type="dxa"/>
            <w:shd w:val="clear" w:color="auto" w:fill="F2C6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80BF8" w14:textId="77777777" w:rsidR="00E40384" w:rsidRPr="0076441B" w:rsidRDefault="00964A95" w:rsidP="0076441B">
            <w:pPr>
              <w:ind w:right="22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b/>
                <w:bCs/>
                <w:sz w:val="18"/>
                <w:szCs w:val="18"/>
              </w:rPr>
              <w:t>5 184,4</w:t>
            </w:r>
          </w:p>
        </w:tc>
        <w:tc>
          <w:tcPr>
            <w:tcW w:w="992" w:type="dxa"/>
            <w:shd w:val="clear" w:color="auto" w:fill="F2C6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0019A2" w14:textId="77777777" w:rsidR="00E40384" w:rsidRPr="0076441B" w:rsidRDefault="00964A95" w:rsidP="0076441B">
            <w:pPr>
              <w:ind w:right="22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b/>
                <w:bCs/>
                <w:sz w:val="18"/>
                <w:szCs w:val="18"/>
              </w:rPr>
              <w:t>6 904,9</w:t>
            </w:r>
          </w:p>
        </w:tc>
        <w:tc>
          <w:tcPr>
            <w:tcW w:w="1262" w:type="dxa"/>
            <w:shd w:val="clear" w:color="auto" w:fill="F2C6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E45575" w14:textId="77777777" w:rsidR="00E40384" w:rsidRPr="0076441B" w:rsidRDefault="00964A95" w:rsidP="0076441B">
            <w:pPr>
              <w:ind w:right="22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b/>
                <w:bCs/>
                <w:sz w:val="18"/>
                <w:szCs w:val="18"/>
              </w:rPr>
              <w:t>251,0</w:t>
            </w:r>
          </w:p>
        </w:tc>
        <w:tc>
          <w:tcPr>
            <w:tcW w:w="1128" w:type="dxa"/>
            <w:shd w:val="clear" w:color="auto" w:fill="F2C6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F6224" w14:textId="77777777" w:rsidR="00E40384" w:rsidRPr="0076441B" w:rsidRDefault="00964A95" w:rsidP="0076441B">
            <w:pPr>
              <w:ind w:right="22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b/>
                <w:bCs/>
                <w:sz w:val="18"/>
                <w:szCs w:val="18"/>
              </w:rPr>
              <w:t>-6 896,2</w:t>
            </w:r>
          </w:p>
        </w:tc>
        <w:tc>
          <w:tcPr>
            <w:tcW w:w="1153" w:type="dxa"/>
            <w:shd w:val="clear" w:color="auto" w:fill="F2C6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4C37E" w14:textId="77777777" w:rsidR="00E40384" w:rsidRPr="0076441B" w:rsidRDefault="00964A95" w:rsidP="0076441B">
            <w:pPr>
              <w:ind w:right="22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6441B">
              <w:rPr>
                <w:rFonts w:ascii="Calibri" w:hAnsi="Calibri" w:cs="Calibri"/>
                <w:b/>
                <w:bCs/>
                <w:sz w:val="18"/>
                <w:szCs w:val="18"/>
              </w:rPr>
              <w:t>4 942,1</w:t>
            </w:r>
          </w:p>
        </w:tc>
      </w:tr>
    </w:tbl>
    <w:p w14:paraId="64430FA7" w14:textId="116A348B" w:rsidR="00E40384" w:rsidRPr="00663441" w:rsidRDefault="00E23FAC" w:rsidP="00A44EB4">
      <w:pPr>
        <w:spacing w:before="6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</w:rPr>
        <w:t>*</w:t>
      </w:r>
      <w:r w:rsidR="00964A95" w:rsidRPr="00663441">
        <w:rPr>
          <w:rFonts w:asciiTheme="minorHAnsi" w:hAnsiTheme="minorHAnsi" w:cstheme="minorHAnsi"/>
          <w:sz w:val="22"/>
        </w:rPr>
        <w:t xml:space="preserve"> </w:t>
      </w:r>
      <w:r w:rsidR="00964A95" w:rsidRPr="00663441">
        <w:rPr>
          <w:rFonts w:asciiTheme="minorHAnsi" w:hAnsiTheme="minorHAnsi" w:cstheme="minorHAnsi"/>
          <w:sz w:val="20"/>
        </w:rPr>
        <w:t xml:space="preserve">Jiné změny </w:t>
      </w:r>
      <w:r>
        <w:rPr>
          <w:rFonts w:asciiTheme="minorHAnsi" w:hAnsiTheme="minorHAnsi" w:cstheme="minorHAnsi"/>
          <w:sz w:val="20"/>
        </w:rPr>
        <w:t>–</w:t>
      </w:r>
      <w:r w:rsidR="00964A95" w:rsidRPr="00663441">
        <w:rPr>
          <w:rFonts w:asciiTheme="minorHAnsi" w:hAnsiTheme="minorHAnsi" w:cstheme="minorHAnsi"/>
          <w:sz w:val="20"/>
        </w:rPr>
        <w:t xml:space="preserve"> kurzové rozdíly</w:t>
      </w:r>
      <w:r w:rsidR="00EB59C9" w:rsidRPr="00663441">
        <w:rPr>
          <w:rFonts w:asciiTheme="minorHAnsi" w:hAnsiTheme="minorHAnsi" w:cstheme="minorHAnsi"/>
          <w:sz w:val="20"/>
        </w:rPr>
        <w:t>,</w:t>
      </w:r>
      <w:r w:rsidR="00964A95" w:rsidRPr="00663441">
        <w:rPr>
          <w:rFonts w:asciiTheme="minorHAnsi" w:hAnsiTheme="minorHAnsi" w:cstheme="minorHAnsi"/>
          <w:sz w:val="20"/>
        </w:rPr>
        <w:t xml:space="preserve"> prominutí části závazků SŽDC, s.o.</w:t>
      </w:r>
    </w:p>
    <w:p w14:paraId="7BBC7632" w14:textId="279F87FB" w:rsidR="00E40384" w:rsidRPr="00663441" w:rsidRDefault="00964A95" w:rsidP="00A44EB4">
      <w:pPr>
        <w:jc w:val="both"/>
        <w:rPr>
          <w:rFonts w:asciiTheme="minorHAnsi" w:hAnsiTheme="minorHAnsi" w:cstheme="minorHAnsi"/>
          <w:sz w:val="20"/>
        </w:rPr>
      </w:pPr>
      <w:r w:rsidRPr="00663441">
        <w:rPr>
          <w:rFonts w:asciiTheme="minorHAnsi" w:hAnsiTheme="minorHAnsi" w:cstheme="minorHAnsi"/>
          <w:b/>
          <w:sz w:val="20"/>
        </w:rPr>
        <w:t>Zdroj:</w:t>
      </w:r>
      <w:r w:rsidRPr="00663441">
        <w:rPr>
          <w:rFonts w:asciiTheme="minorHAnsi" w:hAnsiTheme="minorHAnsi" w:cstheme="minorHAnsi"/>
          <w:sz w:val="20"/>
        </w:rPr>
        <w:t xml:space="preserve"> </w:t>
      </w:r>
      <w:r w:rsidR="00E23FAC">
        <w:rPr>
          <w:rFonts w:asciiTheme="minorHAnsi" w:eastAsiaTheme="minorEastAsia" w:hAnsiTheme="minorHAnsi" w:cstheme="minorHAnsi"/>
          <w:iCs/>
          <w:color w:val="000000" w:themeColor="text1"/>
          <w:kern w:val="24"/>
          <w:sz w:val="20"/>
          <w:szCs w:val="20"/>
        </w:rPr>
        <w:t>s</w:t>
      </w:r>
      <w:r w:rsidR="00756082" w:rsidRPr="00663441">
        <w:rPr>
          <w:rFonts w:asciiTheme="minorHAnsi" w:eastAsiaTheme="minorEastAsia" w:hAnsiTheme="minorHAnsi" w:cstheme="minorHAnsi"/>
          <w:iCs/>
          <w:color w:val="000000" w:themeColor="text1"/>
          <w:kern w:val="24"/>
          <w:sz w:val="20"/>
          <w:szCs w:val="20"/>
        </w:rPr>
        <w:t>tátní závěrečné účty za roky 2012–2016</w:t>
      </w:r>
      <w:r w:rsidR="00CC4583" w:rsidRPr="00663441">
        <w:rPr>
          <w:rFonts w:asciiTheme="minorHAnsi" w:hAnsiTheme="minorHAnsi" w:cstheme="minorHAnsi"/>
          <w:sz w:val="20"/>
        </w:rPr>
        <w:t>.</w:t>
      </w:r>
    </w:p>
    <w:p w14:paraId="080F5806" w14:textId="77777777" w:rsidR="00A44EB4" w:rsidRDefault="00A44EB4" w:rsidP="00A44EB4">
      <w:pPr>
        <w:jc w:val="both"/>
        <w:rPr>
          <w:rFonts w:asciiTheme="minorHAnsi" w:hAnsiTheme="minorHAnsi" w:cstheme="minorHAnsi"/>
        </w:rPr>
      </w:pPr>
    </w:p>
    <w:p w14:paraId="4FB09B65" w14:textId="77777777" w:rsidR="00A44EB4" w:rsidRPr="00663441" w:rsidRDefault="00A44EB4" w:rsidP="00A44EB4">
      <w:pPr>
        <w:jc w:val="both"/>
        <w:rPr>
          <w:rFonts w:asciiTheme="minorHAnsi" w:hAnsiTheme="minorHAnsi" w:cstheme="minorHAnsi"/>
        </w:rPr>
      </w:pPr>
    </w:p>
    <w:p w14:paraId="45465AE4" w14:textId="77777777" w:rsidR="00E40384" w:rsidRPr="00663441" w:rsidRDefault="00964A95" w:rsidP="00A44EB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63441">
        <w:rPr>
          <w:rFonts w:asciiTheme="minorHAnsi" w:hAnsiTheme="minorHAnsi" w:cstheme="minorHAnsi"/>
          <w:b/>
          <w:sz w:val="28"/>
          <w:szCs w:val="28"/>
        </w:rPr>
        <w:t xml:space="preserve">III. Rozsah kontroly </w:t>
      </w:r>
    </w:p>
    <w:p w14:paraId="3719B791" w14:textId="77777777" w:rsidR="0076441B" w:rsidRDefault="0076441B" w:rsidP="00A44EB4">
      <w:pPr>
        <w:jc w:val="both"/>
        <w:rPr>
          <w:rFonts w:asciiTheme="minorHAnsi" w:hAnsiTheme="minorHAnsi" w:cstheme="minorHAnsi"/>
        </w:rPr>
      </w:pPr>
    </w:p>
    <w:p w14:paraId="70A40E3D" w14:textId="2D7DC075" w:rsidR="004B1290" w:rsidRDefault="004B1290" w:rsidP="00A44EB4">
      <w:pPr>
        <w:jc w:val="both"/>
        <w:rPr>
          <w:rFonts w:asciiTheme="minorHAnsi" w:hAnsiTheme="minorHAnsi" w:cstheme="minorHAnsi"/>
        </w:rPr>
      </w:pPr>
      <w:r w:rsidRPr="004B1290">
        <w:rPr>
          <w:rFonts w:asciiTheme="minorHAnsi" w:hAnsiTheme="minorHAnsi" w:cstheme="minorHAnsi"/>
        </w:rPr>
        <w:t>Kontrolní akce byla zaměřena na realizaci a evidenci státních záruk, hospodaření s</w:t>
      </w:r>
      <w:r w:rsidR="008E0AFE">
        <w:rPr>
          <w:rFonts w:asciiTheme="minorHAnsi" w:hAnsiTheme="minorHAnsi" w:cstheme="minorHAnsi"/>
        </w:rPr>
        <w:t> </w:t>
      </w:r>
      <w:r w:rsidRPr="004B1290">
        <w:rPr>
          <w:rFonts w:asciiTheme="minorHAnsi" w:hAnsiTheme="minorHAnsi" w:cstheme="minorHAnsi"/>
        </w:rPr>
        <w:t xml:space="preserve">pohledávkami vzniklými z jejich realizace, na výdaje spojené se státními zárukami a údaje </w:t>
      </w:r>
      <w:r w:rsidR="00384614">
        <w:rPr>
          <w:rFonts w:asciiTheme="minorHAnsi" w:hAnsiTheme="minorHAnsi" w:cstheme="minorHAnsi"/>
        </w:rPr>
        <w:t>uváděné</w:t>
      </w:r>
      <w:r w:rsidR="00384614" w:rsidRPr="004B1290">
        <w:rPr>
          <w:rFonts w:asciiTheme="minorHAnsi" w:hAnsiTheme="minorHAnsi" w:cstheme="minorHAnsi"/>
        </w:rPr>
        <w:t xml:space="preserve"> </w:t>
      </w:r>
      <w:r w:rsidRPr="004B1290">
        <w:rPr>
          <w:rFonts w:asciiTheme="minorHAnsi" w:hAnsiTheme="minorHAnsi" w:cstheme="minorHAnsi"/>
        </w:rPr>
        <w:t xml:space="preserve">ve </w:t>
      </w:r>
      <w:r w:rsidR="00E23FAC">
        <w:rPr>
          <w:rFonts w:asciiTheme="minorHAnsi" w:hAnsiTheme="minorHAnsi" w:cstheme="minorHAnsi"/>
        </w:rPr>
        <w:t>s</w:t>
      </w:r>
      <w:r w:rsidRPr="004B1290">
        <w:rPr>
          <w:rFonts w:asciiTheme="minorHAnsi" w:hAnsiTheme="minorHAnsi" w:cstheme="minorHAnsi"/>
        </w:rPr>
        <w:t>tátním závěrečném účtu v souvislosti se státními zárukami.</w:t>
      </w:r>
      <w:r w:rsidR="006E5AB0">
        <w:rPr>
          <w:rFonts w:asciiTheme="minorHAnsi" w:hAnsiTheme="minorHAnsi" w:cstheme="minorHAnsi"/>
        </w:rPr>
        <w:t xml:space="preserve"> Kontrolní akce se dále </w:t>
      </w:r>
      <w:r w:rsidR="00384614">
        <w:rPr>
          <w:rFonts w:asciiTheme="minorHAnsi" w:hAnsiTheme="minorHAnsi" w:cstheme="minorHAnsi"/>
        </w:rPr>
        <w:t>zabývala tím, jak jsou zveřejňovány informace o závazcích</w:t>
      </w:r>
      <w:r w:rsidR="006E5AB0">
        <w:rPr>
          <w:rFonts w:asciiTheme="minorHAnsi" w:hAnsiTheme="minorHAnsi" w:cstheme="minorHAnsi"/>
        </w:rPr>
        <w:t xml:space="preserve">, za které ručí stát dle zákona </w:t>
      </w:r>
      <w:r w:rsidR="00CE5F7E">
        <w:rPr>
          <w:rFonts w:asciiTheme="minorHAnsi" w:hAnsiTheme="minorHAnsi" w:cstheme="minorHAnsi"/>
        </w:rPr>
        <w:t>č. </w:t>
      </w:r>
      <w:r w:rsidR="006E5AB0">
        <w:rPr>
          <w:rFonts w:asciiTheme="minorHAnsi" w:hAnsiTheme="minorHAnsi" w:cstheme="minorHAnsi"/>
        </w:rPr>
        <w:t>218/2000 Sb.</w:t>
      </w:r>
    </w:p>
    <w:p w14:paraId="1F124B1B" w14:textId="77777777" w:rsidR="00E23FAC" w:rsidRPr="004B1290" w:rsidRDefault="00E23FAC" w:rsidP="00A44EB4">
      <w:pPr>
        <w:jc w:val="both"/>
        <w:rPr>
          <w:rFonts w:asciiTheme="minorHAnsi" w:hAnsiTheme="minorHAnsi" w:cstheme="minorHAnsi"/>
        </w:rPr>
      </w:pPr>
    </w:p>
    <w:p w14:paraId="60C32ED2" w14:textId="0913AE93" w:rsidR="0076441B" w:rsidRDefault="00964A95" w:rsidP="0076441B">
      <w:pPr>
        <w:jc w:val="both"/>
        <w:rPr>
          <w:rFonts w:asciiTheme="minorHAnsi" w:hAnsiTheme="minorHAnsi" w:cstheme="minorHAnsi"/>
        </w:rPr>
      </w:pPr>
      <w:r w:rsidRPr="00663441">
        <w:rPr>
          <w:rFonts w:asciiTheme="minorHAnsi" w:hAnsiTheme="minorHAnsi" w:cstheme="minorHAnsi"/>
        </w:rPr>
        <w:t>V rámci kontrolovaného období byly prověřeny výdaje v souvislosti s realizací státních záruk a ručením ve výši 8 510,4 mil. Kč</w:t>
      </w:r>
      <w:r w:rsidR="00EB59C9" w:rsidRPr="00663441">
        <w:rPr>
          <w:rFonts w:asciiTheme="minorHAnsi" w:hAnsiTheme="minorHAnsi" w:cstheme="minorHAnsi"/>
        </w:rPr>
        <w:t xml:space="preserve"> (více než 62 % z kontrolovatelného objemu)</w:t>
      </w:r>
      <w:r w:rsidRPr="00663441">
        <w:rPr>
          <w:rFonts w:asciiTheme="minorHAnsi" w:hAnsiTheme="minorHAnsi" w:cstheme="minorHAnsi"/>
        </w:rPr>
        <w:t>. Dále byly prověřeny příjmy z</w:t>
      </w:r>
      <w:r w:rsidR="00AD0AB8" w:rsidRPr="00663441">
        <w:rPr>
          <w:rFonts w:asciiTheme="minorHAnsi" w:hAnsiTheme="minorHAnsi" w:cstheme="minorHAnsi"/>
        </w:rPr>
        <w:t xml:space="preserve"> </w:t>
      </w:r>
      <w:r w:rsidRPr="00663441">
        <w:rPr>
          <w:rFonts w:asciiTheme="minorHAnsi" w:hAnsiTheme="minorHAnsi" w:cstheme="minorHAnsi"/>
        </w:rPr>
        <w:t>poplatků za</w:t>
      </w:r>
      <w:r w:rsidR="00E23FAC">
        <w:rPr>
          <w:rFonts w:asciiTheme="minorHAnsi" w:hAnsiTheme="minorHAnsi" w:cstheme="minorHAnsi"/>
        </w:rPr>
        <w:t xml:space="preserve"> </w:t>
      </w:r>
      <w:r w:rsidRPr="00663441">
        <w:rPr>
          <w:rFonts w:asciiTheme="minorHAnsi" w:hAnsiTheme="minorHAnsi" w:cstheme="minorHAnsi"/>
        </w:rPr>
        <w:t>poskytnutí státních záruk ve výši 6,6 mil. Kč a pohledávky z</w:t>
      </w:r>
      <w:r w:rsidR="008C41F6">
        <w:rPr>
          <w:rFonts w:asciiTheme="minorHAnsi" w:hAnsiTheme="minorHAnsi" w:cstheme="minorHAnsi"/>
        </w:rPr>
        <w:t> </w:t>
      </w:r>
      <w:r w:rsidRPr="00663441">
        <w:rPr>
          <w:rFonts w:asciiTheme="minorHAnsi" w:hAnsiTheme="minorHAnsi" w:cstheme="minorHAnsi"/>
        </w:rPr>
        <w:t>realizovaných státních záruk ve výši 14 406,7 mil. Kč.</w:t>
      </w:r>
    </w:p>
    <w:p w14:paraId="2B2E8C85" w14:textId="061F6FFF" w:rsidR="00E23FAC" w:rsidRDefault="00E23FAC" w:rsidP="0076441B">
      <w:pPr>
        <w:jc w:val="both"/>
        <w:rPr>
          <w:rFonts w:asciiTheme="minorHAnsi" w:hAnsiTheme="minorHAnsi" w:cstheme="minorHAnsi"/>
        </w:rPr>
      </w:pPr>
    </w:p>
    <w:p w14:paraId="7F1831B8" w14:textId="77777777" w:rsidR="00E23FAC" w:rsidRPr="00E23FAC" w:rsidRDefault="00E23FAC" w:rsidP="0076441B">
      <w:pPr>
        <w:jc w:val="both"/>
        <w:rPr>
          <w:rFonts w:asciiTheme="minorHAnsi" w:hAnsiTheme="minorHAnsi" w:cstheme="minorHAnsi"/>
          <w:b/>
          <w:szCs w:val="28"/>
        </w:rPr>
      </w:pPr>
    </w:p>
    <w:p w14:paraId="3AE82773" w14:textId="54218246" w:rsidR="00E40384" w:rsidRPr="00663441" w:rsidRDefault="00964A95" w:rsidP="00A44EB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63441">
        <w:rPr>
          <w:rFonts w:asciiTheme="minorHAnsi" w:hAnsiTheme="minorHAnsi" w:cstheme="minorHAnsi"/>
          <w:b/>
          <w:sz w:val="28"/>
          <w:szCs w:val="28"/>
        </w:rPr>
        <w:t>IV. Podrobn</w:t>
      </w:r>
      <w:r w:rsidR="00E16CC8">
        <w:rPr>
          <w:rFonts w:asciiTheme="minorHAnsi" w:hAnsiTheme="minorHAnsi" w:cstheme="minorHAnsi"/>
          <w:b/>
          <w:sz w:val="28"/>
          <w:szCs w:val="28"/>
        </w:rPr>
        <w:t>osti ke</w:t>
      </w:r>
      <w:r w:rsidR="006B7A08" w:rsidRPr="00663441">
        <w:rPr>
          <w:rFonts w:asciiTheme="minorHAnsi" w:hAnsiTheme="minorHAnsi" w:cstheme="minorHAnsi"/>
          <w:b/>
          <w:sz w:val="28"/>
          <w:szCs w:val="28"/>
        </w:rPr>
        <w:t xml:space="preserve"> skutečnost</w:t>
      </w:r>
      <w:r w:rsidR="00E16CC8">
        <w:rPr>
          <w:rFonts w:asciiTheme="minorHAnsi" w:hAnsiTheme="minorHAnsi" w:cstheme="minorHAnsi"/>
          <w:b/>
          <w:sz w:val="28"/>
          <w:szCs w:val="28"/>
        </w:rPr>
        <w:t>em</w:t>
      </w:r>
      <w:r w:rsidRPr="00663441">
        <w:rPr>
          <w:rFonts w:asciiTheme="minorHAnsi" w:hAnsiTheme="minorHAnsi" w:cstheme="minorHAnsi"/>
          <w:b/>
          <w:sz w:val="28"/>
          <w:szCs w:val="28"/>
        </w:rPr>
        <w:t xml:space="preserve"> zjištěn</w:t>
      </w:r>
      <w:r w:rsidR="00E16CC8">
        <w:rPr>
          <w:rFonts w:asciiTheme="minorHAnsi" w:hAnsiTheme="minorHAnsi" w:cstheme="minorHAnsi"/>
          <w:b/>
          <w:sz w:val="28"/>
          <w:szCs w:val="28"/>
        </w:rPr>
        <w:t>ým</w:t>
      </w:r>
      <w:r w:rsidR="006B7A08" w:rsidRPr="00663441">
        <w:rPr>
          <w:rFonts w:asciiTheme="minorHAnsi" w:hAnsiTheme="minorHAnsi" w:cstheme="minorHAnsi"/>
          <w:b/>
          <w:sz w:val="28"/>
          <w:szCs w:val="28"/>
        </w:rPr>
        <w:t xml:space="preserve"> kontrolou</w:t>
      </w:r>
    </w:p>
    <w:p w14:paraId="773E3599" w14:textId="77777777" w:rsidR="0076441B" w:rsidRDefault="0076441B" w:rsidP="00A44EB4">
      <w:pPr>
        <w:jc w:val="both"/>
        <w:rPr>
          <w:rFonts w:asciiTheme="minorHAnsi" w:hAnsiTheme="minorHAnsi" w:cstheme="minorHAnsi"/>
          <w:bCs/>
        </w:rPr>
      </w:pPr>
    </w:p>
    <w:p w14:paraId="289B3215" w14:textId="77777777" w:rsidR="00D64134" w:rsidRDefault="00B11238" w:rsidP="00A44EB4">
      <w:pPr>
        <w:jc w:val="both"/>
        <w:rPr>
          <w:rFonts w:asciiTheme="minorHAnsi" w:hAnsiTheme="minorHAnsi" w:cstheme="minorHAnsi"/>
          <w:bCs/>
        </w:rPr>
      </w:pPr>
      <w:r w:rsidRPr="00663441">
        <w:rPr>
          <w:rFonts w:asciiTheme="minorHAnsi" w:hAnsiTheme="minorHAnsi" w:cstheme="minorHAnsi"/>
          <w:bCs/>
        </w:rPr>
        <w:t>K</w:t>
      </w:r>
      <w:r w:rsidR="00765A92" w:rsidRPr="00663441">
        <w:rPr>
          <w:rFonts w:asciiTheme="minorHAnsi" w:hAnsiTheme="minorHAnsi" w:cstheme="minorHAnsi"/>
          <w:bCs/>
        </w:rPr>
        <w:t> 31.</w:t>
      </w:r>
      <w:r w:rsidR="00D82970" w:rsidRPr="00663441">
        <w:rPr>
          <w:rFonts w:asciiTheme="minorHAnsi" w:hAnsiTheme="minorHAnsi" w:cstheme="minorHAnsi"/>
          <w:bCs/>
        </w:rPr>
        <w:t xml:space="preserve"> </w:t>
      </w:r>
      <w:r w:rsidR="00765A92" w:rsidRPr="00663441">
        <w:rPr>
          <w:rFonts w:asciiTheme="minorHAnsi" w:hAnsiTheme="minorHAnsi" w:cstheme="minorHAnsi"/>
          <w:bCs/>
        </w:rPr>
        <w:t xml:space="preserve">12. 2016 byl </w:t>
      </w:r>
      <w:r w:rsidR="001E3AC6">
        <w:rPr>
          <w:rFonts w:asciiTheme="minorHAnsi" w:hAnsiTheme="minorHAnsi" w:cstheme="minorHAnsi"/>
          <w:bCs/>
        </w:rPr>
        <w:t>uveden</w:t>
      </w:r>
      <w:r w:rsidR="001E3AC6" w:rsidRPr="00663441">
        <w:rPr>
          <w:rFonts w:asciiTheme="minorHAnsi" w:hAnsiTheme="minorHAnsi" w:cstheme="minorHAnsi"/>
          <w:bCs/>
        </w:rPr>
        <w:t xml:space="preserve"> </w:t>
      </w:r>
      <w:r w:rsidR="00765A92" w:rsidRPr="00663441">
        <w:rPr>
          <w:rFonts w:asciiTheme="minorHAnsi" w:hAnsiTheme="minorHAnsi" w:cstheme="minorHAnsi"/>
          <w:bCs/>
        </w:rPr>
        <w:t xml:space="preserve">v SZÚ </w:t>
      </w:r>
      <w:r w:rsidRPr="00663441">
        <w:rPr>
          <w:rFonts w:asciiTheme="minorHAnsi" w:hAnsiTheme="minorHAnsi" w:cstheme="minorHAnsi"/>
          <w:bCs/>
        </w:rPr>
        <w:t xml:space="preserve">souhrnný objem státních záruk </w:t>
      </w:r>
      <w:r w:rsidR="00765A92" w:rsidRPr="00663441">
        <w:rPr>
          <w:rFonts w:asciiTheme="minorHAnsi" w:hAnsiTheme="minorHAnsi" w:cstheme="minorHAnsi"/>
          <w:bCs/>
        </w:rPr>
        <w:t>ve výši 438</w:t>
      </w:r>
      <w:r w:rsidR="00860E65">
        <w:rPr>
          <w:rFonts w:asciiTheme="minorHAnsi" w:hAnsiTheme="minorHAnsi" w:cstheme="minorHAnsi"/>
          <w:bCs/>
        </w:rPr>
        <w:t>,5 m</w:t>
      </w:r>
      <w:r w:rsidR="00765A92" w:rsidRPr="00663441">
        <w:rPr>
          <w:rFonts w:asciiTheme="minorHAnsi" w:hAnsiTheme="minorHAnsi" w:cstheme="minorHAnsi"/>
          <w:bCs/>
        </w:rPr>
        <w:t>l</w:t>
      </w:r>
      <w:r w:rsidR="00860E65">
        <w:rPr>
          <w:rFonts w:asciiTheme="minorHAnsi" w:hAnsiTheme="minorHAnsi" w:cstheme="minorHAnsi"/>
          <w:bCs/>
        </w:rPr>
        <w:t>d</w:t>
      </w:r>
      <w:r w:rsidR="00765A92" w:rsidRPr="00663441">
        <w:rPr>
          <w:rFonts w:asciiTheme="minorHAnsi" w:hAnsiTheme="minorHAnsi" w:cstheme="minorHAnsi"/>
          <w:bCs/>
        </w:rPr>
        <w:t>. Kč</w:t>
      </w:r>
      <w:r w:rsidR="007524AF" w:rsidRPr="00663441">
        <w:rPr>
          <w:rFonts w:asciiTheme="minorHAnsi" w:hAnsiTheme="minorHAnsi" w:cstheme="minorHAnsi"/>
          <w:bCs/>
        </w:rPr>
        <w:t>, z toho n</w:t>
      </w:r>
      <w:r w:rsidR="00D82970" w:rsidRPr="00663441">
        <w:rPr>
          <w:rFonts w:asciiTheme="minorHAnsi" w:hAnsiTheme="minorHAnsi" w:cstheme="minorHAnsi"/>
          <w:bCs/>
        </w:rPr>
        <w:t>ejvýznamnější podíl tvoř</w:t>
      </w:r>
      <w:r w:rsidR="007524AF" w:rsidRPr="00663441">
        <w:rPr>
          <w:rFonts w:asciiTheme="minorHAnsi" w:hAnsiTheme="minorHAnsi" w:cstheme="minorHAnsi"/>
          <w:bCs/>
        </w:rPr>
        <w:t>ily</w:t>
      </w:r>
      <w:r w:rsidR="00D82970" w:rsidRPr="00663441">
        <w:rPr>
          <w:rFonts w:asciiTheme="minorHAnsi" w:hAnsiTheme="minorHAnsi" w:cstheme="minorHAnsi"/>
          <w:bCs/>
        </w:rPr>
        <w:t xml:space="preserve"> záruky </w:t>
      </w:r>
      <w:r w:rsidR="003F55F8" w:rsidRPr="00663441">
        <w:rPr>
          <w:rFonts w:asciiTheme="minorHAnsi" w:hAnsiTheme="minorHAnsi" w:cstheme="minorHAnsi"/>
          <w:bCs/>
        </w:rPr>
        <w:t>poskytované v rámci podpory exportního financování a</w:t>
      </w:r>
      <w:r w:rsidR="004B1290">
        <w:rPr>
          <w:rFonts w:asciiTheme="minorHAnsi" w:hAnsiTheme="minorHAnsi" w:cstheme="minorHAnsi"/>
          <w:bCs/>
        </w:rPr>
        <w:t> </w:t>
      </w:r>
      <w:r w:rsidR="003F55F8" w:rsidRPr="00663441">
        <w:rPr>
          <w:rFonts w:asciiTheme="minorHAnsi" w:hAnsiTheme="minorHAnsi" w:cstheme="minorHAnsi"/>
          <w:bCs/>
        </w:rPr>
        <w:t>pojišťování</w:t>
      </w:r>
      <w:r w:rsidR="00D82970" w:rsidRPr="00663441">
        <w:rPr>
          <w:rFonts w:asciiTheme="minorHAnsi" w:hAnsiTheme="minorHAnsi" w:cstheme="minorHAnsi"/>
          <w:bCs/>
        </w:rPr>
        <w:t>.</w:t>
      </w:r>
      <w:r w:rsidR="00C51EAF" w:rsidRPr="00663441">
        <w:rPr>
          <w:rFonts w:asciiTheme="minorHAnsi" w:hAnsiTheme="minorHAnsi" w:cstheme="minorHAnsi"/>
          <w:bCs/>
        </w:rPr>
        <w:t xml:space="preserve"> </w:t>
      </w:r>
    </w:p>
    <w:p w14:paraId="64DD2113" w14:textId="77777777" w:rsidR="0076441B" w:rsidRDefault="0076441B" w:rsidP="00A44EB4">
      <w:pPr>
        <w:jc w:val="both"/>
        <w:rPr>
          <w:rFonts w:asciiTheme="minorHAnsi" w:hAnsiTheme="minorHAnsi" w:cstheme="minorHAnsi"/>
          <w:bCs/>
        </w:rPr>
      </w:pPr>
    </w:p>
    <w:p w14:paraId="124AC0C1" w14:textId="77777777" w:rsidR="00D64134" w:rsidRDefault="008C41F6" w:rsidP="00A44EB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Objem poskytnutých záruk </w:t>
      </w:r>
      <w:r w:rsidR="000C6527">
        <w:rPr>
          <w:rFonts w:asciiTheme="minorHAnsi" w:hAnsiTheme="minorHAnsi" w:cstheme="minorHAnsi"/>
          <w:bCs/>
        </w:rPr>
        <w:t xml:space="preserve">v posledních letech </w:t>
      </w:r>
      <w:r w:rsidR="008E0AFE">
        <w:rPr>
          <w:rFonts w:asciiTheme="minorHAnsi" w:hAnsiTheme="minorHAnsi" w:cstheme="minorHAnsi"/>
          <w:bCs/>
        </w:rPr>
        <w:t>klesal</w:t>
      </w:r>
      <w:r>
        <w:rPr>
          <w:rFonts w:asciiTheme="minorHAnsi" w:hAnsiTheme="minorHAnsi" w:cstheme="minorHAnsi"/>
          <w:bCs/>
        </w:rPr>
        <w:t>.</w:t>
      </w:r>
      <w:r w:rsidR="000C6527" w:rsidRPr="000C6527">
        <w:rPr>
          <w:rFonts w:asciiTheme="minorHAnsi" w:hAnsiTheme="minorHAnsi" w:cstheme="minorHAnsi"/>
          <w:bCs/>
        </w:rPr>
        <w:t xml:space="preserve"> </w:t>
      </w:r>
      <w:r w:rsidR="000C6527" w:rsidRPr="00663441">
        <w:rPr>
          <w:rFonts w:asciiTheme="minorHAnsi" w:hAnsiTheme="minorHAnsi" w:cstheme="minorHAnsi"/>
          <w:bCs/>
        </w:rPr>
        <w:t>Poslední standardní státní záruka byla poskytnuta</w:t>
      </w:r>
      <w:r w:rsidR="000C6527">
        <w:rPr>
          <w:rFonts w:asciiTheme="minorHAnsi" w:hAnsiTheme="minorHAnsi" w:cstheme="minorHAnsi"/>
          <w:bCs/>
        </w:rPr>
        <w:t xml:space="preserve"> </w:t>
      </w:r>
      <w:r w:rsidR="000C6527" w:rsidRPr="00663441">
        <w:rPr>
          <w:rFonts w:asciiTheme="minorHAnsi" w:hAnsiTheme="minorHAnsi" w:cstheme="minorHAnsi"/>
          <w:bCs/>
        </w:rPr>
        <w:t>v roce 2007 na základě zákona č. 297/2007 Sb.</w:t>
      </w:r>
      <w:r w:rsidR="000C6527" w:rsidRPr="00663441">
        <w:rPr>
          <w:rStyle w:val="Znakapoznpodarou"/>
          <w:rFonts w:asciiTheme="minorHAnsi" w:hAnsiTheme="minorHAnsi" w:cstheme="minorHAnsi"/>
          <w:bCs/>
        </w:rPr>
        <w:footnoteReference w:id="14"/>
      </w:r>
      <w:r w:rsidR="001D47E5">
        <w:rPr>
          <w:rFonts w:asciiTheme="minorHAnsi" w:hAnsiTheme="minorHAnsi" w:cstheme="minorHAnsi"/>
          <w:bCs/>
        </w:rPr>
        <w:t xml:space="preserve"> a jejich </w:t>
      </w:r>
      <w:r w:rsidR="004802F0">
        <w:rPr>
          <w:rFonts w:asciiTheme="minorHAnsi" w:hAnsiTheme="minorHAnsi" w:cstheme="minorHAnsi"/>
          <w:bCs/>
        </w:rPr>
        <w:t xml:space="preserve">objem </w:t>
      </w:r>
      <w:r w:rsidR="001D47E5">
        <w:rPr>
          <w:rFonts w:asciiTheme="minorHAnsi" w:hAnsiTheme="minorHAnsi" w:cstheme="minorHAnsi"/>
          <w:bCs/>
        </w:rPr>
        <w:t>se</w:t>
      </w:r>
      <w:r w:rsidR="00E2098A">
        <w:rPr>
          <w:rFonts w:asciiTheme="minorHAnsi" w:hAnsiTheme="minorHAnsi" w:cstheme="minorHAnsi"/>
          <w:bCs/>
        </w:rPr>
        <w:t xml:space="preserve"> </w:t>
      </w:r>
      <w:r w:rsidR="001D47E5">
        <w:rPr>
          <w:rFonts w:asciiTheme="minorHAnsi" w:hAnsiTheme="minorHAnsi" w:cstheme="minorHAnsi"/>
          <w:bCs/>
        </w:rPr>
        <w:t xml:space="preserve">postupně snižoval </w:t>
      </w:r>
      <w:r w:rsidR="001D47E5" w:rsidRPr="001D47E5">
        <w:rPr>
          <w:rFonts w:asciiTheme="minorHAnsi" w:hAnsiTheme="minorHAnsi" w:cstheme="minorHAnsi"/>
          <w:bCs/>
        </w:rPr>
        <w:t>na 6,7 mld. Kč k 31. 12. 2016</w:t>
      </w:r>
      <w:r w:rsidR="00E2098A">
        <w:rPr>
          <w:rFonts w:asciiTheme="minorHAnsi" w:hAnsiTheme="minorHAnsi" w:cstheme="minorHAnsi"/>
          <w:bCs/>
        </w:rPr>
        <w:t>.</w:t>
      </w:r>
      <w:r w:rsidR="000C6527">
        <w:rPr>
          <w:rFonts w:asciiTheme="minorHAnsi" w:hAnsiTheme="minorHAnsi" w:cstheme="minorHAnsi"/>
          <w:bCs/>
        </w:rPr>
        <w:t xml:space="preserve"> </w:t>
      </w:r>
    </w:p>
    <w:p w14:paraId="58D16056" w14:textId="77777777" w:rsidR="0076441B" w:rsidRDefault="0076441B" w:rsidP="00A44EB4">
      <w:pPr>
        <w:jc w:val="both"/>
        <w:rPr>
          <w:rFonts w:asciiTheme="minorHAnsi" w:hAnsiTheme="minorHAnsi" w:cstheme="minorHAnsi"/>
          <w:bCs/>
        </w:rPr>
      </w:pPr>
    </w:p>
    <w:p w14:paraId="7369B43B" w14:textId="77777777" w:rsidR="00E15113" w:rsidRPr="00663441" w:rsidRDefault="00DF1466" w:rsidP="00A44EB4">
      <w:pPr>
        <w:jc w:val="both"/>
        <w:rPr>
          <w:rFonts w:asciiTheme="minorHAnsi" w:hAnsiTheme="minorHAnsi" w:cstheme="minorHAnsi"/>
          <w:bCs/>
        </w:rPr>
      </w:pPr>
      <w:r w:rsidRPr="00663441">
        <w:rPr>
          <w:rFonts w:asciiTheme="minorHAnsi" w:hAnsiTheme="minorHAnsi" w:cstheme="minorHAnsi"/>
          <w:bCs/>
        </w:rPr>
        <w:t xml:space="preserve">V rámci nestandardních státních záruk byla </w:t>
      </w:r>
      <w:r w:rsidR="00D82970" w:rsidRPr="00663441">
        <w:rPr>
          <w:rFonts w:asciiTheme="minorHAnsi" w:hAnsiTheme="minorHAnsi" w:cstheme="minorHAnsi"/>
          <w:bCs/>
        </w:rPr>
        <w:t>v</w:t>
      </w:r>
      <w:r w:rsidR="00E2098A">
        <w:rPr>
          <w:rFonts w:asciiTheme="minorHAnsi" w:hAnsiTheme="minorHAnsi" w:cstheme="minorHAnsi"/>
          <w:bCs/>
        </w:rPr>
        <w:t> </w:t>
      </w:r>
      <w:r w:rsidR="00C51EAF" w:rsidRPr="00663441">
        <w:rPr>
          <w:rFonts w:asciiTheme="minorHAnsi" w:hAnsiTheme="minorHAnsi" w:cstheme="minorHAnsi"/>
          <w:bCs/>
        </w:rPr>
        <w:t xml:space="preserve">kontrolovaném období </w:t>
      </w:r>
      <w:r w:rsidRPr="00663441">
        <w:rPr>
          <w:rFonts w:asciiTheme="minorHAnsi" w:hAnsiTheme="minorHAnsi" w:cstheme="minorHAnsi"/>
          <w:bCs/>
        </w:rPr>
        <w:t xml:space="preserve">poskytnuta </w:t>
      </w:r>
      <w:r w:rsidR="00C51EAF" w:rsidRPr="00663441">
        <w:rPr>
          <w:rFonts w:asciiTheme="minorHAnsi" w:hAnsiTheme="minorHAnsi" w:cstheme="minorHAnsi"/>
          <w:bCs/>
        </w:rPr>
        <w:t xml:space="preserve">pouze jedna </w:t>
      </w:r>
      <w:r w:rsidRPr="00663441">
        <w:rPr>
          <w:rFonts w:asciiTheme="minorHAnsi" w:hAnsiTheme="minorHAnsi" w:cstheme="minorHAnsi"/>
          <w:bCs/>
        </w:rPr>
        <w:t>státní záruka</w:t>
      </w:r>
      <w:r w:rsidR="005A1EEE" w:rsidRPr="00663441">
        <w:rPr>
          <w:rFonts w:asciiTheme="minorHAnsi" w:hAnsiTheme="minorHAnsi" w:cstheme="minorHAnsi"/>
          <w:bCs/>
        </w:rPr>
        <w:t>, a to</w:t>
      </w:r>
      <w:r w:rsidRPr="00663441">
        <w:rPr>
          <w:rFonts w:asciiTheme="minorHAnsi" w:hAnsiTheme="minorHAnsi" w:cstheme="minorHAnsi"/>
          <w:bCs/>
        </w:rPr>
        <w:t xml:space="preserve"> </w:t>
      </w:r>
      <w:r w:rsidR="005A1EEE" w:rsidRPr="00663441">
        <w:rPr>
          <w:rFonts w:asciiTheme="minorHAnsi" w:hAnsiTheme="minorHAnsi" w:cstheme="minorHAnsi"/>
          <w:bCs/>
        </w:rPr>
        <w:t xml:space="preserve">v roce 2013 </w:t>
      </w:r>
      <w:r w:rsidRPr="00663441">
        <w:rPr>
          <w:rFonts w:asciiTheme="minorHAnsi" w:hAnsiTheme="minorHAnsi" w:cstheme="minorHAnsi"/>
          <w:bCs/>
        </w:rPr>
        <w:t xml:space="preserve">na zajištění půjčky České národní banky pro Mezinárodní měnový fond. </w:t>
      </w:r>
      <w:r w:rsidR="00DB59C6" w:rsidRPr="00663441">
        <w:rPr>
          <w:rFonts w:asciiTheme="minorHAnsi" w:hAnsiTheme="minorHAnsi" w:cstheme="minorHAnsi"/>
          <w:bCs/>
        </w:rPr>
        <w:t xml:space="preserve">Významný </w:t>
      </w:r>
      <w:r w:rsidR="00C51EAF" w:rsidRPr="00663441">
        <w:rPr>
          <w:rFonts w:asciiTheme="minorHAnsi" w:hAnsiTheme="minorHAnsi" w:cstheme="minorHAnsi"/>
          <w:bCs/>
        </w:rPr>
        <w:t>pokle</w:t>
      </w:r>
      <w:r w:rsidR="00DB59C6" w:rsidRPr="00663441">
        <w:rPr>
          <w:rFonts w:asciiTheme="minorHAnsi" w:hAnsiTheme="minorHAnsi" w:cstheme="minorHAnsi"/>
          <w:bCs/>
        </w:rPr>
        <w:t xml:space="preserve">s </w:t>
      </w:r>
      <w:r w:rsidR="00D82970" w:rsidRPr="00663441">
        <w:rPr>
          <w:rFonts w:asciiTheme="minorHAnsi" w:hAnsiTheme="minorHAnsi" w:cstheme="minorHAnsi"/>
          <w:bCs/>
        </w:rPr>
        <w:t xml:space="preserve">stavu nestandardních státních záruk </w:t>
      </w:r>
      <w:r w:rsidR="00DB59C6" w:rsidRPr="00663441">
        <w:rPr>
          <w:rFonts w:asciiTheme="minorHAnsi" w:eastAsiaTheme="minorEastAsia" w:hAnsiTheme="minorHAnsi" w:cstheme="minorHAnsi"/>
        </w:rPr>
        <w:t>nastal</w:t>
      </w:r>
      <w:r w:rsidR="00313085" w:rsidRPr="00663441">
        <w:rPr>
          <w:rFonts w:asciiTheme="minorHAnsi" w:eastAsiaTheme="minorEastAsia" w:hAnsiTheme="minorHAnsi" w:cstheme="minorHAnsi"/>
        </w:rPr>
        <w:t xml:space="preserve"> </w:t>
      </w:r>
      <w:r w:rsidR="00BB3737" w:rsidRPr="00663441">
        <w:rPr>
          <w:rFonts w:asciiTheme="minorHAnsi" w:eastAsiaTheme="minorEastAsia" w:hAnsiTheme="minorHAnsi" w:cstheme="minorHAnsi"/>
        </w:rPr>
        <w:t xml:space="preserve">v roce 2017 </w:t>
      </w:r>
      <w:r w:rsidR="00286C0F" w:rsidRPr="00663441">
        <w:rPr>
          <w:rFonts w:asciiTheme="minorHAnsi" w:hAnsiTheme="minorHAnsi" w:cstheme="minorHAnsi"/>
          <w:bCs/>
        </w:rPr>
        <w:t>tím</w:t>
      </w:r>
      <w:r w:rsidR="00FF663A" w:rsidRPr="00663441">
        <w:rPr>
          <w:rFonts w:asciiTheme="minorHAnsi" w:hAnsiTheme="minorHAnsi" w:cstheme="minorHAnsi"/>
          <w:bCs/>
        </w:rPr>
        <w:t xml:space="preserve">, </w:t>
      </w:r>
      <w:r w:rsidR="00286C0F" w:rsidRPr="00663441">
        <w:rPr>
          <w:rFonts w:asciiTheme="minorHAnsi" w:hAnsiTheme="minorHAnsi" w:cstheme="minorHAnsi"/>
          <w:bCs/>
        </w:rPr>
        <w:t>že</w:t>
      </w:r>
      <w:r w:rsidR="00FF663A" w:rsidRPr="00663441">
        <w:rPr>
          <w:rFonts w:asciiTheme="minorHAnsi" w:hAnsiTheme="minorHAnsi" w:cstheme="minorHAnsi"/>
          <w:bCs/>
        </w:rPr>
        <w:t xml:space="preserve"> </w:t>
      </w:r>
      <w:r w:rsidR="00502126" w:rsidRPr="00663441">
        <w:rPr>
          <w:rFonts w:asciiTheme="minorHAnsi" w:eastAsiaTheme="minorEastAsia" w:hAnsiTheme="minorHAnsi" w:cstheme="minorHAnsi"/>
        </w:rPr>
        <w:t>u státní</w:t>
      </w:r>
      <w:r w:rsidR="00502126" w:rsidRPr="00663441">
        <w:rPr>
          <w:rFonts w:asciiTheme="minorHAnsi" w:hAnsiTheme="minorHAnsi" w:cstheme="minorHAnsi"/>
          <w:bCs/>
        </w:rPr>
        <w:t xml:space="preserve"> záruky poskytnuté při prodeji IPB došlo </w:t>
      </w:r>
      <w:r w:rsidR="00FF663A" w:rsidRPr="00663441">
        <w:rPr>
          <w:rFonts w:asciiTheme="minorHAnsi" w:hAnsiTheme="minorHAnsi" w:cstheme="minorHAnsi"/>
          <w:bCs/>
        </w:rPr>
        <w:t>k datu 31. 12. 2016 k zániku práv ČSOB</w:t>
      </w:r>
      <w:r w:rsidR="00313085" w:rsidRPr="00663441">
        <w:rPr>
          <w:rFonts w:asciiTheme="minorHAnsi" w:hAnsiTheme="minorHAnsi" w:cstheme="minorHAnsi"/>
          <w:bCs/>
        </w:rPr>
        <w:t xml:space="preserve"> </w:t>
      </w:r>
      <w:r w:rsidR="00FF663A" w:rsidRPr="00663441">
        <w:rPr>
          <w:rFonts w:asciiTheme="minorHAnsi" w:hAnsiTheme="minorHAnsi" w:cstheme="minorHAnsi"/>
          <w:bCs/>
        </w:rPr>
        <w:t>na plnění ze záruky s výjimkou uplatněných, ale nevypořádaných nároků.</w:t>
      </w:r>
      <w:r w:rsidR="00313085" w:rsidRPr="00663441">
        <w:rPr>
          <w:rFonts w:asciiTheme="minorHAnsi" w:hAnsiTheme="minorHAnsi" w:cstheme="minorHAnsi"/>
          <w:bCs/>
        </w:rPr>
        <w:t xml:space="preserve"> </w:t>
      </w:r>
      <w:r w:rsidR="001D47E5" w:rsidRPr="00663441">
        <w:rPr>
          <w:rFonts w:asciiTheme="minorHAnsi" w:hAnsiTheme="minorHAnsi" w:cstheme="minorHAnsi"/>
          <w:bCs/>
        </w:rPr>
        <w:t>Stav nestandardních státních záruk tak v roce 2017 poklesl o 136,7 mld. Kč.</w:t>
      </w:r>
    </w:p>
    <w:p w14:paraId="39343857" w14:textId="77777777" w:rsidR="00E86B4D" w:rsidRDefault="00E86B4D" w:rsidP="00A44EB4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36233A7" w14:textId="77777777" w:rsidR="00E40384" w:rsidRPr="00A44EB4" w:rsidRDefault="00A44EB4" w:rsidP="00A44EB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 </w:t>
      </w:r>
      <w:r w:rsidR="00964A95" w:rsidRPr="00A44EB4">
        <w:rPr>
          <w:rFonts w:asciiTheme="minorHAnsi" w:hAnsiTheme="minorHAnsi" w:cstheme="minorHAnsi"/>
          <w:b/>
        </w:rPr>
        <w:t>Evidence státních záruk</w:t>
      </w:r>
    </w:p>
    <w:p w14:paraId="0964638A" w14:textId="77777777" w:rsidR="00A44EB4" w:rsidRDefault="00A44EB4" w:rsidP="00A44EB4">
      <w:pPr>
        <w:ind w:left="567" w:hanging="567"/>
        <w:jc w:val="both"/>
        <w:rPr>
          <w:rFonts w:asciiTheme="minorHAnsi" w:hAnsiTheme="minorHAnsi" w:cstheme="minorHAnsi"/>
          <w:i/>
        </w:rPr>
      </w:pPr>
    </w:p>
    <w:p w14:paraId="6B4B5EC0" w14:textId="141F0235" w:rsidR="00E40384" w:rsidRPr="00663441" w:rsidRDefault="005F66EC" w:rsidP="00A44EB4">
      <w:pPr>
        <w:ind w:left="426" w:hanging="426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1</w:t>
      </w:r>
      <w:r w:rsidR="00B51501" w:rsidRPr="00663441">
        <w:rPr>
          <w:rFonts w:asciiTheme="minorHAnsi" w:hAnsiTheme="minorHAnsi" w:cstheme="minorHAnsi"/>
          <w:i/>
        </w:rPr>
        <w:t>.1</w:t>
      </w:r>
      <w:r w:rsidR="00617459">
        <w:rPr>
          <w:rFonts w:asciiTheme="minorHAnsi" w:hAnsiTheme="minorHAnsi" w:cstheme="minorHAnsi"/>
          <w:i/>
        </w:rPr>
        <w:t xml:space="preserve"> </w:t>
      </w:r>
      <w:r w:rsidR="00964A95" w:rsidRPr="00663441">
        <w:rPr>
          <w:rFonts w:asciiTheme="minorHAnsi" w:hAnsiTheme="minorHAnsi" w:cstheme="minorHAnsi"/>
          <w:i/>
        </w:rPr>
        <w:t xml:space="preserve">MF neevidovalo </w:t>
      </w:r>
      <w:r w:rsidR="00B0145A">
        <w:rPr>
          <w:rFonts w:asciiTheme="minorHAnsi" w:hAnsiTheme="minorHAnsi" w:cstheme="minorHAnsi"/>
          <w:i/>
        </w:rPr>
        <w:t>v</w:t>
      </w:r>
      <w:r w:rsidR="00F104F4">
        <w:rPr>
          <w:rFonts w:asciiTheme="minorHAnsi" w:hAnsiTheme="minorHAnsi" w:cstheme="minorHAnsi"/>
          <w:i/>
        </w:rPr>
        <w:t> </w:t>
      </w:r>
      <w:r w:rsidR="00B0145A" w:rsidRPr="00663441">
        <w:rPr>
          <w:rFonts w:asciiTheme="minorHAnsi" w:hAnsiTheme="minorHAnsi" w:cstheme="minorHAnsi"/>
          <w:i/>
        </w:rPr>
        <w:t>účetnictví</w:t>
      </w:r>
      <w:r w:rsidR="00F104F4">
        <w:rPr>
          <w:rFonts w:asciiTheme="minorHAnsi" w:hAnsiTheme="minorHAnsi" w:cstheme="minorHAnsi"/>
          <w:i/>
        </w:rPr>
        <w:t>,</w:t>
      </w:r>
      <w:r w:rsidR="00B0145A" w:rsidRPr="00663441">
        <w:rPr>
          <w:rFonts w:asciiTheme="minorHAnsi" w:hAnsiTheme="minorHAnsi" w:cstheme="minorHAnsi"/>
          <w:i/>
        </w:rPr>
        <w:t xml:space="preserve"> </w:t>
      </w:r>
      <w:r w:rsidR="00B0145A">
        <w:rPr>
          <w:rFonts w:asciiTheme="minorHAnsi" w:hAnsiTheme="minorHAnsi" w:cstheme="minorHAnsi"/>
          <w:i/>
        </w:rPr>
        <w:t>ani</w:t>
      </w:r>
      <w:r w:rsidR="00B0145A" w:rsidRPr="00663441">
        <w:rPr>
          <w:rFonts w:asciiTheme="minorHAnsi" w:hAnsiTheme="minorHAnsi" w:cstheme="minorHAnsi"/>
          <w:i/>
        </w:rPr>
        <w:t xml:space="preserve"> </w:t>
      </w:r>
      <w:r w:rsidR="00F104F4">
        <w:rPr>
          <w:rFonts w:asciiTheme="minorHAnsi" w:hAnsiTheme="minorHAnsi" w:cstheme="minorHAnsi"/>
          <w:i/>
        </w:rPr>
        <w:t xml:space="preserve">neuvedlo </w:t>
      </w:r>
      <w:r w:rsidR="00964A95" w:rsidRPr="00663441">
        <w:rPr>
          <w:rFonts w:asciiTheme="minorHAnsi" w:hAnsiTheme="minorHAnsi" w:cstheme="minorHAnsi"/>
          <w:i/>
        </w:rPr>
        <w:t>v</w:t>
      </w:r>
      <w:r w:rsidR="001D6817">
        <w:rPr>
          <w:rFonts w:asciiTheme="minorHAnsi" w:hAnsiTheme="minorHAnsi" w:cstheme="minorHAnsi"/>
          <w:i/>
        </w:rPr>
        <w:t xml:space="preserve"> SZÚ </w:t>
      </w:r>
      <w:r w:rsidR="00964A95" w:rsidRPr="00663441">
        <w:rPr>
          <w:rFonts w:asciiTheme="minorHAnsi" w:hAnsiTheme="minorHAnsi" w:cstheme="minorHAnsi"/>
          <w:i/>
        </w:rPr>
        <w:t>záruku ve výši 280 mil. Kč</w:t>
      </w:r>
    </w:p>
    <w:p w14:paraId="457EDFBD" w14:textId="77777777" w:rsidR="00A44EB4" w:rsidRDefault="00A44EB4" w:rsidP="00A44EB4">
      <w:pPr>
        <w:jc w:val="both"/>
        <w:rPr>
          <w:rFonts w:asciiTheme="minorHAnsi" w:hAnsiTheme="minorHAnsi" w:cstheme="minorHAnsi"/>
        </w:rPr>
      </w:pPr>
    </w:p>
    <w:p w14:paraId="2F5A3665" w14:textId="48F233FD" w:rsidR="00E40384" w:rsidRDefault="00964A95" w:rsidP="00A44EB4">
      <w:pPr>
        <w:jc w:val="both"/>
        <w:rPr>
          <w:rFonts w:asciiTheme="minorHAnsi" w:hAnsiTheme="minorHAnsi" w:cstheme="minorHAnsi"/>
        </w:rPr>
      </w:pPr>
      <w:r w:rsidRPr="00663441">
        <w:rPr>
          <w:rFonts w:asciiTheme="minorHAnsi" w:hAnsiTheme="minorHAnsi" w:cstheme="minorHAnsi"/>
        </w:rPr>
        <w:t xml:space="preserve">Na základě zákona č. 77/2002 Sb. došlo k převodu podstatné části závazků státní organizace České dráhy na státní organizaci SŽDC s tím, že ručitelem za závazky SŽDC se stal stát, který tak vedle dosavadního ručení v rámci v minulosti poskytnutých standardních záruk ručil od roku 2003 ze zákona i za splácení </w:t>
      </w:r>
      <w:r w:rsidR="00742006" w:rsidRPr="00663441">
        <w:rPr>
          <w:rFonts w:asciiTheme="minorHAnsi" w:hAnsiTheme="minorHAnsi" w:cstheme="minorHAnsi"/>
        </w:rPr>
        <w:t xml:space="preserve">státními zárukami nezajištěných </w:t>
      </w:r>
      <w:r w:rsidRPr="00663441">
        <w:rPr>
          <w:rFonts w:asciiTheme="minorHAnsi" w:hAnsiTheme="minorHAnsi" w:cstheme="minorHAnsi"/>
        </w:rPr>
        <w:t>komerčních úvě</w:t>
      </w:r>
      <w:r w:rsidR="00742006" w:rsidRPr="00663441">
        <w:rPr>
          <w:rFonts w:asciiTheme="minorHAnsi" w:hAnsiTheme="minorHAnsi" w:cstheme="minorHAnsi"/>
        </w:rPr>
        <w:t>rů čerpaných v minulosti Č</w:t>
      </w:r>
      <w:r w:rsidR="001D6817">
        <w:rPr>
          <w:rFonts w:asciiTheme="minorHAnsi" w:hAnsiTheme="minorHAnsi" w:cstheme="minorHAnsi"/>
        </w:rPr>
        <w:t>eskými drahami</w:t>
      </w:r>
      <w:r w:rsidRPr="00663441">
        <w:rPr>
          <w:rFonts w:asciiTheme="minorHAnsi" w:hAnsiTheme="minorHAnsi" w:cstheme="minorHAnsi"/>
        </w:rPr>
        <w:t xml:space="preserve">. V SZÚ v sešitu D. </w:t>
      </w:r>
      <w:r w:rsidRPr="00663441">
        <w:rPr>
          <w:rFonts w:asciiTheme="minorHAnsi" w:hAnsiTheme="minorHAnsi" w:cstheme="minorHAnsi"/>
          <w:i/>
        </w:rPr>
        <w:t xml:space="preserve">Zpráva o stavu a vývoji státních finančních aktiv a státních záruk </w:t>
      </w:r>
      <w:r w:rsidRPr="00663441">
        <w:rPr>
          <w:rFonts w:asciiTheme="minorHAnsi" w:hAnsiTheme="minorHAnsi" w:cstheme="minorHAnsi"/>
        </w:rPr>
        <w:t>uvádělo MF v kontrolovaném období k ručení státu podle zákona č.</w:t>
      </w:r>
      <w:r w:rsidR="00742006" w:rsidRPr="00663441">
        <w:rPr>
          <w:rFonts w:asciiTheme="minorHAnsi" w:hAnsiTheme="minorHAnsi" w:cstheme="minorHAnsi"/>
        </w:rPr>
        <w:t> </w:t>
      </w:r>
      <w:r w:rsidRPr="00663441">
        <w:rPr>
          <w:rFonts w:asciiTheme="minorHAnsi" w:hAnsiTheme="minorHAnsi" w:cstheme="minorHAnsi"/>
        </w:rPr>
        <w:t>77/2002</w:t>
      </w:r>
      <w:r w:rsidR="00742006" w:rsidRPr="00663441">
        <w:rPr>
          <w:rFonts w:asciiTheme="minorHAnsi" w:hAnsiTheme="minorHAnsi" w:cstheme="minorHAnsi"/>
        </w:rPr>
        <w:t> </w:t>
      </w:r>
      <w:r w:rsidRPr="00663441">
        <w:rPr>
          <w:rFonts w:asciiTheme="minorHAnsi" w:hAnsiTheme="minorHAnsi" w:cstheme="minorHAnsi"/>
        </w:rPr>
        <w:t xml:space="preserve">Sb. informaci, že zahrnuje pouze záruku za kontokorentní úvěr, který SŽDC čerpá dle potřeby a úroky hradí z vlastních zdrojů. Zatímco v SZÚ uvádělo MF k tomuto ručení nulovou hodnotu, na svých internetových stránkách uvádělo hodnotu </w:t>
      </w:r>
      <w:r w:rsidRPr="005631E5">
        <w:rPr>
          <w:rFonts w:asciiTheme="minorHAnsi" w:hAnsiTheme="minorHAnsi" w:cstheme="minorHAnsi"/>
        </w:rPr>
        <w:t>0,28 mld. Kč</w:t>
      </w:r>
      <w:r w:rsidRPr="00663441">
        <w:rPr>
          <w:rFonts w:asciiTheme="minorHAnsi" w:hAnsiTheme="minorHAnsi" w:cstheme="minorHAnsi"/>
        </w:rPr>
        <w:t xml:space="preserve">. </w:t>
      </w:r>
    </w:p>
    <w:p w14:paraId="32E58746" w14:textId="77777777" w:rsidR="0076441B" w:rsidRPr="00663441" w:rsidRDefault="0076441B" w:rsidP="00A44EB4">
      <w:pPr>
        <w:jc w:val="both"/>
        <w:rPr>
          <w:rFonts w:asciiTheme="minorHAnsi" w:hAnsiTheme="minorHAnsi" w:cstheme="minorHAnsi"/>
        </w:rPr>
      </w:pPr>
    </w:p>
    <w:p w14:paraId="2A836651" w14:textId="77777777" w:rsidR="00E40384" w:rsidRPr="00663441" w:rsidRDefault="00964A95" w:rsidP="00A44EB4">
      <w:pPr>
        <w:jc w:val="both"/>
        <w:rPr>
          <w:rFonts w:asciiTheme="minorHAnsi" w:hAnsiTheme="minorHAnsi" w:cstheme="minorHAnsi"/>
        </w:rPr>
      </w:pPr>
      <w:r w:rsidRPr="00663441">
        <w:rPr>
          <w:rFonts w:asciiTheme="minorHAnsi" w:hAnsiTheme="minorHAnsi" w:cstheme="minorHAnsi"/>
        </w:rPr>
        <w:t>Novelou zákona č. 218/2000 Sb.</w:t>
      </w:r>
      <w:r w:rsidRPr="00663441">
        <w:rPr>
          <w:rFonts w:asciiTheme="minorHAnsi" w:hAnsiTheme="minorHAnsi" w:cstheme="minorHAnsi"/>
          <w:vertAlign w:val="superscript"/>
        </w:rPr>
        <w:footnoteReference w:id="15"/>
      </w:r>
      <w:r w:rsidRPr="00663441">
        <w:rPr>
          <w:rFonts w:asciiTheme="minorHAnsi" w:hAnsiTheme="minorHAnsi" w:cstheme="minorHAnsi"/>
        </w:rPr>
        <w:t xml:space="preserve"> se s účinností od 10. května 2016 stala státní organizace SŽDC povinným klientem státní pokladny, </w:t>
      </w:r>
      <w:r w:rsidR="00CF0C85" w:rsidRPr="00663441">
        <w:rPr>
          <w:rFonts w:asciiTheme="minorHAnsi" w:hAnsiTheme="minorHAnsi" w:cstheme="minorHAnsi"/>
        </w:rPr>
        <w:t>což znamená, že nemůže</w:t>
      </w:r>
      <w:r w:rsidRPr="00663441">
        <w:rPr>
          <w:rFonts w:asciiTheme="minorHAnsi" w:hAnsiTheme="minorHAnsi" w:cstheme="minorHAnsi"/>
        </w:rPr>
        <w:t xml:space="preserve"> vést účty u obchodních bank a</w:t>
      </w:r>
      <w:r w:rsidR="00CF0C85" w:rsidRPr="00663441">
        <w:rPr>
          <w:rFonts w:asciiTheme="minorHAnsi" w:hAnsiTheme="minorHAnsi" w:cstheme="minorHAnsi"/>
        </w:rPr>
        <w:t> </w:t>
      </w:r>
      <w:r w:rsidRPr="00663441">
        <w:rPr>
          <w:rFonts w:asciiTheme="minorHAnsi" w:hAnsiTheme="minorHAnsi" w:cstheme="minorHAnsi"/>
        </w:rPr>
        <w:t xml:space="preserve">veškeré své peněžní prostředky musí mít převedeny na účty vedené ČNB. V souvislosti s touto změnou tak SŽDC </w:t>
      </w:r>
      <w:r w:rsidR="00CF0C85" w:rsidRPr="00663441">
        <w:rPr>
          <w:rFonts w:asciiTheme="minorHAnsi" w:hAnsiTheme="minorHAnsi" w:cstheme="minorHAnsi"/>
        </w:rPr>
        <w:t>musela</w:t>
      </w:r>
      <w:r w:rsidR="00742006" w:rsidRPr="00663441">
        <w:rPr>
          <w:rFonts w:asciiTheme="minorHAnsi" w:hAnsiTheme="minorHAnsi" w:cstheme="minorHAnsi"/>
        </w:rPr>
        <w:t xml:space="preserve"> splatit kontokorentní úvěr. </w:t>
      </w:r>
      <w:r w:rsidRPr="00663441">
        <w:rPr>
          <w:rFonts w:asciiTheme="minorHAnsi" w:hAnsiTheme="minorHAnsi" w:cstheme="minorHAnsi"/>
        </w:rPr>
        <w:t xml:space="preserve">MF </w:t>
      </w:r>
      <w:r w:rsidR="00742006" w:rsidRPr="00663441">
        <w:rPr>
          <w:rFonts w:asciiTheme="minorHAnsi" w:hAnsiTheme="minorHAnsi" w:cstheme="minorHAnsi"/>
        </w:rPr>
        <w:t>nevykázalo záruku za úvěr v</w:t>
      </w:r>
      <w:r w:rsidR="00860E65">
        <w:rPr>
          <w:rFonts w:asciiTheme="minorHAnsi" w:hAnsiTheme="minorHAnsi" w:cstheme="minorHAnsi"/>
        </w:rPr>
        <w:t> </w:t>
      </w:r>
      <w:r w:rsidR="00742006" w:rsidRPr="00663441">
        <w:rPr>
          <w:rFonts w:asciiTheme="minorHAnsi" w:hAnsiTheme="minorHAnsi" w:cstheme="minorHAnsi"/>
        </w:rPr>
        <w:t>SZÚ za rok 2016</w:t>
      </w:r>
      <w:r w:rsidR="00B50D7E">
        <w:rPr>
          <w:rFonts w:asciiTheme="minorHAnsi" w:hAnsiTheme="minorHAnsi" w:cstheme="minorHAnsi"/>
        </w:rPr>
        <w:t xml:space="preserve"> </w:t>
      </w:r>
      <w:r w:rsidR="00742006" w:rsidRPr="00663441">
        <w:rPr>
          <w:rFonts w:asciiTheme="minorHAnsi" w:hAnsiTheme="minorHAnsi" w:cstheme="minorHAnsi"/>
        </w:rPr>
        <w:t>a</w:t>
      </w:r>
      <w:r w:rsidR="00846FAC">
        <w:rPr>
          <w:rFonts w:asciiTheme="minorHAnsi" w:hAnsiTheme="minorHAnsi" w:cstheme="minorHAnsi"/>
        </w:rPr>
        <w:t>ni</w:t>
      </w:r>
      <w:r w:rsidR="00742006" w:rsidRPr="00663441">
        <w:rPr>
          <w:rFonts w:asciiTheme="minorHAnsi" w:hAnsiTheme="minorHAnsi" w:cstheme="minorHAnsi"/>
        </w:rPr>
        <w:t xml:space="preserve"> neevidovalo </w:t>
      </w:r>
      <w:r w:rsidR="00846FAC" w:rsidRPr="00663441">
        <w:rPr>
          <w:rFonts w:asciiTheme="minorHAnsi" w:hAnsiTheme="minorHAnsi" w:cstheme="minorHAnsi"/>
        </w:rPr>
        <w:t xml:space="preserve">v účetnictví </w:t>
      </w:r>
      <w:r w:rsidR="00742006" w:rsidRPr="00663441">
        <w:rPr>
          <w:rFonts w:asciiTheme="minorHAnsi" w:hAnsiTheme="minorHAnsi" w:cstheme="minorHAnsi"/>
        </w:rPr>
        <w:t xml:space="preserve">podmíněný závazek z poskytnutých garancí ve výši 280 mil. Kč </w:t>
      </w:r>
      <w:r w:rsidR="00846FAC">
        <w:rPr>
          <w:rFonts w:asciiTheme="minorHAnsi" w:hAnsiTheme="minorHAnsi" w:cstheme="minorHAnsi"/>
        </w:rPr>
        <w:t xml:space="preserve">s odůvodněním, že záruku </w:t>
      </w:r>
      <w:r w:rsidR="00846FAC" w:rsidRPr="00663441">
        <w:rPr>
          <w:rFonts w:asciiTheme="minorHAnsi" w:hAnsiTheme="minorHAnsi" w:cstheme="minorHAnsi"/>
        </w:rPr>
        <w:t>nevyhodnotilo jako rizikovou</w:t>
      </w:r>
      <w:r w:rsidR="00846FAC">
        <w:rPr>
          <w:rFonts w:asciiTheme="minorHAnsi" w:hAnsiTheme="minorHAnsi" w:cstheme="minorHAnsi"/>
        </w:rPr>
        <w:t>,</w:t>
      </w:r>
      <w:r w:rsidR="00846FAC" w:rsidRPr="00663441">
        <w:rPr>
          <w:rFonts w:asciiTheme="minorHAnsi" w:hAnsiTheme="minorHAnsi" w:cstheme="minorHAnsi"/>
        </w:rPr>
        <w:t xml:space="preserve"> </w:t>
      </w:r>
      <w:r w:rsidR="00742006" w:rsidRPr="00663441">
        <w:rPr>
          <w:rFonts w:asciiTheme="minorHAnsi" w:hAnsiTheme="minorHAnsi" w:cstheme="minorHAnsi"/>
        </w:rPr>
        <w:t xml:space="preserve">přestože </w:t>
      </w:r>
      <w:r w:rsidR="004F62E8" w:rsidRPr="00663441">
        <w:rPr>
          <w:rFonts w:asciiTheme="minorHAnsi" w:hAnsiTheme="minorHAnsi" w:cstheme="minorHAnsi"/>
        </w:rPr>
        <w:t xml:space="preserve">vzhledem k datu účinnosti novely </w:t>
      </w:r>
      <w:r w:rsidR="00A350F3">
        <w:rPr>
          <w:rFonts w:asciiTheme="minorHAnsi" w:hAnsiTheme="minorHAnsi" w:cstheme="minorHAnsi"/>
        </w:rPr>
        <w:t>byl</w:t>
      </w:r>
      <w:r w:rsidR="006A4053">
        <w:rPr>
          <w:rFonts w:asciiTheme="minorHAnsi" w:hAnsiTheme="minorHAnsi" w:cstheme="minorHAnsi"/>
        </w:rPr>
        <w:t xml:space="preserve"> zřejmý fakt</w:t>
      </w:r>
      <w:r w:rsidR="004F62E8" w:rsidRPr="00663441">
        <w:rPr>
          <w:rFonts w:asciiTheme="minorHAnsi" w:hAnsiTheme="minorHAnsi" w:cstheme="minorHAnsi"/>
        </w:rPr>
        <w:t xml:space="preserve"> o nutnosti spla</w:t>
      </w:r>
      <w:r w:rsidR="006A4053">
        <w:rPr>
          <w:rFonts w:asciiTheme="minorHAnsi" w:hAnsiTheme="minorHAnsi" w:cstheme="minorHAnsi"/>
        </w:rPr>
        <w:t>tit</w:t>
      </w:r>
      <w:r w:rsidR="004F62E8" w:rsidRPr="00663441">
        <w:rPr>
          <w:rFonts w:asciiTheme="minorHAnsi" w:hAnsiTheme="minorHAnsi" w:cstheme="minorHAnsi"/>
        </w:rPr>
        <w:t xml:space="preserve"> zaručen</w:t>
      </w:r>
      <w:r w:rsidR="006A4053">
        <w:rPr>
          <w:rFonts w:asciiTheme="minorHAnsi" w:hAnsiTheme="minorHAnsi" w:cstheme="minorHAnsi"/>
        </w:rPr>
        <w:t>ý úvěr</w:t>
      </w:r>
      <w:r w:rsidR="004F62E8" w:rsidRPr="00663441">
        <w:rPr>
          <w:rFonts w:asciiTheme="minorHAnsi" w:hAnsiTheme="minorHAnsi" w:cstheme="minorHAnsi"/>
        </w:rPr>
        <w:t xml:space="preserve">. </w:t>
      </w:r>
      <w:r w:rsidR="004D39C9" w:rsidRPr="004D39C9">
        <w:rPr>
          <w:rFonts w:asciiTheme="minorHAnsi" w:hAnsiTheme="minorHAnsi" w:cstheme="minorHAnsi"/>
        </w:rPr>
        <w:t xml:space="preserve">Účetnictví MF </w:t>
      </w:r>
      <w:r w:rsidR="00C105A9">
        <w:rPr>
          <w:rFonts w:asciiTheme="minorHAnsi" w:hAnsiTheme="minorHAnsi" w:cstheme="minorHAnsi"/>
        </w:rPr>
        <w:t xml:space="preserve">tak </w:t>
      </w:r>
      <w:r w:rsidR="00C105A9" w:rsidRPr="004D39C9">
        <w:rPr>
          <w:rFonts w:asciiTheme="minorHAnsi" w:hAnsiTheme="minorHAnsi" w:cstheme="minorHAnsi"/>
        </w:rPr>
        <w:t xml:space="preserve">nebylo </w:t>
      </w:r>
      <w:r w:rsidR="004D39C9" w:rsidRPr="004D39C9">
        <w:rPr>
          <w:rFonts w:asciiTheme="minorHAnsi" w:hAnsiTheme="minorHAnsi" w:cstheme="minorHAnsi"/>
        </w:rPr>
        <w:t>v</w:t>
      </w:r>
      <w:r w:rsidR="004D39C9">
        <w:rPr>
          <w:rFonts w:asciiTheme="minorHAnsi" w:hAnsiTheme="minorHAnsi" w:cstheme="minorHAnsi"/>
        </w:rPr>
        <w:t> </w:t>
      </w:r>
      <w:r w:rsidR="004D39C9" w:rsidRPr="004D39C9">
        <w:rPr>
          <w:rFonts w:asciiTheme="minorHAnsi" w:hAnsiTheme="minorHAnsi" w:cstheme="minorHAnsi"/>
        </w:rPr>
        <w:t>kontrolované oblasti týkající se podmíněných závazků z poskytnutých garancí v</w:t>
      </w:r>
      <w:r w:rsidR="004A1539">
        <w:rPr>
          <w:rFonts w:asciiTheme="minorHAnsi" w:hAnsiTheme="minorHAnsi" w:cstheme="minorHAnsi"/>
        </w:rPr>
        <w:t> </w:t>
      </w:r>
      <w:r w:rsidR="004D39C9" w:rsidRPr="004D39C9">
        <w:rPr>
          <w:rFonts w:asciiTheme="minorHAnsi" w:hAnsiTheme="minorHAnsi" w:cstheme="minorHAnsi"/>
        </w:rPr>
        <w:t xml:space="preserve">roce </w:t>
      </w:r>
      <w:r w:rsidR="004D39C9" w:rsidRPr="004D39C9">
        <w:rPr>
          <w:rFonts w:asciiTheme="minorHAnsi" w:hAnsiTheme="minorHAnsi" w:cstheme="minorHAnsi"/>
        </w:rPr>
        <w:lastRenderedPageBreak/>
        <w:t xml:space="preserve">2016 úplné ve smyslu </w:t>
      </w:r>
      <w:r w:rsidR="00D04451">
        <w:rPr>
          <w:rFonts w:asciiTheme="minorHAnsi" w:hAnsiTheme="minorHAnsi" w:cstheme="minorHAnsi"/>
        </w:rPr>
        <w:t>u</w:t>
      </w:r>
      <w:r w:rsidR="004D39C9" w:rsidRPr="004D39C9">
        <w:rPr>
          <w:rFonts w:asciiTheme="minorHAnsi" w:hAnsiTheme="minorHAnsi" w:cstheme="minorHAnsi"/>
        </w:rPr>
        <w:t>stanovení § 8 odst. 3 zákona č. 563/1991 Sb., o účetnictví.</w:t>
      </w:r>
      <w:r w:rsidR="0004352C">
        <w:rPr>
          <w:rFonts w:asciiTheme="minorHAnsi" w:hAnsiTheme="minorHAnsi" w:cstheme="minorHAnsi"/>
        </w:rPr>
        <w:t xml:space="preserve"> </w:t>
      </w:r>
      <w:r w:rsidRPr="00663441">
        <w:rPr>
          <w:rFonts w:asciiTheme="minorHAnsi" w:hAnsiTheme="minorHAnsi" w:cstheme="minorHAnsi"/>
        </w:rPr>
        <w:t>Jistinu kontokorentního úvěru ve výši 280 mil. Kč uhradilo MF v roce 20</w:t>
      </w:r>
      <w:r w:rsidR="00860E65">
        <w:rPr>
          <w:rFonts w:asciiTheme="minorHAnsi" w:hAnsiTheme="minorHAnsi" w:cstheme="minorHAnsi"/>
        </w:rPr>
        <w:t>17.</w:t>
      </w:r>
    </w:p>
    <w:p w14:paraId="0DF8FBC2" w14:textId="77777777" w:rsidR="00F40DD1" w:rsidRPr="00663441" w:rsidRDefault="00F40DD1" w:rsidP="00A44EB4">
      <w:pPr>
        <w:jc w:val="both"/>
        <w:rPr>
          <w:rFonts w:asciiTheme="minorHAnsi" w:hAnsiTheme="minorHAnsi" w:cstheme="minorHAnsi"/>
        </w:rPr>
      </w:pPr>
    </w:p>
    <w:p w14:paraId="23DEFC26" w14:textId="558EBEE9" w:rsidR="00F40DD1" w:rsidRPr="00F40DD1" w:rsidRDefault="005F66EC" w:rsidP="00A44EB4">
      <w:pPr>
        <w:ind w:left="426" w:hanging="426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1</w:t>
      </w:r>
      <w:r w:rsidR="00F40DD1" w:rsidRPr="00663441">
        <w:rPr>
          <w:rFonts w:asciiTheme="minorHAnsi" w:hAnsiTheme="minorHAnsi" w:cstheme="minorHAnsi"/>
          <w:i/>
        </w:rPr>
        <w:t>.</w:t>
      </w:r>
      <w:r w:rsidR="00F40DD1">
        <w:rPr>
          <w:rFonts w:asciiTheme="minorHAnsi" w:hAnsiTheme="minorHAnsi" w:cstheme="minorHAnsi"/>
          <w:i/>
        </w:rPr>
        <w:t>2</w:t>
      </w:r>
      <w:r w:rsidR="007827D8">
        <w:rPr>
          <w:rFonts w:asciiTheme="minorHAnsi" w:hAnsiTheme="minorHAnsi" w:cstheme="minorHAnsi"/>
          <w:i/>
        </w:rPr>
        <w:t xml:space="preserve"> </w:t>
      </w:r>
      <w:r w:rsidR="00F40DD1" w:rsidRPr="00F40DD1">
        <w:rPr>
          <w:rFonts w:asciiTheme="minorHAnsi" w:hAnsiTheme="minorHAnsi" w:cstheme="minorHAnsi"/>
          <w:i/>
        </w:rPr>
        <w:t xml:space="preserve">Nesoulad závazků ze státních záruk evidovaných v účetnictví a </w:t>
      </w:r>
      <w:r w:rsidR="00ED6F90">
        <w:rPr>
          <w:rFonts w:asciiTheme="minorHAnsi" w:hAnsiTheme="minorHAnsi" w:cstheme="minorHAnsi"/>
          <w:i/>
        </w:rPr>
        <w:t xml:space="preserve">uvedených </w:t>
      </w:r>
      <w:r w:rsidR="00F40DD1" w:rsidRPr="00F40DD1">
        <w:rPr>
          <w:rFonts w:asciiTheme="minorHAnsi" w:hAnsiTheme="minorHAnsi" w:cstheme="minorHAnsi"/>
          <w:i/>
        </w:rPr>
        <w:t>v SZÚ</w:t>
      </w:r>
    </w:p>
    <w:p w14:paraId="3C7BF9E6" w14:textId="77777777" w:rsidR="00A44EB4" w:rsidRDefault="00A44EB4" w:rsidP="00A44EB4">
      <w:pPr>
        <w:pStyle w:val="Bezmezer"/>
        <w:jc w:val="both"/>
        <w:rPr>
          <w:rFonts w:cstheme="minorHAnsi"/>
          <w:noProof/>
          <w:sz w:val="24"/>
          <w:szCs w:val="24"/>
        </w:rPr>
      </w:pPr>
    </w:p>
    <w:p w14:paraId="7B2EB9F4" w14:textId="1A8677A7" w:rsidR="00F40DD1" w:rsidRDefault="00F40DD1" w:rsidP="00A44EB4">
      <w:pPr>
        <w:pStyle w:val="Bezmezer"/>
        <w:jc w:val="both"/>
        <w:rPr>
          <w:rFonts w:cstheme="minorHAnsi"/>
          <w:noProof/>
          <w:sz w:val="24"/>
          <w:szCs w:val="24"/>
        </w:rPr>
      </w:pPr>
      <w:r w:rsidRPr="00663441">
        <w:rPr>
          <w:rFonts w:cstheme="minorHAnsi"/>
          <w:noProof/>
          <w:sz w:val="24"/>
          <w:szCs w:val="24"/>
        </w:rPr>
        <w:t>MF promítlo stav státních záruk v kontrolovaném období do účetnictví, a to jako podmíněné závazky na podrozvahové účty</w:t>
      </w:r>
      <w:r w:rsidR="007827D8">
        <w:rPr>
          <w:rFonts w:cstheme="minorHAnsi"/>
          <w:noProof/>
          <w:sz w:val="24"/>
          <w:szCs w:val="24"/>
        </w:rPr>
        <w:t>,</w:t>
      </w:r>
      <w:r w:rsidRPr="00663441">
        <w:rPr>
          <w:rFonts w:cstheme="minorHAnsi"/>
          <w:noProof/>
          <w:sz w:val="24"/>
          <w:szCs w:val="24"/>
        </w:rPr>
        <w:t xml:space="preserve"> a jejich skutečný stav zjišťovalo k 31. 12. let 2012 až 2016 dokladovými inventurami. </w:t>
      </w:r>
    </w:p>
    <w:p w14:paraId="4AA0B7D5" w14:textId="77777777" w:rsidR="00A44EB4" w:rsidRPr="00663441" w:rsidRDefault="00A44EB4" w:rsidP="00A44EB4">
      <w:pPr>
        <w:pStyle w:val="Bezmezer"/>
        <w:jc w:val="both"/>
        <w:rPr>
          <w:rFonts w:cstheme="minorHAnsi"/>
          <w:noProof/>
          <w:sz w:val="24"/>
          <w:szCs w:val="24"/>
        </w:rPr>
      </w:pPr>
    </w:p>
    <w:p w14:paraId="12B93954" w14:textId="58967F72" w:rsidR="00F40DD1" w:rsidRPr="00663441" w:rsidRDefault="00F40DD1" w:rsidP="00A44EB4">
      <w:pPr>
        <w:pStyle w:val="Bezmezer"/>
        <w:jc w:val="both"/>
        <w:rPr>
          <w:rFonts w:cstheme="minorHAnsi"/>
          <w:noProof/>
          <w:sz w:val="24"/>
          <w:szCs w:val="24"/>
        </w:rPr>
      </w:pPr>
      <w:r w:rsidRPr="00663441">
        <w:rPr>
          <w:rFonts w:cstheme="minorHAnsi"/>
          <w:noProof/>
          <w:sz w:val="24"/>
          <w:szCs w:val="24"/>
        </w:rPr>
        <w:t xml:space="preserve">Stav podmíněných závazků evidovaný v účetnictví k 31. 12. 2014 se lišil oproti údaji uvedenému ve </w:t>
      </w:r>
      <w:r w:rsidR="007827D8">
        <w:rPr>
          <w:rFonts w:cstheme="minorHAnsi"/>
          <w:noProof/>
          <w:sz w:val="24"/>
          <w:szCs w:val="24"/>
        </w:rPr>
        <w:t>s</w:t>
      </w:r>
      <w:r w:rsidRPr="00663441">
        <w:rPr>
          <w:rFonts w:cstheme="minorHAnsi"/>
          <w:noProof/>
          <w:sz w:val="24"/>
          <w:szCs w:val="24"/>
        </w:rPr>
        <w:t xml:space="preserve">tátním závěrečném účtu, </w:t>
      </w:r>
      <w:r w:rsidR="007827D8">
        <w:rPr>
          <w:rFonts w:cstheme="minorHAnsi"/>
          <w:noProof/>
          <w:sz w:val="24"/>
          <w:szCs w:val="24"/>
        </w:rPr>
        <w:t>v </w:t>
      </w:r>
      <w:r w:rsidRPr="00663441">
        <w:rPr>
          <w:rFonts w:cstheme="minorHAnsi"/>
          <w:noProof/>
          <w:sz w:val="24"/>
          <w:szCs w:val="24"/>
        </w:rPr>
        <w:t xml:space="preserve">sešitě D. </w:t>
      </w:r>
      <w:r w:rsidRPr="00663441">
        <w:rPr>
          <w:rFonts w:cstheme="minorHAnsi"/>
          <w:i/>
          <w:noProof/>
          <w:sz w:val="24"/>
          <w:szCs w:val="24"/>
        </w:rPr>
        <w:t xml:space="preserve">Zpráva o stavu a vývoji státních finančních aktiv a státních záruk. </w:t>
      </w:r>
      <w:r w:rsidRPr="00663441">
        <w:rPr>
          <w:rFonts w:cstheme="minorHAnsi"/>
          <w:noProof/>
          <w:sz w:val="24"/>
          <w:szCs w:val="24"/>
        </w:rPr>
        <w:t>Ministerstvo financí uvedlo v SZÚ částku o 15,6 mil. Kč nižší</w:t>
      </w:r>
      <w:r w:rsidR="007827D8">
        <w:rPr>
          <w:rFonts w:cstheme="minorHAnsi"/>
          <w:noProof/>
          <w:sz w:val="24"/>
          <w:szCs w:val="24"/>
        </w:rPr>
        <w:t>,</w:t>
      </w:r>
      <w:r w:rsidRPr="00663441">
        <w:rPr>
          <w:rFonts w:cstheme="minorHAnsi"/>
          <w:noProof/>
          <w:sz w:val="24"/>
          <w:szCs w:val="24"/>
        </w:rPr>
        <w:t xml:space="preserve"> než </w:t>
      </w:r>
      <w:r w:rsidR="00925B4B">
        <w:rPr>
          <w:rFonts w:cstheme="minorHAnsi"/>
          <w:noProof/>
          <w:sz w:val="24"/>
          <w:szCs w:val="24"/>
        </w:rPr>
        <w:t xml:space="preserve">byl </w:t>
      </w:r>
      <w:r w:rsidRPr="00663441">
        <w:rPr>
          <w:rFonts w:cstheme="minorHAnsi"/>
          <w:noProof/>
          <w:sz w:val="24"/>
          <w:szCs w:val="24"/>
        </w:rPr>
        <w:t>stav</w:t>
      </w:r>
      <w:r w:rsidR="00860E65">
        <w:rPr>
          <w:rFonts w:cstheme="minorHAnsi"/>
          <w:noProof/>
          <w:sz w:val="24"/>
          <w:szCs w:val="24"/>
        </w:rPr>
        <w:t xml:space="preserve"> správně </w:t>
      </w:r>
      <w:r w:rsidR="00C105A9">
        <w:rPr>
          <w:rFonts w:cstheme="minorHAnsi"/>
          <w:noProof/>
          <w:sz w:val="24"/>
          <w:szCs w:val="24"/>
        </w:rPr>
        <w:t>vedený</w:t>
      </w:r>
      <w:r w:rsidR="00C105A9" w:rsidRPr="00663441">
        <w:rPr>
          <w:rFonts w:cstheme="minorHAnsi"/>
          <w:noProof/>
          <w:sz w:val="24"/>
          <w:szCs w:val="24"/>
        </w:rPr>
        <w:t xml:space="preserve"> </w:t>
      </w:r>
      <w:r w:rsidRPr="00663441">
        <w:rPr>
          <w:rFonts w:cstheme="minorHAnsi"/>
          <w:noProof/>
          <w:sz w:val="24"/>
          <w:szCs w:val="24"/>
        </w:rPr>
        <w:t>v účetnictví ve výši 12 761,7 mil. Kč.</w:t>
      </w:r>
    </w:p>
    <w:p w14:paraId="66D901E9" w14:textId="77777777" w:rsidR="00F40DD1" w:rsidRDefault="00F40DD1" w:rsidP="00A44EB4">
      <w:pPr>
        <w:jc w:val="both"/>
        <w:rPr>
          <w:rFonts w:asciiTheme="minorHAnsi" w:hAnsiTheme="minorHAnsi" w:cstheme="minorHAnsi"/>
        </w:rPr>
      </w:pPr>
    </w:p>
    <w:p w14:paraId="2E2B42E7" w14:textId="77777777" w:rsidR="00E40384" w:rsidRPr="00663441" w:rsidRDefault="005F66EC" w:rsidP="00A44EB4">
      <w:pPr>
        <w:ind w:left="426" w:hanging="426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1</w:t>
      </w:r>
      <w:r w:rsidR="003243F2" w:rsidRPr="00663441">
        <w:rPr>
          <w:rFonts w:asciiTheme="minorHAnsi" w:hAnsiTheme="minorHAnsi" w:cstheme="minorHAnsi"/>
          <w:i/>
        </w:rPr>
        <w:t>.</w:t>
      </w:r>
      <w:r w:rsidR="00F40DD1">
        <w:rPr>
          <w:rFonts w:asciiTheme="minorHAnsi" w:hAnsiTheme="minorHAnsi" w:cstheme="minorHAnsi"/>
          <w:i/>
        </w:rPr>
        <w:t>3</w:t>
      </w:r>
      <w:r w:rsidR="003243F2" w:rsidRPr="00663441">
        <w:rPr>
          <w:rFonts w:asciiTheme="minorHAnsi" w:hAnsiTheme="minorHAnsi" w:cstheme="minorHAnsi"/>
          <w:i/>
        </w:rPr>
        <w:tab/>
      </w:r>
      <w:r w:rsidR="00964A95" w:rsidRPr="00663441">
        <w:rPr>
          <w:rFonts w:asciiTheme="minorHAnsi" w:hAnsiTheme="minorHAnsi" w:cstheme="minorHAnsi"/>
          <w:i/>
        </w:rPr>
        <w:t>Stát ručí za závazky příspěvkových organizací</w:t>
      </w:r>
      <w:r w:rsidR="00F104F4" w:rsidRPr="00F104F4">
        <w:t xml:space="preserve"> </w:t>
      </w:r>
      <w:r w:rsidR="00F104F4" w:rsidRPr="00F104F4">
        <w:rPr>
          <w:rFonts w:asciiTheme="minorHAnsi" w:hAnsiTheme="minorHAnsi" w:cstheme="minorHAnsi"/>
          <w:i/>
        </w:rPr>
        <w:t>vzniklé v souvislosti s provozováním hlavní činnosti</w:t>
      </w:r>
      <w:r w:rsidR="00964A95" w:rsidRPr="00663441">
        <w:rPr>
          <w:rFonts w:asciiTheme="minorHAnsi" w:hAnsiTheme="minorHAnsi" w:cstheme="minorHAnsi"/>
          <w:i/>
        </w:rPr>
        <w:t xml:space="preserve">, ale právní předpisy nestanovují povinnost informovat o jejich </w:t>
      </w:r>
      <w:r w:rsidR="003243F2" w:rsidRPr="00663441">
        <w:rPr>
          <w:rFonts w:asciiTheme="minorHAnsi" w:hAnsiTheme="minorHAnsi" w:cstheme="minorHAnsi"/>
          <w:i/>
        </w:rPr>
        <w:t xml:space="preserve">souhrnné </w:t>
      </w:r>
      <w:r w:rsidR="00964A95" w:rsidRPr="00663441">
        <w:rPr>
          <w:rFonts w:asciiTheme="minorHAnsi" w:hAnsiTheme="minorHAnsi" w:cstheme="minorHAnsi"/>
          <w:i/>
        </w:rPr>
        <w:t>výši</w:t>
      </w:r>
      <w:r w:rsidR="00CB3FBB" w:rsidRPr="00663441">
        <w:rPr>
          <w:rFonts w:asciiTheme="minorHAnsi" w:hAnsiTheme="minorHAnsi" w:cstheme="minorHAnsi"/>
          <w:i/>
        </w:rPr>
        <w:t xml:space="preserve"> v</w:t>
      </w:r>
      <w:r w:rsidR="00A012DE">
        <w:rPr>
          <w:rFonts w:asciiTheme="minorHAnsi" w:hAnsiTheme="minorHAnsi" w:cstheme="minorHAnsi"/>
          <w:i/>
        </w:rPr>
        <w:t> </w:t>
      </w:r>
      <w:r w:rsidR="00CB3FBB" w:rsidRPr="00663441">
        <w:rPr>
          <w:rFonts w:asciiTheme="minorHAnsi" w:hAnsiTheme="minorHAnsi" w:cstheme="minorHAnsi"/>
          <w:i/>
        </w:rPr>
        <w:t>SZÚ</w:t>
      </w:r>
      <w:r w:rsidR="00A012DE">
        <w:rPr>
          <w:rFonts w:asciiTheme="minorHAnsi" w:hAnsiTheme="minorHAnsi" w:cstheme="minorHAnsi"/>
          <w:i/>
        </w:rPr>
        <w:t xml:space="preserve"> </w:t>
      </w:r>
      <w:r w:rsidR="00450D2E">
        <w:rPr>
          <w:rFonts w:asciiTheme="minorHAnsi" w:hAnsiTheme="minorHAnsi" w:cstheme="minorHAnsi"/>
          <w:i/>
        </w:rPr>
        <w:t xml:space="preserve">ani </w:t>
      </w:r>
      <w:r w:rsidR="00A012DE">
        <w:rPr>
          <w:rFonts w:asciiTheme="minorHAnsi" w:hAnsiTheme="minorHAnsi" w:cstheme="minorHAnsi"/>
          <w:i/>
        </w:rPr>
        <w:t>v</w:t>
      </w:r>
      <w:r w:rsidR="003D7A3C">
        <w:rPr>
          <w:rFonts w:asciiTheme="minorHAnsi" w:hAnsiTheme="minorHAnsi" w:cstheme="minorHAnsi"/>
          <w:i/>
        </w:rPr>
        <w:t> závěrečných účtech</w:t>
      </w:r>
      <w:r w:rsidR="00333CB4">
        <w:rPr>
          <w:rFonts w:asciiTheme="minorHAnsi" w:hAnsiTheme="minorHAnsi" w:cstheme="minorHAnsi"/>
          <w:i/>
        </w:rPr>
        <w:t xml:space="preserve"> kapitol státního rozpočtu</w:t>
      </w:r>
    </w:p>
    <w:p w14:paraId="4CB26A0A" w14:textId="77777777" w:rsidR="00A44EB4" w:rsidRDefault="00A44EB4" w:rsidP="00A44EB4">
      <w:pPr>
        <w:jc w:val="both"/>
        <w:rPr>
          <w:rFonts w:asciiTheme="minorHAnsi" w:hAnsiTheme="minorHAnsi" w:cstheme="minorHAnsi"/>
        </w:rPr>
      </w:pPr>
    </w:p>
    <w:p w14:paraId="739ADE77" w14:textId="3CF0E25C" w:rsidR="007C5FBF" w:rsidRDefault="007C5FBF" w:rsidP="00A44EB4">
      <w:pPr>
        <w:jc w:val="both"/>
        <w:rPr>
          <w:rFonts w:asciiTheme="minorHAnsi" w:hAnsiTheme="minorHAnsi" w:cstheme="minorHAnsi"/>
        </w:rPr>
      </w:pPr>
      <w:r w:rsidRPr="00663441">
        <w:rPr>
          <w:rFonts w:asciiTheme="minorHAnsi" w:hAnsiTheme="minorHAnsi" w:cstheme="minorHAnsi"/>
        </w:rPr>
        <w:t>Podle</w:t>
      </w:r>
      <w:r w:rsidR="00B4319B">
        <w:rPr>
          <w:rFonts w:asciiTheme="minorHAnsi" w:hAnsiTheme="minorHAnsi" w:cstheme="minorHAnsi"/>
        </w:rPr>
        <w:t xml:space="preserve"> zákona č. 218/2000 Sb.</w:t>
      </w:r>
      <w:r w:rsidRPr="00663441">
        <w:rPr>
          <w:rStyle w:val="Znakapoznpodarou"/>
          <w:rFonts w:asciiTheme="minorHAnsi" w:eastAsiaTheme="minorHAnsi" w:hAnsiTheme="minorHAnsi" w:cstheme="minorHAnsi"/>
          <w:lang w:eastAsia="en-US"/>
        </w:rPr>
        <w:footnoteReference w:id="16"/>
      </w:r>
      <w:r w:rsidRPr="00663441">
        <w:rPr>
          <w:rFonts w:asciiTheme="minorHAnsi" w:hAnsiTheme="minorHAnsi" w:cstheme="minorHAnsi"/>
        </w:rPr>
        <w:t xml:space="preserve"> stát ručí za závazky příspěvkových organizací vzniklé v souvislosti s provozováním jejich hlavní činnosti. Ručení státu za závazky příspěvkových organizací bylo schváleno </w:t>
      </w:r>
      <w:r w:rsidR="00D92785">
        <w:rPr>
          <w:rFonts w:asciiTheme="minorHAnsi" w:hAnsiTheme="minorHAnsi" w:cstheme="minorHAnsi"/>
        </w:rPr>
        <w:t>například</w:t>
      </w:r>
      <w:r w:rsidR="00D92785" w:rsidRPr="00663441">
        <w:rPr>
          <w:rFonts w:asciiTheme="minorHAnsi" w:hAnsiTheme="minorHAnsi" w:cstheme="minorHAnsi"/>
        </w:rPr>
        <w:t xml:space="preserve"> </w:t>
      </w:r>
      <w:r w:rsidRPr="00663441">
        <w:rPr>
          <w:rFonts w:asciiTheme="minorHAnsi" w:hAnsiTheme="minorHAnsi" w:cstheme="minorHAnsi"/>
        </w:rPr>
        <w:t>z důvodu odvrácení hrozeb prohlášení konkurzů na nemocnice.</w:t>
      </w:r>
      <w:r w:rsidRPr="00663441">
        <w:rPr>
          <w:rStyle w:val="Znakapoznpodarou"/>
          <w:rFonts w:asciiTheme="minorHAnsi" w:eastAsiaTheme="minorHAnsi" w:hAnsiTheme="minorHAnsi" w:cstheme="minorHAnsi"/>
          <w:lang w:eastAsia="en-US"/>
        </w:rPr>
        <w:footnoteReference w:id="17"/>
      </w:r>
    </w:p>
    <w:p w14:paraId="17557D75" w14:textId="77777777" w:rsidR="00A44EB4" w:rsidRDefault="00A44EB4" w:rsidP="00A44EB4">
      <w:pPr>
        <w:jc w:val="both"/>
        <w:rPr>
          <w:rFonts w:asciiTheme="minorHAnsi" w:hAnsiTheme="minorHAnsi" w:cstheme="minorHAnsi"/>
        </w:rPr>
      </w:pPr>
    </w:p>
    <w:p w14:paraId="45BABFA7" w14:textId="127014BB" w:rsidR="00E43904" w:rsidRDefault="00E43904" w:rsidP="00A44EB4">
      <w:pPr>
        <w:jc w:val="both"/>
        <w:rPr>
          <w:rFonts w:asciiTheme="minorHAnsi" w:hAnsiTheme="minorHAnsi" w:cstheme="minorHAnsi"/>
        </w:rPr>
      </w:pPr>
      <w:r w:rsidRPr="00663441">
        <w:rPr>
          <w:rFonts w:asciiTheme="minorHAnsi" w:hAnsiTheme="minorHAnsi" w:cstheme="minorHAnsi"/>
        </w:rPr>
        <w:t>Z veřejně dostupných zdrojů</w:t>
      </w:r>
      <w:r w:rsidRPr="00663441">
        <w:rPr>
          <w:rStyle w:val="Znakapoznpodarou"/>
          <w:rFonts w:asciiTheme="minorHAnsi" w:eastAsiaTheme="minorHAnsi" w:hAnsiTheme="minorHAnsi" w:cstheme="minorHAnsi"/>
          <w:lang w:eastAsia="en-US"/>
        </w:rPr>
        <w:footnoteReference w:id="18"/>
      </w:r>
      <w:r w:rsidRPr="00663441">
        <w:rPr>
          <w:rFonts w:asciiTheme="minorHAnsi" w:hAnsiTheme="minorHAnsi" w:cstheme="minorHAnsi"/>
        </w:rPr>
        <w:t xml:space="preserve"> lze čerpat údaje o závazcích jednotlivých příspěvkových organizací, nikoli o závazcích souvisejících s provozováním jejich</w:t>
      </w:r>
      <w:r w:rsidR="007827D8">
        <w:rPr>
          <w:rFonts w:asciiTheme="minorHAnsi" w:hAnsiTheme="minorHAnsi" w:cstheme="minorHAnsi"/>
        </w:rPr>
        <w:t xml:space="preserve"> </w:t>
      </w:r>
      <w:r w:rsidRPr="00663441">
        <w:rPr>
          <w:rFonts w:asciiTheme="minorHAnsi" w:hAnsiTheme="minorHAnsi" w:cstheme="minorHAnsi"/>
        </w:rPr>
        <w:t>hlavní činnosti. Souhrnný stav závazků příspěvkových organizací podle výpočtu NKÚ činil k 31. 12. 2016 celkem 34</w:t>
      </w:r>
      <w:r w:rsidR="007827D8">
        <w:rPr>
          <w:rFonts w:asciiTheme="minorHAnsi" w:hAnsiTheme="minorHAnsi" w:cstheme="minorHAnsi"/>
        </w:rPr>
        <w:t> </w:t>
      </w:r>
      <w:r w:rsidRPr="00663441">
        <w:rPr>
          <w:rFonts w:asciiTheme="minorHAnsi" w:hAnsiTheme="minorHAnsi" w:cstheme="minorHAnsi"/>
        </w:rPr>
        <w:t>mld.</w:t>
      </w:r>
      <w:r w:rsidR="007827D8">
        <w:rPr>
          <w:rFonts w:asciiTheme="minorHAnsi" w:hAnsiTheme="minorHAnsi" w:cstheme="minorHAnsi"/>
        </w:rPr>
        <w:t> </w:t>
      </w:r>
      <w:r w:rsidRPr="00663441">
        <w:rPr>
          <w:rFonts w:asciiTheme="minorHAnsi" w:hAnsiTheme="minorHAnsi" w:cstheme="minorHAnsi"/>
        </w:rPr>
        <w:t>Kč a oproti roku 2014 se zvýšil o 42 %.</w:t>
      </w:r>
      <w:r w:rsidR="008950F2">
        <w:rPr>
          <w:rFonts w:asciiTheme="minorHAnsi" w:hAnsiTheme="minorHAnsi" w:cstheme="minorHAnsi"/>
        </w:rPr>
        <w:t xml:space="preserve"> </w:t>
      </w:r>
      <w:r w:rsidR="00C105A9">
        <w:rPr>
          <w:rFonts w:asciiTheme="minorHAnsi" w:hAnsiTheme="minorHAnsi" w:cstheme="minorHAnsi"/>
        </w:rPr>
        <w:t>Náklady z h</w:t>
      </w:r>
      <w:r w:rsidRPr="00663441">
        <w:rPr>
          <w:rFonts w:asciiTheme="minorHAnsi" w:hAnsiTheme="minorHAnsi" w:cstheme="minorHAnsi"/>
        </w:rPr>
        <w:t>ospodářsk</w:t>
      </w:r>
      <w:r w:rsidR="00C105A9">
        <w:rPr>
          <w:rFonts w:asciiTheme="minorHAnsi" w:hAnsiTheme="minorHAnsi" w:cstheme="minorHAnsi"/>
        </w:rPr>
        <w:t>é</w:t>
      </w:r>
      <w:r w:rsidRPr="00663441">
        <w:rPr>
          <w:rFonts w:asciiTheme="minorHAnsi" w:hAnsiTheme="minorHAnsi" w:cstheme="minorHAnsi"/>
        </w:rPr>
        <w:t xml:space="preserve"> činnost</w:t>
      </w:r>
      <w:r w:rsidR="00C105A9">
        <w:rPr>
          <w:rFonts w:asciiTheme="minorHAnsi" w:hAnsiTheme="minorHAnsi" w:cstheme="minorHAnsi"/>
        </w:rPr>
        <w:t>i</w:t>
      </w:r>
      <w:r w:rsidRPr="00663441">
        <w:rPr>
          <w:rFonts w:asciiTheme="minorHAnsi" w:hAnsiTheme="minorHAnsi" w:cstheme="minorHAnsi"/>
        </w:rPr>
        <w:t xml:space="preserve"> příspěvkových organizací j</w:t>
      </w:r>
      <w:r w:rsidR="00C105A9">
        <w:rPr>
          <w:rFonts w:asciiTheme="minorHAnsi" w:hAnsiTheme="minorHAnsi" w:cstheme="minorHAnsi"/>
        </w:rPr>
        <w:t>sou</w:t>
      </w:r>
      <w:r w:rsidRPr="00663441">
        <w:rPr>
          <w:rFonts w:asciiTheme="minorHAnsi" w:hAnsiTheme="minorHAnsi" w:cstheme="minorHAnsi"/>
        </w:rPr>
        <w:t xml:space="preserve"> oproti </w:t>
      </w:r>
      <w:r w:rsidR="00C105A9">
        <w:rPr>
          <w:rFonts w:asciiTheme="minorHAnsi" w:hAnsiTheme="minorHAnsi" w:cstheme="minorHAnsi"/>
        </w:rPr>
        <w:t xml:space="preserve">nákladům z </w:t>
      </w:r>
      <w:r w:rsidRPr="00663441">
        <w:rPr>
          <w:rFonts w:asciiTheme="minorHAnsi" w:hAnsiTheme="minorHAnsi" w:cstheme="minorHAnsi"/>
        </w:rPr>
        <w:t>jejich hlavní činnosti nevýznamn</w:t>
      </w:r>
      <w:r w:rsidR="00C105A9">
        <w:rPr>
          <w:rFonts w:asciiTheme="minorHAnsi" w:hAnsiTheme="minorHAnsi" w:cstheme="minorHAnsi"/>
        </w:rPr>
        <w:t>é</w:t>
      </w:r>
      <w:r w:rsidR="007827D8">
        <w:rPr>
          <w:rFonts w:asciiTheme="minorHAnsi" w:hAnsiTheme="minorHAnsi" w:cstheme="minorHAnsi"/>
        </w:rPr>
        <w:t>,</w:t>
      </w:r>
      <w:r w:rsidRPr="00663441">
        <w:rPr>
          <w:rFonts w:asciiTheme="minorHAnsi" w:hAnsiTheme="minorHAnsi" w:cstheme="minorHAnsi"/>
        </w:rPr>
        <w:t xml:space="preserve"> a </w:t>
      </w:r>
      <w:r w:rsidR="00C105A9">
        <w:rPr>
          <w:rFonts w:asciiTheme="minorHAnsi" w:hAnsiTheme="minorHAnsi" w:cstheme="minorHAnsi"/>
        </w:rPr>
        <w:t xml:space="preserve">hospodářská činnost </w:t>
      </w:r>
      <w:r w:rsidRPr="00663441">
        <w:rPr>
          <w:rFonts w:asciiTheme="minorHAnsi" w:hAnsiTheme="minorHAnsi" w:cstheme="minorHAnsi"/>
        </w:rPr>
        <w:t xml:space="preserve">by </w:t>
      </w:r>
      <w:r>
        <w:rPr>
          <w:rFonts w:asciiTheme="minorHAnsi" w:hAnsiTheme="minorHAnsi" w:cstheme="minorHAnsi"/>
        </w:rPr>
        <w:t xml:space="preserve">proto </w:t>
      </w:r>
      <w:r w:rsidR="00C105A9" w:rsidRPr="00663441">
        <w:rPr>
          <w:rFonts w:asciiTheme="minorHAnsi" w:hAnsiTheme="minorHAnsi" w:cstheme="minorHAnsi"/>
        </w:rPr>
        <w:t xml:space="preserve">neměla </w:t>
      </w:r>
      <w:r w:rsidRPr="00663441">
        <w:rPr>
          <w:rFonts w:asciiTheme="minorHAnsi" w:hAnsiTheme="minorHAnsi" w:cstheme="minorHAnsi"/>
        </w:rPr>
        <w:t>zásadně ovlivnit celkový stav závazků</w:t>
      </w:r>
      <w:r>
        <w:rPr>
          <w:rFonts w:asciiTheme="minorHAnsi" w:hAnsiTheme="minorHAnsi" w:cstheme="minorHAnsi"/>
        </w:rPr>
        <w:t>.</w:t>
      </w:r>
      <w:r w:rsidRPr="0066344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Pro ilustraci</w:t>
      </w:r>
      <w:r w:rsidR="007827D8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Pr="00663441">
        <w:rPr>
          <w:rFonts w:asciiTheme="minorHAnsi" w:hAnsiTheme="minorHAnsi" w:cstheme="minorHAnsi"/>
        </w:rPr>
        <w:t>náklad</w:t>
      </w:r>
      <w:r>
        <w:rPr>
          <w:rFonts w:asciiTheme="minorHAnsi" w:hAnsiTheme="minorHAnsi" w:cstheme="minorHAnsi"/>
        </w:rPr>
        <w:t>y</w:t>
      </w:r>
      <w:r w:rsidRPr="00663441">
        <w:rPr>
          <w:rFonts w:asciiTheme="minorHAnsi" w:hAnsiTheme="minorHAnsi" w:cstheme="minorHAnsi"/>
        </w:rPr>
        <w:t xml:space="preserve"> příspěvkových organizací z hospodářské činnosti dosáhly v roce 2016 částky 1,6 mld. Kč oproti 130,6 mld. Kč z hlavní činnosti.</w:t>
      </w:r>
      <w:r w:rsidR="00274F41">
        <w:rPr>
          <w:rStyle w:val="Znakapoznpodarou"/>
          <w:rFonts w:asciiTheme="minorHAnsi" w:hAnsiTheme="minorHAnsi" w:cstheme="minorHAnsi"/>
        </w:rPr>
        <w:footnoteReference w:id="19"/>
      </w:r>
      <w:r w:rsidRPr="00663441">
        <w:rPr>
          <w:rFonts w:asciiTheme="minorHAnsi" w:hAnsiTheme="minorHAnsi" w:cstheme="minorHAnsi"/>
        </w:rPr>
        <w:t xml:space="preserve"> Závazky příspěvkových organizací kapitoly 335 – </w:t>
      </w:r>
      <w:r w:rsidRPr="007C3182">
        <w:rPr>
          <w:rFonts w:asciiTheme="minorHAnsi" w:hAnsiTheme="minorHAnsi" w:cstheme="minorHAnsi"/>
          <w:i/>
        </w:rPr>
        <w:t>Ministerstvo zdravotnictví</w:t>
      </w:r>
      <w:r w:rsidRPr="00663441">
        <w:rPr>
          <w:rFonts w:asciiTheme="minorHAnsi" w:hAnsiTheme="minorHAnsi" w:cstheme="minorHAnsi"/>
        </w:rPr>
        <w:t xml:space="preserve">, ke kterým patří zejména nemocnice, představují téměř 50 % celkového objemu závazků všech příspěvkových organizací státu. </w:t>
      </w:r>
    </w:p>
    <w:p w14:paraId="285754D1" w14:textId="77777777" w:rsidR="00A44EB4" w:rsidRPr="00663441" w:rsidRDefault="00A44EB4" w:rsidP="00A44EB4">
      <w:pPr>
        <w:jc w:val="both"/>
        <w:rPr>
          <w:rFonts w:asciiTheme="minorHAnsi" w:hAnsiTheme="minorHAnsi" w:cstheme="minorHAnsi"/>
        </w:rPr>
      </w:pPr>
    </w:p>
    <w:p w14:paraId="395DA606" w14:textId="77777777" w:rsidR="00E43904" w:rsidRPr="00663441" w:rsidRDefault="00E43904" w:rsidP="00A44EB4">
      <w:pPr>
        <w:jc w:val="both"/>
        <w:rPr>
          <w:rFonts w:asciiTheme="minorHAnsi" w:hAnsiTheme="minorHAnsi" w:cstheme="minorHAnsi"/>
        </w:rPr>
      </w:pPr>
      <w:r w:rsidRPr="00663441">
        <w:rPr>
          <w:rFonts w:asciiTheme="minorHAnsi" w:hAnsiTheme="minorHAnsi" w:cstheme="minorHAnsi"/>
        </w:rPr>
        <w:t xml:space="preserve">K 31. 12. 2016 byl stav </w:t>
      </w:r>
      <w:r>
        <w:rPr>
          <w:rFonts w:asciiTheme="minorHAnsi" w:hAnsiTheme="minorHAnsi" w:cstheme="minorHAnsi"/>
        </w:rPr>
        <w:t>závazků</w:t>
      </w:r>
      <w:r w:rsidRPr="00663441">
        <w:rPr>
          <w:rFonts w:asciiTheme="minorHAnsi" w:hAnsiTheme="minorHAnsi" w:cstheme="minorHAnsi"/>
        </w:rPr>
        <w:t xml:space="preserve"> příspěvkových organizací pětkrát vyšší než stav státních standardních záruk</w:t>
      </w:r>
      <w:r>
        <w:rPr>
          <w:rFonts w:asciiTheme="minorHAnsi" w:hAnsiTheme="minorHAnsi" w:cstheme="minorHAnsi"/>
        </w:rPr>
        <w:t>.</w:t>
      </w:r>
      <w:r w:rsidRPr="00663441">
        <w:rPr>
          <w:rFonts w:asciiTheme="minorHAnsi" w:hAnsiTheme="minorHAnsi" w:cstheme="minorHAnsi"/>
        </w:rPr>
        <w:t xml:space="preserve"> </w:t>
      </w:r>
      <w:r w:rsidR="003B38F0">
        <w:rPr>
          <w:rFonts w:asciiTheme="minorHAnsi" w:hAnsiTheme="minorHAnsi" w:cstheme="minorHAnsi"/>
        </w:rPr>
        <w:t xml:space="preserve">Jelikož stát za tyto závazky ručí, </w:t>
      </w:r>
      <w:r w:rsidR="003B38F0" w:rsidRPr="00663441">
        <w:rPr>
          <w:rFonts w:asciiTheme="minorHAnsi" w:hAnsiTheme="minorHAnsi" w:cstheme="minorHAnsi"/>
        </w:rPr>
        <w:t>představují potenciální riziko pro státní rozpočet</w:t>
      </w:r>
      <w:r w:rsidR="003B38F0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I</w:t>
      </w:r>
      <w:r w:rsidRPr="00663441">
        <w:rPr>
          <w:rFonts w:asciiTheme="minorHAnsi" w:hAnsiTheme="minorHAnsi" w:cstheme="minorHAnsi"/>
        </w:rPr>
        <w:t xml:space="preserve">nformace o jejich stavu a vývoji nejsou </w:t>
      </w:r>
      <w:r w:rsidR="003B38F0">
        <w:rPr>
          <w:rFonts w:asciiTheme="minorHAnsi" w:hAnsiTheme="minorHAnsi" w:cstheme="minorHAnsi"/>
        </w:rPr>
        <w:t xml:space="preserve">však </w:t>
      </w:r>
      <w:r w:rsidR="000E0984">
        <w:rPr>
          <w:rFonts w:asciiTheme="minorHAnsi" w:hAnsiTheme="minorHAnsi" w:cstheme="minorHAnsi"/>
        </w:rPr>
        <w:t xml:space="preserve">dle platné legislativy </w:t>
      </w:r>
      <w:r w:rsidRPr="00663441">
        <w:rPr>
          <w:rFonts w:asciiTheme="minorHAnsi" w:hAnsiTheme="minorHAnsi" w:cstheme="minorHAnsi"/>
        </w:rPr>
        <w:t>součástí SZÚ</w:t>
      </w:r>
      <w:r w:rsidR="003B38F0">
        <w:rPr>
          <w:rFonts w:asciiTheme="minorHAnsi" w:hAnsiTheme="minorHAnsi" w:cstheme="minorHAnsi"/>
        </w:rPr>
        <w:t xml:space="preserve"> ani závěreč</w:t>
      </w:r>
      <w:r w:rsidR="000E0984">
        <w:rPr>
          <w:rFonts w:asciiTheme="minorHAnsi" w:hAnsiTheme="minorHAnsi" w:cstheme="minorHAnsi"/>
        </w:rPr>
        <w:t>ných účtů kapitol</w:t>
      </w:r>
      <w:r w:rsidR="00450D2E">
        <w:rPr>
          <w:rFonts w:asciiTheme="minorHAnsi" w:hAnsiTheme="minorHAnsi" w:cstheme="minorHAnsi"/>
        </w:rPr>
        <w:t xml:space="preserve"> státního rozpočtu</w:t>
      </w:r>
      <w:r w:rsidRPr="00663441">
        <w:rPr>
          <w:rFonts w:asciiTheme="minorHAnsi" w:hAnsiTheme="minorHAnsi" w:cstheme="minorHAnsi"/>
        </w:rPr>
        <w:t xml:space="preserve">. </w:t>
      </w:r>
    </w:p>
    <w:p w14:paraId="58B714B0" w14:textId="77777777" w:rsidR="00BD0D26" w:rsidRDefault="00BD0D26" w:rsidP="00A44EB4">
      <w:pPr>
        <w:jc w:val="both"/>
        <w:rPr>
          <w:rFonts w:asciiTheme="minorHAnsi" w:hAnsiTheme="minorHAnsi" w:cstheme="minorHAnsi"/>
        </w:rPr>
      </w:pPr>
    </w:p>
    <w:p w14:paraId="02A17BFB" w14:textId="77777777" w:rsidR="00E40384" w:rsidRPr="00A44EB4" w:rsidRDefault="00A44EB4" w:rsidP="007827D8">
      <w:pPr>
        <w:keepNext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2. </w:t>
      </w:r>
      <w:r w:rsidR="00964A95" w:rsidRPr="00A44EB4">
        <w:rPr>
          <w:rFonts w:asciiTheme="minorHAnsi" w:hAnsiTheme="minorHAnsi" w:cstheme="minorHAnsi"/>
          <w:b/>
        </w:rPr>
        <w:t>Realizace státních záruk</w:t>
      </w:r>
    </w:p>
    <w:p w14:paraId="081E1013" w14:textId="77777777" w:rsidR="00A44EB4" w:rsidRDefault="00A44EB4" w:rsidP="007827D8">
      <w:pPr>
        <w:keepNext/>
        <w:jc w:val="both"/>
        <w:rPr>
          <w:rFonts w:asciiTheme="minorHAnsi" w:hAnsiTheme="minorHAnsi" w:cstheme="minorHAnsi"/>
        </w:rPr>
      </w:pPr>
    </w:p>
    <w:p w14:paraId="045B4BC0" w14:textId="77777777" w:rsidR="00AC0FA1" w:rsidRDefault="00AC0FA1" w:rsidP="00A44EB4">
      <w:pPr>
        <w:jc w:val="both"/>
        <w:rPr>
          <w:rFonts w:asciiTheme="minorHAnsi" w:hAnsiTheme="minorHAnsi" w:cstheme="minorHAnsi"/>
        </w:rPr>
      </w:pPr>
      <w:r w:rsidRPr="00AC0FA1">
        <w:rPr>
          <w:rFonts w:asciiTheme="minorHAnsi" w:hAnsiTheme="minorHAnsi" w:cstheme="minorHAnsi"/>
        </w:rPr>
        <w:t>Souhrnná výše peněžních prostředků uhrazených ze státního rozpočtu na realizaci státních záruk za kontrolované období 2013 až 2016 dosáhla výše 6 905 mil. Kč. Dalších 6 715 mil. Kč uhradilo MF Evropské investiční bance prostřednictvím Českomoravské záruční a rozvojové banky, a. s.</w:t>
      </w:r>
    </w:p>
    <w:p w14:paraId="3D75BA9D" w14:textId="77777777" w:rsidR="00A44EB4" w:rsidRDefault="00A44EB4" w:rsidP="00A44EB4">
      <w:pPr>
        <w:jc w:val="both"/>
        <w:rPr>
          <w:rFonts w:asciiTheme="minorHAnsi" w:hAnsiTheme="minorHAnsi" w:cstheme="minorHAnsi"/>
        </w:rPr>
      </w:pPr>
    </w:p>
    <w:p w14:paraId="6884FA9E" w14:textId="77777777" w:rsidR="0069734D" w:rsidRDefault="0069734D" w:rsidP="00A44EB4">
      <w:pPr>
        <w:jc w:val="both"/>
        <w:rPr>
          <w:rFonts w:asciiTheme="minorHAnsi" w:hAnsiTheme="minorHAnsi" w:cstheme="minorHAnsi"/>
        </w:rPr>
      </w:pPr>
      <w:r w:rsidRPr="00663441">
        <w:rPr>
          <w:rFonts w:asciiTheme="minorHAnsi" w:hAnsiTheme="minorHAnsi" w:cstheme="minorHAnsi"/>
        </w:rPr>
        <w:t>MF realizovalo úhrady státních záruk z úvěrů čerpaných v cizí měně v souladu s uzavřenými smlouvami</w:t>
      </w:r>
      <w:r w:rsidR="009619A8" w:rsidRPr="00663441">
        <w:rPr>
          <w:rFonts w:asciiTheme="minorHAnsi" w:hAnsiTheme="minorHAnsi" w:cstheme="minorHAnsi"/>
        </w:rPr>
        <w:t>.</w:t>
      </w:r>
      <w:r w:rsidRPr="00663441">
        <w:rPr>
          <w:rFonts w:asciiTheme="minorHAnsi" w:hAnsiTheme="minorHAnsi" w:cstheme="minorHAnsi"/>
        </w:rPr>
        <w:t xml:space="preserve"> Od poloviny roku 2014 provádělo MF úhrady v cizí měně přímo z eurového účtu souvztažně s převodem korunového ekvivalentu z výdajového účtu v rámci účtů MF a</w:t>
      </w:r>
      <w:r w:rsidR="00EA20A0">
        <w:rPr>
          <w:rFonts w:asciiTheme="minorHAnsi" w:hAnsiTheme="minorHAnsi" w:cstheme="minorHAnsi"/>
        </w:rPr>
        <w:t> </w:t>
      </w:r>
      <w:r w:rsidRPr="00663441">
        <w:rPr>
          <w:rFonts w:asciiTheme="minorHAnsi" w:hAnsiTheme="minorHAnsi" w:cstheme="minorHAnsi"/>
        </w:rPr>
        <w:t>nahradilo tím dříve aplikovaný postup, při kterém platbu v cizí měně realizovalo z výdajového (korunového) účtu nákupem cizí měny. MF změnou postupu snížilo poplatky za nákup cizí měny, eliminovalo kurzové rozdíly a využívalo přebytku eurové likvidity, když ČNB od roku 2014 vyhlásila zápornou úrokovou sazbu na souhrnném účtu státní pokladny vedeném v jednotné evropské měně.</w:t>
      </w:r>
    </w:p>
    <w:p w14:paraId="508F73B0" w14:textId="77777777" w:rsidR="00A44EB4" w:rsidRPr="00663441" w:rsidRDefault="00A44EB4" w:rsidP="00A44EB4">
      <w:pPr>
        <w:jc w:val="both"/>
        <w:rPr>
          <w:rFonts w:asciiTheme="minorHAnsi" w:hAnsiTheme="minorHAnsi" w:cstheme="minorHAnsi"/>
        </w:rPr>
      </w:pPr>
    </w:p>
    <w:p w14:paraId="2A55FD2E" w14:textId="449FBB80" w:rsidR="0069734D" w:rsidRDefault="0069734D" w:rsidP="00A44EB4">
      <w:pPr>
        <w:jc w:val="both"/>
        <w:rPr>
          <w:rFonts w:asciiTheme="minorHAnsi" w:hAnsiTheme="minorHAnsi" w:cstheme="minorHAnsi"/>
        </w:rPr>
      </w:pPr>
      <w:r w:rsidRPr="00663441">
        <w:rPr>
          <w:rFonts w:asciiTheme="minorHAnsi" w:hAnsiTheme="minorHAnsi" w:cstheme="minorHAnsi"/>
        </w:rPr>
        <w:t>V případě splátek jistin úvěrů a úroků z úvěrů čerpaných v eurech</w:t>
      </w:r>
      <w:r w:rsidR="00057903">
        <w:rPr>
          <w:rFonts w:asciiTheme="minorHAnsi" w:hAnsiTheme="minorHAnsi" w:cstheme="minorHAnsi"/>
        </w:rPr>
        <w:t xml:space="preserve"> </w:t>
      </w:r>
      <w:r w:rsidRPr="00663441">
        <w:rPr>
          <w:rFonts w:asciiTheme="minorHAnsi" w:hAnsiTheme="minorHAnsi" w:cstheme="minorHAnsi"/>
        </w:rPr>
        <w:t>a</w:t>
      </w:r>
      <w:r w:rsidR="00057903">
        <w:rPr>
          <w:rFonts w:asciiTheme="minorHAnsi" w:hAnsiTheme="minorHAnsi" w:cstheme="minorHAnsi"/>
        </w:rPr>
        <w:t> </w:t>
      </w:r>
      <w:r w:rsidRPr="00663441">
        <w:rPr>
          <w:rFonts w:asciiTheme="minorHAnsi" w:hAnsiTheme="minorHAnsi" w:cstheme="minorHAnsi"/>
        </w:rPr>
        <w:t>hrazených prostřednictvím Českomoravské záruční a rozvojové banky, a. s.</w:t>
      </w:r>
      <w:r w:rsidR="00057903">
        <w:rPr>
          <w:rFonts w:asciiTheme="minorHAnsi" w:hAnsiTheme="minorHAnsi" w:cstheme="minorHAnsi"/>
        </w:rPr>
        <w:t>,</w:t>
      </w:r>
      <w:r w:rsidRPr="00663441">
        <w:rPr>
          <w:rFonts w:asciiTheme="minorHAnsi" w:hAnsiTheme="minorHAnsi" w:cstheme="minorHAnsi"/>
        </w:rPr>
        <w:t xml:space="preserve"> však MF nadále převádělo platby v českých korunách</w:t>
      </w:r>
      <w:r w:rsidRPr="00663441">
        <w:rPr>
          <w:rFonts w:asciiTheme="minorHAnsi" w:eastAsia="Calibri" w:hAnsiTheme="minorHAnsi" w:cstheme="minorHAnsi"/>
        </w:rPr>
        <w:t xml:space="preserve"> za směnný kurz ČMZRB</w:t>
      </w:r>
      <w:r w:rsidRPr="00663441">
        <w:rPr>
          <w:rFonts w:asciiTheme="minorHAnsi" w:hAnsiTheme="minorHAnsi" w:cstheme="minorHAnsi"/>
        </w:rPr>
        <w:t xml:space="preserve">, a to i v letech 2014 až 2016, tj. v době, kdy ve snaze vyhnout se zápornému úročení převádělo přebytek eurové likvidity mimo státní pokladnu. </w:t>
      </w:r>
    </w:p>
    <w:p w14:paraId="3FDEAA2C" w14:textId="77777777" w:rsidR="00A44EB4" w:rsidRPr="00663441" w:rsidRDefault="00A44EB4" w:rsidP="00A44EB4">
      <w:pPr>
        <w:jc w:val="both"/>
        <w:rPr>
          <w:rFonts w:asciiTheme="minorHAnsi" w:hAnsiTheme="minorHAnsi" w:cstheme="minorHAnsi"/>
        </w:rPr>
      </w:pPr>
    </w:p>
    <w:p w14:paraId="5C33395E" w14:textId="1FDA9AE8" w:rsidR="0069734D" w:rsidRPr="00663441" w:rsidRDefault="0069734D" w:rsidP="00A44EB4">
      <w:pPr>
        <w:jc w:val="both"/>
        <w:rPr>
          <w:rFonts w:asciiTheme="minorHAnsi" w:hAnsiTheme="minorHAnsi" w:cstheme="minorHAnsi"/>
          <w:noProof/>
        </w:rPr>
      </w:pPr>
      <w:r w:rsidRPr="00663441">
        <w:rPr>
          <w:rFonts w:asciiTheme="minorHAnsi" w:eastAsia="Calibri" w:hAnsiTheme="minorHAnsi" w:cstheme="minorHAnsi"/>
        </w:rPr>
        <w:t xml:space="preserve">Kontrolou nebylo zjištěno, že by MF postupovalo v rozporu se smluvní dokumentací. MF však tím, že neiniciovalo změnu tohoto smluvně stanoveného způsobu úhrad s ČMZRB, nevyužilo možnost </w:t>
      </w:r>
      <w:r w:rsidRPr="00663441">
        <w:rPr>
          <w:rFonts w:asciiTheme="minorHAnsi" w:hAnsiTheme="minorHAnsi" w:cstheme="minorHAnsi"/>
          <w:noProof/>
        </w:rPr>
        <w:t>optimalizovat eurovou likviditu státní pokladny</w:t>
      </w:r>
      <w:r w:rsidRPr="00663441">
        <w:rPr>
          <w:rFonts w:asciiTheme="minorHAnsi" w:eastAsia="Calibri" w:hAnsiTheme="minorHAnsi" w:cstheme="minorHAnsi"/>
        </w:rPr>
        <w:t xml:space="preserve"> a snížit výdaje z titulu konverze měny. Jen v roce 2016 </w:t>
      </w:r>
      <w:r w:rsidR="00EA20A0" w:rsidRPr="00663441">
        <w:rPr>
          <w:rFonts w:asciiTheme="minorHAnsi" w:eastAsia="Calibri" w:hAnsiTheme="minorHAnsi" w:cstheme="minorHAnsi"/>
        </w:rPr>
        <w:t xml:space="preserve">byly </w:t>
      </w:r>
      <w:r w:rsidRPr="00663441">
        <w:rPr>
          <w:rFonts w:asciiTheme="minorHAnsi" w:eastAsia="Calibri" w:hAnsiTheme="minorHAnsi" w:cstheme="minorHAnsi"/>
        </w:rPr>
        <w:t xml:space="preserve">u </w:t>
      </w:r>
      <w:r w:rsidR="00057903">
        <w:rPr>
          <w:rFonts w:asciiTheme="minorHAnsi" w:eastAsia="Calibri" w:hAnsiTheme="minorHAnsi" w:cstheme="minorHAnsi"/>
        </w:rPr>
        <w:t>tří</w:t>
      </w:r>
      <w:r w:rsidRPr="00663441">
        <w:rPr>
          <w:rFonts w:asciiTheme="minorHAnsi" w:eastAsia="Calibri" w:hAnsiTheme="minorHAnsi" w:cstheme="minorHAnsi"/>
        </w:rPr>
        <w:t xml:space="preserve"> kontrolovaných úvěrů (z celkového počtu šesti zaručených úvěrů) splátky jistin a úroků z úvěrů </w:t>
      </w:r>
      <w:r w:rsidR="00A01354" w:rsidRPr="00663441">
        <w:rPr>
          <w:rFonts w:asciiTheme="minorHAnsi" w:eastAsia="Calibri" w:hAnsiTheme="minorHAnsi" w:cstheme="minorHAnsi"/>
        </w:rPr>
        <w:t>vyšší</w:t>
      </w:r>
      <w:r w:rsidRPr="00663441">
        <w:rPr>
          <w:rFonts w:asciiTheme="minorHAnsi" w:eastAsia="Calibri" w:hAnsiTheme="minorHAnsi" w:cstheme="minorHAnsi"/>
        </w:rPr>
        <w:t xml:space="preserve"> o 1,8 mil. Kč z důvodu konverze do českých korun prováděn</w:t>
      </w:r>
      <w:r w:rsidR="00CF0C85" w:rsidRPr="00663441">
        <w:rPr>
          <w:rFonts w:asciiTheme="minorHAnsi" w:eastAsia="Calibri" w:hAnsiTheme="minorHAnsi" w:cstheme="minorHAnsi"/>
        </w:rPr>
        <w:t>é</w:t>
      </w:r>
      <w:r w:rsidRPr="00663441">
        <w:rPr>
          <w:rFonts w:asciiTheme="minorHAnsi" w:eastAsia="Calibri" w:hAnsiTheme="minorHAnsi" w:cstheme="minorHAnsi"/>
        </w:rPr>
        <w:t xml:space="preserve"> kurzem</w:t>
      </w:r>
      <w:r w:rsidR="00057903">
        <w:rPr>
          <w:rFonts w:asciiTheme="minorHAnsi" w:eastAsia="Calibri" w:hAnsiTheme="minorHAnsi" w:cstheme="minorHAnsi"/>
        </w:rPr>
        <w:t xml:space="preserve"> </w:t>
      </w:r>
      <w:r w:rsidRPr="00663441">
        <w:rPr>
          <w:rFonts w:asciiTheme="minorHAnsi" w:eastAsia="Calibri" w:hAnsiTheme="minorHAnsi" w:cstheme="minorHAnsi"/>
        </w:rPr>
        <w:t xml:space="preserve">ČMZRB v porovnání s platným kurzem vyhlášeným ke stejnému dni ČNB. </w:t>
      </w:r>
    </w:p>
    <w:p w14:paraId="342CADC1" w14:textId="77777777" w:rsidR="00A012DE" w:rsidRPr="00663441" w:rsidRDefault="00A012DE" w:rsidP="00A44EB4">
      <w:pPr>
        <w:jc w:val="both"/>
        <w:rPr>
          <w:rFonts w:asciiTheme="minorHAnsi" w:eastAsia="Calibri" w:hAnsiTheme="minorHAnsi" w:cstheme="minorHAnsi"/>
        </w:rPr>
      </w:pPr>
    </w:p>
    <w:p w14:paraId="3112A074" w14:textId="77777777" w:rsidR="00E40384" w:rsidRPr="00A44EB4" w:rsidRDefault="00A44EB4" w:rsidP="00A44EB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3. </w:t>
      </w:r>
      <w:r w:rsidR="00964A95" w:rsidRPr="00A44EB4">
        <w:rPr>
          <w:rFonts w:asciiTheme="minorHAnsi" w:hAnsiTheme="minorHAnsi" w:cstheme="minorHAnsi"/>
          <w:b/>
        </w:rPr>
        <w:t>Správa pohledávek z realizovaných státních záruk</w:t>
      </w:r>
    </w:p>
    <w:p w14:paraId="32A245BA" w14:textId="77777777" w:rsidR="00A44EB4" w:rsidRDefault="00A44EB4" w:rsidP="00A44EB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</w:p>
    <w:p w14:paraId="1659C445" w14:textId="570B6591" w:rsidR="003B3614" w:rsidRPr="00663441" w:rsidRDefault="003B3614" w:rsidP="00A44EB4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63441">
        <w:rPr>
          <w:rFonts w:asciiTheme="minorHAnsi" w:hAnsiTheme="minorHAnsi" w:cstheme="minorHAnsi"/>
          <w:bCs/>
        </w:rPr>
        <w:t xml:space="preserve">V kontrolovaném období byly vnitřními předpisy nastaveny postupy MF pro správu pohledávek. </w:t>
      </w:r>
      <w:r w:rsidRPr="00663441">
        <w:rPr>
          <w:rFonts w:asciiTheme="minorHAnsi" w:hAnsiTheme="minorHAnsi" w:cstheme="minorHAnsi"/>
        </w:rPr>
        <w:t xml:space="preserve">Stav evidovaných pohledávek z realizovaných státních záruk </w:t>
      </w:r>
      <w:r w:rsidR="00912742">
        <w:rPr>
          <w:rFonts w:asciiTheme="minorHAnsi" w:hAnsiTheme="minorHAnsi" w:cstheme="minorHAnsi"/>
        </w:rPr>
        <w:t xml:space="preserve">se </w:t>
      </w:r>
      <w:r w:rsidRPr="00663441">
        <w:rPr>
          <w:rFonts w:asciiTheme="minorHAnsi" w:hAnsiTheme="minorHAnsi" w:cstheme="minorHAnsi"/>
        </w:rPr>
        <w:t xml:space="preserve">v kontrolovaném období </w:t>
      </w:r>
      <w:r w:rsidR="00912742">
        <w:rPr>
          <w:rFonts w:asciiTheme="minorHAnsi" w:hAnsiTheme="minorHAnsi" w:cstheme="minorHAnsi"/>
        </w:rPr>
        <w:t>pohyboval</w:t>
      </w:r>
      <w:r w:rsidRPr="00663441">
        <w:rPr>
          <w:rFonts w:asciiTheme="minorHAnsi" w:hAnsiTheme="minorHAnsi" w:cstheme="minorHAnsi"/>
        </w:rPr>
        <w:t xml:space="preserve"> okolo 5 mld. Kč. Úhrada pohledávek dlužníky v letech 2013 až 2016 činila </w:t>
      </w:r>
      <w:r>
        <w:rPr>
          <w:rFonts w:asciiTheme="minorHAnsi" w:hAnsiTheme="minorHAnsi" w:cstheme="minorHAnsi"/>
        </w:rPr>
        <w:t>pouze</w:t>
      </w:r>
      <w:r w:rsidRPr="00663441">
        <w:rPr>
          <w:rFonts w:asciiTheme="minorHAnsi" w:hAnsiTheme="minorHAnsi" w:cstheme="minorHAnsi"/>
        </w:rPr>
        <w:t xml:space="preserve"> 251 mil. Kč. Pohledávky ve výši 4 305,9 mil. Kč, tj. 87,13 % z evidovaných pohledávek k 31. 12. 2016, jsou promlčené.</w:t>
      </w:r>
    </w:p>
    <w:p w14:paraId="0CCB3A6D" w14:textId="77777777" w:rsidR="00EB30BB" w:rsidRPr="0076441B" w:rsidRDefault="00EB30BB" w:rsidP="00A44EB4">
      <w:pPr>
        <w:jc w:val="both"/>
        <w:rPr>
          <w:rFonts w:asciiTheme="minorHAnsi" w:eastAsia="Calibri" w:hAnsiTheme="minorHAnsi" w:cstheme="minorHAnsi"/>
        </w:rPr>
      </w:pPr>
    </w:p>
    <w:p w14:paraId="6B8D1347" w14:textId="77777777" w:rsidR="0076441B" w:rsidRPr="0076441B" w:rsidRDefault="0076441B" w:rsidP="00A44EB4">
      <w:pPr>
        <w:jc w:val="both"/>
        <w:rPr>
          <w:rFonts w:asciiTheme="minorHAnsi" w:eastAsia="Calibri" w:hAnsiTheme="minorHAnsi" w:cstheme="minorHAnsi"/>
        </w:rPr>
      </w:pPr>
    </w:p>
    <w:p w14:paraId="1E298707" w14:textId="77777777" w:rsidR="00E40384" w:rsidRPr="00663441" w:rsidRDefault="00964A95" w:rsidP="00057903">
      <w:pPr>
        <w:keepNext/>
        <w:spacing w:line="259" w:lineRule="auto"/>
        <w:jc w:val="both"/>
        <w:rPr>
          <w:rFonts w:asciiTheme="minorHAnsi" w:eastAsia="Calibri" w:hAnsiTheme="minorHAnsi" w:cstheme="minorHAnsi"/>
          <w:b/>
        </w:rPr>
      </w:pPr>
      <w:r w:rsidRPr="00663441">
        <w:rPr>
          <w:rFonts w:asciiTheme="minorHAnsi" w:eastAsia="Calibri" w:hAnsiTheme="minorHAnsi" w:cstheme="minorHAnsi"/>
          <w:b/>
        </w:rPr>
        <w:lastRenderedPageBreak/>
        <w:t>Seznam použitých zkratek</w:t>
      </w:r>
    </w:p>
    <w:p w14:paraId="3A2DD150" w14:textId="77777777" w:rsidR="0091673D" w:rsidRPr="0076441B" w:rsidRDefault="0091673D" w:rsidP="00057903">
      <w:pPr>
        <w:keepNext/>
        <w:spacing w:line="259" w:lineRule="auto"/>
        <w:jc w:val="both"/>
        <w:rPr>
          <w:rFonts w:asciiTheme="minorHAnsi" w:eastAsia="Calibri" w:hAnsiTheme="minorHAnsi" w:cstheme="minorHAnsi"/>
        </w:rPr>
      </w:pPr>
    </w:p>
    <w:p w14:paraId="0AC3C5A1" w14:textId="77777777" w:rsidR="0076441B" w:rsidRPr="00663441" w:rsidRDefault="0076441B" w:rsidP="00057903">
      <w:pPr>
        <w:keepNext/>
        <w:tabs>
          <w:tab w:val="left" w:pos="1379"/>
        </w:tabs>
        <w:spacing w:before="20" w:after="20"/>
        <w:rPr>
          <w:rFonts w:asciiTheme="minorHAnsi" w:hAnsiTheme="minorHAnsi" w:cstheme="minorHAnsi"/>
        </w:rPr>
      </w:pPr>
      <w:r w:rsidRPr="00663441">
        <w:rPr>
          <w:rFonts w:asciiTheme="minorHAnsi" w:hAnsiTheme="minorHAnsi" w:cstheme="minorHAnsi"/>
        </w:rPr>
        <w:t>ČD</w:t>
      </w:r>
      <w:r w:rsidRPr="00663441">
        <w:rPr>
          <w:rFonts w:asciiTheme="minorHAnsi" w:hAnsiTheme="minorHAnsi" w:cstheme="minorHAnsi"/>
        </w:rPr>
        <w:tab/>
        <w:t>České dráhy</w:t>
      </w:r>
    </w:p>
    <w:p w14:paraId="1381639E" w14:textId="77777777" w:rsidR="0076441B" w:rsidRPr="00663441" w:rsidRDefault="0076441B" w:rsidP="00057903">
      <w:pPr>
        <w:keepNext/>
        <w:tabs>
          <w:tab w:val="left" w:pos="1379"/>
        </w:tabs>
        <w:spacing w:before="20" w:after="20"/>
        <w:rPr>
          <w:rFonts w:asciiTheme="minorHAnsi" w:hAnsiTheme="minorHAnsi" w:cstheme="minorHAnsi"/>
        </w:rPr>
      </w:pPr>
      <w:r w:rsidRPr="00663441">
        <w:rPr>
          <w:rFonts w:asciiTheme="minorHAnsi" w:hAnsiTheme="minorHAnsi" w:cstheme="minorHAnsi"/>
        </w:rPr>
        <w:t>ČMZRB</w:t>
      </w:r>
      <w:r w:rsidRPr="00663441">
        <w:rPr>
          <w:rFonts w:asciiTheme="minorHAnsi" w:hAnsiTheme="minorHAnsi" w:cstheme="minorHAnsi"/>
        </w:rPr>
        <w:tab/>
        <w:t xml:space="preserve">Českomoravská záruční a rozvojová banka, a. s. </w:t>
      </w:r>
    </w:p>
    <w:p w14:paraId="65D76BBA" w14:textId="77777777" w:rsidR="0076441B" w:rsidRPr="00663441" w:rsidRDefault="0076441B" w:rsidP="00057903">
      <w:pPr>
        <w:keepNext/>
        <w:tabs>
          <w:tab w:val="left" w:pos="1379"/>
        </w:tabs>
        <w:spacing w:before="20" w:after="20"/>
        <w:rPr>
          <w:rFonts w:asciiTheme="minorHAnsi" w:hAnsiTheme="minorHAnsi" w:cstheme="minorHAnsi"/>
        </w:rPr>
      </w:pPr>
      <w:r w:rsidRPr="00663441">
        <w:rPr>
          <w:rFonts w:asciiTheme="minorHAnsi" w:hAnsiTheme="minorHAnsi" w:cstheme="minorHAnsi"/>
        </w:rPr>
        <w:t>ČNB</w:t>
      </w:r>
      <w:r w:rsidRPr="00663441">
        <w:rPr>
          <w:rFonts w:asciiTheme="minorHAnsi" w:hAnsiTheme="minorHAnsi" w:cstheme="minorHAnsi"/>
        </w:rPr>
        <w:tab/>
        <w:t>Česká národní banka</w:t>
      </w:r>
    </w:p>
    <w:p w14:paraId="144CBBC7" w14:textId="77777777" w:rsidR="0076441B" w:rsidRPr="00663441" w:rsidRDefault="0076441B" w:rsidP="00057903">
      <w:pPr>
        <w:keepNext/>
        <w:tabs>
          <w:tab w:val="left" w:pos="1379"/>
        </w:tabs>
        <w:spacing w:before="20" w:after="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ČSOB</w:t>
      </w:r>
      <w:r w:rsidRPr="00663441">
        <w:rPr>
          <w:rFonts w:asciiTheme="minorHAnsi" w:hAnsiTheme="minorHAnsi" w:cstheme="minorHAnsi"/>
        </w:rPr>
        <w:tab/>
        <w:t>Československá obchodí banka, a. s.</w:t>
      </w:r>
    </w:p>
    <w:p w14:paraId="5ECC88C6" w14:textId="77777777" w:rsidR="0076441B" w:rsidRPr="00663441" w:rsidRDefault="0076441B" w:rsidP="00057903">
      <w:pPr>
        <w:keepNext/>
        <w:tabs>
          <w:tab w:val="left" w:pos="1379"/>
        </w:tabs>
        <w:spacing w:before="20" w:after="20"/>
        <w:rPr>
          <w:rFonts w:asciiTheme="minorHAnsi" w:hAnsiTheme="minorHAnsi" w:cstheme="minorHAnsi"/>
        </w:rPr>
      </w:pPr>
      <w:r w:rsidRPr="00663441">
        <w:rPr>
          <w:rFonts w:asciiTheme="minorHAnsi" w:hAnsiTheme="minorHAnsi" w:cstheme="minorHAnsi"/>
        </w:rPr>
        <w:t>EIB</w:t>
      </w:r>
      <w:r w:rsidRPr="00663441">
        <w:rPr>
          <w:rFonts w:asciiTheme="minorHAnsi" w:hAnsiTheme="minorHAnsi" w:cstheme="minorHAnsi"/>
        </w:rPr>
        <w:tab/>
        <w:t>Evropská investiční banka</w:t>
      </w:r>
    </w:p>
    <w:p w14:paraId="67A7F8B5" w14:textId="77777777" w:rsidR="0076441B" w:rsidRPr="00663441" w:rsidRDefault="0076441B" w:rsidP="00057903">
      <w:pPr>
        <w:keepNext/>
        <w:tabs>
          <w:tab w:val="left" w:pos="1379"/>
        </w:tabs>
        <w:spacing w:before="20" w:after="20"/>
        <w:rPr>
          <w:rFonts w:asciiTheme="minorHAnsi" w:hAnsiTheme="minorHAnsi" w:cstheme="minorHAnsi"/>
        </w:rPr>
      </w:pPr>
      <w:r w:rsidRPr="00663441">
        <w:rPr>
          <w:rFonts w:asciiTheme="minorHAnsi" w:hAnsiTheme="minorHAnsi" w:cstheme="minorHAnsi"/>
        </w:rPr>
        <w:t>IPB</w:t>
      </w:r>
      <w:r w:rsidRPr="00663441">
        <w:rPr>
          <w:rFonts w:asciiTheme="minorHAnsi" w:hAnsiTheme="minorHAnsi" w:cstheme="minorHAnsi"/>
        </w:rPr>
        <w:tab/>
        <w:t>Investiční a poštovní banka, a. s.</w:t>
      </w:r>
    </w:p>
    <w:p w14:paraId="31FD1D5C" w14:textId="77777777" w:rsidR="0076441B" w:rsidRPr="00663441" w:rsidRDefault="0076441B" w:rsidP="00057903">
      <w:pPr>
        <w:keepNext/>
        <w:tabs>
          <w:tab w:val="left" w:pos="1379"/>
        </w:tabs>
        <w:spacing w:before="20" w:after="20"/>
        <w:rPr>
          <w:rFonts w:asciiTheme="minorHAnsi" w:hAnsiTheme="minorHAnsi" w:cstheme="minorHAnsi"/>
        </w:rPr>
      </w:pPr>
      <w:r w:rsidRPr="00663441">
        <w:rPr>
          <w:rFonts w:asciiTheme="minorHAnsi" w:hAnsiTheme="minorHAnsi" w:cstheme="minorHAnsi"/>
        </w:rPr>
        <w:t>MF</w:t>
      </w:r>
      <w:r w:rsidRPr="00663441">
        <w:rPr>
          <w:rFonts w:asciiTheme="minorHAnsi" w:hAnsiTheme="minorHAnsi" w:cstheme="minorHAnsi"/>
        </w:rPr>
        <w:tab/>
        <w:t>Ministerstvo financí</w:t>
      </w:r>
    </w:p>
    <w:p w14:paraId="565C1196" w14:textId="77777777" w:rsidR="0076441B" w:rsidRPr="00663441" w:rsidRDefault="0076441B" w:rsidP="00057903">
      <w:pPr>
        <w:keepNext/>
        <w:tabs>
          <w:tab w:val="left" w:pos="1379"/>
        </w:tabs>
        <w:spacing w:before="20" w:after="20"/>
        <w:rPr>
          <w:rFonts w:asciiTheme="minorHAnsi" w:hAnsiTheme="minorHAnsi" w:cstheme="minorHAnsi"/>
        </w:rPr>
      </w:pPr>
      <w:r w:rsidRPr="00663441">
        <w:rPr>
          <w:rFonts w:asciiTheme="minorHAnsi" w:hAnsiTheme="minorHAnsi" w:cstheme="minorHAnsi"/>
        </w:rPr>
        <w:t>MMF</w:t>
      </w:r>
      <w:r w:rsidRPr="00663441">
        <w:rPr>
          <w:rFonts w:asciiTheme="minorHAnsi" w:hAnsiTheme="minorHAnsi" w:cstheme="minorHAnsi"/>
        </w:rPr>
        <w:tab/>
        <w:t>Mezinárodní měnový fond</w:t>
      </w:r>
    </w:p>
    <w:p w14:paraId="251B860E" w14:textId="77777777" w:rsidR="0076441B" w:rsidRPr="00663441" w:rsidRDefault="0076441B" w:rsidP="00057903">
      <w:pPr>
        <w:keepNext/>
        <w:tabs>
          <w:tab w:val="left" w:pos="1379"/>
        </w:tabs>
        <w:spacing w:before="20" w:after="20"/>
        <w:rPr>
          <w:rFonts w:asciiTheme="minorHAnsi" w:hAnsiTheme="minorHAnsi" w:cstheme="minorHAnsi"/>
        </w:rPr>
      </w:pPr>
      <w:r w:rsidRPr="00663441">
        <w:rPr>
          <w:rFonts w:asciiTheme="minorHAnsi" w:hAnsiTheme="minorHAnsi" w:cstheme="minorHAnsi"/>
        </w:rPr>
        <w:t>NKÚ</w:t>
      </w:r>
      <w:r w:rsidRPr="00663441">
        <w:rPr>
          <w:rFonts w:asciiTheme="minorHAnsi" w:hAnsiTheme="minorHAnsi" w:cstheme="minorHAnsi"/>
        </w:rPr>
        <w:tab/>
        <w:t>Nejvyšší kontrolní úřad</w:t>
      </w:r>
    </w:p>
    <w:p w14:paraId="2BF28368" w14:textId="77777777" w:rsidR="0076441B" w:rsidRPr="00663441" w:rsidRDefault="0076441B" w:rsidP="00057903">
      <w:pPr>
        <w:keepNext/>
        <w:tabs>
          <w:tab w:val="left" w:pos="1379"/>
        </w:tabs>
        <w:spacing w:before="20" w:after="20"/>
        <w:rPr>
          <w:rFonts w:asciiTheme="minorHAnsi" w:hAnsiTheme="minorHAnsi" w:cstheme="minorHAnsi"/>
        </w:rPr>
      </w:pPr>
      <w:r w:rsidRPr="00663441">
        <w:rPr>
          <w:rFonts w:asciiTheme="minorHAnsi" w:hAnsiTheme="minorHAnsi" w:cstheme="minorHAnsi"/>
        </w:rPr>
        <w:t>SR</w:t>
      </w:r>
      <w:r w:rsidRPr="00663441">
        <w:rPr>
          <w:rFonts w:asciiTheme="minorHAnsi" w:hAnsiTheme="minorHAnsi" w:cstheme="minorHAnsi"/>
        </w:rPr>
        <w:tab/>
        <w:t>Státní rozpočet</w:t>
      </w:r>
    </w:p>
    <w:p w14:paraId="11A7E8BA" w14:textId="77777777" w:rsidR="0076441B" w:rsidRPr="00663441" w:rsidRDefault="0076441B" w:rsidP="00057903">
      <w:pPr>
        <w:keepNext/>
        <w:tabs>
          <w:tab w:val="left" w:pos="1379"/>
        </w:tabs>
        <w:spacing w:before="20" w:after="20"/>
        <w:rPr>
          <w:rFonts w:asciiTheme="minorHAnsi" w:hAnsiTheme="minorHAnsi" w:cstheme="minorHAnsi"/>
        </w:rPr>
      </w:pPr>
      <w:r w:rsidRPr="00663441">
        <w:rPr>
          <w:rFonts w:asciiTheme="minorHAnsi" w:hAnsiTheme="minorHAnsi" w:cstheme="minorHAnsi"/>
        </w:rPr>
        <w:t>SZÚ</w:t>
      </w:r>
      <w:r w:rsidRPr="00663441">
        <w:rPr>
          <w:rFonts w:asciiTheme="minorHAnsi" w:hAnsiTheme="minorHAnsi" w:cstheme="minorHAnsi"/>
        </w:rPr>
        <w:tab/>
        <w:t>Státní závěrečný účet</w:t>
      </w:r>
    </w:p>
    <w:p w14:paraId="7197E708" w14:textId="3683FB72" w:rsidR="00E40384" w:rsidRDefault="0076441B" w:rsidP="00057903">
      <w:pPr>
        <w:keepNext/>
        <w:tabs>
          <w:tab w:val="left" w:pos="1379"/>
        </w:tabs>
        <w:spacing w:before="20" w:after="20"/>
        <w:rPr>
          <w:rFonts w:asciiTheme="minorHAnsi" w:hAnsiTheme="minorHAnsi" w:cstheme="minorHAnsi"/>
        </w:rPr>
      </w:pPr>
      <w:r w:rsidRPr="00663441">
        <w:rPr>
          <w:rFonts w:asciiTheme="minorHAnsi" w:hAnsiTheme="minorHAnsi" w:cstheme="minorHAnsi"/>
        </w:rPr>
        <w:t>SŽDC</w:t>
      </w:r>
      <w:r w:rsidRPr="00663441">
        <w:rPr>
          <w:rFonts w:asciiTheme="minorHAnsi" w:hAnsiTheme="minorHAnsi" w:cstheme="minorHAnsi"/>
        </w:rPr>
        <w:tab/>
        <w:t xml:space="preserve">Správa železniční dopravní cesty, státní organizace </w:t>
      </w:r>
    </w:p>
    <w:p w14:paraId="0052035C" w14:textId="77777777" w:rsidR="00057903" w:rsidRPr="00663441" w:rsidRDefault="00057903" w:rsidP="00057903">
      <w:pPr>
        <w:spacing w:before="20" w:after="20"/>
        <w:rPr>
          <w:rFonts w:asciiTheme="minorHAnsi" w:eastAsia="Calibri" w:hAnsiTheme="minorHAnsi" w:cstheme="minorHAnsi"/>
        </w:rPr>
      </w:pPr>
    </w:p>
    <w:sectPr w:rsidR="00057903" w:rsidRPr="00663441" w:rsidSect="00E40384">
      <w:headerReference w:type="default" r:id="rId14"/>
      <w:footerReference w:type="default" r:id="rId15"/>
      <w:pgSz w:w="11907" w:h="16839" w:code="9"/>
      <w:pgMar w:top="1417" w:right="1417" w:bottom="1702" w:left="1417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504B8" w14:textId="77777777" w:rsidR="00057903" w:rsidRDefault="00057903">
      <w:r>
        <w:separator/>
      </w:r>
    </w:p>
  </w:endnote>
  <w:endnote w:type="continuationSeparator" w:id="0">
    <w:p w14:paraId="6FF21620" w14:textId="77777777" w:rsidR="00057903" w:rsidRDefault="00057903">
      <w:r>
        <w:continuationSeparator/>
      </w:r>
    </w:p>
  </w:endnote>
  <w:endnote w:type="continuationNotice" w:id="1">
    <w:p w14:paraId="45D979E8" w14:textId="77777777" w:rsidR="00BD1FE3" w:rsidRDefault="00BD1F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7F1C5" w14:textId="1EA63DBB" w:rsidR="00057903" w:rsidRPr="00C2708B" w:rsidRDefault="00057903" w:rsidP="00E40384">
    <w:pPr>
      <w:pStyle w:val="Zpat"/>
      <w:jc w:val="center"/>
      <w:rPr>
        <w:rFonts w:asciiTheme="minorHAnsi" w:hAnsiTheme="minorHAnsi" w:cstheme="minorHAnsi"/>
      </w:rPr>
    </w:pPr>
    <w:r w:rsidRPr="00C2708B">
      <w:rPr>
        <w:rFonts w:asciiTheme="minorHAnsi" w:hAnsiTheme="minorHAnsi" w:cstheme="minorHAnsi"/>
      </w:rPr>
      <w:fldChar w:fldCharType="begin"/>
    </w:r>
    <w:r w:rsidRPr="00C2708B">
      <w:rPr>
        <w:rFonts w:asciiTheme="minorHAnsi" w:hAnsiTheme="minorHAnsi" w:cstheme="minorHAnsi"/>
      </w:rPr>
      <w:instrText xml:space="preserve"> PAGE   \* MERGEFORMAT </w:instrText>
    </w:r>
    <w:r w:rsidRPr="00C2708B">
      <w:rPr>
        <w:rFonts w:asciiTheme="minorHAnsi" w:hAnsiTheme="minorHAnsi" w:cstheme="minorHAnsi"/>
      </w:rPr>
      <w:fldChar w:fldCharType="separate"/>
    </w:r>
    <w:r w:rsidR="001414ED">
      <w:rPr>
        <w:rFonts w:asciiTheme="minorHAnsi" w:hAnsiTheme="minorHAnsi" w:cstheme="minorHAnsi"/>
        <w:noProof/>
      </w:rPr>
      <w:t>11</w:t>
    </w:r>
    <w:r w:rsidRPr="00C2708B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1D850" w14:textId="77777777" w:rsidR="00057903" w:rsidRDefault="00057903">
      <w:r>
        <w:separator/>
      </w:r>
    </w:p>
  </w:footnote>
  <w:footnote w:type="continuationSeparator" w:id="0">
    <w:p w14:paraId="70E1DE79" w14:textId="77777777" w:rsidR="00057903" w:rsidRDefault="00057903">
      <w:r>
        <w:continuationSeparator/>
      </w:r>
    </w:p>
  </w:footnote>
  <w:footnote w:type="continuationNotice" w:id="1">
    <w:p w14:paraId="19217944" w14:textId="77777777" w:rsidR="00057903" w:rsidRDefault="00057903"/>
  </w:footnote>
  <w:footnote w:id="2">
    <w:p w14:paraId="413E304F" w14:textId="18252F57" w:rsidR="00057903" w:rsidRPr="000169E8" w:rsidRDefault="00057903" w:rsidP="001A37C1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0169E8">
        <w:rPr>
          <w:rStyle w:val="Znakapoznpodarou"/>
          <w:rFonts w:ascii="Calibri" w:hAnsi="Calibri" w:cs="Calibri"/>
        </w:rPr>
        <w:footnoteRef/>
      </w:r>
      <w:r w:rsidRPr="000169E8">
        <w:rPr>
          <w:rFonts w:ascii="Calibri" w:hAnsi="Calibri" w:cs="Calibri"/>
        </w:rPr>
        <w:t xml:space="preserve"> </w:t>
      </w:r>
      <w:r w:rsidRPr="000169E8">
        <w:rPr>
          <w:rFonts w:ascii="Calibri" w:hAnsi="Calibri" w:cs="Calibri"/>
        </w:rPr>
        <w:tab/>
        <w:t>Ustanovení § 74 zákona č. 218/2000 Sb., o rozpočtových pravidlech a o změně některých souvisejících zákonů (rozpočtová pravidla).</w:t>
      </w:r>
    </w:p>
  </w:footnote>
  <w:footnote w:id="3">
    <w:p w14:paraId="09D03107" w14:textId="77777777" w:rsidR="00057903" w:rsidRPr="000169E8" w:rsidRDefault="00057903" w:rsidP="00A350F3">
      <w:pPr>
        <w:ind w:left="284" w:hanging="284"/>
        <w:jc w:val="both"/>
        <w:rPr>
          <w:rFonts w:ascii="Calibri" w:eastAsiaTheme="minorEastAsia" w:hAnsi="Calibri" w:cs="Calibri"/>
        </w:rPr>
      </w:pPr>
      <w:r w:rsidRPr="000169E8">
        <w:rPr>
          <w:rStyle w:val="Znakapoznpodarou"/>
          <w:rFonts w:ascii="Calibri" w:hAnsi="Calibri" w:cs="Calibri"/>
          <w:sz w:val="20"/>
          <w:szCs w:val="20"/>
        </w:rPr>
        <w:footnoteRef/>
      </w:r>
      <w:r w:rsidRPr="000169E8">
        <w:rPr>
          <w:rFonts w:ascii="Calibri" w:hAnsi="Calibri" w:cs="Calibri"/>
        </w:rPr>
        <w:t xml:space="preserve"> </w:t>
      </w:r>
      <w:r w:rsidRPr="000169E8">
        <w:rPr>
          <w:rFonts w:ascii="Calibri" w:hAnsi="Calibri" w:cs="Calibri"/>
        </w:rPr>
        <w:tab/>
      </w:r>
      <w:r w:rsidRPr="000169E8">
        <w:rPr>
          <w:rFonts w:ascii="Calibri" w:eastAsiaTheme="minorEastAsia" w:hAnsi="Calibri" w:cs="Calibri"/>
          <w:sz w:val="20"/>
          <w:szCs w:val="20"/>
        </w:rPr>
        <w:t>Zákon č. 128/2016 Sb., kterým se mění zákon č. 218/2000 Sb., o rozpočtových pravidlech a o změně některých souvisejících zákonů (rozpočtová pravidla), ve znění pozdějších předpisů, a některé další zákony.</w:t>
      </w:r>
    </w:p>
  </w:footnote>
  <w:footnote w:id="4">
    <w:p w14:paraId="12F5835B" w14:textId="77777777" w:rsidR="00057903" w:rsidRPr="000169E8" w:rsidRDefault="00057903" w:rsidP="000E26EA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0169E8">
        <w:rPr>
          <w:rStyle w:val="Znakapoznpodarou"/>
          <w:rFonts w:ascii="Calibri" w:hAnsi="Calibri" w:cs="Calibri"/>
        </w:rPr>
        <w:footnoteRef/>
      </w:r>
      <w:r w:rsidRPr="000169E8">
        <w:rPr>
          <w:rFonts w:ascii="Calibri" w:hAnsi="Calibri" w:cs="Calibri"/>
        </w:rPr>
        <w:t xml:space="preserve"> </w:t>
      </w:r>
      <w:r w:rsidRPr="000169E8">
        <w:rPr>
          <w:rFonts w:ascii="Calibri" w:hAnsi="Calibri" w:cs="Calibri"/>
        </w:rPr>
        <w:tab/>
        <w:t xml:space="preserve">Ustanovení </w:t>
      </w:r>
      <w:r w:rsidRPr="000169E8">
        <w:rPr>
          <w:rFonts w:ascii="Calibri" w:eastAsiaTheme="minorEastAsia" w:hAnsi="Calibri" w:cs="Calibri"/>
        </w:rPr>
        <w:t xml:space="preserve">§ 73 a § 74 </w:t>
      </w:r>
      <w:r w:rsidRPr="000169E8">
        <w:rPr>
          <w:rFonts w:ascii="Calibri" w:hAnsi="Calibri" w:cs="Calibri"/>
        </w:rPr>
        <w:t>zákona č. 218/2000 Sb.</w:t>
      </w:r>
    </w:p>
  </w:footnote>
  <w:footnote w:id="5">
    <w:p w14:paraId="6FBCFB2B" w14:textId="77777777" w:rsidR="00057903" w:rsidRPr="000169E8" w:rsidRDefault="00057903" w:rsidP="00CB1C94">
      <w:pPr>
        <w:pStyle w:val="Textpoznpodarou"/>
        <w:ind w:left="284" w:hanging="284"/>
        <w:rPr>
          <w:rFonts w:ascii="Calibri" w:hAnsi="Calibri" w:cs="Calibri"/>
        </w:rPr>
      </w:pPr>
      <w:r w:rsidRPr="000169E8">
        <w:rPr>
          <w:rStyle w:val="Znakapoznpodarou"/>
          <w:rFonts w:ascii="Calibri" w:hAnsi="Calibri" w:cs="Calibri"/>
        </w:rPr>
        <w:footnoteRef/>
      </w:r>
      <w:r w:rsidRPr="000169E8">
        <w:rPr>
          <w:rFonts w:ascii="Calibri" w:hAnsi="Calibri" w:cs="Calibri"/>
        </w:rPr>
        <w:tab/>
        <w:t>Ustanovení § 56 odst. 5 zákona č. 219/2000 Sb., o majetku České republiky a jejím vystupování v právních vztazích.</w:t>
      </w:r>
    </w:p>
  </w:footnote>
  <w:footnote w:id="6">
    <w:p w14:paraId="3FFC9AE8" w14:textId="77777777" w:rsidR="00057903" w:rsidRPr="000169E8" w:rsidRDefault="00057903" w:rsidP="00D51636">
      <w:pPr>
        <w:pStyle w:val="Textpoznpodarou"/>
        <w:ind w:left="284" w:hanging="284"/>
        <w:rPr>
          <w:rFonts w:ascii="Calibri" w:hAnsi="Calibri" w:cs="Calibri"/>
        </w:rPr>
      </w:pPr>
      <w:r w:rsidRPr="000169E8">
        <w:rPr>
          <w:rStyle w:val="Znakapoznpodarou"/>
          <w:rFonts w:ascii="Calibri" w:hAnsi="Calibri" w:cs="Calibri"/>
        </w:rPr>
        <w:footnoteRef/>
      </w:r>
      <w:r w:rsidRPr="000169E8">
        <w:rPr>
          <w:rFonts w:ascii="Calibri" w:hAnsi="Calibri" w:cs="Calibri"/>
        </w:rPr>
        <w:t xml:space="preserve"> </w:t>
      </w:r>
      <w:r w:rsidRPr="000169E8">
        <w:rPr>
          <w:rFonts w:ascii="Calibri" w:hAnsi="Calibri" w:cs="Calibri"/>
        </w:rPr>
        <w:tab/>
        <w:t xml:space="preserve">Ustanovení </w:t>
      </w:r>
      <w:r w:rsidRPr="000169E8">
        <w:rPr>
          <w:rFonts w:ascii="Calibri" w:eastAsiaTheme="minorEastAsia" w:hAnsi="Calibri" w:cs="Calibri"/>
        </w:rPr>
        <w:t>§ 29 odst. 3 zákona č. 218/2000 Sb.</w:t>
      </w:r>
    </w:p>
  </w:footnote>
  <w:footnote w:id="7">
    <w:p w14:paraId="58CF7A8A" w14:textId="77777777" w:rsidR="00057903" w:rsidRPr="000169E8" w:rsidRDefault="00057903" w:rsidP="00EB570C">
      <w:pPr>
        <w:pStyle w:val="Textpoznpodarou"/>
        <w:ind w:left="284" w:hanging="284"/>
        <w:rPr>
          <w:rFonts w:ascii="Calibri" w:hAnsi="Calibri" w:cs="Calibri"/>
        </w:rPr>
      </w:pPr>
      <w:r w:rsidRPr="000169E8">
        <w:rPr>
          <w:rStyle w:val="Znakapoznpodarou"/>
          <w:rFonts w:ascii="Calibri" w:hAnsi="Calibri" w:cs="Calibri"/>
        </w:rPr>
        <w:footnoteRef/>
      </w:r>
      <w:r w:rsidRPr="000169E8">
        <w:rPr>
          <w:rFonts w:ascii="Calibri" w:hAnsi="Calibri" w:cs="Calibri"/>
        </w:rPr>
        <w:t xml:space="preserve"> </w:t>
      </w:r>
      <w:r w:rsidRPr="000169E8">
        <w:rPr>
          <w:rFonts w:ascii="Calibri" w:hAnsi="Calibri" w:cs="Calibri"/>
        </w:rPr>
        <w:tab/>
        <w:t>Zákon č. 58/1995 Sb., o pojišťování a financování vývozu se státní podporou a o doplnění zákona č. 166/1993 Sb., o Nejvyšším kontrolním úřadu, ve znění pozdějších předpisů.</w:t>
      </w:r>
    </w:p>
  </w:footnote>
  <w:footnote w:id="8">
    <w:p w14:paraId="2A9CEC2E" w14:textId="77777777" w:rsidR="00057903" w:rsidRPr="000169E8" w:rsidRDefault="00057903" w:rsidP="00EB570C">
      <w:pPr>
        <w:pStyle w:val="Textpoznpodarou"/>
        <w:ind w:left="284" w:hanging="284"/>
        <w:rPr>
          <w:rFonts w:ascii="Calibri" w:hAnsi="Calibri" w:cs="Calibri"/>
        </w:rPr>
      </w:pPr>
      <w:r w:rsidRPr="000169E8">
        <w:rPr>
          <w:rStyle w:val="Znakapoznpodarou"/>
          <w:rFonts w:ascii="Calibri" w:hAnsi="Calibri" w:cs="Calibri"/>
        </w:rPr>
        <w:footnoteRef/>
      </w:r>
      <w:r w:rsidRPr="000169E8">
        <w:rPr>
          <w:rFonts w:ascii="Calibri" w:hAnsi="Calibri" w:cs="Calibri"/>
        </w:rPr>
        <w:t xml:space="preserve"> </w:t>
      </w:r>
      <w:r w:rsidRPr="000169E8">
        <w:rPr>
          <w:rFonts w:ascii="Calibri" w:hAnsi="Calibri" w:cs="Calibri"/>
        </w:rPr>
        <w:tab/>
        <w:t xml:space="preserve">Zákon č. 77/2002 Sb., o </w:t>
      </w:r>
      <w:r w:rsidRPr="000169E8">
        <w:rPr>
          <w:rStyle w:val="h1a"/>
          <w:rFonts w:ascii="Calibri" w:hAnsi="Calibri" w:cs="Calibri"/>
        </w:rPr>
        <w:t>akciové společnosti České dráhy, státní organizaci Správa železniční dopravní cesty a o změně zákona č. 266/1994 Sb., o dráhách, ve znění pozdějších předpisů, a zákona č. 77/1997 Sb., o státním podniku, ve znění pozdějších předpisů.</w:t>
      </w:r>
    </w:p>
  </w:footnote>
  <w:footnote w:id="9">
    <w:p w14:paraId="611D77B3" w14:textId="282EBF5D" w:rsidR="00057903" w:rsidRPr="00FC2BCD" w:rsidRDefault="00057903" w:rsidP="00244D98">
      <w:pPr>
        <w:pStyle w:val="Textpoznpodarou"/>
        <w:ind w:left="284" w:hanging="284"/>
        <w:rPr>
          <w:rFonts w:asciiTheme="minorHAnsi" w:hAnsiTheme="minorHAnsi" w:cstheme="minorHAnsi"/>
        </w:rPr>
      </w:pPr>
      <w:r>
        <w:rPr>
          <w:rStyle w:val="Znakapoznpodarou"/>
        </w:rPr>
        <w:footnoteRef/>
      </w:r>
      <w:r>
        <w:t xml:space="preserve"> </w:t>
      </w:r>
      <w:r>
        <w:tab/>
        <w:t>U</w:t>
      </w:r>
      <w:r w:rsidRPr="00FC2BCD">
        <w:rPr>
          <w:rFonts w:asciiTheme="minorHAnsi" w:hAnsiTheme="minorHAnsi" w:cstheme="minorHAnsi"/>
        </w:rPr>
        <w:t xml:space="preserve">snesení vlády ze dne 15. </w:t>
      </w:r>
      <w:r>
        <w:rPr>
          <w:rFonts w:asciiTheme="minorHAnsi" w:hAnsiTheme="minorHAnsi" w:cstheme="minorHAnsi"/>
        </w:rPr>
        <w:t>6.</w:t>
      </w:r>
      <w:r w:rsidRPr="00FC2BCD">
        <w:rPr>
          <w:rFonts w:asciiTheme="minorHAnsi" w:hAnsiTheme="minorHAnsi" w:cstheme="minorHAnsi"/>
        </w:rPr>
        <w:t xml:space="preserve"> 2000 č. 622, </w:t>
      </w:r>
      <w:r w:rsidRPr="00DE7D74">
        <w:rPr>
          <w:rFonts w:asciiTheme="minorHAnsi" w:hAnsiTheme="minorHAnsi" w:cstheme="minorHAnsi"/>
          <w:i/>
        </w:rPr>
        <w:t>o postupu řešení finanční situace Investiční a Poštovní banky, a. s.</w:t>
      </w:r>
      <w:r>
        <w:rPr>
          <w:rFonts w:asciiTheme="minorHAnsi" w:hAnsiTheme="minorHAnsi" w:cstheme="minorHAnsi"/>
        </w:rPr>
        <w:t>, a</w:t>
      </w:r>
      <w:r w:rsidRPr="00FC2BCD">
        <w:t xml:space="preserve"> </w:t>
      </w:r>
      <w:r>
        <w:t>u</w:t>
      </w:r>
      <w:r w:rsidRPr="00FC2BCD">
        <w:rPr>
          <w:rFonts w:asciiTheme="minorHAnsi" w:hAnsiTheme="minorHAnsi" w:cstheme="minorHAnsi"/>
        </w:rPr>
        <w:t xml:space="preserve">snesení vlády </w:t>
      </w:r>
      <w:r>
        <w:rPr>
          <w:rFonts w:asciiTheme="minorHAnsi" w:hAnsiTheme="minorHAnsi" w:cstheme="minorHAnsi"/>
        </w:rPr>
        <w:t xml:space="preserve">ze </w:t>
      </w:r>
      <w:r w:rsidRPr="00FC2BCD">
        <w:rPr>
          <w:rFonts w:asciiTheme="minorHAnsi" w:hAnsiTheme="minorHAnsi" w:cstheme="minorHAnsi"/>
        </w:rPr>
        <w:t>dne 21. 6. 2000 č. 644</w:t>
      </w:r>
      <w:r>
        <w:rPr>
          <w:rFonts w:asciiTheme="minorHAnsi" w:hAnsiTheme="minorHAnsi" w:cstheme="minorHAnsi"/>
        </w:rPr>
        <w:t>,</w:t>
      </w:r>
      <w:r w:rsidRPr="00244D98">
        <w:t xml:space="preserve"> </w:t>
      </w:r>
      <w:r w:rsidRPr="00DE7D74">
        <w:rPr>
          <w:rFonts w:asciiTheme="minorHAnsi" w:hAnsiTheme="minorHAnsi" w:cstheme="minorHAnsi"/>
          <w:i/>
        </w:rPr>
        <w:t>k plnění úkolů místopředsedy vlády a ministra financí při řešení finanční situace Investiční a Poštovní banky, a. s</w:t>
      </w:r>
      <w:r w:rsidRPr="00244D98">
        <w:rPr>
          <w:rFonts w:asciiTheme="minorHAnsi" w:hAnsiTheme="minorHAnsi" w:cstheme="minorHAnsi"/>
        </w:rPr>
        <w:t>.</w:t>
      </w:r>
    </w:p>
  </w:footnote>
  <w:footnote w:id="10">
    <w:p w14:paraId="428609CF" w14:textId="77777777" w:rsidR="00057903" w:rsidRDefault="00057903" w:rsidP="00AA2645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Theme="minorHAnsi" w:hAnsiTheme="minorHAnsi" w:cstheme="minorHAnsi"/>
        </w:rPr>
        <w:t>Z</w:t>
      </w:r>
      <w:r w:rsidRPr="00391BCD">
        <w:rPr>
          <w:rFonts w:asciiTheme="minorHAnsi" w:hAnsiTheme="minorHAnsi" w:cstheme="minorHAnsi"/>
        </w:rPr>
        <w:t>ákon č. 216/2013 Sb., o </w:t>
      </w:r>
      <w:r w:rsidRPr="00391BCD">
        <w:rPr>
          <w:rStyle w:val="h1a"/>
          <w:rFonts w:asciiTheme="minorHAnsi" w:hAnsiTheme="minorHAnsi"/>
        </w:rPr>
        <w:t>poskytnutí státní záruky České republiky na zajištění půjčky České národní banky pro Mezinárodní měnový fond</w:t>
      </w:r>
      <w:r>
        <w:rPr>
          <w:rStyle w:val="h1a"/>
          <w:rFonts w:asciiTheme="minorHAnsi" w:hAnsiTheme="minorHAnsi"/>
        </w:rPr>
        <w:t>.</w:t>
      </w:r>
    </w:p>
  </w:footnote>
  <w:footnote w:id="11">
    <w:p w14:paraId="2B3326BD" w14:textId="77777777" w:rsidR="00057903" w:rsidRDefault="00057903" w:rsidP="00AA2645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5F0336">
        <w:rPr>
          <w:rFonts w:asciiTheme="minorHAnsi" w:hAnsiTheme="minorHAnsi" w:cstheme="minorHAnsi"/>
        </w:rPr>
        <w:t>Ustanovení</w:t>
      </w:r>
      <w:r>
        <w:t xml:space="preserve"> </w:t>
      </w:r>
      <w:r w:rsidRPr="00A301A0">
        <w:rPr>
          <w:rFonts w:asciiTheme="minorHAnsi" w:hAnsiTheme="minorHAnsi" w:cstheme="minorHAnsi"/>
        </w:rPr>
        <w:t>§ 1 odst. 2 zákona č. 58/1995 Sb.</w:t>
      </w:r>
    </w:p>
  </w:footnote>
  <w:footnote w:id="12">
    <w:p w14:paraId="6461E0A6" w14:textId="77777777" w:rsidR="00057903" w:rsidRDefault="00057903" w:rsidP="00AA2645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5F0336">
        <w:rPr>
          <w:rFonts w:asciiTheme="minorHAnsi" w:hAnsiTheme="minorHAnsi" w:cstheme="minorHAnsi"/>
        </w:rPr>
        <w:t>Ustanovení</w:t>
      </w:r>
      <w:r>
        <w:t xml:space="preserve"> </w:t>
      </w:r>
      <w:r>
        <w:rPr>
          <w:rFonts w:asciiTheme="minorHAnsi" w:hAnsiTheme="minorHAnsi" w:cstheme="minorHAnsi"/>
        </w:rPr>
        <w:t xml:space="preserve">§ 8 odst. </w:t>
      </w:r>
      <w:r w:rsidRPr="00A301A0">
        <w:rPr>
          <w:rFonts w:asciiTheme="minorHAnsi" w:hAnsiTheme="minorHAnsi" w:cstheme="minorHAnsi"/>
        </w:rPr>
        <w:t>1 písm. b</w:t>
      </w:r>
      <w:r>
        <w:rPr>
          <w:rFonts w:asciiTheme="minorHAnsi" w:hAnsiTheme="minorHAnsi" w:cstheme="minorHAnsi"/>
        </w:rPr>
        <w:t>)</w:t>
      </w:r>
      <w:r w:rsidRPr="00CA59B5">
        <w:t xml:space="preserve"> </w:t>
      </w:r>
      <w:r w:rsidRPr="00CA59B5">
        <w:rPr>
          <w:rFonts w:asciiTheme="minorHAnsi" w:hAnsiTheme="minorHAnsi" w:cstheme="minorHAnsi"/>
        </w:rPr>
        <w:t>zákona č. 58/1995 Sb.</w:t>
      </w:r>
    </w:p>
  </w:footnote>
  <w:footnote w:id="13">
    <w:p w14:paraId="19F41ECB" w14:textId="77777777" w:rsidR="00057903" w:rsidRPr="0076441B" w:rsidRDefault="00057903" w:rsidP="0076441B">
      <w:pPr>
        <w:pStyle w:val="Textpoznpodarou"/>
        <w:ind w:left="284" w:hanging="284"/>
        <w:rPr>
          <w:rFonts w:ascii="Calibri" w:hAnsi="Calibri" w:cs="Calibri"/>
        </w:rPr>
      </w:pPr>
      <w:r w:rsidRPr="0076441B">
        <w:rPr>
          <w:rStyle w:val="Znakapoznpodarou"/>
          <w:rFonts w:ascii="Calibri" w:hAnsi="Calibri" w:cs="Calibri"/>
        </w:rPr>
        <w:footnoteRef/>
      </w:r>
      <w:r w:rsidRPr="0076441B">
        <w:rPr>
          <w:rFonts w:ascii="Calibri" w:hAnsi="Calibri" w:cs="Calibri"/>
        </w:rPr>
        <w:t xml:space="preserve"> </w:t>
      </w:r>
      <w:r w:rsidRPr="0076441B">
        <w:rPr>
          <w:rFonts w:ascii="Calibri" w:hAnsi="Calibri" w:cs="Calibri"/>
        </w:rPr>
        <w:tab/>
        <w:t xml:space="preserve">Usnesení vlády ze dne 30. listopadu 2005 č. 1553, </w:t>
      </w:r>
      <w:r w:rsidRPr="002A02C4">
        <w:rPr>
          <w:rFonts w:ascii="Calibri" w:hAnsi="Calibri" w:cs="Calibri"/>
          <w:i/>
        </w:rPr>
        <w:t>k oddlužení státní organizace Správa železniční dopravní cesty ve vztahu ke státnímu rozpočtu České republiky</w:t>
      </w:r>
      <w:r w:rsidRPr="0076441B">
        <w:rPr>
          <w:rFonts w:ascii="Calibri" w:hAnsi="Calibri" w:cs="Calibri"/>
        </w:rPr>
        <w:t>.</w:t>
      </w:r>
    </w:p>
  </w:footnote>
  <w:footnote w:id="14">
    <w:p w14:paraId="454E0718" w14:textId="77777777" w:rsidR="00057903" w:rsidRPr="0076441B" w:rsidRDefault="00057903" w:rsidP="000C6527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76441B">
        <w:rPr>
          <w:rStyle w:val="Znakapoznpodarou"/>
          <w:rFonts w:ascii="Calibri" w:hAnsi="Calibri" w:cs="Calibri"/>
        </w:rPr>
        <w:footnoteRef/>
      </w:r>
      <w:r w:rsidRPr="0076441B">
        <w:rPr>
          <w:rFonts w:ascii="Calibri" w:hAnsi="Calibri" w:cs="Calibri"/>
        </w:rPr>
        <w:tab/>
        <w:t xml:space="preserve">Zákon č. 297/2007 Sb., o poskytnutí státní záruky České republiky na zajištění úvěru poskytnutého společností EUROFIMA za účelem financování nákupu železničních kolejových vozidel. </w:t>
      </w:r>
    </w:p>
  </w:footnote>
  <w:footnote w:id="15">
    <w:p w14:paraId="5D730A25" w14:textId="77777777" w:rsidR="00057903" w:rsidRPr="0076441B" w:rsidRDefault="00057903" w:rsidP="00E40384">
      <w:p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6441B">
        <w:rPr>
          <w:rStyle w:val="Znakapoznpodarou"/>
          <w:rFonts w:ascii="Calibri" w:hAnsi="Calibri" w:cs="Calibri"/>
          <w:sz w:val="20"/>
        </w:rPr>
        <w:footnoteRef/>
      </w:r>
      <w:r w:rsidRPr="0076441B">
        <w:rPr>
          <w:rFonts w:ascii="Calibri" w:hAnsi="Calibri" w:cs="Calibri"/>
          <w:sz w:val="20"/>
        </w:rPr>
        <w:tab/>
        <w:t>Zákon č. 128/2016 Sb., kterým se mění zákon č. 218/2000 Sb., o rozpočtových pravidlech a o změně některých souvisejících zákonů (rozpočtová pravidla), ve znění pozdějších předpisů, a některé další záko</w:t>
      </w:r>
      <w:r w:rsidRPr="0076441B">
        <w:rPr>
          <w:rFonts w:ascii="Calibri" w:hAnsi="Calibri" w:cs="Calibri"/>
          <w:sz w:val="20"/>
          <w:szCs w:val="20"/>
        </w:rPr>
        <w:t>ny.</w:t>
      </w:r>
    </w:p>
  </w:footnote>
  <w:footnote w:id="16">
    <w:p w14:paraId="215912E6" w14:textId="77777777" w:rsidR="00057903" w:rsidRPr="0076441B" w:rsidRDefault="00057903" w:rsidP="007C5FBF">
      <w:pPr>
        <w:pStyle w:val="Textpoznpodarou"/>
        <w:ind w:left="284" w:hanging="284"/>
        <w:rPr>
          <w:rFonts w:ascii="Calibri" w:hAnsi="Calibri" w:cs="Calibri"/>
        </w:rPr>
      </w:pPr>
      <w:r w:rsidRPr="0076441B">
        <w:rPr>
          <w:rStyle w:val="Znakapoznpodarou"/>
          <w:rFonts w:ascii="Calibri" w:hAnsi="Calibri" w:cs="Calibri"/>
        </w:rPr>
        <w:footnoteRef/>
      </w:r>
      <w:r w:rsidRPr="0076441B">
        <w:rPr>
          <w:rFonts w:ascii="Calibri" w:hAnsi="Calibri" w:cs="Calibri"/>
        </w:rPr>
        <w:t xml:space="preserve"> </w:t>
      </w:r>
      <w:r w:rsidRPr="0076441B">
        <w:rPr>
          <w:rFonts w:ascii="Calibri" w:hAnsi="Calibri" w:cs="Calibri"/>
        </w:rPr>
        <w:tab/>
        <w:t>Ustanovení § 74 zákona č. 218/2000 Sb.</w:t>
      </w:r>
    </w:p>
  </w:footnote>
  <w:footnote w:id="17">
    <w:p w14:paraId="7136B2C8" w14:textId="70755302" w:rsidR="00057903" w:rsidRPr="0076441B" w:rsidRDefault="00057903" w:rsidP="007C5FBF">
      <w:pPr>
        <w:pStyle w:val="Textpoznpodarou"/>
        <w:ind w:left="284" w:hanging="284"/>
        <w:rPr>
          <w:rFonts w:ascii="Calibri" w:hAnsi="Calibri" w:cs="Calibri"/>
        </w:rPr>
      </w:pPr>
      <w:r w:rsidRPr="0076441B">
        <w:rPr>
          <w:rStyle w:val="Znakapoznpodarou"/>
          <w:rFonts w:ascii="Calibri" w:hAnsi="Calibri" w:cs="Calibri"/>
        </w:rPr>
        <w:footnoteRef/>
      </w:r>
      <w:r w:rsidRPr="0076441B">
        <w:rPr>
          <w:rFonts w:ascii="Calibri" w:hAnsi="Calibri" w:cs="Calibri"/>
        </w:rPr>
        <w:tab/>
        <w:t>Důvodová zpráva k</w:t>
      </w:r>
      <w:r w:rsidR="00B4319B">
        <w:rPr>
          <w:rFonts w:ascii="Calibri" w:hAnsi="Calibri" w:cs="Calibri"/>
        </w:rPr>
        <w:t xml:space="preserve"> ustanovení </w:t>
      </w:r>
      <w:r w:rsidRPr="0076441B">
        <w:rPr>
          <w:rFonts w:ascii="Calibri" w:hAnsi="Calibri" w:cs="Calibri"/>
        </w:rPr>
        <w:t>§ 74 zákona č. 218/2000 Sb.</w:t>
      </w:r>
    </w:p>
  </w:footnote>
  <w:footnote w:id="18">
    <w:p w14:paraId="5A758975" w14:textId="1043B789" w:rsidR="00057903" w:rsidRPr="007C3182" w:rsidRDefault="00057903" w:rsidP="00E43904">
      <w:pPr>
        <w:pStyle w:val="Textpoznpodarou"/>
        <w:ind w:left="284" w:hanging="284"/>
        <w:rPr>
          <w:rFonts w:ascii="Calibri" w:hAnsi="Calibri" w:cs="Calibri"/>
          <w:color w:val="000000" w:themeColor="text1"/>
        </w:rPr>
      </w:pPr>
      <w:r w:rsidRPr="0076441B">
        <w:rPr>
          <w:rStyle w:val="Znakapoznpodarou"/>
          <w:rFonts w:ascii="Calibri" w:hAnsi="Calibri" w:cs="Calibri"/>
        </w:rPr>
        <w:footnoteRef/>
      </w:r>
      <w:r w:rsidRPr="0076441B">
        <w:rPr>
          <w:rFonts w:ascii="Calibri" w:hAnsi="Calibri" w:cs="Calibri"/>
        </w:rPr>
        <w:t xml:space="preserve"> </w:t>
      </w:r>
      <w:r w:rsidRPr="0076441B">
        <w:rPr>
          <w:rFonts w:ascii="Calibri" w:hAnsi="Calibri" w:cs="Calibri"/>
        </w:rPr>
        <w:tab/>
      </w:r>
      <w:r w:rsidRPr="007C3182">
        <w:rPr>
          <w:rFonts w:ascii="Calibri" w:hAnsi="Calibri" w:cs="Calibri"/>
          <w:i/>
        </w:rPr>
        <w:t>Rozvaha – PŘÍSPĚVKOVÉ ORGANIZACE</w:t>
      </w:r>
      <w:r w:rsidRPr="0076441B">
        <w:rPr>
          <w:rFonts w:ascii="Calibri" w:hAnsi="Calibri" w:cs="Calibri"/>
        </w:rPr>
        <w:t xml:space="preserve"> z </w:t>
      </w:r>
      <w:hyperlink r:id="rId1" w:history="1">
        <w:r w:rsidRPr="0076441B">
          <w:rPr>
            <w:rStyle w:val="Hypertextovodkaz"/>
            <w:rFonts w:ascii="Calibri" w:hAnsi="Calibri" w:cs="Calibri"/>
          </w:rPr>
          <w:t>https://monitor.statnipokladna.cz</w:t>
        </w:r>
      </w:hyperlink>
      <w:r>
        <w:rPr>
          <w:rStyle w:val="Hypertextovodkaz"/>
          <w:rFonts w:ascii="Calibri" w:hAnsi="Calibri" w:cs="Calibri"/>
          <w:color w:val="000000" w:themeColor="text1"/>
          <w:u w:val="none"/>
        </w:rPr>
        <w:t>.</w:t>
      </w:r>
    </w:p>
  </w:footnote>
  <w:footnote w:id="19">
    <w:p w14:paraId="6A272F6F" w14:textId="32165637" w:rsidR="00057903" w:rsidRPr="0076441B" w:rsidRDefault="00057903" w:rsidP="00274F41">
      <w:pPr>
        <w:pStyle w:val="Textpoznpodarou"/>
        <w:ind w:left="284" w:hanging="284"/>
        <w:rPr>
          <w:rFonts w:ascii="Calibri" w:hAnsi="Calibri" w:cs="Calibri"/>
        </w:rPr>
      </w:pPr>
      <w:r w:rsidRPr="0076441B">
        <w:rPr>
          <w:rStyle w:val="Znakapoznpodarou"/>
          <w:rFonts w:ascii="Calibri" w:hAnsi="Calibri" w:cs="Calibri"/>
        </w:rPr>
        <w:footnoteRef/>
      </w:r>
      <w:r w:rsidRPr="0076441B">
        <w:rPr>
          <w:rFonts w:ascii="Calibri" w:hAnsi="Calibri" w:cs="Calibri"/>
        </w:rPr>
        <w:t xml:space="preserve"> </w:t>
      </w:r>
      <w:r w:rsidRPr="0076441B">
        <w:rPr>
          <w:rFonts w:ascii="Calibri" w:hAnsi="Calibri" w:cs="Calibri"/>
        </w:rPr>
        <w:tab/>
      </w:r>
      <w:r w:rsidRPr="007C3182">
        <w:rPr>
          <w:rFonts w:ascii="Calibri" w:hAnsi="Calibri" w:cs="Calibri"/>
          <w:i/>
        </w:rPr>
        <w:t>Výkaz zisku a ztráty – PŘÍSPĚVKOVÉ ORGANIZACE</w:t>
      </w:r>
      <w:r w:rsidRPr="0076441B">
        <w:rPr>
          <w:rFonts w:ascii="Calibri" w:hAnsi="Calibri" w:cs="Calibri"/>
        </w:rPr>
        <w:t xml:space="preserve"> z </w:t>
      </w:r>
      <w:hyperlink r:id="rId2" w:history="1">
        <w:r w:rsidRPr="0076441B">
          <w:rPr>
            <w:rStyle w:val="Hypertextovodkaz"/>
            <w:rFonts w:ascii="Calibri" w:hAnsi="Calibri" w:cs="Calibri"/>
          </w:rPr>
          <w:t>https://monitor.statnipokladna.cz</w:t>
        </w:r>
      </w:hyperlink>
      <w:r w:rsidRPr="007827D8">
        <w:rPr>
          <w:rStyle w:val="Hypertextovodkaz"/>
          <w:rFonts w:ascii="Calibri" w:hAnsi="Calibri" w:cs="Calibri"/>
          <w:color w:val="000000" w:themeColor="text1"/>
          <w:u w:val="non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E48A5" w14:textId="77777777" w:rsidR="00BD1FE3" w:rsidRDefault="00BD1F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E9B"/>
    <w:multiLevelType w:val="multilevel"/>
    <w:tmpl w:val="53E284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/>
      </w:rPr>
    </w:lvl>
  </w:abstractNum>
  <w:abstractNum w:abstractNumId="1" w15:restartNumberingAfterBreak="0">
    <w:nsid w:val="0228706E"/>
    <w:multiLevelType w:val="multilevel"/>
    <w:tmpl w:val="E43A4146"/>
    <w:lvl w:ilvl="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86" w:hanging="1800"/>
      </w:pPr>
      <w:rPr>
        <w:rFonts w:hint="default"/>
      </w:rPr>
    </w:lvl>
  </w:abstractNum>
  <w:abstractNum w:abstractNumId="2" w15:restartNumberingAfterBreak="0">
    <w:nsid w:val="54AA5110"/>
    <w:multiLevelType w:val="multilevel"/>
    <w:tmpl w:val="26866E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82F3DF5"/>
    <w:multiLevelType w:val="multilevel"/>
    <w:tmpl w:val="25DCBD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/>
      </w:rPr>
    </w:lvl>
  </w:abstractNum>
  <w:abstractNum w:abstractNumId="4" w15:restartNumberingAfterBreak="0">
    <w:nsid w:val="723A6774"/>
    <w:multiLevelType w:val="multilevel"/>
    <w:tmpl w:val="3454FE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5" w15:restartNumberingAfterBreak="0">
    <w:nsid w:val="796601FC"/>
    <w:multiLevelType w:val="multilevel"/>
    <w:tmpl w:val="B502BB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trackRevisions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15"/>
    <w:rsid w:val="00001F06"/>
    <w:rsid w:val="00004816"/>
    <w:rsid w:val="00007BC0"/>
    <w:rsid w:val="00015005"/>
    <w:rsid w:val="000169E8"/>
    <w:rsid w:val="0002449E"/>
    <w:rsid w:val="00025F97"/>
    <w:rsid w:val="000417BF"/>
    <w:rsid w:val="000422CD"/>
    <w:rsid w:val="0004352C"/>
    <w:rsid w:val="000454EF"/>
    <w:rsid w:val="00046A0C"/>
    <w:rsid w:val="00054EB2"/>
    <w:rsid w:val="00057903"/>
    <w:rsid w:val="00057ED8"/>
    <w:rsid w:val="0006047D"/>
    <w:rsid w:val="000613CA"/>
    <w:rsid w:val="00061CB3"/>
    <w:rsid w:val="0006225C"/>
    <w:rsid w:val="00070A8A"/>
    <w:rsid w:val="00070FE4"/>
    <w:rsid w:val="000711F8"/>
    <w:rsid w:val="00071353"/>
    <w:rsid w:val="00074FA9"/>
    <w:rsid w:val="000758B0"/>
    <w:rsid w:val="00076C0D"/>
    <w:rsid w:val="0008314E"/>
    <w:rsid w:val="00085164"/>
    <w:rsid w:val="00087161"/>
    <w:rsid w:val="00087317"/>
    <w:rsid w:val="00090E12"/>
    <w:rsid w:val="00095728"/>
    <w:rsid w:val="000A1E3C"/>
    <w:rsid w:val="000B0525"/>
    <w:rsid w:val="000B11A7"/>
    <w:rsid w:val="000B157C"/>
    <w:rsid w:val="000B3E4D"/>
    <w:rsid w:val="000B7B0A"/>
    <w:rsid w:val="000B7CAB"/>
    <w:rsid w:val="000C18EE"/>
    <w:rsid w:val="000C6527"/>
    <w:rsid w:val="000C6F7C"/>
    <w:rsid w:val="000C77F1"/>
    <w:rsid w:val="000E0984"/>
    <w:rsid w:val="000E26EA"/>
    <w:rsid w:val="000E539E"/>
    <w:rsid w:val="000F29B7"/>
    <w:rsid w:val="000F496F"/>
    <w:rsid w:val="000F53D4"/>
    <w:rsid w:val="00111F6E"/>
    <w:rsid w:val="00116049"/>
    <w:rsid w:val="0011658F"/>
    <w:rsid w:val="00117A4B"/>
    <w:rsid w:val="00123271"/>
    <w:rsid w:val="00126B13"/>
    <w:rsid w:val="00127480"/>
    <w:rsid w:val="00130CD9"/>
    <w:rsid w:val="00136A39"/>
    <w:rsid w:val="001414ED"/>
    <w:rsid w:val="001446CE"/>
    <w:rsid w:val="00144FE1"/>
    <w:rsid w:val="00146CD9"/>
    <w:rsid w:val="001506BC"/>
    <w:rsid w:val="0015097B"/>
    <w:rsid w:val="00161E9E"/>
    <w:rsid w:val="00163A80"/>
    <w:rsid w:val="00164C80"/>
    <w:rsid w:val="0017777C"/>
    <w:rsid w:val="00177861"/>
    <w:rsid w:val="00182357"/>
    <w:rsid w:val="001938DA"/>
    <w:rsid w:val="001960B9"/>
    <w:rsid w:val="001A2108"/>
    <w:rsid w:val="001A24A0"/>
    <w:rsid w:val="001A37C1"/>
    <w:rsid w:val="001A471B"/>
    <w:rsid w:val="001B1D33"/>
    <w:rsid w:val="001B50A9"/>
    <w:rsid w:val="001B5D10"/>
    <w:rsid w:val="001B6375"/>
    <w:rsid w:val="001B6988"/>
    <w:rsid w:val="001C757E"/>
    <w:rsid w:val="001D1D08"/>
    <w:rsid w:val="001D47E5"/>
    <w:rsid w:val="001D5365"/>
    <w:rsid w:val="001D6817"/>
    <w:rsid w:val="001D7F14"/>
    <w:rsid w:val="001E3AC6"/>
    <w:rsid w:val="001E3F59"/>
    <w:rsid w:val="001E46E4"/>
    <w:rsid w:val="001F0124"/>
    <w:rsid w:val="001F29B7"/>
    <w:rsid w:val="001F2BA1"/>
    <w:rsid w:val="00207DE3"/>
    <w:rsid w:val="00210A08"/>
    <w:rsid w:val="0021274E"/>
    <w:rsid w:val="00223642"/>
    <w:rsid w:val="002258C5"/>
    <w:rsid w:val="00231C12"/>
    <w:rsid w:val="002324C6"/>
    <w:rsid w:val="0023630F"/>
    <w:rsid w:val="00244D98"/>
    <w:rsid w:val="002548B6"/>
    <w:rsid w:val="002607CC"/>
    <w:rsid w:val="00262C8F"/>
    <w:rsid w:val="002660F3"/>
    <w:rsid w:val="002735C5"/>
    <w:rsid w:val="00274F41"/>
    <w:rsid w:val="0028378A"/>
    <w:rsid w:val="002843E0"/>
    <w:rsid w:val="00286C0F"/>
    <w:rsid w:val="00294863"/>
    <w:rsid w:val="002971A9"/>
    <w:rsid w:val="002A02C4"/>
    <w:rsid w:val="002B2000"/>
    <w:rsid w:val="002B761A"/>
    <w:rsid w:val="002C5CEA"/>
    <w:rsid w:val="002C690A"/>
    <w:rsid w:val="002D0629"/>
    <w:rsid w:val="002D23A1"/>
    <w:rsid w:val="002D23B9"/>
    <w:rsid w:val="002D6C48"/>
    <w:rsid w:val="002F0C53"/>
    <w:rsid w:val="002F3631"/>
    <w:rsid w:val="00302264"/>
    <w:rsid w:val="00306C19"/>
    <w:rsid w:val="00306DFE"/>
    <w:rsid w:val="00310A90"/>
    <w:rsid w:val="0031143F"/>
    <w:rsid w:val="00313085"/>
    <w:rsid w:val="003133E2"/>
    <w:rsid w:val="00314F6D"/>
    <w:rsid w:val="00317849"/>
    <w:rsid w:val="00322B95"/>
    <w:rsid w:val="003243F2"/>
    <w:rsid w:val="00330580"/>
    <w:rsid w:val="0033323A"/>
    <w:rsid w:val="00333CB4"/>
    <w:rsid w:val="00340A1C"/>
    <w:rsid w:val="0034721A"/>
    <w:rsid w:val="00347EB1"/>
    <w:rsid w:val="00353CBD"/>
    <w:rsid w:val="003759CA"/>
    <w:rsid w:val="00384614"/>
    <w:rsid w:val="00386F4A"/>
    <w:rsid w:val="0038725B"/>
    <w:rsid w:val="00391528"/>
    <w:rsid w:val="00393B3B"/>
    <w:rsid w:val="00394CBF"/>
    <w:rsid w:val="00395BDC"/>
    <w:rsid w:val="00397F5D"/>
    <w:rsid w:val="003A2818"/>
    <w:rsid w:val="003A6157"/>
    <w:rsid w:val="003B1B0C"/>
    <w:rsid w:val="003B274C"/>
    <w:rsid w:val="003B3614"/>
    <w:rsid w:val="003B38F0"/>
    <w:rsid w:val="003C38A3"/>
    <w:rsid w:val="003C4DED"/>
    <w:rsid w:val="003C6A4A"/>
    <w:rsid w:val="003D1397"/>
    <w:rsid w:val="003D22C8"/>
    <w:rsid w:val="003D6993"/>
    <w:rsid w:val="003D7A3C"/>
    <w:rsid w:val="003E4399"/>
    <w:rsid w:val="003E542D"/>
    <w:rsid w:val="003F55F8"/>
    <w:rsid w:val="00402831"/>
    <w:rsid w:val="00410665"/>
    <w:rsid w:val="0041585E"/>
    <w:rsid w:val="004302F3"/>
    <w:rsid w:val="00435381"/>
    <w:rsid w:val="004357F8"/>
    <w:rsid w:val="004359CC"/>
    <w:rsid w:val="00436BA0"/>
    <w:rsid w:val="004409E6"/>
    <w:rsid w:val="004431E4"/>
    <w:rsid w:val="004466F1"/>
    <w:rsid w:val="00450D2E"/>
    <w:rsid w:val="004552F8"/>
    <w:rsid w:val="00456AC5"/>
    <w:rsid w:val="004621B0"/>
    <w:rsid w:val="00466DBA"/>
    <w:rsid w:val="00476B5C"/>
    <w:rsid w:val="00477FC4"/>
    <w:rsid w:val="0048023D"/>
    <w:rsid w:val="004802F0"/>
    <w:rsid w:val="00483622"/>
    <w:rsid w:val="00490540"/>
    <w:rsid w:val="004968A4"/>
    <w:rsid w:val="004A1539"/>
    <w:rsid w:val="004B1290"/>
    <w:rsid w:val="004B69CB"/>
    <w:rsid w:val="004C204A"/>
    <w:rsid w:val="004C3412"/>
    <w:rsid w:val="004C628E"/>
    <w:rsid w:val="004D0AD3"/>
    <w:rsid w:val="004D35F5"/>
    <w:rsid w:val="004D39C9"/>
    <w:rsid w:val="004D73E7"/>
    <w:rsid w:val="004D7722"/>
    <w:rsid w:val="004E5223"/>
    <w:rsid w:val="004E7DBD"/>
    <w:rsid w:val="004F1F4E"/>
    <w:rsid w:val="004F5EC1"/>
    <w:rsid w:val="004F62E8"/>
    <w:rsid w:val="00502126"/>
    <w:rsid w:val="005102F4"/>
    <w:rsid w:val="005124BD"/>
    <w:rsid w:val="00516BD2"/>
    <w:rsid w:val="00516DEA"/>
    <w:rsid w:val="00522B25"/>
    <w:rsid w:val="00524B16"/>
    <w:rsid w:val="00536A3E"/>
    <w:rsid w:val="00537AF9"/>
    <w:rsid w:val="005426F5"/>
    <w:rsid w:val="005544DD"/>
    <w:rsid w:val="005611F3"/>
    <w:rsid w:val="005631E5"/>
    <w:rsid w:val="005676C2"/>
    <w:rsid w:val="0056778F"/>
    <w:rsid w:val="005727ED"/>
    <w:rsid w:val="00595F61"/>
    <w:rsid w:val="00596F8A"/>
    <w:rsid w:val="005A1EEE"/>
    <w:rsid w:val="005A2D2A"/>
    <w:rsid w:val="005B06D0"/>
    <w:rsid w:val="005B293B"/>
    <w:rsid w:val="005B3EB7"/>
    <w:rsid w:val="005C0C33"/>
    <w:rsid w:val="005C0F99"/>
    <w:rsid w:val="005C4FE1"/>
    <w:rsid w:val="005C7954"/>
    <w:rsid w:val="005D5C04"/>
    <w:rsid w:val="005D7997"/>
    <w:rsid w:val="005E1FE7"/>
    <w:rsid w:val="005E68F7"/>
    <w:rsid w:val="005F0336"/>
    <w:rsid w:val="005F66EC"/>
    <w:rsid w:val="005F6792"/>
    <w:rsid w:val="005F7EC4"/>
    <w:rsid w:val="00600281"/>
    <w:rsid w:val="006022D6"/>
    <w:rsid w:val="00604E43"/>
    <w:rsid w:val="00611E35"/>
    <w:rsid w:val="006170CC"/>
    <w:rsid w:val="00617459"/>
    <w:rsid w:val="00626B8D"/>
    <w:rsid w:val="00627A87"/>
    <w:rsid w:val="0063038A"/>
    <w:rsid w:val="006319B5"/>
    <w:rsid w:val="00633162"/>
    <w:rsid w:val="00644CB9"/>
    <w:rsid w:val="0064788B"/>
    <w:rsid w:val="00650649"/>
    <w:rsid w:val="00657B71"/>
    <w:rsid w:val="0066188C"/>
    <w:rsid w:val="00663441"/>
    <w:rsid w:val="006666E9"/>
    <w:rsid w:val="006800B2"/>
    <w:rsid w:val="00682A29"/>
    <w:rsid w:val="00686CAA"/>
    <w:rsid w:val="006907FE"/>
    <w:rsid w:val="006935A0"/>
    <w:rsid w:val="006937D9"/>
    <w:rsid w:val="006958E6"/>
    <w:rsid w:val="0069734D"/>
    <w:rsid w:val="006A1149"/>
    <w:rsid w:val="006A4053"/>
    <w:rsid w:val="006A475D"/>
    <w:rsid w:val="006B0B7D"/>
    <w:rsid w:val="006B2002"/>
    <w:rsid w:val="006B5897"/>
    <w:rsid w:val="006B7A08"/>
    <w:rsid w:val="006C475C"/>
    <w:rsid w:val="006D2BA8"/>
    <w:rsid w:val="006D478A"/>
    <w:rsid w:val="006E1FAD"/>
    <w:rsid w:val="006E5AB0"/>
    <w:rsid w:val="006F065C"/>
    <w:rsid w:val="006F3833"/>
    <w:rsid w:val="00707C2D"/>
    <w:rsid w:val="0071182C"/>
    <w:rsid w:val="007150A9"/>
    <w:rsid w:val="0071625D"/>
    <w:rsid w:val="00717563"/>
    <w:rsid w:val="00717BE2"/>
    <w:rsid w:val="0072242F"/>
    <w:rsid w:val="007246DF"/>
    <w:rsid w:val="007321DA"/>
    <w:rsid w:val="00733D55"/>
    <w:rsid w:val="0073544E"/>
    <w:rsid w:val="00742006"/>
    <w:rsid w:val="00746A5F"/>
    <w:rsid w:val="00746BEB"/>
    <w:rsid w:val="00746EA5"/>
    <w:rsid w:val="007524AF"/>
    <w:rsid w:val="00753596"/>
    <w:rsid w:val="00755AD8"/>
    <w:rsid w:val="00756082"/>
    <w:rsid w:val="0076441B"/>
    <w:rsid w:val="00765A92"/>
    <w:rsid w:val="00767B1D"/>
    <w:rsid w:val="007827D8"/>
    <w:rsid w:val="007847CC"/>
    <w:rsid w:val="00785411"/>
    <w:rsid w:val="00785FA6"/>
    <w:rsid w:val="007A0402"/>
    <w:rsid w:val="007A07DD"/>
    <w:rsid w:val="007B3BCB"/>
    <w:rsid w:val="007C0D83"/>
    <w:rsid w:val="007C3041"/>
    <w:rsid w:val="007C3182"/>
    <w:rsid w:val="007C5FBF"/>
    <w:rsid w:val="007D3F13"/>
    <w:rsid w:val="007D46FE"/>
    <w:rsid w:val="007D4C68"/>
    <w:rsid w:val="007F046B"/>
    <w:rsid w:val="007F1E4E"/>
    <w:rsid w:val="007F3DE0"/>
    <w:rsid w:val="007F4DD1"/>
    <w:rsid w:val="007F5CE9"/>
    <w:rsid w:val="00810ACD"/>
    <w:rsid w:val="00812E49"/>
    <w:rsid w:val="008315F2"/>
    <w:rsid w:val="00832966"/>
    <w:rsid w:val="008418FA"/>
    <w:rsid w:val="00842834"/>
    <w:rsid w:val="00842FB2"/>
    <w:rsid w:val="00844538"/>
    <w:rsid w:val="0084514D"/>
    <w:rsid w:val="00845A6B"/>
    <w:rsid w:val="00846FAC"/>
    <w:rsid w:val="00851A5C"/>
    <w:rsid w:val="008541C6"/>
    <w:rsid w:val="008555FD"/>
    <w:rsid w:val="008577B1"/>
    <w:rsid w:val="00860E65"/>
    <w:rsid w:val="008724BE"/>
    <w:rsid w:val="008777A5"/>
    <w:rsid w:val="008805E7"/>
    <w:rsid w:val="00882AFD"/>
    <w:rsid w:val="00884984"/>
    <w:rsid w:val="008902F5"/>
    <w:rsid w:val="00894DE9"/>
    <w:rsid w:val="008950F2"/>
    <w:rsid w:val="008A3AAA"/>
    <w:rsid w:val="008A4F6D"/>
    <w:rsid w:val="008A6B47"/>
    <w:rsid w:val="008A717E"/>
    <w:rsid w:val="008B36BF"/>
    <w:rsid w:val="008B72CE"/>
    <w:rsid w:val="008C41F6"/>
    <w:rsid w:val="008D0163"/>
    <w:rsid w:val="008D061E"/>
    <w:rsid w:val="008D0CAA"/>
    <w:rsid w:val="008D290C"/>
    <w:rsid w:val="008D6133"/>
    <w:rsid w:val="008E0AFE"/>
    <w:rsid w:val="008E6D6B"/>
    <w:rsid w:val="008F1477"/>
    <w:rsid w:val="0090040E"/>
    <w:rsid w:val="0090306B"/>
    <w:rsid w:val="00903E72"/>
    <w:rsid w:val="00912742"/>
    <w:rsid w:val="0091673D"/>
    <w:rsid w:val="00922CDD"/>
    <w:rsid w:val="0092370D"/>
    <w:rsid w:val="00924F2E"/>
    <w:rsid w:val="00925B4B"/>
    <w:rsid w:val="00945CED"/>
    <w:rsid w:val="00952E33"/>
    <w:rsid w:val="00953E5E"/>
    <w:rsid w:val="009619A8"/>
    <w:rsid w:val="00964A95"/>
    <w:rsid w:val="00964CB0"/>
    <w:rsid w:val="0096544E"/>
    <w:rsid w:val="00966358"/>
    <w:rsid w:val="00973723"/>
    <w:rsid w:val="00974715"/>
    <w:rsid w:val="00975E44"/>
    <w:rsid w:val="00976D72"/>
    <w:rsid w:val="009778DD"/>
    <w:rsid w:val="00980F7B"/>
    <w:rsid w:val="00981DB6"/>
    <w:rsid w:val="00984611"/>
    <w:rsid w:val="009865D8"/>
    <w:rsid w:val="009868FA"/>
    <w:rsid w:val="00986F3F"/>
    <w:rsid w:val="00987203"/>
    <w:rsid w:val="0099108F"/>
    <w:rsid w:val="009927B9"/>
    <w:rsid w:val="00994894"/>
    <w:rsid w:val="0099687A"/>
    <w:rsid w:val="009A178F"/>
    <w:rsid w:val="009A6456"/>
    <w:rsid w:val="009A6854"/>
    <w:rsid w:val="009B09CC"/>
    <w:rsid w:val="009B2538"/>
    <w:rsid w:val="009C193B"/>
    <w:rsid w:val="009C458D"/>
    <w:rsid w:val="009C5216"/>
    <w:rsid w:val="009D197B"/>
    <w:rsid w:val="009D1B67"/>
    <w:rsid w:val="009E2B5C"/>
    <w:rsid w:val="009E33A9"/>
    <w:rsid w:val="009E7CC0"/>
    <w:rsid w:val="009F095C"/>
    <w:rsid w:val="009F7E76"/>
    <w:rsid w:val="00A012DE"/>
    <w:rsid w:val="00A01354"/>
    <w:rsid w:val="00A05EB5"/>
    <w:rsid w:val="00A07138"/>
    <w:rsid w:val="00A11584"/>
    <w:rsid w:val="00A245AA"/>
    <w:rsid w:val="00A24C31"/>
    <w:rsid w:val="00A2788E"/>
    <w:rsid w:val="00A301A0"/>
    <w:rsid w:val="00A350F3"/>
    <w:rsid w:val="00A36898"/>
    <w:rsid w:val="00A36A4A"/>
    <w:rsid w:val="00A3711D"/>
    <w:rsid w:val="00A37BB7"/>
    <w:rsid w:val="00A44EB4"/>
    <w:rsid w:val="00A51016"/>
    <w:rsid w:val="00A54171"/>
    <w:rsid w:val="00A635E4"/>
    <w:rsid w:val="00A71B4C"/>
    <w:rsid w:val="00A732FF"/>
    <w:rsid w:val="00A76768"/>
    <w:rsid w:val="00A773AE"/>
    <w:rsid w:val="00A82005"/>
    <w:rsid w:val="00A84676"/>
    <w:rsid w:val="00A8718C"/>
    <w:rsid w:val="00A9172F"/>
    <w:rsid w:val="00A93379"/>
    <w:rsid w:val="00AA04C1"/>
    <w:rsid w:val="00AA093E"/>
    <w:rsid w:val="00AA2645"/>
    <w:rsid w:val="00AB0839"/>
    <w:rsid w:val="00AB15A9"/>
    <w:rsid w:val="00AB2EC1"/>
    <w:rsid w:val="00AB52DA"/>
    <w:rsid w:val="00AC009C"/>
    <w:rsid w:val="00AC0FA1"/>
    <w:rsid w:val="00AC6838"/>
    <w:rsid w:val="00AD0AB8"/>
    <w:rsid w:val="00AD2129"/>
    <w:rsid w:val="00AD57D7"/>
    <w:rsid w:val="00AE3B8A"/>
    <w:rsid w:val="00AF1087"/>
    <w:rsid w:val="00AF1ADC"/>
    <w:rsid w:val="00AF7262"/>
    <w:rsid w:val="00AF7F25"/>
    <w:rsid w:val="00B0145A"/>
    <w:rsid w:val="00B01D5B"/>
    <w:rsid w:val="00B02A82"/>
    <w:rsid w:val="00B032E0"/>
    <w:rsid w:val="00B11238"/>
    <w:rsid w:val="00B1193E"/>
    <w:rsid w:val="00B14B87"/>
    <w:rsid w:val="00B24F18"/>
    <w:rsid w:val="00B30F12"/>
    <w:rsid w:val="00B4319B"/>
    <w:rsid w:val="00B434BB"/>
    <w:rsid w:val="00B4686C"/>
    <w:rsid w:val="00B509E7"/>
    <w:rsid w:val="00B50D7E"/>
    <w:rsid w:val="00B51267"/>
    <w:rsid w:val="00B51501"/>
    <w:rsid w:val="00B62271"/>
    <w:rsid w:val="00B6566C"/>
    <w:rsid w:val="00B65E96"/>
    <w:rsid w:val="00B67402"/>
    <w:rsid w:val="00B72AF2"/>
    <w:rsid w:val="00B77BC0"/>
    <w:rsid w:val="00B85D69"/>
    <w:rsid w:val="00B94325"/>
    <w:rsid w:val="00B94B18"/>
    <w:rsid w:val="00BB3737"/>
    <w:rsid w:val="00BC1231"/>
    <w:rsid w:val="00BD0D26"/>
    <w:rsid w:val="00BD1FE3"/>
    <w:rsid w:val="00BD6C16"/>
    <w:rsid w:val="00BD6CB1"/>
    <w:rsid w:val="00BD6CFA"/>
    <w:rsid w:val="00BE0647"/>
    <w:rsid w:val="00BE1348"/>
    <w:rsid w:val="00BE2F11"/>
    <w:rsid w:val="00BE3312"/>
    <w:rsid w:val="00BE40EB"/>
    <w:rsid w:val="00BE7B64"/>
    <w:rsid w:val="00BF26E3"/>
    <w:rsid w:val="00C004E8"/>
    <w:rsid w:val="00C03B3A"/>
    <w:rsid w:val="00C05CAA"/>
    <w:rsid w:val="00C079E2"/>
    <w:rsid w:val="00C103BD"/>
    <w:rsid w:val="00C105A9"/>
    <w:rsid w:val="00C149E6"/>
    <w:rsid w:val="00C17029"/>
    <w:rsid w:val="00C27078"/>
    <w:rsid w:val="00C3105B"/>
    <w:rsid w:val="00C35CB1"/>
    <w:rsid w:val="00C43CC8"/>
    <w:rsid w:val="00C47CC3"/>
    <w:rsid w:val="00C51EAF"/>
    <w:rsid w:val="00C625FC"/>
    <w:rsid w:val="00C713EF"/>
    <w:rsid w:val="00C71753"/>
    <w:rsid w:val="00C739B3"/>
    <w:rsid w:val="00C77432"/>
    <w:rsid w:val="00C777B8"/>
    <w:rsid w:val="00C83C65"/>
    <w:rsid w:val="00C83CFA"/>
    <w:rsid w:val="00C94807"/>
    <w:rsid w:val="00C97050"/>
    <w:rsid w:val="00CA04F0"/>
    <w:rsid w:val="00CA214D"/>
    <w:rsid w:val="00CA30C8"/>
    <w:rsid w:val="00CA59B5"/>
    <w:rsid w:val="00CB1C94"/>
    <w:rsid w:val="00CB3FBB"/>
    <w:rsid w:val="00CB75B0"/>
    <w:rsid w:val="00CB7C9F"/>
    <w:rsid w:val="00CC4583"/>
    <w:rsid w:val="00CC7CF8"/>
    <w:rsid w:val="00CE2C44"/>
    <w:rsid w:val="00CE4DF4"/>
    <w:rsid w:val="00CE5F7E"/>
    <w:rsid w:val="00CF0C85"/>
    <w:rsid w:val="00CF1B24"/>
    <w:rsid w:val="00CF550C"/>
    <w:rsid w:val="00CF67B6"/>
    <w:rsid w:val="00D04451"/>
    <w:rsid w:val="00D05FCD"/>
    <w:rsid w:val="00D0732E"/>
    <w:rsid w:val="00D12C01"/>
    <w:rsid w:val="00D2014D"/>
    <w:rsid w:val="00D341B8"/>
    <w:rsid w:val="00D36531"/>
    <w:rsid w:val="00D44F26"/>
    <w:rsid w:val="00D45C1C"/>
    <w:rsid w:val="00D51636"/>
    <w:rsid w:val="00D60CDB"/>
    <w:rsid w:val="00D64134"/>
    <w:rsid w:val="00D675BC"/>
    <w:rsid w:val="00D67C4B"/>
    <w:rsid w:val="00D713AE"/>
    <w:rsid w:val="00D72B2E"/>
    <w:rsid w:val="00D7339C"/>
    <w:rsid w:val="00D74CF2"/>
    <w:rsid w:val="00D758A5"/>
    <w:rsid w:val="00D82970"/>
    <w:rsid w:val="00D82FEA"/>
    <w:rsid w:val="00D924EB"/>
    <w:rsid w:val="00D92785"/>
    <w:rsid w:val="00D96B8F"/>
    <w:rsid w:val="00DA3DE1"/>
    <w:rsid w:val="00DA5BE2"/>
    <w:rsid w:val="00DB3E34"/>
    <w:rsid w:val="00DB5009"/>
    <w:rsid w:val="00DB59C6"/>
    <w:rsid w:val="00DB654C"/>
    <w:rsid w:val="00DC32C1"/>
    <w:rsid w:val="00DC5A21"/>
    <w:rsid w:val="00DC7384"/>
    <w:rsid w:val="00DD1917"/>
    <w:rsid w:val="00DD2CEA"/>
    <w:rsid w:val="00DD4771"/>
    <w:rsid w:val="00DD4B31"/>
    <w:rsid w:val="00DD54C8"/>
    <w:rsid w:val="00DE011D"/>
    <w:rsid w:val="00DE45CD"/>
    <w:rsid w:val="00DE5C95"/>
    <w:rsid w:val="00DE7D74"/>
    <w:rsid w:val="00DF1466"/>
    <w:rsid w:val="00DF3AF2"/>
    <w:rsid w:val="00E01FA6"/>
    <w:rsid w:val="00E036A0"/>
    <w:rsid w:val="00E12BFC"/>
    <w:rsid w:val="00E15113"/>
    <w:rsid w:val="00E15442"/>
    <w:rsid w:val="00E1559C"/>
    <w:rsid w:val="00E16CC8"/>
    <w:rsid w:val="00E201F2"/>
    <w:rsid w:val="00E2098A"/>
    <w:rsid w:val="00E23FAC"/>
    <w:rsid w:val="00E26EEF"/>
    <w:rsid w:val="00E27F60"/>
    <w:rsid w:val="00E301BE"/>
    <w:rsid w:val="00E339AC"/>
    <w:rsid w:val="00E339F4"/>
    <w:rsid w:val="00E37EF7"/>
    <w:rsid w:val="00E40384"/>
    <w:rsid w:val="00E41C82"/>
    <w:rsid w:val="00E43904"/>
    <w:rsid w:val="00E442B9"/>
    <w:rsid w:val="00E45E48"/>
    <w:rsid w:val="00E46517"/>
    <w:rsid w:val="00E4713A"/>
    <w:rsid w:val="00E535F1"/>
    <w:rsid w:val="00E6018A"/>
    <w:rsid w:val="00E60DDF"/>
    <w:rsid w:val="00E61CFE"/>
    <w:rsid w:val="00E622B6"/>
    <w:rsid w:val="00E63615"/>
    <w:rsid w:val="00E66041"/>
    <w:rsid w:val="00E67C9C"/>
    <w:rsid w:val="00E7404E"/>
    <w:rsid w:val="00E750A0"/>
    <w:rsid w:val="00E83407"/>
    <w:rsid w:val="00E86433"/>
    <w:rsid w:val="00E865D4"/>
    <w:rsid w:val="00E86B4D"/>
    <w:rsid w:val="00E9383B"/>
    <w:rsid w:val="00EA20A0"/>
    <w:rsid w:val="00EA4199"/>
    <w:rsid w:val="00EB05FE"/>
    <w:rsid w:val="00EB30BB"/>
    <w:rsid w:val="00EB524F"/>
    <w:rsid w:val="00EB570C"/>
    <w:rsid w:val="00EB59C9"/>
    <w:rsid w:val="00EC6296"/>
    <w:rsid w:val="00EC7577"/>
    <w:rsid w:val="00ED280C"/>
    <w:rsid w:val="00ED6F90"/>
    <w:rsid w:val="00EE1221"/>
    <w:rsid w:val="00EE40CE"/>
    <w:rsid w:val="00EF5647"/>
    <w:rsid w:val="00EF5763"/>
    <w:rsid w:val="00EF7388"/>
    <w:rsid w:val="00F04AB7"/>
    <w:rsid w:val="00F05D8C"/>
    <w:rsid w:val="00F07C41"/>
    <w:rsid w:val="00F104F4"/>
    <w:rsid w:val="00F14520"/>
    <w:rsid w:val="00F16641"/>
    <w:rsid w:val="00F230E5"/>
    <w:rsid w:val="00F24E29"/>
    <w:rsid w:val="00F251A4"/>
    <w:rsid w:val="00F40DD1"/>
    <w:rsid w:val="00F40E67"/>
    <w:rsid w:val="00F55C11"/>
    <w:rsid w:val="00F64CFD"/>
    <w:rsid w:val="00F66B26"/>
    <w:rsid w:val="00F73766"/>
    <w:rsid w:val="00F75F22"/>
    <w:rsid w:val="00F76503"/>
    <w:rsid w:val="00F80982"/>
    <w:rsid w:val="00F93E5D"/>
    <w:rsid w:val="00F95BF1"/>
    <w:rsid w:val="00F97DF1"/>
    <w:rsid w:val="00FA0692"/>
    <w:rsid w:val="00FA7640"/>
    <w:rsid w:val="00FB2701"/>
    <w:rsid w:val="00FC2BCD"/>
    <w:rsid w:val="00FC2C5A"/>
    <w:rsid w:val="00FD1D44"/>
    <w:rsid w:val="00FE6E79"/>
    <w:rsid w:val="00FE7FC3"/>
    <w:rsid w:val="00FF15AF"/>
    <w:rsid w:val="00FF57F9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7B7B"/>
  <w15:docId w15:val="{05EF36EC-80C8-4BBF-8375-EF0E623A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65D4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074A01"/>
    <w:pPr>
      <w:keepNext/>
      <w:keepLines/>
      <w:suppressAutoHyphens/>
      <w:overflowPunct w:val="0"/>
      <w:autoSpaceDE w:val="0"/>
      <w:autoSpaceDN w:val="0"/>
      <w:adjustRightInd w:val="0"/>
      <w:spacing w:before="480" w:after="240"/>
      <w:textAlignment w:val="baseline"/>
      <w:outlineLvl w:val="0"/>
    </w:pPr>
    <w:rPr>
      <w:rFonts w:ascii="Arial Narrow" w:hAnsi="Arial Narrow"/>
      <w:b/>
      <w:kern w:val="36"/>
      <w:sz w:val="36"/>
      <w:szCs w:val="20"/>
    </w:rPr>
  </w:style>
  <w:style w:type="paragraph" w:styleId="Nadpis2">
    <w:name w:val="heading 2"/>
    <w:basedOn w:val="Normln"/>
    <w:next w:val="Normln"/>
    <w:qFormat/>
    <w:rsid w:val="00074A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qFormat/>
    <w:rsid w:val="00074A0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qFormat/>
    <w:rsid w:val="00074A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4A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qFormat/>
    <w:rsid w:val="00074A0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074A01"/>
    <w:rPr>
      <w:rFonts w:ascii="Arial Narrow" w:hAnsi="Arial Narrow"/>
      <w:b/>
      <w:kern w:val="36"/>
      <w:sz w:val="36"/>
    </w:rPr>
  </w:style>
  <w:style w:type="character" w:customStyle="1" w:styleId="Nadpis2Char">
    <w:name w:val="Nadpis 2 Char"/>
    <w:basedOn w:val="Standardnpsmoodstavce"/>
    <w:rsid w:val="00074A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Vrazncitt">
    <w:name w:val="Intense Quote"/>
    <w:basedOn w:val="Normln"/>
    <w:next w:val="Normln"/>
    <w:qFormat/>
    <w:rsid w:val="00074A0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basedOn w:val="Standardnpsmoodstavce"/>
    <w:rsid w:val="00074A01"/>
    <w:rPr>
      <w:b/>
      <w:bCs/>
      <w:i/>
      <w:iCs/>
      <w:color w:val="4F81BD"/>
      <w:sz w:val="24"/>
      <w:szCs w:val="24"/>
    </w:rPr>
  </w:style>
  <w:style w:type="character" w:styleId="Zdraznnintenzivn">
    <w:name w:val="Intense Emphasis"/>
    <w:basedOn w:val="Standardnpsmoodstavce"/>
    <w:qFormat/>
    <w:rsid w:val="00074A01"/>
    <w:rPr>
      <w:b/>
      <w:bCs/>
      <w:i/>
      <w:iCs/>
      <w:color w:val="4F81BD"/>
    </w:rPr>
  </w:style>
  <w:style w:type="paragraph" w:customStyle="1" w:styleId="Bn">
    <w:name w:val="Běžný"/>
    <w:basedOn w:val="Normln"/>
    <w:qFormat/>
    <w:rsid w:val="00074A01"/>
    <w:pPr>
      <w:spacing w:before="40" w:line="276" w:lineRule="auto"/>
      <w:ind w:firstLine="284"/>
      <w:jc w:val="both"/>
    </w:pPr>
    <w:rPr>
      <w:rFonts w:ascii="Palatino Linotype" w:eastAsia="Calibri" w:hAnsi="Palatino Linotype"/>
      <w:sz w:val="22"/>
      <w:szCs w:val="22"/>
    </w:rPr>
  </w:style>
  <w:style w:type="character" w:customStyle="1" w:styleId="Nadpis3Char">
    <w:name w:val="Nadpis 3 Char"/>
    <w:basedOn w:val="Standardnpsmoodstavce"/>
    <w:uiPriority w:val="9"/>
    <w:rsid w:val="00074A0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Zkladntext3">
    <w:name w:val="Body Text 3"/>
    <w:basedOn w:val="Normln"/>
    <w:unhideWhenUsed/>
    <w:rsid w:val="00074A01"/>
    <w:pPr>
      <w:spacing w:after="120"/>
    </w:pPr>
    <w:rPr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rsid w:val="00074A01"/>
    <w:rPr>
      <w:sz w:val="16"/>
      <w:szCs w:val="16"/>
      <w:lang w:eastAsia="en-US"/>
    </w:rPr>
  </w:style>
  <w:style w:type="character" w:customStyle="1" w:styleId="Nadpis4Char">
    <w:name w:val="Nadpis 4 Char"/>
    <w:basedOn w:val="Standardnpsmoodstavce"/>
    <w:rsid w:val="00074A0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semiHidden/>
    <w:rsid w:val="00074A0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9Char">
    <w:name w:val="Nadpis 9 Char"/>
    <w:basedOn w:val="Standardnpsmoodstavce"/>
    <w:semiHidden/>
    <w:rsid w:val="00074A01"/>
    <w:rPr>
      <w:rFonts w:ascii="Cambria" w:eastAsia="Times New Roman" w:hAnsi="Cambria" w:cs="Times New Roman"/>
      <w:sz w:val="22"/>
      <w:szCs w:val="22"/>
    </w:rPr>
  </w:style>
  <w:style w:type="paragraph" w:styleId="Zkladntextodsazen">
    <w:name w:val="Body Text Indent"/>
    <w:basedOn w:val="Normln"/>
    <w:uiPriority w:val="99"/>
    <w:unhideWhenUsed/>
    <w:rsid w:val="00074A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uiPriority w:val="99"/>
    <w:rsid w:val="00074A01"/>
    <w:rPr>
      <w:sz w:val="24"/>
      <w:szCs w:val="24"/>
    </w:rPr>
  </w:style>
  <w:style w:type="paragraph" w:customStyle="1" w:styleId="Zkladn">
    <w:name w:val="Základní"/>
    <w:basedOn w:val="Normln"/>
    <w:rsid w:val="00074A01"/>
    <w:pPr>
      <w:spacing w:before="120"/>
      <w:jc w:val="both"/>
    </w:pPr>
    <w:rPr>
      <w:lang w:eastAsia="en-US"/>
    </w:rPr>
  </w:style>
  <w:style w:type="paragraph" w:styleId="Textpoznpodarou">
    <w:name w:val="footnote text"/>
    <w:aliases w:val="Podrozdzia3,Podrozdział,Schriftart: 10 pt,Schriftart: 8 pt,Schriftart: 9 pt,fn,pozn. pod čarou"/>
    <w:basedOn w:val="Normln"/>
    <w:unhideWhenUsed/>
    <w:rsid w:val="00074A01"/>
    <w:rPr>
      <w:sz w:val="20"/>
      <w:szCs w:val="20"/>
    </w:rPr>
  </w:style>
  <w:style w:type="character" w:customStyle="1" w:styleId="TextpoznpodarouChar">
    <w:name w:val="Text pozn. pod čarou Char"/>
    <w:aliases w:val="Podrozdzia3 Char,Podrozdział Char,Schriftart: 10 pt Char,Schriftart: 8 pt Char,Schriftart: 9 pt Char,fn Char1,pozn. pod čarou Char,fn Char"/>
    <w:basedOn w:val="Standardnpsmoodstavce"/>
    <w:rsid w:val="00074A01"/>
  </w:style>
  <w:style w:type="character" w:styleId="Znakapoznpodarou">
    <w:name w:val="footnote reference"/>
    <w:aliases w:val="12 b.,Footnote,Footnote call,PGI Fußnote Ziffer,PGI Fußnote Ziffer + Times New Roman,Zúžené o ..."/>
    <w:basedOn w:val="Standardnpsmoodstavce"/>
    <w:unhideWhenUsed/>
    <w:rsid w:val="00074A01"/>
    <w:rPr>
      <w:vertAlign w:val="superscript"/>
    </w:rPr>
  </w:style>
  <w:style w:type="paragraph" w:styleId="Zhlav">
    <w:name w:val="head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sid w:val="00074A01"/>
    <w:rPr>
      <w:sz w:val="24"/>
      <w:szCs w:val="24"/>
    </w:rPr>
  </w:style>
  <w:style w:type="paragraph" w:styleId="Zpat">
    <w:name w:val="foot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074A01"/>
    <w:rPr>
      <w:sz w:val="24"/>
      <w:szCs w:val="24"/>
    </w:rPr>
  </w:style>
  <w:style w:type="paragraph" w:styleId="Odstavecseseznamem">
    <w:name w:val="List Paragraph"/>
    <w:aliases w:val="List Paragraph_0,List Paragraph_0_0,List Paragraph_1,Nadpis pro KZ,Odstavec se seznamem1,Odstavec se seznamem2,odrážky"/>
    <w:basedOn w:val="Normln"/>
    <w:link w:val="OdstavecseseznamemChar"/>
    <w:uiPriority w:val="34"/>
    <w:qFormat/>
    <w:rsid w:val="00BA709C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B667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7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7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7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7E8"/>
    <w:rPr>
      <w:b/>
      <w:bCs/>
    </w:rPr>
  </w:style>
  <w:style w:type="paragraph" w:styleId="Revize">
    <w:name w:val="Revision"/>
    <w:hidden/>
    <w:uiPriority w:val="99"/>
    <w:semiHidden/>
    <w:rsid w:val="00B667E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6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7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803A70"/>
    <w:rPr>
      <w:rFonts w:ascii="Arial" w:eastAsia="Calibri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kladntext">
    <w:name w:val="Body Text"/>
    <w:basedOn w:val="Normln"/>
    <w:link w:val="ZkladntextChar"/>
    <w:uiPriority w:val="99"/>
    <w:rsid w:val="00C41D2F"/>
    <w:pPr>
      <w:jc w:val="both"/>
    </w:pPr>
    <w:rPr>
      <w:rFonts w:cs="Arial"/>
      <w:i/>
      <w:sz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41D2F"/>
    <w:rPr>
      <w:rFonts w:ascii="Arial" w:hAnsi="Arial" w:cs="Arial"/>
      <w:i/>
      <w:sz w:val="22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95DC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5DC0"/>
    <w:rPr>
      <w:rFonts w:ascii="Arial" w:hAnsi="Arial"/>
      <w:sz w:val="16"/>
      <w:szCs w:val="16"/>
    </w:rPr>
  </w:style>
  <w:style w:type="paragraph" w:customStyle="1" w:styleId="NadpisKZ">
    <w:name w:val="Nadpis KZ"/>
    <w:basedOn w:val="Zkladntext2"/>
    <w:rsid w:val="004827C3"/>
  </w:style>
  <w:style w:type="paragraph" w:styleId="Zkladntext2">
    <w:name w:val="Body Text 2"/>
    <w:basedOn w:val="Normln"/>
    <w:link w:val="Zkladntext2Char"/>
    <w:uiPriority w:val="99"/>
    <w:semiHidden/>
    <w:unhideWhenUsed/>
    <w:rsid w:val="004827C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827C3"/>
    <w:rPr>
      <w:rFonts w:ascii="Arial" w:hAnsi="Arial"/>
      <w:sz w:val="24"/>
      <w:szCs w:val="24"/>
    </w:rPr>
  </w:style>
  <w:style w:type="paragraph" w:customStyle="1" w:styleId="Char4CharCharCharCharCharCharCharCharCharChar">
    <w:name w:val="Char4 Char Char Char Char Char Char Char Char Char Char"/>
    <w:basedOn w:val="Normln"/>
    <w:rsid w:val="000F3776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925EFE"/>
    <w:rPr>
      <w:color w:val="0000FF" w:themeColor="hyperlink"/>
      <w:u w:val="single"/>
    </w:rPr>
  </w:style>
  <w:style w:type="table" w:customStyle="1" w:styleId="Mkatabulky10">
    <w:name w:val="Mřížka tabulky10"/>
    <w:basedOn w:val="Normlntabulka"/>
    <w:next w:val="Mkatabulky"/>
    <w:uiPriority w:val="59"/>
    <w:rsid w:val="003A2E8D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7A253E"/>
    <w:rPr>
      <w:rFonts w:ascii="Arial" w:eastAsia="Calibri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E67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3163D4"/>
  </w:style>
  <w:style w:type="paragraph" w:styleId="Normlnweb">
    <w:name w:val="Normal (Web)"/>
    <w:basedOn w:val="Normln"/>
    <w:uiPriority w:val="99"/>
    <w:semiHidden/>
    <w:unhideWhenUsed/>
    <w:rsid w:val="003163D4"/>
    <w:pPr>
      <w:spacing w:before="100" w:beforeAutospacing="1" w:after="100" w:afterAutospacing="1"/>
    </w:pPr>
    <w:rPr>
      <w:rFonts w:ascii="Times New Roman" w:hAnsi="Times New Roman"/>
    </w:rPr>
  </w:style>
  <w:style w:type="character" w:styleId="Siln">
    <w:name w:val="Strong"/>
    <w:basedOn w:val="Standardnpsmoodstavce"/>
    <w:uiPriority w:val="22"/>
    <w:qFormat/>
    <w:rsid w:val="003163D4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67B9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67B99"/>
    <w:rPr>
      <w:rFonts w:ascii="Arial" w:hAnsi="Arial"/>
    </w:rPr>
  </w:style>
  <w:style w:type="character" w:styleId="Odkaznavysvtlivky">
    <w:name w:val="endnote reference"/>
    <w:basedOn w:val="Standardnpsmoodstavce"/>
    <w:uiPriority w:val="99"/>
    <w:semiHidden/>
    <w:unhideWhenUsed/>
    <w:rsid w:val="00667B99"/>
    <w:rPr>
      <w:vertAlign w:val="superscript"/>
    </w:rPr>
  </w:style>
  <w:style w:type="character" w:customStyle="1" w:styleId="A0">
    <w:name w:val="A0"/>
    <w:uiPriority w:val="99"/>
    <w:rsid w:val="00AD28AE"/>
    <w:rPr>
      <w:rFonts w:cs="Myriad Pro"/>
      <w:b/>
      <w:bCs/>
      <w:color w:val="000000"/>
      <w:sz w:val="26"/>
      <w:szCs w:val="26"/>
    </w:rPr>
  </w:style>
  <w:style w:type="character" w:customStyle="1" w:styleId="A2">
    <w:name w:val="A2"/>
    <w:uiPriority w:val="99"/>
    <w:rsid w:val="00AD28AE"/>
    <w:rPr>
      <w:rFonts w:cs="Myriad Pro"/>
      <w:b/>
      <w:bCs/>
      <w:color w:val="000000"/>
      <w:sz w:val="44"/>
      <w:szCs w:val="44"/>
    </w:rPr>
  </w:style>
  <w:style w:type="character" w:customStyle="1" w:styleId="st1">
    <w:name w:val="st1"/>
    <w:basedOn w:val="Standardnpsmoodstavce"/>
    <w:rsid w:val="009858DF"/>
  </w:style>
  <w:style w:type="character" w:customStyle="1" w:styleId="tgc">
    <w:name w:val="_tgc"/>
    <w:basedOn w:val="Standardnpsmoodstavce"/>
    <w:rsid w:val="00FC2078"/>
  </w:style>
  <w:style w:type="paragraph" w:styleId="Nzev">
    <w:name w:val="Title"/>
    <w:basedOn w:val="Normln"/>
    <w:link w:val="NzevChar"/>
    <w:qFormat/>
    <w:rsid w:val="008D4B89"/>
    <w:pPr>
      <w:jc w:val="center"/>
    </w:pPr>
    <w:rPr>
      <w:rFonts w:ascii="Times New Roman" w:hAnsi="Times New Roman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8D4B89"/>
    <w:rPr>
      <w:sz w:val="28"/>
      <w:szCs w:val="28"/>
    </w:rPr>
  </w:style>
  <w:style w:type="paragraph" w:customStyle="1" w:styleId="Pa18">
    <w:name w:val="Pa18"/>
    <w:basedOn w:val="Default"/>
    <w:next w:val="Default"/>
    <w:uiPriority w:val="99"/>
    <w:rsid w:val="009E75B5"/>
    <w:pPr>
      <w:spacing w:line="211" w:lineRule="atLeast"/>
    </w:pPr>
    <w:rPr>
      <w:rFonts w:cs="Times New Roman"/>
      <w:color w:val="auto"/>
    </w:rPr>
  </w:style>
  <w:style w:type="character" w:customStyle="1" w:styleId="A14">
    <w:name w:val="A14"/>
    <w:uiPriority w:val="99"/>
    <w:rsid w:val="009E75B5"/>
    <w:rPr>
      <w:rFonts w:cs="Calibri"/>
      <w:b/>
      <w:bCs/>
      <w:color w:val="000000"/>
      <w:sz w:val="54"/>
      <w:szCs w:val="54"/>
    </w:rPr>
  </w:style>
  <w:style w:type="character" w:customStyle="1" w:styleId="A15">
    <w:name w:val="A15"/>
    <w:uiPriority w:val="99"/>
    <w:rsid w:val="009E75B5"/>
    <w:rPr>
      <w:rFonts w:cs="Calibri"/>
      <w:color w:val="000000"/>
      <w:sz w:val="36"/>
      <w:szCs w:val="36"/>
    </w:rPr>
  </w:style>
  <w:style w:type="paragraph" w:customStyle="1" w:styleId="Pa19">
    <w:name w:val="Pa19"/>
    <w:basedOn w:val="Default"/>
    <w:next w:val="Default"/>
    <w:uiPriority w:val="99"/>
    <w:rsid w:val="009E75B5"/>
    <w:pPr>
      <w:spacing w:line="21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7D792B"/>
    <w:pPr>
      <w:spacing w:line="211" w:lineRule="atLeast"/>
    </w:pPr>
    <w:rPr>
      <w:rFonts w:cs="Times New Roman"/>
      <w:color w:val="auto"/>
    </w:rPr>
  </w:style>
  <w:style w:type="character" w:customStyle="1" w:styleId="A12">
    <w:name w:val="A12"/>
    <w:uiPriority w:val="99"/>
    <w:rsid w:val="007D792B"/>
    <w:rPr>
      <w:rFonts w:cs="Calibri"/>
      <w:b/>
      <w:bCs/>
      <w:color w:val="000000"/>
      <w:sz w:val="34"/>
      <w:szCs w:val="34"/>
    </w:rPr>
  </w:style>
  <w:style w:type="paragraph" w:customStyle="1" w:styleId="Pa16">
    <w:name w:val="Pa16"/>
    <w:basedOn w:val="Default"/>
    <w:next w:val="Default"/>
    <w:uiPriority w:val="99"/>
    <w:rsid w:val="007D792B"/>
    <w:pPr>
      <w:spacing w:line="211" w:lineRule="atLeast"/>
    </w:pPr>
    <w:rPr>
      <w:rFonts w:cs="Times New Roman"/>
      <w:color w:val="auto"/>
    </w:rPr>
  </w:style>
  <w:style w:type="character" w:customStyle="1" w:styleId="A13">
    <w:name w:val="A13"/>
    <w:uiPriority w:val="99"/>
    <w:rsid w:val="007D792B"/>
    <w:rPr>
      <w:rFonts w:ascii="Arial" w:hAnsi="Arial" w:cs="Arial"/>
      <w:b/>
      <w:bCs/>
      <w:color w:val="000000"/>
      <w:sz w:val="19"/>
      <w:szCs w:val="19"/>
    </w:rPr>
  </w:style>
  <w:style w:type="character" w:customStyle="1" w:styleId="OdstavecseseznamemChar">
    <w:name w:val="Odstavec se seznamem Char"/>
    <w:aliases w:val="List Paragraph_0 Char,List Paragraph_0_0 Char,List Paragraph_1 Char,Nadpis pro KZ Char,Odstavec se seznamem1 Char,Odstavec se seznamem2 Char,odrážky Char"/>
    <w:link w:val="Odstavecseseznamem"/>
    <w:uiPriority w:val="34"/>
    <w:rsid w:val="00F92FB1"/>
    <w:rPr>
      <w:rFonts w:ascii="Arial" w:hAnsi="Arial"/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F92FB1"/>
    <w:pPr>
      <w:spacing w:after="200"/>
    </w:pPr>
    <w:rPr>
      <w:rFonts w:ascii="Times New Roman" w:hAnsi="Times New Roman"/>
      <w:i/>
      <w:iCs/>
      <w:color w:val="1F497D" w:themeColor="text2"/>
      <w:sz w:val="18"/>
      <w:szCs w:val="18"/>
      <w:lang w:eastAsia="en-US"/>
    </w:rPr>
  </w:style>
  <w:style w:type="paragraph" w:customStyle="1" w:styleId="Odstavec">
    <w:name w:val="Odstavec"/>
    <w:basedOn w:val="Normln"/>
    <w:rsid w:val="0033626F"/>
    <w:pPr>
      <w:spacing w:before="120"/>
      <w:ind w:firstLine="709"/>
      <w:jc w:val="both"/>
    </w:pPr>
    <w:rPr>
      <w:rFonts w:ascii="Times New Roman" w:hAnsi="Times New Roman"/>
      <w:szCs w:val="20"/>
    </w:rPr>
  </w:style>
  <w:style w:type="paragraph" w:customStyle="1" w:styleId="l3">
    <w:name w:val="l3"/>
    <w:basedOn w:val="Normln"/>
    <w:rsid w:val="0054231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l2">
    <w:name w:val="l2"/>
    <w:basedOn w:val="Normln"/>
    <w:rsid w:val="0054231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l4">
    <w:name w:val="l4"/>
    <w:basedOn w:val="Normln"/>
    <w:rsid w:val="00542313"/>
    <w:pPr>
      <w:spacing w:before="100" w:beforeAutospacing="1" w:after="100" w:afterAutospacing="1"/>
    </w:pPr>
    <w:rPr>
      <w:rFonts w:ascii="Times New Roman" w:hAnsi="Times New Roman"/>
    </w:rPr>
  </w:style>
  <w:style w:type="character" w:styleId="PromnnHTML">
    <w:name w:val="HTML Variable"/>
    <w:basedOn w:val="Standardnpsmoodstavce"/>
    <w:uiPriority w:val="99"/>
    <w:semiHidden/>
    <w:unhideWhenUsed/>
    <w:rsid w:val="00542313"/>
    <w:rPr>
      <w:i/>
      <w:iCs/>
    </w:rPr>
  </w:style>
  <w:style w:type="character" w:styleId="Zdraznn">
    <w:name w:val="Emphasis"/>
    <w:basedOn w:val="Standardnpsmoodstavce"/>
    <w:uiPriority w:val="20"/>
    <w:qFormat/>
    <w:rsid w:val="00512467"/>
    <w:rPr>
      <w:b/>
      <w:bCs/>
      <w:i w:val="0"/>
      <w:iCs w:val="0"/>
    </w:rPr>
  </w:style>
  <w:style w:type="paragraph" w:customStyle="1" w:styleId="l1">
    <w:name w:val="l1"/>
    <w:basedOn w:val="Normln"/>
    <w:rsid w:val="003D41C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ural">
    <w:name w:val="aural"/>
    <w:basedOn w:val="Standardnpsmoodstavce"/>
    <w:rsid w:val="00E43543"/>
  </w:style>
  <w:style w:type="character" w:customStyle="1" w:styleId="h1a">
    <w:name w:val="h1a"/>
    <w:basedOn w:val="Standardnpsmoodstavce"/>
    <w:rsid w:val="00617B9C"/>
  </w:style>
  <w:style w:type="paragraph" w:styleId="Bezmezer">
    <w:name w:val="No Spacing"/>
    <w:uiPriority w:val="1"/>
    <w:qFormat/>
    <w:rsid w:val="002735C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onitor.statnipokladna.cz" TargetMode="External"/><Relationship Id="rId1" Type="http://schemas.openxmlformats.org/officeDocument/2006/relationships/hyperlink" Target="https://monitor.statnipoklad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1347A-F5E8-4EAA-9ACC-BF9749B23F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3FF9C3-D13A-47EF-BA63-F61B707A4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7228B4-BA39-49C6-B50E-51DA7CF18AF6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E53E673-DC1D-494C-BD53-1367AAACDE6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D0FC2C5-CDD3-4326-84D4-B1597AF41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1F1FB85C.dotm</Template>
  <TotalTime>1</TotalTime>
  <Pages>11</Pages>
  <Words>3304</Words>
  <Characters>19494</Characters>
  <Application>Microsoft Office Word</Application>
  <DocSecurity>0</DocSecurity>
  <Lines>162</Lines>
  <Paragraphs>45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Návrh KZ z kontrolní akce NKÚ č. 17/34 - Státní záruky a jejich realizace z prostředků státního rozpočtu</vt:lpstr>
      <vt:lpstr/>
    </vt:vector>
  </TitlesOfParts>
  <Company>Nejvyšší kontrolní úřad</Company>
  <LinksUpToDate>false</LinksUpToDate>
  <CharactersWithSpaces>22753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17/34 - Státní záruky a jejich realizace z prostředků státního rozpočtu</dc:title>
  <dc:subject>Kontrolní závěr z kontrolní akce NKÚ č. 17/34 - Státní záruky a jejich realizace z prostředků státního rozpočtu</dc:subject>
  <dc:creator>Nejvyšší kontrolní úřad</dc:creator>
  <cp:keywords>kontrolní závěr; státní záruky</cp:keywords>
  <cp:lastModifiedBy>KOKRDA Daniel</cp:lastModifiedBy>
  <cp:revision>3</cp:revision>
  <cp:lastPrinted>2018-09-06T08:11:00Z</cp:lastPrinted>
  <dcterms:created xsi:type="dcterms:W3CDTF">2018-10-04T06:50:00Z</dcterms:created>
  <dcterms:modified xsi:type="dcterms:W3CDTF">2018-10-04T06:51:00Z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111/18-NKU200/379/18</vt:lpwstr>
  </property>
  <property fmtid="{D5CDD505-2E9C-101B-9397-08002B2CF9AE}" pid="4" name="CJ_PostaDoruc_PisemnostOdpovedNa_Pisemnost">
    <vt:lpwstr>XXX-XXX-XXX</vt:lpwstr>
  </property>
  <property fmtid="{D5CDD505-2E9C-101B-9397-08002B2CF9AE}" pid="5" name="CJ_Spis_Pisemnost">
    <vt:lpwstr>CJ/SPIS/ROK</vt:lpwstr>
  </property>
  <property fmtid="{D5CDD505-2E9C-101B-9397-08002B2CF9AE}" pid="6" name="Contact_PostaOdes_All">
    <vt:lpwstr>ROZDĚLOVNÍK...</vt:lpwstr>
  </property>
  <property fmtid="{D5CDD505-2E9C-101B-9397-08002B2CF9AE}" pid="7" name="ContentTypeId">
    <vt:lpwstr>0x0101002F7A625AE9F5AB4A939F92BCAA7FEC02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29.6.2018</vt:lpwstr>
  </property>
  <property fmtid="{D5CDD505-2E9C-101B-9397-08002B2CF9AE}" pid="11" name="DisplayName_CisloObalky_PostaOdes">
    <vt:lpwstr>{DisplayName_CisloObalky_PostaOdes}</vt:lpwstr>
  </property>
  <property fmtid="{D5CDD505-2E9C-101B-9397-08002B2CF9AE}" pid="12" name="DisplayName_SpisovyUzel_PoziceZodpo_Pisemnost">
    <vt:lpwstr>Sekce kontrolní</vt:lpwstr>
  </property>
  <property fmtid="{D5CDD505-2E9C-101B-9397-08002B2CF9AE}" pid="13" name="DisplayName_UserPoriz_Pisemnost">
    <vt:lpwstr>Ivana Růžičková</vt:lpwstr>
  </property>
  <property fmtid="{D5CDD505-2E9C-101B-9397-08002B2CF9AE}" pid="14" name="EC_Pisemnost">
    <vt:lpwstr>18-8304/NKU</vt:lpwstr>
  </property>
  <property fmtid="{D5CDD505-2E9C-101B-9397-08002B2CF9AE}" pid="15" name="Key_BarCode_Pisemnost">
    <vt:lpwstr>*B000316215*</vt:lpwstr>
  </property>
  <property fmtid="{D5CDD505-2E9C-101B-9397-08002B2CF9AE}" pid="16" name="KRukam">
    <vt:lpwstr>{KRukam}</vt:lpwstr>
  </property>
  <property fmtid="{D5CDD505-2E9C-101B-9397-08002B2CF9AE}" pid="17" name="NameAddress_Contact_SpisovyUzel_PoziceZodpo_Pisemnost">
    <vt:lpwstr>ADRESÁT SU...</vt:lpwstr>
  </property>
  <property fmtid="{D5CDD505-2E9C-101B-9397-08002B2CF9AE}" pid="18" name="Odkaz">
    <vt:lpwstr>ODKAZ</vt:lpwstr>
  </property>
  <property fmtid="{D5CDD505-2E9C-101B-9397-08002B2CF9AE}" pid="19" name="Password_PisemnostTypZpristupneniInformaciZOSZ_Pisemnost">
    <vt:lpwstr>ZOSZ_Password</vt:lpwstr>
  </property>
  <property fmtid="{D5CDD505-2E9C-101B-9397-08002B2CF9AE}" pid="20" name="PocetListuDokumentu_Pisemnost">
    <vt:lpwstr>1</vt:lpwstr>
  </property>
  <property fmtid="{D5CDD505-2E9C-101B-9397-08002B2CF9AE}" pid="21" name="PocetListu_Pisemnost">
    <vt:lpwstr>1</vt:lpwstr>
  </property>
  <property fmtid="{D5CDD505-2E9C-101B-9397-08002B2CF9AE}" pid="22" name="PocetPriloh_Pisemnost">
    <vt:lpwstr>0</vt:lpwstr>
  </property>
  <property fmtid="{D5CDD505-2E9C-101B-9397-08002B2CF9AE}" pid="23" name="Podpis">
    <vt:lpwstr/>
  </property>
  <property fmtid="{D5CDD505-2E9C-101B-9397-08002B2CF9AE}" pid="24" name="PostalAddress_Contact_SpisovyUzel_PoziceZodpo_Pisemnost">
    <vt:lpwstr>ADRESA SU...</vt:lpwstr>
  </property>
  <property fmtid="{D5CDD505-2E9C-101B-9397-08002B2CF9AE}" pid="25" name="RC">
    <vt:lpwstr/>
  </property>
  <property fmtid="{D5CDD505-2E9C-101B-9397-08002B2CF9AE}" pid="26" name="SkartacniZnakLhuta_PisemnostZnak">
    <vt:lpwstr>?/?</vt:lpwstr>
  </property>
  <property fmtid="{D5CDD505-2E9C-101B-9397-08002B2CF9AE}" pid="27" name="SmlouvaCislo">
    <vt:lpwstr>ČÍSLO SMLOUVY</vt:lpwstr>
  </property>
  <property fmtid="{D5CDD505-2E9C-101B-9397-08002B2CF9AE}" pid="28" name="SZ_Spis_Pisemnost">
    <vt:lpwstr>111/18</vt:lpwstr>
  </property>
  <property fmtid="{D5CDD505-2E9C-101B-9397-08002B2CF9AE}" pid="29" name="TEST">
    <vt:lpwstr>testovací pole</vt:lpwstr>
  </property>
  <property fmtid="{D5CDD505-2E9C-101B-9397-08002B2CF9AE}" pid="30" name="TypPrilohy_Pisemnost">
    <vt:lpwstr>TYP PŘÍLOHY</vt:lpwstr>
  </property>
  <property fmtid="{D5CDD505-2E9C-101B-9397-08002B2CF9AE}" pid="31" name="UserName_PisemnostTypZpristupneniInformaciZOSZ_Pisemnost">
    <vt:lpwstr>ZOSZ_UserName</vt:lpwstr>
  </property>
  <property fmtid="{D5CDD505-2E9C-101B-9397-08002B2CF9AE}" pid="32" name="Vec_Pisemnost">
    <vt:lpwstr>KZ 17/34 - připomínkové řízení</vt:lpwstr>
  </property>
  <property fmtid="{D5CDD505-2E9C-101B-9397-08002B2CF9AE}" pid="33" name="Zkratka_SpisovyUzel_PoziceZodpo_Pisemnost">
    <vt:lpwstr>200</vt:lpwstr>
  </property>
</Properties>
</file>