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6A8E7" w14:textId="77777777" w:rsidR="00B7652C" w:rsidRDefault="00837A66" w:rsidP="00D05009">
      <w:pPr>
        <w:jc w:val="center"/>
      </w:pPr>
      <w:r>
        <w:rPr>
          <w:rFonts w:ascii="Arial" w:hAnsi="Arial" w:cs="Arial"/>
          <w:b/>
          <w:noProof/>
          <w:lang w:eastAsia="cs-CZ"/>
        </w:rPr>
        <w:drawing>
          <wp:inline distT="0" distB="0" distL="0" distR="0" wp14:anchorId="18D8C33C" wp14:editId="4EC69B87">
            <wp:extent cx="786765" cy="56070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250098"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86765" cy="560705"/>
                    </a:xfrm>
                    <a:prstGeom prst="rect">
                      <a:avLst/>
                    </a:prstGeom>
                    <a:noFill/>
                  </pic:spPr>
                </pic:pic>
              </a:graphicData>
            </a:graphic>
          </wp:inline>
        </w:drawing>
      </w:r>
    </w:p>
    <w:p w14:paraId="320AAF7D" w14:textId="77777777" w:rsidR="00D05009" w:rsidRDefault="00D05009"/>
    <w:p w14:paraId="5EFB14C4" w14:textId="77777777" w:rsidR="00D05009" w:rsidRDefault="00D05009"/>
    <w:p w14:paraId="6158928B" w14:textId="77777777" w:rsidR="00D05009" w:rsidRDefault="00D05009"/>
    <w:p w14:paraId="1DFADB8E" w14:textId="77777777" w:rsidR="00D05009" w:rsidRPr="00D522D1" w:rsidRDefault="00837A66" w:rsidP="00D05009">
      <w:pPr>
        <w:jc w:val="center"/>
        <w:rPr>
          <w:b/>
          <w:sz w:val="28"/>
          <w:szCs w:val="28"/>
        </w:rPr>
      </w:pPr>
      <w:bookmarkStart w:id="0" w:name="_GoBack"/>
      <w:r w:rsidRPr="00D522D1">
        <w:rPr>
          <w:b/>
          <w:sz w:val="28"/>
          <w:szCs w:val="28"/>
        </w:rPr>
        <w:t>Kontrolní závěr z kontrolní akce</w:t>
      </w:r>
    </w:p>
    <w:p w14:paraId="3BC59022" w14:textId="77777777" w:rsidR="00D05009" w:rsidRPr="00D522D1" w:rsidRDefault="00D05009">
      <w:pPr>
        <w:rPr>
          <w:sz w:val="28"/>
          <w:szCs w:val="28"/>
        </w:rPr>
      </w:pPr>
    </w:p>
    <w:p w14:paraId="25372F03" w14:textId="77777777" w:rsidR="00D05009" w:rsidRPr="00D522D1" w:rsidRDefault="00837A66" w:rsidP="00D05009">
      <w:pPr>
        <w:jc w:val="center"/>
        <w:rPr>
          <w:b/>
          <w:sz w:val="28"/>
          <w:szCs w:val="28"/>
        </w:rPr>
      </w:pPr>
      <w:r w:rsidRPr="00D522D1">
        <w:rPr>
          <w:b/>
          <w:sz w:val="28"/>
          <w:szCs w:val="28"/>
        </w:rPr>
        <w:t>18/21</w:t>
      </w:r>
    </w:p>
    <w:p w14:paraId="51134494" w14:textId="77777777" w:rsidR="00D05009" w:rsidRPr="00D522D1" w:rsidRDefault="00D05009">
      <w:pPr>
        <w:rPr>
          <w:sz w:val="28"/>
          <w:szCs w:val="28"/>
        </w:rPr>
      </w:pPr>
    </w:p>
    <w:p w14:paraId="6B3ACE56" w14:textId="77777777" w:rsidR="00D05009" w:rsidRPr="00D522D1" w:rsidRDefault="00837A66" w:rsidP="00D05009">
      <w:pPr>
        <w:jc w:val="center"/>
        <w:rPr>
          <w:b/>
          <w:sz w:val="28"/>
          <w:szCs w:val="28"/>
        </w:rPr>
      </w:pPr>
      <w:r w:rsidRPr="00D522D1">
        <w:rPr>
          <w:b/>
          <w:sz w:val="28"/>
          <w:szCs w:val="28"/>
        </w:rPr>
        <w:t>Výstavba a modernizace silnic I. třídy</w:t>
      </w:r>
    </w:p>
    <w:bookmarkEnd w:id="0"/>
    <w:p w14:paraId="4A0A9AA6" w14:textId="77777777" w:rsidR="00D05009" w:rsidRDefault="00D05009"/>
    <w:p w14:paraId="13DBB13E" w14:textId="77777777" w:rsidR="00D05009" w:rsidRDefault="00D05009"/>
    <w:p w14:paraId="6E2B5051" w14:textId="77777777" w:rsidR="00D05009" w:rsidRDefault="00837A66">
      <w:r w:rsidRPr="00D05009">
        <w:t>Kontrolní akce byla zařazena do plánu kontrolní činnosti Nejvyššího kontrolního úřadu (</w:t>
      </w:r>
      <w:r>
        <w:t>dále také „</w:t>
      </w:r>
      <w:r w:rsidRPr="00D05009">
        <w:t>NKÚ</w:t>
      </w:r>
      <w:r>
        <w:t>“</w:t>
      </w:r>
      <w:r w:rsidRPr="00D05009">
        <w:t>) na rok 201</w:t>
      </w:r>
      <w:r>
        <w:t>8</w:t>
      </w:r>
      <w:r w:rsidRPr="00D05009">
        <w:t xml:space="preserve"> pod číslem 1</w:t>
      </w:r>
      <w:r>
        <w:t>8</w:t>
      </w:r>
      <w:r w:rsidRPr="00D05009">
        <w:t>/</w:t>
      </w:r>
      <w:r>
        <w:t>21</w:t>
      </w:r>
      <w:r w:rsidRPr="00D05009">
        <w:t>. Kontrolní akci</w:t>
      </w:r>
      <w:r>
        <w:t xml:space="preserve"> (dále také „KA“)</w:t>
      </w:r>
      <w:r w:rsidRPr="00D05009">
        <w:t xml:space="preserve"> řídil a kontrolní závěr vypracoval člen NKÚ Ing. </w:t>
      </w:r>
      <w:r>
        <w:t>Jan Málek</w:t>
      </w:r>
      <w:r w:rsidRPr="00D05009">
        <w:t>.</w:t>
      </w:r>
    </w:p>
    <w:p w14:paraId="0EB5277E" w14:textId="77777777" w:rsidR="00D05009" w:rsidRDefault="00D05009"/>
    <w:p w14:paraId="56B8CE2F" w14:textId="77777777" w:rsidR="00D05009" w:rsidRDefault="00837A66" w:rsidP="00634B18">
      <w:r>
        <w:t>Cílem kontroly bylo prověřit, zda jsou plněny záměry výstavby silnic I. třídy, zda systém poskytování peněžních prostředků určených na výstavbu a modernizaci silnic I. třídy zajišťuje účelné a hospodárné využití těchto prostředků a zda byly při realizaci staveb dosaženy stanovené cíle s odpovídajícími náklady.</w:t>
      </w:r>
    </w:p>
    <w:p w14:paraId="0ACAD0DF" w14:textId="77777777" w:rsidR="00D05009" w:rsidRDefault="00D05009"/>
    <w:p w14:paraId="21BBAECA" w14:textId="77777777" w:rsidR="00634B18" w:rsidRDefault="00837A66">
      <w:r w:rsidRPr="00D522D1">
        <w:t xml:space="preserve">Kontrola byla prováděna u kontrolovaných osob </w:t>
      </w:r>
      <w:r>
        <w:t xml:space="preserve">v období </w:t>
      </w:r>
      <w:r w:rsidRPr="00D522D1">
        <w:t xml:space="preserve">od </w:t>
      </w:r>
      <w:r>
        <w:t>září</w:t>
      </w:r>
      <w:r w:rsidRPr="00D522D1">
        <w:t xml:space="preserve"> </w:t>
      </w:r>
      <w:r>
        <w:t xml:space="preserve">2018 </w:t>
      </w:r>
      <w:r w:rsidRPr="00D522D1">
        <w:t xml:space="preserve">do </w:t>
      </w:r>
      <w:r>
        <w:t>června</w:t>
      </w:r>
      <w:r w:rsidRPr="00D522D1">
        <w:t xml:space="preserve"> 201</w:t>
      </w:r>
      <w:r>
        <w:t>9</w:t>
      </w:r>
      <w:r w:rsidRPr="00D522D1">
        <w:t>.</w:t>
      </w:r>
      <w:r>
        <w:t xml:space="preserve"> </w:t>
      </w:r>
      <w:r w:rsidRPr="00D522D1">
        <w:t xml:space="preserve">Kontrolováno bylo období od roku 2013 do </w:t>
      </w:r>
      <w:r w:rsidR="00F66C33">
        <w:t>roku</w:t>
      </w:r>
      <w:r w:rsidRPr="00D522D1">
        <w:t xml:space="preserve"> 201</w:t>
      </w:r>
      <w:r w:rsidR="00F66C33">
        <w:t>8</w:t>
      </w:r>
      <w:r w:rsidRPr="00D522D1">
        <w:t xml:space="preserve">, v případě věcných souvislostí i období předcházející a následující. </w:t>
      </w:r>
    </w:p>
    <w:p w14:paraId="382D4291" w14:textId="77777777" w:rsidR="001B5327" w:rsidRDefault="001B5327"/>
    <w:p w14:paraId="3B5F7D95" w14:textId="77777777" w:rsidR="00F66C33" w:rsidRDefault="00F66C33"/>
    <w:p w14:paraId="59618CDA" w14:textId="77777777" w:rsidR="00F66C33" w:rsidRPr="00F66C33" w:rsidRDefault="00837A66" w:rsidP="00F66C33">
      <w:pPr>
        <w:rPr>
          <w:b/>
        </w:rPr>
      </w:pPr>
      <w:r w:rsidRPr="00F66C33">
        <w:rPr>
          <w:b/>
        </w:rPr>
        <w:t>Kontrolované osoby:</w:t>
      </w:r>
    </w:p>
    <w:p w14:paraId="0E656B3A" w14:textId="77777777" w:rsidR="00F66C33" w:rsidRDefault="00837A66" w:rsidP="00F66C33">
      <w:r>
        <w:t>Ministerstvo dopravy (dále také „MD“),</w:t>
      </w:r>
    </w:p>
    <w:p w14:paraId="63CF565A" w14:textId="77777777" w:rsidR="00F66C33" w:rsidRDefault="00837A66" w:rsidP="00F66C33">
      <w:r>
        <w:t>Státní fond dopravní infrastruktury</w:t>
      </w:r>
      <w:r w:rsidR="00C501AD">
        <w:t>, Praha</w:t>
      </w:r>
      <w:r>
        <w:t xml:space="preserve"> (dále také „SFDI“),</w:t>
      </w:r>
    </w:p>
    <w:p w14:paraId="2430A313" w14:textId="77777777" w:rsidR="00D05009" w:rsidRDefault="00837A66" w:rsidP="00F66C33">
      <w:r>
        <w:t>Ředitelství silnic a dálnic ČR</w:t>
      </w:r>
      <w:r w:rsidR="00C501AD">
        <w:t>, Praha</w:t>
      </w:r>
      <w:r>
        <w:t xml:space="preserve"> (dále také „ŘSD“).</w:t>
      </w:r>
    </w:p>
    <w:p w14:paraId="78ECC459" w14:textId="77777777" w:rsidR="00F66C33" w:rsidRDefault="00F66C33" w:rsidP="00F66C33"/>
    <w:p w14:paraId="2E35903B" w14:textId="77777777" w:rsidR="00F66C33" w:rsidRDefault="00F66C33" w:rsidP="00F66C33"/>
    <w:p w14:paraId="57EAF1B0" w14:textId="77777777" w:rsidR="00F66C33" w:rsidRDefault="00F66C33" w:rsidP="00F66C33"/>
    <w:p w14:paraId="6B46C700" w14:textId="77777777" w:rsidR="00F66C33" w:rsidRDefault="00837A66" w:rsidP="00F66C33">
      <w:pPr>
        <w:spacing w:after="120"/>
      </w:pPr>
      <w:r w:rsidRPr="00F66C33">
        <w:rPr>
          <w:b/>
          <w:i/>
          <w:spacing w:val="60"/>
        </w:rPr>
        <w:t>Kolegium NKÚ</w:t>
      </w:r>
      <w:r>
        <w:rPr>
          <w:spacing w:val="60"/>
        </w:rPr>
        <w:t xml:space="preserve"> </w:t>
      </w:r>
      <w:r>
        <w:t xml:space="preserve">na svém </w:t>
      </w:r>
      <w:r w:rsidR="003E3533">
        <w:t>XV.</w:t>
      </w:r>
      <w:r w:rsidR="00C501AD">
        <w:t xml:space="preserve"> </w:t>
      </w:r>
      <w:r>
        <w:t>jednání, které se konalo dne</w:t>
      </w:r>
      <w:r w:rsidR="009F004F">
        <w:t xml:space="preserve"> 14. října</w:t>
      </w:r>
      <w:r>
        <w:t xml:space="preserve"> 2019, </w:t>
      </w:r>
    </w:p>
    <w:p w14:paraId="154D3194" w14:textId="77777777" w:rsidR="00F66C33" w:rsidRDefault="00837A66" w:rsidP="00F66C33">
      <w:pPr>
        <w:spacing w:after="120"/>
      </w:pPr>
      <w:r w:rsidRPr="00F66C33">
        <w:rPr>
          <w:b/>
          <w:i/>
          <w:spacing w:val="60"/>
        </w:rPr>
        <w:t>schválilo</w:t>
      </w:r>
      <w:r>
        <w:rPr>
          <w:b/>
          <w:i/>
          <w:spacing w:val="60"/>
        </w:rPr>
        <w:t xml:space="preserve"> </w:t>
      </w:r>
      <w:r>
        <w:t xml:space="preserve">usnesením č. </w:t>
      </w:r>
      <w:r w:rsidR="00C37743">
        <w:t>10</w:t>
      </w:r>
      <w:r w:rsidR="009F004F">
        <w:t>/XV</w:t>
      </w:r>
      <w:r w:rsidR="00C501AD">
        <w:t>/</w:t>
      </w:r>
      <w:r>
        <w:t>2019</w:t>
      </w:r>
    </w:p>
    <w:p w14:paraId="4D73C7DE" w14:textId="77777777" w:rsidR="00F66C33" w:rsidRDefault="00837A66" w:rsidP="00F66C33">
      <w:r w:rsidRPr="00F66C33">
        <w:rPr>
          <w:b/>
          <w:i/>
          <w:spacing w:val="60"/>
        </w:rPr>
        <w:t>kontroln</w:t>
      </w:r>
      <w:r>
        <w:rPr>
          <w:b/>
          <w:i/>
          <w:spacing w:val="60"/>
        </w:rPr>
        <w:t xml:space="preserve">í </w:t>
      </w:r>
      <w:r w:rsidRPr="00F66C33">
        <w:rPr>
          <w:b/>
          <w:i/>
          <w:spacing w:val="60"/>
        </w:rPr>
        <w:t>závěr</w:t>
      </w:r>
      <w:r>
        <w:rPr>
          <w:b/>
          <w:i/>
          <w:spacing w:val="60"/>
        </w:rPr>
        <w:t xml:space="preserve"> </w:t>
      </w:r>
      <w:r>
        <w:t>v tomto znění:</w:t>
      </w:r>
    </w:p>
    <w:p w14:paraId="6DC765F7" w14:textId="77777777" w:rsidR="00F66C33" w:rsidRDefault="00F66C33" w:rsidP="00F66C33"/>
    <w:p w14:paraId="159F982A" w14:textId="77777777" w:rsidR="00A10C0B" w:rsidRDefault="00A10C0B" w:rsidP="00F66C33"/>
    <w:p w14:paraId="269D383C" w14:textId="77777777" w:rsidR="002F4167" w:rsidRDefault="002F4167" w:rsidP="00F66C33"/>
    <w:p w14:paraId="78831961" w14:textId="77777777" w:rsidR="002F4167" w:rsidRDefault="002F4167" w:rsidP="00F66C33"/>
    <w:p w14:paraId="5871984C" w14:textId="77777777" w:rsidR="00F66C33" w:rsidRPr="002F4167" w:rsidRDefault="00837A66" w:rsidP="002F4167">
      <w:pPr>
        <w:ind w:left="567" w:hanging="567"/>
        <w:rPr>
          <w:sz w:val="20"/>
        </w:rPr>
      </w:pPr>
      <w:r w:rsidRPr="002F4167">
        <w:rPr>
          <w:b/>
          <w:sz w:val="20"/>
        </w:rPr>
        <w:t>Pozn.:</w:t>
      </w:r>
      <w:r w:rsidRPr="002F4167">
        <w:rPr>
          <w:sz w:val="20"/>
        </w:rPr>
        <w:tab/>
        <w:t>Právní předpisy uvedené v tomto kontrolním závěru jsou aplikovány ve znění účinném pro kontrolované období.</w:t>
      </w:r>
    </w:p>
    <w:p w14:paraId="18EC7168" w14:textId="77777777" w:rsidR="002F4167" w:rsidRDefault="00837A66">
      <w:pPr>
        <w:spacing w:after="160" w:line="259" w:lineRule="auto"/>
        <w:jc w:val="left"/>
      </w:pPr>
      <w:r>
        <w:br w:type="page"/>
      </w:r>
    </w:p>
    <w:p w14:paraId="41C7556F" w14:textId="77777777" w:rsidR="00C24180" w:rsidRDefault="00C24180" w:rsidP="00C24180"/>
    <w:p w14:paraId="17255513" w14:textId="77777777" w:rsidR="00700AD1" w:rsidRDefault="00700AD1" w:rsidP="00C24180"/>
    <w:p w14:paraId="0E3D73E6" w14:textId="77777777" w:rsidR="005239CF" w:rsidRDefault="005239CF" w:rsidP="005239CF">
      <w:pPr>
        <w:keepNext/>
        <w:jc w:val="center"/>
        <w:rPr>
          <w:b/>
          <w:sz w:val="28"/>
        </w:rPr>
      </w:pPr>
      <w:r w:rsidRPr="006936C3">
        <w:rPr>
          <w:b/>
          <w:sz w:val="28"/>
        </w:rPr>
        <w:t>Klíčová fakta</w:t>
      </w:r>
    </w:p>
    <w:p w14:paraId="669408A8" w14:textId="77777777" w:rsidR="009C186F" w:rsidRDefault="009C186F" w:rsidP="006936C3"/>
    <w:p w14:paraId="581D0785" w14:textId="77777777" w:rsidR="009C186F" w:rsidRDefault="009C186F" w:rsidP="006936C3"/>
    <w:p w14:paraId="6CB66822" w14:textId="77777777" w:rsidR="00251829" w:rsidRDefault="00700AD1" w:rsidP="006936C3">
      <w:r>
        <w:rPr>
          <w:noProof/>
          <w:lang w:eastAsia="cs-CZ"/>
        </w:rPr>
        <mc:AlternateContent>
          <mc:Choice Requires="wps">
            <w:drawing>
              <wp:anchor distT="0" distB="0" distL="114300" distR="114300" simplePos="0" relativeHeight="251678720" behindDoc="0" locked="0" layoutInCell="1" allowOverlap="1" wp14:anchorId="344975DE" wp14:editId="013B87BD">
                <wp:simplePos x="0" y="0"/>
                <wp:positionH relativeFrom="margin">
                  <wp:posOffset>2933700</wp:posOffset>
                </wp:positionH>
                <wp:positionV relativeFrom="page">
                  <wp:posOffset>5208905</wp:posOffset>
                </wp:positionV>
                <wp:extent cx="2827020" cy="575945"/>
                <wp:effectExtent l="0" t="0" r="0" b="0"/>
                <wp:wrapNone/>
                <wp:docPr id="30" name="Obdélník 30"/>
                <wp:cNvGraphicFramePr/>
                <a:graphic xmlns:a="http://schemas.openxmlformats.org/drawingml/2006/main">
                  <a:graphicData uri="http://schemas.microsoft.com/office/word/2010/wordprocessingShape">
                    <wps:wsp>
                      <wps:cNvSpPr/>
                      <wps:spPr>
                        <a:xfrm>
                          <a:off x="0" y="0"/>
                          <a:ext cx="2827020"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6FD587" w14:textId="77777777" w:rsidR="000F102D" w:rsidRPr="00474F7F" w:rsidRDefault="000F102D" w:rsidP="00474F7F">
                            <w:pPr>
                              <w:jc w:val="center"/>
                              <w:rPr>
                                <w:b/>
                                <w:color w:val="000000" w:themeColor="text1"/>
                                <w14:textOutline w14:w="9525" w14:cap="rnd" w14:cmpd="sng" w14:algn="ctr">
                                  <w14:noFill/>
                                  <w14:prstDash w14:val="solid"/>
                                  <w14:bevel/>
                                </w14:textOutline>
                              </w:rPr>
                            </w:pPr>
                            <w:r w:rsidRPr="00474F7F">
                              <w:rPr>
                                <w:b/>
                                <w:color w:val="000000" w:themeColor="text1"/>
                                <w14:textOutline w14:w="9525" w14:cap="rnd" w14:cmpd="sng" w14:algn="ctr">
                                  <w14:noFill/>
                                  <w14:prstDash w14:val="solid"/>
                                  <w14:bevel/>
                                </w14:textOutline>
                              </w:rPr>
                              <w:t xml:space="preserve">průměrná doba trvání přípravy </w:t>
                            </w:r>
                            <w:r w:rsidRPr="00474F7F">
                              <w:rPr>
                                <w:color w:val="000000" w:themeColor="text1"/>
                                <w14:textOutline w14:w="9525" w14:cap="rnd" w14:cmpd="sng" w14:algn="ctr">
                                  <w14:noFill/>
                                  <w14:prstDash w14:val="solid"/>
                                  <w14:bevel/>
                                </w14:textOutline>
                              </w:rPr>
                              <w:t>kontrolovaných staveb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4975DE" id="Obdélník 30" o:spid="_x0000_s1026" style="position:absolute;left:0;text-align:left;margin-left:231pt;margin-top:410.15pt;width:222.6pt;height:45.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" filled="f" stroked="f" strokeweight="1pt">
                <v:textbox inset="1mm,0,1mm,0">
                  <w:txbxContent>
                    <w:p w14:paraId="216FD587" w14:textId="77777777" w:rsidR="000F102D" w:rsidRPr="00474F7F" w:rsidRDefault="000F102D" w:rsidP="00474F7F">
                      <w:pPr>
                        <w:jc w:val="center"/>
                        <w:rPr>
                          <w:b/>
                          <w:color w:val="000000" w:themeColor="text1"/>
                          <w14:textOutline w14:w="9525" w14:cap="rnd" w14:cmpd="sng" w14:algn="ctr">
                            <w14:noFill/>
                            <w14:prstDash w14:val="solid"/>
                            <w14:bevel/>
                          </w14:textOutline>
                        </w:rPr>
                      </w:pPr>
                      <w:r w:rsidRPr="00474F7F">
                        <w:rPr>
                          <w:b/>
                          <w:color w:val="000000" w:themeColor="text1"/>
                          <w14:textOutline w14:w="9525" w14:cap="rnd" w14:cmpd="sng" w14:algn="ctr">
                            <w14:noFill/>
                            <w14:prstDash w14:val="solid"/>
                            <w14:bevel/>
                          </w14:textOutline>
                        </w:rPr>
                        <w:t xml:space="preserve">průměrná doba trvání přípravy </w:t>
                      </w:r>
                      <w:r w:rsidRPr="00474F7F">
                        <w:rPr>
                          <w:color w:val="000000" w:themeColor="text1"/>
                          <w14:textOutline w14:w="9525" w14:cap="rnd" w14:cmpd="sng" w14:algn="ctr">
                            <w14:noFill/>
                            <w14:prstDash w14:val="solid"/>
                            <w14:bevel/>
                          </w14:textOutline>
                        </w:rPr>
                        <w:t>kontrolovaných staveb</w:t>
                      </w:r>
                    </w:p>
                  </w:txbxContent>
                </v:textbox>
                <w10:wrap anchorx="margin" anchory="page"/>
              </v:rect>
            </w:pict>
          </mc:Fallback>
        </mc:AlternateContent>
      </w:r>
      <w:r>
        <w:rPr>
          <w:noProof/>
          <w:lang w:eastAsia="cs-CZ"/>
        </w:rPr>
        <mc:AlternateContent>
          <mc:Choice Requires="wps">
            <w:drawing>
              <wp:anchor distT="0" distB="0" distL="114300" distR="114300" simplePos="0" relativeHeight="251668480" behindDoc="0" locked="0" layoutInCell="1" allowOverlap="1" wp14:anchorId="63D31914" wp14:editId="3475EFAE">
                <wp:simplePos x="0" y="0"/>
                <wp:positionH relativeFrom="margin">
                  <wp:posOffset>0</wp:posOffset>
                </wp:positionH>
                <wp:positionV relativeFrom="page">
                  <wp:posOffset>4463415</wp:posOffset>
                </wp:positionV>
                <wp:extent cx="2827020" cy="575945"/>
                <wp:effectExtent l="0" t="0" r="11430" b="14605"/>
                <wp:wrapNone/>
                <wp:docPr id="24" name="Zaoblený obdélník 24"/>
                <wp:cNvGraphicFramePr/>
                <a:graphic xmlns:a="http://schemas.openxmlformats.org/drawingml/2006/main">
                  <a:graphicData uri="http://schemas.microsoft.com/office/word/2010/wordprocessingShape">
                    <wps:wsp>
                      <wps:cNvSpPr/>
                      <wps:spPr>
                        <a:xfrm>
                          <a:off x="0" y="0"/>
                          <a:ext cx="2827020" cy="575945"/>
                        </a:xfrm>
                        <a:prstGeom prst="roundRect">
                          <a:avLst/>
                        </a:prstGeom>
                        <a:solidFill>
                          <a:srgbClr val="004595"/>
                        </a:solidFill>
                        <a:ln>
                          <a:solidFill>
                            <a:srgbClr val="0045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BB237" w14:textId="77777777" w:rsidR="000F102D" w:rsidRPr="0000734B" w:rsidRDefault="000F102D" w:rsidP="0000734B">
                            <w:pPr>
                              <w:jc w:val="center"/>
                              <w:rPr>
                                <w:b/>
                                <w:sz w:val="40"/>
                                <w:szCs w:val="48"/>
                              </w:rPr>
                            </w:pPr>
                            <w:r w:rsidRPr="0000734B">
                              <w:rPr>
                                <w:b/>
                                <w:sz w:val="40"/>
                                <w:szCs w:val="48"/>
                              </w:rPr>
                              <w:t>24,6 mld. Kč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D31914" id="Zaoblený obdélník 24" o:spid="_x0000_s1027" style="position:absolute;left:0;text-align:left;margin-left:0;margin-top:351.45pt;width:222.6pt;height:45.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" fillcolor="#004595" strokecolor="#004595" strokeweight="1pt">
                <v:stroke joinstyle="miter"/>
                <v:textbox inset="1mm,0,1mm,0">
                  <w:txbxContent>
                    <w:p w14:paraId="158BB237" w14:textId="77777777" w:rsidR="000F102D" w:rsidRPr="0000734B" w:rsidRDefault="000F102D" w:rsidP="0000734B">
                      <w:pPr>
                        <w:jc w:val="center"/>
                        <w:rPr>
                          <w:b/>
                          <w:sz w:val="40"/>
                          <w:szCs w:val="48"/>
                        </w:rPr>
                      </w:pPr>
                      <w:r w:rsidRPr="0000734B">
                        <w:rPr>
                          <w:b/>
                          <w:sz w:val="40"/>
                          <w:szCs w:val="48"/>
                        </w:rPr>
                        <w:t>24,6 mld. Kč</w:t>
                      </w:r>
                    </w:p>
                  </w:txbxContent>
                </v:textbox>
                <w10:wrap anchorx="margin" anchory="page"/>
              </v:roundrect>
            </w:pict>
          </mc:Fallback>
        </mc:AlternateContent>
      </w:r>
      <w:r w:rsidRPr="00766362">
        <w:rPr>
          <w:noProof/>
          <w:lang w:eastAsia="cs-CZ"/>
        </w:rPr>
        <mc:AlternateContent>
          <mc:Choice Requires="wps">
            <w:drawing>
              <wp:anchor distT="0" distB="0" distL="114300" distR="114300" simplePos="0" relativeHeight="251665408" behindDoc="0" locked="0" layoutInCell="1" allowOverlap="1" wp14:anchorId="2B78BC3B" wp14:editId="51D9EAFD">
                <wp:simplePos x="0" y="0"/>
                <wp:positionH relativeFrom="margin">
                  <wp:posOffset>0</wp:posOffset>
                </wp:positionH>
                <wp:positionV relativeFrom="page">
                  <wp:posOffset>3161030</wp:posOffset>
                </wp:positionV>
                <wp:extent cx="2827020" cy="1135380"/>
                <wp:effectExtent l="0" t="0" r="11430" b="26670"/>
                <wp:wrapNone/>
                <wp:docPr id="22" name="Zaoblený obdélník 22"/>
                <wp:cNvGraphicFramePr/>
                <a:graphic xmlns:a="http://schemas.openxmlformats.org/drawingml/2006/main">
                  <a:graphicData uri="http://schemas.microsoft.com/office/word/2010/wordprocessingShape">
                    <wps:wsp>
                      <wps:cNvSpPr/>
                      <wps:spPr>
                        <a:xfrm>
                          <a:off x="0" y="0"/>
                          <a:ext cx="2827020" cy="1135380"/>
                        </a:xfrm>
                        <a:prstGeom prst="roundRect">
                          <a:avLst/>
                        </a:prstGeom>
                        <a:solidFill>
                          <a:srgbClr val="004595"/>
                        </a:solidFill>
                        <a:ln>
                          <a:solidFill>
                            <a:srgbClr val="0045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92926A" w14:textId="77777777" w:rsidR="000F102D" w:rsidRPr="00FA2028" w:rsidRDefault="000F102D" w:rsidP="00766362">
                            <w:pPr>
                              <w:jc w:val="center"/>
                              <w:rPr>
                                <w:b/>
                              </w:rPr>
                            </w:pPr>
                            <w:r w:rsidRPr="00766362">
                              <w:rPr>
                                <w:b/>
                                <w:sz w:val="48"/>
                              </w:rPr>
                              <w:t>46</w:t>
                            </w:r>
                          </w:p>
                          <w:p w14:paraId="1407C97F" w14:textId="77777777" w:rsidR="000F102D" w:rsidRPr="00766362" w:rsidRDefault="000F102D" w:rsidP="0000734B">
                            <w:pPr>
                              <w:spacing w:before="120"/>
                              <w:jc w:val="center"/>
                              <w:rPr>
                                <w:b/>
                              </w:rPr>
                            </w:pPr>
                            <w:r w:rsidRPr="00766362">
                              <w:rPr>
                                <w:b/>
                              </w:rPr>
                              <w:t>staveb</w:t>
                            </w:r>
                            <w:r>
                              <w:rPr>
                                <w:b/>
                              </w:rPr>
                              <w:t xml:space="preserve"> silnic I. třídy</w:t>
                            </w:r>
                          </w:p>
                          <w:p w14:paraId="09C9D093" w14:textId="77777777" w:rsidR="000F102D" w:rsidRPr="00766362" w:rsidRDefault="000F102D" w:rsidP="00766362">
                            <w:pPr>
                              <w:jc w:val="center"/>
                            </w:pPr>
                            <w:r w:rsidRPr="00766362">
                              <w:t>zprovozněných v letech 2013–2018</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8BC3B" id="Zaoblený obdélník 22" o:spid="_x0000_s1028" style="position:absolute;left:0;text-align:left;margin-left:0;margin-top:248.9pt;width:222.6pt;height:89.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" fillcolor="#004595" strokecolor="#004595" strokeweight="1pt">
                <v:stroke joinstyle="miter"/>
                <v:textbox inset="1mm,0,1mm,0">
                  <w:txbxContent>
                    <w:p w14:paraId="6A92926A" w14:textId="77777777" w:rsidR="000F102D" w:rsidRPr="00FA2028" w:rsidRDefault="000F102D" w:rsidP="00766362">
                      <w:pPr>
                        <w:jc w:val="center"/>
                        <w:rPr>
                          <w:b/>
                        </w:rPr>
                      </w:pPr>
                      <w:r w:rsidRPr="00766362">
                        <w:rPr>
                          <w:b/>
                          <w:sz w:val="48"/>
                        </w:rPr>
                        <w:t>46</w:t>
                      </w:r>
                    </w:p>
                    <w:p w14:paraId="1407C97F" w14:textId="77777777" w:rsidR="000F102D" w:rsidRPr="00766362" w:rsidRDefault="000F102D" w:rsidP="0000734B">
                      <w:pPr>
                        <w:spacing w:before="120"/>
                        <w:jc w:val="center"/>
                        <w:rPr>
                          <w:b/>
                        </w:rPr>
                      </w:pPr>
                      <w:r w:rsidRPr="00766362">
                        <w:rPr>
                          <w:b/>
                        </w:rPr>
                        <w:t>staveb</w:t>
                      </w:r>
                      <w:r>
                        <w:rPr>
                          <w:b/>
                        </w:rPr>
                        <w:t xml:space="preserve"> silnic I. třídy</w:t>
                      </w:r>
                    </w:p>
                    <w:p w14:paraId="09C9D093" w14:textId="77777777" w:rsidR="000F102D" w:rsidRPr="00766362" w:rsidRDefault="000F102D" w:rsidP="00766362">
                      <w:pPr>
                        <w:jc w:val="center"/>
                      </w:pPr>
                      <w:r w:rsidRPr="00766362">
                        <w:t>zprovozněných v letech 2013–2018</w:t>
                      </w:r>
                    </w:p>
                  </w:txbxContent>
                </v:textbox>
                <w10:wrap anchorx="margin" anchory="page"/>
              </v:roundrect>
            </w:pict>
          </mc:Fallback>
        </mc:AlternateContent>
      </w:r>
      <w:r>
        <w:rPr>
          <w:noProof/>
          <w:lang w:eastAsia="cs-CZ"/>
        </w:rPr>
        <mc:AlternateContent>
          <mc:Choice Requires="wps">
            <w:drawing>
              <wp:anchor distT="0" distB="0" distL="114300" distR="114300" simplePos="0" relativeHeight="251659264" behindDoc="0" locked="0" layoutInCell="1" allowOverlap="1" wp14:anchorId="3018D7A9" wp14:editId="44162983">
                <wp:simplePos x="0" y="0"/>
                <wp:positionH relativeFrom="margin">
                  <wp:posOffset>-635</wp:posOffset>
                </wp:positionH>
                <wp:positionV relativeFrom="page">
                  <wp:posOffset>1866900</wp:posOffset>
                </wp:positionV>
                <wp:extent cx="2827020" cy="1135380"/>
                <wp:effectExtent l="0" t="0" r="11430" b="26670"/>
                <wp:wrapNone/>
                <wp:docPr id="14" name="Zaoblený obdélník 14"/>
                <wp:cNvGraphicFramePr/>
                <a:graphic xmlns:a="http://schemas.openxmlformats.org/drawingml/2006/main">
                  <a:graphicData uri="http://schemas.microsoft.com/office/word/2010/wordprocessingShape">
                    <wps:wsp>
                      <wps:cNvSpPr/>
                      <wps:spPr>
                        <a:xfrm>
                          <a:off x="0" y="0"/>
                          <a:ext cx="2827020" cy="1135380"/>
                        </a:xfrm>
                        <a:prstGeom prst="roundRect">
                          <a:avLst/>
                        </a:prstGeom>
                        <a:solidFill>
                          <a:srgbClr val="004595"/>
                        </a:solidFill>
                        <a:ln>
                          <a:solidFill>
                            <a:srgbClr val="0045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9CBDA" w14:textId="77777777" w:rsidR="000F102D" w:rsidRDefault="000F102D" w:rsidP="00251829">
                            <w:pPr>
                              <w:jc w:val="center"/>
                              <w:rPr>
                                <w:b/>
                                <w:sz w:val="48"/>
                              </w:rPr>
                            </w:pPr>
                            <w:r w:rsidRPr="00FA2028">
                              <w:rPr>
                                <w:b/>
                                <w:sz w:val="48"/>
                              </w:rPr>
                              <w:t>69</w:t>
                            </w:r>
                          </w:p>
                          <w:p w14:paraId="017E61DC" w14:textId="77777777" w:rsidR="000F102D" w:rsidRPr="00FA2028" w:rsidRDefault="000F102D" w:rsidP="00251829">
                            <w:pPr>
                              <w:jc w:val="center"/>
                              <w:rPr>
                                <w:b/>
                              </w:rPr>
                            </w:pPr>
                          </w:p>
                          <w:p w14:paraId="687CEB8B" w14:textId="77777777" w:rsidR="000F102D" w:rsidRPr="00FA2028" w:rsidRDefault="000F102D" w:rsidP="00251829">
                            <w:pPr>
                              <w:jc w:val="center"/>
                              <w:rPr>
                                <w:b/>
                              </w:rPr>
                            </w:pPr>
                            <w:r w:rsidRPr="005A3C9E">
                              <w:rPr>
                                <w:b/>
                              </w:rPr>
                              <w:t>silnic I. třídy v České republice</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18D7A9" id="Zaoblený obdélník 14" o:spid="_x0000_s1029" style="position:absolute;left:0;text-align:left;margin-left:-.05pt;margin-top:147pt;width:222.6pt;height:8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" fillcolor="#004595" strokecolor="#004595" strokeweight="1pt">
                <v:stroke joinstyle="miter"/>
                <v:textbox inset="1mm,0,1mm,0">
                  <w:txbxContent>
                    <w:p w14:paraId="7F29CBDA" w14:textId="77777777" w:rsidR="000F102D" w:rsidRDefault="000F102D" w:rsidP="00251829">
                      <w:pPr>
                        <w:jc w:val="center"/>
                        <w:rPr>
                          <w:b/>
                          <w:sz w:val="48"/>
                        </w:rPr>
                      </w:pPr>
                      <w:r w:rsidRPr="00FA2028">
                        <w:rPr>
                          <w:b/>
                          <w:sz w:val="48"/>
                        </w:rPr>
                        <w:t>69</w:t>
                      </w:r>
                    </w:p>
                    <w:p w14:paraId="017E61DC" w14:textId="77777777" w:rsidR="000F102D" w:rsidRPr="00FA2028" w:rsidRDefault="000F102D" w:rsidP="00251829">
                      <w:pPr>
                        <w:jc w:val="center"/>
                        <w:rPr>
                          <w:b/>
                        </w:rPr>
                      </w:pPr>
                    </w:p>
                    <w:p w14:paraId="687CEB8B" w14:textId="77777777" w:rsidR="000F102D" w:rsidRPr="00FA2028" w:rsidRDefault="000F102D" w:rsidP="00251829">
                      <w:pPr>
                        <w:jc w:val="center"/>
                        <w:rPr>
                          <w:b/>
                        </w:rPr>
                      </w:pPr>
                      <w:r w:rsidRPr="005A3C9E">
                        <w:rPr>
                          <w:b/>
                        </w:rPr>
                        <w:t>silnic I. třídy v České republice</w:t>
                      </w:r>
                    </w:p>
                  </w:txbxContent>
                </v:textbox>
                <w10:wrap anchorx="margin" anchory="page"/>
              </v:roundrect>
            </w:pict>
          </mc:Fallback>
        </mc:AlternateContent>
      </w:r>
      <w:r>
        <w:rPr>
          <w:noProof/>
          <w:lang w:eastAsia="cs-CZ"/>
        </w:rPr>
        <mc:AlternateContent>
          <mc:Choice Requires="wps">
            <w:drawing>
              <wp:anchor distT="0" distB="0" distL="114300" distR="114300" simplePos="0" relativeHeight="251663360" behindDoc="0" locked="0" layoutInCell="1" allowOverlap="1" wp14:anchorId="21436C7F" wp14:editId="32A5F8D0">
                <wp:simplePos x="0" y="0"/>
                <wp:positionH relativeFrom="margin">
                  <wp:posOffset>2922270</wp:posOffset>
                </wp:positionH>
                <wp:positionV relativeFrom="page">
                  <wp:posOffset>1866900</wp:posOffset>
                </wp:positionV>
                <wp:extent cx="2827020" cy="1135380"/>
                <wp:effectExtent l="0" t="0" r="11430" b="26670"/>
                <wp:wrapNone/>
                <wp:docPr id="16" name="Zaoblený obdélník 16"/>
                <wp:cNvGraphicFramePr/>
                <a:graphic xmlns:a="http://schemas.openxmlformats.org/drawingml/2006/main">
                  <a:graphicData uri="http://schemas.microsoft.com/office/word/2010/wordprocessingShape">
                    <wps:wsp>
                      <wps:cNvSpPr/>
                      <wps:spPr>
                        <a:xfrm>
                          <a:off x="0" y="0"/>
                          <a:ext cx="2827020" cy="1135380"/>
                        </a:xfrm>
                        <a:prstGeom prst="roundRect">
                          <a:avLst/>
                        </a:prstGeom>
                        <a:solidFill>
                          <a:srgbClr val="004595"/>
                        </a:solidFill>
                        <a:ln>
                          <a:solidFill>
                            <a:srgbClr val="0045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21BDD6" w14:textId="77777777" w:rsidR="000F102D" w:rsidRPr="00FA2028" w:rsidRDefault="000F102D" w:rsidP="00FA2028">
                            <w:pPr>
                              <w:jc w:val="center"/>
                              <w:rPr>
                                <w:b/>
                                <w:sz w:val="48"/>
                                <w:szCs w:val="48"/>
                              </w:rPr>
                            </w:pPr>
                            <w:r w:rsidRPr="00FA2028">
                              <w:rPr>
                                <w:b/>
                                <w:sz w:val="48"/>
                                <w:szCs w:val="48"/>
                              </w:rPr>
                              <w:t>5 824 km</w:t>
                            </w:r>
                          </w:p>
                          <w:p w14:paraId="567C6A52" w14:textId="77777777" w:rsidR="000F102D" w:rsidRPr="00FA2028" w:rsidRDefault="000F102D" w:rsidP="005A3C9E">
                            <w:pPr>
                              <w:spacing w:before="120"/>
                              <w:jc w:val="center"/>
                              <w:rPr>
                                <w:b/>
                              </w:rPr>
                            </w:pPr>
                            <w:r w:rsidRPr="00FA2028">
                              <w:rPr>
                                <w:b/>
                              </w:rPr>
                              <w:t>délka silnic I. třídy</w:t>
                            </w:r>
                          </w:p>
                          <w:p w14:paraId="7E07B2BD" w14:textId="77777777" w:rsidR="000F102D" w:rsidRPr="005A3C9E" w:rsidRDefault="000F102D" w:rsidP="00FA2028">
                            <w:pPr>
                              <w:jc w:val="center"/>
                              <w:rPr>
                                <w:sz w:val="22"/>
                              </w:rPr>
                            </w:pPr>
                            <w:r w:rsidRPr="005A3C9E">
                              <w:rPr>
                                <w:sz w:val="22"/>
                              </w:rPr>
                              <w:t>včetně dočasně evidovaných úseků</w:t>
                            </w:r>
                          </w:p>
                          <w:p w14:paraId="0860EC88" w14:textId="77777777" w:rsidR="000F102D" w:rsidRDefault="000F102D" w:rsidP="00FA2028">
                            <w:pPr>
                              <w:jc w:val="center"/>
                            </w:pPr>
                            <w:r w:rsidRPr="005A3C9E">
                              <w:rPr>
                                <w:sz w:val="22"/>
                              </w:rPr>
                              <w:t>(stav ke dni 1. 7. 2018)</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436C7F" id="Zaoblený obdélník 16" o:spid="_x0000_s1030" style="position:absolute;left:0;text-align:left;margin-left:230.1pt;margin-top:147pt;width:222.6pt;height:8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" fillcolor="#004595" strokecolor="#004595" strokeweight="1pt">
                <v:stroke joinstyle="miter"/>
                <v:textbox inset="1mm,0,1mm,0">
                  <w:txbxContent>
                    <w:p w14:paraId="1121BDD6" w14:textId="77777777" w:rsidR="000F102D" w:rsidRPr="00FA2028" w:rsidRDefault="000F102D" w:rsidP="00FA2028">
                      <w:pPr>
                        <w:jc w:val="center"/>
                        <w:rPr>
                          <w:b/>
                          <w:sz w:val="48"/>
                          <w:szCs w:val="48"/>
                        </w:rPr>
                      </w:pPr>
                      <w:r w:rsidRPr="00FA2028">
                        <w:rPr>
                          <w:b/>
                          <w:sz w:val="48"/>
                          <w:szCs w:val="48"/>
                        </w:rPr>
                        <w:t>5 824 km</w:t>
                      </w:r>
                    </w:p>
                    <w:p w14:paraId="567C6A52" w14:textId="77777777" w:rsidR="000F102D" w:rsidRPr="00FA2028" w:rsidRDefault="000F102D" w:rsidP="005A3C9E">
                      <w:pPr>
                        <w:spacing w:before="120"/>
                        <w:jc w:val="center"/>
                        <w:rPr>
                          <w:b/>
                        </w:rPr>
                      </w:pPr>
                      <w:r w:rsidRPr="00FA2028">
                        <w:rPr>
                          <w:b/>
                        </w:rPr>
                        <w:t>délka silnic I. třídy</w:t>
                      </w:r>
                    </w:p>
                    <w:p w14:paraId="7E07B2BD" w14:textId="77777777" w:rsidR="000F102D" w:rsidRPr="005A3C9E" w:rsidRDefault="000F102D" w:rsidP="00FA2028">
                      <w:pPr>
                        <w:jc w:val="center"/>
                        <w:rPr>
                          <w:sz w:val="22"/>
                        </w:rPr>
                      </w:pPr>
                      <w:r w:rsidRPr="005A3C9E">
                        <w:rPr>
                          <w:sz w:val="22"/>
                        </w:rPr>
                        <w:t>včetně dočasně evidovaných úseků</w:t>
                      </w:r>
                    </w:p>
                    <w:p w14:paraId="0860EC88" w14:textId="77777777" w:rsidR="000F102D" w:rsidRDefault="000F102D" w:rsidP="00FA2028">
                      <w:pPr>
                        <w:jc w:val="center"/>
                      </w:pPr>
                      <w:r w:rsidRPr="005A3C9E">
                        <w:rPr>
                          <w:sz w:val="22"/>
                        </w:rPr>
                        <w:t>(stav ke dni 1. 7. 2018)</w:t>
                      </w:r>
                    </w:p>
                  </w:txbxContent>
                </v:textbox>
                <w10:wrap anchorx="margin" anchory="page"/>
              </v:roundrect>
            </w:pict>
          </mc:Fallback>
        </mc:AlternateContent>
      </w:r>
      <w:r w:rsidRPr="00766362">
        <w:rPr>
          <w:noProof/>
          <w:lang w:eastAsia="cs-CZ"/>
        </w:rPr>
        <mc:AlternateContent>
          <mc:Choice Requires="wps">
            <w:drawing>
              <wp:anchor distT="0" distB="0" distL="114300" distR="114300" simplePos="0" relativeHeight="251666432" behindDoc="0" locked="0" layoutInCell="1" allowOverlap="1" wp14:anchorId="244711A4" wp14:editId="557C7E65">
                <wp:simplePos x="0" y="0"/>
                <wp:positionH relativeFrom="margin">
                  <wp:posOffset>2922905</wp:posOffset>
                </wp:positionH>
                <wp:positionV relativeFrom="page">
                  <wp:posOffset>3161030</wp:posOffset>
                </wp:positionV>
                <wp:extent cx="2827020" cy="1135380"/>
                <wp:effectExtent l="0" t="0" r="11430" b="26670"/>
                <wp:wrapNone/>
                <wp:docPr id="23" name="Zaoblený obdélník 23"/>
                <wp:cNvGraphicFramePr/>
                <a:graphic xmlns:a="http://schemas.openxmlformats.org/drawingml/2006/main">
                  <a:graphicData uri="http://schemas.microsoft.com/office/word/2010/wordprocessingShape">
                    <wps:wsp>
                      <wps:cNvSpPr/>
                      <wps:spPr>
                        <a:xfrm>
                          <a:off x="0" y="0"/>
                          <a:ext cx="2827020" cy="1135380"/>
                        </a:xfrm>
                        <a:prstGeom prst="roundRect">
                          <a:avLst/>
                        </a:prstGeom>
                        <a:solidFill>
                          <a:srgbClr val="004595"/>
                        </a:solidFill>
                        <a:ln>
                          <a:solidFill>
                            <a:srgbClr val="00459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9F31A" w14:textId="77777777" w:rsidR="000F102D" w:rsidRPr="00FA2028" w:rsidRDefault="000F102D" w:rsidP="00766362">
                            <w:pPr>
                              <w:jc w:val="center"/>
                              <w:rPr>
                                <w:b/>
                                <w:sz w:val="48"/>
                                <w:szCs w:val="48"/>
                              </w:rPr>
                            </w:pPr>
                            <w:r w:rsidRPr="00766362">
                              <w:rPr>
                                <w:b/>
                                <w:sz w:val="48"/>
                                <w:szCs w:val="48"/>
                              </w:rPr>
                              <w:t>17,8 km</w:t>
                            </w:r>
                          </w:p>
                          <w:p w14:paraId="2B0FF19B" w14:textId="77777777" w:rsidR="000F102D" w:rsidRPr="00766362" w:rsidRDefault="000F102D" w:rsidP="00766362">
                            <w:pPr>
                              <w:spacing w:before="120"/>
                              <w:jc w:val="center"/>
                            </w:pPr>
                            <w:r w:rsidRPr="00766362">
                              <w:rPr>
                                <w:b/>
                              </w:rPr>
                              <w:t xml:space="preserve">průměrná délka silnic I. třídy </w:t>
                            </w:r>
                            <w:r w:rsidRPr="00766362">
                              <w:rPr>
                                <w:sz w:val="20"/>
                              </w:rPr>
                              <w:t>(nových</w:t>
                            </w:r>
                            <w:r>
                              <w:rPr>
                                <w:sz w:val="20"/>
                              </w:rPr>
                              <w:t> </w:t>
                            </w:r>
                            <w:r w:rsidRPr="00766362">
                              <w:rPr>
                                <w:sz w:val="20"/>
                              </w:rPr>
                              <w:t>i</w:t>
                            </w:r>
                            <w:r>
                              <w:rPr>
                                <w:sz w:val="20"/>
                              </w:rPr>
                              <w:t> </w:t>
                            </w:r>
                            <w:r w:rsidRPr="00766362">
                              <w:rPr>
                                <w:sz w:val="20"/>
                              </w:rPr>
                              <w:t>modernizovaných)</w:t>
                            </w:r>
                            <w:r w:rsidRPr="00766362">
                              <w:t xml:space="preserve"> ročně</w:t>
                            </w:r>
                            <w:r>
                              <w:t> </w:t>
                            </w:r>
                            <w:r w:rsidRPr="00766362">
                              <w:t>zprovozněných</w:t>
                            </w:r>
                            <w:r>
                              <w:t> </w:t>
                            </w:r>
                            <w:r w:rsidRPr="00766362">
                              <w:t>v</w:t>
                            </w:r>
                            <w:r>
                              <w:t> </w:t>
                            </w:r>
                            <w:r w:rsidRPr="00766362">
                              <w:t>letech</w:t>
                            </w:r>
                            <w:r>
                              <w:t> </w:t>
                            </w:r>
                            <w:r w:rsidRPr="00766362">
                              <w:t>2013–2018</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4711A4" id="Zaoblený obdélník 23" o:spid="_x0000_s1031" style="position:absolute;left:0;text-align:left;margin-left:230.15pt;margin-top:248.9pt;width:222.6pt;height:89.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" fillcolor="#004595" strokecolor="#004595" strokeweight="1pt">
                <v:stroke joinstyle="miter"/>
                <v:textbox inset="1mm,0,1mm,0">
                  <w:txbxContent>
                    <w:p w14:paraId="1699F31A" w14:textId="77777777" w:rsidR="000F102D" w:rsidRPr="00FA2028" w:rsidRDefault="000F102D" w:rsidP="00766362">
                      <w:pPr>
                        <w:jc w:val="center"/>
                        <w:rPr>
                          <w:b/>
                          <w:sz w:val="48"/>
                          <w:szCs w:val="48"/>
                        </w:rPr>
                      </w:pPr>
                      <w:r w:rsidRPr="00766362">
                        <w:rPr>
                          <w:b/>
                          <w:sz w:val="48"/>
                          <w:szCs w:val="48"/>
                        </w:rPr>
                        <w:t>17,8 km</w:t>
                      </w:r>
                    </w:p>
                    <w:p w14:paraId="2B0FF19B" w14:textId="77777777" w:rsidR="000F102D" w:rsidRPr="00766362" w:rsidRDefault="000F102D" w:rsidP="00766362">
                      <w:pPr>
                        <w:spacing w:before="120"/>
                        <w:jc w:val="center"/>
                      </w:pPr>
                      <w:r w:rsidRPr="00766362">
                        <w:rPr>
                          <w:b/>
                        </w:rPr>
                        <w:t xml:space="preserve">průměrná délka silnic I. třídy </w:t>
                      </w:r>
                      <w:r w:rsidRPr="00766362">
                        <w:rPr>
                          <w:sz w:val="20"/>
                        </w:rPr>
                        <w:t>(nových</w:t>
                      </w:r>
                      <w:r>
                        <w:rPr>
                          <w:sz w:val="20"/>
                        </w:rPr>
                        <w:t> </w:t>
                      </w:r>
                      <w:r w:rsidRPr="00766362">
                        <w:rPr>
                          <w:sz w:val="20"/>
                        </w:rPr>
                        <w:t>i</w:t>
                      </w:r>
                      <w:r>
                        <w:rPr>
                          <w:sz w:val="20"/>
                        </w:rPr>
                        <w:t> </w:t>
                      </w:r>
                      <w:r w:rsidRPr="00766362">
                        <w:rPr>
                          <w:sz w:val="20"/>
                        </w:rPr>
                        <w:t>modernizovaných)</w:t>
                      </w:r>
                      <w:r w:rsidRPr="00766362">
                        <w:t xml:space="preserve"> ročně</w:t>
                      </w:r>
                      <w:r>
                        <w:t> </w:t>
                      </w:r>
                      <w:r w:rsidRPr="00766362">
                        <w:t>zprovozněných</w:t>
                      </w:r>
                      <w:r>
                        <w:t> </w:t>
                      </w:r>
                      <w:r w:rsidRPr="00766362">
                        <w:t>v</w:t>
                      </w:r>
                      <w:r>
                        <w:t> </w:t>
                      </w:r>
                      <w:r w:rsidRPr="00766362">
                        <w:t>letech</w:t>
                      </w:r>
                      <w:r>
                        <w:t> </w:t>
                      </w:r>
                      <w:r w:rsidRPr="00766362">
                        <w:t>2013–2018</w:t>
                      </w:r>
                    </w:p>
                  </w:txbxContent>
                </v:textbox>
                <w10:wrap anchorx="margin" anchory="page"/>
              </v:roundrect>
            </w:pict>
          </mc:Fallback>
        </mc:AlternateContent>
      </w:r>
      <w:r>
        <w:rPr>
          <w:noProof/>
          <w:lang w:eastAsia="cs-CZ"/>
        </w:rPr>
        <mc:AlternateContent>
          <mc:Choice Requires="wps">
            <w:drawing>
              <wp:anchor distT="0" distB="0" distL="114300" distR="114300" simplePos="0" relativeHeight="251676672" behindDoc="0" locked="0" layoutInCell="1" allowOverlap="1" wp14:anchorId="2409BCEA" wp14:editId="24A116C8">
                <wp:simplePos x="0" y="0"/>
                <wp:positionH relativeFrom="margin">
                  <wp:posOffset>2933700</wp:posOffset>
                </wp:positionH>
                <wp:positionV relativeFrom="page">
                  <wp:posOffset>4471035</wp:posOffset>
                </wp:positionV>
                <wp:extent cx="2827020" cy="575945"/>
                <wp:effectExtent l="0" t="0" r="0" b="0"/>
                <wp:wrapNone/>
                <wp:docPr id="29" name="Obdélník 29"/>
                <wp:cNvGraphicFramePr/>
                <a:graphic xmlns:a="http://schemas.openxmlformats.org/drawingml/2006/main">
                  <a:graphicData uri="http://schemas.microsoft.com/office/word/2010/wordprocessingShape">
                    <wps:wsp>
                      <wps:cNvSpPr/>
                      <wps:spPr>
                        <a:xfrm>
                          <a:off x="0" y="0"/>
                          <a:ext cx="2827020"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9A375E" w14:textId="77777777" w:rsidR="000F102D" w:rsidRPr="00474F7F" w:rsidRDefault="000F102D" w:rsidP="0000734B">
                            <w:pPr>
                              <w:jc w:val="center"/>
                              <w:rPr>
                                <w:b/>
                                <w:color w:val="000000" w:themeColor="text1"/>
                                <w14:textOutline w14:w="9525" w14:cap="rnd" w14:cmpd="sng" w14:algn="ctr">
                                  <w14:noFill/>
                                  <w14:prstDash w14:val="solid"/>
                                  <w14:bevel/>
                                </w14:textOutline>
                              </w:rPr>
                            </w:pPr>
                            <w:r w:rsidRPr="00474F7F">
                              <w:rPr>
                                <w:b/>
                                <w:color w:val="000000" w:themeColor="text1"/>
                                <w14:textOutline w14:w="9525" w14:cap="rnd" w14:cmpd="sng" w14:algn="ctr">
                                  <w14:noFill/>
                                  <w14:prstDash w14:val="solid"/>
                                  <w14:bevel/>
                                </w14:textOutline>
                              </w:rPr>
                              <w:t xml:space="preserve">prostředky vynaložené na výstavbu silnic I. třídy </w:t>
                            </w:r>
                            <w:r w:rsidRPr="00474F7F">
                              <w:rPr>
                                <w:color w:val="000000" w:themeColor="text1"/>
                                <w14:textOutline w14:w="9525" w14:cap="rnd" w14:cmpd="sng" w14:algn="ctr">
                                  <w14:noFill/>
                                  <w14:prstDash w14:val="solid"/>
                                  <w14:bevel/>
                                </w14:textOutline>
                              </w:rPr>
                              <w:t>v letech 2013–2018</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9BCEA" id="Obdélník 29" o:spid="_x0000_s1032" style="position:absolute;left:0;text-align:left;margin-left:231pt;margin-top:352.05pt;width:222.6pt;height:45.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" filled="f" stroked="f" strokeweight="1pt">
                <v:textbox inset="1mm,0,1mm,0">
                  <w:txbxContent>
                    <w:p w14:paraId="339A375E" w14:textId="77777777" w:rsidR="000F102D" w:rsidRPr="00474F7F" w:rsidRDefault="000F102D" w:rsidP="0000734B">
                      <w:pPr>
                        <w:jc w:val="center"/>
                        <w:rPr>
                          <w:b/>
                          <w:color w:val="000000" w:themeColor="text1"/>
                          <w14:textOutline w14:w="9525" w14:cap="rnd" w14:cmpd="sng" w14:algn="ctr">
                            <w14:noFill/>
                            <w14:prstDash w14:val="solid"/>
                            <w14:bevel/>
                          </w14:textOutline>
                        </w:rPr>
                      </w:pPr>
                      <w:r w:rsidRPr="00474F7F">
                        <w:rPr>
                          <w:b/>
                          <w:color w:val="000000" w:themeColor="text1"/>
                          <w14:textOutline w14:w="9525" w14:cap="rnd" w14:cmpd="sng" w14:algn="ctr">
                            <w14:noFill/>
                            <w14:prstDash w14:val="solid"/>
                            <w14:bevel/>
                          </w14:textOutline>
                        </w:rPr>
                        <w:t xml:space="preserve">prostředky vynaložené na výstavbu silnic I. třídy </w:t>
                      </w:r>
                      <w:r w:rsidRPr="00474F7F">
                        <w:rPr>
                          <w:color w:val="000000" w:themeColor="text1"/>
                          <w14:textOutline w14:w="9525" w14:cap="rnd" w14:cmpd="sng" w14:algn="ctr">
                            <w14:noFill/>
                            <w14:prstDash w14:val="solid"/>
                            <w14:bevel/>
                          </w14:textOutline>
                        </w:rPr>
                        <w:t>v letech 2013–2018</w:t>
                      </w:r>
                    </w:p>
                  </w:txbxContent>
                </v:textbox>
                <w10:wrap anchorx="margin" anchory="page"/>
              </v:rect>
            </w:pict>
          </mc:Fallback>
        </mc:AlternateContent>
      </w:r>
      <w:r>
        <w:rPr>
          <w:noProof/>
          <w:lang w:eastAsia="cs-CZ"/>
        </w:rPr>
        <mc:AlternateContent>
          <mc:Choice Requires="wps">
            <w:drawing>
              <wp:anchor distT="0" distB="0" distL="114300" distR="114300" simplePos="0" relativeHeight="251670528" behindDoc="0" locked="0" layoutInCell="1" allowOverlap="1" wp14:anchorId="52F3ABDB" wp14:editId="6914C90C">
                <wp:simplePos x="0" y="0"/>
                <wp:positionH relativeFrom="margin">
                  <wp:posOffset>0</wp:posOffset>
                </wp:positionH>
                <wp:positionV relativeFrom="page">
                  <wp:posOffset>5207635</wp:posOffset>
                </wp:positionV>
                <wp:extent cx="2827020" cy="575945"/>
                <wp:effectExtent l="0" t="0" r="11430" b="14605"/>
                <wp:wrapNone/>
                <wp:docPr id="26" name="Zaoblený obdélník 26"/>
                <wp:cNvGraphicFramePr/>
                <a:graphic xmlns:a="http://schemas.openxmlformats.org/drawingml/2006/main">
                  <a:graphicData uri="http://schemas.microsoft.com/office/word/2010/wordprocessingShape">
                    <wps:wsp>
                      <wps:cNvSpPr/>
                      <wps:spPr>
                        <a:xfrm>
                          <a:off x="0" y="0"/>
                          <a:ext cx="2827020" cy="575945"/>
                        </a:xfrm>
                        <a:prstGeom prst="roundRect">
                          <a:avLst/>
                        </a:prstGeom>
                        <a:solidFill>
                          <a:srgbClr val="BD2A33"/>
                        </a:solidFill>
                        <a:ln>
                          <a:solidFill>
                            <a:srgbClr val="BD2A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89D74" w14:textId="77777777" w:rsidR="000F102D" w:rsidRPr="0000734B" w:rsidRDefault="000F102D" w:rsidP="0000734B">
                            <w:pPr>
                              <w:jc w:val="center"/>
                              <w:rPr>
                                <w:b/>
                                <w:sz w:val="40"/>
                                <w:szCs w:val="48"/>
                              </w:rPr>
                            </w:pPr>
                            <w:r w:rsidRPr="0000734B">
                              <w:rPr>
                                <w:b/>
                                <w:sz w:val="40"/>
                                <w:szCs w:val="48"/>
                              </w:rPr>
                              <w:t>12 let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3ABDB" id="Zaoblený obdélník 26" o:spid="_x0000_s1033" style="position:absolute;left:0;text-align:left;margin-left:0;margin-top:410.05pt;width:222.6pt;height:45.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" fillcolor="#bd2a33" strokecolor="#bd2a33" strokeweight="1pt">
                <v:stroke joinstyle="miter"/>
                <v:textbox inset="1mm,0,1mm,0">
                  <w:txbxContent>
                    <w:p w14:paraId="5B289D74" w14:textId="77777777" w:rsidR="000F102D" w:rsidRPr="0000734B" w:rsidRDefault="000F102D" w:rsidP="0000734B">
                      <w:pPr>
                        <w:jc w:val="center"/>
                        <w:rPr>
                          <w:b/>
                          <w:sz w:val="40"/>
                          <w:szCs w:val="48"/>
                        </w:rPr>
                      </w:pPr>
                      <w:r w:rsidRPr="0000734B">
                        <w:rPr>
                          <w:b/>
                          <w:sz w:val="40"/>
                          <w:szCs w:val="48"/>
                        </w:rPr>
                        <w:t>12 let</w:t>
                      </w:r>
                    </w:p>
                  </w:txbxContent>
                </v:textbox>
                <w10:wrap anchorx="margin" anchory="page"/>
              </v:roundrect>
            </w:pict>
          </mc:Fallback>
        </mc:AlternateContent>
      </w:r>
      <w:r>
        <w:rPr>
          <w:noProof/>
          <w:lang w:eastAsia="cs-CZ"/>
        </w:rPr>
        <mc:AlternateContent>
          <mc:Choice Requires="wps">
            <w:drawing>
              <wp:anchor distT="0" distB="0" distL="114300" distR="114300" simplePos="0" relativeHeight="251674624" behindDoc="0" locked="0" layoutInCell="1" allowOverlap="1" wp14:anchorId="5D71BF0E" wp14:editId="6FBB52ED">
                <wp:simplePos x="0" y="0"/>
                <wp:positionH relativeFrom="margin">
                  <wp:posOffset>0</wp:posOffset>
                </wp:positionH>
                <wp:positionV relativeFrom="page">
                  <wp:posOffset>6695440</wp:posOffset>
                </wp:positionV>
                <wp:extent cx="2827020" cy="575945"/>
                <wp:effectExtent l="0" t="0" r="11430" b="14605"/>
                <wp:wrapNone/>
                <wp:docPr id="28" name="Zaoblený obdélník 28"/>
                <wp:cNvGraphicFramePr/>
                <a:graphic xmlns:a="http://schemas.openxmlformats.org/drawingml/2006/main">
                  <a:graphicData uri="http://schemas.microsoft.com/office/word/2010/wordprocessingShape">
                    <wps:wsp>
                      <wps:cNvSpPr/>
                      <wps:spPr>
                        <a:xfrm>
                          <a:off x="0" y="0"/>
                          <a:ext cx="2827020" cy="575945"/>
                        </a:xfrm>
                        <a:prstGeom prst="roundRect">
                          <a:avLst/>
                        </a:prstGeom>
                        <a:solidFill>
                          <a:srgbClr val="BD2A33"/>
                        </a:solidFill>
                        <a:ln>
                          <a:solidFill>
                            <a:srgbClr val="BD2A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CCABF" w14:textId="77777777" w:rsidR="000F102D" w:rsidRPr="0000734B" w:rsidRDefault="000F102D" w:rsidP="0000734B">
                            <w:pPr>
                              <w:jc w:val="center"/>
                              <w:rPr>
                                <w:b/>
                                <w:sz w:val="40"/>
                                <w:szCs w:val="48"/>
                              </w:rPr>
                            </w:pPr>
                            <w:r w:rsidRPr="0000734B">
                              <w:rPr>
                                <w:b/>
                                <w:sz w:val="40"/>
                                <w:szCs w:val="48"/>
                              </w:rPr>
                              <w:t>125 868 079 Kč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1BF0E" id="Zaoblený obdélník 28" o:spid="_x0000_s1034" style="position:absolute;left:0;text-align:left;margin-left:0;margin-top:527.2pt;width:222.6pt;height:45.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" fillcolor="#bd2a33" strokecolor="#bd2a33" strokeweight="1pt">
                <v:stroke joinstyle="miter"/>
                <v:textbox inset="1mm,0,1mm,0">
                  <w:txbxContent>
                    <w:p w14:paraId="230CCABF" w14:textId="77777777" w:rsidR="000F102D" w:rsidRPr="0000734B" w:rsidRDefault="000F102D" w:rsidP="0000734B">
                      <w:pPr>
                        <w:jc w:val="center"/>
                        <w:rPr>
                          <w:b/>
                          <w:sz w:val="40"/>
                          <w:szCs w:val="48"/>
                        </w:rPr>
                      </w:pPr>
                      <w:r w:rsidRPr="0000734B">
                        <w:rPr>
                          <w:b/>
                          <w:sz w:val="40"/>
                          <w:szCs w:val="48"/>
                        </w:rPr>
                        <w:t>125 868 079 Kč</w:t>
                      </w:r>
                    </w:p>
                  </w:txbxContent>
                </v:textbox>
                <w10:wrap anchorx="margin" anchory="page"/>
              </v:roundrect>
            </w:pict>
          </mc:Fallback>
        </mc:AlternateContent>
      </w:r>
      <w:r>
        <w:rPr>
          <w:noProof/>
          <w:lang w:eastAsia="cs-CZ"/>
        </w:rPr>
        <mc:AlternateContent>
          <mc:Choice Requires="wps">
            <w:drawing>
              <wp:anchor distT="0" distB="0" distL="114300" distR="114300" simplePos="0" relativeHeight="251682816" behindDoc="0" locked="0" layoutInCell="1" allowOverlap="1" wp14:anchorId="00693BF2" wp14:editId="602D717A">
                <wp:simplePos x="0" y="0"/>
                <wp:positionH relativeFrom="margin">
                  <wp:posOffset>2933700</wp:posOffset>
                </wp:positionH>
                <wp:positionV relativeFrom="page">
                  <wp:posOffset>6704965</wp:posOffset>
                </wp:positionV>
                <wp:extent cx="2827020" cy="575945"/>
                <wp:effectExtent l="0" t="0" r="0" b="0"/>
                <wp:wrapNone/>
                <wp:docPr id="32" name="Obdélník 32"/>
                <wp:cNvGraphicFramePr/>
                <a:graphic xmlns:a="http://schemas.openxmlformats.org/drawingml/2006/main">
                  <a:graphicData uri="http://schemas.microsoft.com/office/word/2010/wordprocessingShape">
                    <wps:wsp>
                      <wps:cNvSpPr/>
                      <wps:spPr>
                        <a:xfrm>
                          <a:off x="0" y="0"/>
                          <a:ext cx="2827020"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A59022" w14:textId="77777777" w:rsidR="000F102D" w:rsidRPr="00474F7F" w:rsidRDefault="000F102D" w:rsidP="00474F7F">
                            <w:pPr>
                              <w:jc w:val="center"/>
                              <w:rPr>
                                <w:b/>
                                <w:color w:val="000000" w:themeColor="text1"/>
                                <w14:textOutline w14:w="9525" w14:cap="rnd" w14:cmpd="sng" w14:algn="ctr">
                                  <w14:noFill/>
                                  <w14:prstDash w14:val="solid"/>
                                  <w14:bevel/>
                                </w14:textOutline>
                              </w:rPr>
                            </w:pPr>
                            <w:r w:rsidRPr="00474F7F">
                              <w:rPr>
                                <w:b/>
                                <w:color w:val="000000" w:themeColor="text1"/>
                                <w14:textOutline w14:w="9525" w14:cap="rnd" w14:cmpd="sng" w14:algn="ctr">
                                  <w14:noFill/>
                                  <w14:prstDash w14:val="solid"/>
                                  <w14:bevel/>
                                </w14:textOutline>
                              </w:rPr>
                              <w:t xml:space="preserve">kompenzace dodavatelům </w:t>
                            </w:r>
                            <w:r w:rsidRPr="00474F7F">
                              <w:rPr>
                                <w:color w:val="000000" w:themeColor="text1"/>
                                <w14:textOutline w14:w="9525" w14:cap="rnd" w14:cmpd="sng" w14:algn="ctr">
                                  <w14:noFill/>
                                  <w14:prstDash w14:val="solid"/>
                                  <w14:bevel/>
                                </w14:textOutline>
                              </w:rPr>
                              <w:t>za přerušení či</w:t>
                            </w:r>
                            <w:r>
                              <w:rPr>
                                <w:color w:val="000000" w:themeColor="text1"/>
                                <w14:textOutline w14:w="9525" w14:cap="rnd" w14:cmpd="sng" w14:algn="ctr">
                                  <w14:noFill/>
                                  <w14:prstDash w14:val="solid"/>
                                  <w14:bevel/>
                                </w14:textOutline>
                              </w:rPr>
                              <w:t> </w:t>
                            </w:r>
                            <w:r w:rsidRPr="00474F7F">
                              <w:rPr>
                                <w:color w:val="000000" w:themeColor="text1"/>
                                <w14:textOutline w14:w="9525" w14:cap="rnd" w14:cmpd="sng" w14:algn="ctr">
                                  <w14:noFill/>
                                  <w14:prstDash w14:val="solid"/>
                                  <w14:bevel/>
                                </w14:textOutline>
                              </w:rPr>
                              <w:t>konzervaci staveb po roce 2010</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93BF2" id="Obdélník 32" o:spid="_x0000_s1035" style="position:absolute;left:0;text-align:left;margin-left:231pt;margin-top:527.95pt;width:222.6pt;height:45.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" filled="f" stroked="f" strokeweight="1pt">
                <v:textbox inset="1mm,0,1mm,0">
                  <w:txbxContent>
                    <w:p w14:paraId="4AA59022" w14:textId="77777777" w:rsidR="000F102D" w:rsidRPr="00474F7F" w:rsidRDefault="000F102D" w:rsidP="00474F7F">
                      <w:pPr>
                        <w:jc w:val="center"/>
                        <w:rPr>
                          <w:b/>
                          <w:color w:val="000000" w:themeColor="text1"/>
                          <w14:textOutline w14:w="9525" w14:cap="rnd" w14:cmpd="sng" w14:algn="ctr">
                            <w14:noFill/>
                            <w14:prstDash w14:val="solid"/>
                            <w14:bevel/>
                          </w14:textOutline>
                        </w:rPr>
                      </w:pPr>
                      <w:r w:rsidRPr="00474F7F">
                        <w:rPr>
                          <w:b/>
                          <w:color w:val="000000" w:themeColor="text1"/>
                          <w14:textOutline w14:w="9525" w14:cap="rnd" w14:cmpd="sng" w14:algn="ctr">
                            <w14:noFill/>
                            <w14:prstDash w14:val="solid"/>
                            <w14:bevel/>
                          </w14:textOutline>
                        </w:rPr>
                        <w:t xml:space="preserve">kompenzace dodavatelům </w:t>
                      </w:r>
                      <w:r w:rsidRPr="00474F7F">
                        <w:rPr>
                          <w:color w:val="000000" w:themeColor="text1"/>
                          <w14:textOutline w14:w="9525" w14:cap="rnd" w14:cmpd="sng" w14:algn="ctr">
                            <w14:noFill/>
                            <w14:prstDash w14:val="solid"/>
                            <w14:bevel/>
                          </w14:textOutline>
                        </w:rPr>
                        <w:t>za přerušení či</w:t>
                      </w:r>
                      <w:r>
                        <w:rPr>
                          <w:color w:val="000000" w:themeColor="text1"/>
                          <w14:textOutline w14:w="9525" w14:cap="rnd" w14:cmpd="sng" w14:algn="ctr">
                            <w14:noFill/>
                            <w14:prstDash w14:val="solid"/>
                            <w14:bevel/>
                          </w14:textOutline>
                        </w:rPr>
                        <w:t> </w:t>
                      </w:r>
                      <w:r w:rsidRPr="00474F7F">
                        <w:rPr>
                          <w:color w:val="000000" w:themeColor="text1"/>
                          <w14:textOutline w14:w="9525" w14:cap="rnd" w14:cmpd="sng" w14:algn="ctr">
                            <w14:noFill/>
                            <w14:prstDash w14:val="solid"/>
                            <w14:bevel/>
                          </w14:textOutline>
                        </w:rPr>
                        <w:t>konzervaci staveb po roce 2010</w:t>
                      </w:r>
                    </w:p>
                  </w:txbxContent>
                </v:textbox>
                <w10:wrap anchorx="margin" anchory="page"/>
              </v:rect>
            </w:pict>
          </mc:Fallback>
        </mc:AlternateContent>
      </w:r>
    </w:p>
    <w:p w14:paraId="2CC5D2FE" w14:textId="77777777" w:rsidR="00251829" w:rsidRDefault="00251829" w:rsidP="006936C3"/>
    <w:p w14:paraId="3C3C30D1" w14:textId="77777777" w:rsidR="00251829" w:rsidRDefault="00251829" w:rsidP="006936C3"/>
    <w:p w14:paraId="6C2993E5" w14:textId="77777777" w:rsidR="00251829" w:rsidRDefault="00251829" w:rsidP="006936C3"/>
    <w:p w14:paraId="121BAD75" w14:textId="77777777" w:rsidR="00251829" w:rsidRDefault="00251829" w:rsidP="006936C3"/>
    <w:p w14:paraId="4ADA1F52" w14:textId="77777777" w:rsidR="009C186F" w:rsidRDefault="009C186F" w:rsidP="006936C3"/>
    <w:p w14:paraId="2CF06103" w14:textId="77777777" w:rsidR="009C186F" w:rsidRDefault="009C186F" w:rsidP="006936C3"/>
    <w:p w14:paraId="1CC669DD" w14:textId="77777777" w:rsidR="00766362" w:rsidRDefault="00766362" w:rsidP="006936C3"/>
    <w:p w14:paraId="02D7F87D" w14:textId="77777777" w:rsidR="00766362" w:rsidRDefault="00766362" w:rsidP="006936C3"/>
    <w:p w14:paraId="3264858A" w14:textId="77777777" w:rsidR="00766362" w:rsidRDefault="00766362" w:rsidP="006936C3"/>
    <w:p w14:paraId="5563C677" w14:textId="77777777" w:rsidR="00766362" w:rsidRDefault="00766362" w:rsidP="006936C3"/>
    <w:p w14:paraId="6FC1B113" w14:textId="77777777" w:rsidR="00766362" w:rsidRDefault="00766362" w:rsidP="006936C3"/>
    <w:p w14:paraId="74B30AAE" w14:textId="77777777" w:rsidR="00766362" w:rsidRDefault="00766362" w:rsidP="006936C3"/>
    <w:p w14:paraId="13AD9AE4" w14:textId="77777777" w:rsidR="00766362" w:rsidRDefault="00766362" w:rsidP="006936C3"/>
    <w:p w14:paraId="061BE30A" w14:textId="77777777" w:rsidR="00766362" w:rsidRDefault="00766362" w:rsidP="006936C3"/>
    <w:p w14:paraId="76E1B1AC" w14:textId="77777777" w:rsidR="00766362" w:rsidRDefault="00766362" w:rsidP="006936C3"/>
    <w:p w14:paraId="4B6A18C8" w14:textId="77777777" w:rsidR="00766362" w:rsidRDefault="00766362" w:rsidP="006936C3"/>
    <w:p w14:paraId="40458FE4" w14:textId="77777777" w:rsidR="00766362" w:rsidRDefault="00766362" w:rsidP="006936C3"/>
    <w:p w14:paraId="47ADF27F" w14:textId="77777777" w:rsidR="00766362" w:rsidRDefault="00766362" w:rsidP="006936C3"/>
    <w:p w14:paraId="773CD5B7" w14:textId="77777777" w:rsidR="00766362" w:rsidRDefault="00766362" w:rsidP="006936C3"/>
    <w:p w14:paraId="73DFB6AD" w14:textId="77777777" w:rsidR="00766362" w:rsidRDefault="00766362" w:rsidP="006936C3"/>
    <w:p w14:paraId="68700BF2" w14:textId="77777777" w:rsidR="009C186F" w:rsidRDefault="009C186F" w:rsidP="006936C3"/>
    <w:p w14:paraId="2D8741EB" w14:textId="77777777" w:rsidR="005239CF" w:rsidRDefault="00C267A6" w:rsidP="006936C3">
      <w:r w:rsidRPr="00C267A6">
        <w:rPr>
          <w:noProof/>
          <w:lang w:eastAsia="cs-CZ"/>
        </w:rPr>
        <mc:AlternateContent>
          <mc:Choice Requires="wps">
            <w:drawing>
              <wp:anchor distT="0" distB="0" distL="114300" distR="114300" simplePos="0" relativeHeight="251688960" behindDoc="0" locked="0" layoutInCell="1" allowOverlap="1" wp14:anchorId="4A6748DC" wp14:editId="77630B97">
                <wp:simplePos x="0" y="0"/>
                <wp:positionH relativeFrom="margin">
                  <wp:posOffset>0</wp:posOffset>
                </wp:positionH>
                <wp:positionV relativeFrom="page">
                  <wp:posOffset>5959475</wp:posOffset>
                </wp:positionV>
                <wp:extent cx="2827020" cy="575945"/>
                <wp:effectExtent l="0" t="0" r="11430" b="14605"/>
                <wp:wrapNone/>
                <wp:docPr id="1" name="Zaoblený obdélník 1"/>
                <wp:cNvGraphicFramePr/>
                <a:graphic xmlns:a="http://schemas.openxmlformats.org/drawingml/2006/main">
                  <a:graphicData uri="http://schemas.microsoft.com/office/word/2010/wordprocessingShape">
                    <wps:wsp>
                      <wps:cNvSpPr/>
                      <wps:spPr>
                        <a:xfrm>
                          <a:off x="0" y="0"/>
                          <a:ext cx="2827020" cy="575945"/>
                        </a:xfrm>
                        <a:prstGeom prst="roundRect">
                          <a:avLst/>
                        </a:prstGeom>
                        <a:solidFill>
                          <a:srgbClr val="BD2A33"/>
                        </a:solidFill>
                        <a:ln>
                          <a:solidFill>
                            <a:srgbClr val="BD2A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293415" w14:textId="77777777" w:rsidR="000F102D" w:rsidRPr="0000734B" w:rsidRDefault="000F102D" w:rsidP="00C267A6">
                            <w:pPr>
                              <w:jc w:val="center"/>
                              <w:rPr>
                                <w:b/>
                                <w:sz w:val="40"/>
                                <w:szCs w:val="48"/>
                              </w:rPr>
                            </w:pPr>
                            <w:r w:rsidRPr="00700AD1">
                              <w:rPr>
                                <w:b/>
                                <w:sz w:val="40"/>
                                <w:szCs w:val="40"/>
                              </w:rPr>
                              <w:t>7 (20 %)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748DC" id="Zaoblený obdélník 1" o:spid="_x0000_s1036" style="position:absolute;left:0;text-align:left;margin-left:0;margin-top:469.25pt;width:222.6pt;height:45.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" fillcolor="#bd2a33" strokecolor="#bd2a33" strokeweight="1pt">
                <v:stroke joinstyle="miter"/>
                <v:textbox inset="1mm,0,1mm,0">
                  <w:txbxContent>
                    <w:p w14:paraId="63293415" w14:textId="77777777" w:rsidR="000F102D" w:rsidRPr="0000734B" w:rsidRDefault="000F102D" w:rsidP="00C267A6">
                      <w:pPr>
                        <w:jc w:val="center"/>
                        <w:rPr>
                          <w:b/>
                          <w:sz w:val="40"/>
                          <w:szCs w:val="48"/>
                        </w:rPr>
                      </w:pPr>
                      <w:r w:rsidRPr="00700AD1">
                        <w:rPr>
                          <w:b/>
                          <w:sz w:val="40"/>
                          <w:szCs w:val="40"/>
                        </w:rPr>
                        <w:t>7 (20 %)</w:t>
                      </w:r>
                    </w:p>
                  </w:txbxContent>
                </v:textbox>
                <w10:wrap anchorx="margin" anchory="page"/>
              </v:roundrect>
            </w:pict>
          </mc:Fallback>
        </mc:AlternateContent>
      </w:r>
      <w:r w:rsidRPr="00C267A6">
        <w:rPr>
          <w:noProof/>
          <w:lang w:eastAsia="cs-CZ"/>
        </w:rPr>
        <mc:AlternateContent>
          <mc:Choice Requires="wps">
            <w:drawing>
              <wp:anchor distT="0" distB="0" distL="114300" distR="114300" simplePos="0" relativeHeight="251689984" behindDoc="0" locked="0" layoutInCell="1" allowOverlap="1" wp14:anchorId="2DC0A0BC" wp14:editId="51E30FF5">
                <wp:simplePos x="0" y="0"/>
                <wp:positionH relativeFrom="margin">
                  <wp:posOffset>2933700</wp:posOffset>
                </wp:positionH>
                <wp:positionV relativeFrom="page">
                  <wp:posOffset>5960745</wp:posOffset>
                </wp:positionV>
                <wp:extent cx="2827020" cy="575945"/>
                <wp:effectExtent l="0" t="0" r="0" b="0"/>
                <wp:wrapNone/>
                <wp:docPr id="2" name="Obdélník 2"/>
                <wp:cNvGraphicFramePr/>
                <a:graphic xmlns:a="http://schemas.openxmlformats.org/drawingml/2006/main">
                  <a:graphicData uri="http://schemas.microsoft.com/office/word/2010/wordprocessingShape">
                    <wps:wsp>
                      <wps:cNvSpPr/>
                      <wps:spPr>
                        <a:xfrm>
                          <a:off x="0" y="0"/>
                          <a:ext cx="2827020"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416AF" w14:textId="77777777" w:rsidR="000F102D" w:rsidRPr="00C267A6" w:rsidRDefault="000F102D" w:rsidP="00C267A6">
                            <w:pPr>
                              <w:jc w:val="center"/>
                              <w:rPr>
                                <w:color w:val="000000" w:themeColor="text1"/>
                                <w14:textOutline w14:w="9525" w14:cap="rnd" w14:cmpd="sng" w14:algn="ctr">
                                  <w14:noFill/>
                                  <w14:prstDash w14:val="solid"/>
                                  <w14:bevel/>
                                </w14:textOutline>
                              </w:rPr>
                            </w:pPr>
                            <w:r w:rsidRPr="00C267A6">
                              <w:rPr>
                                <w:b/>
                                <w:color w:val="000000" w:themeColor="text1"/>
                                <w14:textOutline w14:w="9525" w14:cap="rnd" w14:cmpd="sng" w14:algn="ctr">
                                  <w14:noFill/>
                                  <w14:prstDash w14:val="solid"/>
                                  <w14:bevel/>
                                </w14:textOutline>
                              </w:rPr>
                              <w:t xml:space="preserve">staveb dokončených v termínu </w:t>
                            </w:r>
                            <w:r w:rsidRPr="00C267A6">
                              <w:rPr>
                                <w:color w:val="000000" w:themeColor="text1"/>
                                <w14:textOutline w14:w="9525" w14:cap="rnd" w14:cmpd="sng" w14:algn="ctr">
                                  <w14:noFill/>
                                  <w14:prstDash w14:val="solid"/>
                                  <w14:bevel/>
                                </w14:textOutline>
                              </w:rPr>
                              <w:t>uvedeném ve strategickém materiálu MD</w:t>
                            </w:r>
                          </w:p>
                          <w:p w14:paraId="0ED72C9E" w14:textId="77777777" w:rsidR="000F102D" w:rsidRPr="00474F7F" w:rsidRDefault="000F102D" w:rsidP="00C267A6">
                            <w:pPr>
                              <w:jc w:val="center"/>
                              <w:rPr>
                                <w:b/>
                                <w:color w:val="000000" w:themeColor="text1"/>
                                <w14:textOutline w14:w="9525" w14:cap="rnd" w14:cmpd="sng" w14:algn="ctr">
                                  <w14:noFill/>
                                  <w14:prstDash w14:val="solid"/>
                                  <w14:bevel/>
                                </w14:textOutline>
                              </w:rPr>
                            </w:pPr>
                            <w:r w:rsidRPr="00C267A6">
                              <w:rPr>
                                <w:color w:val="000000" w:themeColor="text1"/>
                                <w14:textOutline w14:w="9525" w14:cap="rnd" w14:cmpd="sng" w14:algn="ctr">
                                  <w14:noFill/>
                                  <w14:prstDash w14:val="solid"/>
                                  <w14:bevel/>
                                </w14:textOutline>
                              </w:rPr>
                              <w:t>(z celkového počtu 35</w:t>
                            </w:r>
                            <w:r>
                              <w:rPr>
                                <w:color w:val="000000" w:themeColor="text1"/>
                                <w14:textOutline w14:w="9525" w14:cap="rnd" w14:cmpd="sng" w14:algn="ctr">
                                  <w14:noFill/>
                                  <w14:prstDash w14:val="solid"/>
                                  <w14:bevel/>
                                </w14:textOutline>
                              </w:rPr>
                              <w:t xml:space="preserve"> staveb</w:t>
                            </w:r>
                            <w:r w:rsidRPr="00C267A6">
                              <w:rPr>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0A0BC" id="Obdélník 2" o:spid="_x0000_s1037" style="position:absolute;left:0;text-align:left;margin-left:231pt;margin-top:469.35pt;width:222.6pt;height:45.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" filled="f" stroked="f" strokeweight="1pt">
                <v:textbox inset="1mm,0,1mm,0">
                  <w:txbxContent>
                    <w:p w14:paraId="63B416AF" w14:textId="77777777" w:rsidR="000F102D" w:rsidRPr="00C267A6" w:rsidRDefault="000F102D" w:rsidP="00C267A6">
                      <w:pPr>
                        <w:jc w:val="center"/>
                        <w:rPr>
                          <w:color w:val="000000" w:themeColor="text1"/>
                          <w14:textOutline w14:w="9525" w14:cap="rnd" w14:cmpd="sng" w14:algn="ctr">
                            <w14:noFill/>
                            <w14:prstDash w14:val="solid"/>
                            <w14:bevel/>
                          </w14:textOutline>
                        </w:rPr>
                      </w:pPr>
                      <w:r w:rsidRPr="00C267A6">
                        <w:rPr>
                          <w:b/>
                          <w:color w:val="000000" w:themeColor="text1"/>
                          <w14:textOutline w14:w="9525" w14:cap="rnd" w14:cmpd="sng" w14:algn="ctr">
                            <w14:noFill/>
                            <w14:prstDash w14:val="solid"/>
                            <w14:bevel/>
                          </w14:textOutline>
                        </w:rPr>
                        <w:t xml:space="preserve">staveb dokončených v termínu </w:t>
                      </w:r>
                      <w:r w:rsidRPr="00C267A6">
                        <w:rPr>
                          <w:color w:val="000000" w:themeColor="text1"/>
                          <w14:textOutline w14:w="9525" w14:cap="rnd" w14:cmpd="sng" w14:algn="ctr">
                            <w14:noFill/>
                            <w14:prstDash w14:val="solid"/>
                            <w14:bevel/>
                          </w14:textOutline>
                        </w:rPr>
                        <w:t>uvedeném ve strategickém materiálu MD</w:t>
                      </w:r>
                    </w:p>
                    <w:p w14:paraId="0ED72C9E" w14:textId="77777777" w:rsidR="000F102D" w:rsidRPr="00474F7F" w:rsidRDefault="000F102D" w:rsidP="00C267A6">
                      <w:pPr>
                        <w:jc w:val="center"/>
                        <w:rPr>
                          <w:b/>
                          <w:color w:val="000000" w:themeColor="text1"/>
                          <w14:textOutline w14:w="9525" w14:cap="rnd" w14:cmpd="sng" w14:algn="ctr">
                            <w14:noFill/>
                            <w14:prstDash w14:val="solid"/>
                            <w14:bevel/>
                          </w14:textOutline>
                        </w:rPr>
                      </w:pPr>
                      <w:r w:rsidRPr="00C267A6">
                        <w:rPr>
                          <w:color w:val="000000" w:themeColor="text1"/>
                          <w14:textOutline w14:w="9525" w14:cap="rnd" w14:cmpd="sng" w14:algn="ctr">
                            <w14:noFill/>
                            <w14:prstDash w14:val="solid"/>
                            <w14:bevel/>
                          </w14:textOutline>
                        </w:rPr>
                        <w:t>(z celkového počtu 35</w:t>
                      </w:r>
                      <w:r>
                        <w:rPr>
                          <w:color w:val="000000" w:themeColor="text1"/>
                          <w14:textOutline w14:w="9525" w14:cap="rnd" w14:cmpd="sng" w14:algn="ctr">
                            <w14:noFill/>
                            <w14:prstDash w14:val="solid"/>
                            <w14:bevel/>
                          </w14:textOutline>
                        </w:rPr>
                        <w:t xml:space="preserve"> staveb</w:t>
                      </w:r>
                      <w:r w:rsidRPr="00C267A6">
                        <w:rPr>
                          <w:color w:val="000000" w:themeColor="text1"/>
                          <w14:textOutline w14:w="9525" w14:cap="rnd" w14:cmpd="sng" w14:algn="ctr">
                            <w14:noFill/>
                            <w14:prstDash w14:val="solid"/>
                            <w14:bevel/>
                          </w14:textOutline>
                        </w:rPr>
                        <w:t>)</w:t>
                      </w:r>
                    </w:p>
                  </w:txbxContent>
                </v:textbox>
                <w10:wrap anchorx="margin" anchory="page"/>
              </v:rect>
            </w:pict>
          </mc:Fallback>
        </mc:AlternateContent>
      </w:r>
    </w:p>
    <w:p w14:paraId="38F8A9A4" w14:textId="77777777" w:rsidR="005239CF" w:rsidRDefault="005239CF" w:rsidP="006936C3"/>
    <w:p w14:paraId="3690C72E" w14:textId="77777777" w:rsidR="005239CF" w:rsidRDefault="005239CF" w:rsidP="006936C3"/>
    <w:p w14:paraId="6B35F7F1" w14:textId="77777777" w:rsidR="0000734B" w:rsidRDefault="0000734B" w:rsidP="006936C3"/>
    <w:p w14:paraId="1075B64A" w14:textId="77777777" w:rsidR="0000734B" w:rsidRDefault="0000734B" w:rsidP="006936C3"/>
    <w:p w14:paraId="0EDEF15A" w14:textId="77777777" w:rsidR="0000734B" w:rsidRDefault="0000734B" w:rsidP="006936C3"/>
    <w:p w14:paraId="19DDD394" w14:textId="77777777" w:rsidR="009C186F" w:rsidRDefault="009C186F" w:rsidP="006936C3"/>
    <w:p w14:paraId="6E0A8BFC" w14:textId="77777777" w:rsidR="00474F7F" w:rsidRDefault="00474F7F" w:rsidP="006936C3"/>
    <w:p w14:paraId="25A93DBB" w14:textId="77777777" w:rsidR="00B835D6" w:rsidRDefault="00C267A6" w:rsidP="006936C3">
      <w:r>
        <w:rPr>
          <w:noProof/>
          <w:lang w:eastAsia="cs-CZ"/>
        </w:rPr>
        <mc:AlternateContent>
          <mc:Choice Requires="wps">
            <w:drawing>
              <wp:anchor distT="0" distB="0" distL="114300" distR="114300" simplePos="0" relativeHeight="251680768" behindDoc="0" locked="0" layoutInCell="1" allowOverlap="1" wp14:anchorId="0EE804AC" wp14:editId="7607E5B7">
                <wp:simplePos x="0" y="0"/>
                <wp:positionH relativeFrom="margin">
                  <wp:align>right</wp:align>
                </wp:positionH>
                <wp:positionV relativeFrom="page">
                  <wp:posOffset>7448550</wp:posOffset>
                </wp:positionV>
                <wp:extent cx="2827020" cy="575945"/>
                <wp:effectExtent l="0" t="0" r="0" b="0"/>
                <wp:wrapNone/>
                <wp:docPr id="31" name="Obdélník 31"/>
                <wp:cNvGraphicFramePr/>
                <a:graphic xmlns:a="http://schemas.openxmlformats.org/drawingml/2006/main">
                  <a:graphicData uri="http://schemas.microsoft.com/office/word/2010/wordprocessingShape">
                    <wps:wsp>
                      <wps:cNvSpPr/>
                      <wps:spPr>
                        <a:xfrm>
                          <a:off x="0" y="0"/>
                          <a:ext cx="2827020" cy="5759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7AA16A" w14:textId="77777777" w:rsidR="000F102D" w:rsidRPr="00474F7F" w:rsidRDefault="000F102D" w:rsidP="00474F7F">
                            <w:pPr>
                              <w:jc w:val="center"/>
                              <w:rPr>
                                <w:b/>
                                <w:color w:val="000000" w:themeColor="text1"/>
                                <w14:textOutline w14:w="9525" w14:cap="rnd" w14:cmpd="sng" w14:algn="ctr">
                                  <w14:noFill/>
                                  <w14:prstDash w14:val="solid"/>
                                  <w14:bevel/>
                                </w14:textOutline>
                              </w:rPr>
                            </w:pPr>
                            <w:r w:rsidRPr="00474F7F">
                              <w:rPr>
                                <w:b/>
                                <w:color w:val="000000" w:themeColor="text1"/>
                                <w14:textOutline w14:w="9525" w14:cap="rnd" w14:cmpd="sng" w14:algn="ctr">
                                  <w14:noFill/>
                                  <w14:prstDash w14:val="solid"/>
                                  <w14:bevel/>
                                </w14:textOutline>
                              </w:rPr>
                              <w:t xml:space="preserve">obvyklý počet uchazečů </w:t>
                            </w:r>
                            <w:r w:rsidRPr="00474F7F">
                              <w:rPr>
                                <w:color w:val="000000" w:themeColor="text1"/>
                                <w14:textOutline w14:w="9525" w14:cap="rnd" w14:cmpd="sng" w14:algn="ctr">
                                  <w14:noFill/>
                                  <w14:prstDash w14:val="solid"/>
                                  <w14:bevel/>
                                </w14:textOutline>
                              </w:rPr>
                              <w:t>v zadávacích řízeních na dodavatele stavebních prací</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04AC" id="Obdélník 31" o:spid="_x0000_s1038" style="position:absolute;left:0;text-align:left;margin-left:171.4pt;margin-top:586.5pt;width:222.6pt;height:45.3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" filled="f" stroked="f" strokeweight="1pt">
                <v:textbox inset="1mm,0,1mm,0">
                  <w:txbxContent>
                    <w:p w14:paraId="327AA16A" w14:textId="77777777" w:rsidR="000F102D" w:rsidRPr="00474F7F" w:rsidRDefault="000F102D" w:rsidP="00474F7F">
                      <w:pPr>
                        <w:jc w:val="center"/>
                        <w:rPr>
                          <w:b/>
                          <w:color w:val="000000" w:themeColor="text1"/>
                          <w14:textOutline w14:w="9525" w14:cap="rnd" w14:cmpd="sng" w14:algn="ctr">
                            <w14:noFill/>
                            <w14:prstDash w14:val="solid"/>
                            <w14:bevel/>
                          </w14:textOutline>
                        </w:rPr>
                      </w:pPr>
                      <w:r w:rsidRPr="00474F7F">
                        <w:rPr>
                          <w:b/>
                          <w:color w:val="000000" w:themeColor="text1"/>
                          <w14:textOutline w14:w="9525" w14:cap="rnd" w14:cmpd="sng" w14:algn="ctr">
                            <w14:noFill/>
                            <w14:prstDash w14:val="solid"/>
                            <w14:bevel/>
                          </w14:textOutline>
                        </w:rPr>
                        <w:t xml:space="preserve">obvyklý počet uchazečů </w:t>
                      </w:r>
                      <w:r w:rsidRPr="00474F7F">
                        <w:rPr>
                          <w:color w:val="000000" w:themeColor="text1"/>
                          <w14:textOutline w14:w="9525" w14:cap="rnd" w14:cmpd="sng" w14:algn="ctr">
                            <w14:noFill/>
                            <w14:prstDash w14:val="solid"/>
                            <w14:bevel/>
                          </w14:textOutline>
                        </w:rPr>
                        <w:t>v zadávacích řízeních na dodavatele stavebních prací</w:t>
                      </w:r>
                    </w:p>
                  </w:txbxContent>
                </v:textbox>
                <w10:wrap anchorx="margin" anchory="page"/>
              </v:rect>
            </w:pict>
          </mc:Fallback>
        </mc:AlternateContent>
      </w:r>
      <w:r>
        <w:rPr>
          <w:noProof/>
          <w:lang w:eastAsia="cs-CZ"/>
        </w:rPr>
        <mc:AlternateContent>
          <mc:Choice Requires="wps">
            <w:drawing>
              <wp:anchor distT="0" distB="0" distL="114300" distR="114300" simplePos="0" relativeHeight="251672576" behindDoc="0" locked="0" layoutInCell="1" allowOverlap="1" wp14:anchorId="28049644" wp14:editId="5305810C">
                <wp:simplePos x="0" y="0"/>
                <wp:positionH relativeFrom="margin">
                  <wp:align>left</wp:align>
                </wp:positionH>
                <wp:positionV relativeFrom="page">
                  <wp:posOffset>7448550</wp:posOffset>
                </wp:positionV>
                <wp:extent cx="2827020" cy="575945"/>
                <wp:effectExtent l="0" t="0" r="11430" b="14605"/>
                <wp:wrapNone/>
                <wp:docPr id="27" name="Zaoblený obdélník 27"/>
                <wp:cNvGraphicFramePr/>
                <a:graphic xmlns:a="http://schemas.openxmlformats.org/drawingml/2006/main">
                  <a:graphicData uri="http://schemas.microsoft.com/office/word/2010/wordprocessingShape">
                    <wps:wsp>
                      <wps:cNvSpPr/>
                      <wps:spPr>
                        <a:xfrm>
                          <a:off x="0" y="0"/>
                          <a:ext cx="2827020" cy="575945"/>
                        </a:xfrm>
                        <a:prstGeom prst="roundRect">
                          <a:avLst/>
                        </a:prstGeom>
                        <a:solidFill>
                          <a:srgbClr val="2ABD33"/>
                        </a:solidFill>
                        <a:ln>
                          <a:solidFill>
                            <a:srgbClr val="2ABD3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C8F2E" w14:textId="12913263" w:rsidR="000F102D" w:rsidRPr="0000734B" w:rsidRDefault="000F102D" w:rsidP="0000734B">
                            <w:pPr>
                              <w:jc w:val="center"/>
                              <w:rPr>
                                <w:b/>
                                <w:sz w:val="40"/>
                                <w:szCs w:val="48"/>
                              </w:rPr>
                            </w:pPr>
                            <w:r w:rsidRPr="0000734B">
                              <w:rPr>
                                <w:b/>
                                <w:sz w:val="40"/>
                                <w:szCs w:val="48"/>
                              </w:rPr>
                              <w:t xml:space="preserve">8 </w:t>
                            </w:r>
                            <w:r>
                              <w:rPr>
                                <w:b/>
                                <w:sz w:val="40"/>
                                <w:szCs w:val="48"/>
                              </w:rPr>
                              <w:t>až</w:t>
                            </w:r>
                            <w:r w:rsidRPr="0000734B">
                              <w:rPr>
                                <w:b/>
                                <w:sz w:val="40"/>
                                <w:szCs w:val="48"/>
                              </w:rPr>
                              <w:t xml:space="preserve"> 12</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049644" id="Zaoblený obdélník 27" o:spid="_x0000_s1039" style="position:absolute;left:0;text-align:left;margin-left:0;margin-top:586.5pt;width:222.6pt;height:45.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" fillcolor="#2abd33" strokecolor="#2abd33" strokeweight="1pt">
                <v:stroke joinstyle="miter"/>
                <v:textbox inset="1mm,0,1mm,0">
                  <w:txbxContent>
                    <w:p w14:paraId="7E3C8F2E" w14:textId="12913263" w:rsidR="000F102D" w:rsidRPr="0000734B" w:rsidRDefault="000F102D" w:rsidP="0000734B">
                      <w:pPr>
                        <w:jc w:val="center"/>
                        <w:rPr>
                          <w:b/>
                          <w:sz w:val="40"/>
                          <w:szCs w:val="48"/>
                        </w:rPr>
                      </w:pPr>
                      <w:r w:rsidRPr="0000734B">
                        <w:rPr>
                          <w:b/>
                          <w:sz w:val="40"/>
                          <w:szCs w:val="48"/>
                        </w:rPr>
                        <w:t xml:space="preserve">8 </w:t>
                      </w:r>
                      <w:r>
                        <w:rPr>
                          <w:b/>
                          <w:sz w:val="40"/>
                          <w:szCs w:val="48"/>
                        </w:rPr>
                        <w:t>až</w:t>
                      </w:r>
                      <w:r w:rsidRPr="0000734B">
                        <w:rPr>
                          <w:b/>
                          <w:sz w:val="40"/>
                          <w:szCs w:val="48"/>
                        </w:rPr>
                        <w:t xml:space="preserve"> 12</w:t>
                      </w:r>
                    </w:p>
                  </w:txbxContent>
                </v:textbox>
                <w10:wrap anchorx="margin" anchory="page"/>
              </v:roundrect>
            </w:pict>
          </mc:Fallback>
        </mc:AlternateContent>
      </w:r>
    </w:p>
    <w:p w14:paraId="68B1FA16" w14:textId="77777777" w:rsidR="00C24180" w:rsidRDefault="00C24180" w:rsidP="006936C3"/>
    <w:p w14:paraId="0ED3FEF4" w14:textId="77777777" w:rsidR="00C24180" w:rsidRDefault="00C24180" w:rsidP="006936C3"/>
    <w:p w14:paraId="75E88BC3" w14:textId="77777777" w:rsidR="00C24180" w:rsidRDefault="00C24180" w:rsidP="006936C3"/>
    <w:p w14:paraId="7546AFB9" w14:textId="77777777" w:rsidR="00B835D6" w:rsidRDefault="00B835D6" w:rsidP="006936C3"/>
    <w:p w14:paraId="33D03E06" w14:textId="77777777" w:rsidR="00B835D6" w:rsidRDefault="00B835D6" w:rsidP="006936C3"/>
    <w:p w14:paraId="56E842B9" w14:textId="77777777" w:rsidR="00700AD1" w:rsidRDefault="00700AD1">
      <w:pPr>
        <w:spacing w:after="160" w:line="259" w:lineRule="auto"/>
        <w:jc w:val="left"/>
      </w:pPr>
      <w:r>
        <w:br w:type="page"/>
      </w:r>
    </w:p>
    <w:p w14:paraId="2754852E" w14:textId="77777777" w:rsidR="00333CF9" w:rsidRPr="003F3685" w:rsidRDefault="00333CF9" w:rsidP="00333CF9">
      <w:pPr>
        <w:keepNext/>
        <w:spacing w:after="240"/>
        <w:jc w:val="center"/>
        <w:rPr>
          <w:b/>
          <w:sz w:val="28"/>
        </w:rPr>
      </w:pPr>
      <w:r w:rsidRPr="003F3685">
        <w:rPr>
          <w:b/>
          <w:sz w:val="28"/>
        </w:rPr>
        <w:lastRenderedPageBreak/>
        <w:t>I. Shrnutí a vyhodnocení</w:t>
      </w:r>
    </w:p>
    <w:p w14:paraId="7086049C" w14:textId="77777777" w:rsidR="00333CF9" w:rsidRPr="005471AD" w:rsidRDefault="00333CF9" w:rsidP="00333CF9">
      <w:pPr>
        <w:keepNext/>
        <w:spacing w:after="240"/>
      </w:pPr>
      <w:r w:rsidRPr="005471AD">
        <w:t xml:space="preserve">Kontrole byly podrobeny peněžní prostředky vynakládané </w:t>
      </w:r>
      <w:r>
        <w:t>na výstavbu a modernizaci silnic I. třídy</w:t>
      </w:r>
      <w:r w:rsidRPr="005471AD">
        <w:t>. Kontrola byla zaměřena zejména na plnění záměrů vyplývajících z</w:t>
      </w:r>
      <w:r>
        <w:t> koncepčních a </w:t>
      </w:r>
      <w:r w:rsidRPr="005471AD">
        <w:t>strategických materiálů MD a na hospodárnost a účelnost peněžních prostřed</w:t>
      </w:r>
      <w:r>
        <w:t>ků použitých na financování staveb</w:t>
      </w:r>
      <w:r w:rsidRPr="005471AD">
        <w:t>.</w:t>
      </w:r>
    </w:p>
    <w:p w14:paraId="606BB8C6" w14:textId="77777777" w:rsidR="00333CF9" w:rsidRPr="00276359" w:rsidRDefault="00333CF9" w:rsidP="00333CF9">
      <w:pPr>
        <w:pStyle w:val="Odstavecseseznamem"/>
        <w:numPr>
          <w:ilvl w:val="0"/>
          <w:numId w:val="1"/>
        </w:numPr>
        <w:tabs>
          <w:tab w:val="left" w:pos="284"/>
        </w:tabs>
        <w:spacing w:after="240"/>
        <w:ind w:left="0" w:firstLine="0"/>
        <w:contextualSpacing w:val="0"/>
      </w:pPr>
      <w:r w:rsidRPr="00001616">
        <w:rPr>
          <w:b/>
        </w:rPr>
        <w:t>Koncepční záměry výstavby a modernizace silnic I. třídy nebyly plněny.</w:t>
      </w:r>
      <w:r>
        <w:rPr>
          <w:b/>
        </w:rPr>
        <w:t xml:space="preserve"> </w:t>
      </w:r>
      <w:r w:rsidRPr="00001616">
        <w:rPr>
          <w:b/>
        </w:rPr>
        <w:t xml:space="preserve">Nebyly také přednostně realizovány prioritní stavby </w:t>
      </w:r>
      <w:r w:rsidRPr="00B5622E">
        <w:t>(stanovené na základě celospolečenské potřebnosti a efektivnosti vynaložených prostředků)</w:t>
      </w:r>
      <w:r w:rsidRPr="00E55234">
        <w:t>,</w:t>
      </w:r>
      <w:r w:rsidRPr="00001616">
        <w:rPr>
          <w:b/>
        </w:rPr>
        <w:t xml:space="preserve"> ale postupováno bylo dle investiční připravenosti staveb k zahájení realizace.</w:t>
      </w:r>
    </w:p>
    <w:p w14:paraId="1F9C778C" w14:textId="136DE5E0" w:rsidR="00333CF9" w:rsidRPr="008605F5" w:rsidRDefault="00333CF9" w:rsidP="00333CF9">
      <w:pPr>
        <w:spacing w:after="240"/>
      </w:pPr>
      <w:r w:rsidRPr="008605F5">
        <w:t xml:space="preserve">Neplnění koncepčních záměrů bylo především důsledkem zahájení přípravy značného množství staveb v období před ekonomickou krizí, následného nedostatku finančních prostředků na pokračování jejich přípravy a tím nutnosti úsporných opatření, aktualizace projektových dokumentací a opakování správních řízení po obnovení přípravy. </w:t>
      </w:r>
    </w:p>
    <w:p w14:paraId="50A2F3C0" w14:textId="3A4B227A" w:rsidR="00333CF9" w:rsidRPr="008605F5" w:rsidRDefault="00333CF9" w:rsidP="00333CF9">
      <w:pPr>
        <w:spacing w:after="240"/>
      </w:pPr>
      <w:r w:rsidRPr="008605F5">
        <w:t xml:space="preserve">Zastavení realizace vybraných staveb silnic I. třídy mělo negativní vliv nejen na účelnost vynakládaných finančních prostředků (ve smyslu financování výstavby společensky nejpotřebnějších úseků silnic I. třídy), ale také na jejich hospodárnost, </w:t>
      </w:r>
      <w:r w:rsidR="00582EED">
        <w:t>neboť</w:t>
      </w:r>
      <w:r w:rsidRPr="008605F5">
        <w:t xml:space="preserve"> </w:t>
      </w:r>
      <w:r w:rsidRPr="008605F5">
        <w:rPr>
          <w:b/>
        </w:rPr>
        <w:t>ŘSD muselo dodavatelům stavebních prací vyplatit finanční kompenzace ve výši téměř 126 mil. Kč bez DPH</w:t>
      </w:r>
      <w:r w:rsidRPr="008605F5">
        <w:t xml:space="preserve"> za přerušení nebo konzervaci staveb.</w:t>
      </w:r>
    </w:p>
    <w:p w14:paraId="166DE7F1" w14:textId="77777777" w:rsidR="00333CF9" w:rsidRPr="008605F5" w:rsidRDefault="00333CF9" w:rsidP="00333CF9">
      <w:pPr>
        <w:pStyle w:val="Odstavecseseznamem"/>
        <w:numPr>
          <w:ilvl w:val="0"/>
          <w:numId w:val="1"/>
        </w:numPr>
        <w:tabs>
          <w:tab w:val="left" w:pos="284"/>
        </w:tabs>
        <w:spacing w:after="240"/>
        <w:ind w:left="0" w:firstLine="0"/>
        <w:contextualSpacing w:val="0"/>
        <w:rPr>
          <w:b/>
        </w:rPr>
      </w:pPr>
      <w:r w:rsidRPr="008605F5">
        <w:rPr>
          <w:b/>
        </w:rPr>
        <w:t xml:space="preserve">Příprava staveb silnic I. třídy </w:t>
      </w:r>
      <w:r w:rsidRPr="008605F5">
        <w:t>(v období od vydání souhlasného závazného stanoviska k posouzení vlivů provedení záměru na životní prostředí do získání pravomocného stavebního povolení)</w:t>
      </w:r>
      <w:r w:rsidRPr="008605F5">
        <w:rPr>
          <w:b/>
        </w:rPr>
        <w:t xml:space="preserve"> trvala v průměru 12 let. Hlavní příčiny dlouh</w:t>
      </w:r>
      <w:r w:rsidR="002B7C98" w:rsidRPr="008605F5">
        <w:rPr>
          <w:b/>
        </w:rPr>
        <w:t>é doby přípravy staveb se nedařilo</w:t>
      </w:r>
      <w:r w:rsidRPr="008605F5">
        <w:rPr>
          <w:b/>
        </w:rPr>
        <w:t xml:space="preserve"> řešit, vliv přijatých legislativních změn se vzhledem ke krátké době jejich účinnosti ve větší míře dosud neprojevil.</w:t>
      </w:r>
    </w:p>
    <w:p w14:paraId="1167BE34" w14:textId="77777777" w:rsidR="00333CF9" w:rsidRPr="008605F5" w:rsidRDefault="00333CF9" w:rsidP="00333CF9">
      <w:pPr>
        <w:spacing w:after="240"/>
      </w:pPr>
      <w:r w:rsidRPr="008605F5">
        <w:t>Jednalo se zejména o problémy ŘSD spojené se získáváním územních rozhodnutí, majetkoprávním vypořádáním pozemků a získáváním stavebních povolení. V kontrolovaném období také doznívaly důsledky nedostatku finančních zdrojů v období po ekonomické krizi, kdy byly omezeny finanční prostředky na přípravu a realizaci staveb.</w:t>
      </w:r>
    </w:p>
    <w:p w14:paraId="53F88677" w14:textId="7A9B8C58" w:rsidR="00333CF9" w:rsidRPr="008804D5" w:rsidRDefault="002B7C98" w:rsidP="00333CF9">
      <w:pPr>
        <w:pStyle w:val="Odstavecseseznamem"/>
        <w:numPr>
          <w:ilvl w:val="0"/>
          <w:numId w:val="1"/>
        </w:numPr>
        <w:tabs>
          <w:tab w:val="left" w:pos="284"/>
        </w:tabs>
        <w:spacing w:after="240"/>
        <w:ind w:left="0" w:firstLine="0"/>
        <w:contextualSpacing w:val="0"/>
        <w:rPr>
          <w:b/>
        </w:rPr>
      </w:pPr>
      <w:r w:rsidRPr="008605F5">
        <w:rPr>
          <w:b/>
        </w:rPr>
        <w:t xml:space="preserve">Přetrvávaly </w:t>
      </w:r>
      <w:r w:rsidR="00333CF9" w:rsidRPr="008605F5">
        <w:rPr>
          <w:b/>
        </w:rPr>
        <w:t>problémy s převodem silnic I. třídy</w:t>
      </w:r>
      <w:r w:rsidR="00333CF9" w:rsidRPr="008605F5">
        <w:t xml:space="preserve"> (v úsecích</w:t>
      </w:r>
      <w:r w:rsidR="00333CF9" w:rsidRPr="009C186F">
        <w:t>, kde byla vybudována souběžně vedená dálnice nebo přeložka silnice I. třídy)</w:t>
      </w:r>
      <w:r w:rsidR="00333CF9">
        <w:rPr>
          <w:b/>
        </w:rPr>
        <w:t xml:space="preserve"> do vlastnictví krajů, případně obcí.</w:t>
      </w:r>
    </w:p>
    <w:p w14:paraId="004B5834" w14:textId="77777777" w:rsidR="00333CF9" w:rsidRPr="00A522A2" w:rsidRDefault="00333CF9" w:rsidP="00333CF9">
      <w:pPr>
        <w:pStyle w:val="Odstavecseseznamem"/>
        <w:numPr>
          <w:ilvl w:val="0"/>
          <w:numId w:val="1"/>
        </w:numPr>
        <w:tabs>
          <w:tab w:val="left" w:pos="284"/>
        </w:tabs>
        <w:spacing w:after="240"/>
        <w:ind w:left="0" w:firstLine="0"/>
        <w:contextualSpacing w:val="0"/>
        <w:rPr>
          <w:b/>
        </w:rPr>
      </w:pPr>
      <w:r>
        <w:rPr>
          <w:b/>
        </w:rPr>
        <w:t>Parametry a c</w:t>
      </w:r>
      <w:r w:rsidRPr="00A522A2">
        <w:rPr>
          <w:b/>
        </w:rPr>
        <w:t xml:space="preserve">íle </w:t>
      </w:r>
      <w:r>
        <w:rPr>
          <w:b/>
        </w:rPr>
        <w:t>kontrolovaných</w:t>
      </w:r>
      <w:r w:rsidRPr="00A522A2">
        <w:rPr>
          <w:b/>
        </w:rPr>
        <w:t xml:space="preserve"> staveb </w:t>
      </w:r>
      <w:r>
        <w:rPr>
          <w:b/>
        </w:rPr>
        <w:t>silnic I. třídy</w:t>
      </w:r>
      <w:r w:rsidRPr="00A522A2">
        <w:rPr>
          <w:b/>
        </w:rPr>
        <w:t xml:space="preserve"> byly dodrženy</w:t>
      </w:r>
      <w:r>
        <w:rPr>
          <w:b/>
        </w:rPr>
        <w:t>. U staveb zadávaných v kontrolovaném období byly stavební náklady o 30 % nižší oproti ŘSD předpokládané hodnotě v zadávacích řízeních na dodavatele stavebních prací.</w:t>
      </w:r>
    </w:p>
    <w:p w14:paraId="6583759D" w14:textId="77777777" w:rsidR="00333CF9" w:rsidRDefault="00333CF9" w:rsidP="00333CF9">
      <w:pPr>
        <w:spacing w:after="240"/>
      </w:pPr>
      <w:r w:rsidRPr="000F3B6B">
        <w:t xml:space="preserve">Porovnání ocenění vybraných položek jednotkových cen stavebních prací </w:t>
      </w:r>
      <w:r>
        <w:t xml:space="preserve">kontrolovaných staveb </w:t>
      </w:r>
      <w:r w:rsidRPr="000F3B6B">
        <w:t>ukázala, že ceny stanovené závazný</w:t>
      </w:r>
      <w:r>
        <w:t>m</w:t>
      </w:r>
      <w:r w:rsidRPr="000F3B6B">
        <w:t xml:space="preserve"> podklade</w:t>
      </w:r>
      <w:r>
        <w:t>m</w:t>
      </w:r>
      <w:r w:rsidRPr="000F3B6B">
        <w:t xml:space="preserve"> pro oceňování </w:t>
      </w:r>
      <w:r>
        <w:t xml:space="preserve">projektů </w:t>
      </w:r>
      <w:r w:rsidRPr="000F3B6B">
        <w:t xml:space="preserve">staveb </w:t>
      </w:r>
      <w:r>
        <w:t>ne</w:t>
      </w:r>
      <w:r w:rsidRPr="000F3B6B">
        <w:t>byly</w:t>
      </w:r>
      <w:r>
        <w:t xml:space="preserve"> v kontrolovaném období</w:t>
      </w:r>
      <w:r w:rsidRPr="000F3B6B">
        <w:t xml:space="preserve"> </w:t>
      </w:r>
      <w:r w:rsidRPr="00954342">
        <w:t>účinným nástrojem pro hospodárnou realizaci staveb a stanovení předpokládané hodnoty v</w:t>
      </w:r>
      <w:r>
        <w:t> </w:t>
      </w:r>
      <w:r w:rsidRPr="00954342">
        <w:t>zadávacích řízeních na vý</w:t>
      </w:r>
      <w:r>
        <w:t>běr dodavatelů stavebních prací</w:t>
      </w:r>
      <w:r w:rsidRPr="000F3B6B">
        <w:t>.</w:t>
      </w:r>
    </w:p>
    <w:p w14:paraId="7F44071D" w14:textId="77777777" w:rsidR="000A229E" w:rsidRDefault="000A229E" w:rsidP="001446AD"/>
    <w:p w14:paraId="6FD1CE28" w14:textId="77777777" w:rsidR="003F3685" w:rsidRPr="003F3685" w:rsidRDefault="00837A66" w:rsidP="00BE5D1A">
      <w:pPr>
        <w:keepNext/>
        <w:jc w:val="center"/>
        <w:rPr>
          <w:b/>
          <w:sz w:val="28"/>
        </w:rPr>
      </w:pPr>
      <w:r w:rsidRPr="003F3685">
        <w:rPr>
          <w:b/>
          <w:sz w:val="28"/>
        </w:rPr>
        <w:lastRenderedPageBreak/>
        <w:t>II. Informace o kontrolované oblasti</w:t>
      </w:r>
    </w:p>
    <w:p w14:paraId="5EDEC0A7" w14:textId="77777777" w:rsidR="006936C3" w:rsidRDefault="006936C3" w:rsidP="00BE5D1A">
      <w:pPr>
        <w:keepNext/>
      </w:pPr>
    </w:p>
    <w:p w14:paraId="2291A4B5" w14:textId="7DFF4E75" w:rsidR="00016E5B" w:rsidRDefault="00837A66" w:rsidP="006936C3">
      <w:r w:rsidRPr="00AF6F9F">
        <w:rPr>
          <w:b/>
        </w:rPr>
        <w:t>Silnice I. třídy</w:t>
      </w:r>
      <w:r>
        <w:t xml:space="preserve"> jsou </w:t>
      </w:r>
      <w:r w:rsidRPr="00AF6F9F">
        <w:t>veřejně přístupn</w:t>
      </w:r>
      <w:r>
        <w:t>é</w:t>
      </w:r>
      <w:r w:rsidRPr="00AF6F9F">
        <w:t xml:space="preserve"> pozemní komunikace</w:t>
      </w:r>
      <w:r>
        <w:t xml:space="preserve"> určené</w:t>
      </w:r>
      <w:r w:rsidRPr="00AF6F9F">
        <w:t xml:space="preserve"> zejména pr</w:t>
      </w:r>
      <w:r>
        <w:t xml:space="preserve">o dálkovou a mezistátní dopravu. </w:t>
      </w:r>
      <w:r w:rsidRPr="00AF6F9F">
        <w:t>Vlastníkem silnic I. třídy je stát.</w:t>
      </w:r>
      <w:r>
        <w:rPr>
          <w:rStyle w:val="Znakapoznpodarou"/>
        </w:rPr>
        <w:footnoteReference w:id="1"/>
      </w:r>
      <w:r>
        <w:t xml:space="preserve"> </w:t>
      </w:r>
      <w:r w:rsidR="004036DA">
        <w:t xml:space="preserve">Síť silnic I. třídy je tvořena 69 silnicemi o celkové délce </w:t>
      </w:r>
      <w:r w:rsidR="004036DA" w:rsidRPr="004036DA">
        <w:rPr>
          <w:b/>
        </w:rPr>
        <w:t>5 824,240 km</w:t>
      </w:r>
      <w:r w:rsidR="004036DA">
        <w:t xml:space="preserve"> (údaj platný v době kontroly ke dni 1. 7. 2018)</w:t>
      </w:r>
      <w:r w:rsidRPr="00016E5B">
        <w:t xml:space="preserve">, </w:t>
      </w:r>
      <w:r>
        <w:t>a to včetně úseků silnic I. třídy dočasně evidova</w:t>
      </w:r>
      <w:r w:rsidRPr="00016E5B">
        <w:t>n</w:t>
      </w:r>
      <w:r>
        <w:t>ých</w:t>
      </w:r>
      <w:r w:rsidRPr="00016E5B">
        <w:t xml:space="preserve"> do doby majetkového předání následným vlastníkům </w:t>
      </w:r>
      <w:r>
        <w:t>(kraje, obce).</w:t>
      </w:r>
    </w:p>
    <w:p w14:paraId="486865A8" w14:textId="77777777" w:rsidR="009525B3" w:rsidRDefault="009525B3" w:rsidP="006936C3"/>
    <w:p w14:paraId="6810B6D2" w14:textId="77777777" w:rsidR="00016E5B" w:rsidRDefault="00837A66" w:rsidP="006936C3">
      <w:r>
        <w:t xml:space="preserve">Dle údajů ŘSD bylo na </w:t>
      </w:r>
      <w:r w:rsidR="00077DF6">
        <w:t xml:space="preserve">výstavbu silnic I. třídy v kontrolovaném období vynaloženo </w:t>
      </w:r>
      <w:r w:rsidR="00E7650E">
        <w:t>24,</w:t>
      </w:r>
      <w:r w:rsidR="00BE5D1A">
        <w:t>6</w:t>
      </w:r>
      <w:r w:rsidR="00077DF6">
        <w:t xml:space="preserve"> mld.</w:t>
      </w:r>
      <w:r w:rsidR="00E7650E">
        <w:t xml:space="preserve"> Kč vč. DPH, z toho </w:t>
      </w:r>
      <w:r w:rsidR="00E7650E" w:rsidRPr="00E7650E">
        <w:t>11</w:t>
      </w:r>
      <w:r w:rsidR="00E7650E">
        <w:t>,</w:t>
      </w:r>
      <w:r w:rsidR="00E7650E" w:rsidRPr="00E7650E">
        <w:t>7</w:t>
      </w:r>
      <w:r w:rsidR="00E7650E">
        <w:t xml:space="preserve"> mld. Kč z rozpočtu SFDI, </w:t>
      </w:r>
      <w:r w:rsidR="00E7650E" w:rsidRPr="00E7650E">
        <w:t>12</w:t>
      </w:r>
      <w:r w:rsidR="00E7650E">
        <w:t>,</w:t>
      </w:r>
      <w:r w:rsidR="00BE5D1A">
        <w:t>6</w:t>
      </w:r>
      <w:r w:rsidR="00E7650E">
        <w:t xml:space="preserve"> mld. </w:t>
      </w:r>
      <w:r w:rsidR="00D04DA2">
        <w:t>Kč z prostředků Evropské unie a </w:t>
      </w:r>
      <w:r w:rsidR="00E7650E">
        <w:t>0,</w:t>
      </w:r>
      <w:r w:rsidR="00BE5D1A">
        <w:t>3</w:t>
      </w:r>
      <w:r w:rsidR="00D04DA2">
        <w:t> </w:t>
      </w:r>
      <w:r w:rsidR="00E7650E">
        <w:t>mld. Kč z</w:t>
      </w:r>
      <w:r w:rsidR="00BE5D1A">
        <w:t xml:space="preserve"> úvěru </w:t>
      </w:r>
      <w:r w:rsidR="003C2391" w:rsidRPr="003C2391">
        <w:t>poskytnutého Evropskou investiční bankou</w:t>
      </w:r>
      <w:r w:rsidR="00BE5D1A">
        <w:t>.</w:t>
      </w:r>
    </w:p>
    <w:p w14:paraId="6442797E" w14:textId="77777777" w:rsidR="006936C3" w:rsidRDefault="006936C3" w:rsidP="006936C3"/>
    <w:p w14:paraId="653BC37E" w14:textId="77777777" w:rsidR="006936C3" w:rsidRPr="001408A9" w:rsidRDefault="00837A66" w:rsidP="001408A9">
      <w:pPr>
        <w:rPr>
          <w:b/>
        </w:rPr>
      </w:pPr>
      <w:r w:rsidRPr="001408A9">
        <w:rPr>
          <w:b/>
        </w:rPr>
        <w:t>Vymezení kontrolovaných osob:</w:t>
      </w:r>
    </w:p>
    <w:p w14:paraId="40C7A81E" w14:textId="6533CB8A" w:rsidR="006936C3" w:rsidRDefault="00837A66" w:rsidP="00735870">
      <w:pPr>
        <w:ind w:left="142" w:hanging="142"/>
      </w:pPr>
      <w:r>
        <w:t>-</w:t>
      </w:r>
      <w:r>
        <w:tab/>
      </w:r>
      <w:r w:rsidRPr="00735870">
        <w:rPr>
          <w:b/>
        </w:rPr>
        <w:t>MD</w:t>
      </w:r>
      <w:r>
        <w:t xml:space="preserve"> </w:t>
      </w:r>
      <w:r w:rsidR="00814EBE">
        <w:t xml:space="preserve">jako ústřední orgán státní správy </w:t>
      </w:r>
      <w:r w:rsidRPr="00735870">
        <w:t>odpovídalo za tvorbu dopravní politiky a v rozsahu své působnosti za její uskutečňování</w:t>
      </w:r>
      <w:r w:rsidR="00814EBE">
        <w:t>,</w:t>
      </w:r>
      <w:r w:rsidRPr="00735870">
        <w:t xml:space="preserve"> </w:t>
      </w:r>
      <w:r w:rsidR="00814EBE">
        <w:t>k tomu</w:t>
      </w:r>
      <w:r w:rsidR="00582EED">
        <w:t>to</w:t>
      </w:r>
      <w:r w:rsidR="00814EBE">
        <w:t xml:space="preserve"> účelu z</w:t>
      </w:r>
      <w:r w:rsidRPr="00735870">
        <w:t xml:space="preserve">pracovalo koncepční a další strategické materiály. </w:t>
      </w:r>
      <w:r w:rsidR="00CF7EC3">
        <w:t>S</w:t>
      </w:r>
      <w:r w:rsidRPr="00735870">
        <w:t xml:space="preserve">chvalovalo k financování z rozpočtu SFDI akce týkající se </w:t>
      </w:r>
      <w:r w:rsidR="00CF7EC3">
        <w:t>výstavby a modernizace silnic I. třídy</w:t>
      </w:r>
      <w:r w:rsidRPr="00735870">
        <w:t xml:space="preserve">. Bylo řídicím orgánem operačních programů </w:t>
      </w:r>
      <w:r w:rsidRPr="00497FB4">
        <w:rPr>
          <w:i/>
        </w:rPr>
        <w:t>Doprava</w:t>
      </w:r>
      <w:r w:rsidRPr="00735870">
        <w:t xml:space="preserve">. </w:t>
      </w:r>
    </w:p>
    <w:p w14:paraId="46895D97" w14:textId="7AF2914F" w:rsidR="00CF7EC3" w:rsidRDefault="00837A66" w:rsidP="00A04C47">
      <w:pPr>
        <w:spacing w:before="60"/>
        <w:ind w:left="142" w:hanging="142"/>
      </w:pPr>
      <w:r>
        <w:t>-</w:t>
      </w:r>
      <w:r>
        <w:tab/>
      </w:r>
      <w:r w:rsidRPr="00CF7EC3">
        <w:rPr>
          <w:b/>
        </w:rPr>
        <w:t>SFDI</w:t>
      </w:r>
      <w:r w:rsidR="00582EED">
        <w:rPr>
          <w:b/>
        </w:rPr>
        <w:t>,</w:t>
      </w:r>
      <w:r w:rsidRPr="00CF7EC3">
        <w:t xml:space="preserve"> </w:t>
      </w:r>
      <w:r w:rsidR="00814EBE">
        <w:t>zřízený zákonem č. 104/2000 Sb.</w:t>
      </w:r>
      <w:r>
        <w:rPr>
          <w:rStyle w:val="Znakapoznpodarou"/>
        </w:rPr>
        <w:footnoteReference w:id="2"/>
      </w:r>
      <w:r w:rsidR="00582EED">
        <w:t>,</w:t>
      </w:r>
      <w:r w:rsidR="00814EBE">
        <w:t xml:space="preserve"> </w:t>
      </w:r>
      <w:r w:rsidRPr="00CF7EC3">
        <w:t xml:space="preserve">odpovídal za financování akcí týkajících </w:t>
      </w:r>
      <w:r w:rsidRPr="00735870">
        <w:t xml:space="preserve">se </w:t>
      </w:r>
      <w:r w:rsidR="00D04DA2">
        <w:t>výstavby a </w:t>
      </w:r>
      <w:r>
        <w:t>modernizace silnic I. třídy</w:t>
      </w:r>
      <w:r w:rsidRPr="00CF7EC3">
        <w:t xml:space="preserve">. Byl zprostředkujícím subjektem operačních programů </w:t>
      </w:r>
      <w:r w:rsidRPr="00497FB4">
        <w:rPr>
          <w:i/>
        </w:rPr>
        <w:t>Doprava</w:t>
      </w:r>
      <w:r w:rsidRPr="00CF7EC3">
        <w:t>.</w:t>
      </w:r>
    </w:p>
    <w:p w14:paraId="1ED849C4" w14:textId="5CD4FD6B" w:rsidR="00CF7EC3" w:rsidRDefault="00837A66" w:rsidP="00A04C47">
      <w:pPr>
        <w:spacing w:before="60"/>
        <w:ind w:left="142" w:hanging="142"/>
      </w:pPr>
      <w:r>
        <w:t>-</w:t>
      </w:r>
      <w:r>
        <w:tab/>
      </w:r>
      <w:r w:rsidRPr="00CF7EC3">
        <w:rPr>
          <w:b/>
        </w:rPr>
        <w:t>ŘSD</w:t>
      </w:r>
      <w:r w:rsidRPr="00CF7EC3">
        <w:t xml:space="preserve"> je státní příspěvková organizace,</w:t>
      </w:r>
      <w:r w:rsidR="00814EBE">
        <w:t xml:space="preserve"> zřízená MD.</w:t>
      </w:r>
      <w:r w:rsidRPr="00CF7EC3">
        <w:t xml:space="preserve"> </w:t>
      </w:r>
      <w:r w:rsidR="00814EBE">
        <w:t>P</w:t>
      </w:r>
      <w:r w:rsidRPr="00CF7EC3">
        <w:t>rostřednictvím Generálního ředitelství, dvou závodů a 11 správ vykonáv</w:t>
      </w:r>
      <w:r>
        <w:t>al</w:t>
      </w:r>
      <w:r w:rsidR="00814EBE">
        <w:t>o</w:t>
      </w:r>
      <w:r w:rsidRPr="00CF7EC3">
        <w:t xml:space="preserve"> </w:t>
      </w:r>
      <w:r>
        <w:t xml:space="preserve">veškeré </w:t>
      </w:r>
      <w:r w:rsidRPr="00CF7EC3">
        <w:t>investorsk</w:t>
      </w:r>
      <w:r>
        <w:t>é</w:t>
      </w:r>
      <w:r w:rsidRPr="00CF7EC3">
        <w:t xml:space="preserve"> činnost</w:t>
      </w:r>
      <w:r>
        <w:t>i</w:t>
      </w:r>
      <w:r w:rsidRPr="00CF7EC3">
        <w:t xml:space="preserve"> akcí týkajících </w:t>
      </w:r>
      <w:r w:rsidRPr="00735870">
        <w:t xml:space="preserve">se </w:t>
      </w:r>
      <w:r>
        <w:t>výstavby a modernizace silnic I. třídy</w:t>
      </w:r>
      <w:r w:rsidRPr="00CF7EC3">
        <w:t>. Kontrola u</w:t>
      </w:r>
      <w:r w:rsidR="00582EED">
        <w:t xml:space="preserve"> </w:t>
      </w:r>
      <w:r w:rsidRPr="00CF7EC3">
        <w:t>ŘSD byla provedena na Generálním ředitelství a</w:t>
      </w:r>
      <w:r w:rsidR="00AF650A">
        <w:t> </w:t>
      </w:r>
      <w:r w:rsidRPr="00CF7EC3">
        <w:t>správách</w:t>
      </w:r>
      <w:r>
        <w:t xml:space="preserve"> Jihlava, Liberec, Olomouc, Ostrava a Pardubice.</w:t>
      </w:r>
    </w:p>
    <w:p w14:paraId="6A92AADC" w14:textId="77777777" w:rsidR="006936C3" w:rsidRDefault="006936C3" w:rsidP="006936C3"/>
    <w:p w14:paraId="17B19EC7" w14:textId="77777777" w:rsidR="003F3685" w:rsidRDefault="003F3685" w:rsidP="006936C3"/>
    <w:p w14:paraId="1424FE81" w14:textId="77777777" w:rsidR="003F3685" w:rsidRPr="003F3685" w:rsidRDefault="00837A66" w:rsidP="00312BC8">
      <w:pPr>
        <w:keepNext/>
        <w:jc w:val="center"/>
        <w:rPr>
          <w:b/>
          <w:sz w:val="28"/>
        </w:rPr>
      </w:pPr>
      <w:r w:rsidRPr="003F3685">
        <w:rPr>
          <w:b/>
          <w:sz w:val="28"/>
        </w:rPr>
        <w:t>III. Rozsah kontroly</w:t>
      </w:r>
    </w:p>
    <w:p w14:paraId="6A4455E8" w14:textId="77777777" w:rsidR="003F3685" w:rsidRDefault="003F3685" w:rsidP="00312BC8">
      <w:pPr>
        <w:keepNext/>
      </w:pPr>
    </w:p>
    <w:p w14:paraId="5AA08437" w14:textId="77777777" w:rsidR="00591B3C" w:rsidRDefault="00837A66" w:rsidP="006936C3">
      <w:r>
        <w:t>Předmětem kontroly NKÚ byly peněžní prostředky vynakládané na výstavbu a modernizaci silnic I. třídy. Prověřováno zejména bylo, zda:</w:t>
      </w:r>
    </w:p>
    <w:p w14:paraId="5AFD1123" w14:textId="77777777" w:rsidR="00591B3C" w:rsidRDefault="00837A66" w:rsidP="00591B3C">
      <w:pPr>
        <w:ind w:left="142" w:hanging="142"/>
      </w:pPr>
      <w:r>
        <w:t>-</w:t>
      </w:r>
      <w:r>
        <w:tab/>
        <w:t>byly plněny záměry a priority výstavby silnic I. třídy,</w:t>
      </w:r>
    </w:p>
    <w:p w14:paraId="39875FC8" w14:textId="77777777" w:rsidR="00591B3C" w:rsidRDefault="00837A66" w:rsidP="00591B3C">
      <w:pPr>
        <w:ind w:left="142" w:hanging="142"/>
      </w:pPr>
      <w:r>
        <w:t>-</w:t>
      </w:r>
      <w:r>
        <w:tab/>
        <w:t xml:space="preserve">systém poskytování peněžních prostředků </w:t>
      </w:r>
      <w:r w:rsidRPr="00591B3C">
        <w:t>určených na výstavbu a modernizaci silnic I. třídy (včetně způsobu výběru staveb k realizaci) zajišť</w:t>
      </w:r>
      <w:r>
        <w:t>oval</w:t>
      </w:r>
      <w:r w:rsidRPr="00591B3C">
        <w:t xml:space="preserve"> jejich hospodárné a účelné využití</w:t>
      </w:r>
      <w:r>
        <w:t>,</w:t>
      </w:r>
    </w:p>
    <w:p w14:paraId="19723CFF" w14:textId="77777777" w:rsidR="00591B3C" w:rsidRDefault="00837A66" w:rsidP="00591B3C">
      <w:pPr>
        <w:ind w:left="142" w:hanging="142"/>
      </w:pPr>
      <w:r>
        <w:t>-</w:t>
      </w:r>
      <w:r>
        <w:tab/>
        <w:t>byly při realizaci staveb dosaženy stanovené cíle a parametry s odpovídajícími náklady.</w:t>
      </w:r>
    </w:p>
    <w:p w14:paraId="4E9AC519" w14:textId="77777777" w:rsidR="00591B3C" w:rsidRDefault="00591B3C" w:rsidP="00591B3C">
      <w:pPr>
        <w:ind w:left="142" w:hanging="142"/>
      </w:pPr>
    </w:p>
    <w:p w14:paraId="22882E58" w14:textId="76A8A80F" w:rsidR="003F3685" w:rsidRDefault="00D874D2" w:rsidP="006936C3">
      <w:r w:rsidRPr="00D874D2">
        <w:t>Kontrola postupu ŘSD při přípravě a realizaci staveb byla provedena na vzorku 10</w:t>
      </w:r>
      <w:r>
        <w:t xml:space="preserve"> staveb</w:t>
      </w:r>
      <w:r w:rsidR="00666362">
        <w:t xml:space="preserve">, </w:t>
      </w:r>
      <w:r w:rsidR="00582EED">
        <w:br/>
      </w:r>
      <w:r w:rsidR="00666362">
        <w:t xml:space="preserve">které byly stavebně realizovány </w:t>
      </w:r>
      <w:r w:rsidR="003C6DEA">
        <w:t>v kontrolovaném období let 2013–</w:t>
      </w:r>
      <w:r w:rsidR="00666362">
        <w:t xml:space="preserve">2018, s celkovými náklady ve výši </w:t>
      </w:r>
      <w:r w:rsidR="00666362" w:rsidRPr="00666362">
        <w:t>8</w:t>
      </w:r>
      <w:r w:rsidR="00582EED">
        <w:t> </w:t>
      </w:r>
      <w:r w:rsidR="00666362" w:rsidRPr="00666362">
        <w:t>251,</w:t>
      </w:r>
      <w:r w:rsidR="00666362">
        <w:t>8</w:t>
      </w:r>
      <w:r w:rsidR="00582EED">
        <w:t> </w:t>
      </w:r>
      <w:r w:rsidR="00666362">
        <w:t>mil.</w:t>
      </w:r>
      <w:r w:rsidR="00582EED">
        <w:t> </w:t>
      </w:r>
      <w:r w:rsidR="00666362">
        <w:t>Kč vč. DPH (</w:t>
      </w:r>
      <w:r w:rsidR="00582EED">
        <w:t xml:space="preserve">viz </w:t>
      </w:r>
      <w:r w:rsidR="00666362">
        <w:t>příloha č. 1). V rámci těchto staveb bylo vybudováno a</w:t>
      </w:r>
      <w:r w:rsidR="00582EED">
        <w:t> </w:t>
      </w:r>
      <w:r w:rsidR="00666362">
        <w:t>modern</w:t>
      </w:r>
      <w:r w:rsidR="007B2986">
        <w:t>izováno celkem 41 km silnic I. </w:t>
      </w:r>
      <w:r w:rsidR="00666362">
        <w:t>třídy.</w:t>
      </w:r>
    </w:p>
    <w:p w14:paraId="5D66ACC6" w14:textId="77777777" w:rsidR="00666362" w:rsidRDefault="00666362" w:rsidP="00023776">
      <w:pPr>
        <w:spacing w:after="160" w:line="259" w:lineRule="auto"/>
        <w:jc w:val="left"/>
      </w:pPr>
    </w:p>
    <w:p w14:paraId="46FF1AB8" w14:textId="77777777" w:rsidR="003F3685" w:rsidRPr="003F3685" w:rsidRDefault="00837A66" w:rsidP="00D874D2">
      <w:pPr>
        <w:keepNext/>
        <w:jc w:val="center"/>
        <w:rPr>
          <w:b/>
          <w:sz w:val="28"/>
        </w:rPr>
      </w:pPr>
      <w:r w:rsidRPr="003F3685">
        <w:rPr>
          <w:b/>
          <w:sz w:val="28"/>
        </w:rPr>
        <w:lastRenderedPageBreak/>
        <w:t>IV. Podrobné skutečnosti zjištěné kontrolou</w:t>
      </w:r>
    </w:p>
    <w:p w14:paraId="43B0E92C" w14:textId="77777777" w:rsidR="003F3685" w:rsidRDefault="003F3685" w:rsidP="00D874D2">
      <w:pPr>
        <w:keepNext/>
      </w:pPr>
    </w:p>
    <w:p w14:paraId="74EE1F23" w14:textId="77777777" w:rsidR="003F3685" w:rsidRPr="00884246" w:rsidRDefault="00837A66" w:rsidP="00D874D2">
      <w:pPr>
        <w:keepNext/>
        <w:rPr>
          <w:b/>
        </w:rPr>
      </w:pPr>
      <w:r w:rsidRPr="00884246">
        <w:rPr>
          <w:b/>
        </w:rPr>
        <w:t xml:space="preserve">1. </w:t>
      </w:r>
      <w:r w:rsidR="00104C75">
        <w:rPr>
          <w:b/>
        </w:rPr>
        <w:t>Koncepce a stanovení záměrů a priorit výstavby a modernizace silnic I. třídy</w:t>
      </w:r>
    </w:p>
    <w:p w14:paraId="6E2D7FF7" w14:textId="77777777" w:rsidR="008348B9" w:rsidRDefault="008348B9" w:rsidP="00D874D2">
      <w:pPr>
        <w:keepNext/>
      </w:pPr>
    </w:p>
    <w:p w14:paraId="6293297B" w14:textId="6225D982" w:rsidR="008348B9" w:rsidRDefault="00837A66" w:rsidP="006936C3">
      <w:r w:rsidRPr="004036DA">
        <w:rPr>
          <w:b/>
        </w:rPr>
        <w:t>1.1</w:t>
      </w:r>
      <w:r w:rsidR="00ED016D">
        <w:rPr>
          <w:b/>
        </w:rPr>
        <w:t xml:space="preserve"> </w:t>
      </w:r>
      <w:r w:rsidR="00104C75">
        <w:t>V </w:t>
      </w:r>
      <w:r w:rsidR="00104C75" w:rsidRPr="00104C75">
        <w:t xml:space="preserve">roce 2013 byly vládou ČR schváleny dva klíčové národní strategické dokumenty, a to </w:t>
      </w:r>
      <w:r w:rsidR="00104C75" w:rsidRPr="00497FB4">
        <w:rPr>
          <w:i/>
        </w:rPr>
        <w:t>Dopravní politika ČR pro období let 2014 až 2020 s výhledem do roku 2050</w:t>
      </w:r>
      <w:r w:rsidR="00104C75" w:rsidRPr="00104C75">
        <w:t xml:space="preserve"> (dále jen „Dopravní politika“), </w:t>
      </w:r>
      <w:r w:rsidR="00B32C10">
        <w:t xml:space="preserve">schválena </w:t>
      </w:r>
      <w:r w:rsidR="00104C75" w:rsidRPr="00104C75">
        <w:t>usnesením vlády ze dne 12. 6. 2013 č. 449</w:t>
      </w:r>
      <w:r>
        <w:rPr>
          <w:rStyle w:val="Znakapoznpodarou"/>
        </w:rPr>
        <w:footnoteReference w:id="3"/>
      </w:r>
      <w:r w:rsidR="00B32C10">
        <w:t>,</w:t>
      </w:r>
      <w:r w:rsidR="00104C75" w:rsidRPr="00104C75">
        <w:t xml:space="preserve"> a </w:t>
      </w:r>
      <w:r w:rsidR="00104C75" w:rsidRPr="00497FB4">
        <w:rPr>
          <w:i/>
        </w:rPr>
        <w:t>Dopravní sektorové strategie, 2. fáze</w:t>
      </w:r>
      <w:r w:rsidR="00104C75" w:rsidRPr="00104C75">
        <w:t xml:space="preserve"> (dále jen „Dopravní strategie“), </w:t>
      </w:r>
      <w:r w:rsidR="00B32C10">
        <w:t xml:space="preserve">schváleny </w:t>
      </w:r>
      <w:r w:rsidR="00104C75" w:rsidRPr="00104C75">
        <w:t>usnesením vlády ze dne 13. 11. 2013 č. 850</w:t>
      </w:r>
      <w:r>
        <w:rPr>
          <w:rStyle w:val="Znakapoznpodarou"/>
        </w:rPr>
        <w:footnoteReference w:id="4"/>
      </w:r>
      <w:r w:rsidR="00B95380">
        <w:t>.</w:t>
      </w:r>
    </w:p>
    <w:p w14:paraId="42AB2C2D" w14:textId="77777777" w:rsidR="008348B9" w:rsidRDefault="008348B9" w:rsidP="006936C3"/>
    <w:p w14:paraId="3BCA81AE" w14:textId="4FC9A37B" w:rsidR="008348B9" w:rsidRDefault="00837A66" w:rsidP="006936C3">
      <w:r>
        <w:t xml:space="preserve">V rámci priorit Dopravní politiky byla mj. stanovena jedna z hlavních zásad </w:t>
      </w:r>
      <w:r w:rsidR="009F7A9E">
        <w:t>rozvoje silniční sítě: „</w:t>
      </w:r>
      <w:r w:rsidR="009F7A9E" w:rsidRPr="009F7A9E">
        <w:rPr>
          <w:i/>
        </w:rPr>
        <w:t>Řešení průtahů obcí na tazích s vysokými intenzitami provozu zejména výstavbou obchvatů, a to dle harmonogramu stanoveného v dokumentu Dopravní sektorové strategie</w:t>
      </w:r>
      <w:r w:rsidR="009F7A9E">
        <w:t>“</w:t>
      </w:r>
      <w:r w:rsidR="00582EED">
        <w:t>.</w:t>
      </w:r>
      <w:r w:rsidR="009F7A9E">
        <w:t xml:space="preserve"> </w:t>
      </w:r>
      <w:r w:rsidR="009F7A9E" w:rsidRPr="00497FB4">
        <w:rPr>
          <w:i/>
        </w:rPr>
        <w:t>Harmonogram realizace Dopravní strategie pro oblast silni</w:t>
      </w:r>
      <w:r w:rsidR="00B53D23" w:rsidRPr="00497FB4">
        <w:rPr>
          <w:i/>
        </w:rPr>
        <w:t xml:space="preserve">ční infrastruktury na roky </w:t>
      </w:r>
      <w:r w:rsidR="00B53D23" w:rsidRPr="00497FB4">
        <w:rPr>
          <w:i/>
        </w:rPr>
        <w:br/>
        <w:t>2014</w:t>
      </w:r>
      <w:r w:rsidR="009657A3" w:rsidRPr="00497FB4">
        <w:rPr>
          <w:i/>
        </w:rPr>
        <w:t>–</w:t>
      </w:r>
      <w:r w:rsidR="009F7A9E" w:rsidRPr="00497FB4">
        <w:rPr>
          <w:i/>
        </w:rPr>
        <w:t xml:space="preserve">2020(23) </w:t>
      </w:r>
      <w:r w:rsidR="009F7A9E">
        <w:t>stanovoval předpokládané náklady a termíny realizace</w:t>
      </w:r>
      <w:r w:rsidR="00B95380">
        <w:t xml:space="preserve"> 35 staveb silnic I. třídy, které měl</w:t>
      </w:r>
      <w:r w:rsidR="00B53D23">
        <w:t>y být dokončeny v letech 2014–</w:t>
      </w:r>
      <w:r w:rsidR="00B95380">
        <w:t xml:space="preserve">2023 s předpokládanými stavebními náklady ve výši </w:t>
      </w:r>
      <w:r w:rsidR="00B95380" w:rsidRPr="00B95380">
        <w:t>46</w:t>
      </w:r>
      <w:r w:rsidR="00B95380">
        <w:t> </w:t>
      </w:r>
      <w:r w:rsidR="00B95380" w:rsidRPr="00B95380">
        <w:t>922</w:t>
      </w:r>
      <w:r w:rsidR="00B95380">
        <w:t xml:space="preserve"> mil. Kč vč. DPH.</w:t>
      </w:r>
      <w:r w:rsidR="004F59B1">
        <w:t xml:space="preserve"> </w:t>
      </w:r>
      <w:r w:rsidR="004F59B1" w:rsidRPr="004F59B1">
        <w:t>Pro případ poklesu nabídkových cen</w:t>
      </w:r>
      <w:r w:rsidR="004F59B1">
        <w:t>,</w:t>
      </w:r>
      <w:r w:rsidR="004F59B1" w:rsidRPr="004F59B1">
        <w:t xml:space="preserve"> </w:t>
      </w:r>
      <w:r w:rsidR="004F59B1">
        <w:t>zpoždění přípravy či</w:t>
      </w:r>
      <w:r w:rsidR="004F59B1" w:rsidRPr="004F59B1">
        <w:t xml:space="preserve"> oslabování kurzu koruny byl</w:t>
      </w:r>
      <w:r w:rsidR="004F59B1">
        <w:t xml:space="preserve">o v harmonogramu uvedeno i 39 náhradních staveb s předpokládanými stavebními náklady </w:t>
      </w:r>
      <w:r w:rsidR="004F59B1" w:rsidRPr="004F59B1">
        <w:t>53</w:t>
      </w:r>
      <w:r w:rsidR="004F59B1">
        <w:t> </w:t>
      </w:r>
      <w:r w:rsidR="004F59B1" w:rsidRPr="004F59B1">
        <w:t>270</w:t>
      </w:r>
      <w:r w:rsidR="004F59B1">
        <w:t xml:space="preserve"> mil. Kč vč. DPH.</w:t>
      </w:r>
    </w:p>
    <w:p w14:paraId="62DDC70D" w14:textId="77777777" w:rsidR="008348B9" w:rsidRDefault="008348B9" w:rsidP="006936C3"/>
    <w:p w14:paraId="712A2B91" w14:textId="339FF711" w:rsidR="008348B9" w:rsidRDefault="00352EDA" w:rsidP="006936C3">
      <w:r w:rsidRPr="00352EDA">
        <w:t>V</w:t>
      </w:r>
      <w:r w:rsidR="00ED016D">
        <w:t> </w:t>
      </w:r>
      <w:r w:rsidRPr="00352EDA">
        <w:t>souladu</w:t>
      </w:r>
      <w:r w:rsidR="00ED016D">
        <w:t xml:space="preserve"> </w:t>
      </w:r>
      <w:r w:rsidRPr="00352EDA">
        <w:t>s</w:t>
      </w:r>
      <w:r>
        <w:t> </w:t>
      </w:r>
      <w:r w:rsidRPr="00352EDA">
        <w:t xml:space="preserve">harmonogramem </w:t>
      </w:r>
      <w:r w:rsidR="00837A66" w:rsidRPr="00E32585">
        <w:t>byl</w:t>
      </w:r>
      <w:r w:rsidR="00837A66">
        <w:t>o</w:t>
      </w:r>
      <w:r w:rsidR="00837A66" w:rsidRPr="00E32585">
        <w:t xml:space="preserve"> dokončen</w:t>
      </w:r>
      <w:r w:rsidR="00837A66">
        <w:t>o</w:t>
      </w:r>
      <w:r w:rsidR="00837A66" w:rsidRPr="00E32585">
        <w:t xml:space="preserve"> pouze</w:t>
      </w:r>
      <w:r w:rsidR="00837A66">
        <w:t xml:space="preserve"> </w:t>
      </w:r>
      <w:r w:rsidR="00062961">
        <w:t>7</w:t>
      </w:r>
      <w:r w:rsidR="00837A66" w:rsidRPr="00E32585">
        <w:t xml:space="preserve"> stav</w:t>
      </w:r>
      <w:r w:rsidR="00837A66">
        <w:t>e</w:t>
      </w:r>
      <w:r w:rsidR="00837A66" w:rsidRPr="00E32585">
        <w:t xml:space="preserve">b, </w:t>
      </w:r>
      <w:r w:rsidR="00062961">
        <w:t>z </w:t>
      </w:r>
      <w:r w:rsidR="00024231">
        <w:t>toho</w:t>
      </w:r>
      <w:r w:rsidR="00062961">
        <w:t xml:space="preserve"> však 6</w:t>
      </w:r>
      <w:r w:rsidR="0045145C">
        <w:t xml:space="preserve"> </w:t>
      </w:r>
      <w:r w:rsidR="00062961">
        <w:t>staveb</w:t>
      </w:r>
      <w:r w:rsidR="00837A66">
        <w:rPr>
          <w:rStyle w:val="Znakapoznpodarou"/>
        </w:rPr>
        <w:footnoteReference w:id="5"/>
      </w:r>
      <w:r w:rsidR="00062961">
        <w:t xml:space="preserve"> </w:t>
      </w:r>
      <w:r w:rsidR="00837A66" w:rsidRPr="00E32585">
        <w:t>byl</w:t>
      </w:r>
      <w:r w:rsidR="00062961">
        <w:t>o</w:t>
      </w:r>
      <w:r w:rsidR="00837A66" w:rsidRPr="00E32585">
        <w:t xml:space="preserve"> v</w:t>
      </w:r>
      <w:r>
        <w:t> </w:t>
      </w:r>
      <w:r w:rsidR="00837A66" w:rsidRPr="00E32585">
        <w:t xml:space="preserve">době zpracování </w:t>
      </w:r>
      <w:r w:rsidR="00837A66">
        <w:t xml:space="preserve">harmonogramu již ve fázi stavební </w:t>
      </w:r>
      <w:r w:rsidR="00837A66" w:rsidRPr="00E32585">
        <w:t xml:space="preserve">realizace anebo ve fázi vysoké připravenosti (vydané stavební povolení, </w:t>
      </w:r>
      <w:r w:rsidR="00837A66">
        <w:t>p</w:t>
      </w:r>
      <w:r w:rsidR="00837A66" w:rsidRPr="00E32585">
        <w:t>robíhající zadávací řízení</w:t>
      </w:r>
      <w:r w:rsidR="00837A66">
        <w:t xml:space="preserve"> na dodavatele stavebních prací</w:t>
      </w:r>
      <w:r w:rsidR="00837A66" w:rsidRPr="00E32585">
        <w:t xml:space="preserve">) </w:t>
      </w:r>
      <w:r w:rsidR="00323DC1">
        <w:t xml:space="preserve">a </w:t>
      </w:r>
      <w:r w:rsidR="00837A66" w:rsidRPr="00E32585">
        <w:t xml:space="preserve">stavba </w:t>
      </w:r>
      <w:r w:rsidR="00062961">
        <w:t>„</w:t>
      </w:r>
      <w:r w:rsidR="00837A66" w:rsidRPr="00E32585">
        <w:t xml:space="preserve">I/3 Mirošovice </w:t>
      </w:r>
      <w:r w:rsidR="00062961">
        <w:t>–</w:t>
      </w:r>
      <w:r w:rsidR="00837A66" w:rsidRPr="00E32585">
        <w:t xml:space="preserve"> Benešov</w:t>
      </w:r>
      <w:r w:rsidR="00024231">
        <w:t>,</w:t>
      </w:r>
      <w:r w:rsidR="00837A66" w:rsidRPr="00E32585">
        <w:t xml:space="preserve"> uspořádání 2+1</w:t>
      </w:r>
      <w:r w:rsidR="00062961">
        <w:t>“</w:t>
      </w:r>
      <w:r w:rsidR="00837A66" w:rsidRPr="00E32585">
        <w:t xml:space="preserve"> představovala stavební úpravy na stávající silnici I/3. </w:t>
      </w:r>
      <w:r w:rsidR="00062961" w:rsidRPr="00062961">
        <w:rPr>
          <w:b/>
        </w:rPr>
        <w:t xml:space="preserve">Předpokládané termíny realizace ostatních </w:t>
      </w:r>
      <w:r w:rsidR="001479DA">
        <w:rPr>
          <w:b/>
        </w:rPr>
        <w:t xml:space="preserve">28 </w:t>
      </w:r>
      <w:r w:rsidR="00195FF0">
        <w:rPr>
          <w:b/>
        </w:rPr>
        <w:t>staveb silnic I. </w:t>
      </w:r>
      <w:r w:rsidR="00062961" w:rsidRPr="00062961">
        <w:rPr>
          <w:b/>
        </w:rPr>
        <w:t>třídy nebyly dodrženy</w:t>
      </w:r>
      <w:r w:rsidR="00062961" w:rsidRPr="002D3292">
        <w:rPr>
          <w:b/>
        </w:rPr>
        <w:t>,</w:t>
      </w:r>
      <w:r w:rsidR="00062961">
        <w:t xml:space="preserve"> ŘSD u</w:t>
      </w:r>
      <w:r w:rsidR="00024231">
        <w:t xml:space="preserve"> </w:t>
      </w:r>
      <w:r w:rsidR="00062961">
        <w:t xml:space="preserve">nich </w:t>
      </w:r>
      <w:r w:rsidR="00306EE8">
        <w:t>pře</w:t>
      </w:r>
      <w:r w:rsidR="00B80B9B">
        <w:t>d</w:t>
      </w:r>
      <w:r w:rsidR="00306EE8">
        <w:t>pokládalo</w:t>
      </w:r>
      <w:r w:rsidR="00062961">
        <w:t xml:space="preserve"> zpoždění jejich zprovoznění o </w:t>
      </w:r>
      <w:r w:rsidR="00837A66" w:rsidRPr="00E32585">
        <w:t>1</w:t>
      </w:r>
      <w:r w:rsidR="00B076FF">
        <w:t xml:space="preserve"> </w:t>
      </w:r>
      <w:r w:rsidR="00837A66" w:rsidRPr="00E32585">
        <w:t xml:space="preserve">rok až </w:t>
      </w:r>
      <w:r w:rsidR="00062961">
        <w:t>11</w:t>
      </w:r>
      <w:r w:rsidR="00B076FF">
        <w:t xml:space="preserve"> </w:t>
      </w:r>
      <w:r w:rsidR="00837A66" w:rsidRPr="00E32585">
        <w:t>let.</w:t>
      </w:r>
      <w:r w:rsidR="009E498D">
        <w:t xml:space="preserve"> </w:t>
      </w:r>
      <w:r w:rsidR="009E498D" w:rsidRPr="009E498D">
        <w:rPr>
          <w:b/>
        </w:rPr>
        <w:t>Důvodem byly problémy v přípravě staveb</w:t>
      </w:r>
      <w:r w:rsidR="009E498D" w:rsidRPr="002D3292">
        <w:rPr>
          <w:b/>
        </w:rPr>
        <w:t>,</w:t>
      </w:r>
      <w:r w:rsidR="009E498D">
        <w:t xml:space="preserve"> jak je uvedeno dále.</w:t>
      </w:r>
    </w:p>
    <w:p w14:paraId="79D63E73" w14:textId="77777777" w:rsidR="00CD62DD" w:rsidRDefault="00CD62DD" w:rsidP="006936C3"/>
    <w:p w14:paraId="2B26CDD2" w14:textId="760FE953" w:rsidR="00CD62DD" w:rsidRDefault="00837A66" w:rsidP="006936C3">
      <w:r w:rsidRPr="001479DA">
        <w:t xml:space="preserve">Neplnění předpokládaných termínů </w:t>
      </w:r>
      <w:r w:rsidR="0045145C" w:rsidRPr="001479DA">
        <w:t>realizace staveb</w:t>
      </w:r>
      <w:r w:rsidR="0045145C">
        <w:t xml:space="preserve"> </w:t>
      </w:r>
      <w:r>
        <w:t>tak</w:t>
      </w:r>
      <w:r w:rsidRPr="001479DA">
        <w:t xml:space="preserve"> ods</w:t>
      </w:r>
      <w:r>
        <w:t>ouvalo</w:t>
      </w:r>
      <w:r w:rsidRPr="001479DA">
        <w:t xml:space="preserve"> dosažení přínosů, </w:t>
      </w:r>
      <w:r>
        <w:t xml:space="preserve">s nimiž MD </w:t>
      </w:r>
      <w:r w:rsidR="0074006E">
        <w:t>kalkulovalo</w:t>
      </w:r>
      <w:r w:rsidRPr="001479DA">
        <w:t xml:space="preserve"> v rámci multikriteriálního hodnocení p</w:t>
      </w:r>
      <w:r w:rsidR="0074006E">
        <w:t>ři</w:t>
      </w:r>
      <w:r w:rsidRPr="001479DA">
        <w:t xml:space="preserve"> stanovení priority realizace staveb v</w:t>
      </w:r>
      <w:r w:rsidR="0074006E">
        <w:t> D</w:t>
      </w:r>
      <w:r w:rsidRPr="001479DA">
        <w:t>opravní strategi</w:t>
      </w:r>
      <w:r w:rsidR="00AA45AF">
        <w:t>i</w:t>
      </w:r>
      <w:r w:rsidRPr="001479DA">
        <w:t>.</w:t>
      </w:r>
    </w:p>
    <w:p w14:paraId="0AB2B780" w14:textId="77777777" w:rsidR="00E45AC3" w:rsidRDefault="00E45AC3" w:rsidP="006936C3"/>
    <w:p w14:paraId="0536648C" w14:textId="63102D5B" w:rsidR="00E728D6" w:rsidRPr="00352EDA" w:rsidRDefault="00837A66" w:rsidP="006936C3">
      <w:pPr>
        <w:rPr>
          <w:b/>
        </w:rPr>
      </w:pPr>
      <w:r w:rsidRPr="002D3292">
        <w:rPr>
          <w:b/>
          <w:i/>
        </w:rPr>
        <w:t>Harmonogram realizace Dopravní strategie pro oblast silni</w:t>
      </w:r>
      <w:r w:rsidR="003B2702" w:rsidRPr="002D3292">
        <w:rPr>
          <w:b/>
          <w:i/>
        </w:rPr>
        <w:t xml:space="preserve">ční infrastruktury na roky </w:t>
      </w:r>
      <w:r w:rsidR="003B2702" w:rsidRPr="002D3292">
        <w:rPr>
          <w:b/>
          <w:i/>
        </w:rPr>
        <w:br/>
        <w:t>2014</w:t>
      </w:r>
      <w:r w:rsidRPr="002D3292">
        <w:rPr>
          <w:b/>
          <w:i/>
        </w:rPr>
        <w:t>–2020(23)</w:t>
      </w:r>
      <w:r w:rsidRPr="00352EDA">
        <w:rPr>
          <w:b/>
        </w:rPr>
        <w:t xml:space="preserve"> MD při aktualizaci Dopravní strategie v roce 2017, schválené usnesením vlády ze dne 27. února 2018 č. 136</w:t>
      </w:r>
      <w:r w:rsidRPr="00352EDA">
        <w:rPr>
          <w:rStyle w:val="Znakapoznpodarou"/>
        </w:rPr>
        <w:footnoteReference w:id="6"/>
      </w:r>
      <w:r w:rsidRPr="00352EDA">
        <w:rPr>
          <w:b/>
        </w:rPr>
        <w:t>, zcela vypu</w:t>
      </w:r>
      <w:r w:rsidR="00352EDA" w:rsidRPr="00352EDA">
        <w:rPr>
          <w:b/>
        </w:rPr>
        <w:t>stilo</w:t>
      </w:r>
      <w:r w:rsidRPr="00352EDA">
        <w:rPr>
          <w:b/>
        </w:rPr>
        <w:t>.</w:t>
      </w:r>
    </w:p>
    <w:p w14:paraId="12BC076F" w14:textId="77777777" w:rsidR="00602BA9" w:rsidRDefault="00602BA9" w:rsidP="006936C3"/>
    <w:p w14:paraId="5275E61E" w14:textId="38FE3726" w:rsidR="00602BA9" w:rsidRDefault="00837A66" w:rsidP="001F0E85">
      <w:r w:rsidRPr="00602BA9">
        <w:rPr>
          <w:b/>
        </w:rPr>
        <w:t>1.2</w:t>
      </w:r>
      <w:r w:rsidR="00D07EAE">
        <w:t xml:space="preserve"> NKÚ </w:t>
      </w:r>
      <w:r w:rsidR="001F0E85">
        <w:t>porovn</w:t>
      </w:r>
      <w:r w:rsidR="00D07EAE">
        <w:t>al</w:t>
      </w:r>
      <w:r w:rsidR="001F0E85">
        <w:t xml:space="preserve"> výsledné pořadí opatření podle vícestupňového multikriteriálního hodnocení, vyhodnocení potřebnosti jednotlivých obchvatů podle Dopravní strategie a</w:t>
      </w:r>
      <w:r w:rsidR="0045145C">
        <w:t xml:space="preserve"> </w:t>
      </w:r>
      <w:r w:rsidR="00D07EAE">
        <w:t xml:space="preserve">podle </w:t>
      </w:r>
      <w:r w:rsidR="001F0E85">
        <w:t>předpokladů ŘSD</w:t>
      </w:r>
      <w:r w:rsidR="00D07EAE">
        <w:t xml:space="preserve"> a z tohoto porovnání</w:t>
      </w:r>
      <w:r w:rsidR="001F0E85">
        <w:t xml:space="preserve"> </w:t>
      </w:r>
      <w:r w:rsidR="00D07EAE">
        <w:t xml:space="preserve">mj. </w:t>
      </w:r>
      <w:r w:rsidR="001F0E85">
        <w:t xml:space="preserve">vyplynulo, že </w:t>
      </w:r>
      <w:r>
        <w:t>v kontrolovaném období</w:t>
      </w:r>
      <w:r w:rsidRPr="00602BA9">
        <w:t xml:space="preserve"> se </w:t>
      </w:r>
      <w:r>
        <w:t xml:space="preserve">dlouhodobě </w:t>
      </w:r>
      <w:r w:rsidRPr="009D6872">
        <w:t>nedařilo plnit předpoklady realizace nejvíce prioritních staveb</w:t>
      </w:r>
      <w:r w:rsidR="00D07EAE">
        <w:t>,</w:t>
      </w:r>
      <w:r w:rsidRPr="009D6872">
        <w:t xml:space="preserve"> resp. obchvatů s</w:t>
      </w:r>
      <w:r w:rsidR="00D07EAE">
        <w:t> </w:t>
      </w:r>
      <w:r w:rsidRPr="009D6872">
        <w:t>nejvyšší prioritou</w:t>
      </w:r>
      <w:r w:rsidRPr="00602BA9">
        <w:t xml:space="preserve">. </w:t>
      </w:r>
      <w:r w:rsidRPr="009D6872">
        <w:rPr>
          <w:b/>
        </w:rPr>
        <w:t xml:space="preserve">Nebyly přednostně realizovány prioritní stavby (stanovené na základě </w:t>
      </w:r>
      <w:r w:rsidRPr="009D6872">
        <w:rPr>
          <w:b/>
        </w:rPr>
        <w:lastRenderedPageBreak/>
        <w:t>celospolečenské potřebnosti a efektivnosti vynaložených prostředků), ale</w:t>
      </w:r>
      <w:r w:rsidRPr="00602BA9">
        <w:t xml:space="preserve"> </w:t>
      </w:r>
      <w:r w:rsidRPr="009D6872">
        <w:rPr>
          <w:b/>
        </w:rPr>
        <w:t>postupováno bylo dle investiční připravenosti staveb k zahájení realizace</w:t>
      </w:r>
      <w:r w:rsidRPr="00730F53">
        <w:rPr>
          <w:b/>
        </w:rPr>
        <w:t>.</w:t>
      </w:r>
      <w:r>
        <w:t xml:space="preserve"> Realizovány tak byly i méně důležité stavby silnic I. třídy s nižším celospolečenským přínosem. </w:t>
      </w:r>
    </w:p>
    <w:p w14:paraId="100A00F7" w14:textId="77777777" w:rsidR="00602BA9" w:rsidRDefault="00602BA9" w:rsidP="006936C3"/>
    <w:p w14:paraId="6AD3C511" w14:textId="29AC8E9F" w:rsidR="00602BA9" w:rsidRDefault="00837A66" w:rsidP="006936C3">
      <w:r>
        <w:t>J</w:t>
      </w:r>
      <w:r w:rsidRPr="00602BA9">
        <w:t>ednalo se především o důsledek zahájení přípravy značného množství staveb v období před ekonomickou krizí</w:t>
      </w:r>
      <w:r>
        <w:t xml:space="preserve"> a před zpracováním </w:t>
      </w:r>
      <w:r w:rsidR="000C489A">
        <w:t xml:space="preserve">závazného </w:t>
      </w:r>
      <w:r>
        <w:t>koncepčního materiálu</w:t>
      </w:r>
      <w:r w:rsidR="000C489A">
        <w:t>, který by z dlouhodobého pohledu vymezoval priority a naléhavost realizace staveb při zohlednění reálných zdrojů financování. Tuto funkci měla splnit až Dopravní strategie schválená vládou v roce 2013.</w:t>
      </w:r>
    </w:p>
    <w:p w14:paraId="593C0600" w14:textId="77777777" w:rsidR="00602BA9" w:rsidRDefault="00602BA9" w:rsidP="006936C3"/>
    <w:p w14:paraId="6EBF0C55" w14:textId="77777777" w:rsidR="00602BA9" w:rsidRDefault="00837A66" w:rsidP="006936C3">
      <w:r>
        <w:t xml:space="preserve">ŘSD k tomu uvedlo, že </w:t>
      </w:r>
      <w:r w:rsidR="009D6872">
        <w:t>striktní realizace staveb v pořadí podle jejich prioritizace stanovené v Dopravní strategii by u staveb s vyšším pořadovým číslem znamenala pozastavení jejich probíhající přípravy s důsledkem pozbytí platnosti již vydaných stanovisek, územních rozhodnutí, stavebních povolení a nutnosti aktualizace projektových dokumentací atp.</w:t>
      </w:r>
    </w:p>
    <w:p w14:paraId="32490D05" w14:textId="77777777" w:rsidR="00E728D6" w:rsidRDefault="00E728D6" w:rsidP="006936C3"/>
    <w:p w14:paraId="37854146" w14:textId="77777777" w:rsidR="009E498D" w:rsidRPr="00884246" w:rsidRDefault="00837A66" w:rsidP="00E728D6">
      <w:pPr>
        <w:keepNext/>
        <w:rPr>
          <w:b/>
        </w:rPr>
      </w:pPr>
      <w:r>
        <w:rPr>
          <w:b/>
        </w:rPr>
        <w:t>2</w:t>
      </w:r>
      <w:r w:rsidRPr="00884246">
        <w:rPr>
          <w:b/>
        </w:rPr>
        <w:t xml:space="preserve">. </w:t>
      </w:r>
      <w:r>
        <w:rPr>
          <w:b/>
        </w:rPr>
        <w:t>Příprava staveb</w:t>
      </w:r>
    </w:p>
    <w:p w14:paraId="0E25E6B6" w14:textId="77777777" w:rsidR="001479DA" w:rsidRDefault="001479DA" w:rsidP="00E728D6">
      <w:pPr>
        <w:keepNext/>
      </w:pPr>
    </w:p>
    <w:p w14:paraId="5F108425" w14:textId="77777777" w:rsidR="009E498D" w:rsidRDefault="00837A66" w:rsidP="006936C3">
      <w:r w:rsidRPr="00306EE8">
        <w:rPr>
          <w:b/>
        </w:rPr>
        <w:t>2.1</w:t>
      </w:r>
      <w:r w:rsidR="00306EE8">
        <w:t> </w:t>
      </w:r>
      <w:r w:rsidR="00306EE8" w:rsidRPr="00C37FA6">
        <w:rPr>
          <w:b/>
        </w:rPr>
        <w:t xml:space="preserve">Příprava staveb silnic I. třídy </w:t>
      </w:r>
      <w:r w:rsidR="00306EE8" w:rsidRPr="003D6446">
        <w:t xml:space="preserve">(v období </w:t>
      </w:r>
      <w:r w:rsidR="003D6446" w:rsidRPr="003D6446">
        <w:t>od vydání souhlasného závazného stanoviska k posouzení vlivů provedení záměru na životní prostředí</w:t>
      </w:r>
      <w:r w:rsidR="00306EE8" w:rsidRPr="003D6446">
        <w:t xml:space="preserve"> do získání pravomocného stavebního povolení)</w:t>
      </w:r>
      <w:r w:rsidR="00306EE8" w:rsidRPr="00C37FA6">
        <w:rPr>
          <w:b/>
        </w:rPr>
        <w:t xml:space="preserve"> trvala v průměru 12 let.</w:t>
      </w:r>
      <w:r w:rsidR="00D031DB">
        <w:t xml:space="preserve"> Toto zjištění vychází z kontroly staveb</w:t>
      </w:r>
      <w:r w:rsidR="00F25023">
        <w:t xml:space="preserve"> uvedených v příloze č. 1</w:t>
      </w:r>
      <w:r w:rsidR="009269DE">
        <w:t>.</w:t>
      </w:r>
    </w:p>
    <w:p w14:paraId="17AA69D8" w14:textId="77777777" w:rsidR="003D608A" w:rsidRDefault="003D608A" w:rsidP="006936C3"/>
    <w:p w14:paraId="7FAB343E" w14:textId="77777777" w:rsidR="001479DA" w:rsidRDefault="00837A66" w:rsidP="006936C3">
      <w:r>
        <w:t xml:space="preserve">U některých staveb, které se v době kontroly NKÚ nacházely ve fázi přípravy, trvala tato etapa i více než 15 let a stále nebyla ukončena. </w:t>
      </w:r>
      <w:r w:rsidRPr="001E3645">
        <w:rPr>
          <w:b/>
        </w:rPr>
        <w:t>Hlavní příčinou prodlužování přípravy staveb byly problémy</w:t>
      </w:r>
      <w:r w:rsidR="00C37FA6">
        <w:rPr>
          <w:b/>
        </w:rPr>
        <w:t xml:space="preserve"> ŘSD</w:t>
      </w:r>
      <w:r w:rsidRPr="001E3645">
        <w:rPr>
          <w:b/>
        </w:rPr>
        <w:t xml:space="preserve"> spojené se získáváním územních rozhodnutí, majetkoprávním vypořádáním pozemků a získáváním stavebních povolení</w:t>
      </w:r>
      <w:r w:rsidRPr="00C75773">
        <w:rPr>
          <w:b/>
        </w:rPr>
        <w:t>.</w:t>
      </w:r>
      <w:r>
        <w:t xml:space="preserve"> Například:</w:t>
      </w:r>
    </w:p>
    <w:p w14:paraId="6600383D" w14:textId="00F4022A" w:rsidR="00304E02" w:rsidRDefault="00837A66" w:rsidP="00045089">
      <w:pPr>
        <w:spacing w:before="60"/>
        <w:ind w:left="142" w:hanging="142"/>
      </w:pPr>
      <w:r>
        <w:t>-</w:t>
      </w:r>
      <w:r>
        <w:tab/>
        <w:t xml:space="preserve">Pro </w:t>
      </w:r>
      <w:r w:rsidRPr="00304E02">
        <w:t>stavb</w:t>
      </w:r>
      <w:r>
        <w:t>u</w:t>
      </w:r>
      <w:r w:rsidRPr="00304E02">
        <w:t xml:space="preserve"> „I/14 Nové Město nad Metují přeložka“ </w:t>
      </w:r>
      <w:r>
        <w:t xml:space="preserve">bylo souhlasné </w:t>
      </w:r>
      <w:r w:rsidR="00F673EC" w:rsidRPr="003D6446">
        <w:t>závazné</w:t>
      </w:r>
      <w:r w:rsidR="00F673EC">
        <w:t xml:space="preserve"> </w:t>
      </w:r>
      <w:r>
        <w:t>stanovisko EIA</w:t>
      </w:r>
      <w:r>
        <w:rPr>
          <w:rStyle w:val="Znakapoznpodarou"/>
        </w:rPr>
        <w:footnoteReference w:id="7"/>
      </w:r>
      <w:r>
        <w:t xml:space="preserve"> vydáno</w:t>
      </w:r>
      <w:r w:rsidRPr="00304E02">
        <w:t xml:space="preserve"> </w:t>
      </w:r>
      <w:r>
        <w:t>v</w:t>
      </w:r>
      <w:r w:rsidR="00E12B18">
        <w:t> </w:t>
      </w:r>
      <w:r>
        <w:t>březnu</w:t>
      </w:r>
      <w:r w:rsidRPr="00304E02">
        <w:t xml:space="preserve"> 1997, </w:t>
      </w:r>
      <w:r w:rsidR="00045089">
        <w:t>územní rozhodnutí vydané v březnu 2010 krajský úřad na základě podaných odvolání v srpnu 2010 zrušil a územní řízení bylo přerušeno k doplnění podkladů</w:t>
      </w:r>
      <w:r w:rsidRPr="00304E02">
        <w:t>. Přípravu komplik</w:t>
      </w:r>
      <w:r w:rsidR="001638BB">
        <w:t>ovaly</w:t>
      </w:r>
      <w:r w:rsidRPr="00304E02">
        <w:t xml:space="preserve"> námitky proti vedení přeložky a</w:t>
      </w:r>
      <w:r w:rsidR="0045145C">
        <w:t xml:space="preserve"> </w:t>
      </w:r>
      <w:r w:rsidRPr="00304E02">
        <w:t>obtížná protihluková ochrana. Alternativní trasy, ověř</w:t>
      </w:r>
      <w:r w:rsidR="0045145C">
        <w:t>e</w:t>
      </w:r>
      <w:r w:rsidRPr="00304E02">
        <w:t xml:space="preserve">né studií v roce 2016, se </w:t>
      </w:r>
      <w:r>
        <w:t xml:space="preserve">dle ŘSD </w:t>
      </w:r>
      <w:r w:rsidRPr="00304E02">
        <w:t>ukázaly jako neprůchodné. V</w:t>
      </w:r>
      <w:r>
        <w:t> </w:t>
      </w:r>
      <w:r w:rsidRPr="00304E02">
        <w:t xml:space="preserve">únoru 2018 vydal městský úřad usnesení, kterým </w:t>
      </w:r>
      <w:r w:rsidR="00E12B18">
        <w:t xml:space="preserve">územní řízení </w:t>
      </w:r>
      <w:r w:rsidRPr="00304E02">
        <w:t xml:space="preserve">zastavil. O další přípravě stavby mělo být rozhodnuto dle </w:t>
      </w:r>
      <w:r w:rsidR="0045145C">
        <w:t xml:space="preserve">výsledku </w:t>
      </w:r>
      <w:r w:rsidRPr="00304E02">
        <w:t>veřejného referenda konaného v říjnu 2018</w:t>
      </w:r>
      <w:r w:rsidR="0045145C">
        <w:t>;</w:t>
      </w:r>
      <w:r w:rsidRPr="00304E02">
        <w:t xml:space="preserve"> v něm byla občany odmítnuta stavba přeložky v trase připravované ŘSD. Příprava stavby trvala v</w:t>
      </w:r>
      <w:r>
        <w:t> </w:t>
      </w:r>
      <w:r w:rsidRPr="00304E02">
        <w:t>době kontroly NKÚ 22 let a byla v podstatě na začátku. ŘSD předpokládalo možné zahájení stavby až v roce 2028</w:t>
      </w:r>
      <w:r>
        <w:t>.</w:t>
      </w:r>
    </w:p>
    <w:p w14:paraId="317A76F8" w14:textId="24676FFD" w:rsidR="00D81687" w:rsidRDefault="00837A66" w:rsidP="00E12B18">
      <w:pPr>
        <w:spacing w:before="60"/>
        <w:ind w:left="142" w:hanging="142"/>
      </w:pPr>
      <w:r>
        <w:t>-</w:t>
      </w:r>
      <w:r>
        <w:tab/>
        <w:t xml:space="preserve">Pro stavbu </w:t>
      </w:r>
      <w:r w:rsidRPr="00D81687">
        <w:t xml:space="preserve">„I/3 Olbramovice přeložka“ </w:t>
      </w:r>
      <w:r>
        <w:t>bylo</w:t>
      </w:r>
      <w:r w:rsidRPr="00D81687">
        <w:t xml:space="preserve"> souhlasné </w:t>
      </w:r>
      <w:r w:rsidR="00F673EC" w:rsidRPr="003D6446">
        <w:t>závazné</w:t>
      </w:r>
      <w:r w:rsidR="00F673EC">
        <w:t xml:space="preserve"> </w:t>
      </w:r>
      <w:r w:rsidRPr="00D81687">
        <w:t xml:space="preserve">stanovisko EIA </w:t>
      </w:r>
      <w:r>
        <w:t>vydáno v</w:t>
      </w:r>
      <w:r w:rsidR="00F673EC">
        <w:t> </w:t>
      </w:r>
      <w:r>
        <w:t>dubnu</w:t>
      </w:r>
      <w:r w:rsidRPr="00D81687">
        <w:t xml:space="preserve"> 1998</w:t>
      </w:r>
      <w:r w:rsidR="00080E77">
        <w:t xml:space="preserve"> a </w:t>
      </w:r>
      <w:r w:rsidRPr="00D81687">
        <w:t>územní rozhodnut</w:t>
      </w:r>
      <w:r>
        <w:t xml:space="preserve">í v listopadu 2004. </w:t>
      </w:r>
      <w:r w:rsidRPr="00D81687">
        <w:t>V době kontroly NKÚ trvala příprava stavby 21 let</w:t>
      </w:r>
      <w:r>
        <w:t>,</w:t>
      </w:r>
      <w:r w:rsidRPr="00D81687">
        <w:t xml:space="preserve"> </w:t>
      </w:r>
      <w:r>
        <w:t>m</w:t>
      </w:r>
      <w:r w:rsidRPr="00D81687">
        <w:t>ajetkoprávní vypořádání pozemků ne</w:t>
      </w:r>
      <w:r>
        <w:t xml:space="preserve">bylo </w:t>
      </w:r>
      <w:r w:rsidRPr="00D81687">
        <w:t>ukončeno, ŘSD mělo vykoupeno 98 % pozemků,</w:t>
      </w:r>
      <w:r>
        <w:t xml:space="preserve"> zbývající pozemky byly vyvlastněny v září 2017, proti rozhodnutí o vyvlastnění bylo</w:t>
      </w:r>
      <w:r w:rsidRPr="00D81687">
        <w:t xml:space="preserve"> podáno odvolání,</w:t>
      </w:r>
      <w:r>
        <w:t xml:space="preserve"> po jeho zamítnutí</w:t>
      </w:r>
      <w:r w:rsidRPr="00D81687">
        <w:t xml:space="preserve"> </w:t>
      </w:r>
      <w:r w:rsidR="0045145C" w:rsidRPr="00D81687">
        <w:t xml:space="preserve">krajský soud </w:t>
      </w:r>
      <w:r w:rsidRPr="00D81687">
        <w:t>na základě podané žaloby rozhodnutí o</w:t>
      </w:r>
      <w:r w:rsidR="00E12B18">
        <w:t> </w:t>
      </w:r>
      <w:r w:rsidRPr="00D81687">
        <w:t>vyvlastnění zrušil a řízení vrátil zpět stavebnímu úřadu. Stavební povolení vydané na hlavní trasu v srpnu 2018 bylo napadeno několika o</w:t>
      </w:r>
      <w:r w:rsidR="006D0EE2">
        <w:t>dvoláními</w:t>
      </w:r>
      <w:r w:rsidR="0045145C">
        <w:t>,</w:t>
      </w:r>
      <w:r w:rsidR="006D0EE2">
        <w:t xml:space="preserve"> a nenabylo tak právní moci</w:t>
      </w:r>
      <w:r w:rsidRPr="00D81687">
        <w:t>.</w:t>
      </w:r>
    </w:p>
    <w:p w14:paraId="4232D6C5" w14:textId="77777777" w:rsidR="00304E02" w:rsidRDefault="00837A66" w:rsidP="00E12B18">
      <w:pPr>
        <w:spacing w:before="60"/>
        <w:ind w:left="142" w:hanging="142"/>
      </w:pPr>
      <w:r>
        <w:lastRenderedPageBreak/>
        <w:t>-</w:t>
      </w:r>
      <w:r>
        <w:tab/>
        <w:t xml:space="preserve">Pro </w:t>
      </w:r>
      <w:r w:rsidRPr="00304E02">
        <w:t>stavb</w:t>
      </w:r>
      <w:r>
        <w:t>u</w:t>
      </w:r>
      <w:r w:rsidRPr="00304E02">
        <w:t xml:space="preserve"> „I/11 Doudleby nad Orlicí obchvat“ </w:t>
      </w:r>
      <w:r>
        <w:t>bylo s</w:t>
      </w:r>
      <w:r w:rsidRPr="00304E02">
        <w:t xml:space="preserve">ouhlasné </w:t>
      </w:r>
      <w:r w:rsidR="00F673EC" w:rsidRPr="003D6446">
        <w:t>závazné</w:t>
      </w:r>
      <w:r w:rsidR="00F673EC">
        <w:t xml:space="preserve"> </w:t>
      </w:r>
      <w:r w:rsidRPr="00304E02">
        <w:t xml:space="preserve">stanovisko EIA vydáno </w:t>
      </w:r>
      <w:r>
        <w:t>v lednu</w:t>
      </w:r>
      <w:r w:rsidRPr="00304E02">
        <w:t xml:space="preserve"> 1999, územní rozhodnutí nabylo právní moci v březnu 2006, od roku 2011 probíha</w:t>
      </w:r>
      <w:r w:rsidR="000866BA">
        <w:t>ly</w:t>
      </w:r>
      <w:r w:rsidRPr="00304E02">
        <w:t xml:space="preserve"> výkupy pozemků</w:t>
      </w:r>
      <w:r w:rsidR="000866BA">
        <w:t>.</w:t>
      </w:r>
      <w:r w:rsidRPr="00304E02">
        <w:t xml:space="preserve"> </w:t>
      </w:r>
      <w:r w:rsidR="000866BA">
        <w:t>V</w:t>
      </w:r>
      <w:r w:rsidRPr="00304E02">
        <w:t xml:space="preserve"> době kontroly NKÚ trvala příprava stavby 20 let, vykoupe</w:t>
      </w:r>
      <w:r>
        <w:t>no bylo 90 % potřebných pozemků a</w:t>
      </w:r>
      <w:r w:rsidRPr="00304E02">
        <w:t xml:space="preserve"> probíhala čtyři vyvlastňovací řízení. Žádost o vydání stavebního povolení pod</w:t>
      </w:r>
      <w:r>
        <w:t>alo ŘSD</w:t>
      </w:r>
      <w:r w:rsidRPr="00304E02">
        <w:t xml:space="preserve"> v březnu 2019.</w:t>
      </w:r>
    </w:p>
    <w:p w14:paraId="336612C4" w14:textId="00078AC1" w:rsidR="00A0619D" w:rsidRDefault="00837A66" w:rsidP="00E12B18">
      <w:pPr>
        <w:spacing w:before="60"/>
        <w:ind w:left="142" w:hanging="142"/>
      </w:pPr>
      <w:r>
        <w:t>-</w:t>
      </w:r>
      <w:r>
        <w:tab/>
        <w:t xml:space="preserve">Pro </w:t>
      </w:r>
      <w:r w:rsidRPr="00A0619D">
        <w:t>stavb</w:t>
      </w:r>
      <w:r>
        <w:t>u</w:t>
      </w:r>
      <w:r w:rsidR="006D6F3C">
        <w:t xml:space="preserve"> „I/12 Běchovice – </w:t>
      </w:r>
      <w:r w:rsidRPr="00A0619D">
        <w:t xml:space="preserve">Úvaly“ </w:t>
      </w:r>
      <w:r>
        <w:t xml:space="preserve">bylo souhlasné </w:t>
      </w:r>
      <w:r w:rsidR="00F673EC" w:rsidRPr="003D6446">
        <w:t>závazné</w:t>
      </w:r>
      <w:r w:rsidR="00F673EC">
        <w:t xml:space="preserve"> </w:t>
      </w:r>
      <w:r>
        <w:t>stanovisko EIA</w:t>
      </w:r>
      <w:r w:rsidRPr="00A0619D">
        <w:t xml:space="preserve"> vyd</w:t>
      </w:r>
      <w:r>
        <w:t>áno</w:t>
      </w:r>
      <w:r w:rsidRPr="00A0619D">
        <w:t xml:space="preserve"> </w:t>
      </w:r>
      <w:r>
        <w:t>v červnu</w:t>
      </w:r>
      <w:r w:rsidRPr="00A0619D">
        <w:t xml:space="preserve"> 2003</w:t>
      </w:r>
      <w:r w:rsidR="00215E7E">
        <w:t>.</w:t>
      </w:r>
      <w:r w:rsidRPr="00A0619D">
        <w:t xml:space="preserve"> </w:t>
      </w:r>
      <w:r w:rsidR="00215E7E">
        <w:t>Ú</w:t>
      </w:r>
      <w:r w:rsidRPr="00A0619D">
        <w:t>zemní rozhodnutí vyd</w:t>
      </w:r>
      <w:r w:rsidR="00215E7E">
        <w:t>ané</w:t>
      </w:r>
      <w:r w:rsidRPr="00A0619D">
        <w:t xml:space="preserve"> v prosinci 2009 </w:t>
      </w:r>
      <w:r w:rsidR="00215E7E">
        <w:t xml:space="preserve">bylo </w:t>
      </w:r>
      <w:r w:rsidRPr="00A0619D">
        <w:t>na základě podaných odvolání v</w:t>
      </w:r>
      <w:r w:rsidR="00F673EC">
        <w:t> </w:t>
      </w:r>
      <w:r w:rsidRPr="00A0619D">
        <w:t>březnu 2011 zrušeno a vráceno k novému projednání. Stavební úřad vyzval v květnu 2011 ŘSD k</w:t>
      </w:r>
      <w:r>
        <w:t> </w:t>
      </w:r>
      <w:r w:rsidRPr="00A0619D">
        <w:t>doplnění podkladů, lhůta pro doplnění byla opakovaně prodlužována</w:t>
      </w:r>
      <w:r w:rsidR="00390AC1">
        <w:t xml:space="preserve">, </w:t>
      </w:r>
      <w:r w:rsidRPr="00A0619D">
        <w:t xml:space="preserve">v prosinci 2017 </w:t>
      </w:r>
      <w:r w:rsidR="00390AC1">
        <w:t xml:space="preserve">bylo </w:t>
      </w:r>
      <w:r w:rsidRPr="00A0619D">
        <w:t xml:space="preserve">územní řízení ukončeno. V době kontroly NKÚ trvala příprava stavby 16 let a nacházela </w:t>
      </w:r>
      <w:r w:rsidR="00390AC1">
        <w:t xml:space="preserve">se v podstatě </w:t>
      </w:r>
      <w:r w:rsidR="00A07438">
        <w:t>stále ve fázi územního řízení.</w:t>
      </w:r>
    </w:p>
    <w:p w14:paraId="6DEAC2D1" w14:textId="2000A8E1" w:rsidR="000866BA" w:rsidRDefault="00837A66" w:rsidP="00E12B18">
      <w:pPr>
        <w:spacing w:before="60"/>
        <w:ind w:left="142" w:hanging="142"/>
      </w:pPr>
      <w:r>
        <w:t>-</w:t>
      </w:r>
      <w:r>
        <w:tab/>
      </w:r>
      <w:r w:rsidR="001952B9">
        <w:t>U</w:t>
      </w:r>
      <w:r>
        <w:t xml:space="preserve"> </w:t>
      </w:r>
      <w:r w:rsidRPr="000866BA">
        <w:t>stavb</w:t>
      </w:r>
      <w:r w:rsidR="001952B9">
        <w:t>y</w:t>
      </w:r>
      <w:r w:rsidRPr="000866BA">
        <w:t xml:space="preserve"> „I/46 Šternberk – obchvat“ </w:t>
      </w:r>
      <w:r>
        <w:t>bylo v únoru</w:t>
      </w:r>
      <w:r w:rsidRPr="000866BA">
        <w:t xml:space="preserve"> 2004 ukonč</w:t>
      </w:r>
      <w:r>
        <w:t>eno</w:t>
      </w:r>
      <w:r w:rsidRPr="000866BA">
        <w:t xml:space="preserve"> zjišťovací řízení se závěrem, že stavba nebude posuzována podle zákona č. 100/2001 Sb.</w:t>
      </w:r>
      <w:r>
        <w:rPr>
          <w:rStyle w:val="Znakapoznpodarou"/>
        </w:rPr>
        <w:footnoteReference w:id="8"/>
      </w:r>
      <w:r w:rsidRPr="000866BA">
        <w:t xml:space="preserve"> </w:t>
      </w:r>
      <w:r>
        <w:t>Ú</w:t>
      </w:r>
      <w:r w:rsidRPr="000866BA">
        <w:t xml:space="preserve">zemní rozhodnutí bylo vydáno v prosinci 2011, </w:t>
      </w:r>
      <w:r>
        <w:t>v prosinci</w:t>
      </w:r>
      <w:r w:rsidRPr="000866BA">
        <w:t xml:space="preserve"> 2014 bylo vydáno rozhodnutí o prodloužení </w:t>
      </w:r>
      <w:r>
        <w:t xml:space="preserve">jeho </w:t>
      </w:r>
      <w:r w:rsidR="00D81687">
        <w:t xml:space="preserve">platnosti </w:t>
      </w:r>
      <w:r w:rsidRPr="000866BA">
        <w:t>o</w:t>
      </w:r>
      <w:r>
        <w:t> </w:t>
      </w:r>
      <w:r w:rsidRPr="000866BA">
        <w:t>dalších 5 let, které bylo napadeno kvůli procesnímu pochybení. Krajský soud a</w:t>
      </w:r>
      <w:r w:rsidR="008C7B0F">
        <w:t xml:space="preserve"> </w:t>
      </w:r>
      <w:r w:rsidRPr="000866BA">
        <w:t>Nejvyšší správní soud svými rozsudky pochybení potvrdily, rozhodnutí bylo zrušeno a</w:t>
      </w:r>
      <w:r w:rsidR="008C7B0F">
        <w:t xml:space="preserve"> </w:t>
      </w:r>
      <w:r w:rsidRPr="000866BA">
        <w:t>vráceno zpět k</w:t>
      </w:r>
      <w:r>
        <w:t> </w:t>
      </w:r>
      <w:r w:rsidRPr="000866BA">
        <w:t xml:space="preserve">projednání. V době kontroly NKÚ trvala příprava stavby 15 let a nacházela se </w:t>
      </w:r>
      <w:r w:rsidR="00390AC1">
        <w:t xml:space="preserve">v podstatě </w:t>
      </w:r>
      <w:r w:rsidRPr="000866BA">
        <w:t>stále ve fázi územního řízení.</w:t>
      </w:r>
    </w:p>
    <w:p w14:paraId="6240AF0E" w14:textId="5FF53247" w:rsidR="006D0EE2" w:rsidRDefault="00837A66" w:rsidP="00E12B18">
      <w:pPr>
        <w:spacing w:before="60"/>
        <w:ind w:left="142" w:hanging="142"/>
      </w:pPr>
      <w:r>
        <w:t>-</w:t>
      </w:r>
      <w:r>
        <w:tab/>
      </w:r>
      <w:r w:rsidR="001952B9">
        <w:t>U</w:t>
      </w:r>
      <w:r>
        <w:t xml:space="preserve"> </w:t>
      </w:r>
      <w:r w:rsidRPr="006D0EE2">
        <w:t>stavb</w:t>
      </w:r>
      <w:r w:rsidR="001952B9">
        <w:t>y</w:t>
      </w:r>
      <w:r w:rsidRPr="006D0EE2">
        <w:t xml:space="preserve"> „I/55 Břeclav obchvat“ </w:t>
      </w:r>
      <w:r>
        <w:t>bylo v prosinci</w:t>
      </w:r>
      <w:r w:rsidRPr="006D0EE2">
        <w:t xml:space="preserve"> 2003 ukonč</w:t>
      </w:r>
      <w:r>
        <w:t>eno</w:t>
      </w:r>
      <w:r w:rsidRPr="006D0EE2">
        <w:t xml:space="preserve"> zjišťovací řízení se závěrem, že stavba nebude posuzována podle zákona č. 100/2001 Sb., územní rozhodnutí bylo vydáno v dubnu 2007. Stavba prochází územím soustav</w:t>
      </w:r>
      <w:r w:rsidR="001952B9">
        <w:t>y</w:t>
      </w:r>
      <w:r w:rsidRPr="006D0EE2">
        <w:t xml:space="preserve"> Natura 2000</w:t>
      </w:r>
      <w:r>
        <w:rPr>
          <w:rStyle w:val="Znakapoznpodarou"/>
        </w:rPr>
        <w:footnoteReference w:id="9"/>
      </w:r>
      <w:r w:rsidR="001952B9">
        <w:t>.</w:t>
      </w:r>
      <w:r w:rsidRPr="006D0EE2">
        <w:t xml:space="preserve"> </w:t>
      </w:r>
      <w:r w:rsidR="001952B9">
        <w:t>P</w:t>
      </w:r>
      <w:r w:rsidR="000C3098">
        <w:t>roti rozhodnutí o</w:t>
      </w:r>
      <w:r w:rsidR="001952B9">
        <w:t xml:space="preserve"> </w:t>
      </w:r>
      <w:r>
        <w:t>s</w:t>
      </w:r>
      <w:r w:rsidRPr="006D0EE2">
        <w:t>tanovení kompenzačních opatření</w:t>
      </w:r>
      <w:r>
        <w:t xml:space="preserve"> vydanému v září 2015</w:t>
      </w:r>
      <w:r w:rsidRPr="006D0EE2">
        <w:t xml:space="preserve"> bylo podáno odvolání k</w:t>
      </w:r>
      <w:r w:rsidR="00312BC8">
        <w:t> </w:t>
      </w:r>
      <w:r w:rsidRPr="006D0EE2">
        <w:t>Ministerstvu životního prostředí a žaloba ke krajskému soudu, který toto rozhodnutí v</w:t>
      </w:r>
      <w:r w:rsidR="00312BC8">
        <w:t> </w:t>
      </w:r>
      <w:r w:rsidRPr="006D0EE2">
        <w:t>dubnu 2017 zrušil a nařídil projednání dopadů stavby na životní prostředí. Na základě podané kasační stížnosti zrušil v dubnu 2018 Nejvyšší správní soud rozhodnutí krajského soudu</w:t>
      </w:r>
      <w:r w:rsidR="00A216D4">
        <w:t xml:space="preserve"> a potvrdil vydané</w:t>
      </w:r>
      <w:r w:rsidRPr="006D0EE2">
        <w:t xml:space="preserve"> rozhodnutí o </w:t>
      </w:r>
      <w:r>
        <w:t xml:space="preserve">stanovených </w:t>
      </w:r>
      <w:r w:rsidRPr="006D0EE2">
        <w:t>kompenzačních opatřeních</w:t>
      </w:r>
      <w:r w:rsidR="00A216D4">
        <w:t>.</w:t>
      </w:r>
      <w:r w:rsidRPr="006D0EE2">
        <w:t xml:space="preserve"> Majetkoprávně vypořádáno bylo 62</w:t>
      </w:r>
      <w:r w:rsidR="00A216D4">
        <w:t> </w:t>
      </w:r>
      <w:r w:rsidRPr="006D0EE2">
        <w:t>% pozemků, probíhala 4 vyvlastňovací řízení, vypořádání některých pozemků komplikovaly exekuce, dědická řízení a duplicitní vlastnictví.</w:t>
      </w:r>
      <w:r>
        <w:t xml:space="preserve"> </w:t>
      </w:r>
      <w:r w:rsidRPr="006D0EE2">
        <w:t>Příprava stavby trvala v době kontroly NKÚ více než 15 let a ŘSD předpokládalo vydání stavebního povolení v roce 2021</w:t>
      </w:r>
      <w:r>
        <w:t>.</w:t>
      </w:r>
    </w:p>
    <w:p w14:paraId="668891E9" w14:textId="4C467E2E" w:rsidR="00C37FA6" w:rsidRDefault="00837A66" w:rsidP="00312BC8">
      <w:pPr>
        <w:spacing w:before="240"/>
      </w:pPr>
      <w:r w:rsidRPr="00C37FA6">
        <w:t>U většiny kontrolovaných staveb</w:t>
      </w:r>
      <w:r w:rsidR="00F25023">
        <w:t xml:space="preserve"> (</w:t>
      </w:r>
      <w:r w:rsidR="001952B9">
        <w:t xml:space="preserve">viz </w:t>
      </w:r>
      <w:r w:rsidR="00F25023">
        <w:t>příloha č. 1)</w:t>
      </w:r>
      <w:r w:rsidRPr="00C37FA6">
        <w:t xml:space="preserve"> ovlivnil dobu přípravy také nedostatek finančních zdrojů v období po ekonomické krizi, kdy byly omezeny finanční prostředky na přípravu staveb, zejména na majetkoprávní vypořádání (výkupy pozemků), zpracování projektových dokumentací apod. Příprava staveb se tak neúměrně prodlužovala, jak je uvedeno dále v bod</w:t>
      </w:r>
      <w:r>
        <w:t>ě č. 7</w:t>
      </w:r>
      <w:r w:rsidRPr="00C37FA6">
        <w:t>.</w:t>
      </w:r>
    </w:p>
    <w:p w14:paraId="20529214" w14:textId="77777777" w:rsidR="00C37FA6" w:rsidRDefault="00C37FA6" w:rsidP="006936C3"/>
    <w:p w14:paraId="1ABADB77" w14:textId="4F6A2CB3" w:rsidR="00D031DB" w:rsidRPr="008605F5" w:rsidRDefault="00837A66" w:rsidP="006936C3">
      <w:r w:rsidRPr="005E1B0A">
        <w:rPr>
          <w:b/>
        </w:rPr>
        <w:t>2.2</w:t>
      </w:r>
      <w:r>
        <w:t> </w:t>
      </w:r>
      <w:r w:rsidR="005E1B0A" w:rsidRPr="003D3558">
        <w:rPr>
          <w:b/>
        </w:rPr>
        <w:t>K urychlení přípravné fáze staveb bylo v kontrolovaném období přijato několik opatření</w:t>
      </w:r>
      <w:r w:rsidR="005E1B0A">
        <w:t>, mj. novela stavebního zákona</w:t>
      </w:r>
      <w:r>
        <w:rPr>
          <w:rStyle w:val="Znakapoznpodarou"/>
        </w:rPr>
        <w:footnoteReference w:id="10"/>
      </w:r>
      <w:r w:rsidR="005E1B0A">
        <w:t xml:space="preserve"> účinná od </w:t>
      </w:r>
      <w:r w:rsidR="005E1B0A" w:rsidRPr="005E1B0A">
        <w:t>1. 1. 2018</w:t>
      </w:r>
      <w:r w:rsidR="005E1B0A">
        <w:t xml:space="preserve">, </w:t>
      </w:r>
      <w:r w:rsidR="005E1B0A" w:rsidRPr="005E1B0A">
        <w:t>kter</w:t>
      </w:r>
      <w:r w:rsidR="005E1B0A">
        <w:t>ou byla</w:t>
      </w:r>
      <w:r w:rsidR="005E1B0A" w:rsidRPr="005E1B0A">
        <w:t xml:space="preserve"> mj. zaved</w:t>
      </w:r>
      <w:r w:rsidR="005E1B0A">
        <w:t>ena</w:t>
      </w:r>
      <w:r w:rsidR="005E1B0A" w:rsidRPr="005E1B0A">
        <w:t xml:space="preserve"> možnost společného územního a stavebního řízení s vydáním společného povolení</w:t>
      </w:r>
      <w:r w:rsidR="001952B9">
        <w:t>,</w:t>
      </w:r>
      <w:r w:rsidR="005E1B0A">
        <w:t xml:space="preserve"> a </w:t>
      </w:r>
      <w:r w:rsidR="005E1B0A" w:rsidRPr="005E1B0A">
        <w:t>novel</w:t>
      </w:r>
      <w:r w:rsidR="005E1B0A">
        <w:t>a</w:t>
      </w:r>
      <w:r w:rsidR="005E1B0A" w:rsidRPr="005E1B0A">
        <w:t xml:space="preserve"> zákona </w:t>
      </w:r>
      <w:r w:rsidR="005E1B0A" w:rsidRPr="005E1B0A">
        <w:lastRenderedPageBreak/>
        <w:t>č.</w:t>
      </w:r>
      <w:r w:rsidR="005E1B0A">
        <w:t> </w:t>
      </w:r>
      <w:r w:rsidR="005E1B0A" w:rsidRPr="005E1B0A">
        <w:t>416/2009 Sb.</w:t>
      </w:r>
      <w:r>
        <w:rPr>
          <w:rStyle w:val="Znakapoznpodarou"/>
        </w:rPr>
        <w:footnoteReference w:id="11"/>
      </w:r>
      <w:r w:rsidR="005E1B0A">
        <w:t xml:space="preserve"> účinná od </w:t>
      </w:r>
      <w:r w:rsidR="005E1B0A" w:rsidRPr="005E1B0A">
        <w:t>31. 8. 2018,</w:t>
      </w:r>
      <w:r w:rsidR="005E1B0A">
        <w:t xml:space="preserve"> kterou bylo</w:t>
      </w:r>
      <w:r w:rsidR="005E1B0A" w:rsidRPr="005E1B0A">
        <w:t xml:space="preserve"> mj. zaved</w:t>
      </w:r>
      <w:r w:rsidR="005E1B0A">
        <w:t>eno</w:t>
      </w:r>
      <w:r w:rsidR="005E1B0A" w:rsidRPr="005E1B0A">
        <w:t xml:space="preserve"> pro vybrané stavby tzv. mezitímní rozhodnutí, které umožní v případě, že podmínky pro vyvlastnění jsou splněny (s</w:t>
      </w:r>
      <w:r w:rsidR="005E1B0A">
        <w:t> </w:t>
      </w:r>
      <w:r w:rsidR="005E1B0A" w:rsidRPr="005E1B0A">
        <w:t xml:space="preserve">výjimkou určení výše náhrady za vyvlastnění), potřebné pozemky vyvlastnit a spor o výši náhrady vést až poté. Spor </w:t>
      </w:r>
      <w:r w:rsidR="005E1B0A" w:rsidRPr="008605F5">
        <w:t xml:space="preserve">o výši náhrady by tak neblokoval vydání stavebního povolení. </w:t>
      </w:r>
      <w:r w:rsidR="005E1B0A" w:rsidRPr="008605F5">
        <w:rPr>
          <w:b/>
        </w:rPr>
        <w:t xml:space="preserve">Vzhledem ke krátké době účinnosti obou </w:t>
      </w:r>
      <w:r w:rsidR="001E5E95" w:rsidRPr="008605F5">
        <w:rPr>
          <w:b/>
        </w:rPr>
        <w:t xml:space="preserve">novelizovaných </w:t>
      </w:r>
      <w:r w:rsidR="005E1B0A" w:rsidRPr="008605F5">
        <w:rPr>
          <w:b/>
        </w:rPr>
        <w:t>zákonů se pozitivní vliv těchto změn ve větší míře do doby</w:t>
      </w:r>
      <w:r w:rsidR="001E16E8" w:rsidRPr="008605F5">
        <w:rPr>
          <w:b/>
        </w:rPr>
        <w:t xml:space="preserve"> ukončení</w:t>
      </w:r>
      <w:r w:rsidR="005E1B0A" w:rsidRPr="008605F5">
        <w:rPr>
          <w:b/>
        </w:rPr>
        <w:t xml:space="preserve"> kontroly NKÚ neprojevil.</w:t>
      </w:r>
    </w:p>
    <w:p w14:paraId="0D8221AD" w14:textId="77777777" w:rsidR="00E45AC3" w:rsidRPr="008605F5" w:rsidRDefault="00E45AC3" w:rsidP="006936C3"/>
    <w:p w14:paraId="54529B39" w14:textId="238DA651" w:rsidR="00E728D6" w:rsidRPr="008605F5" w:rsidRDefault="00837A66" w:rsidP="00075C53">
      <w:r w:rsidRPr="008605F5">
        <w:t xml:space="preserve">ŘSD využívalo zejména </w:t>
      </w:r>
      <w:r w:rsidR="00B445B1" w:rsidRPr="008605F5">
        <w:t xml:space="preserve">ustanovení </w:t>
      </w:r>
      <w:r w:rsidRPr="008605F5">
        <w:t xml:space="preserve">§ 184a stavebního zákona, </w:t>
      </w:r>
      <w:r w:rsidR="001D7EC7">
        <w:t xml:space="preserve">které </w:t>
      </w:r>
      <w:r w:rsidRPr="008605F5">
        <w:t>umožňuj</w:t>
      </w:r>
      <w:r w:rsidR="001D7EC7">
        <w:t>e</w:t>
      </w:r>
      <w:r w:rsidRPr="008605F5">
        <w:t xml:space="preserve"> požádat </w:t>
      </w:r>
      <w:r w:rsidR="001D7EC7">
        <w:br/>
      </w:r>
      <w:r w:rsidRPr="008605F5">
        <w:t>o vydání stavebního povolení bez dokončení maj</w:t>
      </w:r>
      <w:r w:rsidR="001E16E8" w:rsidRPr="008605F5">
        <w:t xml:space="preserve">etkoprávního vypořádání pozemků. Plánované časové úspory však nebylo dosaženo, neboť </w:t>
      </w:r>
      <w:r w:rsidR="001E16E8" w:rsidRPr="008605F5">
        <w:rPr>
          <w:b/>
        </w:rPr>
        <w:t>s</w:t>
      </w:r>
      <w:r w:rsidR="00075C53" w:rsidRPr="008605F5">
        <w:rPr>
          <w:b/>
        </w:rPr>
        <w:t xml:space="preserve">ouběh majetkoprávní přípravy </w:t>
      </w:r>
      <w:r w:rsidR="00075C53" w:rsidRPr="007F4A18">
        <w:rPr>
          <w:b/>
        </w:rPr>
        <w:t>a</w:t>
      </w:r>
      <w:r w:rsidR="00EB7D68">
        <w:rPr>
          <w:b/>
        </w:rPr>
        <w:t> </w:t>
      </w:r>
      <w:r w:rsidR="00075C53" w:rsidRPr="007F4A18">
        <w:rPr>
          <w:b/>
        </w:rPr>
        <w:t>s</w:t>
      </w:r>
      <w:r w:rsidR="00075C53" w:rsidRPr="008605F5">
        <w:rPr>
          <w:b/>
        </w:rPr>
        <w:t>právních řízení problémy prodlužování přípravy staveb nevyřešil, jen je přesunul do stavebního řízení</w:t>
      </w:r>
      <w:r w:rsidR="001E16E8" w:rsidRPr="00893843">
        <w:rPr>
          <w:b/>
        </w:rPr>
        <w:t>.</w:t>
      </w:r>
      <w:r w:rsidR="001E16E8" w:rsidRPr="008605F5">
        <w:t xml:space="preserve"> </w:t>
      </w:r>
    </w:p>
    <w:p w14:paraId="0019CE73" w14:textId="77777777" w:rsidR="0051463A" w:rsidRPr="008605F5" w:rsidRDefault="0051463A" w:rsidP="006936C3"/>
    <w:p w14:paraId="7911C51A" w14:textId="77777777" w:rsidR="0051463A" w:rsidRPr="0051463A" w:rsidRDefault="00837A66" w:rsidP="006936C3">
      <w:pPr>
        <w:rPr>
          <w:b/>
        </w:rPr>
      </w:pPr>
      <w:r w:rsidRPr="0051463A">
        <w:rPr>
          <w:b/>
        </w:rPr>
        <w:t>3. Realizace staveb</w:t>
      </w:r>
    </w:p>
    <w:p w14:paraId="39C3608C" w14:textId="77777777" w:rsidR="0051463A" w:rsidRDefault="0051463A" w:rsidP="006936C3"/>
    <w:p w14:paraId="175BA3EB" w14:textId="03060586" w:rsidR="00F4443E" w:rsidRPr="007B1F5F" w:rsidRDefault="00837A66" w:rsidP="001005F5">
      <w:pPr>
        <w:rPr>
          <w:b/>
        </w:rPr>
      </w:pPr>
      <w:r w:rsidRPr="001005F5">
        <w:rPr>
          <w:b/>
        </w:rPr>
        <w:t>3.1</w:t>
      </w:r>
      <w:r>
        <w:t xml:space="preserve"> </w:t>
      </w:r>
      <w:r w:rsidRPr="001005F5">
        <w:t xml:space="preserve">Počty </w:t>
      </w:r>
      <w:r w:rsidR="001D7EC7">
        <w:t xml:space="preserve">staveb </w:t>
      </w:r>
      <w:r w:rsidRPr="001005F5">
        <w:t xml:space="preserve">a délky vybudovaných </w:t>
      </w:r>
      <w:r w:rsidR="001D7EC7">
        <w:t>nebo</w:t>
      </w:r>
      <w:r w:rsidRPr="001005F5">
        <w:t xml:space="preserve"> modernizovaných silnic I. třídy zprovozněných v </w:t>
      </w:r>
      <w:r w:rsidR="00A4761C">
        <w:t>letech 2013–</w:t>
      </w:r>
      <w:r w:rsidRPr="001005F5">
        <w:t>2018, vč. střednědobé</w:t>
      </w:r>
      <w:r w:rsidR="001D7EC7">
        <w:t>ho</w:t>
      </w:r>
      <w:r w:rsidRPr="001005F5">
        <w:t xml:space="preserve"> výhledu </w:t>
      </w:r>
      <w:r w:rsidR="001D7EC7" w:rsidRPr="001005F5">
        <w:t xml:space="preserve">ŘSD </w:t>
      </w:r>
      <w:r w:rsidRPr="001005F5">
        <w:t>do roku 2021</w:t>
      </w:r>
      <w:r>
        <w:t xml:space="preserve">, </w:t>
      </w:r>
      <w:r w:rsidR="001D7EC7">
        <w:t xml:space="preserve">uvádí </w:t>
      </w:r>
      <w:r>
        <w:t>následující graf.</w:t>
      </w:r>
    </w:p>
    <w:p w14:paraId="31AC25AB" w14:textId="77777777" w:rsidR="00F4443E" w:rsidRDefault="00837A66" w:rsidP="00F4443E">
      <w:pPr>
        <w:jc w:val="center"/>
      </w:pPr>
      <w:r>
        <w:rPr>
          <w:noProof/>
          <w:lang w:eastAsia="cs-CZ"/>
        </w:rPr>
        <w:drawing>
          <wp:inline distT="0" distB="0" distL="0" distR="0" wp14:anchorId="15349B1A" wp14:editId="1E2F03F2">
            <wp:extent cx="5835650" cy="2872740"/>
            <wp:effectExtent l="0" t="0" r="0" b="381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2DECE9" w14:textId="65818BED" w:rsidR="00F4443E" w:rsidRPr="009525B3" w:rsidRDefault="00837A66" w:rsidP="00F4443E">
      <w:pPr>
        <w:rPr>
          <w:sz w:val="20"/>
        </w:rPr>
      </w:pPr>
      <w:r w:rsidRPr="009525B3">
        <w:rPr>
          <w:b/>
          <w:sz w:val="20"/>
        </w:rPr>
        <w:t>Zdroj:</w:t>
      </w:r>
      <w:r w:rsidRPr="009525B3">
        <w:rPr>
          <w:sz w:val="20"/>
        </w:rPr>
        <w:t xml:space="preserve"> </w:t>
      </w:r>
      <w:r w:rsidR="001D7EC7">
        <w:rPr>
          <w:sz w:val="20"/>
        </w:rPr>
        <w:t>p</w:t>
      </w:r>
      <w:r>
        <w:rPr>
          <w:sz w:val="20"/>
        </w:rPr>
        <w:t>odklady ŘSD</w:t>
      </w:r>
      <w:r w:rsidRPr="009525B3">
        <w:rPr>
          <w:sz w:val="20"/>
        </w:rPr>
        <w:t>.</w:t>
      </w:r>
    </w:p>
    <w:p w14:paraId="60E66DAD" w14:textId="340CB78B" w:rsidR="00F4443E" w:rsidRDefault="00837A66" w:rsidP="008C7B0F">
      <w:pPr>
        <w:ind w:left="567" w:hanging="567"/>
        <w:rPr>
          <w:sz w:val="20"/>
        </w:rPr>
      </w:pPr>
      <w:r w:rsidRPr="00F4443E">
        <w:rPr>
          <w:b/>
          <w:sz w:val="20"/>
        </w:rPr>
        <w:t>Pozn</w:t>
      </w:r>
      <w:r w:rsidR="008C7B0F">
        <w:rPr>
          <w:b/>
          <w:sz w:val="20"/>
        </w:rPr>
        <w:t>.</w:t>
      </w:r>
      <w:r w:rsidRPr="00F4443E">
        <w:rPr>
          <w:b/>
          <w:sz w:val="20"/>
        </w:rPr>
        <w:t xml:space="preserve">: </w:t>
      </w:r>
      <w:r w:rsidRPr="00F4443E">
        <w:rPr>
          <w:sz w:val="20"/>
        </w:rPr>
        <w:tab/>
        <w:t xml:space="preserve">Zprovoznění stavby </w:t>
      </w:r>
      <w:r w:rsidR="001005F5">
        <w:rPr>
          <w:sz w:val="20"/>
        </w:rPr>
        <w:t>„</w:t>
      </w:r>
      <w:r w:rsidRPr="00F4443E">
        <w:rPr>
          <w:sz w:val="20"/>
        </w:rPr>
        <w:t>I/16 Slaný – Velvary</w:t>
      </w:r>
      <w:r w:rsidR="001005F5">
        <w:rPr>
          <w:sz w:val="20"/>
        </w:rPr>
        <w:t>“ v délce 12,88 km</w:t>
      </w:r>
      <w:r w:rsidRPr="00F4443E">
        <w:rPr>
          <w:sz w:val="20"/>
        </w:rPr>
        <w:t xml:space="preserve"> je z</w:t>
      </w:r>
      <w:r w:rsidR="001005F5">
        <w:rPr>
          <w:sz w:val="20"/>
        </w:rPr>
        <w:t>obrazeno</w:t>
      </w:r>
      <w:r w:rsidRPr="00F4443E">
        <w:rPr>
          <w:sz w:val="20"/>
        </w:rPr>
        <w:t xml:space="preserve"> až v roce 2020, část stavby (I. etapa – obchvat Slaného </w:t>
      </w:r>
      <w:r w:rsidR="001005F5">
        <w:rPr>
          <w:sz w:val="20"/>
        </w:rPr>
        <w:t xml:space="preserve">v délce </w:t>
      </w:r>
      <w:r w:rsidRPr="00F4443E">
        <w:rPr>
          <w:sz w:val="20"/>
        </w:rPr>
        <w:t>6,70 km) předpokládá ŘSD zprovoznit koncem roku 2019.</w:t>
      </w:r>
    </w:p>
    <w:p w14:paraId="030A672F" w14:textId="74E7F5A2" w:rsidR="00656E6C" w:rsidRPr="00F4443E" w:rsidRDefault="009A4904" w:rsidP="008C7B0F">
      <w:pPr>
        <w:ind w:left="567"/>
        <w:rPr>
          <w:sz w:val="20"/>
        </w:rPr>
      </w:pPr>
      <w:r>
        <w:rPr>
          <w:sz w:val="20"/>
        </w:rPr>
        <w:t>Roky 2019</w:t>
      </w:r>
      <w:r w:rsidR="00656E6C" w:rsidRPr="00F4443E">
        <w:rPr>
          <w:sz w:val="20"/>
        </w:rPr>
        <w:t>–</w:t>
      </w:r>
      <w:r w:rsidR="00656E6C">
        <w:rPr>
          <w:sz w:val="20"/>
        </w:rPr>
        <w:t>2021 značí předpoklad</w:t>
      </w:r>
      <w:r w:rsidR="006E3A12">
        <w:rPr>
          <w:sz w:val="20"/>
        </w:rPr>
        <w:t xml:space="preserve"> ŘSD</w:t>
      </w:r>
      <w:r w:rsidR="00656E6C">
        <w:rPr>
          <w:sz w:val="20"/>
        </w:rPr>
        <w:t>.</w:t>
      </w:r>
    </w:p>
    <w:p w14:paraId="412527AD" w14:textId="39D20EA0" w:rsidR="001005F5" w:rsidRDefault="00837A66" w:rsidP="00312BC8">
      <w:pPr>
        <w:spacing w:before="240"/>
      </w:pPr>
      <w:r w:rsidRPr="0051463A">
        <w:rPr>
          <w:b/>
        </w:rPr>
        <w:t>3.</w:t>
      </w:r>
      <w:r>
        <w:rPr>
          <w:b/>
        </w:rPr>
        <w:t>2</w:t>
      </w:r>
      <w:r>
        <w:t> V kontrolovaném období se</w:t>
      </w:r>
      <w:r w:rsidR="00E25C33">
        <w:t xml:space="preserve"> u staveb v realizaci</w:t>
      </w:r>
      <w:r>
        <w:t xml:space="preserve"> také projevily důsledky omezení finančních prostředků související s</w:t>
      </w:r>
      <w:r w:rsidRPr="00547908">
        <w:t> </w:t>
      </w:r>
      <w:r>
        <w:t>ekonomickou krizí. Na základě usnesení vlády</w:t>
      </w:r>
      <w:r w:rsidRPr="004332AF">
        <w:t xml:space="preserve"> ze dne 25.</w:t>
      </w:r>
      <w:r w:rsidR="001D7EC7">
        <w:t xml:space="preserve"> </w:t>
      </w:r>
      <w:r w:rsidRPr="004332AF">
        <w:t>8.</w:t>
      </w:r>
      <w:r w:rsidR="001D7EC7">
        <w:t xml:space="preserve"> </w:t>
      </w:r>
      <w:r w:rsidRPr="004332AF">
        <w:t>2010 č.</w:t>
      </w:r>
      <w:r>
        <w:t> </w:t>
      </w:r>
      <w:r w:rsidRPr="004332AF">
        <w:t>617</w:t>
      </w:r>
      <w:r w:rsidR="001E16E8">
        <w:rPr>
          <w:rStyle w:val="Znakapoznpodarou"/>
        </w:rPr>
        <w:footnoteReference w:id="12"/>
      </w:r>
      <w:r>
        <w:t xml:space="preserve"> došlo k </w:t>
      </w:r>
      <w:r w:rsidRPr="004332AF">
        <w:t>zastavení</w:t>
      </w:r>
      <w:r>
        <w:t xml:space="preserve"> realizace</w:t>
      </w:r>
      <w:r w:rsidRPr="004332AF">
        <w:t xml:space="preserve"> (resp. zpomalení či konzervaci) </w:t>
      </w:r>
      <w:r>
        <w:t xml:space="preserve">vybraných </w:t>
      </w:r>
      <w:r w:rsidRPr="004332AF">
        <w:t>staveb dopravní infrastruktury</w:t>
      </w:r>
      <w:r>
        <w:t>. Jednalo se o stavby, u nichž byla podepsána smlouva s dodavatelem stavebních prací, případně i zahájeny stavební práce.</w:t>
      </w:r>
    </w:p>
    <w:p w14:paraId="496FFB21" w14:textId="1225131B" w:rsidR="001005F5" w:rsidRDefault="00837A66" w:rsidP="00656E6C">
      <w:pPr>
        <w:spacing w:before="240"/>
      </w:pPr>
      <w:r>
        <w:lastRenderedPageBreak/>
        <w:t xml:space="preserve">ŘSD muselo dodavatelům stavebních prací, kteří se nevzdali finančních nároků za přerušení prací a konzervaci stavby, uhradit </w:t>
      </w:r>
      <w:r w:rsidRPr="00290CA7">
        <w:t>náklady v celkové výši 125 868 078,74 Kč bez DPH</w:t>
      </w:r>
      <w:r>
        <w:t xml:space="preserve">. V této částce nejsou zahrnuty </w:t>
      </w:r>
      <w:r w:rsidR="007F3837">
        <w:t xml:space="preserve">dodatečné náklady na </w:t>
      </w:r>
      <w:r>
        <w:t xml:space="preserve">stavby silnic I. třídy, které nemohly být zahájeny z důvodu </w:t>
      </w:r>
      <w:r w:rsidR="009269DE">
        <w:t>nezajištění</w:t>
      </w:r>
      <w:r>
        <w:t xml:space="preserve"> pravomocných stavebních povolení (</w:t>
      </w:r>
      <w:r w:rsidR="006E3A12">
        <w:t xml:space="preserve">viz </w:t>
      </w:r>
      <w:r>
        <w:t xml:space="preserve">bod </w:t>
      </w:r>
      <w:r w:rsidR="004E57AA">
        <w:t>4</w:t>
      </w:r>
      <w:r w:rsidR="00B40E18">
        <w:t>.1</w:t>
      </w:r>
      <w:r>
        <w:t>).</w:t>
      </w:r>
    </w:p>
    <w:p w14:paraId="68020551" w14:textId="77777777" w:rsidR="007344A6" w:rsidRDefault="007344A6" w:rsidP="006936C3"/>
    <w:p w14:paraId="3092D695" w14:textId="77777777" w:rsidR="00F77871" w:rsidRPr="00F77871" w:rsidRDefault="00837A66" w:rsidP="00F77871">
      <w:pPr>
        <w:rPr>
          <w:b/>
        </w:rPr>
      </w:pPr>
      <w:r w:rsidRPr="00F77871">
        <w:rPr>
          <w:b/>
        </w:rPr>
        <w:t>4. Zadávací řízení na dodavatele stavebních prací</w:t>
      </w:r>
    </w:p>
    <w:p w14:paraId="0C3EEA06" w14:textId="77777777" w:rsidR="001005F5" w:rsidRDefault="001005F5" w:rsidP="006936C3"/>
    <w:p w14:paraId="64A49E20" w14:textId="72D4D74F" w:rsidR="001005F5" w:rsidRDefault="00837A66" w:rsidP="006936C3">
      <w:r w:rsidRPr="00711E0B">
        <w:rPr>
          <w:b/>
        </w:rPr>
        <w:t>4.1</w:t>
      </w:r>
      <w:r>
        <w:t xml:space="preserve"> </w:t>
      </w:r>
      <w:r w:rsidR="00CD28E7" w:rsidRPr="00C04019">
        <w:rPr>
          <w:b/>
        </w:rPr>
        <w:t>Zahájení zadávacího řízení a</w:t>
      </w:r>
      <w:r w:rsidR="00CD28E7">
        <w:t xml:space="preserve"> </w:t>
      </w:r>
      <w:r w:rsidR="00CD28E7" w:rsidRPr="00A25177">
        <w:rPr>
          <w:b/>
        </w:rPr>
        <w:t>u</w:t>
      </w:r>
      <w:r w:rsidR="00711E0B" w:rsidRPr="00A25177">
        <w:rPr>
          <w:b/>
        </w:rPr>
        <w:t>zavření smlouvy s dodavatelem stavebních prací v době, kdy ŘSD nemělo pro stavby k dispozici pravomocná stavební povolení</w:t>
      </w:r>
      <w:r w:rsidR="00711E0B">
        <w:t xml:space="preserve"> </w:t>
      </w:r>
      <w:r w:rsidR="00711E0B" w:rsidRPr="00711E0B">
        <w:t>(</w:t>
      </w:r>
      <w:r w:rsidR="00711E0B">
        <w:t xml:space="preserve">ve všech níže uvedených příkladech se jednalo </w:t>
      </w:r>
      <w:r w:rsidR="00711E0B" w:rsidRPr="00711E0B">
        <w:t>o</w:t>
      </w:r>
      <w:r w:rsidR="000305C6">
        <w:t xml:space="preserve"> </w:t>
      </w:r>
      <w:r w:rsidR="00711E0B" w:rsidRPr="00711E0B">
        <w:t xml:space="preserve">smlouvy uzavřené </w:t>
      </w:r>
      <w:r w:rsidR="00711E0B" w:rsidRPr="00711E0B">
        <w:rPr>
          <w:b/>
        </w:rPr>
        <w:t>před rokem 2013</w:t>
      </w:r>
      <w:r w:rsidR="00711E0B" w:rsidRPr="00711E0B">
        <w:t>)</w:t>
      </w:r>
      <w:r w:rsidR="000305C6">
        <w:t>,</w:t>
      </w:r>
      <w:r w:rsidR="00711E0B" w:rsidRPr="00711E0B">
        <w:t xml:space="preserve"> </w:t>
      </w:r>
      <w:r w:rsidR="000305C6" w:rsidRPr="00C04019">
        <w:rPr>
          <w:b/>
        </w:rPr>
        <w:t>byly faktory, které</w:t>
      </w:r>
      <w:r w:rsidR="000305C6">
        <w:t xml:space="preserve"> </w:t>
      </w:r>
      <w:r w:rsidR="00711E0B" w:rsidRPr="00A25177">
        <w:rPr>
          <w:b/>
        </w:rPr>
        <w:t>měl</w:t>
      </w:r>
      <w:r w:rsidR="000305C6">
        <w:rPr>
          <w:b/>
        </w:rPr>
        <w:t>y</w:t>
      </w:r>
      <w:r w:rsidR="00711E0B" w:rsidRPr="00A25177">
        <w:rPr>
          <w:b/>
        </w:rPr>
        <w:t xml:space="preserve"> v kontrolovaném období dopad na hospodárnost vynakládaných prostředků a zvýšení nákladů staveb.</w:t>
      </w:r>
      <w:r w:rsidR="00711E0B">
        <w:t xml:space="preserve"> </w:t>
      </w:r>
      <w:r w:rsidR="00711E0B" w:rsidRPr="00711E0B">
        <w:t xml:space="preserve">ŘSD muselo dodavatelům stavebních prací, kteří se nároku nevzdali, uhradit finanční kompenzace </w:t>
      </w:r>
      <w:r w:rsidR="000305C6">
        <w:t>(</w:t>
      </w:r>
      <w:r w:rsidR="00711E0B" w:rsidRPr="00711E0B">
        <w:t xml:space="preserve">vzniklé </w:t>
      </w:r>
      <w:r w:rsidR="000305C6">
        <w:t>v důsledku</w:t>
      </w:r>
      <w:r w:rsidR="00711E0B" w:rsidRPr="00711E0B">
        <w:t xml:space="preserve"> opožděného zahájení stavebních prací</w:t>
      </w:r>
      <w:r w:rsidR="000305C6">
        <w:t>)</w:t>
      </w:r>
      <w:r w:rsidR="00711E0B">
        <w:t xml:space="preserve"> v celkové výši </w:t>
      </w:r>
      <w:r w:rsidR="00711E0B" w:rsidRPr="00711E0B">
        <w:t>46</w:t>
      </w:r>
      <w:r w:rsidR="001D3BB1">
        <w:t> </w:t>
      </w:r>
      <w:r w:rsidR="00711E0B" w:rsidRPr="00711E0B">
        <w:t>504</w:t>
      </w:r>
      <w:r w:rsidR="001D3BB1">
        <w:t> </w:t>
      </w:r>
      <w:r w:rsidR="00711E0B" w:rsidRPr="00711E0B">
        <w:t xml:space="preserve">748,94 Kč vč. DPH. Tato částka nebyla konečná, neboť nároky zhotovitelů u </w:t>
      </w:r>
      <w:r w:rsidR="00711E0B">
        <w:t xml:space="preserve">dvou </w:t>
      </w:r>
      <w:r w:rsidR="00711E0B" w:rsidRPr="00711E0B">
        <w:t>staveb nebyly v době kontroly NKÚ finálně vypořádány</w:t>
      </w:r>
      <w:r w:rsidR="00711E0B">
        <w:t>. Například:</w:t>
      </w:r>
      <w:r w:rsidR="00A25177" w:rsidRPr="00A25177">
        <w:t xml:space="preserve"> </w:t>
      </w:r>
    </w:p>
    <w:p w14:paraId="1A532970" w14:textId="6A54F7AB" w:rsidR="00711E0B" w:rsidRDefault="00837A66" w:rsidP="00711E0B">
      <w:pPr>
        <w:spacing w:before="60"/>
        <w:ind w:left="142" w:hanging="142"/>
      </w:pPr>
      <w:r>
        <w:t>-</w:t>
      </w:r>
      <w:r>
        <w:tab/>
        <w:t>Pro stavbu „I/37 C</w:t>
      </w:r>
      <w:r w:rsidR="00D27B24">
        <w:t>hrudim obchvat úsek Medlešice –</w:t>
      </w:r>
      <w:r>
        <w:t xml:space="preserve"> I/17“ </w:t>
      </w:r>
      <w:r w:rsidR="00827120">
        <w:t>byla smlouva o dílo uzavřena v březnu 2010, stavební práce byly zahajovány postupně od</w:t>
      </w:r>
      <w:r w:rsidR="000305C6">
        <w:t xml:space="preserve"> </w:t>
      </w:r>
      <w:r w:rsidR="00827120">
        <w:t xml:space="preserve">března 2013 a zhotovitel z tohoto důvodu </w:t>
      </w:r>
      <w:r>
        <w:t xml:space="preserve">uplatnil nároky v celkové výši 32 455 595 Kč bez DPH. ŘSD tyto nároky rozporovalo, na základě znaleckého posudku pak </w:t>
      </w:r>
      <w:r w:rsidR="00827120">
        <w:t>v roce 2016</w:t>
      </w:r>
      <w:r>
        <w:t xml:space="preserve"> </w:t>
      </w:r>
      <w:r w:rsidR="00827120">
        <w:t xml:space="preserve">ŘSD </w:t>
      </w:r>
      <w:r>
        <w:t xml:space="preserve">uhradilo zhotoviteli </w:t>
      </w:r>
      <w:r w:rsidR="00827120" w:rsidRPr="00827120">
        <w:t>15</w:t>
      </w:r>
      <w:r w:rsidR="00827120">
        <w:t> </w:t>
      </w:r>
      <w:r w:rsidR="00827120" w:rsidRPr="00827120">
        <w:t>589</w:t>
      </w:r>
      <w:r w:rsidR="00827120">
        <w:t> </w:t>
      </w:r>
      <w:r w:rsidR="00827120" w:rsidRPr="00827120">
        <w:t>016,85 Kč vč</w:t>
      </w:r>
      <w:r w:rsidR="00827120">
        <w:t>.</w:t>
      </w:r>
      <w:r w:rsidR="00827120" w:rsidRPr="00827120">
        <w:t xml:space="preserve"> DPH</w:t>
      </w:r>
      <w:r w:rsidR="00827120">
        <w:t>.</w:t>
      </w:r>
    </w:p>
    <w:p w14:paraId="0369722D" w14:textId="77777777" w:rsidR="00711E0B" w:rsidRDefault="00837A66" w:rsidP="00711E0B">
      <w:pPr>
        <w:spacing w:before="60"/>
        <w:ind w:left="142" w:hanging="142"/>
      </w:pPr>
      <w:r>
        <w:t>-</w:t>
      </w:r>
      <w:r>
        <w:tab/>
      </w:r>
      <w:r w:rsidR="00827120">
        <w:t>Pro</w:t>
      </w:r>
      <w:r>
        <w:t xml:space="preserve"> stavb</w:t>
      </w:r>
      <w:r w:rsidR="00827120">
        <w:t>u</w:t>
      </w:r>
      <w:r>
        <w:t xml:space="preserve"> „I/11 Ostrava Prodloužená Rudná </w:t>
      </w:r>
      <w:r w:rsidR="000F0B1B">
        <w:t>–</w:t>
      </w:r>
      <w:r>
        <w:t xml:space="preserve"> hranice okr. Opava“ byla smlouva o dílo uzavřena </w:t>
      </w:r>
      <w:r w:rsidR="00827120">
        <w:t>v říjnu</w:t>
      </w:r>
      <w:r>
        <w:t xml:space="preserve"> 2009, pokyn k zahájení stavebních prací byl vydán v říjnu 2012</w:t>
      </w:r>
      <w:r w:rsidR="00827120">
        <w:t xml:space="preserve">, poté </w:t>
      </w:r>
      <w:r>
        <w:t>probíhala realizace</w:t>
      </w:r>
      <w:r w:rsidR="00827120">
        <w:t xml:space="preserve"> stavebních prací</w:t>
      </w:r>
      <w:r>
        <w:t xml:space="preserve"> v omezeném rozsahu s ohledem na postupně </w:t>
      </w:r>
      <w:r w:rsidR="00827120">
        <w:t>získávaná</w:t>
      </w:r>
      <w:r>
        <w:t xml:space="preserve"> </w:t>
      </w:r>
      <w:r w:rsidR="00827120">
        <w:t>pravomocná</w:t>
      </w:r>
      <w:r>
        <w:t xml:space="preserve"> stavební povolení. </w:t>
      </w:r>
      <w:r w:rsidR="00827120">
        <w:t>V</w:t>
      </w:r>
      <w:r>
        <w:t xml:space="preserve"> listopadu 2017 </w:t>
      </w:r>
      <w:r w:rsidR="00827120">
        <w:t xml:space="preserve">ŘSD </w:t>
      </w:r>
      <w:r>
        <w:t xml:space="preserve">převzalo </w:t>
      </w:r>
      <w:r w:rsidR="005C18E4">
        <w:t xml:space="preserve">dokončenou </w:t>
      </w:r>
      <w:r>
        <w:t xml:space="preserve">část </w:t>
      </w:r>
      <w:r w:rsidR="005C18E4">
        <w:t>hlavní trasy, kterou nebylo možné zprovoznit</w:t>
      </w:r>
      <w:r w:rsidR="00827120">
        <w:t xml:space="preserve">, </w:t>
      </w:r>
      <w:r w:rsidR="00B40E18">
        <w:t xml:space="preserve">protože </w:t>
      </w:r>
      <w:r w:rsidR="00827120">
        <w:t>z</w:t>
      </w:r>
      <w:r>
        <w:t>bývající část v úseku km 14,486</w:t>
      </w:r>
      <w:r w:rsidR="000F0B1B">
        <w:t>–</w:t>
      </w:r>
      <w:r>
        <w:t xml:space="preserve">14,900 </w:t>
      </w:r>
      <w:r w:rsidR="000F0B1B">
        <w:t xml:space="preserve">nebyla ani po 10 letech od uzavření smlouvy dokončena z důvodu </w:t>
      </w:r>
      <w:r w:rsidR="005C18E4">
        <w:t>ne</w:t>
      </w:r>
      <w:r w:rsidR="004557B7">
        <w:t>u</w:t>
      </w:r>
      <w:r w:rsidR="005C18E4">
        <w:t>končeného</w:t>
      </w:r>
      <w:r w:rsidR="005C18E4" w:rsidRPr="00332ECD">
        <w:rPr>
          <w:sz w:val="20"/>
        </w:rPr>
        <w:t xml:space="preserve"> </w:t>
      </w:r>
      <w:r w:rsidR="005C18E4">
        <w:t>vyvlastnění</w:t>
      </w:r>
      <w:r w:rsidR="005C18E4" w:rsidRPr="00332ECD">
        <w:rPr>
          <w:sz w:val="20"/>
        </w:rPr>
        <w:t xml:space="preserve"> </w:t>
      </w:r>
      <w:r w:rsidR="005C18E4">
        <w:t>věcných</w:t>
      </w:r>
      <w:r w:rsidR="005C18E4" w:rsidRPr="00332ECD">
        <w:rPr>
          <w:sz w:val="20"/>
        </w:rPr>
        <w:t xml:space="preserve"> </w:t>
      </w:r>
      <w:r w:rsidR="005C18E4">
        <w:t>břemen</w:t>
      </w:r>
      <w:r w:rsidR="005C18E4" w:rsidRPr="00332ECD">
        <w:rPr>
          <w:sz w:val="20"/>
        </w:rPr>
        <w:t xml:space="preserve"> </w:t>
      </w:r>
      <w:r w:rsidR="005C18E4">
        <w:t>práva</w:t>
      </w:r>
      <w:r w:rsidR="005C18E4" w:rsidRPr="00332ECD">
        <w:rPr>
          <w:sz w:val="20"/>
        </w:rPr>
        <w:t xml:space="preserve"> </w:t>
      </w:r>
      <w:r w:rsidR="005C18E4">
        <w:t>chůze</w:t>
      </w:r>
      <w:r w:rsidR="005C18E4" w:rsidRPr="00332ECD">
        <w:rPr>
          <w:sz w:val="20"/>
        </w:rPr>
        <w:t xml:space="preserve"> </w:t>
      </w:r>
      <w:r w:rsidR="005C18E4">
        <w:t>a</w:t>
      </w:r>
      <w:r w:rsidR="005C18E4" w:rsidRPr="00332ECD">
        <w:rPr>
          <w:sz w:val="20"/>
        </w:rPr>
        <w:t xml:space="preserve"> </w:t>
      </w:r>
      <w:r w:rsidR="005C18E4">
        <w:t>jízdy</w:t>
      </w:r>
      <w:r w:rsidR="005C18E4" w:rsidRPr="00332ECD">
        <w:rPr>
          <w:sz w:val="20"/>
        </w:rPr>
        <w:t xml:space="preserve"> </w:t>
      </w:r>
      <w:r w:rsidR="005C18E4">
        <w:t>přes</w:t>
      </w:r>
      <w:r w:rsidR="005C18E4" w:rsidRPr="00332ECD">
        <w:rPr>
          <w:sz w:val="20"/>
        </w:rPr>
        <w:t xml:space="preserve"> </w:t>
      </w:r>
      <w:r w:rsidR="005C18E4">
        <w:t>pozemky</w:t>
      </w:r>
      <w:r w:rsidR="005C18E4" w:rsidRPr="00332ECD">
        <w:rPr>
          <w:sz w:val="20"/>
        </w:rPr>
        <w:t xml:space="preserve"> </w:t>
      </w:r>
      <w:r w:rsidR="005C18E4">
        <w:t>ŘSD</w:t>
      </w:r>
      <w:r>
        <w:t>.</w:t>
      </w:r>
      <w:r w:rsidRPr="00332ECD">
        <w:rPr>
          <w:sz w:val="20"/>
        </w:rPr>
        <w:t xml:space="preserve"> </w:t>
      </w:r>
      <w:r>
        <w:t>Zhotovitel vyčíslil finanční nárok</w:t>
      </w:r>
      <w:r w:rsidR="00BC5AFE">
        <w:t>y</w:t>
      </w:r>
      <w:r>
        <w:t xml:space="preserve"> z</w:t>
      </w:r>
      <w:r w:rsidR="000F0B1B">
        <w:t> </w:t>
      </w:r>
      <w:r>
        <w:t>důvodu chybějících stavebních povolení na částku 42</w:t>
      </w:r>
      <w:r w:rsidR="00BC5AFE">
        <w:t> </w:t>
      </w:r>
      <w:r>
        <w:t>759</w:t>
      </w:r>
      <w:r w:rsidR="00BC5AFE">
        <w:t> </w:t>
      </w:r>
      <w:r>
        <w:t>077 Kč bez DPH,</w:t>
      </w:r>
      <w:r w:rsidR="005C18E4">
        <w:t xml:space="preserve"> tato</w:t>
      </w:r>
      <w:r>
        <w:t xml:space="preserve"> </w:t>
      </w:r>
      <w:r w:rsidR="005C18E4">
        <w:t>v</w:t>
      </w:r>
      <w:r>
        <w:t xml:space="preserve">ýše </w:t>
      </w:r>
      <w:r w:rsidR="005C18E4">
        <w:t>byla</w:t>
      </w:r>
      <w:r>
        <w:t xml:space="preserve"> stanovena jako maximální. </w:t>
      </w:r>
      <w:r w:rsidR="00332ECD">
        <w:t>D</w:t>
      </w:r>
      <w:r>
        <w:t>o doby kontroly NKÚ byly</w:t>
      </w:r>
      <w:r w:rsidR="00332ECD" w:rsidRPr="00332ECD">
        <w:t xml:space="preserve"> </w:t>
      </w:r>
      <w:r w:rsidR="00332ECD">
        <w:t xml:space="preserve">postupně </w:t>
      </w:r>
      <w:r>
        <w:t xml:space="preserve">uhrazeny </w:t>
      </w:r>
      <w:r w:rsidR="00332ECD">
        <w:t xml:space="preserve">nároky </w:t>
      </w:r>
      <w:r>
        <w:t>v</w:t>
      </w:r>
      <w:r w:rsidR="007644CC">
        <w:t> </w:t>
      </w:r>
      <w:r>
        <w:t>částce 19 302 056,15 Kč vč. DPH.</w:t>
      </w:r>
    </w:p>
    <w:p w14:paraId="7F4DDC92" w14:textId="47B8F12D" w:rsidR="00711E0B" w:rsidRDefault="00837A66" w:rsidP="00711E0B">
      <w:pPr>
        <w:spacing w:before="60"/>
        <w:ind w:left="142" w:hanging="142"/>
      </w:pPr>
      <w:r>
        <w:t xml:space="preserve">- </w:t>
      </w:r>
      <w:r w:rsidR="005C18E4">
        <w:t>Pro</w:t>
      </w:r>
      <w:r>
        <w:t xml:space="preserve"> stavb</w:t>
      </w:r>
      <w:r w:rsidR="005C18E4">
        <w:t>u</w:t>
      </w:r>
      <w:r>
        <w:t xml:space="preserve"> „I/37 Březhrad – Opatovice“ byla smlouva o dílo uzavřena </w:t>
      </w:r>
      <w:r w:rsidR="005C18E4">
        <w:t xml:space="preserve">v květnu 2009, </w:t>
      </w:r>
      <w:r>
        <w:t xml:space="preserve">stavební práce </w:t>
      </w:r>
      <w:r w:rsidR="005C18E4">
        <w:t>probíhaly od dubna</w:t>
      </w:r>
      <w:r>
        <w:t xml:space="preserve"> 2010</w:t>
      </w:r>
      <w:r w:rsidR="005C18E4">
        <w:t xml:space="preserve"> v omezeném rozsahu</w:t>
      </w:r>
      <w:r>
        <w:t xml:space="preserve"> </w:t>
      </w:r>
      <w:r w:rsidR="005C18E4">
        <w:t>vzhledem k</w:t>
      </w:r>
      <w:r>
        <w:t xml:space="preserve"> postupné</w:t>
      </w:r>
      <w:r w:rsidR="005C18E4">
        <w:t>mu</w:t>
      </w:r>
      <w:r>
        <w:t xml:space="preserve"> předávání staveniště v návaznosti na </w:t>
      </w:r>
      <w:r w:rsidR="00332ECD">
        <w:t>získaná pravomocná</w:t>
      </w:r>
      <w:r>
        <w:t xml:space="preserve"> stavební povolení</w:t>
      </w:r>
      <w:r w:rsidR="00E744A3">
        <w:t>. Zhotovitel uplatnil nároky, které ŘSD na základě uzavřené dohody o částečném vypořádání nároků uhradilo v prosinci 2014 ve výši</w:t>
      </w:r>
      <w:r>
        <w:t xml:space="preserve"> 11 613 675,94 Kč vč</w:t>
      </w:r>
      <w:r w:rsidR="00E744A3">
        <w:t>.</w:t>
      </w:r>
      <w:r>
        <w:t xml:space="preserve"> DPH</w:t>
      </w:r>
      <w:r w:rsidR="006E3A12">
        <w:t>.</w:t>
      </w:r>
    </w:p>
    <w:p w14:paraId="6913BE07" w14:textId="45D8E272" w:rsidR="00711E0B" w:rsidRDefault="00837A66" w:rsidP="00711E0B">
      <w:pPr>
        <w:spacing w:before="60"/>
        <w:ind w:left="142" w:hanging="142"/>
      </w:pPr>
      <w:r>
        <w:t>-</w:t>
      </w:r>
      <w:r>
        <w:tab/>
      </w:r>
      <w:r w:rsidR="00E744A3">
        <w:t>Pro</w:t>
      </w:r>
      <w:r>
        <w:t xml:space="preserve"> stavb</w:t>
      </w:r>
      <w:r w:rsidR="00E744A3">
        <w:t>u</w:t>
      </w:r>
      <w:r>
        <w:t xml:space="preserve"> „I/50 Nesovice křižovatka“ byla smlouva o dílo uzavřena </w:t>
      </w:r>
      <w:r w:rsidR="00E744A3">
        <w:t xml:space="preserve">v únoru </w:t>
      </w:r>
      <w:r>
        <w:t>2010</w:t>
      </w:r>
      <w:r w:rsidR="007644CC">
        <w:t>,</w:t>
      </w:r>
      <w:r>
        <w:t xml:space="preserve"> </w:t>
      </w:r>
      <w:r w:rsidR="007644CC">
        <w:t>s</w:t>
      </w:r>
      <w:r>
        <w:t xml:space="preserve">tavební práce byly zahájeny </w:t>
      </w:r>
      <w:r w:rsidR="00E744A3">
        <w:t>v červenci</w:t>
      </w:r>
      <w:r>
        <w:t xml:space="preserve"> 2012</w:t>
      </w:r>
      <w:r w:rsidR="007644CC">
        <w:t xml:space="preserve"> a</w:t>
      </w:r>
      <w:r>
        <w:t xml:space="preserve"> stavba </w:t>
      </w:r>
      <w:r w:rsidR="00E744A3">
        <w:t>zprovozněna</w:t>
      </w:r>
      <w:r>
        <w:t xml:space="preserve"> v</w:t>
      </w:r>
      <w:r w:rsidR="00C00A1D">
        <w:t xml:space="preserve"> </w:t>
      </w:r>
      <w:r>
        <w:t>červnu 2014. Zhotovitel</w:t>
      </w:r>
      <w:r w:rsidR="006E3A12">
        <w:t xml:space="preserve"> </w:t>
      </w:r>
      <w:r w:rsidR="00C00A1D">
        <w:br/>
      </w:r>
      <w:r w:rsidR="006E3A12">
        <w:t>vůči ŘSD</w:t>
      </w:r>
      <w:r w:rsidR="007644CC">
        <w:t>,</w:t>
      </w:r>
      <w:r>
        <w:t xml:space="preserve"> </w:t>
      </w:r>
      <w:r w:rsidR="006E3A12">
        <w:t>které nezajistilo</w:t>
      </w:r>
      <w:r>
        <w:t xml:space="preserve"> </w:t>
      </w:r>
      <w:r w:rsidR="006E3A12">
        <w:t xml:space="preserve">včas </w:t>
      </w:r>
      <w:r>
        <w:t>příslušn</w:t>
      </w:r>
      <w:r w:rsidR="006E3A12">
        <w:t>á</w:t>
      </w:r>
      <w:r>
        <w:t xml:space="preserve"> stavební povolení</w:t>
      </w:r>
      <w:r w:rsidR="007644CC">
        <w:t>,</w:t>
      </w:r>
      <w:r w:rsidR="00E744A3">
        <w:t xml:space="preserve"> </w:t>
      </w:r>
      <w:r>
        <w:t>uplatnil nároky ve výši 3</w:t>
      </w:r>
      <w:r w:rsidR="007644CC">
        <w:t> </w:t>
      </w:r>
      <w:r>
        <w:t>046</w:t>
      </w:r>
      <w:r w:rsidR="007644CC">
        <w:t> </w:t>
      </w:r>
      <w:r>
        <w:t>097,53</w:t>
      </w:r>
      <w:r w:rsidR="00C00A1D">
        <w:t> </w:t>
      </w:r>
      <w:r>
        <w:t xml:space="preserve">Kč s DPH. </w:t>
      </w:r>
      <w:r w:rsidR="00E744A3">
        <w:t xml:space="preserve">ŘSD </w:t>
      </w:r>
      <w:r w:rsidR="007644CC">
        <w:t xml:space="preserve">jednalo </w:t>
      </w:r>
      <w:r w:rsidR="00E744A3">
        <w:t xml:space="preserve">se zhotovitelem o vypořádání nároků, </w:t>
      </w:r>
      <w:r>
        <w:t>do do</w:t>
      </w:r>
      <w:r w:rsidR="00E744A3">
        <w:t>by kontroly NKÚ nebyla dohoda uzavřena.</w:t>
      </w:r>
    </w:p>
    <w:p w14:paraId="356E0F73" w14:textId="77777777" w:rsidR="00F77871" w:rsidRDefault="00F77871" w:rsidP="006936C3"/>
    <w:p w14:paraId="5A5380BF" w14:textId="42C6A2DD" w:rsidR="00072D64" w:rsidRDefault="00837A66" w:rsidP="00316DD1">
      <w:r w:rsidRPr="00316DD1">
        <w:rPr>
          <w:b/>
        </w:rPr>
        <w:t>4.2</w:t>
      </w:r>
      <w:r>
        <w:t xml:space="preserve"> </w:t>
      </w:r>
      <w:r w:rsidR="00316DD1" w:rsidRPr="00A25177">
        <w:rPr>
          <w:b/>
        </w:rPr>
        <w:t xml:space="preserve">MD s účinností od ledna 2013 přijalo opatření, </w:t>
      </w:r>
      <w:r w:rsidR="006E3A12">
        <w:rPr>
          <w:b/>
        </w:rPr>
        <w:t>jímž</w:t>
      </w:r>
      <w:r w:rsidR="00316DD1" w:rsidRPr="00A25177">
        <w:rPr>
          <w:b/>
        </w:rPr>
        <w:t xml:space="preserve"> stanovilo povinnost ŘSD zahajovat zadávací řízení na dodavatele stavebních prací až po získání pravomocného stavebního povolení</w:t>
      </w:r>
      <w:r w:rsidR="00316DD1" w:rsidRPr="00316DD1">
        <w:t xml:space="preserve"> na hlavní trasu</w:t>
      </w:r>
      <w:r w:rsidR="00316DD1">
        <w:t xml:space="preserve"> silnice,</w:t>
      </w:r>
      <w:r w:rsidR="00316DD1" w:rsidRPr="00316DD1">
        <w:t xml:space="preserve"> </w:t>
      </w:r>
      <w:r w:rsidR="00316DD1">
        <w:t xml:space="preserve">výjimku z tohoto pravidla mohl povolit ministr dopravy. V září 2015 MD toto </w:t>
      </w:r>
      <w:r w:rsidR="00A135B9">
        <w:t xml:space="preserve">opatření upravilo </w:t>
      </w:r>
      <w:r w:rsidR="00316DD1">
        <w:t xml:space="preserve">tak, že stanovilo podmínky, </w:t>
      </w:r>
      <w:r w:rsidR="00A135B9">
        <w:t>při jejichž splnění</w:t>
      </w:r>
      <w:r w:rsidR="00316DD1">
        <w:t xml:space="preserve"> mohlo být zahájeno zadávací řízení před získáním pravomocného stavebního povolení. Jednou z nich </w:t>
      </w:r>
      <w:r w:rsidR="00316DD1">
        <w:lastRenderedPageBreak/>
        <w:t>bylo, že ŘSD ne</w:t>
      </w:r>
      <w:r w:rsidR="00A135B9">
        <w:t>může</w:t>
      </w:r>
      <w:r w:rsidR="00316DD1">
        <w:t xml:space="preserve"> podepsat smlouvu na plnění veřejné zakázky, nemá-li pravomocné stavební povolení.</w:t>
      </w:r>
      <w:r>
        <w:t xml:space="preserve"> Výjimku z těchto podmínek mohl povolit 1. náměstek ministra dopravy.</w:t>
      </w:r>
    </w:p>
    <w:p w14:paraId="507F14A6" w14:textId="77777777" w:rsidR="00072D64" w:rsidRDefault="00072D64" w:rsidP="00316DD1"/>
    <w:p w14:paraId="36480869" w14:textId="2BAE553C" w:rsidR="004B5EFA" w:rsidRDefault="00837A66" w:rsidP="00316DD1">
      <w:r>
        <w:t xml:space="preserve">V kontrolovaném období </w:t>
      </w:r>
      <w:r w:rsidR="00A25177">
        <w:t xml:space="preserve">ŘSD </w:t>
      </w:r>
      <w:r>
        <w:t xml:space="preserve">zahájilo 10 </w:t>
      </w:r>
      <w:r w:rsidR="005C66EA">
        <w:t>z</w:t>
      </w:r>
      <w:r w:rsidR="00072D64">
        <w:t xml:space="preserve"> 35 zadávacích řízení na dodavatele stavebních prací výstavby a modernizace silnic I. třídy </w:t>
      </w:r>
      <w:r w:rsidRPr="004B5EFA">
        <w:t>před získáním pravomocného stavebního p</w:t>
      </w:r>
      <w:r>
        <w:t xml:space="preserve">ovolení na hlavní trasu silnice. V 8 případech </w:t>
      </w:r>
      <w:r w:rsidR="002D7C45">
        <w:t>ŘSD</w:t>
      </w:r>
      <w:r>
        <w:t xml:space="preserve"> </w:t>
      </w:r>
      <w:r w:rsidRPr="004B5EFA">
        <w:t>smlouv</w:t>
      </w:r>
      <w:r w:rsidR="002D7C45">
        <w:t>u</w:t>
      </w:r>
      <w:r w:rsidRPr="004B5EFA">
        <w:t xml:space="preserve"> s dodavatelem stavebních prací uzavře</w:t>
      </w:r>
      <w:r w:rsidR="002D7C45">
        <w:t>lo</w:t>
      </w:r>
      <w:r w:rsidRPr="004B5EFA">
        <w:t xml:space="preserve"> až po nabytí </w:t>
      </w:r>
      <w:r>
        <w:t xml:space="preserve">právní moci stavebního povolení, </w:t>
      </w:r>
      <w:r w:rsidR="00724A4B">
        <w:t>ve</w:t>
      </w:r>
      <w:r>
        <w:t xml:space="preserve"> zbývajících dvou </w:t>
      </w:r>
      <w:r w:rsidR="00724A4B">
        <w:t>případech byl postup následující</w:t>
      </w:r>
      <w:r>
        <w:t>:</w:t>
      </w:r>
    </w:p>
    <w:p w14:paraId="04777166" w14:textId="5A08B603" w:rsidR="004B5EFA" w:rsidRDefault="00837A66" w:rsidP="004B5EFA">
      <w:pPr>
        <w:spacing w:before="60"/>
        <w:ind w:left="142" w:hanging="142"/>
      </w:pPr>
      <w:r>
        <w:t>-</w:t>
      </w:r>
      <w:r>
        <w:tab/>
        <w:t xml:space="preserve">Pro </w:t>
      </w:r>
      <w:r w:rsidRPr="004B5EFA">
        <w:t>stavb</w:t>
      </w:r>
      <w:r>
        <w:t>u</w:t>
      </w:r>
      <w:r w:rsidR="003B3EEE">
        <w:t xml:space="preserve"> „I/21 Nová Hospoda – </w:t>
      </w:r>
      <w:r w:rsidRPr="004B5EFA">
        <w:t xml:space="preserve">Kočov, přeložka 2. stavba“ </w:t>
      </w:r>
      <w:r>
        <w:t xml:space="preserve">uzavřelo </w:t>
      </w:r>
      <w:r w:rsidR="00724A4B">
        <w:t xml:space="preserve">ŘSD </w:t>
      </w:r>
      <w:r>
        <w:t xml:space="preserve">smlouvu s dodavatelem stavebních prací v říjnu 2017, přičemž stavební povolení bylo vydáno v listopadu 2017 a právní moci nabylo v lednu 2018. </w:t>
      </w:r>
      <w:r w:rsidRPr="004B5EFA">
        <w:t>ŘSD</w:t>
      </w:r>
      <w:r>
        <w:t xml:space="preserve"> tímto postupem</w:t>
      </w:r>
      <w:r w:rsidRPr="004B5EFA">
        <w:t xml:space="preserve"> ne</w:t>
      </w:r>
      <w:r>
        <w:t>splnilo</w:t>
      </w:r>
      <w:r w:rsidRPr="004B5EFA">
        <w:t xml:space="preserve"> výše </w:t>
      </w:r>
      <w:r>
        <w:t>uvedenou</w:t>
      </w:r>
      <w:r w:rsidR="002D7C45">
        <w:t xml:space="preserve"> podmínku ani nepožádalo o udělení výjimky</w:t>
      </w:r>
      <w:r w:rsidRPr="004B5EFA">
        <w:t xml:space="preserve">. </w:t>
      </w:r>
      <w:r w:rsidR="002D7C45">
        <w:t>Dopady na finanční parametry stavby nebyly zjištěny.</w:t>
      </w:r>
    </w:p>
    <w:p w14:paraId="754613F1" w14:textId="699F2EDB" w:rsidR="002D7C45" w:rsidRDefault="00837A66" w:rsidP="002D7C45">
      <w:pPr>
        <w:spacing w:before="60"/>
        <w:ind w:left="142" w:hanging="142"/>
      </w:pPr>
      <w:r>
        <w:t>-</w:t>
      </w:r>
      <w:r>
        <w:tab/>
        <w:t xml:space="preserve">Pro stavbu „I/19 Chýnov“ požádalo </w:t>
      </w:r>
      <w:r w:rsidR="00724A4B">
        <w:t xml:space="preserve">ŘSD </w:t>
      </w:r>
      <w:r>
        <w:t>o udělení výjimky, kterou 1. náměstek ministra dopravy udělil v září 2018 s tím, že smlouva o dílo musí obsahovat podmínky týkající se možnosti ŘSD odstoupit od smlouvy a vzdání se nároků zhotovitele v podobě výrobních a</w:t>
      </w:r>
      <w:r w:rsidR="00724A4B">
        <w:t> </w:t>
      </w:r>
      <w:r>
        <w:t>správních režií v případě, že ŘSD nezíská pravomocné stavební povolení na hlavní trasu. ŘSD smlouvu uzavřelo v říjnu 2018, zároveň s dodatkem, kterým výše uvedené podmínky zapracovalo. Z dodatku však vyplývá, že od 1. června 2019 do doby nabytí právní moci stavebních povolení bude ŘSD povinno uhradit zhotoviteli nároky na dodatečnou platbu v</w:t>
      </w:r>
      <w:r w:rsidR="00724A4B">
        <w:t> </w:t>
      </w:r>
      <w:r>
        <w:t>rozsahu nákladů na bankovní záruku a pojištění, přičemž tyto nároky se obvykle pohybují v</w:t>
      </w:r>
      <w:r w:rsidR="00724A4B">
        <w:t> </w:t>
      </w:r>
      <w:r>
        <w:t xml:space="preserve">řádu desítek tisíc Kč za měsíc. Přesnou částku </w:t>
      </w:r>
      <w:r w:rsidR="005735DD">
        <w:t>takto</w:t>
      </w:r>
      <w:r>
        <w:t xml:space="preserve"> nehospodárně vynaložených prostředků tak bude možné vyčíslit až po </w:t>
      </w:r>
      <w:r w:rsidR="005735DD">
        <w:t>získání pravomocného stavebního povolení</w:t>
      </w:r>
      <w:r>
        <w:t xml:space="preserve"> nebo po ukončení smlouvy se zhotovitelem.</w:t>
      </w:r>
      <w:r w:rsidR="005735DD">
        <w:t xml:space="preserve"> V době kontroly NKÚ trvala příprava stavby (od vydání souhlasného</w:t>
      </w:r>
      <w:r w:rsidR="00F673EC">
        <w:t xml:space="preserve"> </w:t>
      </w:r>
      <w:r w:rsidR="00F673EC" w:rsidRPr="003D6446">
        <w:t>závazné</w:t>
      </w:r>
      <w:r w:rsidR="00F673EC">
        <w:t>ho</w:t>
      </w:r>
      <w:r w:rsidR="005735DD">
        <w:t xml:space="preserve"> stanoviska EIA v červnu 1999) 20 let, vydaná stavební povolení byla po podaném odvolání zrušena a</w:t>
      </w:r>
      <w:r w:rsidR="00724A4B">
        <w:t xml:space="preserve"> </w:t>
      </w:r>
      <w:r w:rsidR="005735DD">
        <w:t>vrácena k novému projednání.</w:t>
      </w:r>
    </w:p>
    <w:p w14:paraId="1C78061B" w14:textId="77777777" w:rsidR="002D7C45" w:rsidRDefault="002D7C45" w:rsidP="002D7C45"/>
    <w:p w14:paraId="438EEF88" w14:textId="5F78D35E" w:rsidR="004F6873" w:rsidRDefault="00837A66" w:rsidP="002D7C45">
      <w:r w:rsidRPr="004F6873">
        <w:rPr>
          <w:b/>
        </w:rPr>
        <w:t>4.3</w:t>
      </w:r>
      <w:r>
        <w:t> </w:t>
      </w:r>
      <w:r w:rsidRPr="004F6873">
        <w:t>Průměrná doba trvání zadávacího řízení staveb silnic I. třídy činila 9,5 měsíce. U 6 veřejných zakázek zadávaných v užším řízení činila 16 měsíců, u</w:t>
      </w:r>
      <w:r w:rsidR="00623C08">
        <w:t xml:space="preserve"> </w:t>
      </w:r>
      <w:r w:rsidRPr="004F6873">
        <w:t>29 veřejných zakázek zadávaných v</w:t>
      </w:r>
      <w:r w:rsidR="001D3BB1">
        <w:t> </w:t>
      </w:r>
      <w:r w:rsidRPr="004F6873">
        <w:t>otevřeném řízení 8 měsíců. Mezi hlavní důvody dlouhé doby trvání zadávacích řízení patřilo značné množství dotazů dodavatelů</w:t>
      </w:r>
      <w:r w:rsidR="008835C2">
        <w:t>,</w:t>
      </w:r>
      <w:r w:rsidRPr="004F6873">
        <w:t xml:space="preserve"> </w:t>
      </w:r>
      <w:r w:rsidR="008835C2">
        <w:t>s čímž souviselo</w:t>
      </w:r>
      <w:r w:rsidRPr="004F6873">
        <w:t xml:space="preserve"> množství dodatečných informací poskytovaných ŘSD</w:t>
      </w:r>
      <w:r w:rsidR="00E25C33">
        <w:t>,</w:t>
      </w:r>
      <w:r>
        <w:t xml:space="preserve"> úprav zadávací dokumentace</w:t>
      </w:r>
      <w:r w:rsidR="00E25C33">
        <w:t xml:space="preserve"> a prodlužování lhůt pro podání nabídek,</w:t>
      </w:r>
      <w:r w:rsidR="003560E3">
        <w:t xml:space="preserve"> a </w:t>
      </w:r>
      <w:r w:rsidRPr="004F6873">
        <w:t>chybějící pravomocná stavební povolení u některých veřejných zakázek, kde z</w:t>
      </w:r>
      <w:r>
        <w:t> </w:t>
      </w:r>
      <w:r w:rsidRPr="004F6873">
        <w:t>důvodu nemožnosti uzavřít smlouvu ŘSD odkládalo rozhodnutí zadavatele o výběru nejvhodnější nabídky. V jednom případě</w:t>
      </w:r>
      <w:r>
        <w:t>, u stavby</w:t>
      </w:r>
      <w:r w:rsidRPr="004F6873">
        <w:t xml:space="preserve"> </w:t>
      </w:r>
      <w:r>
        <w:t>„</w:t>
      </w:r>
      <w:r w:rsidRPr="004F6873">
        <w:t>I/68 Třanovice – Nebory</w:t>
      </w:r>
      <w:r>
        <w:t>“</w:t>
      </w:r>
      <w:r w:rsidR="00B40E18">
        <w:t>,</w:t>
      </w:r>
      <w:r w:rsidRPr="004F6873">
        <w:t xml:space="preserve"> tento postup vedl ke zrušení zadávacího řízení</w:t>
      </w:r>
      <w:r>
        <w:t>,</w:t>
      </w:r>
      <w:r w:rsidRPr="004F6873">
        <w:t xml:space="preserve"> neboť po téměř dvou letech od </w:t>
      </w:r>
      <w:r>
        <w:t xml:space="preserve">jeho </w:t>
      </w:r>
      <w:r w:rsidRPr="004F6873">
        <w:t xml:space="preserve">zahájení vybraný uchazeč i uchazeči, kteří se umístili jako 2. a 3. v pořadí, odmítli uzavřít smlouvu. ŘSD pak zahájilo </w:t>
      </w:r>
      <w:r>
        <w:t>v říjnu</w:t>
      </w:r>
      <w:r w:rsidRPr="004F6873">
        <w:t xml:space="preserve"> 2018 nové zadávací řízení.</w:t>
      </w:r>
    </w:p>
    <w:p w14:paraId="5D88174F" w14:textId="77777777" w:rsidR="00EA7F9F" w:rsidRPr="0030386D" w:rsidRDefault="00837A66" w:rsidP="00312BC8">
      <w:pPr>
        <w:keepNext/>
        <w:spacing w:before="240"/>
        <w:rPr>
          <w:b/>
        </w:rPr>
      </w:pPr>
      <w:r w:rsidRPr="0030386D">
        <w:rPr>
          <w:b/>
        </w:rPr>
        <w:t>5. Racionalizace silniční infrastruktury</w:t>
      </w:r>
    </w:p>
    <w:p w14:paraId="48F328E9" w14:textId="77777777" w:rsidR="0030386D" w:rsidRDefault="0030386D" w:rsidP="00E61B9D">
      <w:pPr>
        <w:keepNext/>
      </w:pPr>
    </w:p>
    <w:p w14:paraId="33754C1C" w14:textId="67D6B5D3" w:rsidR="00C164D8" w:rsidRDefault="00837A66" w:rsidP="00C164D8">
      <w:r>
        <w:t>Dle Dopravní strategie představ</w:t>
      </w:r>
      <w:r w:rsidR="009C3773">
        <w:t>ovala</w:t>
      </w:r>
      <w:r w:rsidRPr="00C164D8">
        <w:t xml:space="preserve"> </w:t>
      </w:r>
      <w:r>
        <w:t xml:space="preserve">racionalizace zvyšování hospodárnosti provozování dopravní infrastruktury, </w:t>
      </w:r>
      <w:r w:rsidR="009049E3">
        <w:t>zejména pak</w:t>
      </w:r>
      <w:r>
        <w:t xml:space="preserve"> rozsahu </w:t>
      </w:r>
      <w:r w:rsidR="009049E3">
        <w:t xml:space="preserve">dopravní </w:t>
      </w:r>
      <w:r>
        <w:t>sítě, kterou stát vlastní a musí ji spravovat a</w:t>
      </w:r>
      <w:r w:rsidR="008835C2">
        <w:t xml:space="preserve"> </w:t>
      </w:r>
      <w:r>
        <w:t xml:space="preserve">udržovat. V kontrolované oblasti se jedná o stávající silnice I. třídy, kde byla nebo bude paralelně vybudována dálnice, případně přeložka silnice I. třídy. </w:t>
      </w:r>
    </w:p>
    <w:p w14:paraId="35F5A35E" w14:textId="77777777" w:rsidR="00C164D8" w:rsidRDefault="00C164D8" w:rsidP="00C164D8"/>
    <w:p w14:paraId="2B8914C8" w14:textId="052FBD38" w:rsidR="00DD3997" w:rsidRDefault="005143BF" w:rsidP="00DD3997">
      <w:r>
        <w:t>D</w:t>
      </w:r>
      <w:r w:rsidR="00837A66">
        <w:t xml:space="preserve">élka sítě silnic I. třídy činila </w:t>
      </w:r>
      <w:r w:rsidR="00837A66" w:rsidRPr="00C164D8">
        <w:t>5 824,240 km, a</w:t>
      </w:r>
      <w:r w:rsidR="00DB2558">
        <w:t xml:space="preserve"> </w:t>
      </w:r>
      <w:r w:rsidR="00837A66" w:rsidRPr="00C164D8">
        <w:t xml:space="preserve">to včetně </w:t>
      </w:r>
      <w:r w:rsidR="00837A66">
        <w:t xml:space="preserve">cca </w:t>
      </w:r>
      <w:r w:rsidR="00837A66" w:rsidRPr="002A7F60">
        <w:rPr>
          <w:b/>
        </w:rPr>
        <w:t>182 km</w:t>
      </w:r>
      <w:r w:rsidR="00837A66">
        <w:t xml:space="preserve"> </w:t>
      </w:r>
      <w:r w:rsidR="00837A66" w:rsidRPr="00C164D8">
        <w:t>úseků silnic I. třídy</w:t>
      </w:r>
      <w:r w:rsidR="002A7F60">
        <w:t>, které ŘSD v době kontroly NKÚ</w:t>
      </w:r>
      <w:r w:rsidR="00837A66" w:rsidRPr="00C164D8">
        <w:t xml:space="preserve"> dočasně evidov</w:t>
      </w:r>
      <w:r w:rsidR="002A7F60">
        <w:t>alo</w:t>
      </w:r>
      <w:r w:rsidR="00837A66" w:rsidRPr="00C164D8">
        <w:t xml:space="preserve"> do doby majetkového předání následným </w:t>
      </w:r>
      <w:r w:rsidR="00837A66" w:rsidRPr="00C164D8">
        <w:lastRenderedPageBreak/>
        <w:t>vlastníkům (kraje, obce)</w:t>
      </w:r>
      <w:r w:rsidR="002A7F60">
        <w:t xml:space="preserve"> a vydání rozhodnutí krajským úřadem o zařazení úseku silnice do nižší třídy (II., III. třída) nebo obecním úřadem o zařazení do sítě místních komunikací. V těchto úsecích stát vlastní dvě souběžné pozemní komunikace.</w:t>
      </w:r>
      <w:r w:rsidR="00837A66">
        <w:t xml:space="preserve"> Například n</w:t>
      </w:r>
      <w:r w:rsidR="002A7F60">
        <w:t>a s</w:t>
      </w:r>
      <w:r w:rsidR="002A7F60" w:rsidRPr="002A7F60">
        <w:t>ilnic</w:t>
      </w:r>
      <w:r w:rsidR="00837A66">
        <w:t>i</w:t>
      </w:r>
      <w:r w:rsidR="002A7F60" w:rsidRPr="002A7F60">
        <w:t xml:space="preserve"> I/</w:t>
      </w:r>
      <w:r w:rsidR="002A7F60">
        <w:t xml:space="preserve">16 </w:t>
      </w:r>
      <w:r w:rsidR="009C3773">
        <w:t>se jednalo o</w:t>
      </w:r>
      <w:r w:rsidR="00DB2558">
        <w:t> </w:t>
      </w:r>
      <w:r w:rsidR="002A7F60">
        <w:t xml:space="preserve">úsek </w:t>
      </w:r>
      <w:r w:rsidR="00837A66">
        <w:t xml:space="preserve">I/16H </w:t>
      </w:r>
      <w:r w:rsidR="00837A66" w:rsidRPr="002A7F60">
        <w:t>Velvary – Nová Ves</w:t>
      </w:r>
      <w:r w:rsidR="00837A66">
        <w:t xml:space="preserve"> v</w:t>
      </w:r>
      <w:r w:rsidR="00DB2558">
        <w:t xml:space="preserve"> </w:t>
      </w:r>
      <w:r w:rsidR="00837A66">
        <w:t xml:space="preserve">délce 4,745 km a na silnici I/18 </w:t>
      </w:r>
      <w:r w:rsidR="009C3773">
        <w:t xml:space="preserve">o </w:t>
      </w:r>
      <w:r w:rsidR="00837A66">
        <w:t xml:space="preserve">úsek I/18H </w:t>
      </w:r>
      <w:r w:rsidR="009D1127">
        <w:br/>
      </w:r>
      <w:r w:rsidR="00837A66">
        <w:t>Příbram – Dubno v délce 2,394 km</w:t>
      </w:r>
      <w:r w:rsidR="008835C2">
        <w:t>.</w:t>
      </w:r>
      <w:r w:rsidR="00837A66">
        <w:t xml:space="preserve"> </w:t>
      </w:r>
      <w:r w:rsidR="008835C2">
        <w:t>P</w:t>
      </w:r>
      <w:r w:rsidR="00837A66">
        <w:t xml:space="preserve">ro </w:t>
      </w:r>
      <w:r w:rsidR="008835C2">
        <w:t>tyto úseky</w:t>
      </w:r>
      <w:r w:rsidR="00837A66">
        <w:t xml:space="preserve"> nebyly krajem </w:t>
      </w:r>
      <w:r w:rsidR="00837A66" w:rsidRPr="002A7F60">
        <w:t>podeps</w:t>
      </w:r>
      <w:r w:rsidR="00837A66">
        <w:t>ány</w:t>
      </w:r>
      <w:r w:rsidR="00837A66" w:rsidRPr="002A7F60">
        <w:t xml:space="preserve"> smlouv</w:t>
      </w:r>
      <w:r w:rsidR="00837A66">
        <w:t>y</w:t>
      </w:r>
      <w:r w:rsidR="00837A66" w:rsidRPr="002A7F60">
        <w:t xml:space="preserve"> o</w:t>
      </w:r>
      <w:r w:rsidR="008C7B0F">
        <w:t> </w:t>
      </w:r>
      <w:r w:rsidR="00837A66" w:rsidRPr="002A7F60">
        <w:t>budoucí darovací smlouvě, kter</w:t>
      </w:r>
      <w:r w:rsidR="00837A66">
        <w:t>é</w:t>
      </w:r>
      <w:r w:rsidR="00837A66" w:rsidRPr="002A7F60">
        <w:t xml:space="preserve"> j</w:t>
      </w:r>
      <w:r w:rsidR="00837A66">
        <w:t>sou</w:t>
      </w:r>
      <w:r w:rsidR="00837A66" w:rsidRPr="002A7F60">
        <w:t xml:space="preserve"> potřebn</w:t>
      </w:r>
      <w:r w:rsidR="00837A66">
        <w:t>é</w:t>
      </w:r>
      <w:r w:rsidR="00837A66" w:rsidRPr="002A7F60">
        <w:t xml:space="preserve"> pro rozhodnutí MD o vyřazení silnice ze sítě silnic I. třídy</w:t>
      </w:r>
      <w:r w:rsidR="00837A66">
        <w:t>.</w:t>
      </w:r>
    </w:p>
    <w:p w14:paraId="44EF0902" w14:textId="77777777" w:rsidR="00C164D8" w:rsidRDefault="00C164D8" w:rsidP="00C164D8"/>
    <w:p w14:paraId="21396F17" w14:textId="3F02F208" w:rsidR="002A7F60" w:rsidRDefault="00837A66" w:rsidP="00C164D8">
      <w:r>
        <w:t>Úkoly uvedené v Dopravní strategii, které měly za cíl vyřešit problematiku převodu úseků silnic I. třídy</w:t>
      </w:r>
      <w:r w:rsidR="00FD29A4">
        <w:t>,</w:t>
      </w:r>
      <w:r>
        <w:t xml:space="preserve"> se do doby kontroly nepodařilo splnit. </w:t>
      </w:r>
      <w:r w:rsidR="00FD29A4">
        <w:t xml:space="preserve">Kraje a obce odmítají převáděné silnice I. třídy převzít s odkazem na nedostatek finančních prostředků na jejich údržbu. Tento stav je způsoben dlouhodobě nevyjasněnou finanční politikou, kdy nadále </w:t>
      </w:r>
      <w:r w:rsidR="00FD29A4" w:rsidRPr="00FD29A4">
        <w:rPr>
          <w:b/>
        </w:rPr>
        <w:t>nebylo přijato systémové řešení financování silnic II. a III. třídy</w:t>
      </w:r>
      <w:r w:rsidR="001D2DAC" w:rsidRPr="007D4224">
        <w:rPr>
          <w:b/>
        </w:rPr>
        <w:t>.</w:t>
      </w:r>
    </w:p>
    <w:p w14:paraId="33678545" w14:textId="77777777" w:rsidR="0030386D" w:rsidRDefault="0030386D" w:rsidP="006936C3"/>
    <w:p w14:paraId="25707F96" w14:textId="77777777" w:rsidR="0030386D" w:rsidRPr="0030386D" w:rsidRDefault="00837A66" w:rsidP="006936C3">
      <w:pPr>
        <w:rPr>
          <w:b/>
        </w:rPr>
      </w:pPr>
      <w:r>
        <w:rPr>
          <w:b/>
        </w:rPr>
        <w:t>6. Hospodárnost realizace staveb silnic I. třídy</w:t>
      </w:r>
    </w:p>
    <w:p w14:paraId="67DB56F6" w14:textId="77777777" w:rsidR="004045CB" w:rsidRPr="001D3BB1" w:rsidRDefault="004045CB" w:rsidP="006936C3">
      <w:pPr>
        <w:rPr>
          <w:sz w:val="20"/>
        </w:rPr>
      </w:pPr>
    </w:p>
    <w:p w14:paraId="64A4016B" w14:textId="14F80541" w:rsidR="004045CB" w:rsidRDefault="00837A66" w:rsidP="006936C3">
      <w:r w:rsidRPr="00C834AE">
        <w:rPr>
          <w:b/>
        </w:rPr>
        <w:t>6.1</w:t>
      </w:r>
      <w:r>
        <w:t> </w:t>
      </w:r>
      <w:r w:rsidR="00672B91">
        <w:t xml:space="preserve">Jako závazný podklad pro oceňování stavebních prací </w:t>
      </w:r>
      <w:r w:rsidR="00DB2558">
        <w:t xml:space="preserve">na </w:t>
      </w:r>
      <w:r w:rsidR="00672B91">
        <w:t>pozemních komunikací</w:t>
      </w:r>
      <w:r w:rsidR="00DB2558">
        <w:t>ch</w:t>
      </w:r>
      <w:r w:rsidR="00672B91">
        <w:t xml:space="preserve"> stanov</w:t>
      </w:r>
      <w:r w:rsidR="005143BF">
        <w:t>ilo</w:t>
      </w:r>
      <w:r w:rsidR="00672B91">
        <w:t xml:space="preserve"> </w:t>
      </w:r>
      <w:r w:rsidR="00DB2558">
        <w:t xml:space="preserve">MD </w:t>
      </w:r>
      <w:r w:rsidR="00672B91" w:rsidRPr="007E39C7">
        <w:rPr>
          <w:i/>
        </w:rPr>
        <w:t>Oborový třídník stavebních konstrukcí a prací</w:t>
      </w:r>
      <w:r w:rsidR="00672B91">
        <w:t xml:space="preserve"> (dále jen „OTSKP“). </w:t>
      </w:r>
      <w:r w:rsidR="00A70093">
        <w:t xml:space="preserve">Ocenění </w:t>
      </w:r>
      <w:r w:rsidR="00DB2558">
        <w:t xml:space="preserve">dle </w:t>
      </w:r>
      <w:r w:rsidR="00824F00">
        <w:t>OTSKP</w:t>
      </w:r>
      <w:r w:rsidR="00824F00" w:rsidRPr="00824F00">
        <w:t xml:space="preserve"> měl</w:t>
      </w:r>
      <w:r w:rsidR="00A70093">
        <w:t>o</w:t>
      </w:r>
      <w:r w:rsidR="00824F00" w:rsidRPr="00824F00">
        <w:t xml:space="preserve"> mj. sloužit </w:t>
      </w:r>
      <w:r w:rsidR="00824F00">
        <w:t>pro</w:t>
      </w:r>
      <w:r w:rsidR="00824F00" w:rsidRPr="00824F00">
        <w:t xml:space="preserve"> stanovení předpokládané hodnoty veřejné zakázky na dodavatele stavebních prací a ke kalkulaci dodatečných prací v průběhu realizace</w:t>
      </w:r>
      <w:r w:rsidR="00824F00">
        <w:t xml:space="preserve"> stavby.</w:t>
      </w:r>
      <w:r w:rsidR="00824F00" w:rsidRPr="00824F00">
        <w:t xml:space="preserve"> </w:t>
      </w:r>
      <w:r w:rsidR="00824F00">
        <w:t>Aktualizaci expertních cen OTSKP zajišťoval SFDI.</w:t>
      </w:r>
    </w:p>
    <w:p w14:paraId="02D74EDA" w14:textId="77777777" w:rsidR="004045CB" w:rsidRDefault="004045CB" w:rsidP="006936C3"/>
    <w:p w14:paraId="18F8A0AB" w14:textId="5195726D" w:rsidR="006F27EF" w:rsidRDefault="00837A66" w:rsidP="006936C3">
      <w:r>
        <w:t xml:space="preserve">NKÚ provedl porovnání jednotkových cen 50 vybraných položek OTSKP (aktualizovaného v dubnu 2018) </w:t>
      </w:r>
      <w:r w:rsidRPr="00605558">
        <w:t>s jednotkovými cenami</w:t>
      </w:r>
      <w:r>
        <w:t xml:space="preserve"> </w:t>
      </w:r>
      <w:r w:rsidRPr="00605558">
        <w:t>uvedenými v</w:t>
      </w:r>
      <w:r>
        <w:t> databázi (</w:t>
      </w:r>
      <w:r w:rsidR="0001159F">
        <w:t xml:space="preserve">viz </w:t>
      </w:r>
      <w:r>
        <w:t>příloha č. 2) vytvořené na základě</w:t>
      </w:r>
      <w:r w:rsidRPr="00605558">
        <w:t xml:space="preserve"> 2</w:t>
      </w:r>
      <w:r>
        <w:t>3</w:t>
      </w:r>
      <w:r w:rsidRPr="00605558">
        <w:t xml:space="preserve"> nabíd</w:t>
      </w:r>
      <w:r>
        <w:t>e</w:t>
      </w:r>
      <w:r w:rsidRPr="00605558">
        <w:t>k</w:t>
      </w:r>
      <w:r w:rsidR="0001159F">
        <w:t>, které předložili</w:t>
      </w:r>
      <w:r w:rsidRPr="00605558">
        <w:t xml:space="preserve"> uchazeč</w:t>
      </w:r>
      <w:r w:rsidR="0001159F">
        <w:t>i</w:t>
      </w:r>
      <w:r w:rsidRPr="00605558">
        <w:t xml:space="preserve"> v</w:t>
      </w:r>
      <w:r w:rsidR="00623C08">
        <w:t xml:space="preserve"> rámci </w:t>
      </w:r>
      <w:r>
        <w:t>osmi</w:t>
      </w:r>
      <w:r w:rsidRPr="00605558">
        <w:t xml:space="preserve"> </w:t>
      </w:r>
      <w:r w:rsidR="00623C08">
        <w:t>zadávacích řízení</w:t>
      </w:r>
      <w:r w:rsidRPr="00605558">
        <w:t xml:space="preserve"> </w:t>
      </w:r>
      <w:r w:rsidR="0001159F">
        <w:t>v</w:t>
      </w:r>
      <w:r w:rsidR="007E39C7">
        <w:t> </w:t>
      </w:r>
      <w:r w:rsidR="0001159F">
        <w:t>letech</w:t>
      </w:r>
      <w:r w:rsidR="007E39C7">
        <w:br/>
      </w:r>
      <w:r w:rsidR="0001159F">
        <w:t xml:space="preserve">2013–2018 </w:t>
      </w:r>
      <w:r w:rsidRPr="00605558">
        <w:t xml:space="preserve">na </w:t>
      </w:r>
      <w:r w:rsidR="0001159F">
        <w:t xml:space="preserve">výběr </w:t>
      </w:r>
      <w:r w:rsidRPr="00605558">
        <w:t xml:space="preserve">dodavatele </w:t>
      </w:r>
      <w:r>
        <w:t>stavebních prací</w:t>
      </w:r>
      <w:r w:rsidRPr="00605558">
        <w:t>.</w:t>
      </w:r>
    </w:p>
    <w:p w14:paraId="15387EB1" w14:textId="77777777" w:rsidR="00605558" w:rsidRDefault="00605558" w:rsidP="006936C3"/>
    <w:p w14:paraId="33610A1E" w14:textId="3FA733E1" w:rsidR="003C4DBA" w:rsidRDefault="00837A66" w:rsidP="003C4DBA">
      <w:r>
        <w:t>U těchto 50 položek byl na základě jejich ocenění jednotlivými uchazeči vypočten vážený průměr, který respektuje významnost položky na základě jejího množství. Z provedeného porovnání vyplývá, že jednotkové ceny stanovené v ocenění OTSKP byly nadhodnocené. U</w:t>
      </w:r>
      <w:r w:rsidR="00A01EC2">
        <w:t> </w:t>
      </w:r>
      <w:r>
        <w:t>38</w:t>
      </w:r>
      <w:r w:rsidR="00A01EC2">
        <w:t> </w:t>
      </w:r>
      <w:r>
        <w:t>položek</w:t>
      </w:r>
      <w:r w:rsidR="00A01EC2">
        <w:t>,</w:t>
      </w:r>
      <w:r>
        <w:t xml:space="preserve"> tj. 76 %</w:t>
      </w:r>
      <w:r w:rsidR="00A01EC2">
        <w:t xml:space="preserve"> porovnávaných,</w:t>
      </w:r>
      <w:r>
        <w:t xml:space="preserve"> byl</w:t>
      </w:r>
      <w:r w:rsidR="00A01EC2">
        <w:t>o ocenění v OTSKP vyšší o více než 10 %</w:t>
      </w:r>
      <w:r>
        <w:t>.</w:t>
      </w:r>
      <w:r w:rsidR="00A01EC2">
        <w:t xml:space="preserve"> Vybrané příklady rozdílů jsou uvedeny v příloze č. 3.</w:t>
      </w:r>
    </w:p>
    <w:p w14:paraId="2CCDF51F" w14:textId="77777777" w:rsidR="003C4DBA" w:rsidRDefault="003C4DBA" w:rsidP="003C4DBA"/>
    <w:p w14:paraId="74416007" w14:textId="7B6552E4" w:rsidR="00824F00" w:rsidRDefault="00837A66" w:rsidP="003C4DBA">
      <w:r w:rsidRPr="00A70093">
        <w:t xml:space="preserve">Podle NKÚ </w:t>
      </w:r>
      <w:r>
        <w:t xml:space="preserve">nebyla tato </w:t>
      </w:r>
      <w:r w:rsidRPr="00A70093">
        <w:t>cenov</w:t>
      </w:r>
      <w:r w:rsidR="006573E9">
        <w:t>á</w:t>
      </w:r>
      <w:r w:rsidRPr="00A70093">
        <w:t xml:space="preserve"> databáze účinným nástrojem pro hospodárnou realizaci staveb a stanovení předpokládané hodnoty v zadávacích řízeních na výběr dodavatelů stavebních prací</w:t>
      </w:r>
      <w:r>
        <w:t xml:space="preserve">. Jak bylo výše uvedeno, ocenění </w:t>
      </w:r>
      <w:r w:rsidR="0001159F">
        <w:t xml:space="preserve">dle </w:t>
      </w:r>
      <w:r>
        <w:t>OTSKP sloužil</w:t>
      </w:r>
      <w:r w:rsidR="006573E9">
        <w:t>o</w:t>
      </w:r>
      <w:r>
        <w:t xml:space="preserve"> také ke </w:t>
      </w:r>
      <w:r w:rsidRPr="00A70093">
        <w:t>kalkulaci dodatečných prací v</w:t>
      </w:r>
      <w:r>
        <w:t> </w:t>
      </w:r>
      <w:r w:rsidRPr="00A70093">
        <w:t>průběhu realizace stavby</w:t>
      </w:r>
      <w:r>
        <w:t>,</w:t>
      </w:r>
      <w:r w:rsidR="0001159F">
        <w:t xml:space="preserve"> a to</w:t>
      </w:r>
      <w:r>
        <w:t xml:space="preserve"> v případě, že dodatečně zařazované položky prací nebyly uvedeny v původní nabídce uchazeče.</w:t>
      </w:r>
      <w:r w:rsidRPr="00A70093">
        <w:t xml:space="preserve"> </w:t>
      </w:r>
      <w:r w:rsidR="003C4DBA">
        <w:t>Ocenění</w:t>
      </w:r>
      <w:r w:rsidR="006573E9">
        <w:t xml:space="preserve"> </w:t>
      </w:r>
      <w:r w:rsidR="0001159F">
        <w:t xml:space="preserve">dle </w:t>
      </w:r>
      <w:r w:rsidR="006573E9">
        <w:t>OTSKP tak nevytvář</w:t>
      </w:r>
      <w:r w:rsidR="00954342">
        <w:t>elo</w:t>
      </w:r>
      <w:r w:rsidR="003C4DBA">
        <w:t xml:space="preserve"> </w:t>
      </w:r>
      <w:r w:rsidR="006573E9">
        <w:t>dostatečný</w:t>
      </w:r>
      <w:r w:rsidR="003C4DBA">
        <w:t xml:space="preserve"> tlak na hospodárnou realizaci staveb.</w:t>
      </w:r>
    </w:p>
    <w:p w14:paraId="0B0DEE79" w14:textId="77777777" w:rsidR="0030386D" w:rsidRDefault="0030386D" w:rsidP="006936C3"/>
    <w:p w14:paraId="30824A3C" w14:textId="277199E5" w:rsidR="00C834AE" w:rsidRDefault="00837A66" w:rsidP="006936C3">
      <w:r w:rsidRPr="005B7C71">
        <w:rPr>
          <w:b/>
        </w:rPr>
        <w:t>6.2</w:t>
      </w:r>
      <w:r>
        <w:t xml:space="preserve"> Ceny vybraných (vítězných) uchazečů </w:t>
      </w:r>
      <w:r w:rsidR="005B7C71">
        <w:t>v</w:t>
      </w:r>
      <w:r w:rsidR="00117EF9">
        <w:t xml:space="preserve"> </w:t>
      </w:r>
      <w:r w:rsidR="005B7C71">
        <w:t>1</w:t>
      </w:r>
      <w:r w:rsidR="00997253">
        <w:t>7</w:t>
      </w:r>
      <w:r w:rsidR="00217C8F">
        <w:t xml:space="preserve"> </w:t>
      </w:r>
      <w:r w:rsidR="005B7C71">
        <w:t>z</w:t>
      </w:r>
      <w:r w:rsidR="0054107D">
        <w:t>e</w:t>
      </w:r>
      <w:r w:rsidR="00217C8F">
        <w:t xml:space="preserve"> </w:t>
      </w:r>
      <w:r w:rsidRPr="00C834AE">
        <w:t>3</w:t>
      </w:r>
      <w:r w:rsidR="005B7C71">
        <w:t>3</w:t>
      </w:r>
      <w:r w:rsidRPr="00C834AE">
        <w:t xml:space="preserve"> </w:t>
      </w:r>
      <w:r w:rsidR="005B7C71">
        <w:t xml:space="preserve">dokončených </w:t>
      </w:r>
      <w:r w:rsidRPr="00C834AE">
        <w:t>zadávacích řízení na dodavatele stavebních prací výstavby a modernizace silnic I. třídy</w:t>
      </w:r>
      <w:r>
        <w:t>,</w:t>
      </w:r>
      <w:r w:rsidR="005B7C71">
        <w:t xml:space="preserve"> která ŘSD zahájilo v letech </w:t>
      </w:r>
      <w:r w:rsidR="00FC6394">
        <w:t>2013–</w:t>
      </w:r>
      <w:r w:rsidR="00997253">
        <w:t xml:space="preserve">2018, byly o více než 30 % nižší oproti předpokládané hodnotě, konkrétně o 30,3 % až 48,5 %. </w:t>
      </w:r>
      <w:r w:rsidR="00997253" w:rsidRPr="00997253">
        <w:t>Pozitivně se projevil v</w:t>
      </w:r>
      <w:r w:rsidR="00997253">
        <w:t>yš</w:t>
      </w:r>
      <w:r w:rsidR="00997253" w:rsidRPr="00997253">
        <w:t xml:space="preserve">ší počet uchazečů o veřejné zakázky, který se u </w:t>
      </w:r>
      <w:r w:rsidR="00997253">
        <w:t>těchto</w:t>
      </w:r>
      <w:r w:rsidR="00997253" w:rsidRPr="00997253">
        <w:t xml:space="preserve"> zadávacích </w:t>
      </w:r>
      <w:r w:rsidR="00FC6394">
        <w:t>řízení obvykle pohyboval mezi 8</w:t>
      </w:r>
      <w:r w:rsidR="00997253">
        <w:t>–</w:t>
      </w:r>
      <w:r w:rsidR="00997253" w:rsidRPr="00997253">
        <w:t>12</w:t>
      </w:r>
      <w:r w:rsidR="00997253">
        <w:t xml:space="preserve">. </w:t>
      </w:r>
      <w:r>
        <w:t xml:space="preserve">Dle sdělení </w:t>
      </w:r>
      <w:r w:rsidR="00997253">
        <w:t>ŘSD byla nižší cenová úroveň nabídek důsledkem přebytku volných kapacit na trhu stavebních prací.</w:t>
      </w:r>
    </w:p>
    <w:p w14:paraId="1166B512" w14:textId="77777777" w:rsidR="00E7650E" w:rsidRPr="00E7650E" w:rsidRDefault="00837A66" w:rsidP="00B812CD">
      <w:pPr>
        <w:keepNext/>
        <w:spacing w:before="240"/>
        <w:rPr>
          <w:b/>
        </w:rPr>
      </w:pPr>
      <w:r>
        <w:rPr>
          <w:b/>
        </w:rPr>
        <w:lastRenderedPageBreak/>
        <w:t>7</w:t>
      </w:r>
      <w:r w:rsidRPr="00E7650E">
        <w:rPr>
          <w:b/>
        </w:rPr>
        <w:t>. Zjištění z kontrolovaných staveb silnic I. třídy</w:t>
      </w:r>
    </w:p>
    <w:p w14:paraId="2C3D1BC7" w14:textId="77777777" w:rsidR="00E7650E" w:rsidRDefault="00E7650E" w:rsidP="00B812CD">
      <w:pPr>
        <w:keepNext/>
      </w:pPr>
    </w:p>
    <w:p w14:paraId="3F5F6986" w14:textId="5B17434C" w:rsidR="003345FD" w:rsidRDefault="00837A66" w:rsidP="006936C3">
      <w:r w:rsidRPr="003345FD">
        <w:t>U kontrolovaných staveb byly zjištěny nedostatky</w:t>
      </w:r>
      <w:r w:rsidR="00BD18B7">
        <w:t>, resp.</w:t>
      </w:r>
      <w:r w:rsidRPr="003345FD">
        <w:t xml:space="preserve"> </w:t>
      </w:r>
      <w:r w:rsidRPr="00BD18B7">
        <w:t>problémy</w:t>
      </w:r>
      <w:r w:rsidRPr="003345FD">
        <w:t>, které měly negativní dopad na hospodárnost nákladů staveb</w:t>
      </w:r>
      <w:r w:rsidR="00A565F5">
        <w:t xml:space="preserve"> a na dobu trvání přípravy a realizace staveb</w:t>
      </w:r>
      <w:r w:rsidRPr="003345FD">
        <w:t xml:space="preserve">. </w:t>
      </w:r>
      <w:r w:rsidR="00BD18B7">
        <w:t>Často</w:t>
      </w:r>
      <w:r w:rsidRPr="003345FD">
        <w:t xml:space="preserve"> však šlo o</w:t>
      </w:r>
      <w:r w:rsidR="00A565F5">
        <w:t> </w:t>
      </w:r>
      <w:r w:rsidRPr="003345FD">
        <w:t xml:space="preserve">důsledky </w:t>
      </w:r>
      <w:r w:rsidR="00BD18B7">
        <w:t>chyb a</w:t>
      </w:r>
      <w:r w:rsidR="00117EF9">
        <w:t xml:space="preserve"> </w:t>
      </w:r>
      <w:r w:rsidR="00BD18B7">
        <w:t xml:space="preserve">problémů </w:t>
      </w:r>
      <w:r w:rsidRPr="003345FD">
        <w:t>v přípravě staveb, které vznikly před rokem 2013. Vybraná zjištění jsou uvedena v</w:t>
      </w:r>
      <w:r w:rsidR="00A774BF">
        <w:t> </w:t>
      </w:r>
      <w:r w:rsidRPr="003345FD">
        <w:t xml:space="preserve">následujících bodech </w:t>
      </w:r>
      <w:r w:rsidR="008F0A1E">
        <w:t>7</w:t>
      </w:r>
      <w:r w:rsidRPr="003345FD">
        <w:t xml:space="preserve">.1 až </w:t>
      </w:r>
      <w:r w:rsidR="008F0A1E">
        <w:t>7</w:t>
      </w:r>
      <w:r w:rsidRPr="003345FD">
        <w:t>.</w:t>
      </w:r>
      <w:r w:rsidR="008F0A1E">
        <w:t>10</w:t>
      </w:r>
      <w:r w:rsidRPr="003345FD">
        <w:t>.</w:t>
      </w:r>
    </w:p>
    <w:p w14:paraId="4A60176A" w14:textId="77777777" w:rsidR="003345FD" w:rsidRDefault="003345FD" w:rsidP="006936C3"/>
    <w:p w14:paraId="636F2043" w14:textId="77777777" w:rsidR="008F0A1E" w:rsidRPr="008F0A1E" w:rsidRDefault="00837A66" w:rsidP="008F0A1E">
      <w:pPr>
        <w:rPr>
          <w:b/>
        </w:rPr>
      </w:pPr>
      <w:r w:rsidRPr="008F0A1E">
        <w:rPr>
          <w:b/>
        </w:rPr>
        <w:t>7</w:t>
      </w:r>
      <w:r w:rsidR="00BB5686" w:rsidRPr="008F0A1E">
        <w:rPr>
          <w:b/>
        </w:rPr>
        <w:t>.1</w:t>
      </w:r>
      <w:r w:rsidRPr="008F0A1E">
        <w:rPr>
          <w:b/>
        </w:rPr>
        <w:t xml:space="preserve"> Stavba I/34 Božejov – Ondřejov – Pelhřimov</w:t>
      </w:r>
    </w:p>
    <w:p w14:paraId="3935939D" w14:textId="2AB8509A" w:rsidR="008F0A1E" w:rsidRDefault="00837A66" w:rsidP="008F0A1E">
      <w:pPr>
        <w:ind w:left="142" w:hanging="142"/>
      </w:pPr>
      <w:r>
        <w:t>-</w:t>
      </w:r>
      <w:r>
        <w:tab/>
      </w:r>
      <w:r w:rsidR="00947668">
        <w:t xml:space="preserve">Stavební řízení na část stavby </w:t>
      </w:r>
      <w:r w:rsidR="009633DD">
        <w:t>„</w:t>
      </w:r>
      <w:r w:rsidR="00947668">
        <w:t xml:space="preserve">I/34 Božejov – Ondřejov“ bylo </w:t>
      </w:r>
      <w:r w:rsidR="009633DD">
        <w:t xml:space="preserve">na </w:t>
      </w:r>
      <w:r w:rsidR="00947668">
        <w:t>9 měsíců přerušeno mj.</w:t>
      </w:r>
      <w:r w:rsidR="009633DD">
        <w:t> </w:t>
      </w:r>
      <w:r w:rsidR="00947668">
        <w:t>z důvodu nedokončeného majetkoprávního vypořádání pozemků.</w:t>
      </w:r>
    </w:p>
    <w:p w14:paraId="576CCFBE" w14:textId="19526386" w:rsidR="008F0A1E" w:rsidRDefault="00837A66" w:rsidP="008F0A1E">
      <w:pPr>
        <w:ind w:left="142" w:hanging="142"/>
      </w:pPr>
      <w:r>
        <w:t>-</w:t>
      </w:r>
      <w:r>
        <w:tab/>
      </w:r>
      <w:r w:rsidR="00947668">
        <w:t>Platnost stavebních povolení vydaných v letech 2009 a 2011 musela být opakovaně prodlužována, ŘSD nemohlo zahájit realizaci stavby z důvodu nedostatku finančních prostředků.</w:t>
      </w:r>
    </w:p>
    <w:p w14:paraId="046A8079" w14:textId="08C0C527" w:rsidR="00947668" w:rsidRDefault="00837A66" w:rsidP="00947668">
      <w:pPr>
        <w:ind w:left="142" w:hanging="142"/>
      </w:pPr>
      <w:r>
        <w:t>-</w:t>
      </w:r>
      <w:r>
        <w:tab/>
      </w:r>
      <w:r w:rsidRPr="00947668">
        <w:t xml:space="preserve">Navýšení nabídkové ceny o </w:t>
      </w:r>
      <w:r>
        <w:t xml:space="preserve">část </w:t>
      </w:r>
      <w:r w:rsidRPr="00947668">
        <w:t>vícepr</w:t>
      </w:r>
      <w:r w:rsidR="0046106C">
        <w:t>a</w:t>
      </w:r>
      <w:r w:rsidRPr="00947668">
        <w:t>c</w:t>
      </w:r>
      <w:r>
        <w:t>í</w:t>
      </w:r>
      <w:r w:rsidRPr="00947668">
        <w:t xml:space="preserve"> v </w:t>
      </w:r>
      <w:r>
        <w:t>hodnotě</w:t>
      </w:r>
      <w:r w:rsidRPr="00947668">
        <w:t xml:space="preserve"> 15 356 347,06 Kč bez DPH</w:t>
      </w:r>
      <w:r>
        <w:t xml:space="preserve"> (</w:t>
      </w:r>
      <w:r w:rsidRPr="00947668">
        <w:t>18</w:t>
      </w:r>
      <w:r>
        <w:t> </w:t>
      </w:r>
      <w:r w:rsidRPr="00947668">
        <w:t>581</w:t>
      </w:r>
      <w:r>
        <w:t> </w:t>
      </w:r>
      <w:r w:rsidRPr="00947668">
        <w:t>179,94</w:t>
      </w:r>
      <w:r>
        <w:t xml:space="preserve"> </w:t>
      </w:r>
      <w:r w:rsidRPr="00947668">
        <w:t>Kč včetně DPH</w:t>
      </w:r>
      <w:r>
        <w:t>)</w:t>
      </w:r>
      <w:r w:rsidRPr="00947668">
        <w:t xml:space="preserve"> vzniklo v důsledku chyb v</w:t>
      </w:r>
      <w:r>
        <w:t> projektové dokumentaci pro provádění stavby, která byla součástí zadávací dokumentace,</w:t>
      </w:r>
      <w:r w:rsidRPr="00947668">
        <w:t xml:space="preserve"> zjištěných při </w:t>
      </w:r>
      <w:r>
        <w:t>realizaci stavby</w:t>
      </w:r>
      <w:r w:rsidR="005143BF">
        <w:t>.</w:t>
      </w:r>
    </w:p>
    <w:p w14:paraId="04CF4A46" w14:textId="77777777" w:rsidR="00280CB1" w:rsidRPr="00947668" w:rsidRDefault="00837A66" w:rsidP="00947668">
      <w:pPr>
        <w:ind w:left="142" w:hanging="142"/>
      </w:pPr>
      <w:r>
        <w:t>-</w:t>
      </w:r>
      <w:r>
        <w:tab/>
      </w:r>
      <w:r w:rsidR="009C3773">
        <w:t xml:space="preserve">ŘSD </w:t>
      </w:r>
      <w:r>
        <w:t>v rozporu s ustanovením zákona č. 183/2006</w:t>
      </w:r>
      <w:r w:rsidR="00B7652C">
        <w:t xml:space="preserve"> Sb.</w:t>
      </w:r>
      <w:r>
        <w:rPr>
          <w:rStyle w:val="Znakapoznpodarou"/>
        </w:rPr>
        <w:footnoteReference w:id="13"/>
      </w:r>
      <w:r>
        <w:t xml:space="preserve"> umožnil</w:t>
      </w:r>
      <w:r w:rsidR="009C3773">
        <w:t>o</w:t>
      </w:r>
      <w:r>
        <w:t xml:space="preserve"> užívání stavby po datu</w:t>
      </w:r>
      <w:r w:rsidR="00FB2553">
        <w:t xml:space="preserve"> </w:t>
      </w:r>
      <w:r w:rsidR="00C304A0">
        <w:t>pozbytí</w:t>
      </w:r>
      <w:r w:rsidR="00FB2553">
        <w:t xml:space="preserve"> platnosti rozhodnutí o povolení předčasného užívání stavby, které bylo uděleno do 30. 11. 2018, a nepožádalo o jeho prodloužení ani o vydání kolaudačního souhlasu. </w:t>
      </w:r>
      <w:r w:rsidR="00996B3B">
        <w:t>ŘSD v</w:t>
      </w:r>
      <w:r w:rsidR="00A774BF">
        <w:t> </w:t>
      </w:r>
      <w:r w:rsidR="00FB2553">
        <w:t xml:space="preserve">době kontroly NKÚ </w:t>
      </w:r>
      <w:r w:rsidR="00FB2553" w:rsidRPr="00FB2553">
        <w:t>připravov</w:t>
      </w:r>
      <w:r w:rsidR="00996B3B">
        <w:t>alo</w:t>
      </w:r>
      <w:r w:rsidR="00FB2553" w:rsidRPr="00FB2553">
        <w:t xml:space="preserve"> žádost o vydání kolaudačního souhlasu.</w:t>
      </w:r>
    </w:p>
    <w:p w14:paraId="1F610845" w14:textId="77777777" w:rsidR="00B7652C" w:rsidRDefault="00B7652C" w:rsidP="00B7652C"/>
    <w:p w14:paraId="6886F251" w14:textId="77777777" w:rsidR="008F0A1E" w:rsidRPr="008F0A1E" w:rsidRDefault="00837A66" w:rsidP="008F0A1E">
      <w:pPr>
        <w:rPr>
          <w:b/>
        </w:rPr>
      </w:pPr>
      <w:r w:rsidRPr="008F0A1E">
        <w:rPr>
          <w:b/>
        </w:rPr>
        <w:t>7.2 Stavba I/34 Rouštany – Pohled</w:t>
      </w:r>
    </w:p>
    <w:p w14:paraId="1C0AF08F" w14:textId="4971D606" w:rsidR="00745DDF" w:rsidRDefault="00837A66" w:rsidP="00745DDF">
      <w:pPr>
        <w:ind w:left="142" w:hanging="142"/>
      </w:pPr>
      <w:r>
        <w:t>-</w:t>
      </w:r>
      <w:r>
        <w:tab/>
        <w:t>Platnost stavebních povolení vydaných v </w:t>
      </w:r>
      <w:r w:rsidR="009633DD">
        <w:t>roce</w:t>
      </w:r>
      <w:r>
        <w:t xml:space="preserve"> 2009 musela být opakovaně prodlužována, ŘSD nemohlo zahájit realizaci stavby z důvodu nedostatku finančních prostředků.</w:t>
      </w:r>
    </w:p>
    <w:p w14:paraId="6ABB5D56" w14:textId="2F2C8C1B" w:rsidR="00FE1838" w:rsidRDefault="00837A66" w:rsidP="00AD7E2B">
      <w:pPr>
        <w:ind w:left="142" w:hanging="142"/>
      </w:pPr>
      <w:r>
        <w:t>-</w:t>
      </w:r>
      <w:r>
        <w:tab/>
        <w:t>Zhotovitel nedodržel stanovený termín zprovoznění stavb</w:t>
      </w:r>
      <w:r w:rsidR="00ED42FB">
        <w:t>y, stavba byla zprovozněna o 10 </w:t>
      </w:r>
      <w:r>
        <w:t xml:space="preserve">dní později a </w:t>
      </w:r>
      <w:r w:rsidR="009C3773">
        <w:t xml:space="preserve">ŘSD </w:t>
      </w:r>
      <w:r>
        <w:t>za to vyměřil</w:t>
      </w:r>
      <w:r w:rsidR="009C3773">
        <w:t>o</w:t>
      </w:r>
      <w:r>
        <w:t xml:space="preserve"> v souladu se smlouvou zhotoviteli smluvní pokutu ve výši 2 800 000</w:t>
      </w:r>
      <w:r w:rsidRPr="00FE1838">
        <w:t xml:space="preserve"> Kč</w:t>
      </w:r>
      <w:r w:rsidR="00AD7E2B">
        <w:t xml:space="preserve"> a na základě neuhrazení této pokuty ve stanoveném termínu (a po zamítnutí požadavku zhotovitele na posunutí splatnosti pokuty) také úroky z prodlení. Smluvní pokuta byla zhotovitelem uhrazena dne 13. 5. 2019. Dodržen nebyl </w:t>
      </w:r>
      <w:r w:rsidR="009633DD">
        <w:t>ani</w:t>
      </w:r>
      <w:r w:rsidR="00AD7E2B">
        <w:t xml:space="preserve"> prodloužený termín dokončení stavby do 1. 4. 2019, k tomuto datu nebyly předány některé stavební objekty, ŘSD na základě skutečného termínu dokončení předpokládalo </w:t>
      </w:r>
      <w:r w:rsidR="007D7316">
        <w:t>uplatnění</w:t>
      </w:r>
      <w:r w:rsidR="00AD7E2B">
        <w:t xml:space="preserve"> smluvní pokuty.</w:t>
      </w:r>
    </w:p>
    <w:p w14:paraId="30F89FB5" w14:textId="77777777" w:rsidR="001C4B4D" w:rsidRDefault="001C4B4D" w:rsidP="008F0A1E"/>
    <w:p w14:paraId="4D13B912" w14:textId="77777777" w:rsidR="008F0A1E" w:rsidRPr="008F0A1E" w:rsidRDefault="00837A66" w:rsidP="008F0A1E">
      <w:pPr>
        <w:rPr>
          <w:b/>
        </w:rPr>
      </w:pPr>
      <w:r w:rsidRPr="008F0A1E">
        <w:rPr>
          <w:b/>
        </w:rPr>
        <w:t>7.3 Stavba I/9 obchvat Dubá</w:t>
      </w:r>
    </w:p>
    <w:p w14:paraId="08AFCAF9" w14:textId="77777777" w:rsidR="002921A9" w:rsidRDefault="00837A66" w:rsidP="00105130">
      <w:pPr>
        <w:ind w:left="142" w:hanging="142"/>
      </w:pPr>
      <w:r>
        <w:t>-</w:t>
      </w:r>
      <w:r>
        <w:tab/>
        <w:t xml:space="preserve">ŘSD uzavřelo smlouvu s dodavatelem stavebních prací dne </w:t>
      </w:r>
      <w:r w:rsidRPr="002921A9">
        <w:t xml:space="preserve">14. 7. 2010, přestože </w:t>
      </w:r>
      <w:r>
        <w:t xml:space="preserve">k tomuto datu </w:t>
      </w:r>
      <w:r w:rsidRPr="002921A9">
        <w:t>ani nepodalo stavebnímu úřadu žádost o vydání stavebního povolení</w:t>
      </w:r>
      <w:r>
        <w:t xml:space="preserve"> (důvodem bylo</w:t>
      </w:r>
      <w:r w:rsidRPr="002921A9">
        <w:t xml:space="preserve"> </w:t>
      </w:r>
      <w:r>
        <w:t>ne</w:t>
      </w:r>
      <w:r w:rsidRPr="002921A9">
        <w:t>do</w:t>
      </w:r>
      <w:r>
        <w:t>končené</w:t>
      </w:r>
      <w:r w:rsidRPr="002921A9">
        <w:t xml:space="preserve"> majetkoprávní </w:t>
      </w:r>
      <w:r>
        <w:t>vypořádání</w:t>
      </w:r>
      <w:r w:rsidRPr="002921A9">
        <w:t xml:space="preserve"> pozemků</w:t>
      </w:r>
      <w:r>
        <w:t>).</w:t>
      </w:r>
      <w:r w:rsidR="00010554">
        <w:t xml:space="preserve"> Realizace stavebních prací byla zahájena v srpnu 2014, tj. 4 roky po uzavření smlouvy.</w:t>
      </w:r>
    </w:p>
    <w:p w14:paraId="5B0A675B" w14:textId="77777777" w:rsidR="00105130" w:rsidRDefault="00837A66" w:rsidP="00105130">
      <w:pPr>
        <w:ind w:left="142" w:hanging="142"/>
      </w:pPr>
      <w:r>
        <w:t>-</w:t>
      </w:r>
      <w:r>
        <w:tab/>
        <w:t xml:space="preserve">ŘSD </w:t>
      </w:r>
      <w:r w:rsidR="0042603D">
        <w:t xml:space="preserve">v rozporu s ustanovením § </w:t>
      </w:r>
      <w:r w:rsidR="0042603D" w:rsidRPr="0042603D">
        <w:t>13 odst. 1 zákona č. 137/2006 Sb</w:t>
      </w:r>
      <w:r w:rsidR="0042603D">
        <w:t>.</w:t>
      </w:r>
      <w:r w:rsidR="00C24684">
        <w:rPr>
          <w:rStyle w:val="Znakapoznpodarou"/>
        </w:rPr>
        <w:footnoteReference w:id="14"/>
      </w:r>
      <w:r w:rsidR="0042603D" w:rsidRPr="0042603D">
        <w:t xml:space="preserve"> </w:t>
      </w:r>
      <w:r>
        <w:t>při zahájení zadávacího řízení v</w:t>
      </w:r>
      <w:r w:rsidR="0042603D">
        <w:t> listopadu 2008</w:t>
      </w:r>
      <w:r>
        <w:t xml:space="preserve"> </w:t>
      </w:r>
      <w:r w:rsidR="0042603D">
        <w:t xml:space="preserve">stanovilo předpokládanou hodnotu ve výši </w:t>
      </w:r>
      <w:r w:rsidR="0042603D" w:rsidRPr="0042603D">
        <w:t>495 194 000 Kč</w:t>
      </w:r>
      <w:r w:rsidR="0042603D">
        <w:t xml:space="preserve"> včetně DPH, přestože dle výše uvedeného ustanovení je p</w:t>
      </w:r>
      <w:r w:rsidR="0042603D" w:rsidRPr="0042603D">
        <w:t xml:space="preserve">ři stanovení předpokládané hodnoty vždy rozhodná cena bez </w:t>
      </w:r>
      <w:r w:rsidR="0042603D">
        <w:t>DPH.</w:t>
      </w:r>
    </w:p>
    <w:p w14:paraId="392BF10A" w14:textId="77777777" w:rsidR="0042603D" w:rsidRDefault="00837A66" w:rsidP="00105130">
      <w:pPr>
        <w:ind w:left="142" w:hanging="142"/>
      </w:pPr>
      <w:r>
        <w:t>-</w:t>
      </w:r>
      <w:r>
        <w:tab/>
      </w:r>
      <w:r w:rsidRPr="0042603D">
        <w:t xml:space="preserve">ŘSD </w:t>
      </w:r>
      <w:r>
        <w:t>v rozporu s ustanovením</w:t>
      </w:r>
      <w:r w:rsidRPr="0042603D">
        <w:t xml:space="preserve"> § 82 odst. 1 zákona č. 137/2006 Sb. </w:t>
      </w:r>
      <w:r>
        <w:t xml:space="preserve">uzavřelo dne </w:t>
      </w:r>
      <w:r w:rsidRPr="0042603D">
        <w:t xml:space="preserve">14. 7. 2010 </w:t>
      </w:r>
      <w:r>
        <w:t>smlouvu s vybraným</w:t>
      </w:r>
      <w:r w:rsidRPr="0042603D">
        <w:t xml:space="preserve"> uchazečem před uplynutím lhůty pro podání námitek proti rozhodnutí o výběru nejvhodnější nabídky.</w:t>
      </w:r>
    </w:p>
    <w:p w14:paraId="65CAE472" w14:textId="0AC1DD91" w:rsidR="0042603D" w:rsidRDefault="00837A66" w:rsidP="00105130">
      <w:pPr>
        <w:ind w:left="142" w:hanging="142"/>
      </w:pPr>
      <w:r>
        <w:lastRenderedPageBreak/>
        <w:t>-</w:t>
      </w:r>
      <w:r>
        <w:tab/>
      </w:r>
      <w:r w:rsidR="002921A9" w:rsidRPr="002921A9">
        <w:t xml:space="preserve">ŘSD </w:t>
      </w:r>
      <w:r w:rsidR="002921A9">
        <w:t>v rozporu s</w:t>
      </w:r>
      <w:r w:rsidR="002921A9" w:rsidRPr="002921A9">
        <w:t xml:space="preserve"> ustanovení</w:t>
      </w:r>
      <w:r w:rsidR="002921A9">
        <w:t>m</w:t>
      </w:r>
      <w:r w:rsidR="002921A9" w:rsidRPr="002921A9">
        <w:t xml:space="preserve"> § 82 odst. 5 zákona č. 137/2006 Sb. neoznámilo bez zbytečného odkladu informaci o uzavření </w:t>
      </w:r>
      <w:r w:rsidR="002921A9">
        <w:t xml:space="preserve">smlouvy </w:t>
      </w:r>
      <w:r w:rsidR="002921A9" w:rsidRPr="002921A9">
        <w:t>uchazečům, s ni</w:t>
      </w:r>
      <w:r w:rsidR="002921A9">
        <w:t>miž bylo možné uzavřít smlouvu</w:t>
      </w:r>
      <w:r w:rsidR="009633DD">
        <w:t>;</w:t>
      </w:r>
      <w:r w:rsidR="002921A9" w:rsidRPr="002921A9">
        <w:t xml:space="preserve"> </w:t>
      </w:r>
      <w:r w:rsidR="002921A9">
        <w:t xml:space="preserve">oznámení odeslalo až </w:t>
      </w:r>
      <w:r w:rsidR="002921A9" w:rsidRPr="00171BCA">
        <w:rPr>
          <w:rFonts w:asciiTheme="minorHAnsi" w:hAnsiTheme="minorHAnsi"/>
        </w:rPr>
        <w:t>29. 7. 2011</w:t>
      </w:r>
      <w:r w:rsidR="002921A9">
        <w:rPr>
          <w:rFonts w:asciiTheme="minorHAnsi" w:hAnsiTheme="minorHAnsi"/>
        </w:rPr>
        <w:t>, tj. o více než rok později</w:t>
      </w:r>
      <w:r w:rsidR="002921A9" w:rsidRPr="002921A9">
        <w:t>.</w:t>
      </w:r>
    </w:p>
    <w:p w14:paraId="33AAE51F" w14:textId="34134AC1" w:rsidR="002921A9" w:rsidRDefault="00837A66" w:rsidP="002921A9">
      <w:pPr>
        <w:ind w:left="142" w:hanging="142"/>
      </w:pPr>
      <w:r>
        <w:t>-</w:t>
      </w:r>
      <w:r>
        <w:tab/>
      </w:r>
      <w:r w:rsidR="009633DD">
        <w:t xml:space="preserve">Některé </w:t>
      </w:r>
      <w:r>
        <w:t>změn</w:t>
      </w:r>
      <w:r w:rsidR="009633DD">
        <w:t>y</w:t>
      </w:r>
      <w:r>
        <w:t xml:space="preserve"> během výstavby a s </w:t>
      </w:r>
      <w:r w:rsidR="009633DD">
        <w:t>nimi</w:t>
      </w:r>
      <w:r>
        <w:t xml:space="preserve"> související zvýšení nákladů byl</w:t>
      </w:r>
      <w:r w:rsidR="009633DD">
        <w:t>y</w:t>
      </w:r>
      <w:r>
        <w:t xml:space="preserve"> vyvolán</w:t>
      </w:r>
      <w:r w:rsidR="009633DD">
        <w:t>y</w:t>
      </w:r>
      <w:r w:rsidR="00AB574F">
        <w:t xml:space="preserve"> postupným získáváním pravomocných stavebních povolení až po uzavření smlouvy s dodavatelem stavebních prací,</w:t>
      </w:r>
      <w:r>
        <w:t xml:space="preserve"> </w:t>
      </w:r>
      <w:r w:rsidR="00AB574F">
        <w:t xml:space="preserve">nedokončeným majetkoprávním vypořádáním pozemků a </w:t>
      </w:r>
      <w:r>
        <w:t>ne</w:t>
      </w:r>
      <w:r w:rsidR="00AB574F">
        <w:t>zajištěním všech nezbytných</w:t>
      </w:r>
      <w:r>
        <w:t xml:space="preserve"> přístupů na pozemky potřebné pro stavbu.</w:t>
      </w:r>
      <w:r w:rsidR="00C140F7">
        <w:t xml:space="preserve"> Náklady takto vyvolaných změn činily více než 20 mil. Kč bez DPH, přesnou částku nebylo</w:t>
      </w:r>
      <w:r>
        <w:t xml:space="preserve"> možné z d</w:t>
      </w:r>
      <w:r w:rsidR="00C140F7">
        <w:t>o</w:t>
      </w:r>
      <w:r>
        <w:t>kladů stanovit.</w:t>
      </w:r>
    </w:p>
    <w:p w14:paraId="3E24ABD5" w14:textId="77777777" w:rsidR="00010554" w:rsidRDefault="00837A66" w:rsidP="00C140F7">
      <w:pPr>
        <w:ind w:left="142" w:hanging="142"/>
      </w:pPr>
      <w:r>
        <w:t>-</w:t>
      </w:r>
      <w:r>
        <w:tab/>
      </w:r>
      <w:r w:rsidR="009C3773">
        <w:t xml:space="preserve">ŘSD </w:t>
      </w:r>
      <w:r w:rsidR="00996B3B">
        <w:t>do doby kontroly</w:t>
      </w:r>
      <w:r w:rsidR="00996B3B" w:rsidRPr="00010554">
        <w:t xml:space="preserve"> NKÚ </w:t>
      </w:r>
      <w:r w:rsidR="00996B3B">
        <w:t xml:space="preserve">nepodalo </w:t>
      </w:r>
      <w:r w:rsidRPr="00010554">
        <w:t>žádost o kolaudační souhlas z důvodu chybějícího geometrického zaměření obchvatu</w:t>
      </w:r>
      <w:r w:rsidR="00996B3B">
        <w:t>, které</w:t>
      </w:r>
      <w:r>
        <w:t xml:space="preserve"> nelze provést </w:t>
      </w:r>
      <w:r w:rsidRPr="00010554">
        <w:t xml:space="preserve">z důvodu nedokončení komplexní pozemkové úpravy </w:t>
      </w:r>
      <w:r>
        <w:t>pro</w:t>
      </w:r>
      <w:r w:rsidRPr="00010554">
        <w:t xml:space="preserve"> nesouhlas </w:t>
      </w:r>
      <w:r w:rsidR="00454380">
        <w:t>jednoho z účastníků řízení a </w:t>
      </w:r>
      <w:r>
        <w:t>žalobu podanou ke krajskému soudu</w:t>
      </w:r>
      <w:r w:rsidRPr="00010554">
        <w:t>.</w:t>
      </w:r>
    </w:p>
    <w:p w14:paraId="1FE0CE7E" w14:textId="77777777" w:rsidR="00C140F7" w:rsidRDefault="00C140F7" w:rsidP="008F0A1E"/>
    <w:p w14:paraId="0E5E6F86" w14:textId="77777777" w:rsidR="008F0A1E" w:rsidRPr="008F0A1E" w:rsidRDefault="00837A66" w:rsidP="008F0A1E">
      <w:pPr>
        <w:rPr>
          <w:b/>
        </w:rPr>
      </w:pPr>
      <w:r w:rsidRPr="008F0A1E">
        <w:rPr>
          <w:b/>
        </w:rPr>
        <w:t>7.4 Stavba I/14 Kunratice – Jablonec n. N.</w:t>
      </w:r>
    </w:p>
    <w:p w14:paraId="57E9208D" w14:textId="77777777" w:rsidR="008F0A1E" w:rsidRDefault="00837A66" w:rsidP="00010554">
      <w:pPr>
        <w:ind w:left="142" w:hanging="142"/>
      </w:pPr>
      <w:r>
        <w:t>-</w:t>
      </w:r>
      <w:r>
        <w:tab/>
        <w:t>Z důvodu nedokončeného majetkoprávního vypořádání pozemků musela být prodloužena platnost územního rozhodnutí vydaného v červnu 2010.</w:t>
      </w:r>
    </w:p>
    <w:p w14:paraId="259295E5" w14:textId="6327AA7F" w:rsidR="004322B1" w:rsidRDefault="00837A66" w:rsidP="00010554">
      <w:pPr>
        <w:ind w:left="142" w:hanging="142"/>
      </w:pPr>
      <w:r>
        <w:t>-</w:t>
      </w:r>
      <w:r>
        <w:tab/>
        <w:t xml:space="preserve">Vydání stavebních povolení bylo </w:t>
      </w:r>
      <w:r w:rsidR="00F54141">
        <w:t>komplikováno</w:t>
      </w:r>
      <w:r>
        <w:t xml:space="preserve"> mj. </w:t>
      </w:r>
      <w:r w:rsidRPr="004322B1">
        <w:t>zánik</w:t>
      </w:r>
      <w:r>
        <w:t>em</w:t>
      </w:r>
      <w:r w:rsidRPr="004322B1">
        <w:t xml:space="preserve"> platnosti rozhodnutí o trvalém odnětí pozemků určených k plnění funkcí lesa</w:t>
      </w:r>
      <w:r>
        <w:t xml:space="preserve"> z července 2010 a nutnost</w:t>
      </w:r>
      <w:r w:rsidR="009633DD">
        <w:t>í</w:t>
      </w:r>
      <w:r>
        <w:t xml:space="preserve"> doložení nového rozhodnutí a</w:t>
      </w:r>
      <w:r w:rsidR="00F54141">
        <w:t xml:space="preserve"> námitkami a odvolání</w:t>
      </w:r>
      <w:r w:rsidR="00996B3B">
        <w:t>mi účastníka stavebního řízení.</w:t>
      </w:r>
    </w:p>
    <w:p w14:paraId="038D2F69" w14:textId="77777777" w:rsidR="003140B7" w:rsidRDefault="00837A66" w:rsidP="00010554">
      <w:pPr>
        <w:ind w:left="142" w:hanging="142"/>
      </w:pPr>
      <w:r>
        <w:t>-</w:t>
      </w:r>
      <w:r>
        <w:tab/>
        <w:t>Jedna ze změn během výstavby, představující n</w:t>
      </w:r>
      <w:r w:rsidRPr="003140B7">
        <w:t>avýšení ceny stavby o 773 098,24 Kč bez DPH</w:t>
      </w:r>
      <w:r>
        <w:t xml:space="preserve">, byla způsobena zahájením zadávacího řízení </w:t>
      </w:r>
      <w:r w:rsidR="009C3773">
        <w:t xml:space="preserve">v únoru 2015 </w:t>
      </w:r>
      <w:r>
        <w:t>před získáním pravomocného stavebního povolení</w:t>
      </w:r>
      <w:r w:rsidR="009C3773">
        <w:t xml:space="preserve"> pro hlavní tras</w:t>
      </w:r>
      <w:r w:rsidR="00AB539F">
        <w:t>u</w:t>
      </w:r>
      <w:r w:rsidR="009C3773">
        <w:t xml:space="preserve"> silnice v říjnu 2015</w:t>
      </w:r>
      <w:r>
        <w:t>. Touto změnou musel</w:t>
      </w:r>
      <w:r w:rsidR="0012720F">
        <w:t>a</w:t>
      </w:r>
      <w:r>
        <w:t xml:space="preserve"> být </w:t>
      </w:r>
      <w:r w:rsidR="0012720F">
        <w:t>zapracována jedna podmínka vydaného stavebního povolení, která nebyla v zadávací dokumentaci uvedena.</w:t>
      </w:r>
    </w:p>
    <w:p w14:paraId="5A6091FB" w14:textId="77777777" w:rsidR="0012720F" w:rsidRDefault="00837A66" w:rsidP="00010554">
      <w:pPr>
        <w:ind w:left="142" w:hanging="142"/>
      </w:pPr>
      <w:r>
        <w:t>-</w:t>
      </w:r>
      <w:r>
        <w:tab/>
        <w:t>Stavba byla zprovozněna v červnu 2018, v době kontroly NKÚ nebyl vydán kolaudační souhlas.</w:t>
      </w:r>
    </w:p>
    <w:p w14:paraId="45CD24EC" w14:textId="77777777" w:rsidR="00010554" w:rsidRDefault="00010554" w:rsidP="008F0A1E"/>
    <w:p w14:paraId="6A0E4A4C" w14:textId="77777777" w:rsidR="008F0A1E" w:rsidRPr="008F0A1E" w:rsidRDefault="00837A66" w:rsidP="008F0A1E">
      <w:pPr>
        <w:rPr>
          <w:b/>
        </w:rPr>
      </w:pPr>
      <w:r w:rsidRPr="008F0A1E">
        <w:rPr>
          <w:b/>
        </w:rPr>
        <w:t>7.5 Stavba I/55 MÚK s ČD Přerov – Předmostí</w:t>
      </w:r>
    </w:p>
    <w:p w14:paraId="41453A46" w14:textId="77777777" w:rsidR="004973E5" w:rsidRDefault="00837A66" w:rsidP="0012720F">
      <w:pPr>
        <w:ind w:left="142" w:hanging="142"/>
      </w:pPr>
      <w:r>
        <w:t>-</w:t>
      </w:r>
      <w:r>
        <w:tab/>
        <w:t>Dokumentace pro územní rozhodnutí byla zpracována</w:t>
      </w:r>
      <w:r w:rsidR="00DE7A9A">
        <w:t xml:space="preserve"> již v roce 2002, v letech 2002–</w:t>
      </w:r>
      <w:r>
        <w:t>2013 byl rozsah stavby několikrát redukován a aktualizován.</w:t>
      </w:r>
    </w:p>
    <w:p w14:paraId="17D96227" w14:textId="77777777" w:rsidR="00AB539F" w:rsidRDefault="00AB539F" w:rsidP="0012720F">
      <w:pPr>
        <w:ind w:left="142" w:hanging="142"/>
      </w:pPr>
      <w:r>
        <w:t>-</w:t>
      </w:r>
      <w:r>
        <w:tab/>
      </w:r>
      <w:r w:rsidR="00854582">
        <w:t xml:space="preserve">Ekonomická efektivnost této stavby </w:t>
      </w:r>
      <w:r w:rsidR="0009148A">
        <w:t>je závislá na dlouhodobě připravovaném</w:t>
      </w:r>
      <w:r w:rsidR="00854582">
        <w:t xml:space="preserve"> obchvatu města dálnicí D1 v úseku </w:t>
      </w:r>
      <w:r w:rsidR="00854582" w:rsidRPr="00854582">
        <w:t>Říkovice – Přerov</w:t>
      </w:r>
      <w:r w:rsidR="00854582">
        <w:t>, po zprovoznění obchvatu se přínosy stavby významně sníží (</w:t>
      </w:r>
      <w:r w:rsidR="00C01A45">
        <w:t xml:space="preserve">značnou </w:t>
      </w:r>
      <w:r w:rsidR="00854582">
        <w:t>část dopravní zátěže převezme dálnice D1).</w:t>
      </w:r>
    </w:p>
    <w:p w14:paraId="09973A07" w14:textId="77777777" w:rsidR="009C3773" w:rsidRDefault="00837A66" w:rsidP="0012720F">
      <w:pPr>
        <w:ind w:left="142" w:hanging="142"/>
      </w:pPr>
      <w:r w:rsidRPr="009C3773">
        <w:t>-</w:t>
      </w:r>
      <w:r>
        <w:tab/>
      </w:r>
      <w:r w:rsidRPr="009C3773">
        <w:t>V listopadu 2009 zahájené zadávací řízení na zhotovení dokumentace pro stavební povolení ŘSD zruš</w:t>
      </w:r>
      <w:r w:rsidR="00AB539F">
        <w:t>il</w:t>
      </w:r>
      <w:r w:rsidRPr="009C3773">
        <w:t>o z důvodu nedostatku finančních prostředků na plnění této veřejné zakázky.</w:t>
      </w:r>
    </w:p>
    <w:p w14:paraId="0999D971" w14:textId="547CAFCB" w:rsidR="008F0A1E" w:rsidRDefault="00837A66" w:rsidP="008E3712">
      <w:pPr>
        <w:ind w:left="142" w:hanging="142"/>
      </w:pPr>
      <w:r>
        <w:t>-</w:t>
      </w:r>
      <w:r>
        <w:tab/>
      </w:r>
      <w:r w:rsidR="00B262A7">
        <w:t>Žádost o změnu územního rozhodnutí, kterou ŘSD podalo v únoru 2013</w:t>
      </w:r>
      <w:r w:rsidR="004973E5">
        <w:t>,</w:t>
      </w:r>
      <w:r w:rsidR="00B262A7">
        <w:t xml:space="preserve"> </w:t>
      </w:r>
      <w:r w:rsidR="004973E5">
        <w:t xml:space="preserve">nebyla úplná, stavební úřad řízení přerušil a stanovil k doplnění podkladů lhůtu do června 2013. </w:t>
      </w:r>
      <w:r w:rsidR="008E3712">
        <w:t xml:space="preserve">Žádost neobsahovala úplný a správný seznam dotčených pozemků k umístění stavby, </w:t>
      </w:r>
      <w:r w:rsidR="008E3712" w:rsidRPr="008E3712">
        <w:t>z podkladů nebylo zřejmé, co mělo být předmětem řízení o změně</w:t>
      </w:r>
      <w:r w:rsidR="008E3712">
        <w:t xml:space="preserve">, přiložená projektová dokumentace </w:t>
      </w:r>
      <w:r w:rsidR="008E3712" w:rsidRPr="008E3712">
        <w:t>nesplňovala náležitosti aktuálního stavu v</w:t>
      </w:r>
      <w:r w:rsidR="008E3712">
        <w:t> </w:t>
      </w:r>
      <w:r w:rsidR="008E3712" w:rsidRPr="008E3712">
        <w:t>území</w:t>
      </w:r>
      <w:r w:rsidR="008E3712">
        <w:t xml:space="preserve"> </w:t>
      </w:r>
      <w:r w:rsidR="00482C08">
        <w:t>a neobsahovala</w:t>
      </w:r>
      <w:r w:rsidR="008E3712" w:rsidRPr="008E3712">
        <w:t xml:space="preserve"> údaj</w:t>
      </w:r>
      <w:r w:rsidR="00482C08">
        <w:t>e</w:t>
      </w:r>
      <w:r w:rsidR="008E3712" w:rsidRPr="008E3712">
        <w:t xml:space="preserve"> o splnění požadavků dotčených orgánů</w:t>
      </w:r>
      <w:r w:rsidR="008E3712">
        <w:t xml:space="preserve"> atd. Lhůta pro doplnění podkladů musela být opakovaně prodlužována, mj. z důvodu </w:t>
      </w:r>
      <w:r w:rsidR="008E3712" w:rsidRPr="008E3712">
        <w:t xml:space="preserve">získání </w:t>
      </w:r>
      <w:r w:rsidR="008E3712">
        <w:t xml:space="preserve">dalších </w:t>
      </w:r>
      <w:r w:rsidR="008E3712" w:rsidRPr="008E3712">
        <w:t>podkladů, které vyplynuly z požadavků obsažených ve vyjádřeních a stanoviscích dotčených orgánů</w:t>
      </w:r>
      <w:r w:rsidR="008E3712">
        <w:t>. Podklady byly doplněny</w:t>
      </w:r>
      <w:r w:rsidR="009C3773">
        <w:t xml:space="preserve"> v září 201</w:t>
      </w:r>
      <w:r w:rsidR="00134B3C">
        <w:t>4</w:t>
      </w:r>
      <w:r w:rsidR="009C3773">
        <w:t>, kdy</w:t>
      </w:r>
      <w:r w:rsidR="008E3712">
        <w:t xml:space="preserve"> </w:t>
      </w:r>
      <w:r w:rsidR="008E3712" w:rsidRPr="008E3712">
        <w:t xml:space="preserve">stavební úřad oznámil </w:t>
      </w:r>
      <w:r w:rsidR="008E3712">
        <w:t>zahájení územního řízení</w:t>
      </w:r>
      <w:r w:rsidR="009633DD">
        <w:t>.</w:t>
      </w:r>
      <w:r w:rsidR="008E3712">
        <w:t xml:space="preserve"> </w:t>
      </w:r>
      <w:r w:rsidR="009633DD">
        <w:t>R</w:t>
      </w:r>
      <w:r w:rsidR="008E3712">
        <w:t xml:space="preserve">ozhodnutí o změně územního rozhodnutí </w:t>
      </w:r>
      <w:r w:rsidR="008E3712" w:rsidRPr="008E3712">
        <w:t xml:space="preserve">bylo vydáno </w:t>
      </w:r>
      <w:r w:rsidR="009C3773">
        <w:t xml:space="preserve">v listopadu </w:t>
      </w:r>
      <w:r w:rsidR="008E3712" w:rsidRPr="008E3712">
        <w:t xml:space="preserve">2014 a právní moci </w:t>
      </w:r>
      <w:r w:rsidR="00A10C1C">
        <w:t>nabylo v prosinci 2014</w:t>
      </w:r>
      <w:r w:rsidR="008E3712">
        <w:t>.</w:t>
      </w:r>
    </w:p>
    <w:p w14:paraId="6E376EAF" w14:textId="51A9059C" w:rsidR="001A50F0" w:rsidRDefault="00837A66" w:rsidP="006F3B9E">
      <w:pPr>
        <w:ind w:left="142" w:hanging="142"/>
      </w:pPr>
      <w:r>
        <w:t>-</w:t>
      </w:r>
      <w:r>
        <w:tab/>
      </w:r>
      <w:r w:rsidR="006F3B9E">
        <w:t xml:space="preserve">Stavební práce byly zahájeny v srpnu 2018, v říjnu 2018 požádal zhotovitel o provedení změny během výstavby z důvodu chyby v soupisu prací zadávací dokumentace, kde byla </w:t>
      </w:r>
      <w:r w:rsidR="006F3B9E">
        <w:lastRenderedPageBreak/>
        <w:t>uvedena 1 chatka k demolici,</w:t>
      </w:r>
      <w:r w:rsidR="00482C08">
        <w:t xml:space="preserve"> zatímco</w:t>
      </w:r>
      <w:r w:rsidR="006F3B9E">
        <w:t xml:space="preserve"> </w:t>
      </w:r>
      <w:r w:rsidR="00244E07">
        <w:t xml:space="preserve">po zahájení realizace stavby bylo </w:t>
      </w:r>
      <w:r w:rsidR="006F3B9E">
        <w:t xml:space="preserve">zjištěno 10 chatek. Zhotovitel projektové dokumentace </w:t>
      </w:r>
      <w:r w:rsidR="006F3B9E" w:rsidRPr="006F3B9E">
        <w:t>neprovedl</w:t>
      </w:r>
      <w:r w:rsidR="006F3B9E">
        <w:t xml:space="preserve"> podrobný průzkum </w:t>
      </w:r>
      <w:r w:rsidR="006F3B9E" w:rsidRPr="006F3B9E">
        <w:t>pro potřeby zpracování výkazu výměr</w:t>
      </w:r>
      <w:r w:rsidR="00482C08">
        <w:t>;</w:t>
      </w:r>
      <w:r w:rsidR="006F3B9E">
        <w:t xml:space="preserve"> evidenci jediné chatky zdůvodnil hustým porostem a nemožností přístupu na pozemky.</w:t>
      </w:r>
    </w:p>
    <w:p w14:paraId="5F9E16F9" w14:textId="77777777" w:rsidR="0012720F" w:rsidRDefault="0012720F" w:rsidP="008F0A1E"/>
    <w:p w14:paraId="4EE441C5" w14:textId="77777777" w:rsidR="008F0A1E" w:rsidRPr="008F0A1E" w:rsidRDefault="00837A66" w:rsidP="006F3B9E">
      <w:pPr>
        <w:keepNext/>
        <w:rPr>
          <w:b/>
        </w:rPr>
      </w:pPr>
      <w:r w:rsidRPr="008F0A1E">
        <w:rPr>
          <w:b/>
        </w:rPr>
        <w:t>7.6 Stavba I/44 Červenohorské sedlo jih</w:t>
      </w:r>
    </w:p>
    <w:p w14:paraId="25BC1150" w14:textId="4E87D6D8" w:rsidR="003E3FB3" w:rsidRDefault="00837A66" w:rsidP="006F3B9E">
      <w:pPr>
        <w:ind w:left="142" w:hanging="142"/>
      </w:pPr>
      <w:r>
        <w:t>-</w:t>
      </w:r>
      <w:r>
        <w:tab/>
      </w:r>
      <w:r w:rsidR="00265331">
        <w:t xml:space="preserve">Prodleva v přípravě stavby byla způsobena </w:t>
      </w:r>
      <w:r w:rsidR="00482C08">
        <w:t xml:space="preserve">mj. </w:t>
      </w:r>
      <w:r w:rsidR="00265331" w:rsidRPr="00265331">
        <w:t>nedostatkem finančních prostředků a</w:t>
      </w:r>
      <w:r w:rsidR="00265331">
        <w:t> </w:t>
      </w:r>
      <w:r w:rsidR="00265331" w:rsidRPr="00265331">
        <w:t xml:space="preserve">nezařazením akce k financování </w:t>
      </w:r>
      <w:r w:rsidR="00265331">
        <w:t>z</w:t>
      </w:r>
      <w:r w:rsidR="00DE7A9A">
        <w:t xml:space="preserve"> rozpočtu SFDI v letech 2009–</w:t>
      </w:r>
      <w:r w:rsidR="00265331">
        <w:t>2</w:t>
      </w:r>
      <w:r w:rsidR="00265331" w:rsidRPr="00265331">
        <w:t>010</w:t>
      </w:r>
      <w:r>
        <w:t>.</w:t>
      </w:r>
    </w:p>
    <w:p w14:paraId="3AF0EF5F" w14:textId="77777777" w:rsidR="008F0A1E" w:rsidRDefault="00837A66" w:rsidP="006F3B9E">
      <w:pPr>
        <w:ind w:left="142" w:hanging="142"/>
      </w:pPr>
      <w:r>
        <w:t>-</w:t>
      </w:r>
      <w:r>
        <w:tab/>
        <w:t>Žádost o vydání stavebního povolení podalo ŘSD v listopadu 2011, s</w:t>
      </w:r>
      <w:r w:rsidR="00265331">
        <w:t xml:space="preserve">tavební řízení bylo </w:t>
      </w:r>
      <w:r>
        <w:t>zahájeno o rok později v listopadu 2012 z </w:t>
      </w:r>
      <w:r w:rsidR="00265331">
        <w:t>důvodu</w:t>
      </w:r>
      <w:r w:rsidR="00265331" w:rsidRPr="00265331">
        <w:t xml:space="preserve"> </w:t>
      </w:r>
      <w:r w:rsidR="00265331">
        <w:t>doplňování nezbytných podkladů, zejména majetkoprávní</w:t>
      </w:r>
      <w:r>
        <w:t>ho</w:t>
      </w:r>
      <w:r w:rsidR="00265331">
        <w:t xml:space="preserve"> vypořádání pozemků, resp. zajištění věcných břemen.</w:t>
      </w:r>
    </w:p>
    <w:p w14:paraId="481BEA06" w14:textId="77777777" w:rsidR="00265331" w:rsidRDefault="00265331" w:rsidP="00265331"/>
    <w:p w14:paraId="71EDD233" w14:textId="77777777" w:rsidR="008F0A1E" w:rsidRPr="008F0A1E" w:rsidRDefault="00837A66" w:rsidP="008F0A1E">
      <w:pPr>
        <w:rPr>
          <w:b/>
        </w:rPr>
      </w:pPr>
      <w:r w:rsidRPr="008F0A1E">
        <w:rPr>
          <w:b/>
        </w:rPr>
        <w:t>7.7 Stavba I/11 Nebory – Oldřichovice</w:t>
      </w:r>
    </w:p>
    <w:p w14:paraId="4BA5EF8E" w14:textId="06EBC2B5" w:rsidR="003E3FB3" w:rsidRDefault="00837A66" w:rsidP="003E3FB3">
      <w:pPr>
        <w:ind w:left="142" w:hanging="142"/>
      </w:pPr>
      <w:r>
        <w:t>-</w:t>
      </w:r>
      <w:r>
        <w:tab/>
        <w:t>Ve fázi získá</w:t>
      </w:r>
      <w:r w:rsidR="00482C08">
        <w:t>vá</w:t>
      </w:r>
      <w:r>
        <w:t>ní stavebního povolení došlo k</w:t>
      </w:r>
      <w:r w:rsidR="007524D3">
        <w:t> </w:t>
      </w:r>
      <w:r>
        <w:t>prodlevám, kdy n</w:t>
      </w:r>
      <w:r w:rsidRPr="00D44E10">
        <w:t xml:space="preserve">ejdelší proces vydání stavebního povolení trval </w:t>
      </w:r>
      <w:r w:rsidR="00A10C1C">
        <w:t>téměř 20 měsíců</w:t>
      </w:r>
      <w:r>
        <w:t>, v</w:t>
      </w:r>
      <w:r w:rsidRPr="00D44E10">
        <w:t xml:space="preserve"> případě stavebního povolení pro část hlavní trasy trvalo nejdelší řízení </w:t>
      </w:r>
      <w:r w:rsidR="00A10C1C">
        <w:t>18 měsíců</w:t>
      </w:r>
      <w:r w:rsidRPr="00D44E10">
        <w:t>.</w:t>
      </w:r>
      <w:r>
        <w:t xml:space="preserve"> Stavební řízení byla přerušována z důvodu nedoložení podkladů týkajících se především majetkoprávního vypořádání pozemků potřebných pro stavbu, které v některých případech vedlo až k vyvlastnění. </w:t>
      </w:r>
      <w:r w:rsidR="00D57A00">
        <w:t>P</w:t>
      </w:r>
      <w:r>
        <w:t>roblematické stavební objekty</w:t>
      </w:r>
      <w:r w:rsidR="00D57A00">
        <w:t xml:space="preserve"> byly</w:t>
      </w:r>
      <w:r>
        <w:t xml:space="preserve"> na základě žádosti ŘSD z probíhajícího stavebního řízení vyňaty a řešeny později </w:t>
      </w:r>
      <w:r w:rsidR="00482C08">
        <w:t>(</w:t>
      </w:r>
      <w:r>
        <w:t>po získání práv k</w:t>
      </w:r>
      <w:r w:rsidR="00482C08">
        <w:t> </w:t>
      </w:r>
      <w:r>
        <w:t>pozemkům</w:t>
      </w:r>
      <w:r w:rsidR="00482C08">
        <w:t>)</w:t>
      </w:r>
      <w:r>
        <w:t xml:space="preserve"> v samostatném stavebním řízení.</w:t>
      </w:r>
    </w:p>
    <w:p w14:paraId="37E3EC55" w14:textId="77777777" w:rsidR="003E3FB3" w:rsidRDefault="003E3FB3" w:rsidP="008F0A1E"/>
    <w:p w14:paraId="3DEE593D" w14:textId="77777777" w:rsidR="008F0A1E" w:rsidRPr="008F0A1E" w:rsidRDefault="00837A66" w:rsidP="00312BC8">
      <w:pPr>
        <w:keepNext/>
        <w:rPr>
          <w:b/>
        </w:rPr>
      </w:pPr>
      <w:r w:rsidRPr="008F0A1E">
        <w:rPr>
          <w:b/>
        </w:rPr>
        <w:t>7.8 Stavba I/11 Oldřichovice – Bystřice</w:t>
      </w:r>
    </w:p>
    <w:p w14:paraId="7BE24343" w14:textId="5EF4D7B1" w:rsidR="00FA0289" w:rsidRDefault="00837A66" w:rsidP="00FA0289">
      <w:pPr>
        <w:ind w:left="142" w:hanging="142"/>
      </w:pPr>
      <w:r>
        <w:t>-</w:t>
      </w:r>
      <w:r>
        <w:tab/>
        <w:t>Ve fázi získá</w:t>
      </w:r>
      <w:r w:rsidR="00482C08">
        <w:t>vá</w:t>
      </w:r>
      <w:r>
        <w:t>ní stavebního povolení došlo k prodlevám, kdy n</w:t>
      </w:r>
      <w:r w:rsidRPr="00D44E10">
        <w:t xml:space="preserve">ejdelší proces vydání stavebního povolení trval </w:t>
      </w:r>
      <w:r w:rsidR="00AB539F">
        <w:t>16</w:t>
      </w:r>
      <w:r w:rsidRPr="00D44E10">
        <w:t xml:space="preserve"> </w:t>
      </w:r>
      <w:r w:rsidR="00AB539F">
        <w:t>měsíců</w:t>
      </w:r>
      <w:r>
        <w:t>, v</w:t>
      </w:r>
      <w:r w:rsidRPr="00D44E10">
        <w:t xml:space="preserve"> případě stavebního povolení pro část hlavní trasy trvalo nejdelší řízení </w:t>
      </w:r>
      <w:r w:rsidR="00AB539F">
        <w:t>10 měsíců</w:t>
      </w:r>
      <w:r w:rsidRPr="00D44E10">
        <w:t>.</w:t>
      </w:r>
      <w:r>
        <w:t xml:space="preserve"> Stavební řízení byla přerušována z důvodu nedoložení podkladů týkajících se především majetkoprávního vypořádání pozemků potřebných pro stavbu. V některých případech byly problematické stavební objekty na základě žádosti ŘSD z probíhajícího stavebního řízení vyňaty a řešeny později </w:t>
      </w:r>
      <w:r w:rsidR="00482C08">
        <w:t>(</w:t>
      </w:r>
      <w:r>
        <w:t>po získání práv k</w:t>
      </w:r>
      <w:r w:rsidR="00482C08">
        <w:t> </w:t>
      </w:r>
      <w:r>
        <w:t>pozemkům</w:t>
      </w:r>
      <w:r w:rsidR="00482C08">
        <w:t>)</w:t>
      </w:r>
      <w:r>
        <w:t xml:space="preserve"> v samostatném stavebním řízení.</w:t>
      </w:r>
    </w:p>
    <w:p w14:paraId="323B53D5" w14:textId="437D63DF" w:rsidR="009E784C" w:rsidRDefault="00837A66" w:rsidP="009E784C">
      <w:pPr>
        <w:ind w:left="142" w:hanging="142"/>
      </w:pPr>
      <w:r>
        <w:t>-</w:t>
      </w:r>
      <w:r>
        <w:tab/>
        <w:t xml:space="preserve">Stavba byla zprovozněna </w:t>
      </w:r>
      <w:r w:rsidR="00A10C1C">
        <w:t>v říjnu</w:t>
      </w:r>
      <w:r>
        <w:t xml:space="preserve"> 2017</w:t>
      </w:r>
      <w:r w:rsidR="00482C08">
        <w:t>.</w:t>
      </w:r>
      <w:r>
        <w:t xml:space="preserve"> </w:t>
      </w:r>
      <w:r w:rsidR="00482C08">
        <w:t>V</w:t>
      </w:r>
      <w:r>
        <w:t xml:space="preserve"> době kontroly NKÚ </w:t>
      </w:r>
      <w:r w:rsidR="00482C08">
        <w:t>podalo</w:t>
      </w:r>
      <w:r>
        <w:t xml:space="preserve"> </w:t>
      </w:r>
      <w:r w:rsidR="00482C08">
        <w:t xml:space="preserve">ŘSD </w:t>
      </w:r>
      <w:r>
        <w:t xml:space="preserve">žádosti o vydání kolaudačního souhlasu na většinu stavebních objektů. </w:t>
      </w:r>
      <w:r w:rsidR="00AB539F">
        <w:t>D</w:t>
      </w:r>
      <w:r>
        <w:t>ůvod</w:t>
      </w:r>
      <w:r w:rsidR="00AB539F">
        <w:t>em</w:t>
      </w:r>
      <w:r>
        <w:t xml:space="preserve"> </w:t>
      </w:r>
      <w:r w:rsidR="003D7290">
        <w:t xml:space="preserve">prodlevy </w:t>
      </w:r>
      <w:r>
        <w:t>byla</w:t>
      </w:r>
      <w:r w:rsidR="0004546C">
        <w:t xml:space="preserve"> </w:t>
      </w:r>
      <w:r>
        <w:t>skutečnost, že na jednoho z účastníků sdružení, které stavbu realizovalo, byl podán insolvenční návrh a</w:t>
      </w:r>
      <w:r w:rsidR="00AB539F">
        <w:t> </w:t>
      </w:r>
      <w:r>
        <w:t>usnesením krajského soudu ze dne 13.</w:t>
      </w:r>
      <w:r w:rsidR="009A4744">
        <w:t xml:space="preserve"> 10. 2016 zjištěn jeho úpadek a</w:t>
      </w:r>
      <w:r w:rsidR="00A77319">
        <w:t xml:space="preserve"> </w:t>
      </w:r>
      <w:r>
        <w:t xml:space="preserve">dne 17. 1. 2017 prohlášen konkurs. Vedoucí člen sdružení oznámil </w:t>
      </w:r>
      <w:r w:rsidR="00AB539F">
        <w:t xml:space="preserve">ŘSD </w:t>
      </w:r>
      <w:r>
        <w:t>dne 24. 10. 2016 odstoupení od smlouvy, poté na základě jednání s ministrem dopravy a ŘSD došlo k</w:t>
      </w:r>
      <w:r w:rsidR="003D7290">
        <w:t> </w:t>
      </w:r>
      <w:r>
        <w:t xml:space="preserve">znovuobnovení prací dne 14. 11. 2016. </w:t>
      </w:r>
      <w:r w:rsidR="003D7290">
        <w:t>Zhotovitel</w:t>
      </w:r>
      <w:r>
        <w:t xml:space="preserve"> </w:t>
      </w:r>
      <w:r w:rsidR="003D7290">
        <w:t>p</w:t>
      </w:r>
      <w:r>
        <w:t>okračoval ve stavebních pracích bez člena sdružení</w:t>
      </w:r>
      <w:r w:rsidR="003D7290">
        <w:t>,</w:t>
      </w:r>
      <w:r>
        <w:t xml:space="preserve"> </w:t>
      </w:r>
      <w:r w:rsidR="003D7290">
        <w:t>t</w:t>
      </w:r>
      <w:r>
        <w:t>éměř všichni subdodavatelé však rozvázali smluvní kontrakty, čímž došlo k průtahům v realizaci stavebních prací i problémům v kompletování dokladů.</w:t>
      </w:r>
    </w:p>
    <w:p w14:paraId="290BDAD6" w14:textId="77777777" w:rsidR="003E3FB3" w:rsidRDefault="003E3FB3" w:rsidP="008F0A1E"/>
    <w:p w14:paraId="46D71005" w14:textId="77777777" w:rsidR="008F0A1E" w:rsidRPr="008F0A1E" w:rsidRDefault="00837A66" w:rsidP="00AB539F">
      <w:pPr>
        <w:keepNext/>
        <w:rPr>
          <w:b/>
        </w:rPr>
      </w:pPr>
      <w:r w:rsidRPr="008F0A1E">
        <w:rPr>
          <w:b/>
        </w:rPr>
        <w:t>7.9 Stavba I/37 Chrudim obchvat, úsek Medlešice – silnice I/17</w:t>
      </w:r>
    </w:p>
    <w:p w14:paraId="438E6635" w14:textId="77777777" w:rsidR="008F0A1E" w:rsidRDefault="00837A66" w:rsidP="00890BE6">
      <w:pPr>
        <w:ind w:left="142" w:hanging="142"/>
      </w:pPr>
      <w:r>
        <w:t>-</w:t>
      </w:r>
      <w:r>
        <w:tab/>
        <w:t>O</w:t>
      </w:r>
      <w:r w:rsidRPr="00890BE6">
        <w:t>d května 1996 do roku 2001 příprava stavby neprobíhala</w:t>
      </w:r>
      <w:r>
        <w:t>, k</w:t>
      </w:r>
      <w:r w:rsidRPr="00890BE6">
        <w:t xml:space="preserve"> důvodům této prodlevy se </w:t>
      </w:r>
      <w:r w:rsidR="00A10C1C">
        <w:t xml:space="preserve">ŘSD </w:t>
      </w:r>
      <w:r w:rsidRPr="00890BE6">
        <w:t>nepodařilo dohledat žádné doklady</w:t>
      </w:r>
      <w:r>
        <w:t>.</w:t>
      </w:r>
    </w:p>
    <w:p w14:paraId="48F3E9A7" w14:textId="77777777" w:rsidR="00890BE6" w:rsidRDefault="00837A66" w:rsidP="00890BE6">
      <w:pPr>
        <w:ind w:left="142" w:hanging="142"/>
      </w:pPr>
      <w:r>
        <w:t>-</w:t>
      </w:r>
      <w:r>
        <w:tab/>
      </w:r>
      <w:r w:rsidR="00755B28">
        <w:t xml:space="preserve">Územní rozhodnutí vydané v březnu 2004 bylo krajským úřadem </w:t>
      </w:r>
      <w:r>
        <w:t xml:space="preserve">v březnu 2005 </w:t>
      </w:r>
      <w:r w:rsidR="00755B28">
        <w:t xml:space="preserve">zrušeno </w:t>
      </w:r>
      <w:r>
        <w:t xml:space="preserve">z důvodu </w:t>
      </w:r>
      <w:r w:rsidRPr="00890BE6">
        <w:t>chybné</w:t>
      </w:r>
      <w:r>
        <w:t>ho</w:t>
      </w:r>
      <w:r w:rsidRPr="00890BE6">
        <w:t xml:space="preserve"> vymezení okruhu účastníků řízení stavebním úřadem</w:t>
      </w:r>
      <w:r w:rsidR="00755B28">
        <w:t>.</w:t>
      </w:r>
    </w:p>
    <w:p w14:paraId="505782CF" w14:textId="46271EF0" w:rsidR="00890BE6" w:rsidRDefault="00837A66" w:rsidP="00890BE6">
      <w:pPr>
        <w:ind w:left="142" w:hanging="142"/>
      </w:pPr>
      <w:r>
        <w:t>-</w:t>
      </w:r>
      <w:r>
        <w:tab/>
      </w:r>
      <w:r w:rsidR="005F2D2D">
        <w:t xml:space="preserve">Žádosti o </w:t>
      </w:r>
      <w:r w:rsidR="00A52891">
        <w:t xml:space="preserve">vydání </w:t>
      </w:r>
      <w:r w:rsidR="005F2D2D">
        <w:t>stavební</w:t>
      </w:r>
      <w:r w:rsidR="00A52891">
        <w:t>ch</w:t>
      </w:r>
      <w:r w:rsidR="005F2D2D">
        <w:t xml:space="preserve"> povolení byly podávány až od června 2012</w:t>
      </w:r>
      <w:r w:rsidR="0004546C">
        <w:t>, a to</w:t>
      </w:r>
      <w:r w:rsidR="005F2D2D">
        <w:t xml:space="preserve"> z</w:t>
      </w:r>
      <w:r w:rsidR="00757A27">
        <w:t xml:space="preserve"> důvodu </w:t>
      </w:r>
      <w:r w:rsidR="00E51EB3">
        <w:t>neposkytnutí finančních prostředků na přípravu a výstavbu</w:t>
      </w:r>
      <w:r w:rsidR="00755B28">
        <w:t xml:space="preserve">. Financování této stavby </w:t>
      </w:r>
      <w:r w:rsidR="00755B28">
        <w:lastRenderedPageBreak/>
        <w:t>z rozpočtu SFDI</w:t>
      </w:r>
      <w:r w:rsidR="005F2D2D" w:rsidRPr="005F2D2D">
        <w:t xml:space="preserve"> bylo </w:t>
      </w:r>
      <w:r w:rsidR="00755B28">
        <w:t xml:space="preserve">pozastaveno </w:t>
      </w:r>
      <w:r w:rsidR="00E51EB3">
        <w:t xml:space="preserve">na základě usnesení vlády </w:t>
      </w:r>
      <w:r w:rsidR="00E51EB3" w:rsidRPr="00E51EB3">
        <w:t>ze dne 25.</w:t>
      </w:r>
      <w:r w:rsidR="00E51EB3">
        <w:t> </w:t>
      </w:r>
      <w:r w:rsidR="00E51EB3" w:rsidRPr="00E51EB3">
        <w:t>8.</w:t>
      </w:r>
      <w:r w:rsidR="00E51EB3">
        <w:t> </w:t>
      </w:r>
      <w:r w:rsidR="00E51EB3" w:rsidRPr="00E51EB3">
        <w:t xml:space="preserve">2010 č. 617 </w:t>
      </w:r>
      <w:r w:rsidR="00B34FA6" w:rsidRPr="00B34FA6">
        <w:t xml:space="preserve">a </w:t>
      </w:r>
      <w:r w:rsidR="00A10C1C">
        <w:t xml:space="preserve">ŘSD </w:t>
      </w:r>
      <w:r w:rsidR="00B34FA6" w:rsidRPr="00B34FA6">
        <w:t>nemohl</w:t>
      </w:r>
      <w:r w:rsidR="00A10C1C">
        <w:t>o</w:t>
      </w:r>
      <w:r w:rsidR="00B34FA6" w:rsidRPr="00B34FA6">
        <w:t xml:space="preserve"> pokračovat ani ve výkupu pozemků </w:t>
      </w:r>
      <w:r w:rsidR="00E51EB3">
        <w:t>potřebných pro stavbu</w:t>
      </w:r>
      <w:r w:rsidR="00B34FA6" w:rsidRPr="00B34FA6">
        <w:t>.</w:t>
      </w:r>
    </w:p>
    <w:p w14:paraId="4842228E" w14:textId="5D25D14D" w:rsidR="00A10C1C" w:rsidRDefault="00837A66" w:rsidP="00890BE6">
      <w:pPr>
        <w:ind w:left="142" w:hanging="142"/>
      </w:pPr>
      <w:r>
        <w:t>-</w:t>
      </w:r>
      <w:r>
        <w:tab/>
        <w:t xml:space="preserve">ŘSD uzavřelo smlouvu s dodavatelem stavebních prací v březnu 2010, </w:t>
      </w:r>
      <w:r w:rsidR="0004546C">
        <w:t xml:space="preserve">tedy </w:t>
      </w:r>
      <w:r>
        <w:t>ještě před podáním žádostí o vydání stavebních povolení</w:t>
      </w:r>
      <w:r w:rsidR="00E852CD">
        <w:t>.</w:t>
      </w:r>
      <w:r>
        <w:t xml:space="preserve"> </w:t>
      </w:r>
      <w:r w:rsidR="00E852CD">
        <w:t>J</w:t>
      </w:r>
      <w:r>
        <w:t>ak bylo uvedeno výše v bodě 4.1, ŘSD muselo uhradit nároky dodavatele ve výši 15 589 016,85 Kč vč. DPH.</w:t>
      </w:r>
    </w:p>
    <w:p w14:paraId="2C3475E2" w14:textId="77777777" w:rsidR="00B34FA6" w:rsidRDefault="00837A66" w:rsidP="00890BE6">
      <w:pPr>
        <w:ind w:left="142" w:hanging="142"/>
      </w:pPr>
      <w:r>
        <w:t>-</w:t>
      </w:r>
      <w:r>
        <w:tab/>
      </w:r>
      <w:r w:rsidR="00BE2A0C">
        <w:t>K</w:t>
      </w:r>
      <w:r w:rsidR="00BE2A0C" w:rsidRPr="00BE2A0C">
        <w:t xml:space="preserve">valifikační dokumentace nebyla správná, neboť ŘSD </w:t>
      </w:r>
      <w:r w:rsidR="00BE2A0C">
        <w:t>stanovilo</w:t>
      </w:r>
      <w:r w:rsidR="00BE2A0C" w:rsidRPr="00BE2A0C">
        <w:t xml:space="preserve"> neopodstatněně vysoké požadavky na doložení požadované kvalifikace </w:t>
      </w:r>
      <w:r w:rsidR="00BE2A0C">
        <w:t>týkající se</w:t>
      </w:r>
      <w:r w:rsidR="00BE2A0C" w:rsidRPr="00BE2A0C">
        <w:t xml:space="preserve"> obaloven</w:t>
      </w:r>
      <w:r w:rsidR="00BE2A0C">
        <w:t xml:space="preserve"> asfaltových směsí</w:t>
      </w:r>
      <w:r w:rsidR="00BE2A0C" w:rsidRPr="00BE2A0C">
        <w:t xml:space="preserve">. </w:t>
      </w:r>
      <w:r w:rsidR="00755B28">
        <w:t>V</w:t>
      </w:r>
      <w:r w:rsidR="00BE2A0C" w:rsidRPr="00BE2A0C">
        <w:t>šichni uchazeči o zakázku uvedli stejnou obalovnu, protože jiná obalovna s požadovanou kapacitou min. 200 t/hod. obalované směsi se v</w:t>
      </w:r>
      <w:r w:rsidR="00BE2A0C">
        <w:t> </w:t>
      </w:r>
      <w:r w:rsidR="00BE2A0C" w:rsidRPr="00BE2A0C">
        <w:t>dojezdové vzdálenosti nenacházela.</w:t>
      </w:r>
      <w:r w:rsidR="00BE2A0C">
        <w:t xml:space="preserve"> </w:t>
      </w:r>
      <w:r w:rsidR="00BE2A0C" w:rsidRPr="00BE2A0C">
        <w:t>Tato obalovna byla ve spoluvlastnictví vybraného</w:t>
      </w:r>
      <w:r w:rsidR="00BE2A0C">
        <w:t xml:space="preserve"> (vítězného)</w:t>
      </w:r>
      <w:r w:rsidR="00BE2A0C" w:rsidRPr="00BE2A0C">
        <w:t xml:space="preserve"> </w:t>
      </w:r>
      <w:r w:rsidR="00BE2A0C">
        <w:t>uchazeče</w:t>
      </w:r>
      <w:r w:rsidR="00BE2A0C" w:rsidRPr="00BE2A0C">
        <w:t>.</w:t>
      </w:r>
    </w:p>
    <w:p w14:paraId="739B1FD6" w14:textId="77777777" w:rsidR="00BE2A0C" w:rsidRDefault="00837A66" w:rsidP="00890BE6">
      <w:pPr>
        <w:ind w:left="142" w:hanging="142"/>
      </w:pPr>
      <w:r>
        <w:t>-</w:t>
      </w:r>
      <w:r>
        <w:tab/>
        <w:t xml:space="preserve">NKÚ vyhodnotil vyloučení dvou uchazečů při posuzování žádostí o účast v červnu 2009 jako neopodstatněně přísné, neboť </w:t>
      </w:r>
      <w:r w:rsidRPr="00BE2A0C">
        <w:t xml:space="preserve">dojezdová vzdálenost </w:t>
      </w:r>
      <w:r>
        <w:t xml:space="preserve">záložní </w:t>
      </w:r>
      <w:r w:rsidRPr="00BE2A0C">
        <w:t>obalovny od staveniště by za použití homogenizátorů splnila podmínky stanovené v zadávací dokumentaci</w:t>
      </w:r>
      <w:r>
        <w:t>.</w:t>
      </w:r>
    </w:p>
    <w:p w14:paraId="2121528D" w14:textId="4924A277" w:rsidR="006C0A56" w:rsidRDefault="00837A66" w:rsidP="00890BE6">
      <w:pPr>
        <w:ind w:left="142" w:hanging="142"/>
      </w:pPr>
      <w:r>
        <w:t>-</w:t>
      </w:r>
      <w:r>
        <w:tab/>
        <w:t>N</w:t>
      </w:r>
      <w:r w:rsidRPr="006C0A56">
        <w:t xml:space="preserve">abídka </w:t>
      </w:r>
      <w:r>
        <w:t>vybraného (</w:t>
      </w:r>
      <w:r w:rsidRPr="006C0A56">
        <w:t>vítězného</w:t>
      </w:r>
      <w:r>
        <w:t>)</w:t>
      </w:r>
      <w:r w:rsidRPr="006C0A56">
        <w:t xml:space="preserve"> uchazeče vycházela z</w:t>
      </w:r>
      <w:r>
        <w:t> </w:t>
      </w:r>
      <w:r w:rsidRPr="006C0A56">
        <w:t>rozpočtu</w:t>
      </w:r>
      <w:r>
        <w:t>, který zpracoval</w:t>
      </w:r>
      <w:r w:rsidRPr="006C0A56">
        <w:t xml:space="preserve"> projektant</w:t>
      </w:r>
      <w:r>
        <w:t xml:space="preserve"> pro ŘSD</w:t>
      </w:r>
      <w:r w:rsidR="0004546C">
        <w:t>,</w:t>
      </w:r>
      <w:r w:rsidRPr="006C0A56">
        <w:t xml:space="preserve"> a byla u všech stavebních objektů (s výjimkou </w:t>
      </w:r>
      <w:r>
        <w:t>jednoho</w:t>
      </w:r>
      <w:r w:rsidRPr="006C0A56">
        <w:t xml:space="preserve">) </w:t>
      </w:r>
      <w:r w:rsidR="0004546C" w:rsidRPr="006C0A56">
        <w:t xml:space="preserve">navýšena </w:t>
      </w:r>
      <w:r w:rsidRPr="006C0A56">
        <w:t xml:space="preserve">stejným koeficientem </w:t>
      </w:r>
      <w:r>
        <w:t>1,0684</w:t>
      </w:r>
      <w:r w:rsidRPr="006C0A56">
        <w:t>.</w:t>
      </w:r>
    </w:p>
    <w:p w14:paraId="16689DCD" w14:textId="22BB9179" w:rsidR="00955DDF" w:rsidRDefault="00837A66" w:rsidP="00955DDF">
      <w:pPr>
        <w:ind w:left="142" w:hanging="142"/>
      </w:pPr>
      <w:r>
        <w:t>-</w:t>
      </w:r>
      <w:r>
        <w:tab/>
      </w:r>
      <w:r w:rsidR="00A10C1C">
        <w:t xml:space="preserve">ŘSD </w:t>
      </w:r>
      <w:r w:rsidRPr="00955DDF">
        <w:t>porušil</w:t>
      </w:r>
      <w:r w:rsidR="00A10C1C">
        <w:t>o</w:t>
      </w:r>
      <w:r w:rsidRPr="00955DDF">
        <w:t xml:space="preserve"> ustanovení </w:t>
      </w:r>
      <w:r>
        <w:t xml:space="preserve">§ 12 a </w:t>
      </w:r>
      <w:r w:rsidR="00C2562F">
        <w:t xml:space="preserve">ustanovení </w:t>
      </w:r>
      <w:r>
        <w:t xml:space="preserve">§ 13 zákona č. 137/2006 Sb. </w:t>
      </w:r>
      <w:r w:rsidRPr="00955DDF">
        <w:t>tím, že rozdělil</w:t>
      </w:r>
      <w:r w:rsidR="00A10C1C">
        <w:t>o</w:t>
      </w:r>
      <w:r w:rsidRPr="00955DDF">
        <w:t xml:space="preserve"> předmět podlimitní veřejné zakázky na výkon funkce stavebního dozoru na dvě zakázky malého rozsahu. Tím došlo ke snížení předpokládané hodnoty pod finanční limity stanovené v</w:t>
      </w:r>
      <w:r w:rsidR="000335B9">
        <w:t xml:space="preserve"> ustanovení </w:t>
      </w:r>
      <w:r w:rsidRPr="00955DDF">
        <w:t xml:space="preserve">§ 12 odst. 2 zákona č. 137/2006 Sb., v důsledku čehož </w:t>
      </w:r>
      <w:r w:rsidR="00A10C1C">
        <w:t xml:space="preserve">ŘSD </w:t>
      </w:r>
      <w:r w:rsidRPr="00955DDF">
        <w:t>nezadal</w:t>
      </w:r>
      <w:r w:rsidR="00A10C1C">
        <w:t>o</w:t>
      </w:r>
      <w:r w:rsidRPr="00955DDF">
        <w:t xml:space="preserve"> veřejnou zakázku v některém z druhů zadávacího řízení podle </w:t>
      </w:r>
      <w:r w:rsidR="000335B9">
        <w:t xml:space="preserve">ustanovení </w:t>
      </w:r>
      <w:r w:rsidRPr="00955DDF">
        <w:t>§ 21 zákona</w:t>
      </w:r>
      <w:r w:rsidR="0004546C">
        <w:t xml:space="preserve"> </w:t>
      </w:r>
      <w:r w:rsidR="0004546C" w:rsidRPr="00955DDF">
        <w:t>č. 137/2006 Sb.</w:t>
      </w:r>
      <w:r w:rsidR="0004546C">
        <w:t>;</w:t>
      </w:r>
      <w:r w:rsidRPr="00955DDF">
        <w:t xml:space="preserve"> tento postup mohl podstatně ovlivnit výběr nejvhodnější nabídky.</w:t>
      </w:r>
      <w:r>
        <w:t xml:space="preserve"> Uvedené porušení představuje dle</w:t>
      </w:r>
      <w:r w:rsidR="0063474C">
        <w:t xml:space="preserve"> ustanovení </w:t>
      </w:r>
      <w:r>
        <w:t>§ 3 písm. e) zákona č. 218/2000 Sb.</w:t>
      </w:r>
      <w:r w:rsidR="00326E9B">
        <w:rPr>
          <w:rStyle w:val="Znakapoznpodarou"/>
        </w:rPr>
        <w:footnoteReference w:id="15"/>
      </w:r>
      <w:r>
        <w:t xml:space="preserve"> </w:t>
      </w:r>
      <w:r w:rsidRPr="00955DDF">
        <w:t>neoprávněn</w:t>
      </w:r>
      <w:r>
        <w:t>é</w:t>
      </w:r>
      <w:r w:rsidRPr="00955DDF">
        <w:t xml:space="preserve"> použití peněžních prostředků státního</w:t>
      </w:r>
      <w:r>
        <w:t xml:space="preserve"> fondu a dle </w:t>
      </w:r>
      <w:r w:rsidRPr="00955DDF">
        <w:t>ustanovení § 44 odst. 1 písm. b)</w:t>
      </w:r>
      <w:r>
        <w:t xml:space="preserve"> téhož zákona </w:t>
      </w:r>
      <w:r w:rsidRPr="00955DDF">
        <w:rPr>
          <w:b/>
        </w:rPr>
        <w:t>porušení rozpočtové kázně</w:t>
      </w:r>
      <w:r w:rsidRPr="00E55022">
        <w:rPr>
          <w:b/>
        </w:rPr>
        <w:t>.</w:t>
      </w:r>
      <w:r>
        <w:t xml:space="preserve"> </w:t>
      </w:r>
      <w:r w:rsidR="00A10C1C">
        <w:t xml:space="preserve">ŘSD </w:t>
      </w:r>
      <w:r>
        <w:t>neoprávněně použil</w:t>
      </w:r>
      <w:r w:rsidR="00A10C1C">
        <w:t>o</w:t>
      </w:r>
      <w:r>
        <w:t xml:space="preserve"> </w:t>
      </w:r>
      <w:r w:rsidRPr="00955DDF">
        <w:t>peněžní prostředky SFDI v</w:t>
      </w:r>
      <w:r>
        <w:t> </w:t>
      </w:r>
      <w:r w:rsidRPr="00955DDF">
        <w:t xml:space="preserve">celkové výši </w:t>
      </w:r>
      <w:r w:rsidR="0063474C">
        <w:rPr>
          <w:b/>
        </w:rPr>
        <w:t>3 921 </w:t>
      </w:r>
      <w:r w:rsidRPr="00955DDF">
        <w:rPr>
          <w:b/>
        </w:rPr>
        <w:t>561,60 Kč</w:t>
      </w:r>
      <w:r w:rsidRPr="00955DDF">
        <w:t xml:space="preserve"> včetně DPH</w:t>
      </w:r>
      <w:r>
        <w:t>.</w:t>
      </w:r>
    </w:p>
    <w:p w14:paraId="467A8C40" w14:textId="77777777" w:rsidR="00890BE6" w:rsidRDefault="00890BE6" w:rsidP="008F0A1E"/>
    <w:p w14:paraId="666357BA" w14:textId="77777777" w:rsidR="00E7650E" w:rsidRPr="008F0A1E" w:rsidRDefault="00837A66" w:rsidP="003D60AE">
      <w:pPr>
        <w:keepNext/>
        <w:rPr>
          <w:b/>
        </w:rPr>
      </w:pPr>
      <w:r w:rsidRPr="008F0A1E">
        <w:rPr>
          <w:b/>
        </w:rPr>
        <w:t>7.10 Stavba I/37 Pardubice – Trojice, II. etapa</w:t>
      </w:r>
    </w:p>
    <w:p w14:paraId="0C296AAB" w14:textId="77777777" w:rsidR="006A7EF2" w:rsidRDefault="00837A66" w:rsidP="0006456E">
      <w:pPr>
        <w:ind w:left="142" w:hanging="142"/>
      </w:pPr>
      <w:r>
        <w:t>-</w:t>
      </w:r>
      <w:r>
        <w:tab/>
      </w:r>
      <w:r w:rsidRPr="0006456E">
        <w:t xml:space="preserve">ŘSD rozdělilo </w:t>
      </w:r>
      <w:r>
        <w:t>stavbu</w:t>
      </w:r>
      <w:r w:rsidRPr="0006456E">
        <w:t xml:space="preserve"> </w:t>
      </w:r>
      <w:r>
        <w:t>„</w:t>
      </w:r>
      <w:r w:rsidRPr="0006456E">
        <w:t>I/37 Pardubice – Trojice</w:t>
      </w:r>
      <w:r>
        <w:t>“</w:t>
      </w:r>
      <w:r w:rsidRPr="0006456E">
        <w:t xml:space="preserve"> v roce 2011 na dvě samostatné provozuschopné části z důvodu omezeného objemu finančních prostředků na výstavbu</w:t>
      </w:r>
      <w:r>
        <w:t>.</w:t>
      </w:r>
      <w:r w:rsidR="00A93D4F">
        <w:t xml:space="preserve"> </w:t>
      </w:r>
    </w:p>
    <w:p w14:paraId="2BEDCB68" w14:textId="0178B0EB" w:rsidR="00A93D4F" w:rsidRDefault="00837A66" w:rsidP="0006456E">
      <w:pPr>
        <w:ind w:left="142" w:hanging="142"/>
      </w:pPr>
      <w:r>
        <w:t>-</w:t>
      </w:r>
      <w:r>
        <w:tab/>
      </w:r>
      <w:r w:rsidR="007C59A6">
        <w:t>V</w:t>
      </w:r>
      <w:r w:rsidR="007C59A6" w:rsidRPr="007C59A6">
        <w:t>ydan</w:t>
      </w:r>
      <w:r w:rsidR="007C59A6">
        <w:t>á</w:t>
      </w:r>
      <w:r w:rsidR="007C59A6" w:rsidRPr="007C59A6">
        <w:t xml:space="preserve"> stavební povolení</w:t>
      </w:r>
      <w:r w:rsidR="007C59A6">
        <w:t xml:space="preserve"> musela být prodlužována</w:t>
      </w:r>
      <w:r w:rsidR="007C59A6" w:rsidRPr="007C59A6">
        <w:t xml:space="preserve"> z důvodu nepřidělení finančních prostředků na </w:t>
      </w:r>
      <w:r w:rsidR="007C59A6">
        <w:t>realizaci stavby</w:t>
      </w:r>
      <w:r w:rsidR="007C59A6" w:rsidRPr="007C59A6">
        <w:t>.</w:t>
      </w:r>
    </w:p>
    <w:p w14:paraId="5CA131D7" w14:textId="209E85EE" w:rsidR="007C59A6" w:rsidRDefault="00837A66" w:rsidP="007C59A6">
      <w:pPr>
        <w:ind w:left="142" w:hanging="142"/>
      </w:pPr>
      <w:r>
        <w:t>-</w:t>
      </w:r>
      <w:r>
        <w:tab/>
      </w:r>
      <w:r w:rsidR="00CB2188">
        <w:t xml:space="preserve">ŘSD </w:t>
      </w:r>
      <w:r>
        <w:t>uzavřel</w:t>
      </w:r>
      <w:r w:rsidR="00CB2188">
        <w:t>o</w:t>
      </w:r>
      <w:r>
        <w:t xml:space="preserve"> dne 25. 4. 2014 s </w:t>
      </w:r>
      <w:r w:rsidR="00E77746">
        <w:t>d</w:t>
      </w:r>
      <w:r>
        <w:t>opravním podnikem smlouvu o výstavbě stožárů veřejného osvětlení (stavební objekt SO 402), na základě které měl dopravní podnik uhradit rozdíl ceny za zvýšení parametrů stožárů tak, aby unesly trakční vedení. Úhrada byla stanovena ve výši 25 % rozpočtu dodavatele stavebních prací</w:t>
      </w:r>
      <w:r w:rsidR="00E86445">
        <w:t>,</w:t>
      </w:r>
      <w:r>
        <w:t xml:space="preserve"> tj. 1 942 869,56 Kč bez DPH. Dle uzavřené smlouvy měla být úhrada provedena do 9 měsíců od předání staveniště, ke kterému došlo dne 2. 3. 2015. </w:t>
      </w:r>
      <w:r w:rsidR="006C0BC3">
        <w:t xml:space="preserve">ŘSD </w:t>
      </w:r>
      <w:r>
        <w:t>požádal</w:t>
      </w:r>
      <w:r w:rsidR="006C0BC3">
        <w:t>o</w:t>
      </w:r>
      <w:r>
        <w:t xml:space="preserve"> dopravní podnik o úhradu smluvní částky až dne 15. 3. 2019 na základě upozornění NKÚ, tj. po více </w:t>
      </w:r>
      <w:r w:rsidR="00E86445">
        <w:t>než</w:t>
      </w:r>
      <w:r>
        <w:t xml:space="preserve"> </w:t>
      </w:r>
      <w:r w:rsidR="00CB2188">
        <w:t>čtyřech</w:t>
      </w:r>
      <w:r>
        <w:t xml:space="preserve"> letech.</w:t>
      </w:r>
    </w:p>
    <w:p w14:paraId="2F01F5E0" w14:textId="240DAD27" w:rsidR="00FF5FCC" w:rsidRDefault="00837A66" w:rsidP="007C59A6">
      <w:pPr>
        <w:ind w:left="142" w:hanging="142"/>
      </w:pPr>
      <w:r>
        <w:t>-</w:t>
      </w:r>
      <w:r>
        <w:tab/>
      </w:r>
      <w:r w:rsidR="00CB2188">
        <w:t xml:space="preserve">Pro jedenáct </w:t>
      </w:r>
      <w:r w:rsidRPr="00FF5FCC">
        <w:t xml:space="preserve">stavebních objektů </w:t>
      </w:r>
      <w:r w:rsidR="00CB2188">
        <w:t xml:space="preserve">ŘSD </w:t>
      </w:r>
      <w:r w:rsidRPr="00FF5FCC">
        <w:t>nepodal</w:t>
      </w:r>
      <w:r w:rsidR="00CB2188">
        <w:t>o</w:t>
      </w:r>
      <w:r w:rsidRPr="00FF5FCC">
        <w:t xml:space="preserve"> </w:t>
      </w:r>
      <w:r w:rsidR="00E77746">
        <w:t xml:space="preserve">včas </w:t>
      </w:r>
      <w:r w:rsidRPr="00FF5FCC">
        <w:t>žádost o vydání kolaudačního souhlasu</w:t>
      </w:r>
      <w:r>
        <w:t xml:space="preserve"> před</w:t>
      </w:r>
      <w:r w:rsidRPr="00FF5FCC">
        <w:t xml:space="preserve"> uplynu</w:t>
      </w:r>
      <w:r>
        <w:t>tím</w:t>
      </w:r>
      <w:r w:rsidRPr="00FF5FCC">
        <w:t xml:space="preserve"> dob</w:t>
      </w:r>
      <w:r>
        <w:t>y</w:t>
      </w:r>
      <w:r w:rsidR="00243E1C">
        <w:t>, na kterou bylo vydáno rozhodnutí o povolení k</w:t>
      </w:r>
      <w:r w:rsidRPr="00FF5FCC">
        <w:t xml:space="preserve"> předčasné</w:t>
      </w:r>
      <w:r w:rsidR="00243E1C">
        <w:t>mu</w:t>
      </w:r>
      <w:r w:rsidRPr="00FF5FCC">
        <w:t xml:space="preserve"> užívání, resp. </w:t>
      </w:r>
      <w:r w:rsidR="00342442">
        <w:t xml:space="preserve">provedení </w:t>
      </w:r>
      <w:r w:rsidRPr="00FF5FCC">
        <w:t>zkušebního provozu, a</w:t>
      </w:r>
      <w:r>
        <w:t xml:space="preserve"> t</w:t>
      </w:r>
      <w:r w:rsidRPr="00FF5FCC">
        <w:t>yto stavební objekty byly více než měsíc provozovány bez správního rozhodnut</w:t>
      </w:r>
      <w:r>
        <w:t>í příslušného stavebního úřadu.</w:t>
      </w:r>
    </w:p>
    <w:p w14:paraId="79425402" w14:textId="77777777" w:rsidR="000D57DE" w:rsidRDefault="000D57DE" w:rsidP="006936C3"/>
    <w:p w14:paraId="009DD56E" w14:textId="77777777" w:rsidR="000D57DE" w:rsidRDefault="000D57DE" w:rsidP="006936C3"/>
    <w:p w14:paraId="3512FF0E" w14:textId="77777777" w:rsidR="003F3685" w:rsidRPr="003F3685" w:rsidRDefault="00837A66" w:rsidP="00E55022">
      <w:pPr>
        <w:keepNext/>
        <w:spacing w:after="120"/>
        <w:rPr>
          <w:b/>
        </w:rPr>
      </w:pPr>
      <w:r>
        <w:rPr>
          <w:b/>
        </w:rPr>
        <w:lastRenderedPageBreak/>
        <w:t>Seznam použitých zkratek</w:t>
      </w:r>
    </w:p>
    <w:p w14:paraId="6CB7CBD1" w14:textId="77777777" w:rsidR="00E86445" w:rsidRDefault="00E86445" w:rsidP="00E55022">
      <w:pPr>
        <w:spacing w:after="120"/>
        <w:ind w:left="2127" w:hanging="2127"/>
      </w:pPr>
      <w:r>
        <w:t>ČR</w:t>
      </w:r>
      <w:r>
        <w:tab/>
        <w:t>Česká republika</w:t>
      </w:r>
    </w:p>
    <w:p w14:paraId="62130031" w14:textId="77777777" w:rsidR="00E86445" w:rsidRDefault="00E86445" w:rsidP="00E55022">
      <w:pPr>
        <w:spacing w:after="120"/>
      </w:pPr>
      <w:r w:rsidRPr="006C0BC3">
        <w:t>Dopravní politika</w:t>
      </w:r>
      <w:r>
        <w:tab/>
      </w:r>
      <w:r w:rsidRPr="00E55022">
        <w:rPr>
          <w:i/>
        </w:rPr>
        <w:t>Dopravní</w:t>
      </w:r>
      <w:r w:rsidRPr="00E55022">
        <w:rPr>
          <w:i/>
          <w:sz w:val="16"/>
        </w:rPr>
        <w:t xml:space="preserve"> </w:t>
      </w:r>
      <w:r w:rsidRPr="00E55022">
        <w:rPr>
          <w:i/>
        </w:rPr>
        <w:t>politika</w:t>
      </w:r>
      <w:r w:rsidRPr="00E55022">
        <w:rPr>
          <w:i/>
          <w:sz w:val="16"/>
        </w:rPr>
        <w:t xml:space="preserve"> </w:t>
      </w:r>
      <w:r w:rsidRPr="00E55022">
        <w:rPr>
          <w:i/>
        </w:rPr>
        <w:t>ČR</w:t>
      </w:r>
      <w:r w:rsidRPr="00E55022">
        <w:rPr>
          <w:i/>
          <w:sz w:val="16"/>
        </w:rPr>
        <w:t xml:space="preserve"> </w:t>
      </w:r>
      <w:r w:rsidRPr="00E55022">
        <w:rPr>
          <w:i/>
        </w:rPr>
        <w:t>pro</w:t>
      </w:r>
      <w:r w:rsidRPr="00E55022">
        <w:rPr>
          <w:i/>
          <w:sz w:val="16"/>
        </w:rPr>
        <w:t xml:space="preserve"> </w:t>
      </w:r>
      <w:r w:rsidRPr="00E55022">
        <w:rPr>
          <w:i/>
        </w:rPr>
        <w:t>období</w:t>
      </w:r>
      <w:r w:rsidRPr="00E55022">
        <w:rPr>
          <w:i/>
          <w:sz w:val="16"/>
        </w:rPr>
        <w:t xml:space="preserve"> </w:t>
      </w:r>
      <w:r w:rsidRPr="00E55022">
        <w:rPr>
          <w:i/>
        </w:rPr>
        <w:t>let</w:t>
      </w:r>
      <w:r w:rsidRPr="00E55022">
        <w:rPr>
          <w:i/>
          <w:sz w:val="16"/>
        </w:rPr>
        <w:t xml:space="preserve"> </w:t>
      </w:r>
      <w:r w:rsidRPr="00E55022">
        <w:rPr>
          <w:i/>
        </w:rPr>
        <w:t>2014</w:t>
      </w:r>
      <w:r w:rsidRPr="00E55022">
        <w:rPr>
          <w:i/>
          <w:sz w:val="16"/>
        </w:rPr>
        <w:t xml:space="preserve"> </w:t>
      </w:r>
      <w:r w:rsidRPr="00E55022">
        <w:rPr>
          <w:i/>
        </w:rPr>
        <w:t>až</w:t>
      </w:r>
      <w:r w:rsidRPr="00E55022">
        <w:rPr>
          <w:i/>
          <w:sz w:val="16"/>
        </w:rPr>
        <w:t xml:space="preserve"> </w:t>
      </w:r>
      <w:r w:rsidRPr="00E55022">
        <w:rPr>
          <w:i/>
        </w:rPr>
        <w:t>2020</w:t>
      </w:r>
      <w:r w:rsidRPr="00E55022">
        <w:rPr>
          <w:i/>
          <w:sz w:val="16"/>
        </w:rPr>
        <w:t xml:space="preserve"> </w:t>
      </w:r>
      <w:r w:rsidRPr="00E55022">
        <w:rPr>
          <w:i/>
        </w:rPr>
        <w:t>s</w:t>
      </w:r>
      <w:r w:rsidRPr="00E55022">
        <w:rPr>
          <w:i/>
          <w:sz w:val="16"/>
        </w:rPr>
        <w:t xml:space="preserve"> </w:t>
      </w:r>
      <w:r w:rsidRPr="00E55022">
        <w:rPr>
          <w:i/>
        </w:rPr>
        <w:t>výhledem</w:t>
      </w:r>
      <w:r w:rsidRPr="00E55022">
        <w:rPr>
          <w:i/>
          <w:sz w:val="16"/>
        </w:rPr>
        <w:t xml:space="preserve"> </w:t>
      </w:r>
      <w:r w:rsidRPr="00E55022">
        <w:rPr>
          <w:i/>
        </w:rPr>
        <w:t>do</w:t>
      </w:r>
      <w:r w:rsidRPr="00E55022">
        <w:rPr>
          <w:i/>
          <w:sz w:val="16"/>
        </w:rPr>
        <w:t xml:space="preserve"> </w:t>
      </w:r>
      <w:r w:rsidRPr="00E55022">
        <w:rPr>
          <w:i/>
        </w:rPr>
        <w:t>roku</w:t>
      </w:r>
      <w:r w:rsidRPr="00E55022">
        <w:rPr>
          <w:i/>
          <w:sz w:val="16"/>
        </w:rPr>
        <w:t xml:space="preserve"> </w:t>
      </w:r>
      <w:r w:rsidRPr="00E55022">
        <w:rPr>
          <w:i/>
        </w:rPr>
        <w:t>2050</w:t>
      </w:r>
    </w:p>
    <w:p w14:paraId="0DFB4DF7" w14:textId="77777777" w:rsidR="00E86445" w:rsidRDefault="00E86445" w:rsidP="00E55022">
      <w:pPr>
        <w:spacing w:after="120"/>
      </w:pPr>
      <w:r w:rsidRPr="006C0BC3">
        <w:t>Dopravní strategie</w:t>
      </w:r>
      <w:r>
        <w:tab/>
      </w:r>
      <w:r w:rsidRPr="00E55022">
        <w:rPr>
          <w:i/>
        </w:rPr>
        <w:t>Dopravní sektorové strategie, 2. fáze</w:t>
      </w:r>
    </w:p>
    <w:p w14:paraId="7CEAC15D" w14:textId="77777777" w:rsidR="00E86445" w:rsidRDefault="00E86445" w:rsidP="00CF4638">
      <w:pPr>
        <w:spacing w:after="120"/>
        <w:ind w:left="2127" w:hanging="2127"/>
      </w:pPr>
      <w:r>
        <w:t>DPH</w:t>
      </w:r>
      <w:r>
        <w:tab/>
        <w:t>daň z přidané hodnoty</w:t>
      </w:r>
    </w:p>
    <w:p w14:paraId="5508F54F" w14:textId="77777777" w:rsidR="00E86445" w:rsidRDefault="00E86445" w:rsidP="00E55022">
      <w:pPr>
        <w:spacing w:after="120"/>
        <w:ind w:left="2127" w:hanging="2127"/>
        <w:jc w:val="left"/>
      </w:pPr>
      <w:r>
        <w:t>EIA</w:t>
      </w:r>
      <w:r>
        <w:tab/>
      </w:r>
      <w:r w:rsidRPr="00E850CB">
        <w:t>posuzování vlivů záměru na životní prostředí</w:t>
      </w:r>
      <w:r>
        <w:t xml:space="preserve"> (z angl. </w:t>
      </w:r>
      <w:r w:rsidRPr="00994D13">
        <w:t>Environmental Impact Assessment</w:t>
      </w:r>
      <w:r>
        <w:t>)</w:t>
      </w:r>
    </w:p>
    <w:p w14:paraId="53B7C086" w14:textId="77777777" w:rsidR="00E86445" w:rsidRDefault="00E86445" w:rsidP="00E55022">
      <w:pPr>
        <w:spacing w:after="120"/>
        <w:ind w:left="2127" w:hanging="2127"/>
      </w:pPr>
      <w:r>
        <w:t>KA</w:t>
      </w:r>
      <w:r>
        <w:tab/>
        <w:t>k</w:t>
      </w:r>
      <w:r w:rsidRPr="00CF1BED">
        <w:t>ontrolní akc</w:t>
      </w:r>
      <w:r>
        <w:t xml:space="preserve">e </w:t>
      </w:r>
      <w:r w:rsidRPr="00CF1BED">
        <w:t>Nejvyšší</w:t>
      </w:r>
      <w:r>
        <w:t>ho</w:t>
      </w:r>
      <w:r w:rsidRPr="00CF1BED">
        <w:t xml:space="preserve"> kontrolní</w:t>
      </w:r>
      <w:r>
        <w:t>ho</w:t>
      </w:r>
      <w:r w:rsidRPr="00CF1BED">
        <w:t xml:space="preserve"> úřad</w:t>
      </w:r>
      <w:r>
        <w:t>u</w:t>
      </w:r>
    </w:p>
    <w:p w14:paraId="4B61B2F0" w14:textId="77777777" w:rsidR="00E86445" w:rsidRDefault="00E86445" w:rsidP="00E55022">
      <w:pPr>
        <w:spacing w:after="120"/>
        <w:ind w:left="2127" w:hanging="2127"/>
      </w:pPr>
      <w:r>
        <w:t>MD</w:t>
      </w:r>
      <w:r>
        <w:tab/>
        <w:t>Ministerstvo dopravy</w:t>
      </w:r>
    </w:p>
    <w:p w14:paraId="7E1A8E5B" w14:textId="77777777" w:rsidR="00E86445" w:rsidRDefault="00E86445" w:rsidP="00E55022">
      <w:pPr>
        <w:spacing w:after="120"/>
        <w:ind w:left="2127" w:hanging="2127"/>
      </w:pPr>
      <w:r>
        <w:t>NKÚ</w:t>
      </w:r>
      <w:r>
        <w:tab/>
      </w:r>
      <w:r w:rsidRPr="00CF1BED">
        <w:t>Nejvyšší kontrolní úřad</w:t>
      </w:r>
    </w:p>
    <w:p w14:paraId="5BD42BD9" w14:textId="77777777" w:rsidR="00E86445" w:rsidRDefault="00E86445" w:rsidP="00E55022">
      <w:pPr>
        <w:spacing w:after="120"/>
        <w:ind w:left="2127" w:hanging="2127"/>
      </w:pPr>
      <w:r>
        <w:t>OTSKP</w:t>
      </w:r>
      <w:r>
        <w:tab/>
      </w:r>
      <w:r w:rsidRPr="00E55022">
        <w:rPr>
          <w:i/>
        </w:rPr>
        <w:t>Oborový třídník stavebních konstrukcí a prací</w:t>
      </w:r>
    </w:p>
    <w:p w14:paraId="75A30828" w14:textId="77777777" w:rsidR="00E86445" w:rsidRDefault="00E86445" w:rsidP="00E55022">
      <w:pPr>
        <w:spacing w:after="120"/>
        <w:ind w:left="2127" w:hanging="2127"/>
      </w:pPr>
      <w:r>
        <w:t>ŘSD</w:t>
      </w:r>
      <w:r>
        <w:tab/>
        <w:t>Ředitelství silnic a dálnic ČR</w:t>
      </w:r>
    </w:p>
    <w:p w14:paraId="0A7CEF0E" w14:textId="77777777" w:rsidR="00E86445" w:rsidRDefault="00E86445" w:rsidP="00E55022">
      <w:pPr>
        <w:spacing w:after="120"/>
        <w:ind w:left="2127" w:hanging="2127"/>
      </w:pPr>
      <w:r>
        <w:t>SFDI</w:t>
      </w:r>
      <w:r>
        <w:tab/>
        <w:t xml:space="preserve">Státní fond dopravní infrastruktury </w:t>
      </w:r>
    </w:p>
    <w:p w14:paraId="32786584" w14:textId="77777777" w:rsidR="00BD18B7" w:rsidRDefault="00BD18B7" w:rsidP="006936C3">
      <w:pPr>
        <w:sectPr w:rsidR="00BD18B7" w:rsidSect="006936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14:paraId="4FDB3964" w14:textId="77777777" w:rsidR="006B677A" w:rsidRPr="006B677A" w:rsidRDefault="00837A66" w:rsidP="006B677A">
      <w:pPr>
        <w:jc w:val="right"/>
        <w:rPr>
          <w:b/>
        </w:rPr>
      </w:pPr>
      <w:r>
        <w:rPr>
          <w:b/>
        </w:rPr>
        <w:lastRenderedPageBreak/>
        <w:t>Příloha č. 1</w:t>
      </w:r>
    </w:p>
    <w:p w14:paraId="28359343" w14:textId="77777777" w:rsidR="002F4167" w:rsidRDefault="002F4167" w:rsidP="006936C3"/>
    <w:p w14:paraId="2A5F3454" w14:textId="77777777" w:rsidR="00F21AE7" w:rsidRDefault="00F21AE7" w:rsidP="006936C3"/>
    <w:p w14:paraId="21673CD4" w14:textId="77777777" w:rsidR="00F21AE7" w:rsidRDefault="00F21AE7" w:rsidP="006936C3"/>
    <w:p w14:paraId="10956158" w14:textId="77777777" w:rsidR="006B677A" w:rsidRPr="00E161EC" w:rsidRDefault="00F25023" w:rsidP="006B677A">
      <w:pPr>
        <w:jc w:val="center"/>
        <w:rPr>
          <w:b/>
          <w:sz w:val="28"/>
        </w:rPr>
      </w:pPr>
      <w:r>
        <w:rPr>
          <w:b/>
          <w:sz w:val="28"/>
        </w:rPr>
        <w:t>K</w:t>
      </w:r>
      <w:r w:rsidR="00837A66" w:rsidRPr="00E161EC">
        <w:rPr>
          <w:b/>
          <w:sz w:val="28"/>
        </w:rPr>
        <w:t>ontrolované akce</w:t>
      </w:r>
    </w:p>
    <w:p w14:paraId="4DC415A8" w14:textId="77777777" w:rsidR="00F21AE7" w:rsidRDefault="00F21AE7" w:rsidP="00F21AE7"/>
    <w:p w14:paraId="767F99B5" w14:textId="77777777" w:rsidR="00F21AE7" w:rsidRDefault="00F21AE7" w:rsidP="00F21AE7"/>
    <w:tbl>
      <w:tblPr>
        <w:tblStyle w:val="Mkatabulky"/>
        <w:tblW w:w="14169" w:type="dxa"/>
        <w:jc w:val="center"/>
        <w:tblCellMar>
          <w:left w:w="57" w:type="dxa"/>
          <w:right w:w="57" w:type="dxa"/>
        </w:tblCellMar>
        <w:tblLook w:val="04A0" w:firstRow="1" w:lastRow="0" w:firstColumn="1" w:lastColumn="0" w:noHBand="0" w:noVBand="1"/>
      </w:tblPr>
      <w:tblGrid>
        <w:gridCol w:w="3855"/>
        <w:gridCol w:w="1361"/>
        <w:gridCol w:w="794"/>
        <w:gridCol w:w="1246"/>
        <w:gridCol w:w="1246"/>
        <w:gridCol w:w="1246"/>
        <w:gridCol w:w="1417"/>
        <w:gridCol w:w="1417"/>
        <w:gridCol w:w="1587"/>
      </w:tblGrid>
      <w:tr w:rsidR="00363F0A" w14:paraId="05FD980A" w14:textId="77777777" w:rsidTr="00F21AE7">
        <w:trPr>
          <w:jc w:val="center"/>
        </w:trPr>
        <w:tc>
          <w:tcPr>
            <w:tcW w:w="3855" w:type="dxa"/>
            <w:vMerge w:val="restart"/>
            <w:shd w:val="clear" w:color="auto" w:fill="E5F1FF"/>
            <w:vAlign w:val="center"/>
          </w:tcPr>
          <w:p w14:paraId="1838A021" w14:textId="77777777" w:rsidR="00F21AE7" w:rsidRPr="00471477" w:rsidRDefault="00837A66" w:rsidP="00F21AE7">
            <w:pPr>
              <w:jc w:val="center"/>
              <w:rPr>
                <w:b/>
                <w:sz w:val="20"/>
                <w:szCs w:val="20"/>
              </w:rPr>
            </w:pPr>
            <w:r w:rsidRPr="00471477">
              <w:rPr>
                <w:b/>
                <w:sz w:val="20"/>
                <w:szCs w:val="20"/>
              </w:rPr>
              <w:t>Stavba</w:t>
            </w:r>
          </w:p>
        </w:tc>
        <w:tc>
          <w:tcPr>
            <w:tcW w:w="1361" w:type="dxa"/>
            <w:vMerge w:val="restart"/>
            <w:shd w:val="clear" w:color="auto" w:fill="E5F1FF"/>
            <w:vAlign w:val="center"/>
          </w:tcPr>
          <w:p w14:paraId="4F63D0B4" w14:textId="77777777" w:rsidR="00F21AE7" w:rsidRPr="00471477" w:rsidRDefault="00837A66" w:rsidP="00F21AE7">
            <w:pPr>
              <w:jc w:val="center"/>
              <w:rPr>
                <w:b/>
                <w:sz w:val="20"/>
                <w:szCs w:val="20"/>
              </w:rPr>
            </w:pPr>
            <w:r>
              <w:rPr>
                <w:b/>
                <w:sz w:val="20"/>
                <w:szCs w:val="20"/>
              </w:rPr>
              <w:t>Kategorie</w:t>
            </w:r>
            <w:r w:rsidR="00632E55" w:rsidRPr="00471477">
              <w:rPr>
                <w:b/>
                <w:sz w:val="20"/>
                <w:szCs w:val="20"/>
                <w:vertAlign w:val="superscript"/>
              </w:rPr>
              <w:t>1)</w:t>
            </w:r>
          </w:p>
        </w:tc>
        <w:tc>
          <w:tcPr>
            <w:tcW w:w="794" w:type="dxa"/>
            <w:vMerge w:val="restart"/>
            <w:shd w:val="clear" w:color="auto" w:fill="E5F1FF"/>
            <w:vAlign w:val="center"/>
          </w:tcPr>
          <w:p w14:paraId="434A6481" w14:textId="1633EBEB" w:rsidR="00F21AE7" w:rsidRPr="00471477" w:rsidRDefault="00837A66" w:rsidP="00F21AE7">
            <w:pPr>
              <w:jc w:val="center"/>
              <w:rPr>
                <w:b/>
                <w:sz w:val="20"/>
                <w:szCs w:val="20"/>
              </w:rPr>
            </w:pPr>
            <w:r w:rsidRPr="00471477">
              <w:rPr>
                <w:b/>
                <w:sz w:val="20"/>
                <w:szCs w:val="20"/>
              </w:rPr>
              <w:t xml:space="preserve">Délka </w:t>
            </w:r>
            <w:r>
              <w:rPr>
                <w:b/>
                <w:sz w:val="20"/>
                <w:szCs w:val="20"/>
              </w:rPr>
              <w:t>(</w:t>
            </w:r>
            <w:r w:rsidR="00CD5791">
              <w:rPr>
                <w:b/>
                <w:sz w:val="20"/>
                <w:szCs w:val="20"/>
              </w:rPr>
              <w:t>v </w:t>
            </w:r>
            <w:r w:rsidRPr="00471477">
              <w:rPr>
                <w:b/>
                <w:sz w:val="20"/>
                <w:szCs w:val="20"/>
              </w:rPr>
              <w:t>km</w:t>
            </w:r>
            <w:r>
              <w:rPr>
                <w:b/>
                <w:sz w:val="20"/>
                <w:szCs w:val="20"/>
              </w:rPr>
              <w:t>)</w:t>
            </w:r>
          </w:p>
        </w:tc>
        <w:tc>
          <w:tcPr>
            <w:tcW w:w="3738" w:type="dxa"/>
            <w:gridSpan w:val="3"/>
            <w:shd w:val="clear" w:color="auto" w:fill="E5F1FF"/>
            <w:vAlign w:val="center"/>
          </w:tcPr>
          <w:p w14:paraId="17FE7DE9" w14:textId="77777777" w:rsidR="00F21AE7" w:rsidRPr="00471477" w:rsidRDefault="00837A66" w:rsidP="00F21AE7">
            <w:pPr>
              <w:jc w:val="center"/>
              <w:rPr>
                <w:b/>
                <w:sz w:val="20"/>
                <w:szCs w:val="20"/>
              </w:rPr>
            </w:pPr>
            <w:r w:rsidRPr="00471477">
              <w:rPr>
                <w:b/>
                <w:sz w:val="20"/>
                <w:szCs w:val="20"/>
              </w:rPr>
              <w:t>Příprava</w:t>
            </w:r>
          </w:p>
        </w:tc>
        <w:tc>
          <w:tcPr>
            <w:tcW w:w="1417" w:type="dxa"/>
            <w:vMerge w:val="restart"/>
            <w:shd w:val="clear" w:color="auto" w:fill="E5F1FF"/>
            <w:vAlign w:val="center"/>
          </w:tcPr>
          <w:p w14:paraId="19310D58" w14:textId="77777777" w:rsidR="00F21AE7" w:rsidRPr="00471477" w:rsidRDefault="00837A66" w:rsidP="00632E55">
            <w:pPr>
              <w:jc w:val="center"/>
              <w:rPr>
                <w:b/>
                <w:sz w:val="20"/>
                <w:szCs w:val="20"/>
              </w:rPr>
            </w:pPr>
            <w:r w:rsidRPr="00471477">
              <w:rPr>
                <w:b/>
                <w:sz w:val="20"/>
                <w:szCs w:val="20"/>
              </w:rPr>
              <w:t>Doba přípravy stavby</w:t>
            </w:r>
            <w:r w:rsidR="00632E55">
              <w:rPr>
                <w:b/>
                <w:sz w:val="20"/>
                <w:szCs w:val="20"/>
                <w:vertAlign w:val="superscript"/>
              </w:rPr>
              <w:t>5</w:t>
            </w:r>
            <w:r w:rsidRPr="00471477">
              <w:rPr>
                <w:b/>
                <w:sz w:val="20"/>
                <w:szCs w:val="20"/>
                <w:vertAlign w:val="superscript"/>
              </w:rPr>
              <w:t>)</w:t>
            </w:r>
            <w:r>
              <w:rPr>
                <w:b/>
                <w:sz w:val="20"/>
                <w:szCs w:val="20"/>
              </w:rPr>
              <w:t xml:space="preserve"> (roky)</w:t>
            </w:r>
          </w:p>
        </w:tc>
        <w:tc>
          <w:tcPr>
            <w:tcW w:w="1417" w:type="dxa"/>
            <w:shd w:val="clear" w:color="auto" w:fill="E5F1FF"/>
            <w:vAlign w:val="center"/>
          </w:tcPr>
          <w:p w14:paraId="09D99734" w14:textId="77777777" w:rsidR="00F21AE7" w:rsidRPr="00471477" w:rsidRDefault="00837A66" w:rsidP="00F21AE7">
            <w:pPr>
              <w:jc w:val="center"/>
              <w:rPr>
                <w:b/>
                <w:sz w:val="20"/>
                <w:szCs w:val="20"/>
              </w:rPr>
            </w:pPr>
            <w:r w:rsidRPr="00471477">
              <w:rPr>
                <w:b/>
                <w:sz w:val="20"/>
                <w:szCs w:val="20"/>
              </w:rPr>
              <w:t>Realizace</w:t>
            </w:r>
          </w:p>
        </w:tc>
        <w:tc>
          <w:tcPr>
            <w:tcW w:w="1587" w:type="dxa"/>
            <w:vMerge w:val="restart"/>
            <w:shd w:val="clear" w:color="auto" w:fill="E5F1FF"/>
            <w:vAlign w:val="center"/>
          </w:tcPr>
          <w:p w14:paraId="7B8A5C23" w14:textId="5B7F1A65" w:rsidR="00F21AE7" w:rsidRPr="00471477" w:rsidRDefault="00837A66" w:rsidP="00AE5A10">
            <w:pPr>
              <w:jc w:val="center"/>
              <w:rPr>
                <w:b/>
                <w:sz w:val="20"/>
                <w:szCs w:val="20"/>
              </w:rPr>
            </w:pPr>
            <w:r>
              <w:rPr>
                <w:b/>
                <w:sz w:val="20"/>
                <w:szCs w:val="20"/>
              </w:rPr>
              <w:t>Celkové náklady (</w:t>
            </w:r>
            <w:r w:rsidR="00AE5A10">
              <w:rPr>
                <w:b/>
                <w:sz w:val="20"/>
                <w:szCs w:val="20"/>
              </w:rPr>
              <w:t xml:space="preserve">v </w:t>
            </w:r>
            <w:r w:rsidR="00DF4253">
              <w:rPr>
                <w:b/>
                <w:sz w:val="20"/>
                <w:szCs w:val="20"/>
              </w:rPr>
              <w:t xml:space="preserve">mil. </w:t>
            </w:r>
            <w:r>
              <w:rPr>
                <w:b/>
                <w:sz w:val="20"/>
                <w:szCs w:val="20"/>
              </w:rPr>
              <w:t>Kč vč.</w:t>
            </w:r>
            <w:r w:rsidR="00AE5A10">
              <w:rPr>
                <w:b/>
                <w:sz w:val="20"/>
                <w:szCs w:val="20"/>
              </w:rPr>
              <w:t> </w:t>
            </w:r>
            <w:r>
              <w:rPr>
                <w:b/>
                <w:sz w:val="20"/>
                <w:szCs w:val="20"/>
              </w:rPr>
              <w:t>DPH)</w:t>
            </w:r>
          </w:p>
        </w:tc>
      </w:tr>
      <w:tr w:rsidR="00363F0A" w14:paraId="3D83D65E" w14:textId="77777777" w:rsidTr="00F21AE7">
        <w:trPr>
          <w:jc w:val="center"/>
        </w:trPr>
        <w:tc>
          <w:tcPr>
            <w:tcW w:w="3855" w:type="dxa"/>
            <w:vMerge/>
            <w:shd w:val="clear" w:color="auto" w:fill="E5F1FF"/>
            <w:vAlign w:val="center"/>
          </w:tcPr>
          <w:p w14:paraId="6CBE6BB5" w14:textId="77777777" w:rsidR="00F21AE7" w:rsidRPr="00471477" w:rsidRDefault="00F21AE7" w:rsidP="00F21AE7">
            <w:pPr>
              <w:jc w:val="center"/>
              <w:rPr>
                <w:b/>
                <w:sz w:val="20"/>
                <w:szCs w:val="20"/>
              </w:rPr>
            </w:pPr>
          </w:p>
        </w:tc>
        <w:tc>
          <w:tcPr>
            <w:tcW w:w="1361" w:type="dxa"/>
            <w:vMerge/>
            <w:shd w:val="clear" w:color="auto" w:fill="E5F1FF"/>
          </w:tcPr>
          <w:p w14:paraId="6036E1CF" w14:textId="77777777" w:rsidR="00F21AE7" w:rsidRPr="00471477" w:rsidRDefault="00F21AE7" w:rsidP="00F21AE7">
            <w:pPr>
              <w:jc w:val="center"/>
              <w:rPr>
                <w:b/>
                <w:sz w:val="20"/>
                <w:szCs w:val="20"/>
              </w:rPr>
            </w:pPr>
          </w:p>
        </w:tc>
        <w:tc>
          <w:tcPr>
            <w:tcW w:w="794" w:type="dxa"/>
            <w:vMerge/>
            <w:shd w:val="clear" w:color="auto" w:fill="E5F1FF"/>
            <w:vAlign w:val="center"/>
          </w:tcPr>
          <w:p w14:paraId="3481A122" w14:textId="77777777" w:rsidR="00F21AE7" w:rsidRPr="00471477" w:rsidRDefault="00F21AE7" w:rsidP="00F21AE7">
            <w:pPr>
              <w:jc w:val="center"/>
              <w:rPr>
                <w:b/>
                <w:sz w:val="20"/>
                <w:szCs w:val="20"/>
              </w:rPr>
            </w:pPr>
          </w:p>
        </w:tc>
        <w:tc>
          <w:tcPr>
            <w:tcW w:w="1246" w:type="dxa"/>
            <w:shd w:val="clear" w:color="auto" w:fill="E5F1FF"/>
            <w:vAlign w:val="center"/>
          </w:tcPr>
          <w:p w14:paraId="6C0F7482" w14:textId="77777777" w:rsidR="00F21AE7" w:rsidRPr="00471477" w:rsidRDefault="00837A66" w:rsidP="00632E55">
            <w:pPr>
              <w:jc w:val="center"/>
              <w:rPr>
                <w:b/>
                <w:sz w:val="20"/>
                <w:szCs w:val="20"/>
              </w:rPr>
            </w:pPr>
            <w:r w:rsidRPr="00471477">
              <w:rPr>
                <w:b/>
                <w:sz w:val="20"/>
                <w:szCs w:val="20"/>
              </w:rPr>
              <w:t>EIA</w:t>
            </w:r>
            <w:r w:rsidR="00632E55">
              <w:rPr>
                <w:b/>
                <w:sz w:val="20"/>
                <w:szCs w:val="20"/>
                <w:vertAlign w:val="superscript"/>
              </w:rPr>
              <w:t>2</w:t>
            </w:r>
            <w:r w:rsidRPr="00471477">
              <w:rPr>
                <w:b/>
                <w:sz w:val="20"/>
                <w:szCs w:val="20"/>
                <w:vertAlign w:val="superscript"/>
              </w:rPr>
              <w:t>)</w:t>
            </w:r>
          </w:p>
        </w:tc>
        <w:tc>
          <w:tcPr>
            <w:tcW w:w="1246" w:type="dxa"/>
            <w:shd w:val="clear" w:color="auto" w:fill="E5F1FF"/>
            <w:vAlign w:val="center"/>
          </w:tcPr>
          <w:p w14:paraId="27F5934B" w14:textId="77777777" w:rsidR="00F21AE7" w:rsidRPr="00471477" w:rsidRDefault="00837A66" w:rsidP="00632E55">
            <w:pPr>
              <w:jc w:val="center"/>
              <w:rPr>
                <w:b/>
                <w:sz w:val="20"/>
                <w:szCs w:val="20"/>
              </w:rPr>
            </w:pPr>
            <w:r>
              <w:rPr>
                <w:b/>
                <w:sz w:val="20"/>
                <w:szCs w:val="20"/>
              </w:rPr>
              <w:t>ÚR</w:t>
            </w:r>
            <w:r w:rsidR="00632E55">
              <w:rPr>
                <w:b/>
                <w:sz w:val="20"/>
                <w:szCs w:val="20"/>
                <w:vertAlign w:val="superscript"/>
              </w:rPr>
              <w:t>3</w:t>
            </w:r>
            <w:r w:rsidRPr="00471477">
              <w:rPr>
                <w:b/>
                <w:sz w:val="20"/>
                <w:szCs w:val="20"/>
                <w:vertAlign w:val="superscript"/>
              </w:rPr>
              <w:t>)</w:t>
            </w:r>
          </w:p>
        </w:tc>
        <w:tc>
          <w:tcPr>
            <w:tcW w:w="1246" w:type="dxa"/>
            <w:shd w:val="clear" w:color="auto" w:fill="E5F1FF"/>
            <w:vAlign w:val="center"/>
          </w:tcPr>
          <w:p w14:paraId="132065A9" w14:textId="77777777" w:rsidR="00F21AE7" w:rsidRPr="00471477" w:rsidRDefault="00837A66" w:rsidP="00632E55">
            <w:pPr>
              <w:jc w:val="center"/>
              <w:rPr>
                <w:b/>
                <w:sz w:val="20"/>
                <w:szCs w:val="20"/>
              </w:rPr>
            </w:pPr>
            <w:r>
              <w:rPr>
                <w:b/>
                <w:sz w:val="20"/>
                <w:szCs w:val="20"/>
              </w:rPr>
              <w:t>SP</w:t>
            </w:r>
            <w:r w:rsidR="00632E55">
              <w:rPr>
                <w:b/>
                <w:sz w:val="20"/>
                <w:szCs w:val="20"/>
                <w:vertAlign w:val="superscript"/>
              </w:rPr>
              <w:t>4</w:t>
            </w:r>
            <w:r w:rsidRPr="00471477">
              <w:rPr>
                <w:b/>
                <w:sz w:val="20"/>
                <w:szCs w:val="20"/>
                <w:vertAlign w:val="superscript"/>
              </w:rPr>
              <w:t>)</w:t>
            </w:r>
          </w:p>
        </w:tc>
        <w:tc>
          <w:tcPr>
            <w:tcW w:w="1417" w:type="dxa"/>
            <w:vMerge/>
            <w:shd w:val="clear" w:color="auto" w:fill="E5F1FF"/>
            <w:vAlign w:val="center"/>
          </w:tcPr>
          <w:p w14:paraId="5CE8CDD3" w14:textId="77777777" w:rsidR="00F21AE7" w:rsidRPr="00471477" w:rsidRDefault="00F21AE7" w:rsidP="00F21AE7">
            <w:pPr>
              <w:jc w:val="center"/>
              <w:rPr>
                <w:b/>
                <w:sz w:val="20"/>
                <w:szCs w:val="20"/>
              </w:rPr>
            </w:pPr>
          </w:p>
        </w:tc>
        <w:tc>
          <w:tcPr>
            <w:tcW w:w="1417" w:type="dxa"/>
            <w:shd w:val="clear" w:color="auto" w:fill="E5F1FF"/>
            <w:vAlign w:val="center"/>
          </w:tcPr>
          <w:p w14:paraId="6A2CF1CA" w14:textId="77777777" w:rsidR="00F21AE7" w:rsidRPr="00471477" w:rsidRDefault="00837A66" w:rsidP="00632E55">
            <w:pPr>
              <w:jc w:val="center"/>
              <w:rPr>
                <w:b/>
                <w:sz w:val="20"/>
                <w:szCs w:val="20"/>
              </w:rPr>
            </w:pPr>
            <w:r>
              <w:rPr>
                <w:b/>
                <w:sz w:val="20"/>
                <w:szCs w:val="20"/>
              </w:rPr>
              <w:t>od – do</w:t>
            </w:r>
            <w:r w:rsidR="00632E55">
              <w:rPr>
                <w:b/>
                <w:sz w:val="20"/>
                <w:szCs w:val="20"/>
                <w:vertAlign w:val="superscript"/>
              </w:rPr>
              <w:t>6</w:t>
            </w:r>
            <w:r w:rsidRPr="00471477">
              <w:rPr>
                <w:b/>
                <w:sz w:val="20"/>
                <w:szCs w:val="20"/>
                <w:vertAlign w:val="superscript"/>
              </w:rPr>
              <w:t>)</w:t>
            </w:r>
          </w:p>
        </w:tc>
        <w:tc>
          <w:tcPr>
            <w:tcW w:w="1587" w:type="dxa"/>
            <w:vMerge/>
            <w:shd w:val="clear" w:color="auto" w:fill="E5F1FF"/>
            <w:vAlign w:val="center"/>
          </w:tcPr>
          <w:p w14:paraId="5944BFED" w14:textId="77777777" w:rsidR="00F21AE7" w:rsidRPr="00471477" w:rsidRDefault="00F21AE7" w:rsidP="00F21AE7">
            <w:pPr>
              <w:jc w:val="center"/>
              <w:rPr>
                <w:b/>
                <w:sz w:val="20"/>
                <w:szCs w:val="20"/>
              </w:rPr>
            </w:pPr>
          </w:p>
        </w:tc>
      </w:tr>
      <w:tr w:rsidR="00363F0A" w14:paraId="5A14EFF0" w14:textId="77777777" w:rsidTr="00F21AE7">
        <w:trPr>
          <w:jc w:val="center"/>
        </w:trPr>
        <w:tc>
          <w:tcPr>
            <w:tcW w:w="3855" w:type="dxa"/>
            <w:vAlign w:val="center"/>
          </w:tcPr>
          <w:p w14:paraId="05C3A3E0" w14:textId="77777777" w:rsidR="00F21AE7" w:rsidRPr="00471477" w:rsidRDefault="00837A66" w:rsidP="00F21AE7">
            <w:pPr>
              <w:jc w:val="left"/>
              <w:rPr>
                <w:sz w:val="20"/>
                <w:szCs w:val="20"/>
              </w:rPr>
            </w:pPr>
            <w:r w:rsidRPr="00471477">
              <w:rPr>
                <w:sz w:val="20"/>
                <w:szCs w:val="20"/>
              </w:rPr>
              <w:t>I/34 Božejov – Ondřejov – Pelhřimov</w:t>
            </w:r>
          </w:p>
        </w:tc>
        <w:tc>
          <w:tcPr>
            <w:tcW w:w="1361" w:type="dxa"/>
            <w:vAlign w:val="center"/>
          </w:tcPr>
          <w:p w14:paraId="3D72860B" w14:textId="77777777" w:rsidR="00F21AE7" w:rsidRPr="00471477" w:rsidRDefault="00837A66" w:rsidP="00F21AE7">
            <w:pPr>
              <w:jc w:val="center"/>
              <w:rPr>
                <w:sz w:val="20"/>
                <w:szCs w:val="20"/>
              </w:rPr>
            </w:pPr>
            <w:r w:rsidRPr="00AF307C">
              <w:rPr>
                <w:sz w:val="20"/>
                <w:szCs w:val="20"/>
              </w:rPr>
              <w:t>S 11,5/70</w:t>
            </w:r>
          </w:p>
        </w:tc>
        <w:tc>
          <w:tcPr>
            <w:tcW w:w="794" w:type="dxa"/>
            <w:vAlign w:val="center"/>
          </w:tcPr>
          <w:p w14:paraId="6D8D1A47" w14:textId="77777777" w:rsidR="00F21AE7" w:rsidRPr="00471477" w:rsidRDefault="00837A66" w:rsidP="004B68C4">
            <w:pPr>
              <w:jc w:val="center"/>
              <w:rPr>
                <w:sz w:val="20"/>
                <w:szCs w:val="20"/>
              </w:rPr>
            </w:pPr>
            <w:r w:rsidRPr="00AF307C">
              <w:rPr>
                <w:sz w:val="20"/>
                <w:szCs w:val="20"/>
              </w:rPr>
              <w:t>5</w:t>
            </w:r>
            <w:r>
              <w:rPr>
                <w:sz w:val="20"/>
                <w:szCs w:val="20"/>
              </w:rPr>
              <w:t>,</w:t>
            </w:r>
            <w:r w:rsidR="004B68C4">
              <w:rPr>
                <w:sz w:val="20"/>
                <w:szCs w:val="20"/>
              </w:rPr>
              <w:t>4</w:t>
            </w:r>
          </w:p>
        </w:tc>
        <w:tc>
          <w:tcPr>
            <w:tcW w:w="1246" w:type="dxa"/>
            <w:vAlign w:val="center"/>
          </w:tcPr>
          <w:p w14:paraId="5935FE2B" w14:textId="77777777" w:rsidR="00F21AE7" w:rsidRPr="00471477" w:rsidRDefault="00837A66" w:rsidP="00F21AE7">
            <w:pPr>
              <w:jc w:val="center"/>
              <w:rPr>
                <w:sz w:val="20"/>
                <w:szCs w:val="20"/>
              </w:rPr>
            </w:pPr>
            <w:r>
              <w:rPr>
                <w:sz w:val="20"/>
                <w:szCs w:val="20"/>
              </w:rPr>
              <w:t>13. 12. 1996</w:t>
            </w:r>
          </w:p>
        </w:tc>
        <w:tc>
          <w:tcPr>
            <w:tcW w:w="1246" w:type="dxa"/>
            <w:vAlign w:val="center"/>
          </w:tcPr>
          <w:p w14:paraId="07649283" w14:textId="77777777" w:rsidR="00F21AE7" w:rsidRPr="00471477" w:rsidRDefault="00837A66" w:rsidP="00F21AE7">
            <w:pPr>
              <w:jc w:val="center"/>
              <w:rPr>
                <w:sz w:val="20"/>
                <w:szCs w:val="20"/>
              </w:rPr>
            </w:pPr>
            <w:r>
              <w:rPr>
                <w:sz w:val="20"/>
                <w:szCs w:val="20"/>
              </w:rPr>
              <w:t>26. 5. 2007</w:t>
            </w:r>
          </w:p>
        </w:tc>
        <w:tc>
          <w:tcPr>
            <w:tcW w:w="1246" w:type="dxa"/>
            <w:vAlign w:val="center"/>
          </w:tcPr>
          <w:p w14:paraId="38556BBB" w14:textId="77777777" w:rsidR="00F21AE7" w:rsidRPr="00471477" w:rsidRDefault="00837A66" w:rsidP="00F21AE7">
            <w:pPr>
              <w:jc w:val="center"/>
              <w:rPr>
                <w:sz w:val="20"/>
                <w:szCs w:val="20"/>
              </w:rPr>
            </w:pPr>
            <w:r>
              <w:rPr>
                <w:sz w:val="20"/>
                <w:szCs w:val="20"/>
              </w:rPr>
              <w:t>20. 12. 2011</w:t>
            </w:r>
          </w:p>
        </w:tc>
        <w:tc>
          <w:tcPr>
            <w:tcW w:w="1417" w:type="dxa"/>
            <w:vAlign w:val="center"/>
          </w:tcPr>
          <w:p w14:paraId="4012AAFE" w14:textId="77777777" w:rsidR="00F21AE7" w:rsidRPr="00471477" w:rsidRDefault="00837A66" w:rsidP="00F21AE7">
            <w:pPr>
              <w:jc w:val="center"/>
              <w:rPr>
                <w:sz w:val="20"/>
                <w:szCs w:val="20"/>
              </w:rPr>
            </w:pPr>
            <w:r>
              <w:rPr>
                <w:sz w:val="20"/>
                <w:szCs w:val="20"/>
              </w:rPr>
              <w:t>15</w:t>
            </w:r>
          </w:p>
        </w:tc>
        <w:tc>
          <w:tcPr>
            <w:tcW w:w="1417" w:type="dxa"/>
            <w:vAlign w:val="center"/>
          </w:tcPr>
          <w:p w14:paraId="2736A5BF" w14:textId="77777777" w:rsidR="00F21AE7" w:rsidRPr="00471477" w:rsidRDefault="00837A66" w:rsidP="00F21AE7">
            <w:pPr>
              <w:jc w:val="center"/>
              <w:rPr>
                <w:sz w:val="20"/>
                <w:szCs w:val="20"/>
              </w:rPr>
            </w:pPr>
            <w:r>
              <w:rPr>
                <w:sz w:val="20"/>
                <w:szCs w:val="20"/>
              </w:rPr>
              <w:t>04/15 – 11/17</w:t>
            </w:r>
          </w:p>
        </w:tc>
        <w:tc>
          <w:tcPr>
            <w:tcW w:w="1587" w:type="dxa"/>
            <w:vAlign w:val="center"/>
          </w:tcPr>
          <w:p w14:paraId="76815132"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683,119</w:t>
            </w:r>
          </w:p>
        </w:tc>
      </w:tr>
      <w:tr w:rsidR="00363F0A" w14:paraId="0B8569D4" w14:textId="77777777" w:rsidTr="00F21AE7">
        <w:trPr>
          <w:jc w:val="center"/>
        </w:trPr>
        <w:tc>
          <w:tcPr>
            <w:tcW w:w="3855" w:type="dxa"/>
            <w:vAlign w:val="center"/>
          </w:tcPr>
          <w:p w14:paraId="70459EEE" w14:textId="77777777" w:rsidR="00F21AE7" w:rsidRPr="00471477" w:rsidRDefault="00837A66" w:rsidP="00F21AE7">
            <w:pPr>
              <w:jc w:val="left"/>
              <w:rPr>
                <w:sz w:val="20"/>
                <w:szCs w:val="20"/>
              </w:rPr>
            </w:pPr>
            <w:r w:rsidRPr="00471477">
              <w:rPr>
                <w:sz w:val="20"/>
                <w:szCs w:val="20"/>
              </w:rPr>
              <w:t>I/34 Rouštany – Pohled</w:t>
            </w:r>
          </w:p>
        </w:tc>
        <w:tc>
          <w:tcPr>
            <w:tcW w:w="1361" w:type="dxa"/>
            <w:vAlign w:val="center"/>
          </w:tcPr>
          <w:p w14:paraId="39EEFB02" w14:textId="77777777" w:rsidR="00F21AE7" w:rsidRPr="00471477" w:rsidRDefault="00837A66" w:rsidP="00F21AE7">
            <w:pPr>
              <w:jc w:val="center"/>
              <w:rPr>
                <w:sz w:val="20"/>
                <w:szCs w:val="20"/>
              </w:rPr>
            </w:pPr>
            <w:r w:rsidRPr="007943F5">
              <w:rPr>
                <w:sz w:val="20"/>
                <w:szCs w:val="20"/>
              </w:rPr>
              <w:t>S 11,5/</w:t>
            </w:r>
            <w:r>
              <w:rPr>
                <w:sz w:val="20"/>
                <w:szCs w:val="20"/>
              </w:rPr>
              <w:t>7</w:t>
            </w:r>
            <w:r w:rsidRPr="007943F5">
              <w:rPr>
                <w:sz w:val="20"/>
                <w:szCs w:val="20"/>
              </w:rPr>
              <w:t>0</w:t>
            </w:r>
          </w:p>
        </w:tc>
        <w:tc>
          <w:tcPr>
            <w:tcW w:w="794" w:type="dxa"/>
            <w:vAlign w:val="center"/>
          </w:tcPr>
          <w:p w14:paraId="202060F5" w14:textId="77777777" w:rsidR="00F21AE7" w:rsidRPr="00471477" w:rsidRDefault="00837A66" w:rsidP="004B68C4">
            <w:pPr>
              <w:jc w:val="center"/>
              <w:rPr>
                <w:sz w:val="20"/>
                <w:szCs w:val="20"/>
              </w:rPr>
            </w:pPr>
            <w:r>
              <w:rPr>
                <w:sz w:val="20"/>
                <w:szCs w:val="20"/>
              </w:rPr>
              <w:t>2,</w:t>
            </w:r>
            <w:r w:rsidR="004B68C4">
              <w:rPr>
                <w:sz w:val="20"/>
                <w:szCs w:val="20"/>
              </w:rPr>
              <w:t>9</w:t>
            </w:r>
          </w:p>
        </w:tc>
        <w:tc>
          <w:tcPr>
            <w:tcW w:w="1246" w:type="dxa"/>
            <w:vAlign w:val="center"/>
          </w:tcPr>
          <w:p w14:paraId="153459B1" w14:textId="77777777" w:rsidR="00F21AE7" w:rsidRPr="00471477" w:rsidRDefault="00837A66" w:rsidP="00F21AE7">
            <w:pPr>
              <w:jc w:val="center"/>
              <w:rPr>
                <w:sz w:val="20"/>
                <w:szCs w:val="20"/>
              </w:rPr>
            </w:pPr>
            <w:r>
              <w:rPr>
                <w:sz w:val="20"/>
                <w:szCs w:val="20"/>
              </w:rPr>
              <w:t>9. 7. 1997</w:t>
            </w:r>
          </w:p>
        </w:tc>
        <w:tc>
          <w:tcPr>
            <w:tcW w:w="1246" w:type="dxa"/>
            <w:vAlign w:val="center"/>
          </w:tcPr>
          <w:p w14:paraId="1461A81B" w14:textId="77777777" w:rsidR="00F21AE7" w:rsidRPr="00471477" w:rsidRDefault="00837A66" w:rsidP="00F21AE7">
            <w:pPr>
              <w:jc w:val="center"/>
              <w:rPr>
                <w:sz w:val="20"/>
                <w:szCs w:val="20"/>
              </w:rPr>
            </w:pPr>
            <w:r>
              <w:rPr>
                <w:sz w:val="20"/>
                <w:szCs w:val="20"/>
              </w:rPr>
              <w:t>8. 2. 2003</w:t>
            </w:r>
          </w:p>
        </w:tc>
        <w:tc>
          <w:tcPr>
            <w:tcW w:w="1246" w:type="dxa"/>
            <w:vAlign w:val="center"/>
          </w:tcPr>
          <w:p w14:paraId="017ACE42" w14:textId="77777777" w:rsidR="00F21AE7" w:rsidRPr="00471477" w:rsidRDefault="00837A66" w:rsidP="00F21AE7">
            <w:pPr>
              <w:jc w:val="center"/>
              <w:rPr>
                <w:sz w:val="20"/>
                <w:szCs w:val="20"/>
              </w:rPr>
            </w:pPr>
            <w:r>
              <w:rPr>
                <w:sz w:val="20"/>
                <w:szCs w:val="20"/>
              </w:rPr>
              <w:t>19. 6. 2015</w:t>
            </w:r>
          </w:p>
        </w:tc>
        <w:tc>
          <w:tcPr>
            <w:tcW w:w="1417" w:type="dxa"/>
            <w:vAlign w:val="center"/>
          </w:tcPr>
          <w:p w14:paraId="5F47612A" w14:textId="77777777" w:rsidR="00F21AE7" w:rsidRPr="00471477" w:rsidRDefault="00837A66" w:rsidP="00F21AE7">
            <w:pPr>
              <w:jc w:val="center"/>
              <w:rPr>
                <w:sz w:val="20"/>
                <w:szCs w:val="20"/>
              </w:rPr>
            </w:pPr>
            <w:r>
              <w:rPr>
                <w:sz w:val="20"/>
                <w:szCs w:val="20"/>
              </w:rPr>
              <w:t>18</w:t>
            </w:r>
          </w:p>
        </w:tc>
        <w:tc>
          <w:tcPr>
            <w:tcW w:w="1417" w:type="dxa"/>
            <w:vAlign w:val="center"/>
          </w:tcPr>
          <w:p w14:paraId="50676206" w14:textId="77777777" w:rsidR="00F21AE7" w:rsidRPr="00471477" w:rsidRDefault="00837A66" w:rsidP="00F21AE7">
            <w:pPr>
              <w:jc w:val="center"/>
              <w:rPr>
                <w:sz w:val="20"/>
                <w:szCs w:val="20"/>
              </w:rPr>
            </w:pPr>
            <w:r>
              <w:rPr>
                <w:sz w:val="20"/>
                <w:szCs w:val="20"/>
              </w:rPr>
              <w:t>12/16 – 04/19</w:t>
            </w:r>
          </w:p>
        </w:tc>
        <w:tc>
          <w:tcPr>
            <w:tcW w:w="1587" w:type="dxa"/>
            <w:vAlign w:val="center"/>
          </w:tcPr>
          <w:p w14:paraId="29285659"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202,629</w:t>
            </w:r>
          </w:p>
        </w:tc>
      </w:tr>
      <w:tr w:rsidR="00363F0A" w14:paraId="674541A2" w14:textId="77777777" w:rsidTr="00F21AE7">
        <w:trPr>
          <w:jc w:val="center"/>
        </w:trPr>
        <w:tc>
          <w:tcPr>
            <w:tcW w:w="3855" w:type="dxa"/>
            <w:vAlign w:val="center"/>
          </w:tcPr>
          <w:p w14:paraId="1839A729" w14:textId="77777777" w:rsidR="00F21AE7" w:rsidRPr="00471477" w:rsidRDefault="00837A66" w:rsidP="00F21AE7">
            <w:pPr>
              <w:jc w:val="left"/>
              <w:rPr>
                <w:sz w:val="20"/>
                <w:szCs w:val="20"/>
              </w:rPr>
            </w:pPr>
            <w:r w:rsidRPr="00471477">
              <w:rPr>
                <w:sz w:val="20"/>
                <w:szCs w:val="20"/>
              </w:rPr>
              <w:t>I/9 obchvat Dubá</w:t>
            </w:r>
          </w:p>
        </w:tc>
        <w:tc>
          <w:tcPr>
            <w:tcW w:w="1361" w:type="dxa"/>
            <w:vAlign w:val="center"/>
          </w:tcPr>
          <w:p w14:paraId="76CE8BC2" w14:textId="77777777" w:rsidR="00F21AE7" w:rsidRPr="00471477" w:rsidRDefault="00837A66" w:rsidP="00F21AE7">
            <w:pPr>
              <w:jc w:val="center"/>
              <w:rPr>
                <w:sz w:val="20"/>
                <w:szCs w:val="20"/>
              </w:rPr>
            </w:pPr>
            <w:r w:rsidRPr="000F1F14">
              <w:rPr>
                <w:sz w:val="20"/>
                <w:szCs w:val="20"/>
              </w:rPr>
              <w:t>S 9,5/70</w:t>
            </w:r>
          </w:p>
        </w:tc>
        <w:tc>
          <w:tcPr>
            <w:tcW w:w="794" w:type="dxa"/>
            <w:vAlign w:val="center"/>
          </w:tcPr>
          <w:p w14:paraId="6CD496B2" w14:textId="77777777" w:rsidR="00F21AE7" w:rsidRPr="00471477" w:rsidRDefault="00837A66" w:rsidP="004B68C4">
            <w:pPr>
              <w:jc w:val="center"/>
              <w:rPr>
                <w:sz w:val="20"/>
                <w:szCs w:val="20"/>
              </w:rPr>
            </w:pPr>
            <w:r w:rsidRPr="000F1F14">
              <w:rPr>
                <w:sz w:val="20"/>
                <w:szCs w:val="20"/>
              </w:rPr>
              <w:t>3</w:t>
            </w:r>
            <w:r>
              <w:rPr>
                <w:sz w:val="20"/>
                <w:szCs w:val="20"/>
              </w:rPr>
              <w:t>,</w:t>
            </w:r>
            <w:r w:rsidRPr="000F1F14">
              <w:rPr>
                <w:sz w:val="20"/>
                <w:szCs w:val="20"/>
              </w:rPr>
              <w:t>0</w:t>
            </w:r>
          </w:p>
        </w:tc>
        <w:tc>
          <w:tcPr>
            <w:tcW w:w="1246" w:type="dxa"/>
            <w:vAlign w:val="center"/>
          </w:tcPr>
          <w:p w14:paraId="32A6295E" w14:textId="77777777" w:rsidR="00F21AE7" w:rsidRPr="00471477" w:rsidRDefault="00837A66" w:rsidP="00F21AE7">
            <w:pPr>
              <w:jc w:val="center"/>
              <w:rPr>
                <w:sz w:val="20"/>
                <w:szCs w:val="20"/>
              </w:rPr>
            </w:pPr>
            <w:r w:rsidRPr="005C3837">
              <w:rPr>
                <w:sz w:val="20"/>
                <w:szCs w:val="20"/>
              </w:rPr>
              <w:t>9. 5. 2006</w:t>
            </w:r>
          </w:p>
        </w:tc>
        <w:tc>
          <w:tcPr>
            <w:tcW w:w="1246" w:type="dxa"/>
            <w:vAlign w:val="center"/>
          </w:tcPr>
          <w:p w14:paraId="2B8DDAFC" w14:textId="77777777" w:rsidR="00F21AE7" w:rsidRPr="00471477" w:rsidRDefault="00837A66" w:rsidP="00F21AE7">
            <w:pPr>
              <w:jc w:val="center"/>
              <w:rPr>
                <w:sz w:val="20"/>
                <w:szCs w:val="20"/>
              </w:rPr>
            </w:pPr>
            <w:r w:rsidRPr="005C3837">
              <w:rPr>
                <w:sz w:val="20"/>
                <w:szCs w:val="20"/>
              </w:rPr>
              <w:t>23. 12. 2008</w:t>
            </w:r>
          </w:p>
        </w:tc>
        <w:tc>
          <w:tcPr>
            <w:tcW w:w="1246" w:type="dxa"/>
            <w:vAlign w:val="center"/>
          </w:tcPr>
          <w:p w14:paraId="7C16B53C" w14:textId="77777777" w:rsidR="00F21AE7" w:rsidRPr="00471477" w:rsidRDefault="00837A66" w:rsidP="00F21AE7">
            <w:pPr>
              <w:jc w:val="center"/>
              <w:rPr>
                <w:sz w:val="20"/>
                <w:szCs w:val="20"/>
              </w:rPr>
            </w:pPr>
            <w:r w:rsidRPr="005C3837">
              <w:rPr>
                <w:sz w:val="20"/>
                <w:szCs w:val="20"/>
              </w:rPr>
              <w:t>6. 5. 2016</w:t>
            </w:r>
          </w:p>
        </w:tc>
        <w:tc>
          <w:tcPr>
            <w:tcW w:w="1417" w:type="dxa"/>
            <w:vAlign w:val="center"/>
          </w:tcPr>
          <w:p w14:paraId="0E33A7C6" w14:textId="77777777" w:rsidR="00F21AE7" w:rsidRPr="00471477" w:rsidRDefault="00837A66" w:rsidP="00F21AE7">
            <w:pPr>
              <w:jc w:val="center"/>
              <w:rPr>
                <w:sz w:val="20"/>
                <w:szCs w:val="20"/>
              </w:rPr>
            </w:pPr>
            <w:r>
              <w:rPr>
                <w:sz w:val="20"/>
                <w:szCs w:val="20"/>
              </w:rPr>
              <w:t>10</w:t>
            </w:r>
          </w:p>
        </w:tc>
        <w:tc>
          <w:tcPr>
            <w:tcW w:w="1417" w:type="dxa"/>
            <w:vAlign w:val="center"/>
          </w:tcPr>
          <w:p w14:paraId="6EB81CD6" w14:textId="77777777" w:rsidR="00F21AE7" w:rsidRPr="00471477" w:rsidRDefault="00837A66" w:rsidP="00F21AE7">
            <w:pPr>
              <w:jc w:val="center"/>
              <w:rPr>
                <w:sz w:val="20"/>
                <w:szCs w:val="20"/>
              </w:rPr>
            </w:pPr>
            <w:r>
              <w:rPr>
                <w:sz w:val="20"/>
                <w:szCs w:val="20"/>
              </w:rPr>
              <w:t>08/14 – 10/17</w:t>
            </w:r>
          </w:p>
        </w:tc>
        <w:tc>
          <w:tcPr>
            <w:tcW w:w="1587" w:type="dxa"/>
          </w:tcPr>
          <w:p w14:paraId="283729A4"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618,672</w:t>
            </w:r>
          </w:p>
        </w:tc>
      </w:tr>
      <w:tr w:rsidR="00363F0A" w14:paraId="24E7C859" w14:textId="77777777" w:rsidTr="00F21AE7">
        <w:trPr>
          <w:jc w:val="center"/>
        </w:trPr>
        <w:tc>
          <w:tcPr>
            <w:tcW w:w="3855" w:type="dxa"/>
            <w:vAlign w:val="center"/>
          </w:tcPr>
          <w:p w14:paraId="66F3C183" w14:textId="77777777" w:rsidR="00F21AE7" w:rsidRPr="00471477" w:rsidRDefault="00837A66" w:rsidP="00F21AE7">
            <w:pPr>
              <w:jc w:val="left"/>
              <w:rPr>
                <w:sz w:val="20"/>
                <w:szCs w:val="20"/>
              </w:rPr>
            </w:pPr>
            <w:r w:rsidRPr="00471477">
              <w:rPr>
                <w:sz w:val="20"/>
                <w:szCs w:val="20"/>
              </w:rPr>
              <w:t>I/14 Kunratice – Jablonec n. N.</w:t>
            </w:r>
          </w:p>
        </w:tc>
        <w:tc>
          <w:tcPr>
            <w:tcW w:w="1361" w:type="dxa"/>
            <w:vAlign w:val="center"/>
          </w:tcPr>
          <w:p w14:paraId="30539A61" w14:textId="77777777" w:rsidR="00F21AE7" w:rsidRPr="00471477" w:rsidRDefault="00837A66" w:rsidP="00F21AE7">
            <w:pPr>
              <w:jc w:val="center"/>
              <w:rPr>
                <w:sz w:val="20"/>
                <w:szCs w:val="20"/>
              </w:rPr>
            </w:pPr>
            <w:r w:rsidRPr="007943F5">
              <w:rPr>
                <w:sz w:val="20"/>
                <w:szCs w:val="20"/>
              </w:rPr>
              <w:t>S 11,5/</w:t>
            </w:r>
            <w:r>
              <w:rPr>
                <w:sz w:val="20"/>
                <w:szCs w:val="20"/>
              </w:rPr>
              <w:t>7</w:t>
            </w:r>
            <w:r w:rsidRPr="007943F5">
              <w:rPr>
                <w:sz w:val="20"/>
                <w:szCs w:val="20"/>
              </w:rPr>
              <w:t>0</w:t>
            </w:r>
          </w:p>
        </w:tc>
        <w:tc>
          <w:tcPr>
            <w:tcW w:w="794" w:type="dxa"/>
            <w:vAlign w:val="center"/>
          </w:tcPr>
          <w:p w14:paraId="12564246" w14:textId="77777777" w:rsidR="00F21AE7" w:rsidRPr="00471477" w:rsidRDefault="00837A66" w:rsidP="004B68C4">
            <w:pPr>
              <w:jc w:val="center"/>
              <w:rPr>
                <w:sz w:val="20"/>
                <w:szCs w:val="20"/>
              </w:rPr>
            </w:pPr>
            <w:r>
              <w:rPr>
                <w:sz w:val="20"/>
                <w:szCs w:val="20"/>
              </w:rPr>
              <w:t>2,6</w:t>
            </w:r>
          </w:p>
        </w:tc>
        <w:tc>
          <w:tcPr>
            <w:tcW w:w="1246" w:type="dxa"/>
            <w:vAlign w:val="center"/>
          </w:tcPr>
          <w:p w14:paraId="12393267" w14:textId="77777777" w:rsidR="00F21AE7" w:rsidRPr="00471477" w:rsidRDefault="00837A66" w:rsidP="00F21AE7">
            <w:pPr>
              <w:jc w:val="center"/>
              <w:rPr>
                <w:sz w:val="20"/>
                <w:szCs w:val="20"/>
              </w:rPr>
            </w:pPr>
            <w:r>
              <w:rPr>
                <w:sz w:val="20"/>
                <w:szCs w:val="20"/>
              </w:rPr>
              <w:t>1. 2. 1996</w:t>
            </w:r>
          </w:p>
        </w:tc>
        <w:tc>
          <w:tcPr>
            <w:tcW w:w="1246" w:type="dxa"/>
            <w:vAlign w:val="center"/>
          </w:tcPr>
          <w:p w14:paraId="374F4B05" w14:textId="77777777" w:rsidR="00F21AE7" w:rsidRPr="00471477" w:rsidRDefault="00837A66" w:rsidP="00F21AE7">
            <w:pPr>
              <w:jc w:val="center"/>
              <w:rPr>
                <w:sz w:val="20"/>
                <w:szCs w:val="20"/>
              </w:rPr>
            </w:pPr>
            <w:r>
              <w:rPr>
                <w:sz w:val="20"/>
                <w:szCs w:val="20"/>
              </w:rPr>
              <w:t>29. 7. 2010</w:t>
            </w:r>
          </w:p>
        </w:tc>
        <w:tc>
          <w:tcPr>
            <w:tcW w:w="1246" w:type="dxa"/>
            <w:vAlign w:val="center"/>
          </w:tcPr>
          <w:p w14:paraId="77FDE218" w14:textId="77777777" w:rsidR="00F21AE7" w:rsidRPr="00471477" w:rsidRDefault="00837A66" w:rsidP="00F21AE7">
            <w:pPr>
              <w:jc w:val="center"/>
              <w:rPr>
                <w:sz w:val="20"/>
                <w:szCs w:val="20"/>
              </w:rPr>
            </w:pPr>
            <w:r>
              <w:rPr>
                <w:sz w:val="20"/>
                <w:szCs w:val="20"/>
              </w:rPr>
              <w:t>15. 10. 2015</w:t>
            </w:r>
          </w:p>
        </w:tc>
        <w:tc>
          <w:tcPr>
            <w:tcW w:w="1417" w:type="dxa"/>
            <w:vAlign w:val="center"/>
          </w:tcPr>
          <w:p w14:paraId="61D7A668" w14:textId="77777777" w:rsidR="00F21AE7" w:rsidRPr="00471477" w:rsidRDefault="00837A66" w:rsidP="00F21AE7">
            <w:pPr>
              <w:jc w:val="center"/>
              <w:rPr>
                <w:sz w:val="20"/>
                <w:szCs w:val="20"/>
              </w:rPr>
            </w:pPr>
            <w:r>
              <w:rPr>
                <w:sz w:val="20"/>
                <w:szCs w:val="20"/>
              </w:rPr>
              <w:t>20</w:t>
            </w:r>
          </w:p>
        </w:tc>
        <w:tc>
          <w:tcPr>
            <w:tcW w:w="1417" w:type="dxa"/>
            <w:vAlign w:val="center"/>
          </w:tcPr>
          <w:p w14:paraId="2917CF01" w14:textId="77777777" w:rsidR="00F21AE7" w:rsidRPr="00471477" w:rsidRDefault="00837A66" w:rsidP="00F21AE7">
            <w:pPr>
              <w:jc w:val="center"/>
              <w:rPr>
                <w:sz w:val="20"/>
                <w:szCs w:val="20"/>
              </w:rPr>
            </w:pPr>
            <w:r>
              <w:rPr>
                <w:sz w:val="20"/>
                <w:szCs w:val="20"/>
              </w:rPr>
              <w:t>03/16 – 06/18</w:t>
            </w:r>
          </w:p>
        </w:tc>
        <w:tc>
          <w:tcPr>
            <w:tcW w:w="1587" w:type="dxa"/>
          </w:tcPr>
          <w:p w14:paraId="116D306F"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517,000</w:t>
            </w:r>
          </w:p>
        </w:tc>
      </w:tr>
      <w:tr w:rsidR="00363F0A" w14:paraId="7D0E820C" w14:textId="77777777" w:rsidTr="00F21AE7">
        <w:trPr>
          <w:jc w:val="center"/>
        </w:trPr>
        <w:tc>
          <w:tcPr>
            <w:tcW w:w="3855" w:type="dxa"/>
            <w:vAlign w:val="center"/>
          </w:tcPr>
          <w:p w14:paraId="6AFDD6BF" w14:textId="77777777" w:rsidR="00F21AE7" w:rsidRPr="00471477" w:rsidRDefault="00837A66" w:rsidP="00F21AE7">
            <w:pPr>
              <w:jc w:val="left"/>
              <w:rPr>
                <w:sz w:val="20"/>
                <w:szCs w:val="20"/>
              </w:rPr>
            </w:pPr>
            <w:r w:rsidRPr="00471477">
              <w:rPr>
                <w:sz w:val="20"/>
                <w:szCs w:val="20"/>
              </w:rPr>
              <w:t>I/55 MÚK s ČD Přerov – Předmostí</w:t>
            </w:r>
          </w:p>
        </w:tc>
        <w:tc>
          <w:tcPr>
            <w:tcW w:w="1361" w:type="dxa"/>
            <w:vAlign w:val="center"/>
          </w:tcPr>
          <w:p w14:paraId="2724441E" w14:textId="77777777" w:rsidR="00F21AE7" w:rsidRPr="00471477" w:rsidRDefault="00837A66" w:rsidP="00F21AE7">
            <w:pPr>
              <w:jc w:val="center"/>
              <w:rPr>
                <w:sz w:val="20"/>
                <w:szCs w:val="20"/>
              </w:rPr>
            </w:pPr>
            <w:r>
              <w:rPr>
                <w:sz w:val="20"/>
                <w:szCs w:val="20"/>
              </w:rPr>
              <w:t xml:space="preserve">MS </w:t>
            </w:r>
            <w:r w:rsidRPr="00AE3B05">
              <w:rPr>
                <w:sz w:val="20"/>
                <w:szCs w:val="20"/>
              </w:rPr>
              <w:t>15,5/50</w:t>
            </w:r>
          </w:p>
        </w:tc>
        <w:tc>
          <w:tcPr>
            <w:tcW w:w="794" w:type="dxa"/>
            <w:vAlign w:val="center"/>
          </w:tcPr>
          <w:p w14:paraId="3555E793" w14:textId="77777777" w:rsidR="00F21AE7" w:rsidRPr="00471477" w:rsidRDefault="00837A66" w:rsidP="004B68C4">
            <w:pPr>
              <w:jc w:val="center"/>
              <w:rPr>
                <w:sz w:val="20"/>
                <w:szCs w:val="20"/>
              </w:rPr>
            </w:pPr>
            <w:r w:rsidRPr="00BF3946">
              <w:rPr>
                <w:sz w:val="20"/>
                <w:szCs w:val="20"/>
              </w:rPr>
              <w:t>1</w:t>
            </w:r>
            <w:r>
              <w:rPr>
                <w:sz w:val="20"/>
                <w:szCs w:val="20"/>
              </w:rPr>
              <w:t>,</w:t>
            </w:r>
            <w:r w:rsidR="004B68C4">
              <w:rPr>
                <w:sz w:val="20"/>
                <w:szCs w:val="20"/>
              </w:rPr>
              <w:t>5</w:t>
            </w:r>
          </w:p>
        </w:tc>
        <w:tc>
          <w:tcPr>
            <w:tcW w:w="1246" w:type="dxa"/>
            <w:vAlign w:val="center"/>
          </w:tcPr>
          <w:p w14:paraId="3BA1C07A" w14:textId="77777777" w:rsidR="00F21AE7" w:rsidRPr="00471477" w:rsidRDefault="00837A66" w:rsidP="00F21AE7">
            <w:pPr>
              <w:jc w:val="center"/>
              <w:rPr>
                <w:sz w:val="20"/>
                <w:szCs w:val="20"/>
              </w:rPr>
            </w:pPr>
            <w:r w:rsidRPr="00AE3B05">
              <w:rPr>
                <w:sz w:val="20"/>
                <w:szCs w:val="20"/>
              </w:rPr>
              <w:t>26. 10. 2007</w:t>
            </w:r>
          </w:p>
        </w:tc>
        <w:tc>
          <w:tcPr>
            <w:tcW w:w="1246" w:type="dxa"/>
            <w:vAlign w:val="center"/>
          </w:tcPr>
          <w:p w14:paraId="4761EC80" w14:textId="77777777" w:rsidR="00F21AE7" w:rsidRPr="00471477" w:rsidRDefault="00837A66" w:rsidP="00F21AE7">
            <w:pPr>
              <w:jc w:val="center"/>
              <w:rPr>
                <w:sz w:val="20"/>
                <w:szCs w:val="20"/>
              </w:rPr>
            </w:pPr>
            <w:r w:rsidRPr="00AE3B05">
              <w:rPr>
                <w:sz w:val="20"/>
                <w:szCs w:val="20"/>
              </w:rPr>
              <w:t>13. 12. 2014</w:t>
            </w:r>
          </w:p>
        </w:tc>
        <w:tc>
          <w:tcPr>
            <w:tcW w:w="1246" w:type="dxa"/>
            <w:vAlign w:val="center"/>
          </w:tcPr>
          <w:p w14:paraId="12BABEB9" w14:textId="77777777" w:rsidR="00F21AE7" w:rsidRPr="00471477" w:rsidRDefault="00837A66" w:rsidP="00F21AE7">
            <w:pPr>
              <w:jc w:val="center"/>
              <w:rPr>
                <w:sz w:val="20"/>
                <w:szCs w:val="20"/>
              </w:rPr>
            </w:pPr>
            <w:r w:rsidRPr="00AE3B05">
              <w:rPr>
                <w:sz w:val="20"/>
                <w:szCs w:val="20"/>
              </w:rPr>
              <w:t>16. 11. 2017</w:t>
            </w:r>
          </w:p>
        </w:tc>
        <w:tc>
          <w:tcPr>
            <w:tcW w:w="1417" w:type="dxa"/>
            <w:vAlign w:val="center"/>
          </w:tcPr>
          <w:p w14:paraId="213378FB" w14:textId="77777777" w:rsidR="00F21AE7" w:rsidRPr="00471477" w:rsidRDefault="00837A66" w:rsidP="00632E55">
            <w:pPr>
              <w:jc w:val="center"/>
              <w:rPr>
                <w:sz w:val="20"/>
                <w:szCs w:val="20"/>
              </w:rPr>
            </w:pPr>
            <w:r>
              <w:rPr>
                <w:sz w:val="20"/>
                <w:szCs w:val="20"/>
              </w:rPr>
              <w:t>10</w:t>
            </w:r>
            <w:r w:rsidR="00632E55">
              <w:rPr>
                <w:b/>
                <w:sz w:val="20"/>
                <w:szCs w:val="20"/>
                <w:vertAlign w:val="superscript"/>
              </w:rPr>
              <w:t>7</w:t>
            </w:r>
            <w:r w:rsidRPr="0051539F">
              <w:rPr>
                <w:b/>
                <w:sz w:val="20"/>
                <w:szCs w:val="20"/>
                <w:vertAlign w:val="superscript"/>
              </w:rPr>
              <w:t>)</w:t>
            </w:r>
          </w:p>
        </w:tc>
        <w:tc>
          <w:tcPr>
            <w:tcW w:w="1417" w:type="dxa"/>
            <w:vAlign w:val="center"/>
          </w:tcPr>
          <w:p w14:paraId="4EB4EA62" w14:textId="77777777" w:rsidR="00F21AE7" w:rsidRPr="00471477" w:rsidRDefault="00837A66" w:rsidP="00F21AE7">
            <w:pPr>
              <w:jc w:val="center"/>
              <w:rPr>
                <w:sz w:val="20"/>
                <w:szCs w:val="20"/>
              </w:rPr>
            </w:pPr>
            <w:r>
              <w:rPr>
                <w:sz w:val="20"/>
                <w:szCs w:val="20"/>
              </w:rPr>
              <w:t>08/18 – 08/21</w:t>
            </w:r>
          </w:p>
        </w:tc>
        <w:tc>
          <w:tcPr>
            <w:tcW w:w="1587" w:type="dxa"/>
            <w:vAlign w:val="center"/>
          </w:tcPr>
          <w:p w14:paraId="0D908A18"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452,372</w:t>
            </w:r>
          </w:p>
        </w:tc>
      </w:tr>
      <w:tr w:rsidR="00363F0A" w14:paraId="325BFBC5" w14:textId="77777777" w:rsidTr="00F21AE7">
        <w:trPr>
          <w:jc w:val="center"/>
        </w:trPr>
        <w:tc>
          <w:tcPr>
            <w:tcW w:w="3855" w:type="dxa"/>
            <w:vAlign w:val="center"/>
          </w:tcPr>
          <w:p w14:paraId="30A00391" w14:textId="77777777" w:rsidR="00F21AE7" w:rsidRPr="00471477" w:rsidRDefault="00837A66" w:rsidP="00F21AE7">
            <w:pPr>
              <w:jc w:val="left"/>
              <w:rPr>
                <w:sz w:val="20"/>
                <w:szCs w:val="20"/>
              </w:rPr>
            </w:pPr>
            <w:r w:rsidRPr="00471477">
              <w:rPr>
                <w:sz w:val="20"/>
                <w:szCs w:val="20"/>
              </w:rPr>
              <w:t>I/44 Červenohorské sedlo jih</w:t>
            </w:r>
          </w:p>
        </w:tc>
        <w:tc>
          <w:tcPr>
            <w:tcW w:w="1361" w:type="dxa"/>
            <w:vAlign w:val="center"/>
          </w:tcPr>
          <w:p w14:paraId="05B5993C" w14:textId="77777777" w:rsidR="00F21AE7" w:rsidRPr="00471477" w:rsidRDefault="00837A66" w:rsidP="00F21AE7">
            <w:pPr>
              <w:jc w:val="center"/>
              <w:rPr>
                <w:sz w:val="20"/>
                <w:szCs w:val="20"/>
              </w:rPr>
            </w:pPr>
            <w:r w:rsidRPr="000F1F14">
              <w:rPr>
                <w:sz w:val="20"/>
                <w:szCs w:val="20"/>
              </w:rPr>
              <w:t>S 9,5/</w:t>
            </w:r>
            <w:r>
              <w:rPr>
                <w:sz w:val="20"/>
                <w:szCs w:val="20"/>
              </w:rPr>
              <w:t>6</w:t>
            </w:r>
            <w:r w:rsidRPr="000F1F14">
              <w:rPr>
                <w:sz w:val="20"/>
                <w:szCs w:val="20"/>
              </w:rPr>
              <w:t>0</w:t>
            </w:r>
          </w:p>
        </w:tc>
        <w:tc>
          <w:tcPr>
            <w:tcW w:w="794" w:type="dxa"/>
            <w:vAlign w:val="center"/>
          </w:tcPr>
          <w:p w14:paraId="22C4582F" w14:textId="77777777" w:rsidR="00F21AE7" w:rsidRPr="00471477" w:rsidRDefault="00837A66" w:rsidP="004B68C4">
            <w:pPr>
              <w:jc w:val="center"/>
              <w:rPr>
                <w:sz w:val="20"/>
                <w:szCs w:val="20"/>
              </w:rPr>
            </w:pPr>
            <w:r w:rsidRPr="00A605AD">
              <w:rPr>
                <w:sz w:val="20"/>
                <w:szCs w:val="20"/>
              </w:rPr>
              <w:t>7</w:t>
            </w:r>
            <w:r>
              <w:rPr>
                <w:sz w:val="20"/>
                <w:szCs w:val="20"/>
              </w:rPr>
              <w:t>,</w:t>
            </w:r>
            <w:r w:rsidRPr="00A605AD">
              <w:rPr>
                <w:sz w:val="20"/>
                <w:szCs w:val="20"/>
              </w:rPr>
              <w:t>9</w:t>
            </w:r>
          </w:p>
        </w:tc>
        <w:tc>
          <w:tcPr>
            <w:tcW w:w="1246" w:type="dxa"/>
            <w:vAlign w:val="center"/>
          </w:tcPr>
          <w:p w14:paraId="6177BE31" w14:textId="77777777" w:rsidR="00F21AE7" w:rsidRPr="00471477" w:rsidRDefault="00837A66" w:rsidP="00F21AE7">
            <w:pPr>
              <w:jc w:val="center"/>
              <w:rPr>
                <w:sz w:val="20"/>
                <w:szCs w:val="20"/>
              </w:rPr>
            </w:pPr>
            <w:r w:rsidRPr="00AE3B05">
              <w:rPr>
                <w:sz w:val="20"/>
                <w:szCs w:val="20"/>
              </w:rPr>
              <w:t>7. 10. 2003</w:t>
            </w:r>
          </w:p>
        </w:tc>
        <w:tc>
          <w:tcPr>
            <w:tcW w:w="1246" w:type="dxa"/>
            <w:vAlign w:val="center"/>
          </w:tcPr>
          <w:p w14:paraId="49C843B4" w14:textId="77777777" w:rsidR="00F21AE7" w:rsidRPr="00471477" w:rsidRDefault="00837A66" w:rsidP="00F21AE7">
            <w:pPr>
              <w:jc w:val="center"/>
              <w:rPr>
                <w:sz w:val="20"/>
                <w:szCs w:val="20"/>
              </w:rPr>
            </w:pPr>
            <w:r w:rsidRPr="00AE3B05">
              <w:rPr>
                <w:sz w:val="20"/>
                <w:szCs w:val="20"/>
              </w:rPr>
              <w:t>28. 7. 2004</w:t>
            </w:r>
          </w:p>
        </w:tc>
        <w:tc>
          <w:tcPr>
            <w:tcW w:w="1246" w:type="dxa"/>
            <w:vAlign w:val="center"/>
          </w:tcPr>
          <w:p w14:paraId="22DA2B6E" w14:textId="77777777" w:rsidR="00F21AE7" w:rsidRPr="00471477" w:rsidRDefault="00837A66" w:rsidP="00F21AE7">
            <w:pPr>
              <w:jc w:val="center"/>
              <w:rPr>
                <w:sz w:val="20"/>
                <w:szCs w:val="20"/>
              </w:rPr>
            </w:pPr>
            <w:r w:rsidRPr="00AE3B05">
              <w:rPr>
                <w:sz w:val="20"/>
                <w:szCs w:val="20"/>
              </w:rPr>
              <w:t>15. 6. 2013</w:t>
            </w:r>
          </w:p>
        </w:tc>
        <w:tc>
          <w:tcPr>
            <w:tcW w:w="1417" w:type="dxa"/>
            <w:vAlign w:val="center"/>
          </w:tcPr>
          <w:p w14:paraId="26C0E90A" w14:textId="77777777" w:rsidR="00F21AE7" w:rsidRPr="00471477" w:rsidRDefault="00837A66" w:rsidP="00F21AE7">
            <w:pPr>
              <w:jc w:val="center"/>
              <w:rPr>
                <w:sz w:val="20"/>
                <w:szCs w:val="20"/>
              </w:rPr>
            </w:pPr>
            <w:r>
              <w:rPr>
                <w:sz w:val="20"/>
                <w:szCs w:val="20"/>
              </w:rPr>
              <w:t>10</w:t>
            </w:r>
          </w:p>
        </w:tc>
        <w:tc>
          <w:tcPr>
            <w:tcW w:w="1417" w:type="dxa"/>
            <w:vAlign w:val="center"/>
          </w:tcPr>
          <w:p w14:paraId="51B8E273" w14:textId="77777777" w:rsidR="00F21AE7" w:rsidRPr="00471477" w:rsidRDefault="00837A66" w:rsidP="00F21AE7">
            <w:pPr>
              <w:jc w:val="center"/>
              <w:rPr>
                <w:sz w:val="20"/>
                <w:szCs w:val="20"/>
              </w:rPr>
            </w:pPr>
            <w:r>
              <w:rPr>
                <w:sz w:val="20"/>
                <w:szCs w:val="20"/>
              </w:rPr>
              <w:t>09/14 – 06/17</w:t>
            </w:r>
          </w:p>
        </w:tc>
        <w:tc>
          <w:tcPr>
            <w:tcW w:w="1587" w:type="dxa"/>
            <w:vAlign w:val="center"/>
          </w:tcPr>
          <w:p w14:paraId="3CD429FF"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342,455</w:t>
            </w:r>
          </w:p>
        </w:tc>
      </w:tr>
      <w:tr w:rsidR="00363F0A" w14:paraId="21A6FC65" w14:textId="77777777" w:rsidTr="00F21AE7">
        <w:trPr>
          <w:jc w:val="center"/>
        </w:trPr>
        <w:tc>
          <w:tcPr>
            <w:tcW w:w="3855" w:type="dxa"/>
            <w:vAlign w:val="center"/>
          </w:tcPr>
          <w:p w14:paraId="0DD69022" w14:textId="77777777" w:rsidR="00F21AE7" w:rsidRPr="00471477" w:rsidRDefault="00837A66" w:rsidP="00F21AE7">
            <w:pPr>
              <w:jc w:val="left"/>
              <w:rPr>
                <w:sz w:val="20"/>
                <w:szCs w:val="20"/>
              </w:rPr>
            </w:pPr>
            <w:r w:rsidRPr="00471477">
              <w:rPr>
                <w:sz w:val="20"/>
                <w:szCs w:val="20"/>
              </w:rPr>
              <w:t>I/11 Nebory – Oldřichovice</w:t>
            </w:r>
          </w:p>
        </w:tc>
        <w:tc>
          <w:tcPr>
            <w:tcW w:w="1361" w:type="dxa"/>
            <w:vAlign w:val="center"/>
          </w:tcPr>
          <w:p w14:paraId="7B641A7A" w14:textId="77777777" w:rsidR="00F21AE7" w:rsidRPr="00471477" w:rsidRDefault="00837A66" w:rsidP="00F21AE7">
            <w:pPr>
              <w:jc w:val="center"/>
              <w:rPr>
                <w:sz w:val="20"/>
                <w:szCs w:val="20"/>
              </w:rPr>
            </w:pPr>
            <w:r w:rsidRPr="00FD5CA6">
              <w:rPr>
                <w:sz w:val="20"/>
                <w:szCs w:val="20"/>
              </w:rPr>
              <w:t>S 24,5/100</w:t>
            </w:r>
          </w:p>
        </w:tc>
        <w:tc>
          <w:tcPr>
            <w:tcW w:w="794" w:type="dxa"/>
            <w:vAlign w:val="center"/>
          </w:tcPr>
          <w:p w14:paraId="4A58A804" w14:textId="77777777" w:rsidR="00F21AE7" w:rsidRPr="00471477" w:rsidRDefault="00837A66" w:rsidP="004B68C4">
            <w:pPr>
              <w:jc w:val="center"/>
              <w:rPr>
                <w:sz w:val="20"/>
                <w:szCs w:val="20"/>
              </w:rPr>
            </w:pPr>
            <w:r w:rsidRPr="00FD5CA6">
              <w:rPr>
                <w:sz w:val="20"/>
                <w:szCs w:val="20"/>
              </w:rPr>
              <w:t>4,</w:t>
            </w:r>
            <w:r w:rsidR="004B68C4">
              <w:rPr>
                <w:sz w:val="20"/>
                <w:szCs w:val="20"/>
              </w:rPr>
              <w:t>9</w:t>
            </w:r>
          </w:p>
        </w:tc>
        <w:tc>
          <w:tcPr>
            <w:tcW w:w="1246" w:type="dxa"/>
            <w:vAlign w:val="center"/>
          </w:tcPr>
          <w:p w14:paraId="4632784C" w14:textId="77777777" w:rsidR="00F21AE7" w:rsidRPr="00471477" w:rsidRDefault="00837A66" w:rsidP="00F21AE7">
            <w:pPr>
              <w:jc w:val="center"/>
              <w:rPr>
                <w:sz w:val="20"/>
                <w:szCs w:val="20"/>
              </w:rPr>
            </w:pPr>
            <w:r w:rsidRPr="004F1D1A">
              <w:rPr>
                <w:sz w:val="20"/>
                <w:szCs w:val="20"/>
              </w:rPr>
              <w:t>29.</w:t>
            </w:r>
            <w:r>
              <w:rPr>
                <w:sz w:val="20"/>
                <w:szCs w:val="20"/>
              </w:rPr>
              <w:t xml:space="preserve"> </w:t>
            </w:r>
            <w:r w:rsidRPr="004F1D1A">
              <w:rPr>
                <w:sz w:val="20"/>
                <w:szCs w:val="20"/>
              </w:rPr>
              <w:t>2.</w:t>
            </w:r>
            <w:r>
              <w:rPr>
                <w:sz w:val="20"/>
                <w:szCs w:val="20"/>
              </w:rPr>
              <w:t xml:space="preserve"> </w:t>
            </w:r>
            <w:r w:rsidRPr="004F1D1A">
              <w:rPr>
                <w:sz w:val="20"/>
                <w:szCs w:val="20"/>
              </w:rPr>
              <w:t>2008</w:t>
            </w:r>
          </w:p>
        </w:tc>
        <w:tc>
          <w:tcPr>
            <w:tcW w:w="1246" w:type="dxa"/>
            <w:vAlign w:val="center"/>
          </w:tcPr>
          <w:p w14:paraId="193DC318" w14:textId="77777777" w:rsidR="00F21AE7" w:rsidRPr="00471477" w:rsidRDefault="00837A66" w:rsidP="00F21AE7">
            <w:pPr>
              <w:jc w:val="center"/>
              <w:rPr>
                <w:sz w:val="20"/>
                <w:szCs w:val="20"/>
              </w:rPr>
            </w:pPr>
            <w:r w:rsidRPr="004F1D1A">
              <w:rPr>
                <w:sz w:val="20"/>
                <w:szCs w:val="20"/>
              </w:rPr>
              <w:t>8.</w:t>
            </w:r>
            <w:r>
              <w:rPr>
                <w:sz w:val="20"/>
                <w:szCs w:val="20"/>
              </w:rPr>
              <w:t xml:space="preserve"> </w:t>
            </w:r>
            <w:r w:rsidRPr="004F1D1A">
              <w:rPr>
                <w:sz w:val="20"/>
                <w:szCs w:val="20"/>
              </w:rPr>
              <w:t>9.</w:t>
            </w:r>
            <w:r>
              <w:rPr>
                <w:sz w:val="20"/>
                <w:szCs w:val="20"/>
              </w:rPr>
              <w:t xml:space="preserve"> </w:t>
            </w:r>
            <w:r w:rsidRPr="004F1D1A">
              <w:rPr>
                <w:sz w:val="20"/>
                <w:szCs w:val="20"/>
              </w:rPr>
              <w:t>2009</w:t>
            </w:r>
          </w:p>
        </w:tc>
        <w:tc>
          <w:tcPr>
            <w:tcW w:w="1246" w:type="dxa"/>
            <w:vAlign w:val="center"/>
          </w:tcPr>
          <w:p w14:paraId="71722E22" w14:textId="77777777" w:rsidR="00F21AE7" w:rsidRPr="00471477" w:rsidRDefault="00837A66" w:rsidP="00F21AE7">
            <w:pPr>
              <w:jc w:val="center"/>
              <w:rPr>
                <w:sz w:val="20"/>
                <w:szCs w:val="20"/>
              </w:rPr>
            </w:pPr>
            <w:r w:rsidRPr="004F1D1A">
              <w:rPr>
                <w:sz w:val="20"/>
                <w:szCs w:val="20"/>
              </w:rPr>
              <w:t>1.</w:t>
            </w:r>
            <w:r>
              <w:rPr>
                <w:sz w:val="20"/>
                <w:szCs w:val="20"/>
              </w:rPr>
              <w:t xml:space="preserve"> </w:t>
            </w:r>
            <w:r w:rsidRPr="004F1D1A">
              <w:rPr>
                <w:sz w:val="20"/>
                <w:szCs w:val="20"/>
              </w:rPr>
              <w:t>7.</w:t>
            </w:r>
            <w:r>
              <w:rPr>
                <w:sz w:val="20"/>
                <w:szCs w:val="20"/>
              </w:rPr>
              <w:t xml:space="preserve"> </w:t>
            </w:r>
            <w:r w:rsidRPr="004F1D1A">
              <w:rPr>
                <w:sz w:val="20"/>
                <w:szCs w:val="20"/>
              </w:rPr>
              <w:t>2014</w:t>
            </w:r>
          </w:p>
        </w:tc>
        <w:tc>
          <w:tcPr>
            <w:tcW w:w="1417" w:type="dxa"/>
            <w:vAlign w:val="center"/>
          </w:tcPr>
          <w:p w14:paraId="4460B3F4" w14:textId="77777777" w:rsidR="00F21AE7" w:rsidRPr="00471477" w:rsidRDefault="00837A66" w:rsidP="00F21AE7">
            <w:pPr>
              <w:jc w:val="center"/>
              <w:rPr>
                <w:sz w:val="20"/>
                <w:szCs w:val="20"/>
              </w:rPr>
            </w:pPr>
            <w:r>
              <w:rPr>
                <w:sz w:val="20"/>
                <w:szCs w:val="20"/>
              </w:rPr>
              <w:t>6</w:t>
            </w:r>
          </w:p>
        </w:tc>
        <w:tc>
          <w:tcPr>
            <w:tcW w:w="1417" w:type="dxa"/>
            <w:vAlign w:val="center"/>
          </w:tcPr>
          <w:p w14:paraId="4CE47D2B" w14:textId="77777777" w:rsidR="00F21AE7" w:rsidRPr="00471477" w:rsidRDefault="00837A66" w:rsidP="00F21AE7">
            <w:pPr>
              <w:jc w:val="center"/>
              <w:rPr>
                <w:sz w:val="20"/>
                <w:szCs w:val="20"/>
              </w:rPr>
            </w:pPr>
            <w:r>
              <w:rPr>
                <w:sz w:val="20"/>
                <w:szCs w:val="20"/>
              </w:rPr>
              <w:t>08/14 – 04/18</w:t>
            </w:r>
          </w:p>
        </w:tc>
        <w:tc>
          <w:tcPr>
            <w:tcW w:w="1587" w:type="dxa"/>
            <w:vAlign w:val="center"/>
          </w:tcPr>
          <w:p w14:paraId="74A2B92D"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1 341,501</w:t>
            </w:r>
          </w:p>
        </w:tc>
      </w:tr>
      <w:tr w:rsidR="00363F0A" w14:paraId="42FD522A" w14:textId="77777777" w:rsidTr="00F21AE7">
        <w:trPr>
          <w:jc w:val="center"/>
        </w:trPr>
        <w:tc>
          <w:tcPr>
            <w:tcW w:w="3855" w:type="dxa"/>
            <w:vAlign w:val="center"/>
          </w:tcPr>
          <w:p w14:paraId="1E2D6AB6" w14:textId="77777777" w:rsidR="00F21AE7" w:rsidRPr="00471477" w:rsidRDefault="00837A66" w:rsidP="00F21AE7">
            <w:pPr>
              <w:jc w:val="left"/>
              <w:rPr>
                <w:sz w:val="20"/>
                <w:szCs w:val="20"/>
              </w:rPr>
            </w:pPr>
            <w:r w:rsidRPr="00471477">
              <w:rPr>
                <w:sz w:val="20"/>
                <w:szCs w:val="20"/>
              </w:rPr>
              <w:t>I/11 Oldřichovice – Bystřice</w:t>
            </w:r>
          </w:p>
        </w:tc>
        <w:tc>
          <w:tcPr>
            <w:tcW w:w="1361" w:type="dxa"/>
            <w:vAlign w:val="center"/>
          </w:tcPr>
          <w:p w14:paraId="4F638E8D" w14:textId="77777777" w:rsidR="00F21AE7" w:rsidRPr="00471477" w:rsidRDefault="00837A66" w:rsidP="00F21AE7">
            <w:pPr>
              <w:jc w:val="center"/>
              <w:rPr>
                <w:sz w:val="20"/>
                <w:szCs w:val="20"/>
              </w:rPr>
            </w:pPr>
            <w:r w:rsidRPr="00FD5CA6">
              <w:rPr>
                <w:sz w:val="20"/>
                <w:szCs w:val="20"/>
              </w:rPr>
              <w:t>S 24,5/100</w:t>
            </w:r>
          </w:p>
        </w:tc>
        <w:tc>
          <w:tcPr>
            <w:tcW w:w="794" w:type="dxa"/>
            <w:vAlign w:val="center"/>
          </w:tcPr>
          <w:p w14:paraId="3960872C" w14:textId="77777777" w:rsidR="00F21AE7" w:rsidRPr="00471477" w:rsidRDefault="00837A66" w:rsidP="004B68C4">
            <w:pPr>
              <w:jc w:val="center"/>
              <w:rPr>
                <w:sz w:val="20"/>
                <w:szCs w:val="20"/>
              </w:rPr>
            </w:pPr>
            <w:r w:rsidRPr="00FD5CA6">
              <w:rPr>
                <w:sz w:val="20"/>
                <w:szCs w:val="20"/>
              </w:rPr>
              <w:t>6,2</w:t>
            </w:r>
          </w:p>
        </w:tc>
        <w:tc>
          <w:tcPr>
            <w:tcW w:w="1246" w:type="dxa"/>
            <w:vAlign w:val="center"/>
          </w:tcPr>
          <w:p w14:paraId="472E758E" w14:textId="77777777" w:rsidR="00F21AE7" w:rsidRPr="00471477" w:rsidRDefault="00837A66" w:rsidP="00F21AE7">
            <w:pPr>
              <w:jc w:val="center"/>
              <w:rPr>
                <w:sz w:val="20"/>
                <w:szCs w:val="20"/>
              </w:rPr>
            </w:pPr>
            <w:r w:rsidRPr="004F1D1A">
              <w:rPr>
                <w:sz w:val="20"/>
                <w:szCs w:val="20"/>
              </w:rPr>
              <w:t>29.</w:t>
            </w:r>
            <w:r>
              <w:rPr>
                <w:sz w:val="20"/>
                <w:szCs w:val="20"/>
              </w:rPr>
              <w:t xml:space="preserve"> </w:t>
            </w:r>
            <w:r w:rsidRPr="004F1D1A">
              <w:rPr>
                <w:sz w:val="20"/>
                <w:szCs w:val="20"/>
              </w:rPr>
              <w:t>2.</w:t>
            </w:r>
            <w:r>
              <w:rPr>
                <w:sz w:val="20"/>
                <w:szCs w:val="20"/>
              </w:rPr>
              <w:t xml:space="preserve"> </w:t>
            </w:r>
            <w:r w:rsidRPr="004F1D1A">
              <w:rPr>
                <w:sz w:val="20"/>
                <w:szCs w:val="20"/>
              </w:rPr>
              <w:t>2008</w:t>
            </w:r>
          </w:p>
        </w:tc>
        <w:tc>
          <w:tcPr>
            <w:tcW w:w="1246" w:type="dxa"/>
            <w:vAlign w:val="center"/>
          </w:tcPr>
          <w:p w14:paraId="5C60A8DE" w14:textId="77777777" w:rsidR="00F21AE7" w:rsidRPr="00471477" w:rsidRDefault="00837A66" w:rsidP="00F21AE7">
            <w:pPr>
              <w:jc w:val="center"/>
              <w:rPr>
                <w:sz w:val="20"/>
                <w:szCs w:val="20"/>
              </w:rPr>
            </w:pPr>
            <w:r w:rsidRPr="00FD5CA6">
              <w:rPr>
                <w:sz w:val="20"/>
                <w:szCs w:val="20"/>
              </w:rPr>
              <w:t>19.</w:t>
            </w:r>
            <w:r>
              <w:rPr>
                <w:sz w:val="20"/>
                <w:szCs w:val="20"/>
              </w:rPr>
              <w:t xml:space="preserve"> </w:t>
            </w:r>
            <w:r w:rsidRPr="00FD5CA6">
              <w:rPr>
                <w:sz w:val="20"/>
                <w:szCs w:val="20"/>
              </w:rPr>
              <w:t>12.</w:t>
            </w:r>
            <w:r>
              <w:rPr>
                <w:sz w:val="20"/>
                <w:szCs w:val="20"/>
              </w:rPr>
              <w:t xml:space="preserve"> </w:t>
            </w:r>
            <w:r w:rsidRPr="00FD5CA6">
              <w:rPr>
                <w:sz w:val="20"/>
                <w:szCs w:val="20"/>
              </w:rPr>
              <w:t>2009</w:t>
            </w:r>
          </w:p>
        </w:tc>
        <w:tc>
          <w:tcPr>
            <w:tcW w:w="1246" w:type="dxa"/>
            <w:vAlign w:val="center"/>
          </w:tcPr>
          <w:p w14:paraId="033B3627" w14:textId="77777777" w:rsidR="00F21AE7" w:rsidRPr="00471477" w:rsidRDefault="00837A66" w:rsidP="00F21AE7">
            <w:pPr>
              <w:jc w:val="center"/>
              <w:rPr>
                <w:sz w:val="20"/>
                <w:szCs w:val="20"/>
              </w:rPr>
            </w:pPr>
            <w:r w:rsidRPr="00FD5CA6">
              <w:rPr>
                <w:sz w:val="20"/>
                <w:szCs w:val="20"/>
              </w:rPr>
              <w:t>18.</w:t>
            </w:r>
            <w:r>
              <w:rPr>
                <w:sz w:val="20"/>
                <w:szCs w:val="20"/>
              </w:rPr>
              <w:t xml:space="preserve"> </w:t>
            </w:r>
            <w:r w:rsidRPr="00FD5CA6">
              <w:rPr>
                <w:sz w:val="20"/>
                <w:szCs w:val="20"/>
              </w:rPr>
              <w:t>9.</w:t>
            </w:r>
            <w:r>
              <w:rPr>
                <w:sz w:val="20"/>
                <w:szCs w:val="20"/>
              </w:rPr>
              <w:t xml:space="preserve"> </w:t>
            </w:r>
            <w:r w:rsidRPr="00FD5CA6">
              <w:rPr>
                <w:sz w:val="20"/>
                <w:szCs w:val="20"/>
              </w:rPr>
              <w:t>2013</w:t>
            </w:r>
          </w:p>
        </w:tc>
        <w:tc>
          <w:tcPr>
            <w:tcW w:w="1417" w:type="dxa"/>
            <w:vAlign w:val="center"/>
          </w:tcPr>
          <w:p w14:paraId="1199200E" w14:textId="77777777" w:rsidR="00F21AE7" w:rsidRPr="00471477" w:rsidRDefault="00837A66" w:rsidP="00F21AE7">
            <w:pPr>
              <w:jc w:val="center"/>
              <w:rPr>
                <w:sz w:val="20"/>
                <w:szCs w:val="20"/>
              </w:rPr>
            </w:pPr>
            <w:r>
              <w:rPr>
                <w:sz w:val="20"/>
                <w:szCs w:val="20"/>
              </w:rPr>
              <w:t>6</w:t>
            </w:r>
          </w:p>
        </w:tc>
        <w:tc>
          <w:tcPr>
            <w:tcW w:w="1417" w:type="dxa"/>
            <w:vAlign w:val="center"/>
          </w:tcPr>
          <w:p w14:paraId="3A6F812C" w14:textId="77777777" w:rsidR="00F21AE7" w:rsidRPr="00471477" w:rsidRDefault="00837A66" w:rsidP="00F21AE7">
            <w:pPr>
              <w:jc w:val="center"/>
              <w:rPr>
                <w:sz w:val="20"/>
                <w:szCs w:val="20"/>
              </w:rPr>
            </w:pPr>
            <w:r>
              <w:rPr>
                <w:sz w:val="20"/>
                <w:szCs w:val="20"/>
              </w:rPr>
              <w:t>08/14 – 05/18</w:t>
            </w:r>
          </w:p>
        </w:tc>
        <w:tc>
          <w:tcPr>
            <w:tcW w:w="1587" w:type="dxa"/>
            <w:vAlign w:val="center"/>
          </w:tcPr>
          <w:p w14:paraId="62BB356C"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1 960,445</w:t>
            </w:r>
          </w:p>
        </w:tc>
      </w:tr>
      <w:tr w:rsidR="00363F0A" w14:paraId="5DC8424B" w14:textId="77777777" w:rsidTr="00F21AE7">
        <w:trPr>
          <w:jc w:val="center"/>
        </w:trPr>
        <w:tc>
          <w:tcPr>
            <w:tcW w:w="3855" w:type="dxa"/>
            <w:vAlign w:val="center"/>
          </w:tcPr>
          <w:p w14:paraId="0B45FE9C" w14:textId="77777777" w:rsidR="00F21AE7" w:rsidRPr="00471477" w:rsidRDefault="00837A66" w:rsidP="00F21AE7">
            <w:pPr>
              <w:jc w:val="left"/>
              <w:rPr>
                <w:sz w:val="20"/>
                <w:szCs w:val="20"/>
              </w:rPr>
            </w:pPr>
            <w:r w:rsidRPr="00471477">
              <w:rPr>
                <w:sz w:val="20"/>
                <w:szCs w:val="20"/>
              </w:rPr>
              <w:t>I/37 Chrudim obchvat, úsek Medlešice –</w:t>
            </w:r>
            <w:r>
              <w:rPr>
                <w:sz w:val="20"/>
                <w:szCs w:val="20"/>
              </w:rPr>
              <w:t xml:space="preserve"> </w:t>
            </w:r>
            <w:r w:rsidRPr="00471477">
              <w:rPr>
                <w:sz w:val="20"/>
                <w:szCs w:val="20"/>
              </w:rPr>
              <w:t>I/17</w:t>
            </w:r>
          </w:p>
        </w:tc>
        <w:tc>
          <w:tcPr>
            <w:tcW w:w="1361" w:type="dxa"/>
            <w:vAlign w:val="center"/>
          </w:tcPr>
          <w:p w14:paraId="174568FC" w14:textId="77777777" w:rsidR="00F21AE7" w:rsidRPr="00471477" w:rsidRDefault="00837A66" w:rsidP="00F21AE7">
            <w:pPr>
              <w:jc w:val="center"/>
              <w:rPr>
                <w:sz w:val="20"/>
                <w:szCs w:val="20"/>
              </w:rPr>
            </w:pPr>
            <w:r w:rsidRPr="00475E1F">
              <w:rPr>
                <w:sz w:val="20"/>
                <w:szCs w:val="20"/>
              </w:rPr>
              <w:t>S 11,5/100</w:t>
            </w:r>
            <w:r>
              <w:rPr>
                <w:sz w:val="20"/>
                <w:szCs w:val="20"/>
              </w:rPr>
              <w:t>(80)</w:t>
            </w:r>
          </w:p>
        </w:tc>
        <w:tc>
          <w:tcPr>
            <w:tcW w:w="794" w:type="dxa"/>
            <w:vAlign w:val="center"/>
          </w:tcPr>
          <w:p w14:paraId="5CD95BDE" w14:textId="77777777" w:rsidR="00F21AE7" w:rsidRPr="00471477" w:rsidRDefault="00837A66" w:rsidP="004B68C4">
            <w:pPr>
              <w:jc w:val="center"/>
              <w:rPr>
                <w:sz w:val="20"/>
                <w:szCs w:val="20"/>
              </w:rPr>
            </w:pPr>
            <w:r w:rsidRPr="00475E1F">
              <w:rPr>
                <w:sz w:val="20"/>
                <w:szCs w:val="20"/>
              </w:rPr>
              <w:t>5</w:t>
            </w:r>
            <w:r>
              <w:rPr>
                <w:sz w:val="20"/>
                <w:szCs w:val="20"/>
              </w:rPr>
              <w:t>,</w:t>
            </w:r>
            <w:r w:rsidR="004B68C4">
              <w:rPr>
                <w:sz w:val="20"/>
                <w:szCs w:val="20"/>
              </w:rPr>
              <w:t>9</w:t>
            </w:r>
          </w:p>
        </w:tc>
        <w:tc>
          <w:tcPr>
            <w:tcW w:w="1246" w:type="dxa"/>
            <w:vAlign w:val="center"/>
          </w:tcPr>
          <w:p w14:paraId="19A64910" w14:textId="77777777" w:rsidR="00F21AE7" w:rsidRPr="00471477" w:rsidRDefault="00837A66" w:rsidP="00F21AE7">
            <w:pPr>
              <w:jc w:val="center"/>
              <w:rPr>
                <w:sz w:val="20"/>
                <w:szCs w:val="20"/>
              </w:rPr>
            </w:pPr>
            <w:r w:rsidRPr="00575D42">
              <w:rPr>
                <w:sz w:val="20"/>
                <w:szCs w:val="20"/>
              </w:rPr>
              <w:t>24.</w:t>
            </w:r>
            <w:r>
              <w:rPr>
                <w:sz w:val="20"/>
                <w:szCs w:val="20"/>
              </w:rPr>
              <w:t xml:space="preserve"> </w:t>
            </w:r>
            <w:r w:rsidRPr="00575D42">
              <w:rPr>
                <w:sz w:val="20"/>
                <w:szCs w:val="20"/>
              </w:rPr>
              <w:t>4.</w:t>
            </w:r>
            <w:r>
              <w:rPr>
                <w:sz w:val="20"/>
                <w:szCs w:val="20"/>
              </w:rPr>
              <w:t xml:space="preserve"> </w:t>
            </w:r>
            <w:r w:rsidRPr="00575D42">
              <w:rPr>
                <w:sz w:val="20"/>
                <w:szCs w:val="20"/>
              </w:rPr>
              <w:t>1996</w:t>
            </w:r>
          </w:p>
        </w:tc>
        <w:tc>
          <w:tcPr>
            <w:tcW w:w="1246" w:type="dxa"/>
            <w:vAlign w:val="center"/>
          </w:tcPr>
          <w:p w14:paraId="1B4DB67E" w14:textId="77777777" w:rsidR="00F21AE7" w:rsidRPr="00471477" w:rsidRDefault="00837A66" w:rsidP="00F21AE7">
            <w:pPr>
              <w:jc w:val="center"/>
              <w:rPr>
                <w:sz w:val="20"/>
                <w:szCs w:val="20"/>
              </w:rPr>
            </w:pPr>
            <w:r w:rsidRPr="00575D42">
              <w:rPr>
                <w:sz w:val="20"/>
                <w:szCs w:val="20"/>
              </w:rPr>
              <w:t>13.</w:t>
            </w:r>
            <w:r>
              <w:rPr>
                <w:sz w:val="20"/>
                <w:szCs w:val="20"/>
              </w:rPr>
              <w:t xml:space="preserve"> </w:t>
            </w:r>
            <w:r w:rsidRPr="00575D42">
              <w:rPr>
                <w:sz w:val="20"/>
                <w:szCs w:val="20"/>
              </w:rPr>
              <w:t>12.</w:t>
            </w:r>
            <w:r>
              <w:rPr>
                <w:sz w:val="20"/>
                <w:szCs w:val="20"/>
              </w:rPr>
              <w:t xml:space="preserve"> </w:t>
            </w:r>
            <w:r w:rsidRPr="00575D42">
              <w:rPr>
                <w:sz w:val="20"/>
                <w:szCs w:val="20"/>
              </w:rPr>
              <w:t>2005</w:t>
            </w:r>
          </w:p>
        </w:tc>
        <w:tc>
          <w:tcPr>
            <w:tcW w:w="1246" w:type="dxa"/>
            <w:vAlign w:val="center"/>
          </w:tcPr>
          <w:p w14:paraId="0F5EC4C9" w14:textId="77777777" w:rsidR="00F21AE7" w:rsidRPr="00471477" w:rsidRDefault="00837A66" w:rsidP="00F21AE7">
            <w:pPr>
              <w:jc w:val="center"/>
              <w:rPr>
                <w:sz w:val="20"/>
                <w:szCs w:val="20"/>
              </w:rPr>
            </w:pPr>
            <w:r w:rsidRPr="00475E1F">
              <w:rPr>
                <w:sz w:val="20"/>
                <w:szCs w:val="20"/>
              </w:rPr>
              <w:t>5.</w:t>
            </w:r>
            <w:r>
              <w:rPr>
                <w:sz w:val="20"/>
                <w:szCs w:val="20"/>
              </w:rPr>
              <w:t xml:space="preserve"> </w:t>
            </w:r>
            <w:r w:rsidRPr="00475E1F">
              <w:rPr>
                <w:sz w:val="20"/>
                <w:szCs w:val="20"/>
              </w:rPr>
              <w:t>12.</w:t>
            </w:r>
            <w:r>
              <w:rPr>
                <w:sz w:val="20"/>
                <w:szCs w:val="20"/>
              </w:rPr>
              <w:t xml:space="preserve"> </w:t>
            </w:r>
            <w:r w:rsidRPr="00475E1F">
              <w:rPr>
                <w:sz w:val="20"/>
                <w:szCs w:val="20"/>
              </w:rPr>
              <w:t>2014</w:t>
            </w:r>
          </w:p>
        </w:tc>
        <w:tc>
          <w:tcPr>
            <w:tcW w:w="1417" w:type="dxa"/>
            <w:vAlign w:val="center"/>
          </w:tcPr>
          <w:p w14:paraId="41B011A9" w14:textId="77777777" w:rsidR="00F21AE7" w:rsidRPr="00471477" w:rsidRDefault="00837A66" w:rsidP="00F21AE7">
            <w:pPr>
              <w:jc w:val="center"/>
              <w:rPr>
                <w:sz w:val="20"/>
                <w:szCs w:val="20"/>
              </w:rPr>
            </w:pPr>
            <w:r>
              <w:rPr>
                <w:sz w:val="20"/>
                <w:szCs w:val="20"/>
              </w:rPr>
              <w:t>19</w:t>
            </w:r>
          </w:p>
        </w:tc>
        <w:tc>
          <w:tcPr>
            <w:tcW w:w="1417" w:type="dxa"/>
            <w:vAlign w:val="center"/>
          </w:tcPr>
          <w:p w14:paraId="1AA2548B" w14:textId="77777777" w:rsidR="00F21AE7" w:rsidRPr="00471477" w:rsidRDefault="00837A66" w:rsidP="00F21AE7">
            <w:pPr>
              <w:jc w:val="center"/>
              <w:rPr>
                <w:sz w:val="20"/>
                <w:szCs w:val="20"/>
              </w:rPr>
            </w:pPr>
            <w:r>
              <w:rPr>
                <w:sz w:val="20"/>
                <w:szCs w:val="20"/>
              </w:rPr>
              <w:t>03/13 – 10/16</w:t>
            </w:r>
          </w:p>
        </w:tc>
        <w:tc>
          <w:tcPr>
            <w:tcW w:w="1587" w:type="dxa"/>
            <w:vAlign w:val="center"/>
          </w:tcPr>
          <w:p w14:paraId="60920B4C"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1 625,846</w:t>
            </w:r>
          </w:p>
        </w:tc>
      </w:tr>
      <w:tr w:rsidR="00363F0A" w14:paraId="70125D7B" w14:textId="77777777" w:rsidTr="00905314">
        <w:trPr>
          <w:jc w:val="center"/>
        </w:trPr>
        <w:tc>
          <w:tcPr>
            <w:tcW w:w="3855" w:type="dxa"/>
            <w:vAlign w:val="center"/>
          </w:tcPr>
          <w:p w14:paraId="66A40F5C" w14:textId="77777777" w:rsidR="00F21AE7" w:rsidRPr="00471477" w:rsidRDefault="00837A66" w:rsidP="00F21AE7">
            <w:pPr>
              <w:jc w:val="left"/>
              <w:rPr>
                <w:sz w:val="20"/>
                <w:szCs w:val="20"/>
              </w:rPr>
            </w:pPr>
            <w:r w:rsidRPr="00471477">
              <w:rPr>
                <w:sz w:val="20"/>
                <w:szCs w:val="20"/>
              </w:rPr>
              <w:t>I/37 Pardubice – Trojice, II. etapa</w:t>
            </w:r>
          </w:p>
        </w:tc>
        <w:tc>
          <w:tcPr>
            <w:tcW w:w="1361" w:type="dxa"/>
            <w:tcBorders>
              <w:bottom w:val="single" w:sz="4" w:space="0" w:color="auto"/>
            </w:tcBorders>
            <w:vAlign w:val="center"/>
          </w:tcPr>
          <w:p w14:paraId="3EEE2DA4" w14:textId="77777777" w:rsidR="00F21AE7" w:rsidRPr="00471477" w:rsidRDefault="00837A66" w:rsidP="00F21AE7">
            <w:pPr>
              <w:jc w:val="center"/>
              <w:rPr>
                <w:sz w:val="20"/>
                <w:szCs w:val="20"/>
              </w:rPr>
            </w:pPr>
            <w:r w:rsidRPr="00F53276">
              <w:rPr>
                <w:sz w:val="20"/>
                <w:szCs w:val="20"/>
              </w:rPr>
              <w:t>S</w:t>
            </w:r>
            <w:r>
              <w:rPr>
                <w:sz w:val="20"/>
                <w:szCs w:val="20"/>
              </w:rPr>
              <w:t> </w:t>
            </w:r>
            <w:r w:rsidRPr="00F53276">
              <w:rPr>
                <w:sz w:val="20"/>
                <w:szCs w:val="20"/>
              </w:rPr>
              <w:t>24,5/70</w:t>
            </w:r>
          </w:p>
        </w:tc>
        <w:tc>
          <w:tcPr>
            <w:tcW w:w="794" w:type="dxa"/>
            <w:tcBorders>
              <w:bottom w:val="single" w:sz="4" w:space="0" w:color="auto"/>
            </w:tcBorders>
            <w:vAlign w:val="center"/>
          </w:tcPr>
          <w:p w14:paraId="5259B1A9" w14:textId="77777777" w:rsidR="00F21AE7" w:rsidRPr="00471477" w:rsidRDefault="00837A66" w:rsidP="004B68C4">
            <w:pPr>
              <w:jc w:val="center"/>
              <w:rPr>
                <w:sz w:val="20"/>
                <w:szCs w:val="20"/>
              </w:rPr>
            </w:pPr>
            <w:r>
              <w:rPr>
                <w:sz w:val="20"/>
                <w:szCs w:val="20"/>
              </w:rPr>
              <w:t>1,0</w:t>
            </w:r>
          </w:p>
        </w:tc>
        <w:tc>
          <w:tcPr>
            <w:tcW w:w="1246" w:type="dxa"/>
            <w:tcBorders>
              <w:bottom w:val="single" w:sz="4" w:space="0" w:color="auto"/>
            </w:tcBorders>
            <w:vAlign w:val="center"/>
          </w:tcPr>
          <w:p w14:paraId="56018C5D" w14:textId="77777777" w:rsidR="00F21AE7" w:rsidRPr="00471477" w:rsidRDefault="00837A66" w:rsidP="00F21AE7">
            <w:pPr>
              <w:jc w:val="center"/>
              <w:rPr>
                <w:sz w:val="20"/>
                <w:szCs w:val="20"/>
              </w:rPr>
            </w:pPr>
            <w:r w:rsidRPr="00086E06">
              <w:rPr>
                <w:sz w:val="20"/>
                <w:szCs w:val="20"/>
              </w:rPr>
              <w:t>6.</w:t>
            </w:r>
            <w:r>
              <w:rPr>
                <w:sz w:val="20"/>
                <w:szCs w:val="20"/>
              </w:rPr>
              <w:t xml:space="preserve"> </w:t>
            </w:r>
            <w:r w:rsidRPr="00086E06">
              <w:rPr>
                <w:sz w:val="20"/>
                <w:szCs w:val="20"/>
              </w:rPr>
              <w:t>5.</w:t>
            </w:r>
            <w:r>
              <w:rPr>
                <w:sz w:val="20"/>
                <w:szCs w:val="20"/>
              </w:rPr>
              <w:t xml:space="preserve"> </w:t>
            </w:r>
            <w:r w:rsidRPr="00086E06">
              <w:rPr>
                <w:sz w:val="20"/>
                <w:szCs w:val="20"/>
              </w:rPr>
              <w:t>2004</w:t>
            </w:r>
          </w:p>
        </w:tc>
        <w:tc>
          <w:tcPr>
            <w:tcW w:w="1246" w:type="dxa"/>
            <w:tcBorders>
              <w:bottom w:val="single" w:sz="4" w:space="0" w:color="auto"/>
            </w:tcBorders>
            <w:vAlign w:val="center"/>
          </w:tcPr>
          <w:p w14:paraId="1472C22D" w14:textId="77777777" w:rsidR="00F21AE7" w:rsidRPr="00471477" w:rsidRDefault="00837A66" w:rsidP="00F21AE7">
            <w:pPr>
              <w:jc w:val="center"/>
              <w:rPr>
                <w:sz w:val="20"/>
                <w:szCs w:val="20"/>
              </w:rPr>
            </w:pPr>
            <w:r w:rsidRPr="00086E06">
              <w:rPr>
                <w:sz w:val="20"/>
                <w:szCs w:val="20"/>
              </w:rPr>
              <w:t>9.</w:t>
            </w:r>
            <w:r>
              <w:rPr>
                <w:sz w:val="20"/>
                <w:szCs w:val="20"/>
              </w:rPr>
              <w:t xml:space="preserve"> </w:t>
            </w:r>
            <w:r w:rsidRPr="00086E06">
              <w:rPr>
                <w:sz w:val="20"/>
                <w:szCs w:val="20"/>
              </w:rPr>
              <w:t>12.</w:t>
            </w:r>
            <w:r>
              <w:rPr>
                <w:sz w:val="20"/>
                <w:szCs w:val="20"/>
              </w:rPr>
              <w:t xml:space="preserve"> </w:t>
            </w:r>
            <w:r w:rsidRPr="00086E06">
              <w:rPr>
                <w:sz w:val="20"/>
                <w:szCs w:val="20"/>
              </w:rPr>
              <w:t>2006</w:t>
            </w:r>
          </w:p>
        </w:tc>
        <w:tc>
          <w:tcPr>
            <w:tcW w:w="1246" w:type="dxa"/>
            <w:tcBorders>
              <w:bottom w:val="single" w:sz="4" w:space="0" w:color="auto"/>
            </w:tcBorders>
            <w:vAlign w:val="center"/>
          </w:tcPr>
          <w:p w14:paraId="118FEB87" w14:textId="77777777" w:rsidR="00F21AE7" w:rsidRPr="00471477" w:rsidRDefault="00837A66" w:rsidP="00F21AE7">
            <w:pPr>
              <w:jc w:val="center"/>
              <w:rPr>
                <w:sz w:val="20"/>
                <w:szCs w:val="20"/>
              </w:rPr>
            </w:pPr>
            <w:r w:rsidRPr="00086E06">
              <w:rPr>
                <w:sz w:val="20"/>
                <w:szCs w:val="20"/>
              </w:rPr>
              <w:t>31.</w:t>
            </w:r>
            <w:r>
              <w:rPr>
                <w:sz w:val="20"/>
                <w:szCs w:val="20"/>
              </w:rPr>
              <w:t xml:space="preserve"> </w:t>
            </w:r>
            <w:r w:rsidRPr="00086E06">
              <w:rPr>
                <w:sz w:val="20"/>
                <w:szCs w:val="20"/>
              </w:rPr>
              <w:t>10.</w:t>
            </w:r>
            <w:r>
              <w:rPr>
                <w:sz w:val="20"/>
                <w:szCs w:val="20"/>
              </w:rPr>
              <w:t xml:space="preserve"> </w:t>
            </w:r>
            <w:r w:rsidRPr="00086E06">
              <w:rPr>
                <w:sz w:val="20"/>
                <w:szCs w:val="20"/>
              </w:rPr>
              <w:t>2009</w:t>
            </w:r>
          </w:p>
        </w:tc>
        <w:tc>
          <w:tcPr>
            <w:tcW w:w="1417" w:type="dxa"/>
            <w:tcBorders>
              <w:bottom w:val="single" w:sz="4" w:space="0" w:color="auto"/>
            </w:tcBorders>
            <w:vAlign w:val="center"/>
          </w:tcPr>
          <w:p w14:paraId="594B4FD7" w14:textId="77777777" w:rsidR="00F21AE7" w:rsidRPr="00471477" w:rsidRDefault="00837A66" w:rsidP="00F21AE7">
            <w:pPr>
              <w:jc w:val="center"/>
              <w:rPr>
                <w:sz w:val="20"/>
                <w:szCs w:val="20"/>
              </w:rPr>
            </w:pPr>
            <w:r>
              <w:rPr>
                <w:sz w:val="20"/>
                <w:szCs w:val="20"/>
              </w:rPr>
              <w:t>6</w:t>
            </w:r>
          </w:p>
        </w:tc>
        <w:tc>
          <w:tcPr>
            <w:tcW w:w="1417" w:type="dxa"/>
            <w:tcBorders>
              <w:bottom w:val="single" w:sz="4" w:space="0" w:color="auto"/>
            </w:tcBorders>
            <w:vAlign w:val="center"/>
          </w:tcPr>
          <w:p w14:paraId="3942D4FB" w14:textId="77777777" w:rsidR="00F21AE7" w:rsidRPr="00471477" w:rsidRDefault="00837A66" w:rsidP="00F21AE7">
            <w:pPr>
              <w:jc w:val="center"/>
              <w:rPr>
                <w:sz w:val="20"/>
                <w:szCs w:val="20"/>
              </w:rPr>
            </w:pPr>
            <w:r>
              <w:rPr>
                <w:sz w:val="20"/>
                <w:szCs w:val="20"/>
              </w:rPr>
              <w:t>03/15 – 12/17</w:t>
            </w:r>
          </w:p>
        </w:tc>
        <w:tc>
          <w:tcPr>
            <w:tcW w:w="1587" w:type="dxa"/>
            <w:vAlign w:val="center"/>
          </w:tcPr>
          <w:p w14:paraId="53F16DE9" w14:textId="77777777" w:rsidR="00F21AE7" w:rsidRPr="008629B9" w:rsidRDefault="00837A66" w:rsidP="00F21AE7">
            <w:pPr>
              <w:ind w:right="113"/>
              <w:jc w:val="right"/>
              <w:rPr>
                <w:rFonts w:asciiTheme="minorHAnsi" w:hAnsiTheme="minorHAnsi" w:cstheme="minorHAnsi"/>
                <w:sz w:val="20"/>
                <w:szCs w:val="20"/>
              </w:rPr>
            </w:pPr>
            <w:r w:rsidRPr="008629B9">
              <w:rPr>
                <w:rFonts w:asciiTheme="minorHAnsi" w:hAnsiTheme="minorHAnsi" w:cstheme="minorHAnsi"/>
                <w:sz w:val="20"/>
                <w:szCs w:val="20"/>
              </w:rPr>
              <w:t>507,741</w:t>
            </w:r>
          </w:p>
        </w:tc>
      </w:tr>
      <w:tr w:rsidR="00363F0A" w14:paraId="75CEF612" w14:textId="77777777" w:rsidTr="00905314">
        <w:trPr>
          <w:jc w:val="center"/>
        </w:trPr>
        <w:tc>
          <w:tcPr>
            <w:tcW w:w="3855" w:type="dxa"/>
            <w:vAlign w:val="center"/>
          </w:tcPr>
          <w:p w14:paraId="0B992FB9" w14:textId="77777777" w:rsidR="00F21AE7" w:rsidRPr="007462CF" w:rsidRDefault="00837A66" w:rsidP="00F21AE7">
            <w:pPr>
              <w:jc w:val="left"/>
              <w:rPr>
                <w:b/>
                <w:sz w:val="20"/>
                <w:szCs w:val="20"/>
              </w:rPr>
            </w:pPr>
            <w:r w:rsidRPr="007462CF">
              <w:rPr>
                <w:b/>
                <w:sz w:val="20"/>
                <w:szCs w:val="20"/>
              </w:rPr>
              <w:t>Celkem</w:t>
            </w:r>
          </w:p>
        </w:tc>
        <w:tc>
          <w:tcPr>
            <w:tcW w:w="1361" w:type="dxa"/>
            <w:tcBorders>
              <w:right w:val="nil"/>
            </w:tcBorders>
            <w:vAlign w:val="center"/>
          </w:tcPr>
          <w:p w14:paraId="0EC87F63" w14:textId="77777777" w:rsidR="00F21AE7" w:rsidRPr="00471477" w:rsidRDefault="00F21AE7" w:rsidP="00F21AE7">
            <w:pPr>
              <w:jc w:val="center"/>
              <w:rPr>
                <w:sz w:val="20"/>
                <w:szCs w:val="20"/>
              </w:rPr>
            </w:pPr>
          </w:p>
        </w:tc>
        <w:tc>
          <w:tcPr>
            <w:tcW w:w="794" w:type="dxa"/>
            <w:tcBorders>
              <w:left w:val="nil"/>
              <w:right w:val="nil"/>
            </w:tcBorders>
            <w:vAlign w:val="center"/>
          </w:tcPr>
          <w:p w14:paraId="3CCBAEC4" w14:textId="77777777" w:rsidR="00F21AE7" w:rsidRPr="00471477" w:rsidRDefault="00F21AE7" w:rsidP="00F21AE7">
            <w:pPr>
              <w:jc w:val="center"/>
              <w:rPr>
                <w:sz w:val="20"/>
                <w:szCs w:val="20"/>
              </w:rPr>
            </w:pPr>
          </w:p>
        </w:tc>
        <w:tc>
          <w:tcPr>
            <w:tcW w:w="1246" w:type="dxa"/>
            <w:tcBorders>
              <w:left w:val="nil"/>
              <w:right w:val="nil"/>
            </w:tcBorders>
            <w:vAlign w:val="center"/>
          </w:tcPr>
          <w:p w14:paraId="6CFC58B6" w14:textId="77777777" w:rsidR="00F21AE7" w:rsidRPr="00471477" w:rsidRDefault="00F21AE7" w:rsidP="00F21AE7">
            <w:pPr>
              <w:jc w:val="center"/>
              <w:rPr>
                <w:sz w:val="20"/>
                <w:szCs w:val="20"/>
              </w:rPr>
            </w:pPr>
          </w:p>
        </w:tc>
        <w:tc>
          <w:tcPr>
            <w:tcW w:w="1246" w:type="dxa"/>
            <w:tcBorders>
              <w:left w:val="nil"/>
              <w:right w:val="nil"/>
            </w:tcBorders>
            <w:vAlign w:val="center"/>
          </w:tcPr>
          <w:p w14:paraId="27E43135" w14:textId="77777777" w:rsidR="00F21AE7" w:rsidRPr="00471477" w:rsidRDefault="00F21AE7" w:rsidP="00F21AE7">
            <w:pPr>
              <w:jc w:val="center"/>
              <w:rPr>
                <w:sz w:val="20"/>
                <w:szCs w:val="20"/>
              </w:rPr>
            </w:pPr>
          </w:p>
        </w:tc>
        <w:tc>
          <w:tcPr>
            <w:tcW w:w="1246" w:type="dxa"/>
            <w:tcBorders>
              <w:left w:val="nil"/>
              <w:right w:val="nil"/>
            </w:tcBorders>
            <w:vAlign w:val="center"/>
          </w:tcPr>
          <w:p w14:paraId="78409817" w14:textId="77777777" w:rsidR="00F21AE7" w:rsidRPr="00471477" w:rsidRDefault="00F21AE7" w:rsidP="00F21AE7">
            <w:pPr>
              <w:jc w:val="center"/>
              <w:rPr>
                <w:sz w:val="20"/>
                <w:szCs w:val="20"/>
              </w:rPr>
            </w:pPr>
          </w:p>
        </w:tc>
        <w:tc>
          <w:tcPr>
            <w:tcW w:w="1417" w:type="dxa"/>
            <w:tcBorders>
              <w:left w:val="nil"/>
              <w:right w:val="nil"/>
            </w:tcBorders>
            <w:vAlign w:val="center"/>
          </w:tcPr>
          <w:p w14:paraId="6117A264" w14:textId="77777777" w:rsidR="00F21AE7" w:rsidRPr="00471477" w:rsidRDefault="00F21AE7" w:rsidP="00F21AE7">
            <w:pPr>
              <w:jc w:val="center"/>
              <w:rPr>
                <w:sz w:val="20"/>
                <w:szCs w:val="20"/>
              </w:rPr>
            </w:pPr>
          </w:p>
        </w:tc>
        <w:tc>
          <w:tcPr>
            <w:tcW w:w="1417" w:type="dxa"/>
            <w:tcBorders>
              <w:left w:val="nil"/>
            </w:tcBorders>
            <w:vAlign w:val="center"/>
          </w:tcPr>
          <w:p w14:paraId="62BDAFDE" w14:textId="77777777" w:rsidR="00F21AE7" w:rsidRPr="00471477" w:rsidRDefault="00F21AE7" w:rsidP="00F21AE7">
            <w:pPr>
              <w:jc w:val="center"/>
              <w:rPr>
                <w:sz w:val="20"/>
                <w:szCs w:val="20"/>
              </w:rPr>
            </w:pPr>
          </w:p>
        </w:tc>
        <w:tc>
          <w:tcPr>
            <w:tcW w:w="1587" w:type="dxa"/>
          </w:tcPr>
          <w:p w14:paraId="2210B3D0" w14:textId="77777777" w:rsidR="00F21AE7" w:rsidRPr="00E161EC" w:rsidRDefault="00837A66" w:rsidP="00F21AE7">
            <w:pPr>
              <w:ind w:right="113"/>
              <w:jc w:val="right"/>
              <w:rPr>
                <w:b/>
                <w:sz w:val="20"/>
                <w:szCs w:val="20"/>
              </w:rPr>
            </w:pPr>
            <w:r w:rsidRPr="00E161EC">
              <w:rPr>
                <w:b/>
                <w:sz w:val="20"/>
                <w:szCs w:val="20"/>
              </w:rPr>
              <w:t>8 251,780</w:t>
            </w:r>
          </w:p>
        </w:tc>
      </w:tr>
    </w:tbl>
    <w:p w14:paraId="1FC303A2" w14:textId="77777777" w:rsidR="00F21AE7" w:rsidRPr="00C51CC6" w:rsidRDefault="00837A66" w:rsidP="00055A5E">
      <w:pPr>
        <w:ind w:left="567" w:hanging="567"/>
        <w:rPr>
          <w:sz w:val="20"/>
        </w:rPr>
      </w:pPr>
      <w:r w:rsidRPr="00C51CC6">
        <w:rPr>
          <w:b/>
          <w:sz w:val="20"/>
        </w:rPr>
        <w:t>Zdroj:</w:t>
      </w:r>
      <w:r w:rsidRPr="00C51CC6">
        <w:rPr>
          <w:sz w:val="20"/>
        </w:rPr>
        <w:t xml:space="preserve"> </w:t>
      </w:r>
      <w:r>
        <w:rPr>
          <w:sz w:val="20"/>
        </w:rPr>
        <w:tab/>
      </w:r>
      <w:r w:rsidRPr="00C51CC6">
        <w:rPr>
          <w:sz w:val="20"/>
        </w:rPr>
        <w:t>podklady ŘSD</w:t>
      </w:r>
      <w:r w:rsidR="003C093A">
        <w:rPr>
          <w:sz w:val="20"/>
        </w:rPr>
        <w:t>.</w:t>
      </w:r>
    </w:p>
    <w:p w14:paraId="176F1155" w14:textId="77777777" w:rsidR="00632E55" w:rsidRDefault="00837A66" w:rsidP="00F21AE7">
      <w:pPr>
        <w:ind w:left="993" w:hanging="993"/>
        <w:rPr>
          <w:sz w:val="20"/>
          <w:szCs w:val="20"/>
        </w:rPr>
      </w:pPr>
      <w:r w:rsidRPr="00C51CC6">
        <w:rPr>
          <w:b/>
          <w:sz w:val="20"/>
          <w:szCs w:val="20"/>
        </w:rPr>
        <w:t>Poznámky:</w:t>
      </w:r>
      <w:r w:rsidRPr="00C51CC6">
        <w:rPr>
          <w:sz w:val="20"/>
          <w:szCs w:val="20"/>
        </w:rPr>
        <w:tab/>
      </w:r>
      <w:r w:rsidR="00632E55" w:rsidRPr="00632E55">
        <w:rPr>
          <w:b/>
          <w:sz w:val="20"/>
          <w:szCs w:val="20"/>
          <w:vertAlign w:val="superscript"/>
        </w:rPr>
        <w:t>1)</w:t>
      </w:r>
      <w:r w:rsidR="00632E55">
        <w:rPr>
          <w:sz w:val="20"/>
          <w:szCs w:val="20"/>
        </w:rPr>
        <w:t xml:space="preserve"> </w:t>
      </w:r>
      <w:r w:rsidR="009939CB">
        <w:rPr>
          <w:sz w:val="20"/>
          <w:szCs w:val="20"/>
        </w:rPr>
        <w:t>K</w:t>
      </w:r>
      <w:r w:rsidR="00632E55" w:rsidRPr="00632E55">
        <w:rPr>
          <w:sz w:val="20"/>
          <w:szCs w:val="20"/>
        </w:rPr>
        <w:t xml:space="preserve">ategorie vyjadřuje šířku a návrhovou rychlost </w:t>
      </w:r>
      <w:r w:rsidR="00632E55">
        <w:rPr>
          <w:sz w:val="20"/>
          <w:szCs w:val="20"/>
        </w:rPr>
        <w:t>silnice I. třídy</w:t>
      </w:r>
      <w:r w:rsidR="00632E55" w:rsidRPr="00632E55">
        <w:rPr>
          <w:sz w:val="20"/>
          <w:szCs w:val="20"/>
        </w:rPr>
        <w:t>.</w:t>
      </w:r>
    </w:p>
    <w:p w14:paraId="1AF89531" w14:textId="77777777" w:rsidR="00F21AE7" w:rsidRDefault="00632E55" w:rsidP="00F21AE7">
      <w:pPr>
        <w:ind w:left="993" w:hanging="993"/>
        <w:rPr>
          <w:sz w:val="20"/>
          <w:szCs w:val="20"/>
        </w:rPr>
      </w:pPr>
      <w:r>
        <w:rPr>
          <w:sz w:val="20"/>
          <w:szCs w:val="20"/>
        </w:rPr>
        <w:tab/>
      </w:r>
      <w:r>
        <w:rPr>
          <w:b/>
          <w:sz w:val="20"/>
          <w:szCs w:val="20"/>
          <w:vertAlign w:val="superscript"/>
        </w:rPr>
        <w:t>2</w:t>
      </w:r>
      <w:r w:rsidR="00837A66" w:rsidRPr="00C51CC6">
        <w:rPr>
          <w:b/>
          <w:sz w:val="20"/>
          <w:szCs w:val="20"/>
          <w:vertAlign w:val="superscript"/>
        </w:rPr>
        <w:t>)</w:t>
      </w:r>
      <w:r w:rsidR="00837A66">
        <w:rPr>
          <w:sz w:val="20"/>
          <w:szCs w:val="20"/>
        </w:rPr>
        <w:t xml:space="preserve"> </w:t>
      </w:r>
      <w:r w:rsidR="00837A66" w:rsidRPr="00C51CC6">
        <w:rPr>
          <w:sz w:val="20"/>
          <w:szCs w:val="20"/>
        </w:rPr>
        <w:t xml:space="preserve">Datum </w:t>
      </w:r>
      <w:r w:rsidR="00837A66">
        <w:rPr>
          <w:sz w:val="20"/>
          <w:szCs w:val="20"/>
        </w:rPr>
        <w:t xml:space="preserve">vydání souhlasného </w:t>
      </w:r>
      <w:r w:rsidR="00F673EC" w:rsidRPr="00F673EC">
        <w:rPr>
          <w:sz w:val="20"/>
          <w:szCs w:val="20"/>
        </w:rPr>
        <w:t>závazné</w:t>
      </w:r>
      <w:r w:rsidR="00F673EC">
        <w:rPr>
          <w:sz w:val="20"/>
          <w:szCs w:val="20"/>
        </w:rPr>
        <w:t xml:space="preserve">ho </w:t>
      </w:r>
      <w:r w:rsidR="00837A66" w:rsidRPr="00C51CC6">
        <w:rPr>
          <w:sz w:val="20"/>
          <w:szCs w:val="20"/>
        </w:rPr>
        <w:t>stanoviska EIA, resp. datum ukončení zjišťovacího řízení u staveb, jejichž záměr nepodléh</w:t>
      </w:r>
      <w:r w:rsidR="00837A66">
        <w:rPr>
          <w:sz w:val="20"/>
          <w:szCs w:val="20"/>
        </w:rPr>
        <w:t>al</w:t>
      </w:r>
      <w:r w:rsidR="00837A66" w:rsidRPr="00C51CC6">
        <w:rPr>
          <w:sz w:val="20"/>
          <w:szCs w:val="20"/>
        </w:rPr>
        <w:t xml:space="preserve"> procesu EIA</w:t>
      </w:r>
      <w:r w:rsidR="003C093A">
        <w:rPr>
          <w:sz w:val="20"/>
          <w:szCs w:val="20"/>
        </w:rPr>
        <w:t>.</w:t>
      </w:r>
    </w:p>
    <w:p w14:paraId="4D802BD4" w14:textId="6DAB61B6" w:rsidR="00F21AE7" w:rsidRDefault="00632E55" w:rsidP="00F21AE7">
      <w:pPr>
        <w:ind w:left="993"/>
        <w:rPr>
          <w:sz w:val="20"/>
          <w:szCs w:val="20"/>
        </w:rPr>
      </w:pPr>
      <w:r>
        <w:rPr>
          <w:b/>
          <w:sz w:val="20"/>
          <w:szCs w:val="20"/>
          <w:vertAlign w:val="superscript"/>
        </w:rPr>
        <w:t>3</w:t>
      </w:r>
      <w:r w:rsidR="00837A66" w:rsidRPr="00F24269">
        <w:rPr>
          <w:b/>
          <w:sz w:val="20"/>
          <w:szCs w:val="20"/>
          <w:vertAlign w:val="superscript"/>
        </w:rPr>
        <w:t>)</w:t>
      </w:r>
      <w:r w:rsidR="00837A66">
        <w:rPr>
          <w:sz w:val="20"/>
          <w:szCs w:val="20"/>
        </w:rPr>
        <w:t xml:space="preserve"> Datum nabytí právní moci územního rozhodnutí (stavební objekty na hlavní trase silnice)</w:t>
      </w:r>
      <w:r w:rsidR="003C093A">
        <w:rPr>
          <w:sz w:val="20"/>
          <w:szCs w:val="20"/>
        </w:rPr>
        <w:t>.</w:t>
      </w:r>
    </w:p>
    <w:p w14:paraId="491E323E" w14:textId="7FFBD9E3" w:rsidR="00F21AE7" w:rsidRDefault="00632E55" w:rsidP="00F21AE7">
      <w:pPr>
        <w:ind w:left="993"/>
        <w:rPr>
          <w:sz w:val="20"/>
          <w:szCs w:val="20"/>
        </w:rPr>
      </w:pPr>
      <w:r>
        <w:rPr>
          <w:b/>
          <w:sz w:val="20"/>
          <w:szCs w:val="20"/>
          <w:vertAlign w:val="superscript"/>
        </w:rPr>
        <w:t>4</w:t>
      </w:r>
      <w:r w:rsidR="00837A66" w:rsidRPr="00F24269">
        <w:rPr>
          <w:b/>
          <w:sz w:val="20"/>
          <w:szCs w:val="20"/>
          <w:vertAlign w:val="superscript"/>
        </w:rPr>
        <w:t>)</w:t>
      </w:r>
      <w:r w:rsidR="00837A66">
        <w:rPr>
          <w:sz w:val="20"/>
          <w:szCs w:val="20"/>
        </w:rPr>
        <w:t xml:space="preserve"> Datum nabytí právní moci stavebního povolení (stavební objekty na hlavní trase silnice)</w:t>
      </w:r>
      <w:r w:rsidR="00055A5E">
        <w:rPr>
          <w:sz w:val="20"/>
          <w:szCs w:val="20"/>
        </w:rPr>
        <w:t>.</w:t>
      </w:r>
    </w:p>
    <w:p w14:paraId="267A4047" w14:textId="77777777" w:rsidR="00F21AE7" w:rsidRDefault="00632E55" w:rsidP="00F21AE7">
      <w:pPr>
        <w:ind w:left="993"/>
        <w:rPr>
          <w:sz w:val="20"/>
          <w:szCs w:val="20"/>
        </w:rPr>
      </w:pPr>
      <w:r>
        <w:rPr>
          <w:b/>
          <w:sz w:val="20"/>
          <w:szCs w:val="20"/>
          <w:vertAlign w:val="superscript"/>
        </w:rPr>
        <w:t>5</w:t>
      </w:r>
      <w:r w:rsidR="00837A66" w:rsidRPr="00F24269">
        <w:rPr>
          <w:b/>
          <w:sz w:val="20"/>
          <w:szCs w:val="20"/>
          <w:vertAlign w:val="superscript"/>
        </w:rPr>
        <w:t>)</w:t>
      </w:r>
      <w:r w:rsidR="00837A66">
        <w:rPr>
          <w:sz w:val="20"/>
          <w:szCs w:val="20"/>
        </w:rPr>
        <w:t xml:space="preserve"> Délka doby trvání přípravy stavby od vydání souhlasného </w:t>
      </w:r>
      <w:r w:rsidR="00F673EC" w:rsidRPr="00F673EC">
        <w:rPr>
          <w:sz w:val="20"/>
          <w:szCs w:val="20"/>
        </w:rPr>
        <w:t>závazné</w:t>
      </w:r>
      <w:r w:rsidR="00F673EC">
        <w:rPr>
          <w:sz w:val="20"/>
          <w:szCs w:val="20"/>
        </w:rPr>
        <w:t xml:space="preserve">ho </w:t>
      </w:r>
      <w:r w:rsidR="00837A66">
        <w:rPr>
          <w:sz w:val="20"/>
          <w:szCs w:val="20"/>
        </w:rPr>
        <w:t>stanoviska EIA do nabytí právní moci stavebního povolení</w:t>
      </w:r>
      <w:r w:rsidR="003C093A">
        <w:rPr>
          <w:sz w:val="20"/>
          <w:szCs w:val="20"/>
        </w:rPr>
        <w:t>.</w:t>
      </w:r>
    </w:p>
    <w:p w14:paraId="3B00AFC5" w14:textId="77777777" w:rsidR="00F21AE7" w:rsidRDefault="00632E55" w:rsidP="00F21AE7">
      <w:pPr>
        <w:ind w:left="993"/>
        <w:rPr>
          <w:sz w:val="20"/>
          <w:szCs w:val="20"/>
        </w:rPr>
      </w:pPr>
      <w:r>
        <w:rPr>
          <w:b/>
          <w:sz w:val="20"/>
          <w:szCs w:val="20"/>
          <w:vertAlign w:val="superscript"/>
        </w:rPr>
        <w:t>6</w:t>
      </w:r>
      <w:r w:rsidR="00837A66">
        <w:rPr>
          <w:b/>
          <w:sz w:val="20"/>
          <w:szCs w:val="20"/>
          <w:vertAlign w:val="superscript"/>
        </w:rPr>
        <w:t>)</w:t>
      </w:r>
      <w:r w:rsidR="00837A66">
        <w:rPr>
          <w:sz w:val="20"/>
          <w:szCs w:val="20"/>
        </w:rPr>
        <w:t xml:space="preserve"> Termín realizace od zahájení do dokončení stavby, termín dokončení v roce 2019 a později značí předpoklad</w:t>
      </w:r>
      <w:r w:rsidR="003C093A">
        <w:rPr>
          <w:sz w:val="20"/>
          <w:szCs w:val="20"/>
        </w:rPr>
        <w:t>.</w:t>
      </w:r>
    </w:p>
    <w:p w14:paraId="2463F973" w14:textId="77777777" w:rsidR="00F21AE7" w:rsidRPr="0051539F" w:rsidRDefault="00632E55" w:rsidP="002A3A3E">
      <w:pPr>
        <w:ind w:left="1134" w:hanging="141"/>
        <w:rPr>
          <w:sz w:val="20"/>
          <w:szCs w:val="20"/>
        </w:rPr>
      </w:pPr>
      <w:r>
        <w:rPr>
          <w:b/>
          <w:sz w:val="20"/>
          <w:szCs w:val="20"/>
          <w:vertAlign w:val="superscript"/>
        </w:rPr>
        <w:t>7</w:t>
      </w:r>
      <w:r w:rsidR="00837A66">
        <w:rPr>
          <w:b/>
          <w:sz w:val="20"/>
          <w:szCs w:val="20"/>
          <w:vertAlign w:val="superscript"/>
        </w:rPr>
        <w:t>)</w:t>
      </w:r>
      <w:r w:rsidR="00837A66">
        <w:rPr>
          <w:b/>
          <w:sz w:val="20"/>
          <w:szCs w:val="20"/>
        </w:rPr>
        <w:t xml:space="preserve"> </w:t>
      </w:r>
      <w:r w:rsidR="00837A66">
        <w:rPr>
          <w:sz w:val="20"/>
          <w:szCs w:val="20"/>
        </w:rPr>
        <w:t>Dokumentace pro územní rozhodnutí byla zpracována již v roce 2002, tj. 5 let před provedením zjišťovacího řízení, v němž bylo potvrzeno, že záměr nepodléhá procesu EIA.</w:t>
      </w:r>
    </w:p>
    <w:p w14:paraId="2A65854C" w14:textId="77777777" w:rsidR="00F21AE7" w:rsidRPr="00C51CC6" w:rsidRDefault="00F21AE7" w:rsidP="00F21AE7">
      <w:pPr>
        <w:rPr>
          <w:sz w:val="20"/>
          <w:szCs w:val="20"/>
        </w:rPr>
      </w:pPr>
    </w:p>
    <w:p w14:paraId="13B78A41" w14:textId="77777777" w:rsidR="006B677A" w:rsidRDefault="006B677A" w:rsidP="006936C3"/>
    <w:p w14:paraId="033FAAB2" w14:textId="77777777" w:rsidR="00F21AE7" w:rsidRDefault="00F21AE7" w:rsidP="006936C3">
      <w:pPr>
        <w:sectPr w:rsidR="00F21AE7" w:rsidSect="00BD18B7">
          <w:pgSz w:w="16838" w:h="11906" w:orient="landscape"/>
          <w:pgMar w:top="1417" w:right="1417" w:bottom="1417" w:left="1417" w:header="708" w:footer="708" w:gutter="0"/>
          <w:cols w:space="708"/>
          <w:docGrid w:linePitch="360"/>
        </w:sectPr>
      </w:pPr>
    </w:p>
    <w:p w14:paraId="3C84224A" w14:textId="77777777" w:rsidR="006B677A" w:rsidRPr="00E24AFF" w:rsidRDefault="00837A66" w:rsidP="00E24AFF">
      <w:pPr>
        <w:jc w:val="right"/>
        <w:rPr>
          <w:b/>
        </w:rPr>
      </w:pPr>
      <w:r>
        <w:rPr>
          <w:b/>
        </w:rPr>
        <w:lastRenderedPageBreak/>
        <w:t>Příloha č. 2</w:t>
      </w:r>
    </w:p>
    <w:p w14:paraId="3424507F" w14:textId="77777777" w:rsidR="006B677A" w:rsidRDefault="006B677A" w:rsidP="006936C3"/>
    <w:p w14:paraId="7030D9EC" w14:textId="77777777" w:rsidR="006776EB" w:rsidRDefault="006776EB" w:rsidP="006936C3"/>
    <w:p w14:paraId="1D251F02" w14:textId="77777777" w:rsidR="006B677A" w:rsidRPr="00E161EC" w:rsidRDefault="00837A66" w:rsidP="00E24AFF">
      <w:pPr>
        <w:jc w:val="center"/>
        <w:rPr>
          <w:b/>
          <w:sz w:val="28"/>
        </w:rPr>
      </w:pPr>
      <w:r w:rsidRPr="00E161EC">
        <w:rPr>
          <w:b/>
          <w:sz w:val="28"/>
        </w:rPr>
        <w:t>Databáze jednotkových cen stavebních prací</w:t>
      </w:r>
    </w:p>
    <w:p w14:paraId="34235556" w14:textId="77777777" w:rsidR="00E45AC3" w:rsidRPr="00E161EC" w:rsidRDefault="00837A66" w:rsidP="00E24AFF">
      <w:pPr>
        <w:jc w:val="center"/>
        <w:rPr>
          <w:b/>
          <w:sz w:val="28"/>
        </w:rPr>
      </w:pPr>
      <w:r w:rsidRPr="00E161EC">
        <w:rPr>
          <w:b/>
          <w:sz w:val="28"/>
        </w:rPr>
        <w:t>akcí</w:t>
      </w:r>
      <w:r w:rsidR="00F25023">
        <w:rPr>
          <w:b/>
          <w:sz w:val="28"/>
        </w:rPr>
        <w:t> </w:t>
      </w:r>
      <w:r w:rsidRPr="00E161EC">
        <w:rPr>
          <w:b/>
          <w:sz w:val="28"/>
        </w:rPr>
        <w:t>kontrolovaných</w:t>
      </w:r>
      <w:r w:rsidR="00F25023">
        <w:rPr>
          <w:b/>
          <w:sz w:val="28"/>
        </w:rPr>
        <w:t> </w:t>
      </w:r>
      <w:r w:rsidRPr="00E161EC">
        <w:rPr>
          <w:b/>
          <w:sz w:val="28"/>
        </w:rPr>
        <w:t>v</w:t>
      </w:r>
      <w:r w:rsidR="00F25023">
        <w:rPr>
          <w:b/>
          <w:sz w:val="28"/>
        </w:rPr>
        <w:t> </w:t>
      </w:r>
      <w:r w:rsidRPr="00E161EC">
        <w:rPr>
          <w:b/>
          <w:sz w:val="28"/>
        </w:rPr>
        <w:t>rámci</w:t>
      </w:r>
      <w:r w:rsidR="00F25023">
        <w:rPr>
          <w:b/>
          <w:sz w:val="28"/>
        </w:rPr>
        <w:t> </w:t>
      </w:r>
      <w:r w:rsidRPr="00E161EC">
        <w:rPr>
          <w:b/>
          <w:sz w:val="28"/>
        </w:rPr>
        <w:t>KA</w:t>
      </w:r>
      <w:r w:rsidR="00F25023">
        <w:rPr>
          <w:b/>
          <w:sz w:val="28"/>
        </w:rPr>
        <w:t> </w:t>
      </w:r>
      <w:r w:rsidRPr="00E161EC">
        <w:rPr>
          <w:b/>
          <w:sz w:val="28"/>
        </w:rPr>
        <w:t>18/21</w:t>
      </w:r>
    </w:p>
    <w:p w14:paraId="4A8D9444" w14:textId="77777777" w:rsidR="00E24AFF" w:rsidRDefault="00E24AFF" w:rsidP="006936C3"/>
    <w:p w14:paraId="347DCE3E" w14:textId="77777777" w:rsidR="006776EB" w:rsidRDefault="006776EB" w:rsidP="006936C3"/>
    <w:p w14:paraId="595DFCAF" w14:textId="3E6A5A02" w:rsidR="006776EB" w:rsidRDefault="00837A66" w:rsidP="006776EB">
      <w:r>
        <w:t xml:space="preserve">Databáze jednotkových cen </w:t>
      </w:r>
      <w:r w:rsidR="00526809">
        <w:t xml:space="preserve">položek </w:t>
      </w:r>
      <w:r>
        <w:t xml:space="preserve">stavebních prací na </w:t>
      </w:r>
      <w:r w:rsidR="00526809">
        <w:t>stavbách silnic I. třídy</w:t>
      </w:r>
      <w:r>
        <w:t xml:space="preserve"> obsahuje ocenění podle </w:t>
      </w:r>
      <w:r w:rsidR="00526809">
        <w:t xml:space="preserve">23 </w:t>
      </w:r>
      <w:r>
        <w:t xml:space="preserve">nabídek uchazečů v zadávacích řízeních na výběr dodavatele stavebních prací níže uvedených </w:t>
      </w:r>
      <w:r w:rsidR="00526809" w:rsidRPr="00526809">
        <w:t>osmi veřejných zakáz</w:t>
      </w:r>
      <w:r w:rsidR="00526809">
        <w:t>e</w:t>
      </w:r>
      <w:r w:rsidR="00662C03">
        <w:t>k, zadávaných v letech 2013–</w:t>
      </w:r>
      <w:r w:rsidR="00526809" w:rsidRPr="00526809">
        <w:t>2018</w:t>
      </w:r>
      <w:r w:rsidR="00526809">
        <w:t>. Z každého zadávacího řízení byly vybrány nabídky uchazečů, kteří se umístili v pořadí hodnocení nabídek na 1. až 3. místě</w:t>
      </w:r>
      <w:r>
        <w:t xml:space="preserve"> (</w:t>
      </w:r>
      <w:r w:rsidR="00526809">
        <w:t xml:space="preserve">u stavby </w:t>
      </w:r>
      <w:r w:rsidR="00055A5E">
        <w:t>„</w:t>
      </w:r>
      <w:r w:rsidR="00526809" w:rsidRPr="00526809">
        <w:t>I/55 MÚK s ČD Přerov – Předmostí</w:t>
      </w:r>
      <w:r w:rsidR="00055A5E">
        <w:t>“</w:t>
      </w:r>
      <w:r w:rsidR="00526809">
        <w:t xml:space="preserve"> </w:t>
      </w:r>
      <w:r w:rsidR="00662C03">
        <w:t>byly použity pouze nabídky 1. a </w:t>
      </w:r>
      <w:r w:rsidR="00130289">
        <w:t>3. </w:t>
      </w:r>
      <w:r w:rsidR="00526809">
        <w:t>uchazeče, důvod</w:t>
      </w:r>
      <w:r w:rsidR="00055A5E">
        <w:t>em</w:t>
      </w:r>
      <w:r w:rsidR="00526809">
        <w:t xml:space="preserve"> </w:t>
      </w:r>
      <w:r w:rsidR="00055A5E">
        <w:t xml:space="preserve">byly </w:t>
      </w:r>
      <w:r w:rsidR="00526809">
        <w:t>technick</w:t>
      </w:r>
      <w:r w:rsidR="00055A5E">
        <w:t>é</w:t>
      </w:r>
      <w:r w:rsidR="00526809">
        <w:t xml:space="preserve"> problém</w:t>
      </w:r>
      <w:r w:rsidR="00055A5E">
        <w:t>y</w:t>
      </w:r>
      <w:r w:rsidR="00526809">
        <w:t xml:space="preserve"> při převodu nabídky 2. uchazeče</w:t>
      </w:r>
      <w:r>
        <w:t xml:space="preserve">). </w:t>
      </w:r>
    </w:p>
    <w:p w14:paraId="05B3AF74" w14:textId="77777777" w:rsidR="006776EB" w:rsidRDefault="006776EB" w:rsidP="006776EB"/>
    <w:p w14:paraId="595E9B81" w14:textId="77777777" w:rsidR="006776EB" w:rsidRDefault="00837A66" w:rsidP="006776EB">
      <w:r>
        <w:t>Databáze je zveřejněna na webových stránkách NKÚ:</w:t>
      </w:r>
    </w:p>
    <w:p w14:paraId="1D807DB4" w14:textId="2E962C6E" w:rsidR="006776EB" w:rsidRDefault="000F102D" w:rsidP="006776EB">
      <w:hyperlink r:id="rId16" w:history="1">
        <w:r w:rsidRPr="00695436">
          <w:rPr>
            <w:rStyle w:val="Hypertextovodkaz"/>
          </w:rPr>
          <w:t>https://data.nku.cz/downlo</w:t>
        </w:r>
        <w:r w:rsidRPr="00695436">
          <w:rPr>
            <w:rStyle w:val="Hypertextovodkaz"/>
          </w:rPr>
          <w:t>a</w:t>
        </w:r>
        <w:r w:rsidRPr="00695436">
          <w:rPr>
            <w:rStyle w:val="Hypertextovodkaz"/>
          </w:rPr>
          <w:t>d/v</w:t>
        </w:r>
        <w:r w:rsidRPr="00695436">
          <w:rPr>
            <w:rStyle w:val="Hypertextovodkaz"/>
          </w:rPr>
          <w:t>y</w:t>
        </w:r>
        <w:r w:rsidRPr="00695436">
          <w:rPr>
            <w:rStyle w:val="Hypertextovodkaz"/>
          </w:rPr>
          <w:t>s</w:t>
        </w:r>
        <w:r w:rsidRPr="00695436">
          <w:rPr>
            <w:rStyle w:val="Hypertextovodkaz"/>
          </w:rPr>
          <w:t>t</w:t>
        </w:r>
        <w:r w:rsidRPr="00695436">
          <w:rPr>
            <w:rStyle w:val="Hypertextovodkaz"/>
          </w:rPr>
          <w:t>upy-z-kontrol/ka-18-21/databaze-oceneni-polozek.xlsx</w:t>
        </w:r>
      </w:hyperlink>
    </w:p>
    <w:p w14:paraId="6563340F" w14:textId="77777777" w:rsidR="00E161EC" w:rsidRDefault="00E161EC" w:rsidP="006936C3"/>
    <w:p w14:paraId="29D12334" w14:textId="77777777" w:rsidR="00E161EC" w:rsidRDefault="00E161EC" w:rsidP="006936C3"/>
    <w:p w14:paraId="5740501D" w14:textId="77777777" w:rsidR="006776EB" w:rsidRPr="006776EB" w:rsidRDefault="00837A66" w:rsidP="006936C3">
      <w:pPr>
        <w:rPr>
          <w:b/>
        </w:rPr>
      </w:pPr>
      <w:r w:rsidRPr="006776EB">
        <w:rPr>
          <w:b/>
        </w:rPr>
        <w:t>Stavby silnic I. třídy v databázi:</w:t>
      </w:r>
    </w:p>
    <w:p w14:paraId="594E5AA6" w14:textId="77777777" w:rsidR="006776EB" w:rsidRDefault="006776EB" w:rsidP="006936C3"/>
    <w:p w14:paraId="2DF884A6" w14:textId="77777777" w:rsidR="006776EB" w:rsidRDefault="00837A66" w:rsidP="006776EB">
      <w:r>
        <w:t>I/34 Božejov – Ondřejov – Pelhřimov</w:t>
      </w:r>
    </w:p>
    <w:p w14:paraId="32058ED3" w14:textId="77777777" w:rsidR="00526809" w:rsidRDefault="00526809" w:rsidP="006776EB"/>
    <w:p w14:paraId="1A45092D" w14:textId="77777777" w:rsidR="006776EB" w:rsidRDefault="00837A66" w:rsidP="006776EB">
      <w:r>
        <w:t>I/34 Rouštany – Pohled</w:t>
      </w:r>
    </w:p>
    <w:p w14:paraId="657DB2A0" w14:textId="77777777" w:rsidR="00526809" w:rsidRDefault="00526809" w:rsidP="006776EB"/>
    <w:p w14:paraId="223A9592" w14:textId="77777777" w:rsidR="006776EB" w:rsidRDefault="00837A66" w:rsidP="006776EB">
      <w:r>
        <w:t>I/14 Kunratice – Jablonec n. N.</w:t>
      </w:r>
    </w:p>
    <w:p w14:paraId="3C88B5AA" w14:textId="77777777" w:rsidR="00526809" w:rsidRDefault="00526809" w:rsidP="006776EB"/>
    <w:p w14:paraId="63AE1A5D" w14:textId="77777777" w:rsidR="006776EB" w:rsidRDefault="00837A66" w:rsidP="006776EB">
      <w:r>
        <w:t>I/55 MÚK s ČD Přerov – Předmostí</w:t>
      </w:r>
    </w:p>
    <w:p w14:paraId="2936594C" w14:textId="77777777" w:rsidR="00526809" w:rsidRDefault="00526809" w:rsidP="006776EB"/>
    <w:p w14:paraId="250C8796" w14:textId="77777777" w:rsidR="006776EB" w:rsidRDefault="00837A66" w:rsidP="006776EB">
      <w:r>
        <w:t>I/44 Červenohorské sedlo jih</w:t>
      </w:r>
    </w:p>
    <w:p w14:paraId="6CBA4A33" w14:textId="77777777" w:rsidR="00526809" w:rsidRDefault="00526809" w:rsidP="006776EB"/>
    <w:p w14:paraId="41BD7605" w14:textId="77777777" w:rsidR="006776EB" w:rsidRDefault="00837A66" w:rsidP="006776EB">
      <w:r>
        <w:t>I/11 Nebory – Oldřichovice</w:t>
      </w:r>
    </w:p>
    <w:p w14:paraId="1C658273" w14:textId="77777777" w:rsidR="00526809" w:rsidRDefault="00526809" w:rsidP="006776EB"/>
    <w:p w14:paraId="7D4A2714" w14:textId="77777777" w:rsidR="006776EB" w:rsidRDefault="00837A66" w:rsidP="006776EB">
      <w:r>
        <w:t>I/11 Oldřichovice – Bystřice</w:t>
      </w:r>
    </w:p>
    <w:p w14:paraId="20CA180A" w14:textId="77777777" w:rsidR="00526809" w:rsidRDefault="00526809" w:rsidP="006776EB"/>
    <w:p w14:paraId="0408EF29" w14:textId="77777777" w:rsidR="00E161EC" w:rsidRDefault="00837A66" w:rsidP="006776EB">
      <w:r>
        <w:t>I/37 Pardubice – Trojice, II. etapa</w:t>
      </w:r>
    </w:p>
    <w:p w14:paraId="65CB9BDC" w14:textId="77777777" w:rsidR="00526809" w:rsidRDefault="00526809" w:rsidP="006776EB"/>
    <w:p w14:paraId="4F2727F4" w14:textId="77777777" w:rsidR="00E161EC" w:rsidRDefault="00E161EC" w:rsidP="006936C3"/>
    <w:p w14:paraId="2C349E19" w14:textId="77777777" w:rsidR="00E24AFF" w:rsidRDefault="00E24AFF" w:rsidP="006936C3"/>
    <w:p w14:paraId="79A1F27B" w14:textId="77777777" w:rsidR="00526809" w:rsidRDefault="00526809" w:rsidP="006936C3">
      <w:pPr>
        <w:sectPr w:rsidR="00526809" w:rsidSect="00F21AE7">
          <w:pgSz w:w="11906" w:h="16838"/>
          <w:pgMar w:top="1417" w:right="1417" w:bottom="1417" w:left="1417" w:header="708" w:footer="708" w:gutter="0"/>
          <w:cols w:space="708"/>
          <w:docGrid w:linePitch="360"/>
        </w:sectPr>
      </w:pPr>
    </w:p>
    <w:p w14:paraId="54E04AE0" w14:textId="77777777" w:rsidR="00E24AFF" w:rsidRPr="00E24AFF" w:rsidRDefault="00837A66" w:rsidP="00E24AFF">
      <w:pPr>
        <w:jc w:val="right"/>
        <w:rPr>
          <w:b/>
        </w:rPr>
      </w:pPr>
      <w:r w:rsidRPr="00E24AFF">
        <w:rPr>
          <w:b/>
        </w:rPr>
        <w:lastRenderedPageBreak/>
        <w:t>Příloha č. 3</w:t>
      </w:r>
    </w:p>
    <w:p w14:paraId="3BA54652" w14:textId="77777777" w:rsidR="006B677A" w:rsidRPr="00905314" w:rsidRDefault="00837A66" w:rsidP="00E24AFF">
      <w:pPr>
        <w:jc w:val="center"/>
        <w:rPr>
          <w:b/>
          <w:sz w:val="28"/>
        </w:rPr>
      </w:pPr>
      <w:r w:rsidRPr="00905314">
        <w:rPr>
          <w:b/>
          <w:sz w:val="28"/>
        </w:rPr>
        <w:t>Příklady ocenění položek stavebních prací</w:t>
      </w:r>
    </w:p>
    <w:p w14:paraId="425ABA1E" w14:textId="3B9EEE4E" w:rsidR="001225A3" w:rsidRPr="00C6294C" w:rsidRDefault="00A45D8D" w:rsidP="001225A3">
      <w:pPr>
        <w:jc w:val="right"/>
        <w:rPr>
          <w:b/>
        </w:rPr>
      </w:pPr>
      <w:r w:rsidRPr="00C6294C">
        <w:rPr>
          <w:b/>
        </w:rPr>
        <w:t>(</w:t>
      </w:r>
      <w:r w:rsidR="001225A3" w:rsidRPr="00C6294C">
        <w:rPr>
          <w:b/>
        </w:rPr>
        <w:t>v Kč bez DPH</w:t>
      </w:r>
      <w:r w:rsidRPr="00C6294C">
        <w:rPr>
          <w:b/>
        </w:rPr>
        <w:t>)</w:t>
      </w:r>
    </w:p>
    <w:tbl>
      <w:tblPr>
        <w:tblW w:w="13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6690"/>
        <w:gridCol w:w="879"/>
        <w:gridCol w:w="1020"/>
        <w:gridCol w:w="1020"/>
        <w:gridCol w:w="1134"/>
        <w:gridCol w:w="1134"/>
        <w:gridCol w:w="1247"/>
      </w:tblGrid>
      <w:tr w:rsidR="00363F0A" w14:paraId="48E4681C" w14:textId="77777777" w:rsidTr="001B3FDC">
        <w:trPr>
          <w:tblHeader/>
          <w:jc w:val="center"/>
        </w:trPr>
        <w:tc>
          <w:tcPr>
            <w:tcW w:w="846" w:type="dxa"/>
            <w:shd w:val="clear" w:color="auto" w:fill="E5F1FF"/>
            <w:vAlign w:val="center"/>
          </w:tcPr>
          <w:p w14:paraId="2DA2E305" w14:textId="77777777" w:rsidR="002A71B0" w:rsidRPr="00CE7F05" w:rsidRDefault="00837A66" w:rsidP="002A71B0">
            <w:pPr>
              <w:jc w:val="center"/>
              <w:rPr>
                <w:b/>
                <w:sz w:val="20"/>
                <w:szCs w:val="20"/>
              </w:rPr>
            </w:pPr>
            <w:r w:rsidRPr="00CE7F05">
              <w:rPr>
                <w:b/>
                <w:sz w:val="20"/>
                <w:szCs w:val="20"/>
              </w:rPr>
              <w:t>Číslo položky</w:t>
            </w:r>
          </w:p>
        </w:tc>
        <w:tc>
          <w:tcPr>
            <w:tcW w:w="6690" w:type="dxa"/>
            <w:shd w:val="clear" w:color="auto" w:fill="E5F1FF"/>
            <w:vAlign w:val="center"/>
          </w:tcPr>
          <w:p w14:paraId="5CEC13A7" w14:textId="77777777" w:rsidR="002A71B0" w:rsidRPr="00CE7F05" w:rsidRDefault="00837A66" w:rsidP="002A71B0">
            <w:pPr>
              <w:jc w:val="center"/>
              <w:rPr>
                <w:b/>
                <w:sz w:val="20"/>
                <w:szCs w:val="20"/>
              </w:rPr>
            </w:pPr>
            <w:r w:rsidRPr="00CE7F05">
              <w:rPr>
                <w:b/>
                <w:sz w:val="20"/>
                <w:szCs w:val="20"/>
              </w:rPr>
              <w:t>Název položky</w:t>
            </w:r>
          </w:p>
        </w:tc>
        <w:tc>
          <w:tcPr>
            <w:tcW w:w="879" w:type="dxa"/>
            <w:shd w:val="clear" w:color="auto" w:fill="E5F1FF"/>
            <w:vAlign w:val="center"/>
          </w:tcPr>
          <w:p w14:paraId="67BAC987" w14:textId="77777777" w:rsidR="002A71B0" w:rsidRPr="00CE7F05" w:rsidRDefault="00837A66" w:rsidP="002A71B0">
            <w:pPr>
              <w:jc w:val="center"/>
              <w:rPr>
                <w:b/>
                <w:sz w:val="20"/>
                <w:szCs w:val="20"/>
              </w:rPr>
            </w:pPr>
            <w:r>
              <w:rPr>
                <w:b/>
                <w:sz w:val="20"/>
                <w:szCs w:val="20"/>
              </w:rPr>
              <w:t>Měrná jednotka</w:t>
            </w:r>
          </w:p>
        </w:tc>
        <w:tc>
          <w:tcPr>
            <w:tcW w:w="1020" w:type="dxa"/>
            <w:shd w:val="clear" w:color="auto" w:fill="E5F1FF"/>
            <w:vAlign w:val="center"/>
          </w:tcPr>
          <w:p w14:paraId="03D23469" w14:textId="77777777" w:rsidR="002A71B0" w:rsidRPr="00CE7F05" w:rsidRDefault="00837A66" w:rsidP="002A71B0">
            <w:pPr>
              <w:jc w:val="center"/>
              <w:rPr>
                <w:b/>
                <w:sz w:val="20"/>
                <w:szCs w:val="20"/>
              </w:rPr>
            </w:pPr>
            <w:r>
              <w:rPr>
                <w:b/>
                <w:sz w:val="20"/>
                <w:szCs w:val="20"/>
              </w:rPr>
              <w:t>Minimální nabídková cena</w:t>
            </w:r>
          </w:p>
        </w:tc>
        <w:tc>
          <w:tcPr>
            <w:tcW w:w="1020" w:type="dxa"/>
            <w:shd w:val="clear" w:color="auto" w:fill="E5F1FF"/>
            <w:vAlign w:val="center"/>
          </w:tcPr>
          <w:p w14:paraId="323156FE" w14:textId="77777777" w:rsidR="002A71B0" w:rsidRPr="00CE7F05" w:rsidRDefault="00837A66" w:rsidP="002A71B0">
            <w:pPr>
              <w:jc w:val="center"/>
              <w:rPr>
                <w:b/>
                <w:sz w:val="20"/>
                <w:szCs w:val="20"/>
              </w:rPr>
            </w:pPr>
            <w:r>
              <w:rPr>
                <w:b/>
                <w:sz w:val="20"/>
                <w:szCs w:val="20"/>
              </w:rPr>
              <w:t>Maximální nabídková cena</w:t>
            </w:r>
          </w:p>
        </w:tc>
        <w:tc>
          <w:tcPr>
            <w:tcW w:w="1134" w:type="dxa"/>
            <w:shd w:val="clear" w:color="auto" w:fill="E5F1FF"/>
            <w:vAlign w:val="center"/>
          </w:tcPr>
          <w:p w14:paraId="29E3269E" w14:textId="495DD0E1" w:rsidR="002A71B0" w:rsidRPr="00CE7F05" w:rsidRDefault="00837A66" w:rsidP="00A45D8D">
            <w:pPr>
              <w:jc w:val="center"/>
              <w:rPr>
                <w:b/>
                <w:sz w:val="20"/>
                <w:szCs w:val="20"/>
              </w:rPr>
            </w:pPr>
            <w:r>
              <w:rPr>
                <w:b/>
                <w:sz w:val="20"/>
                <w:szCs w:val="20"/>
              </w:rPr>
              <w:t xml:space="preserve">Jednotková cena </w:t>
            </w:r>
            <w:r w:rsidR="00055A5E">
              <w:rPr>
                <w:b/>
                <w:sz w:val="20"/>
                <w:szCs w:val="20"/>
              </w:rPr>
              <w:t>–</w:t>
            </w:r>
            <w:r>
              <w:rPr>
                <w:b/>
                <w:sz w:val="20"/>
                <w:szCs w:val="20"/>
              </w:rPr>
              <w:t xml:space="preserve"> vážený průměr</w:t>
            </w:r>
          </w:p>
        </w:tc>
        <w:tc>
          <w:tcPr>
            <w:tcW w:w="1134" w:type="dxa"/>
            <w:shd w:val="clear" w:color="auto" w:fill="E5F1FF"/>
            <w:vAlign w:val="center"/>
          </w:tcPr>
          <w:p w14:paraId="0A4D34CC" w14:textId="37E6AA75" w:rsidR="002A71B0" w:rsidRPr="00CE7F05" w:rsidRDefault="00837A66" w:rsidP="001B3FDC">
            <w:pPr>
              <w:jc w:val="center"/>
              <w:rPr>
                <w:b/>
                <w:sz w:val="20"/>
                <w:szCs w:val="20"/>
              </w:rPr>
            </w:pPr>
            <w:r>
              <w:rPr>
                <w:b/>
                <w:sz w:val="20"/>
                <w:szCs w:val="20"/>
              </w:rPr>
              <w:t xml:space="preserve">Jednotková cena </w:t>
            </w:r>
            <w:r w:rsidR="00055A5E">
              <w:rPr>
                <w:b/>
                <w:sz w:val="20"/>
                <w:szCs w:val="20"/>
              </w:rPr>
              <w:t xml:space="preserve">dle </w:t>
            </w:r>
            <w:r>
              <w:rPr>
                <w:b/>
                <w:sz w:val="20"/>
                <w:szCs w:val="20"/>
              </w:rPr>
              <w:t>OTSKP</w:t>
            </w:r>
          </w:p>
        </w:tc>
        <w:tc>
          <w:tcPr>
            <w:tcW w:w="1247" w:type="dxa"/>
            <w:shd w:val="clear" w:color="auto" w:fill="E5F1FF"/>
            <w:vAlign w:val="center"/>
          </w:tcPr>
          <w:p w14:paraId="4EEF2ED4" w14:textId="1488A895" w:rsidR="002A71B0" w:rsidRPr="00CE7F05" w:rsidRDefault="00837A66" w:rsidP="00CD5791">
            <w:pPr>
              <w:jc w:val="center"/>
              <w:rPr>
                <w:b/>
                <w:sz w:val="20"/>
                <w:szCs w:val="20"/>
              </w:rPr>
            </w:pPr>
            <w:r w:rsidRPr="00CE7F05">
              <w:rPr>
                <w:b/>
                <w:sz w:val="20"/>
                <w:szCs w:val="20"/>
              </w:rPr>
              <w:t xml:space="preserve">Rozdíl </w:t>
            </w:r>
            <w:r w:rsidR="00055A5E">
              <w:rPr>
                <w:b/>
                <w:sz w:val="20"/>
                <w:szCs w:val="20"/>
              </w:rPr>
              <w:t xml:space="preserve">mezi </w:t>
            </w:r>
            <w:r w:rsidR="00CD5791">
              <w:rPr>
                <w:b/>
                <w:sz w:val="20"/>
                <w:szCs w:val="20"/>
              </w:rPr>
              <w:t>váženým průměrem</w:t>
            </w:r>
            <w:r w:rsidRPr="00CE7F05">
              <w:rPr>
                <w:b/>
                <w:sz w:val="20"/>
                <w:szCs w:val="20"/>
              </w:rPr>
              <w:t xml:space="preserve"> </w:t>
            </w:r>
            <w:r w:rsidR="00CD5791">
              <w:rPr>
                <w:b/>
                <w:sz w:val="20"/>
                <w:szCs w:val="20"/>
              </w:rPr>
              <w:t xml:space="preserve">a cenou dle </w:t>
            </w:r>
            <w:r w:rsidRPr="00A45D8D">
              <w:rPr>
                <w:b/>
                <w:sz w:val="20"/>
                <w:szCs w:val="20"/>
              </w:rPr>
              <w:t xml:space="preserve">OTSKP </w:t>
            </w:r>
            <w:r w:rsidRPr="00C6294C">
              <w:rPr>
                <w:b/>
                <w:sz w:val="20"/>
                <w:szCs w:val="20"/>
              </w:rPr>
              <w:t>(</w:t>
            </w:r>
            <w:r w:rsidR="00CD5791">
              <w:rPr>
                <w:b/>
                <w:sz w:val="20"/>
                <w:szCs w:val="20"/>
              </w:rPr>
              <w:t xml:space="preserve">v </w:t>
            </w:r>
            <w:r w:rsidRPr="00C6294C">
              <w:rPr>
                <w:b/>
                <w:sz w:val="20"/>
                <w:szCs w:val="20"/>
              </w:rPr>
              <w:t>%)</w:t>
            </w:r>
          </w:p>
        </w:tc>
      </w:tr>
      <w:tr w:rsidR="00363F0A" w14:paraId="22DED502" w14:textId="77777777" w:rsidTr="000001E3">
        <w:trPr>
          <w:jc w:val="center"/>
        </w:trPr>
        <w:tc>
          <w:tcPr>
            <w:tcW w:w="846" w:type="dxa"/>
            <w:vAlign w:val="center"/>
          </w:tcPr>
          <w:p w14:paraId="7D7AE5FE" w14:textId="77777777" w:rsidR="002A71B0" w:rsidRPr="00CE7F05" w:rsidRDefault="00837A66" w:rsidP="000001E3">
            <w:pPr>
              <w:jc w:val="left"/>
              <w:rPr>
                <w:sz w:val="20"/>
                <w:szCs w:val="20"/>
              </w:rPr>
            </w:pPr>
            <w:r w:rsidRPr="009F31EB">
              <w:rPr>
                <w:sz w:val="20"/>
                <w:szCs w:val="20"/>
              </w:rPr>
              <w:t>11372</w:t>
            </w:r>
          </w:p>
        </w:tc>
        <w:tc>
          <w:tcPr>
            <w:tcW w:w="6690" w:type="dxa"/>
            <w:vAlign w:val="center"/>
          </w:tcPr>
          <w:p w14:paraId="6ED629B9" w14:textId="77777777" w:rsidR="002A71B0" w:rsidRPr="00CE7F05" w:rsidRDefault="00837A66" w:rsidP="000001E3">
            <w:pPr>
              <w:jc w:val="left"/>
              <w:rPr>
                <w:sz w:val="20"/>
                <w:szCs w:val="20"/>
              </w:rPr>
            </w:pPr>
            <w:r w:rsidRPr="009F31EB">
              <w:rPr>
                <w:sz w:val="20"/>
                <w:szCs w:val="20"/>
              </w:rPr>
              <w:t>FRÉZOVÁNÍ VOZOVEK ASFALTOVÝCH</w:t>
            </w:r>
            <w:r>
              <w:rPr>
                <w:sz w:val="20"/>
                <w:szCs w:val="20"/>
              </w:rPr>
              <w:t xml:space="preserve"> (</w:t>
            </w:r>
            <w:r w:rsidRPr="009F31EB">
              <w:rPr>
                <w:sz w:val="20"/>
                <w:szCs w:val="20"/>
              </w:rPr>
              <w:t>F</w:t>
            </w:r>
            <w:r w:rsidR="000001E3">
              <w:rPr>
                <w:sz w:val="20"/>
                <w:szCs w:val="20"/>
              </w:rPr>
              <w:t>rézování zpevněných ploch asfaltových</w:t>
            </w:r>
            <w:r>
              <w:rPr>
                <w:sz w:val="20"/>
                <w:szCs w:val="20"/>
              </w:rPr>
              <w:t>)</w:t>
            </w:r>
          </w:p>
        </w:tc>
        <w:tc>
          <w:tcPr>
            <w:tcW w:w="879" w:type="dxa"/>
            <w:vAlign w:val="center"/>
          </w:tcPr>
          <w:p w14:paraId="290B8024"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393FA824" w14:textId="77777777" w:rsidR="002A71B0" w:rsidRPr="00D17E4B" w:rsidRDefault="00837A66" w:rsidP="002A71B0">
            <w:pPr>
              <w:jc w:val="right"/>
              <w:rPr>
                <w:sz w:val="20"/>
                <w:szCs w:val="20"/>
              </w:rPr>
            </w:pPr>
            <w:r w:rsidRPr="00BF38F7">
              <w:rPr>
                <w:sz w:val="20"/>
                <w:szCs w:val="20"/>
              </w:rPr>
              <w:t>162,57</w:t>
            </w:r>
          </w:p>
        </w:tc>
        <w:tc>
          <w:tcPr>
            <w:tcW w:w="1020" w:type="dxa"/>
            <w:vAlign w:val="center"/>
          </w:tcPr>
          <w:p w14:paraId="5A22365B" w14:textId="77777777" w:rsidR="002A71B0" w:rsidRPr="00D17E4B" w:rsidRDefault="00837A66" w:rsidP="002A71B0">
            <w:pPr>
              <w:jc w:val="right"/>
              <w:rPr>
                <w:sz w:val="20"/>
                <w:szCs w:val="20"/>
              </w:rPr>
            </w:pPr>
            <w:r w:rsidRPr="00BF38F7">
              <w:rPr>
                <w:sz w:val="20"/>
                <w:szCs w:val="20"/>
              </w:rPr>
              <w:t>1</w:t>
            </w:r>
            <w:r>
              <w:rPr>
                <w:sz w:val="20"/>
                <w:szCs w:val="20"/>
              </w:rPr>
              <w:t xml:space="preserve"> </w:t>
            </w:r>
            <w:r w:rsidRPr="00BF38F7">
              <w:rPr>
                <w:sz w:val="20"/>
                <w:szCs w:val="20"/>
              </w:rPr>
              <w:t>310,11</w:t>
            </w:r>
          </w:p>
        </w:tc>
        <w:tc>
          <w:tcPr>
            <w:tcW w:w="1134" w:type="dxa"/>
            <w:vAlign w:val="center"/>
          </w:tcPr>
          <w:p w14:paraId="6D8C339F" w14:textId="77777777" w:rsidR="002A71B0" w:rsidRPr="00CE7F05" w:rsidRDefault="00837A66" w:rsidP="002A71B0">
            <w:pPr>
              <w:ind w:right="57"/>
              <w:jc w:val="right"/>
              <w:rPr>
                <w:sz w:val="20"/>
                <w:szCs w:val="20"/>
              </w:rPr>
            </w:pPr>
            <w:r w:rsidRPr="00BF38F7">
              <w:rPr>
                <w:sz w:val="20"/>
                <w:szCs w:val="20"/>
              </w:rPr>
              <w:t>510,85</w:t>
            </w:r>
          </w:p>
        </w:tc>
        <w:tc>
          <w:tcPr>
            <w:tcW w:w="1134" w:type="dxa"/>
            <w:vAlign w:val="center"/>
          </w:tcPr>
          <w:p w14:paraId="36A5508D" w14:textId="77777777" w:rsidR="002A71B0" w:rsidRPr="00CE7F05" w:rsidRDefault="00837A66" w:rsidP="002A71B0">
            <w:pPr>
              <w:ind w:right="57"/>
              <w:jc w:val="right"/>
              <w:rPr>
                <w:sz w:val="20"/>
                <w:szCs w:val="20"/>
              </w:rPr>
            </w:pPr>
            <w:r w:rsidRPr="000E5FCA">
              <w:rPr>
                <w:sz w:val="20"/>
                <w:szCs w:val="20"/>
              </w:rPr>
              <w:t>1 140,00</w:t>
            </w:r>
          </w:p>
        </w:tc>
        <w:tc>
          <w:tcPr>
            <w:tcW w:w="1247" w:type="dxa"/>
            <w:vAlign w:val="center"/>
          </w:tcPr>
          <w:p w14:paraId="7F0FF960" w14:textId="01B71932" w:rsidR="002A71B0" w:rsidRPr="00815686" w:rsidRDefault="00815686" w:rsidP="002A71B0">
            <w:pPr>
              <w:ind w:right="310"/>
              <w:jc w:val="right"/>
              <w:rPr>
                <w:sz w:val="20"/>
                <w:szCs w:val="20"/>
              </w:rPr>
            </w:pPr>
            <w:r w:rsidRPr="00E42264">
              <w:rPr>
                <w:rFonts w:cs="Calibri"/>
                <w:sz w:val="20"/>
                <w:szCs w:val="20"/>
              </w:rPr>
              <w:t>−</w:t>
            </w:r>
            <w:r w:rsidR="00837A66" w:rsidRPr="00815686">
              <w:rPr>
                <w:sz w:val="20"/>
                <w:szCs w:val="20"/>
              </w:rPr>
              <w:t>55,19</w:t>
            </w:r>
          </w:p>
        </w:tc>
      </w:tr>
      <w:tr w:rsidR="00363F0A" w14:paraId="439BC28C" w14:textId="77777777" w:rsidTr="000001E3">
        <w:trPr>
          <w:jc w:val="center"/>
        </w:trPr>
        <w:tc>
          <w:tcPr>
            <w:tcW w:w="846" w:type="dxa"/>
            <w:vAlign w:val="center"/>
          </w:tcPr>
          <w:p w14:paraId="599E6E63" w14:textId="77777777" w:rsidR="002A71B0" w:rsidRPr="00CE7F05" w:rsidRDefault="00837A66" w:rsidP="000001E3">
            <w:pPr>
              <w:jc w:val="left"/>
              <w:rPr>
                <w:sz w:val="20"/>
                <w:szCs w:val="20"/>
              </w:rPr>
            </w:pPr>
            <w:r w:rsidRPr="00152F56">
              <w:rPr>
                <w:sz w:val="20"/>
                <w:szCs w:val="20"/>
              </w:rPr>
              <w:t>12373</w:t>
            </w:r>
          </w:p>
        </w:tc>
        <w:tc>
          <w:tcPr>
            <w:tcW w:w="6690" w:type="dxa"/>
            <w:vAlign w:val="center"/>
          </w:tcPr>
          <w:p w14:paraId="2DFDC2CD" w14:textId="77777777" w:rsidR="002A71B0" w:rsidRPr="00CE7F05" w:rsidRDefault="00837A66" w:rsidP="002A71B0">
            <w:pPr>
              <w:jc w:val="left"/>
              <w:rPr>
                <w:sz w:val="20"/>
                <w:szCs w:val="20"/>
              </w:rPr>
            </w:pPr>
            <w:r w:rsidRPr="00152F56">
              <w:rPr>
                <w:sz w:val="20"/>
                <w:szCs w:val="20"/>
              </w:rPr>
              <w:t>ODKOP PRO SPOD</w:t>
            </w:r>
            <w:r>
              <w:rPr>
                <w:sz w:val="20"/>
                <w:szCs w:val="20"/>
              </w:rPr>
              <w:t>NÍ</w:t>
            </w:r>
            <w:r w:rsidRPr="00152F56">
              <w:rPr>
                <w:sz w:val="20"/>
                <w:szCs w:val="20"/>
              </w:rPr>
              <w:t xml:space="preserve"> STAVBU SILNIC A ŽELEZNIC TŘ. I</w:t>
            </w:r>
          </w:p>
        </w:tc>
        <w:tc>
          <w:tcPr>
            <w:tcW w:w="879" w:type="dxa"/>
            <w:vAlign w:val="center"/>
          </w:tcPr>
          <w:p w14:paraId="7B270F75"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2488E54E" w14:textId="77777777" w:rsidR="002A71B0" w:rsidRPr="00D17E4B" w:rsidRDefault="00837A66" w:rsidP="002A71B0">
            <w:pPr>
              <w:jc w:val="right"/>
              <w:rPr>
                <w:sz w:val="20"/>
                <w:szCs w:val="20"/>
              </w:rPr>
            </w:pPr>
            <w:r w:rsidRPr="00BF38F7">
              <w:rPr>
                <w:sz w:val="20"/>
                <w:szCs w:val="20"/>
              </w:rPr>
              <w:t>35</w:t>
            </w:r>
            <w:r>
              <w:rPr>
                <w:sz w:val="20"/>
                <w:szCs w:val="20"/>
              </w:rPr>
              <w:t>,00</w:t>
            </w:r>
          </w:p>
        </w:tc>
        <w:tc>
          <w:tcPr>
            <w:tcW w:w="1020" w:type="dxa"/>
            <w:vAlign w:val="center"/>
          </w:tcPr>
          <w:p w14:paraId="32D1A718" w14:textId="77777777" w:rsidR="002A71B0" w:rsidRPr="00D17E4B" w:rsidRDefault="00837A66" w:rsidP="002A71B0">
            <w:pPr>
              <w:jc w:val="right"/>
              <w:rPr>
                <w:sz w:val="20"/>
                <w:szCs w:val="20"/>
              </w:rPr>
            </w:pPr>
            <w:r w:rsidRPr="00BF38F7">
              <w:rPr>
                <w:sz w:val="20"/>
                <w:szCs w:val="20"/>
              </w:rPr>
              <w:t>223</w:t>
            </w:r>
            <w:r>
              <w:rPr>
                <w:sz w:val="20"/>
                <w:szCs w:val="20"/>
              </w:rPr>
              <w:t>,00</w:t>
            </w:r>
          </w:p>
        </w:tc>
        <w:tc>
          <w:tcPr>
            <w:tcW w:w="1134" w:type="dxa"/>
            <w:vAlign w:val="center"/>
          </w:tcPr>
          <w:p w14:paraId="300421AE" w14:textId="77777777" w:rsidR="002A71B0" w:rsidRPr="00CE7F05" w:rsidRDefault="00837A66" w:rsidP="002A71B0">
            <w:pPr>
              <w:ind w:right="57"/>
              <w:jc w:val="right"/>
              <w:rPr>
                <w:sz w:val="20"/>
                <w:szCs w:val="20"/>
              </w:rPr>
            </w:pPr>
            <w:r w:rsidRPr="00BF38F7">
              <w:rPr>
                <w:sz w:val="20"/>
                <w:szCs w:val="20"/>
              </w:rPr>
              <w:t>70,93</w:t>
            </w:r>
          </w:p>
        </w:tc>
        <w:tc>
          <w:tcPr>
            <w:tcW w:w="1134" w:type="dxa"/>
            <w:vAlign w:val="center"/>
          </w:tcPr>
          <w:p w14:paraId="298CE183" w14:textId="77777777" w:rsidR="002A71B0" w:rsidRPr="00CE7F05" w:rsidRDefault="00837A66" w:rsidP="002A71B0">
            <w:pPr>
              <w:ind w:right="57"/>
              <w:jc w:val="right"/>
              <w:rPr>
                <w:sz w:val="20"/>
                <w:szCs w:val="20"/>
              </w:rPr>
            </w:pPr>
            <w:r w:rsidRPr="000E5FCA">
              <w:rPr>
                <w:sz w:val="20"/>
                <w:szCs w:val="20"/>
              </w:rPr>
              <w:t>166,00</w:t>
            </w:r>
          </w:p>
        </w:tc>
        <w:tc>
          <w:tcPr>
            <w:tcW w:w="1247" w:type="dxa"/>
            <w:vAlign w:val="center"/>
          </w:tcPr>
          <w:p w14:paraId="1CB41524" w14:textId="26F3B946"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57,27</w:t>
            </w:r>
          </w:p>
        </w:tc>
      </w:tr>
      <w:tr w:rsidR="00363F0A" w14:paraId="1B23C337" w14:textId="77777777" w:rsidTr="000001E3">
        <w:trPr>
          <w:jc w:val="center"/>
        </w:trPr>
        <w:tc>
          <w:tcPr>
            <w:tcW w:w="846" w:type="dxa"/>
            <w:vAlign w:val="center"/>
          </w:tcPr>
          <w:p w14:paraId="49833EBD" w14:textId="77777777" w:rsidR="002A71B0" w:rsidRPr="00CE7F05" w:rsidRDefault="00837A66" w:rsidP="000001E3">
            <w:pPr>
              <w:jc w:val="left"/>
              <w:rPr>
                <w:sz w:val="20"/>
                <w:szCs w:val="20"/>
              </w:rPr>
            </w:pPr>
            <w:r>
              <w:rPr>
                <w:sz w:val="20"/>
                <w:szCs w:val="20"/>
              </w:rPr>
              <w:t>17481</w:t>
            </w:r>
          </w:p>
        </w:tc>
        <w:tc>
          <w:tcPr>
            <w:tcW w:w="6690" w:type="dxa"/>
            <w:vAlign w:val="center"/>
          </w:tcPr>
          <w:p w14:paraId="4B0AB63F" w14:textId="77777777" w:rsidR="002A71B0" w:rsidRPr="00CE7F05" w:rsidRDefault="00837A66" w:rsidP="002A71B0">
            <w:pPr>
              <w:jc w:val="left"/>
              <w:rPr>
                <w:sz w:val="20"/>
                <w:szCs w:val="20"/>
              </w:rPr>
            </w:pPr>
            <w:r w:rsidRPr="00A6764D">
              <w:rPr>
                <w:sz w:val="20"/>
                <w:szCs w:val="20"/>
              </w:rPr>
              <w:t>ZÁSYP JAM A RÝH Z NAKUPOVANÝCH MATERIÁLŮ</w:t>
            </w:r>
          </w:p>
        </w:tc>
        <w:tc>
          <w:tcPr>
            <w:tcW w:w="879" w:type="dxa"/>
            <w:vAlign w:val="center"/>
          </w:tcPr>
          <w:p w14:paraId="74FE63B4"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5E43E1E8" w14:textId="77777777" w:rsidR="002A71B0" w:rsidRPr="00D17E4B" w:rsidRDefault="00837A66" w:rsidP="002A71B0">
            <w:pPr>
              <w:jc w:val="right"/>
              <w:rPr>
                <w:sz w:val="20"/>
                <w:szCs w:val="20"/>
              </w:rPr>
            </w:pPr>
            <w:r w:rsidRPr="00A46CDB">
              <w:rPr>
                <w:sz w:val="20"/>
                <w:szCs w:val="20"/>
              </w:rPr>
              <w:t>50,83</w:t>
            </w:r>
          </w:p>
        </w:tc>
        <w:tc>
          <w:tcPr>
            <w:tcW w:w="1020" w:type="dxa"/>
            <w:vAlign w:val="center"/>
          </w:tcPr>
          <w:p w14:paraId="6D3E6250" w14:textId="77777777" w:rsidR="002A71B0" w:rsidRPr="00D17E4B" w:rsidRDefault="00837A66" w:rsidP="002A71B0">
            <w:pPr>
              <w:jc w:val="right"/>
              <w:rPr>
                <w:sz w:val="20"/>
                <w:szCs w:val="20"/>
              </w:rPr>
            </w:pPr>
            <w:r w:rsidRPr="00A46CDB">
              <w:rPr>
                <w:sz w:val="20"/>
                <w:szCs w:val="20"/>
              </w:rPr>
              <w:t>1</w:t>
            </w:r>
            <w:r>
              <w:rPr>
                <w:sz w:val="20"/>
                <w:szCs w:val="20"/>
              </w:rPr>
              <w:t xml:space="preserve"> </w:t>
            </w:r>
            <w:r w:rsidRPr="00A46CDB">
              <w:rPr>
                <w:sz w:val="20"/>
                <w:szCs w:val="20"/>
              </w:rPr>
              <w:t>158,24</w:t>
            </w:r>
          </w:p>
        </w:tc>
        <w:tc>
          <w:tcPr>
            <w:tcW w:w="1134" w:type="dxa"/>
            <w:vAlign w:val="center"/>
          </w:tcPr>
          <w:p w14:paraId="0D4E7986" w14:textId="77777777" w:rsidR="002A71B0" w:rsidRPr="00CE7F05" w:rsidRDefault="00837A66" w:rsidP="002A71B0">
            <w:pPr>
              <w:ind w:right="57"/>
              <w:jc w:val="right"/>
              <w:rPr>
                <w:sz w:val="20"/>
                <w:szCs w:val="20"/>
              </w:rPr>
            </w:pPr>
            <w:r w:rsidRPr="00A46CDB">
              <w:rPr>
                <w:sz w:val="20"/>
                <w:szCs w:val="20"/>
              </w:rPr>
              <w:t>409,11</w:t>
            </w:r>
          </w:p>
        </w:tc>
        <w:tc>
          <w:tcPr>
            <w:tcW w:w="1134" w:type="dxa"/>
            <w:vAlign w:val="center"/>
          </w:tcPr>
          <w:p w14:paraId="1698B0DF" w14:textId="77777777" w:rsidR="002A71B0" w:rsidRPr="00CE7F05" w:rsidRDefault="00837A66" w:rsidP="002A71B0">
            <w:pPr>
              <w:ind w:right="57"/>
              <w:jc w:val="right"/>
              <w:rPr>
                <w:sz w:val="20"/>
                <w:szCs w:val="20"/>
              </w:rPr>
            </w:pPr>
            <w:r w:rsidRPr="000E5FCA">
              <w:rPr>
                <w:sz w:val="20"/>
                <w:szCs w:val="20"/>
              </w:rPr>
              <w:t>608,00</w:t>
            </w:r>
          </w:p>
        </w:tc>
        <w:tc>
          <w:tcPr>
            <w:tcW w:w="1247" w:type="dxa"/>
            <w:vAlign w:val="center"/>
          </w:tcPr>
          <w:p w14:paraId="7AC60E69" w14:textId="339D9B46"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32,71</w:t>
            </w:r>
          </w:p>
        </w:tc>
      </w:tr>
      <w:tr w:rsidR="00363F0A" w14:paraId="1E016FE6" w14:textId="77777777" w:rsidTr="000001E3">
        <w:trPr>
          <w:jc w:val="center"/>
        </w:trPr>
        <w:tc>
          <w:tcPr>
            <w:tcW w:w="846" w:type="dxa"/>
            <w:vAlign w:val="center"/>
          </w:tcPr>
          <w:p w14:paraId="4604CC34" w14:textId="77777777" w:rsidR="002A71B0" w:rsidRPr="00CE7F05" w:rsidRDefault="00837A66" w:rsidP="000001E3">
            <w:pPr>
              <w:jc w:val="left"/>
              <w:rPr>
                <w:sz w:val="20"/>
                <w:szCs w:val="20"/>
              </w:rPr>
            </w:pPr>
            <w:r w:rsidRPr="00DB3CCA">
              <w:rPr>
                <w:sz w:val="20"/>
                <w:szCs w:val="20"/>
              </w:rPr>
              <w:t>17581</w:t>
            </w:r>
          </w:p>
        </w:tc>
        <w:tc>
          <w:tcPr>
            <w:tcW w:w="6690" w:type="dxa"/>
            <w:vAlign w:val="center"/>
          </w:tcPr>
          <w:p w14:paraId="411ABBB6" w14:textId="77777777" w:rsidR="002A71B0" w:rsidRPr="00CE7F05" w:rsidRDefault="00837A66" w:rsidP="002A71B0">
            <w:pPr>
              <w:jc w:val="left"/>
              <w:rPr>
                <w:sz w:val="20"/>
                <w:szCs w:val="20"/>
              </w:rPr>
            </w:pPr>
            <w:r w:rsidRPr="00DB3CCA">
              <w:rPr>
                <w:sz w:val="20"/>
                <w:szCs w:val="20"/>
              </w:rPr>
              <w:t>OBSYP POTRUBÍ A OBJEKTŮ Z NAKUPOVANÝCH MATERIÁLŮ</w:t>
            </w:r>
          </w:p>
        </w:tc>
        <w:tc>
          <w:tcPr>
            <w:tcW w:w="879" w:type="dxa"/>
            <w:vAlign w:val="center"/>
          </w:tcPr>
          <w:p w14:paraId="39A00045"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4A373806" w14:textId="77777777" w:rsidR="002A71B0" w:rsidRPr="00D17E4B" w:rsidRDefault="00837A66" w:rsidP="002A71B0">
            <w:pPr>
              <w:jc w:val="right"/>
              <w:rPr>
                <w:sz w:val="20"/>
                <w:szCs w:val="20"/>
              </w:rPr>
            </w:pPr>
            <w:r w:rsidRPr="00A46CDB">
              <w:rPr>
                <w:sz w:val="20"/>
                <w:szCs w:val="20"/>
              </w:rPr>
              <w:t>135</w:t>
            </w:r>
            <w:r>
              <w:rPr>
                <w:sz w:val="20"/>
                <w:szCs w:val="20"/>
              </w:rPr>
              <w:t>,00</w:t>
            </w:r>
          </w:p>
        </w:tc>
        <w:tc>
          <w:tcPr>
            <w:tcW w:w="1020" w:type="dxa"/>
            <w:vAlign w:val="center"/>
          </w:tcPr>
          <w:p w14:paraId="436D19AB" w14:textId="77777777" w:rsidR="002A71B0" w:rsidRPr="00D17E4B" w:rsidRDefault="00837A66" w:rsidP="002A71B0">
            <w:pPr>
              <w:jc w:val="right"/>
              <w:rPr>
                <w:sz w:val="20"/>
                <w:szCs w:val="20"/>
              </w:rPr>
            </w:pPr>
            <w:r w:rsidRPr="00A46CDB">
              <w:rPr>
                <w:sz w:val="20"/>
                <w:szCs w:val="20"/>
              </w:rPr>
              <w:t>1</w:t>
            </w:r>
            <w:r>
              <w:rPr>
                <w:sz w:val="20"/>
                <w:szCs w:val="20"/>
              </w:rPr>
              <w:t> </w:t>
            </w:r>
            <w:r w:rsidRPr="00A46CDB">
              <w:rPr>
                <w:sz w:val="20"/>
                <w:szCs w:val="20"/>
              </w:rPr>
              <w:t>320</w:t>
            </w:r>
            <w:r>
              <w:rPr>
                <w:sz w:val="20"/>
                <w:szCs w:val="20"/>
              </w:rPr>
              <w:t>,00</w:t>
            </w:r>
          </w:p>
        </w:tc>
        <w:tc>
          <w:tcPr>
            <w:tcW w:w="1134" w:type="dxa"/>
            <w:vAlign w:val="center"/>
          </w:tcPr>
          <w:p w14:paraId="4B7E86A5" w14:textId="77777777" w:rsidR="002A71B0" w:rsidRPr="00A46CDB" w:rsidRDefault="00837A66" w:rsidP="002A71B0">
            <w:pPr>
              <w:ind w:right="57"/>
              <w:jc w:val="right"/>
              <w:rPr>
                <w:sz w:val="20"/>
                <w:szCs w:val="20"/>
              </w:rPr>
            </w:pPr>
            <w:r w:rsidRPr="00A46CDB">
              <w:rPr>
                <w:sz w:val="20"/>
                <w:szCs w:val="20"/>
              </w:rPr>
              <w:t>489,40</w:t>
            </w:r>
          </w:p>
        </w:tc>
        <w:tc>
          <w:tcPr>
            <w:tcW w:w="1134" w:type="dxa"/>
            <w:vAlign w:val="center"/>
          </w:tcPr>
          <w:p w14:paraId="50003365" w14:textId="77777777" w:rsidR="002A71B0" w:rsidRPr="00CE7F05" w:rsidRDefault="00837A66" w:rsidP="002A71B0">
            <w:pPr>
              <w:ind w:right="57"/>
              <w:jc w:val="right"/>
              <w:rPr>
                <w:sz w:val="20"/>
                <w:szCs w:val="20"/>
              </w:rPr>
            </w:pPr>
            <w:r w:rsidRPr="000E5FCA">
              <w:rPr>
                <w:sz w:val="20"/>
                <w:szCs w:val="20"/>
              </w:rPr>
              <w:t>730,00</w:t>
            </w:r>
          </w:p>
        </w:tc>
        <w:tc>
          <w:tcPr>
            <w:tcW w:w="1247" w:type="dxa"/>
            <w:vAlign w:val="center"/>
          </w:tcPr>
          <w:p w14:paraId="32C08029" w14:textId="16BDB1EC"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32,96</w:t>
            </w:r>
          </w:p>
        </w:tc>
      </w:tr>
      <w:tr w:rsidR="00363F0A" w14:paraId="6E91D68F" w14:textId="77777777" w:rsidTr="000001E3">
        <w:trPr>
          <w:jc w:val="center"/>
        </w:trPr>
        <w:tc>
          <w:tcPr>
            <w:tcW w:w="846" w:type="dxa"/>
            <w:vAlign w:val="center"/>
          </w:tcPr>
          <w:p w14:paraId="382E9D93" w14:textId="77777777" w:rsidR="002A71B0" w:rsidRPr="00CE7F05" w:rsidRDefault="00837A66" w:rsidP="00CD155C">
            <w:pPr>
              <w:jc w:val="left"/>
              <w:rPr>
                <w:sz w:val="20"/>
                <w:szCs w:val="20"/>
              </w:rPr>
            </w:pPr>
            <w:r>
              <w:rPr>
                <w:sz w:val="20"/>
                <w:szCs w:val="20"/>
              </w:rPr>
              <w:t>21451</w:t>
            </w:r>
          </w:p>
        </w:tc>
        <w:tc>
          <w:tcPr>
            <w:tcW w:w="6690" w:type="dxa"/>
            <w:vAlign w:val="center"/>
          </w:tcPr>
          <w:p w14:paraId="6F5FF421" w14:textId="77777777" w:rsidR="002A71B0" w:rsidRPr="00CE7F05" w:rsidRDefault="00837A66" w:rsidP="002A71B0">
            <w:pPr>
              <w:jc w:val="left"/>
              <w:rPr>
                <w:sz w:val="20"/>
                <w:szCs w:val="20"/>
              </w:rPr>
            </w:pPr>
            <w:r w:rsidRPr="00A70474">
              <w:rPr>
                <w:sz w:val="20"/>
                <w:szCs w:val="20"/>
              </w:rPr>
              <w:t>SANAČNÍ VRSTVY Z LOMOVÉHO KAMENE</w:t>
            </w:r>
          </w:p>
        </w:tc>
        <w:tc>
          <w:tcPr>
            <w:tcW w:w="879" w:type="dxa"/>
            <w:vAlign w:val="center"/>
          </w:tcPr>
          <w:p w14:paraId="4F258D20"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6EA3D745" w14:textId="77777777" w:rsidR="002A71B0" w:rsidRPr="00D17E4B" w:rsidRDefault="00837A66" w:rsidP="002A71B0">
            <w:pPr>
              <w:jc w:val="right"/>
              <w:rPr>
                <w:sz w:val="20"/>
                <w:szCs w:val="20"/>
              </w:rPr>
            </w:pPr>
            <w:r w:rsidRPr="00111D2F">
              <w:rPr>
                <w:sz w:val="20"/>
                <w:szCs w:val="20"/>
              </w:rPr>
              <w:t>288,02</w:t>
            </w:r>
          </w:p>
        </w:tc>
        <w:tc>
          <w:tcPr>
            <w:tcW w:w="1020" w:type="dxa"/>
            <w:vAlign w:val="center"/>
          </w:tcPr>
          <w:p w14:paraId="1E865952" w14:textId="77777777" w:rsidR="002A71B0" w:rsidRPr="00D17E4B" w:rsidRDefault="00837A66" w:rsidP="002A71B0">
            <w:pPr>
              <w:jc w:val="right"/>
              <w:rPr>
                <w:sz w:val="20"/>
                <w:szCs w:val="20"/>
              </w:rPr>
            </w:pPr>
            <w:r w:rsidRPr="00111D2F">
              <w:rPr>
                <w:sz w:val="20"/>
                <w:szCs w:val="20"/>
              </w:rPr>
              <w:t>715</w:t>
            </w:r>
            <w:r>
              <w:rPr>
                <w:sz w:val="20"/>
                <w:szCs w:val="20"/>
              </w:rPr>
              <w:t>,00</w:t>
            </w:r>
          </w:p>
        </w:tc>
        <w:tc>
          <w:tcPr>
            <w:tcW w:w="1134" w:type="dxa"/>
            <w:vAlign w:val="center"/>
          </w:tcPr>
          <w:p w14:paraId="231D5DF5" w14:textId="77777777" w:rsidR="002A71B0" w:rsidRPr="00CE7F05" w:rsidRDefault="00837A66" w:rsidP="002A71B0">
            <w:pPr>
              <w:ind w:right="57"/>
              <w:jc w:val="right"/>
              <w:rPr>
                <w:sz w:val="20"/>
                <w:szCs w:val="20"/>
              </w:rPr>
            </w:pPr>
            <w:r w:rsidRPr="00111D2F">
              <w:rPr>
                <w:sz w:val="20"/>
                <w:szCs w:val="20"/>
              </w:rPr>
              <w:t>445,85</w:t>
            </w:r>
          </w:p>
        </w:tc>
        <w:tc>
          <w:tcPr>
            <w:tcW w:w="1134" w:type="dxa"/>
            <w:vAlign w:val="center"/>
          </w:tcPr>
          <w:p w14:paraId="38AA3833" w14:textId="77777777" w:rsidR="002A71B0" w:rsidRPr="00CE7F05" w:rsidRDefault="00837A66" w:rsidP="002A71B0">
            <w:pPr>
              <w:ind w:right="57"/>
              <w:jc w:val="right"/>
              <w:rPr>
                <w:sz w:val="20"/>
                <w:szCs w:val="20"/>
              </w:rPr>
            </w:pPr>
            <w:r w:rsidRPr="00773F8D">
              <w:rPr>
                <w:sz w:val="20"/>
                <w:szCs w:val="20"/>
              </w:rPr>
              <w:t>827,00</w:t>
            </w:r>
          </w:p>
        </w:tc>
        <w:tc>
          <w:tcPr>
            <w:tcW w:w="1247" w:type="dxa"/>
            <w:vAlign w:val="center"/>
          </w:tcPr>
          <w:p w14:paraId="753ADF34" w14:textId="1EFFA22C"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46,09</w:t>
            </w:r>
          </w:p>
        </w:tc>
      </w:tr>
      <w:tr w:rsidR="00363F0A" w14:paraId="202C4309" w14:textId="77777777" w:rsidTr="000001E3">
        <w:trPr>
          <w:jc w:val="center"/>
        </w:trPr>
        <w:tc>
          <w:tcPr>
            <w:tcW w:w="846" w:type="dxa"/>
            <w:vAlign w:val="center"/>
          </w:tcPr>
          <w:p w14:paraId="6BE111C6" w14:textId="77777777" w:rsidR="002A71B0" w:rsidRPr="00CE7F05" w:rsidRDefault="00837A66" w:rsidP="00CD155C">
            <w:pPr>
              <w:jc w:val="left"/>
              <w:rPr>
                <w:sz w:val="20"/>
                <w:szCs w:val="20"/>
              </w:rPr>
            </w:pPr>
            <w:r w:rsidRPr="00A70474">
              <w:rPr>
                <w:sz w:val="20"/>
                <w:szCs w:val="20"/>
              </w:rPr>
              <w:t>224324</w:t>
            </w:r>
          </w:p>
        </w:tc>
        <w:tc>
          <w:tcPr>
            <w:tcW w:w="6690" w:type="dxa"/>
            <w:vAlign w:val="center"/>
          </w:tcPr>
          <w:p w14:paraId="3473D370" w14:textId="77777777" w:rsidR="002A71B0" w:rsidRPr="00CE7F05" w:rsidRDefault="00837A66" w:rsidP="002A71B0">
            <w:pPr>
              <w:jc w:val="left"/>
              <w:rPr>
                <w:sz w:val="20"/>
                <w:szCs w:val="20"/>
              </w:rPr>
            </w:pPr>
            <w:r w:rsidRPr="00A70474">
              <w:rPr>
                <w:sz w:val="20"/>
                <w:szCs w:val="20"/>
              </w:rPr>
              <w:t>PILOTY ZE ŽELEZOBETONU DO C25/30 (B30)</w:t>
            </w:r>
            <w:r>
              <w:rPr>
                <w:sz w:val="20"/>
                <w:szCs w:val="20"/>
              </w:rPr>
              <w:t xml:space="preserve"> (</w:t>
            </w:r>
            <w:r w:rsidRPr="00A70474">
              <w:rPr>
                <w:sz w:val="20"/>
                <w:szCs w:val="20"/>
              </w:rPr>
              <w:t>PILOTY ZE ŽELEZOBETONU C25/30</w:t>
            </w:r>
            <w:r>
              <w:rPr>
                <w:sz w:val="20"/>
                <w:szCs w:val="20"/>
              </w:rPr>
              <w:t>)</w:t>
            </w:r>
          </w:p>
        </w:tc>
        <w:tc>
          <w:tcPr>
            <w:tcW w:w="879" w:type="dxa"/>
            <w:vAlign w:val="center"/>
          </w:tcPr>
          <w:p w14:paraId="5A8348ED"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799192BF" w14:textId="77777777" w:rsidR="002A71B0" w:rsidRPr="00D17E4B" w:rsidRDefault="00837A66" w:rsidP="002A71B0">
            <w:pPr>
              <w:jc w:val="right"/>
              <w:rPr>
                <w:sz w:val="20"/>
                <w:szCs w:val="20"/>
              </w:rPr>
            </w:pPr>
            <w:r w:rsidRPr="00392387">
              <w:rPr>
                <w:sz w:val="20"/>
                <w:szCs w:val="20"/>
              </w:rPr>
              <w:t>1</w:t>
            </w:r>
            <w:r>
              <w:rPr>
                <w:sz w:val="20"/>
                <w:szCs w:val="20"/>
              </w:rPr>
              <w:t xml:space="preserve"> </w:t>
            </w:r>
            <w:r w:rsidRPr="00392387">
              <w:rPr>
                <w:sz w:val="20"/>
                <w:szCs w:val="20"/>
              </w:rPr>
              <w:t>544,94</w:t>
            </w:r>
          </w:p>
        </w:tc>
        <w:tc>
          <w:tcPr>
            <w:tcW w:w="1020" w:type="dxa"/>
            <w:vAlign w:val="center"/>
          </w:tcPr>
          <w:p w14:paraId="60B7A3BE" w14:textId="77777777" w:rsidR="002A71B0" w:rsidRPr="00D17E4B" w:rsidRDefault="00837A66" w:rsidP="002A71B0">
            <w:pPr>
              <w:jc w:val="right"/>
              <w:rPr>
                <w:sz w:val="20"/>
                <w:szCs w:val="20"/>
              </w:rPr>
            </w:pPr>
            <w:r w:rsidRPr="00392387">
              <w:rPr>
                <w:sz w:val="20"/>
                <w:szCs w:val="20"/>
              </w:rPr>
              <w:t>4</w:t>
            </w:r>
            <w:r>
              <w:rPr>
                <w:sz w:val="20"/>
                <w:szCs w:val="20"/>
              </w:rPr>
              <w:t xml:space="preserve"> </w:t>
            </w:r>
            <w:r w:rsidRPr="00392387">
              <w:rPr>
                <w:sz w:val="20"/>
                <w:szCs w:val="20"/>
              </w:rPr>
              <w:t>220,69</w:t>
            </w:r>
          </w:p>
        </w:tc>
        <w:tc>
          <w:tcPr>
            <w:tcW w:w="1134" w:type="dxa"/>
            <w:vAlign w:val="center"/>
          </w:tcPr>
          <w:p w14:paraId="0011A1B2" w14:textId="77777777" w:rsidR="002A71B0" w:rsidRPr="00CE7F05" w:rsidRDefault="00837A66" w:rsidP="002A71B0">
            <w:pPr>
              <w:ind w:right="57"/>
              <w:jc w:val="right"/>
              <w:rPr>
                <w:sz w:val="20"/>
                <w:szCs w:val="20"/>
              </w:rPr>
            </w:pPr>
            <w:r w:rsidRPr="00392387">
              <w:rPr>
                <w:sz w:val="20"/>
                <w:szCs w:val="20"/>
              </w:rPr>
              <w:t>1 977,32</w:t>
            </w:r>
          </w:p>
        </w:tc>
        <w:tc>
          <w:tcPr>
            <w:tcW w:w="1134" w:type="dxa"/>
            <w:vAlign w:val="center"/>
          </w:tcPr>
          <w:p w14:paraId="3F74CBD5" w14:textId="77777777" w:rsidR="002A71B0" w:rsidRPr="00CE7F05" w:rsidRDefault="00837A66" w:rsidP="002A71B0">
            <w:pPr>
              <w:ind w:right="57"/>
              <w:jc w:val="right"/>
              <w:rPr>
                <w:sz w:val="20"/>
                <w:szCs w:val="20"/>
              </w:rPr>
            </w:pPr>
            <w:r w:rsidRPr="00773F8D">
              <w:rPr>
                <w:sz w:val="20"/>
                <w:szCs w:val="20"/>
              </w:rPr>
              <w:t>3 570,00</w:t>
            </w:r>
          </w:p>
        </w:tc>
        <w:tc>
          <w:tcPr>
            <w:tcW w:w="1247" w:type="dxa"/>
            <w:vAlign w:val="center"/>
          </w:tcPr>
          <w:p w14:paraId="7EBC7D9F" w14:textId="023FD217"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44,61</w:t>
            </w:r>
          </w:p>
        </w:tc>
      </w:tr>
      <w:tr w:rsidR="00363F0A" w14:paraId="1FB9B6C6" w14:textId="77777777" w:rsidTr="000001E3">
        <w:trPr>
          <w:jc w:val="center"/>
        </w:trPr>
        <w:tc>
          <w:tcPr>
            <w:tcW w:w="846" w:type="dxa"/>
            <w:vAlign w:val="center"/>
          </w:tcPr>
          <w:p w14:paraId="5D1476ED" w14:textId="77777777" w:rsidR="002A71B0" w:rsidRPr="00CE7F05" w:rsidRDefault="00837A66" w:rsidP="000001E3">
            <w:pPr>
              <w:jc w:val="left"/>
              <w:rPr>
                <w:sz w:val="20"/>
                <w:szCs w:val="20"/>
              </w:rPr>
            </w:pPr>
            <w:r>
              <w:rPr>
                <w:sz w:val="20"/>
                <w:szCs w:val="20"/>
              </w:rPr>
              <w:t>224325</w:t>
            </w:r>
          </w:p>
        </w:tc>
        <w:tc>
          <w:tcPr>
            <w:tcW w:w="6690" w:type="dxa"/>
            <w:vAlign w:val="center"/>
          </w:tcPr>
          <w:p w14:paraId="752346F3" w14:textId="77777777" w:rsidR="002A71B0" w:rsidRPr="00CE7F05" w:rsidRDefault="00837A66" w:rsidP="002A71B0">
            <w:pPr>
              <w:jc w:val="left"/>
              <w:rPr>
                <w:sz w:val="20"/>
                <w:szCs w:val="20"/>
              </w:rPr>
            </w:pPr>
            <w:r w:rsidRPr="00A70474">
              <w:rPr>
                <w:sz w:val="20"/>
                <w:szCs w:val="20"/>
              </w:rPr>
              <w:t>PILOTY ZE ŽELEZOBETONU DO C30/37 (B37)</w:t>
            </w:r>
            <w:r>
              <w:rPr>
                <w:sz w:val="20"/>
                <w:szCs w:val="20"/>
              </w:rPr>
              <w:t xml:space="preserve"> (</w:t>
            </w:r>
            <w:r w:rsidRPr="00A70474">
              <w:rPr>
                <w:sz w:val="20"/>
                <w:szCs w:val="20"/>
              </w:rPr>
              <w:t>PILOTY ZE ŽELEZOBETONU C30/37</w:t>
            </w:r>
            <w:r>
              <w:rPr>
                <w:sz w:val="20"/>
                <w:szCs w:val="20"/>
              </w:rPr>
              <w:t>)</w:t>
            </w:r>
          </w:p>
        </w:tc>
        <w:tc>
          <w:tcPr>
            <w:tcW w:w="879" w:type="dxa"/>
            <w:vAlign w:val="center"/>
          </w:tcPr>
          <w:p w14:paraId="6565C4D9"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0C3D9A51" w14:textId="77777777" w:rsidR="002A71B0" w:rsidRPr="00D17E4B" w:rsidRDefault="00837A66" w:rsidP="002A71B0">
            <w:pPr>
              <w:jc w:val="right"/>
              <w:rPr>
                <w:sz w:val="20"/>
                <w:szCs w:val="20"/>
              </w:rPr>
            </w:pPr>
            <w:r w:rsidRPr="00392387">
              <w:rPr>
                <w:sz w:val="20"/>
                <w:szCs w:val="20"/>
              </w:rPr>
              <w:t>1</w:t>
            </w:r>
            <w:r>
              <w:rPr>
                <w:sz w:val="20"/>
                <w:szCs w:val="20"/>
              </w:rPr>
              <w:t xml:space="preserve"> </w:t>
            </w:r>
            <w:r w:rsidRPr="00392387">
              <w:rPr>
                <w:sz w:val="20"/>
                <w:szCs w:val="20"/>
              </w:rPr>
              <w:t>730</w:t>
            </w:r>
            <w:r>
              <w:rPr>
                <w:sz w:val="20"/>
                <w:szCs w:val="20"/>
              </w:rPr>
              <w:t>,00</w:t>
            </w:r>
          </w:p>
        </w:tc>
        <w:tc>
          <w:tcPr>
            <w:tcW w:w="1020" w:type="dxa"/>
            <w:vAlign w:val="center"/>
          </w:tcPr>
          <w:p w14:paraId="3255D4F7" w14:textId="77777777" w:rsidR="002A71B0" w:rsidRPr="00D17E4B" w:rsidRDefault="00837A66" w:rsidP="002A71B0">
            <w:pPr>
              <w:jc w:val="right"/>
              <w:rPr>
                <w:sz w:val="20"/>
                <w:szCs w:val="20"/>
              </w:rPr>
            </w:pPr>
            <w:r w:rsidRPr="00392387">
              <w:rPr>
                <w:sz w:val="20"/>
                <w:szCs w:val="20"/>
              </w:rPr>
              <w:t>3</w:t>
            </w:r>
            <w:r>
              <w:rPr>
                <w:sz w:val="20"/>
                <w:szCs w:val="20"/>
              </w:rPr>
              <w:t xml:space="preserve"> </w:t>
            </w:r>
            <w:r w:rsidRPr="00392387">
              <w:rPr>
                <w:sz w:val="20"/>
                <w:szCs w:val="20"/>
              </w:rPr>
              <w:t>851</w:t>
            </w:r>
            <w:r>
              <w:rPr>
                <w:sz w:val="20"/>
                <w:szCs w:val="20"/>
              </w:rPr>
              <w:t>,00</w:t>
            </w:r>
          </w:p>
        </w:tc>
        <w:tc>
          <w:tcPr>
            <w:tcW w:w="1134" w:type="dxa"/>
            <w:vAlign w:val="center"/>
          </w:tcPr>
          <w:p w14:paraId="21D7E2C5" w14:textId="77777777" w:rsidR="002A71B0" w:rsidRPr="00CE7F05" w:rsidRDefault="00837A66" w:rsidP="002A71B0">
            <w:pPr>
              <w:ind w:right="57"/>
              <w:jc w:val="right"/>
              <w:rPr>
                <w:sz w:val="20"/>
                <w:szCs w:val="20"/>
              </w:rPr>
            </w:pPr>
            <w:r w:rsidRPr="00392387">
              <w:rPr>
                <w:sz w:val="20"/>
                <w:szCs w:val="20"/>
              </w:rPr>
              <w:t>2 528,47</w:t>
            </w:r>
          </w:p>
        </w:tc>
        <w:tc>
          <w:tcPr>
            <w:tcW w:w="1134" w:type="dxa"/>
            <w:vAlign w:val="center"/>
          </w:tcPr>
          <w:p w14:paraId="72236DA4" w14:textId="77777777" w:rsidR="002A71B0" w:rsidRPr="00CE7F05" w:rsidRDefault="00837A66" w:rsidP="002A71B0">
            <w:pPr>
              <w:ind w:right="57"/>
              <w:jc w:val="right"/>
              <w:rPr>
                <w:sz w:val="20"/>
                <w:szCs w:val="20"/>
              </w:rPr>
            </w:pPr>
            <w:r w:rsidRPr="00773F8D">
              <w:rPr>
                <w:sz w:val="20"/>
                <w:szCs w:val="20"/>
              </w:rPr>
              <w:t>3 730,00</w:t>
            </w:r>
          </w:p>
        </w:tc>
        <w:tc>
          <w:tcPr>
            <w:tcW w:w="1247" w:type="dxa"/>
            <w:vAlign w:val="center"/>
          </w:tcPr>
          <w:p w14:paraId="543210C2" w14:textId="56368CDD"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32,21</w:t>
            </w:r>
          </w:p>
        </w:tc>
      </w:tr>
      <w:tr w:rsidR="00363F0A" w14:paraId="735704C9" w14:textId="77777777" w:rsidTr="000001E3">
        <w:trPr>
          <w:jc w:val="center"/>
        </w:trPr>
        <w:tc>
          <w:tcPr>
            <w:tcW w:w="846" w:type="dxa"/>
            <w:vAlign w:val="center"/>
          </w:tcPr>
          <w:p w14:paraId="32A58AAB" w14:textId="77777777" w:rsidR="002A71B0" w:rsidRPr="00CE7F05" w:rsidRDefault="00837A66" w:rsidP="000001E3">
            <w:pPr>
              <w:jc w:val="left"/>
              <w:rPr>
                <w:sz w:val="20"/>
                <w:szCs w:val="20"/>
              </w:rPr>
            </w:pPr>
            <w:r>
              <w:rPr>
                <w:sz w:val="20"/>
                <w:szCs w:val="20"/>
              </w:rPr>
              <w:t>224365</w:t>
            </w:r>
          </w:p>
        </w:tc>
        <w:tc>
          <w:tcPr>
            <w:tcW w:w="6690" w:type="dxa"/>
            <w:vAlign w:val="center"/>
          </w:tcPr>
          <w:p w14:paraId="13C59991" w14:textId="77777777" w:rsidR="002A71B0" w:rsidRPr="00CE7F05" w:rsidRDefault="00837A66" w:rsidP="002A71B0">
            <w:pPr>
              <w:jc w:val="left"/>
              <w:rPr>
                <w:sz w:val="20"/>
                <w:szCs w:val="20"/>
              </w:rPr>
            </w:pPr>
            <w:r w:rsidRPr="00A70474">
              <w:rPr>
                <w:sz w:val="20"/>
                <w:szCs w:val="20"/>
              </w:rPr>
              <w:t>VÝZTUŽ PILOT Z OCELI 10505</w:t>
            </w:r>
          </w:p>
        </w:tc>
        <w:tc>
          <w:tcPr>
            <w:tcW w:w="879" w:type="dxa"/>
            <w:vAlign w:val="center"/>
          </w:tcPr>
          <w:p w14:paraId="1EA1022E" w14:textId="77777777" w:rsidR="002A71B0" w:rsidRPr="00CE7F05" w:rsidRDefault="00837A66" w:rsidP="002A71B0">
            <w:pPr>
              <w:jc w:val="center"/>
              <w:rPr>
                <w:sz w:val="20"/>
                <w:szCs w:val="20"/>
              </w:rPr>
            </w:pPr>
            <w:r>
              <w:rPr>
                <w:sz w:val="20"/>
                <w:szCs w:val="20"/>
              </w:rPr>
              <w:t>t</w:t>
            </w:r>
          </w:p>
        </w:tc>
        <w:tc>
          <w:tcPr>
            <w:tcW w:w="1020" w:type="dxa"/>
            <w:vAlign w:val="center"/>
          </w:tcPr>
          <w:p w14:paraId="21DD6286" w14:textId="77777777" w:rsidR="002A71B0" w:rsidRPr="00D17E4B" w:rsidRDefault="00837A66" w:rsidP="002A71B0">
            <w:pPr>
              <w:jc w:val="right"/>
              <w:rPr>
                <w:sz w:val="20"/>
                <w:szCs w:val="20"/>
              </w:rPr>
            </w:pPr>
            <w:r w:rsidRPr="00392387">
              <w:rPr>
                <w:sz w:val="20"/>
                <w:szCs w:val="20"/>
              </w:rPr>
              <w:t>9</w:t>
            </w:r>
            <w:r>
              <w:rPr>
                <w:sz w:val="20"/>
                <w:szCs w:val="20"/>
              </w:rPr>
              <w:t xml:space="preserve"> </w:t>
            </w:r>
            <w:r w:rsidRPr="00392387">
              <w:rPr>
                <w:sz w:val="20"/>
                <w:szCs w:val="20"/>
              </w:rPr>
              <w:t>000</w:t>
            </w:r>
            <w:r>
              <w:rPr>
                <w:sz w:val="20"/>
                <w:szCs w:val="20"/>
              </w:rPr>
              <w:t>,00</w:t>
            </w:r>
          </w:p>
        </w:tc>
        <w:tc>
          <w:tcPr>
            <w:tcW w:w="1020" w:type="dxa"/>
            <w:vAlign w:val="center"/>
          </w:tcPr>
          <w:p w14:paraId="451970EB" w14:textId="77777777" w:rsidR="002A71B0" w:rsidRPr="00D17E4B" w:rsidRDefault="00837A66" w:rsidP="002A71B0">
            <w:pPr>
              <w:jc w:val="right"/>
              <w:rPr>
                <w:sz w:val="20"/>
                <w:szCs w:val="20"/>
              </w:rPr>
            </w:pPr>
            <w:r w:rsidRPr="00392387">
              <w:rPr>
                <w:sz w:val="20"/>
                <w:szCs w:val="20"/>
              </w:rPr>
              <w:t>30</w:t>
            </w:r>
            <w:r>
              <w:rPr>
                <w:sz w:val="20"/>
                <w:szCs w:val="20"/>
              </w:rPr>
              <w:t xml:space="preserve"> </w:t>
            </w:r>
            <w:r w:rsidRPr="00392387">
              <w:rPr>
                <w:sz w:val="20"/>
                <w:szCs w:val="20"/>
              </w:rPr>
              <w:t>147,48</w:t>
            </w:r>
          </w:p>
        </w:tc>
        <w:tc>
          <w:tcPr>
            <w:tcW w:w="1134" w:type="dxa"/>
            <w:vAlign w:val="center"/>
          </w:tcPr>
          <w:p w14:paraId="7C0DB0B9" w14:textId="77777777" w:rsidR="002A71B0" w:rsidRPr="00CE7F05" w:rsidRDefault="00837A66" w:rsidP="002A71B0">
            <w:pPr>
              <w:ind w:right="57"/>
              <w:jc w:val="right"/>
              <w:rPr>
                <w:sz w:val="20"/>
                <w:szCs w:val="20"/>
              </w:rPr>
            </w:pPr>
            <w:r w:rsidRPr="00392387">
              <w:rPr>
                <w:sz w:val="20"/>
                <w:szCs w:val="20"/>
              </w:rPr>
              <w:t>19 112,73</w:t>
            </w:r>
          </w:p>
        </w:tc>
        <w:tc>
          <w:tcPr>
            <w:tcW w:w="1134" w:type="dxa"/>
            <w:vAlign w:val="center"/>
          </w:tcPr>
          <w:p w14:paraId="3441A2BE" w14:textId="77777777" w:rsidR="002A71B0" w:rsidRPr="00CE7F05" w:rsidRDefault="00837A66" w:rsidP="002A71B0">
            <w:pPr>
              <w:ind w:right="57"/>
              <w:jc w:val="right"/>
              <w:rPr>
                <w:sz w:val="20"/>
                <w:szCs w:val="20"/>
              </w:rPr>
            </w:pPr>
            <w:r w:rsidRPr="00773F8D">
              <w:rPr>
                <w:sz w:val="20"/>
                <w:szCs w:val="20"/>
              </w:rPr>
              <w:t>28 000,00</w:t>
            </w:r>
          </w:p>
        </w:tc>
        <w:tc>
          <w:tcPr>
            <w:tcW w:w="1247" w:type="dxa"/>
            <w:vAlign w:val="center"/>
          </w:tcPr>
          <w:p w14:paraId="550D1E7A" w14:textId="3074489F"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31,74</w:t>
            </w:r>
          </w:p>
        </w:tc>
      </w:tr>
      <w:tr w:rsidR="00363F0A" w14:paraId="3E7D0453" w14:textId="77777777" w:rsidTr="000001E3">
        <w:trPr>
          <w:jc w:val="center"/>
        </w:trPr>
        <w:tc>
          <w:tcPr>
            <w:tcW w:w="846" w:type="dxa"/>
            <w:vAlign w:val="center"/>
          </w:tcPr>
          <w:p w14:paraId="6C5F8462" w14:textId="77777777" w:rsidR="002A71B0" w:rsidRPr="00CE7F05" w:rsidRDefault="00837A66" w:rsidP="000001E3">
            <w:pPr>
              <w:jc w:val="left"/>
              <w:rPr>
                <w:sz w:val="20"/>
                <w:szCs w:val="20"/>
              </w:rPr>
            </w:pPr>
            <w:r>
              <w:rPr>
                <w:sz w:val="20"/>
                <w:szCs w:val="20"/>
              </w:rPr>
              <w:t>272324</w:t>
            </w:r>
          </w:p>
        </w:tc>
        <w:tc>
          <w:tcPr>
            <w:tcW w:w="6690" w:type="dxa"/>
            <w:vAlign w:val="center"/>
          </w:tcPr>
          <w:p w14:paraId="27669D10" w14:textId="77777777" w:rsidR="002A71B0" w:rsidRPr="00CE7F05" w:rsidRDefault="00837A66" w:rsidP="002A71B0">
            <w:pPr>
              <w:jc w:val="left"/>
              <w:rPr>
                <w:sz w:val="20"/>
                <w:szCs w:val="20"/>
              </w:rPr>
            </w:pPr>
            <w:r w:rsidRPr="00D04518">
              <w:rPr>
                <w:sz w:val="20"/>
                <w:szCs w:val="20"/>
              </w:rPr>
              <w:t>ZÁKLADY ZE ŽELEZOBETONU DO C25/30 (B30)</w:t>
            </w:r>
          </w:p>
        </w:tc>
        <w:tc>
          <w:tcPr>
            <w:tcW w:w="879" w:type="dxa"/>
            <w:vAlign w:val="center"/>
          </w:tcPr>
          <w:p w14:paraId="26A43339"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044DE555" w14:textId="77777777" w:rsidR="002A71B0" w:rsidRPr="00D17E4B" w:rsidRDefault="00837A66" w:rsidP="002A71B0">
            <w:pPr>
              <w:jc w:val="right"/>
              <w:rPr>
                <w:sz w:val="20"/>
                <w:szCs w:val="20"/>
              </w:rPr>
            </w:pPr>
            <w:r w:rsidRPr="00392387">
              <w:rPr>
                <w:sz w:val="20"/>
                <w:szCs w:val="20"/>
              </w:rPr>
              <w:t>1</w:t>
            </w:r>
            <w:r>
              <w:rPr>
                <w:sz w:val="20"/>
                <w:szCs w:val="20"/>
              </w:rPr>
              <w:t xml:space="preserve"> </w:t>
            </w:r>
            <w:r w:rsidRPr="00392387">
              <w:rPr>
                <w:sz w:val="20"/>
                <w:szCs w:val="20"/>
              </w:rPr>
              <w:t>953,84</w:t>
            </w:r>
          </w:p>
        </w:tc>
        <w:tc>
          <w:tcPr>
            <w:tcW w:w="1020" w:type="dxa"/>
            <w:vAlign w:val="center"/>
          </w:tcPr>
          <w:p w14:paraId="3B639644" w14:textId="77777777" w:rsidR="002A71B0" w:rsidRPr="00D17E4B" w:rsidRDefault="00837A66" w:rsidP="002A71B0">
            <w:pPr>
              <w:jc w:val="right"/>
              <w:rPr>
                <w:sz w:val="20"/>
                <w:szCs w:val="20"/>
              </w:rPr>
            </w:pPr>
            <w:r w:rsidRPr="00392387">
              <w:rPr>
                <w:sz w:val="20"/>
                <w:szCs w:val="20"/>
              </w:rPr>
              <w:t>16</w:t>
            </w:r>
            <w:r>
              <w:rPr>
                <w:sz w:val="20"/>
                <w:szCs w:val="20"/>
              </w:rPr>
              <w:t xml:space="preserve"> </w:t>
            </w:r>
            <w:r w:rsidRPr="00392387">
              <w:rPr>
                <w:sz w:val="20"/>
                <w:szCs w:val="20"/>
              </w:rPr>
              <w:t>128,53</w:t>
            </w:r>
          </w:p>
        </w:tc>
        <w:tc>
          <w:tcPr>
            <w:tcW w:w="1134" w:type="dxa"/>
            <w:vAlign w:val="center"/>
          </w:tcPr>
          <w:p w14:paraId="768884DE" w14:textId="77777777" w:rsidR="002A71B0" w:rsidRPr="00CE7F05" w:rsidRDefault="00837A66" w:rsidP="002A71B0">
            <w:pPr>
              <w:ind w:right="57"/>
              <w:jc w:val="right"/>
              <w:rPr>
                <w:sz w:val="20"/>
                <w:szCs w:val="20"/>
              </w:rPr>
            </w:pPr>
            <w:r w:rsidRPr="00392387">
              <w:rPr>
                <w:sz w:val="20"/>
                <w:szCs w:val="20"/>
              </w:rPr>
              <w:t>3 374,74</w:t>
            </w:r>
          </w:p>
        </w:tc>
        <w:tc>
          <w:tcPr>
            <w:tcW w:w="1134" w:type="dxa"/>
            <w:vAlign w:val="center"/>
          </w:tcPr>
          <w:p w14:paraId="6E5E3481" w14:textId="77777777" w:rsidR="002A71B0" w:rsidRPr="00CE7F05" w:rsidRDefault="00837A66" w:rsidP="002A71B0">
            <w:pPr>
              <w:ind w:right="57"/>
              <w:jc w:val="right"/>
              <w:rPr>
                <w:sz w:val="20"/>
                <w:szCs w:val="20"/>
              </w:rPr>
            </w:pPr>
            <w:r w:rsidRPr="00773F8D">
              <w:rPr>
                <w:sz w:val="20"/>
                <w:szCs w:val="20"/>
              </w:rPr>
              <w:t>3 610,00</w:t>
            </w:r>
          </w:p>
        </w:tc>
        <w:tc>
          <w:tcPr>
            <w:tcW w:w="1247" w:type="dxa"/>
            <w:vAlign w:val="center"/>
          </w:tcPr>
          <w:p w14:paraId="2F111C72" w14:textId="68EF7060"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6,52</w:t>
            </w:r>
          </w:p>
        </w:tc>
      </w:tr>
      <w:tr w:rsidR="00363F0A" w14:paraId="3233D1F1" w14:textId="77777777" w:rsidTr="000001E3">
        <w:trPr>
          <w:jc w:val="center"/>
        </w:trPr>
        <w:tc>
          <w:tcPr>
            <w:tcW w:w="846" w:type="dxa"/>
            <w:vAlign w:val="center"/>
          </w:tcPr>
          <w:p w14:paraId="5D1BC5DB" w14:textId="77777777" w:rsidR="002A71B0" w:rsidRPr="00CE7F05" w:rsidRDefault="00837A66" w:rsidP="000001E3">
            <w:pPr>
              <w:jc w:val="left"/>
              <w:rPr>
                <w:sz w:val="20"/>
                <w:szCs w:val="20"/>
              </w:rPr>
            </w:pPr>
            <w:r w:rsidRPr="00F80C5C">
              <w:rPr>
                <w:sz w:val="20"/>
                <w:szCs w:val="20"/>
              </w:rPr>
              <w:t>272325</w:t>
            </w:r>
          </w:p>
        </w:tc>
        <w:tc>
          <w:tcPr>
            <w:tcW w:w="6690" w:type="dxa"/>
            <w:vAlign w:val="center"/>
          </w:tcPr>
          <w:p w14:paraId="0D825D5F" w14:textId="77777777" w:rsidR="002A71B0" w:rsidRPr="00CE7F05" w:rsidRDefault="00837A66" w:rsidP="002A71B0">
            <w:pPr>
              <w:jc w:val="left"/>
              <w:rPr>
                <w:sz w:val="20"/>
                <w:szCs w:val="20"/>
              </w:rPr>
            </w:pPr>
            <w:r w:rsidRPr="00F80C5C">
              <w:rPr>
                <w:sz w:val="20"/>
                <w:szCs w:val="20"/>
              </w:rPr>
              <w:t>ZÁKLADY ZE ŽELEZOBETONU DO C30/37 (B37)</w:t>
            </w:r>
          </w:p>
        </w:tc>
        <w:tc>
          <w:tcPr>
            <w:tcW w:w="879" w:type="dxa"/>
            <w:vAlign w:val="center"/>
          </w:tcPr>
          <w:p w14:paraId="5D44ADD2"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2ECD46DA" w14:textId="77777777" w:rsidR="002A71B0" w:rsidRPr="00D17E4B" w:rsidRDefault="00837A66" w:rsidP="002A71B0">
            <w:pPr>
              <w:jc w:val="right"/>
              <w:rPr>
                <w:sz w:val="20"/>
                <w:szCs w:val="20"/>
              </w:rPr>
            </w:pPr>
            <w:r w:rsidRPr="00A656E9">
              <w:rPr>
                <w:sz w:val="20"/>
                <w:szCs w:val="20"/>
              </w:rPr>
              <w:t>2</w:t>
            </w:r>
            <w:r>
              <w:rPr>
                <w:sz w:val="20"/>
                <w:szCs w:val="20"/>
              </w:rPr>
              <w:t xml:space="preserve"> </w:t>
            </w:r>
            <w:r w:rsidRPr="00A656E9">
              <w:rPr>
                <w:sz w:val="20"/>
                <w:szCs w:val="20"/>
              </w:rPr>
              <w:t>428</w:t>
            </w:r>
            <w:r>
              <w:rPr>
                <w:sz w:val="20"/>
                <w:szCs w:val="20"/>
              </w:rPr>
              <w:t>,00</w:t>
            </w:r>
          </w:p>
        </w:tc>
        <w:tc>
          <w:tcPr>
            <w:tcW w:w="1020" w:type="dxa"/>
            <w:vAlign w:val="center"/>
          </w:tcPr>
          <w:p w14:paraId="1423F2D0" w14:textId="77777777" w:rsidR="002A71B0" w:rsidRPr="00D17E4B" w:rsidRDefault="00837A66" w:rsidP="002A71B0">
            <w:pPr>
              <w:jc w:val="right"/>
              <w:rPr>
                <w:sz w:val="20"/>
                <w:szCs w:val="20"/>
              </w:rPr>
            </w:pPr>
            <w:r w:rsidRPr="00A656E9">
              <w:rPr>
                <w:sz w:val="20"/>
                <w:szCs w:val="20"/>
              </w:rPr>
              <w:t>7</w:t>
            </w:r>
            <w:r>
              <w:rPr>
                <w:sz w:val="20"/>
                <w:szCs w:val="20"/>
              </w:rPr>
              <w:t xml:space="preserve"> </w:t>
            </w:r>
            <w:r w:rsidRPr="00A656E9">
              <w:rPr>
                <w:sz w:val="20"/>
                <w:szCs w:val="20"/>
              </w:rPr>
              <w:t>042</w:t>
            </w:r>
            <w:r>
              <w:rPr>
                <w:sz w:val="20"/>
                <w:szCs w:val="20"/>
              </w:rPr>
              <w:t>,00</w:t>
            </w:r>
          </w:p>
        </w:tc>
        <w:tc>
          <w:tcPr>
            <w:tcW w:w="1134" w:type="dxa"/>
            <w:vAlign w:val="center"/>
          </w:tcPr>
          <w:p w14:paraId="4226D254" w14:textId="77777777" w:rsidR="002A71B0" w:rsidRPr="00CE7F05" w:rsidRDefault="00837A66" w:rsidP="002A71B0">
            <w:pPr>
              <w:ind w:right="57"/>
              <w:jc w:val="right"/>
              <w:rPr>
                <w:sz w:val="20"/>
                <w:szCs w:val="20"/>
              </w:rPr>
            </w:pPr>
            <w:r w:rsidRPr="00A656E9">
              <w:rPr>
                <w:sz w:val="20"/>
                <w:szCs w:val="20"/>
              </w:rPr>
              <w:t>3 499,25</w:t>
            </w:r>
          </w:p>
        </w:tc>
        <w:tc>
          <w:tcPr>
            <w:tcW w:w="1134" w:type="dxa"/>
            <w:vAlign w:val="center"/>
          </w:tcPr>
          <w:p w14:paraId="665FC644" w14:textId="77777777" w:rsidR="002A71B0" w:rsidRPr="00CE7F05" w:rsidRDefault="00837A66" w:rsidP="002A71B0">
            <w:pPr>
              <w:ind w:right="57"/>
              <w:jc w:val="right"/>
              <w:rPr>
                <w:sz w:val="20"/>
                <w:szCs w:val="20"/>
              </w:rPr>
            </w:pPr>
            <w:r w:rsidRPr="00773F8D">
              <w:rPr>
                <w:sz w:val="20"/>
                <w:szCs w:val="20"/>
              </w:rPr>
              <w:t>3 890,00</w:t>
            </w:r>
          </w:p>
        </w:tc>
        <w:tc>
          <w:tcPr>
            <w:tcW w:w="1247" w:type="dxa"/>
            <w:vAlign w:val="center"/>
          </w:tcPr>
          <w:p w14:paraId="0346122C" w14:textId="42AA4553"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10,04</w:t>
            </w:r>
          </w:p>
        </w:tc>
      </w:tr>
      <w:tr w:rsidR="00363F0A" w14:paraId="77CDD47C" w14:textId="77777777" w:rsidTr="000001E3">
        <w:trPr>
          <w:jc w:val="center"/>
        </w:trPr>
        <w:tc>
          <w:tcPr>
            <w:tcW w:w="846" w:type="dxa"/>
            <w:vAlign w:val="center"/>
          </w:tcPr>
          <w:p w14:paraId="0909C7A0" w14:textId="77777777" w:rsidR="002A71B0" w:rsidRPr="00CE7F05" w:rsidRDefault="00837A66" w:rsidP="000001E3">
            <w:pPr>
              <w:jc w:val="left"/>
              <w:rPr>
                <w:sz w:val="20"/>
                <w:szCs w:val="20"/>
              </w:rPr>
            </w:pPr>
            <w:r w:rsidRPr="00FC4E98">
              <w:rPr>
                <w:sz w:val="20"/>
                <w:szCs w:val="20"/>
              </w:rPr>
              <w:t>272365</w:t>
            </w:r>
          </w:p>
        </w:tc>
        <w:tc>
          <w:tcPr>
            <w:tcW w:w="6690" w:type="dxa"/>
            <w:vAlign w:val="center"/>
          </w:tcPr>
          <w:p w14:paraId="573BEAAA" w14:textId="77777777" w:rsidR="002A71B0" w:rsidRPr="00CE7F05" w:rsidRDefault="00837A66" w:rsidP="002A71B0">
            <w:pPr>
              <w:jc w:val="left"/>
              <w:rPr>
                <w:sz w:val="20"/>
                <w:szCs w:val="20"/>
              </w:rPr>
            </w:pPr>
            <w:r w:rsidRPr="00FC4E98">
              <w:rPr>
                <w:sz w:val="20"/>
                <w:szCs w:val="20"/>
              </w:rPr>
              <w:t>VÝZTUŽ ZÁKLADŮ Z OCELI 10505</w:t>
            </w:r>
          </w:p>
        </w:tc>
        <w:tc>
          <w:tcPr>
            <w:tcW w:w="879" w:type="dxa"/>
            <w:vAlign w:val="center"/>
          </w:tcPr>
          <w:p w14:paraId="30A655AC" w14:textId="77777777" w:rsidR="002A71B0" w:rsidRPr="00CE7F05" w:rsidRDefault="00837A66" w:rsidP="002A71B0">
            <w:pPr>
              <w:jc w:val="center"/>
              <w:rPr>
                <w:sz w:val="20"/>
                <w:szCs w:val="20"/>
              </w:rPr>
            </w:pPr>
            <w:r>
              <w:rPr>
                <w:sz w:val="20"/>
                <w:szCs w:val="20"/>
              </w:rPr>
              <w:t>t</w:t>
            </w:r>
          </w:p>
        </w:tc>
        <w:tc>
          <w:tcPr>
            <w:tcW w:w="1020" w:type="dxa"/>
            <w:vAlign w:val="center"/>
          </w:tcPr>
          <w:p w14:paraId="7831801F" w14:textId="77777777" w:rsidR="002A71B0" w:rsidRPr="00D17E4B" w:rsidRDefault="00837A66" w:rsidP="002A71B0">
            <w:pPr>
              <w:jc w:val="right"/>
              <w:rPr>
                <w:sz w:val="20"/>
                <w:szCs w:val="20"/>
              </w:rPr>
            </w:pPr>
            <w:r w:rsidRPr="00A656E9">
              <w:rPr>
                <w:sz w:val="20"/>
                <w:szCs w:val="20"/>
              </w:rPr>
              <w:t>9</w:t>
            </w:r>
            <w:r>
              <w:rPr>
                <w:sz w:val="20"/>
                <w:szCs w:val="20"/>
              </w:rPr>
              <w:t xml:space="preserve"> </w:t>
            </w:r>
            <w:r w:rsidRPr="00A656E9">
              <w:rPr>
                <w:sz w:val="20"/>
                <w:szCs w:val="20"/>
              </w:rPr>
              <w:t>936,79</w:t>
            </w:r>
          </w:p>
        </w:tc>
        <w:tc>
          <w:tcPr>
            <w:tcW w:w="1020" w:type="dxa"/>
            <w:vAlign w:val="center"/>
          </w:tcPr>
          <w:p w14:paraId="1E0D20E5" w14:textId="77777777" w:rsidR="002A71B0" w:rsidRPr="00D17E4B" w:rsidRDefault="00837A66" w:rsidP="002A71B0">
            <w:pPr>
              <w:jc w:val="right"/>
              <w:rPr>
                <w:sz w:val="20"/>
                <w:szCs w:val="20"/>
              </w:rPr>
            </w:pPr>
            <w:r w:rsidRPr="00A656E9">
              <w:rPr>
                <w:sz w:val="20"/>
                <w:szCs w:val="20"/>
              </w:rPr>
              <w:t>27</w:t>
            </w:r>
            <w:r>
              <w:rPr>
                <w:sz w:val="20"/>
                <w:szCs w:val="20"/>
              </w:rPr>
              <w:t xml:space="preserve"> </w:t>
            </w:r>
            <w:r w:rsidRPr="00A656E9">
              <w:rPr>
                <w:sz w:val="20"/>
                <w:szCs w:val="20"/>
              </w:rPr>
              <w:t>507</w:t>
            </w:r>
            <w:r>
              <w:rPr>
                <w:sz w:val="20"/>
                <w:szCs w:val="20"/>
              </w:rPr>
              <w:t>,00</w:t>
            </w:r>
          </w:p>
        </w:tc>
        <w:tc>
          <w:tcPr>
            <w:tcW w:w="1134" w:type="dxa"/>
            <w:vAlign w:val="center"/>
          </w:tcPr>
          <w:p w14:paraId="78B3BFF0" w14:textId="77777777" w:rsidR="002A71B0" w:rsidRPr="00CE7F05" w:rsidRDefault="00837A66" w:rsidP="002A71B0">
            <w:pPr>
              <w:ind w:right="57"/>
              <w:jc w:val="right"/>
              <w:rPr>
                <w:sz w:val="20"/>
                <w:szCs w:val="20"/>
              </w:rPr>
            </w:pPr>
            <w:r w:rsidRPr="00A656E9">
              <w:rPr>
                <w:sz w:val="20"/>
                <w:szCs w:val="20"/>
              </w:rPr>
              <w:t>18 410,19</w:t>
            </w:r>
          </w:p>
        </w:tc>
        <w:tc>
          <w:tcPr>
            <w:tcW w:w="1134" w:type="dxa"/>
            <w:vAlign w:val="center"/>
          </w:tcPr>
          <w:p w14:paraId="22D756B8" w14:textId="77777777" w:rsidR="002A71B0" w:rsidRPr="00CE7F05" w:rsidRDefault="00837A66" w:rsidP="002A71B0">
            <w:pPr>
              <w:ind w:right="57"/>
              <w:jc w:val="right"/>
              <w:rPr>
                <w:sz w:val="20"/>
                <w:szCs w:val="20"/>
              </w:rPr>
            </w:pPr>
            <w:r w:rsidRPr="00773F8D">
              <w:rPr>
                <w:sz w:val="20"/>
                <w:szCs w:val="20"/>
              </w:rPr>
              <w:t>25 500,00</w:t>
            </w:r>
          </w:p>
        </w:tc>
        <w:tc>
          <w:tcPr>
            <w:tcW w:w="1247" w:type="dxa"/>
            <w:vAlign w:val="center"/>
          </w:tcPr>
          <w:p w14:paraId="3A26A67D" w14:textId="672A12E4"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27,80</w:t>
            </w:r>
          </w:p>
        </w:tc>
      </w:tr>
      <w:tr w:rsidR="00363F0A" w14:paraId="01860816" w14:textId="77777777" w:rsidTr="000001E3">
        <w:trPr>
          <w:jc w:val="center"/>
        </w:trPr>
        <w:tc>
          <w:tcPr>
            <w:tcW w:w="846" w:type="dxa"/>
            <w:vAlign w:val="center"/>
          </w:tcPr>
          <w:p w14:paraId="2E5D9967" w14:textId="77777777" w:rsidR="002A71B0" w:rsidRPr="00CE7F05" w:rsidRDefault="00837A66" w:rsidP="000001E3">
            <w:pPr>
              <w:jc w:val="left"/>
              <w:rPr>
                <w:sz w:val="20"/>
                <w:szCs w:val="20"/>
              </w:rPr>
            </w:pPr>
            <w:r>
              <w:rPr>
                <w:sz w:val="20"/>
                <w:szCs w:val="20"/>
              </w:rPr>
              <w:t>28997</w:t>
            </w:r>
          </w:p>
        </w:tc>
        <w:tc>
          <w:tcPr>
            <w:tcW w:w="6690" w:type="dxa"/>
            <w:vAlign w:val="center"/>
          </w:tcPr>
          <w:p w14:paraId="57D2BDBD" w14:textId="77777777" w:rsidR="002A71B0" w:rsidRPr="00CE7F05" w:rsidRDefault="00837A66" w:rsidP="002A71B0">
            <w:pPr>
              <w:jc w:val="left"/>
              <w:rPr>
                <w:sz w:val="20"/>
                <w:szCs w:val="20"/>
              </w:rPr>
            </w:pPr>
            <w:r w:rsidRPr="00FC4E98">
              <w:rPr>
                <w:sz w:val="20"/>
                <w:szCs w:val="20"/>
              </w:rPr>
              <w:t>ZPEVNĚNÍ Z</w:t>
            </w:r>
            <w:r>
              <w:rPr>
                <w:sz w:val="20"/>
                <w:szCs w:val="20"/>
              </w:rPr>
              <w:t> </w:t>
            </w:r>
            <w:r w:rsidRPr="00FC4E98">
              <w:rPr>
                <w:sz w:val="20"/>
                <w:szCs w:val="20"/>
              </w:rPr>
              <w:t>GEOTEXTILIE</w:t>
            </w:r>
          </w:p>
        </w:tc>
        <w:tc>
          <w:tcPr>
            <w:tcW w:w="879" w:type="dxa"/>
            <w:vAlign w:val="center"/>
          </w:tcPr>
          <w:p w14:paraId="4AC5D3C7" w14:textId="77777777" w:rsidR="002A71B0" w:rsidRPr="00CE7F05" w:rsidRDefault="00837A66" w:rsidP="002A71B0">
            <w:pPr>
              <w:jc w:val="center"/>
              <w:rPr>
                <w:sz w:val="20"/>
                <w:szCs w:val="20"/>
              </w:rPr>
            </w:pPr>
            <w:r>
              <w:rPr>
                <w:sz w:val="20"/>
                <w:szCs w:val="20"/>
              </w:rPr>
              <w:t>m</w:t>
            </w:r>
            <w:r>
              <w:rPr>
                <w:sz w:val="20"/>
                <w:szCs w:val="20"/>
                <w:vertAlign w:val="superscript"/>
              </w:rPr>
              <w:t>2</w:t>
            </w:r>
          </w:p>
        </w:tc>
        <w:tc>
          <w:tcPr>
            <w:tcW w:w="1020" w:type="dxa"/>
            <w:vAlign w:val="center"/>
          </w:tcPr>
          <w:p w14:paraId="225A4426" w14:textId="77777777" w:rsidR="002A71B0" w:rsidRPr="00D17E4B" w:rsidRDefault="00837A66" w:rsidP="002A71B0">
            <w:pPr>
              <w:jc w:val="right"/>
              <w:rPr>
                <w:sz w:val="20"/>
                <w:szCs w:val="20"/>
              </w:rPr>
            </w:pPr>
            <w:r w:rsidRPr="00903BCE">
              <w:rPr>
                <w:sz w:val="20"/>
                <w:szCs w:val="20"/>
              </w:rPr>
              <w:t>17,94</w:t>
            </w:r>
          </w:p>
        </w:tc>
        <w:tc>
          <w:tcPr>
            <w:tcW w:w="1020" w:type="dxa"/>
            <w:vAlign w:val="center"/>
          </w:tcPr>
          <w:p w14:paraId="7BF52AE3" w14:textId="77777777" w:rsidR="002A71B0" w:rsidRPr="00D17E4B" w:rsidRDefault="00837A66" w:rsidP="002A71B0">
            <w:pPr>
              <w:jc w:val="right"/>
              <w:rPr>
                <w:sz w:val="20"/>
                <w:szCs w:val="20"/>
              </w:rPr>
            </w:pPr>
            <w:r w:rsidRPr="00903BCE">
              <w:rPr>
                <w:sz w:val="20"/>
                <w:szCs w:val="20"/>
              </w:rPr>
              <w:t>162,93</w:t>
            </w:r>
          </w:p>
        </w:tc>
        <w:tc>
          <w:tcPr>
            <w:tcW w:w="1134" w:type="dxa"/>
            <w:vAlign w:val="center"/>
          </w:tcPr>
          <w:p w14:paraId="077B3271" w14:textId="77777777" w:rsidR="002A71B0" w:rsidRPr="00CE7F05" w:rsidRDefault="00837A66" w:rsidP="002A71B0">
            <w:pPr>
              <w:ind w:right="57"/>
              <w:jc w:val="right"/>
              <w:rPr>
                <w:sz w:val="20"/>
                <w:szCs w:val="20"/>
              </w:rPr>
            </w:pPr>
            <w:r w:rsidRPr="00903BCE">
              <w:rPr>
                <w:sz w:val="20"/>
                <w:szCs w:val="20"/>
              </w:rPr>
              <w:t>36,91</w:t>
            </w:r>
          </w:p>
        </w:tc>
        <w:tc>
          <w:tcPr>
            <w:tcW w:w="1134" w:type="dxa"/>
            <w:vAlign w:val="center"/>
          </w:tcPr>
          <w:p w14:paraId="1C4AC2CA" w14:textId="77777777" w:rsidR="002A71B0" w:rsidRPr="00CE7F05" w:rsidRDefault="00837A66" w:rsidP="002A71B0">
            <w:pPr>
              <w:ind w:right="57"/>
              <w:jc w:val="right"/>
              <w:rPr>
                <w:sz w:val="20"/>
                <w:szCs w:val="20"/>
              </w:rPr>
            </w:pPr>
            <w:r w:rsidRPr="00773F8D">
              <w:rPr>
                <w:sz w:val="20"/>
                <w:szCs w:val="20"/>
              </w:rPr>
              <w:t>70,00</w:t>
            </w:r>
          </w:p>
        </w:tc>
        <w:tc>
          <w:tcPr>
            <w:tcW w:w="1247" w:type="dxa"/>
            <w:vAlign w:val="center"/>
          </w:tcPr>
          <w:p w14:paraId="7B1F7986" w14:textId="1FDAAA44"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47,27</w:t>
            </w:r>
          </w:p>
        </w:tc>
      </w:tr>
      <w:tr w:rsidR="00363F0A" w14:paraId="269285DB" w14:textId="77777777" w:rsidTr="000001E3">
        <w:trPr>
          <w:jc w:val="center"/>
        </w:trPr>
        <w:tc>
          <w:tcPr>
            <w:tcW w:w="846" w:type="dxa"/>
            <w:vAlign w:val="center"/>
          </w:tcPr>
          <w:p w14:paraId="0DF0F7F5" w14:textId="77777777" w:rsidR="002A71B0" w:rsidRPr="00CE7F05" w:rsidRDefault="00837A66" w:rsidP="000001E3">
            <w:pPr>
              <w:jc w:val="left"/>
              <w:rPr>
                <w:sz w:val="20"/>
                <w:szCs w:val="20"/>
              </w:rPr>
            </w:pPr>
            <w:r w:rsidRPr="00BB105B">
              <w:rPr>
                <w:sz w:val="20"/>
                <w:szCs w:val="20"/>
              </w:rPr>
              <w:t>334325</w:t>
            </w:r>
          </w:p>
        </w:tc>
        <w:tc>
          <w:tcPr>
            <w:tcW w:w="6690" w:type="dxa"/>
            <w:vAlign w:val="center"/>
          </w:tcPr>
          <w:p w14:paraId="70651BD0" w14:textId="77777777" w:rsidR="002A71B0" w:rsidRPr="00CE7F05" w:rsidRDefault="00837A66" w:rsidP="002A71B0">
            <w:pPr>
              <w:jc w:val="left"/>
              <w:rPr>
                <w:sz w:val="20"/>
                <w:szCs w:val="20"/>
              </w:rPr>
            </w:pPr>
            <w:r w:rsidRPr="00BB105B">
              <w:rPr>
                <w:sz w:val="20"/>
                <w:szCs w:val="20"/>
              </w:rPr>
              <w:t>MOSTNÍ PILÍŘE A STATIVA ZE ŽELEZOBET</w:t>
            </w:r>
            <w:r>
              <w:rPr>
                <w:sz w:val="20"/>
                <w:szCs w:val="20"/>
              </w:rPr>
              <w:t>ONU</w:t>
            </w:r>
            <w:r w:rsidRPr="00BB105B">
              <w:rPr>
                <w:sz w:val="20"/>
                <w:szCs w:val="20"/>
              </w:rPr>
              <w:t xml:space="preserve"> DO C30/37 (B37)</w:t>
            </w:r>
          </w:p>
        </w:tc>
        <w:tc>
          <w:tcPr>
            <w:tcW w:w="879" w:type="dxa"/>
            <w:vAlign w:val="center"/>
          </w:tcPr>
          <w:p w14:paraId="71E8ED8A"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0FEDA9D1" w14:textId="77777777" w:rsidR="002A71B0" w:rsidRPr="00D17E4B" w:rsidRDefault="00837A66" w:rsidP="002A71B0">
            <w:pPr>
              <w:jc w:val="right"/>
              <w:rPr>
                <w:sz w:val="20"/>
                <w:szCs w:val="20"/>
              </w:rPr>
            </w:pPr>
            <w:r w:rsidRPr="00C2749A">
              <w:rPr>
                <w:sz w:val="20"/>
                <w:szCs w:val="20"/>
              </w:rPr>
              <w:t>3 905,89</w:t>
            </w:r>
          </w:p>
        </w:tc>
        <w:tc>
          <w:tcPr>
            <w:tcW w:w="1020" w:type="dxa"/>
            <w:vAlign w:val="center"/>
          </w:tcPr>
          <w:p w14:paraId="2B9872F2" w14:textId="77777777" w:rsidR="002A71B0" w:rsidRPr="00D17E4B" w:rsidRDefault="00837A66" w:rsidP="002A71B0">
            <w:pPr>
              <w:jc w:val="right"/>
              <w:rPr>
                <w:sz w:val="20"/>
                <w:szCs w:val="20"/>
              </w:rPr>
            </w:pPr>
            <w:r w:rsidRPr="00C2749A">
              <w:rPr>
                <w:sz w:val="20"/>
                <w:szCs w:val="20"/>
              </w:rPr>
              <w:t>20 698,63</w:t>
            </w:r>
          </w:p>
        </w:tc>
        <w:tc>
          <w:tcPr>
            <w:tcW w:w="1134" w:type="dxa"/>
            <w:vAlign w:val="center"/>
          </w:tcPr>
          <w:p w14:paraId="127E745A" w14:textId="77777777" w:rsidR="002A71B0" w:rsidRPr="00CE7F05" w:rsidRDefault="00837A66" w:rsidP="002A71B0">
            <w:pPr>
              <w:ind w:right="57"/>
              <w:jc w:val="right"/>
              <w:rPr>
                <w:sz w:val="20"/>
                <w:szCs w:val="20"/>
              </w:rPr>
            </w:pPr>
            <w:r w:rsidRPr="00C2749A">
              <w:rPr>
                <w:sz w:val="20"/>
                <w:szCs w:val="20"/>
              </w:rPr>
              <w:t>8 472,59</w:t>
            </w:r>
          </w:p>
        </w:tc>
        <w:tc>
          <w:tcPr>
            <w:tcW w:w="1134" w:type="dxa"/>
            <w:vAlign w:val="center"/>
          </w:tcPr>
          <w:p w14:paraId="18424A49" w14:textId="77777777" w:rsidR="002A71B0" w:rsidRPr="00CE7F05" w:rsidRDefault="00837A66" w:rsidP="002A71B0">
            <w:pPr>
              <w:ind w:right="57"/>
              <w:jc w:val="right"/>
              <w:rPr>
                <w:sz w:val="20"/>
                <w:szCs w:val="20"/>
              </w:rPr>
            </w:pPr>
            <w:r w:rsidRPr="00773F8D">
              <w:rPr>
                <w:sz w:val="20"/>
                <w:szCs w:val="20"/>
              </w:rPr>
              <w:t>8 340,00</w:t>
            </w:r>
          </w:p>
        </w:tc>
        <w:tc>
          <w:tcPr>
            <w:tcW w:w="1247" w:type="dxa"/>
            <w:vAlign w:val="center"/>
          </w:tcPr>
          <w:p w14:paraId="42287EBA" w14:textId="77777777" w:rsidR="002A71B0" w:rsidRPr="00A76B87" w:rsidRDefault="00837A66" w:rsidP="002A71B0">
            <w:pPr>
              <w:ind w:right="310"/>
              <w:jc w:val="right"/>
              <w:rPr>
                <w:sz w:val="20"/>
                <w:szCs w:val="20"/>
              </w:rPr>
            </w:pPr>
            <w:r w:rsidRPr="00A76B87">
              <w:rPr>
                <w:sz w:val="20"/>
                <w:szCs w:val="20"/>
              </w:rPr>
              <w:t>1,59</w:t>
            </w:r>
          </w:p>
        </w:tc>
      </w:tr>
      <w:tr w:rsidR="00363F0A" w14:paraId="053319B9" w14:textId="77777777" w:rsidTr="000001E3">
        <w:trPr>
          <w:jc w:val="center"/>
        </w:trPr>
        <w:tc>
          <w:tcPr>
            <w:tcW w:w="846" w:type="dxa"/>
            <w:vAlign w:val="center"/>
          </w:tcPr>
          <w:p w14:paraId="5E25E5B1" w14:textId="77777777" w:rsidR="002A71B0" w:rsidRPr="00CE7F05" w:rsidRDefault="00837A66" w:rsidP="000001E3">
            <w:pPr>
              <w:jc w:val="left"/>
              <w:rPr>
                <w:sz w:val="20"/>
                <w:szCs w:val="20"/>
              </w:rPr>
            </w:pPr>
            <w:r w:rsidRPr="00323C6E">
              <w:rPr>
                <w:sz w:val="20"/>
                <w:szCs w:val="20"/>
              </w:rPr>
              <w:t>334365</w:t>
            </w:r>
          </w:p>
        </w:tc>
        <w:tc>
          <w:tcPr>
            <w:tcW w:w="6690" w:type="dxa"/>
            <w:vAlign w:val="center"/>
          </w:tcPr>
          <w:p w14:paraId="6EE9ADE9" w14:textId="77777777" w:rsidR="002A71B0" w:rsidRPr="00CE7F05" w:rsidRDefault="00837A66" w:rsidP="002A71B0">
            <w:pPr>
              <w:jc w:val="left"/>
              <w:rPr>
                <w:sz w:val="20"/>
                <w:szCs w:val="20"/>
              </w:rPr>
            </w:pPr>
            <w:r w:rsidRPr="00323C6E">
              <w:rPr>
                <w:sz w:val="20"/>
                <w:szCs w:val="20"/>
              </w:rPr>
              <w:t>VÝZTUŽ MOSTNÍCH PILÍŘŮ A STATIV Z OCELI 10505</w:t>
            </w:r>
          </w:p>
        </w:tc>
        <w:tc>
          <w:tcPr>
            <w:tcW w:w="879" w:type="dxa"/>
            <w:vAlign w:val="center"/>
          </w:tcPr>
          <w:p w14:paraId="15C1B217" w14:textId="77777777" w:rsidR="002A71B0" w:rsidRPr="00CE7F05" w:rsidRDefault="00837A66" w:rsidP="002A71B0">
            <w:pPr>
              <w:jc w:val="center"/>
              <w:rPr>
                <w:sz w:val="20"/>
                <w:szCs w:val="20"/>
              </w:rPr>
            </w:pPr>
            <w:r>
              <w:rPr>
                <w:sz w:val="20"/>
                <w:szCs w:val="20"/>
              </w:rPr>
              <w:t>t</w:t>
            </w:r>
          </w:p>
        </w:tc>
        <w:tc>
          <w:tcPr>
            <w:tcW w:w="1020" w:type="dxa"/>
            <w:vAlign w:val="center"/>
          </w:tcPr>
          <w:p w14:paraId="42D9EC4E" w14:textId="77777777" w:rsidR="002A71B0" w:rsidRPr="00D17E4B" w:rsidRDefault="00837A66" w:rsidP="002A71B0">
            <w:pPr>
              <w:jc w:val="right"/>
              <w:rPr>
                <w:sz w:val="20"/>
                <w:szCs w:val="20"/>
              </w:rPr>
            </w:pPr>
            <w:r w:rsidRPr="00C2749A">
              <w:rPr>
                <w:sz w:val="20"/>
                <w:szCs w:val="20"/>
              </w:rPr>
              <w:t>9 000,00</w:t>
            </w:r>
          </w:p>
        </w:tc>
        <w:tc>
          <w:tcPr>
            <w:tcW w:w="1020" w:type="dxa"/>
            <w:vAlign w:val="center"/>
          </w:tcPr>
          <w:p w14:paraId="3D4B3EE8" w14:textId="77777777" w:rsidR="002A71B0" w:rsidRPr="00D17E4B" w:rsidRDefault="00837A66" w:rsidP="002A71B0">
            <w:pPr>
              <w:jc w:val="right"/>
              <w:rPr>
                <w:sz w:val="20"/>
                <w:szCs w:val="20"/>
              </w:rPr>
            </w:pPr>
            <w:r w:rsidRPr="00C2749A">
              <w:rPr>
                <w:sz w:val="20"/>
                <w:szCs w:val="20"/>
              </w:rPr>
              <w:t>27 200,00</w:t>
            </w:r>
          </w:p>
        </w:tc>
        <w:tc>
          <w:tcPr>
            <w:tcW w:w="1134" w:type="dxa"/>
            <w:vAlign w:val="center"/>
          </w:tcPr>
          <w:p w14:paraId="0AB92A91" w14:textId="77777777" w:rsidR="002A71B0" w:rsidRPr="00CE7F05" w:rsidRDefault="00837A66" w:rsidP="002A71B0">
            <w:pPr>
              <w:ind w:right="57"/>
              <w:jc w:val="right"/>
              <w:rPr>
                <w:sz w:val="20"/>
                <w:szCs w:val="20"/>
              </w:rPr>
            </w:pPr>
            <w:r w:rsidRPr="00C2749A">
              <w:rPr>
                <w:sz w:val="20"/>
                <w:szCs w:val="20"/>
              </w:rPr>
              <w:t>18 094,89</w:t>
            </w:r>
          </w:p>
        </w:tc>
        <w:tc>
          <w:tcPr>
            <w:tcW w:w="1134" w:type="dxa"/>
            <w:vAlign w:val="center"/>
          </w:tcPr>
          <w:p w14:paraId="7CA2BFCF" w14:textId="77777777" w:rsidR="002A71B0" w:rsidRPr="00CE7F05" w:rsidRDefault="00837A66" w:rsidP="002A71B0">
            <w:pPr>
              <w:ind w:right="57"/>
              <w:jc w:val="right"/>
              <w:rPr>
                <w:sz w:val="20"/>
                <w:szCs w:val="20"/>
              </w:rPr>
            </w:pPr>
            <w:r w:rsidRPr="00773F8D">
              <w:rPr>
                <w:sz w:val="20"/>
                <w:szCs w:val="20"/>
              </w:rPr>
              <w:t>26 500,00</w:t>
            </w:r>
          </w:p>
        </w:tc>
        <w:tc>
          <w:tcPr>
            <w:tcW w:w="1247" w:type="dxa"/>
            <w:vAlign w:val="center"/>
          </w:tcPr>
          <w:p w14:paraId="0AA55ED0" w14:textId="7CA05DE7"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31,72</w:t>
            </w:r>
          </w:p>
        </w:tc>
      </w:tr>
      <w:tr w:rsidR="00363F0A" w14:paraId="6B8D0523" w14:textId="77777777" w:rsidTr="000001E3">
        <w:trPr>
          <w:jc w:val="center"/>
        </w:trPr>
        <w:tc>
          <w:tcPr>
            <w:tcW w:w="846" w:type="dxa"/>
            <w:vAlign w:val="center"/>
          </w:tcPr>
          <w:p w14:paraId="146E7E9D" w14:textId="77777777" w:rsidR="002A71B0" w:rsidRPr="00CE7F05" w:rsidRDefault="00837A66" w:rsidP="000001E3">
            <w:pPr>
              <w:jc w:val="left"/>
              <w:rPr>
                <w:sz w:val="20"/>
                <w:szCs w:val="20"/>
              </w:rPr>
            </w:pPr>
            <w:r w:rsidRPr="000B2328">
              <w:rPr>
                <w:sz w:val="20"/>
                <w:szCs w:val="20"/>
              </w:rPr>
              <w:t>421365</w:t>
            </w:r>
          </w:p>
        </w:tc>
        <w:tc>
          <w:tcPr>
            <w:tcW w:w="6690" w:type="dxa"/>
            <w:vAlign w:val="center"/>
          </w:tcPr>
          <w:p w14:paraId="6DFC0D8C" w14:textId="77777777" w:rsidR="002A71B0" w:rsidRPr="00CE7F05" w:rsidRDefault="00837A66" w:rsidP="002A71B0">
            <w:pPr>
              <w:jc w:val="left"/>
              <w:rPr>
                <w:sz w:val="20"/>
                <w:szCs w:val="20"/>
              </w:rPr>
            </w:pPr>
            <w:r w:rsidRPr="000B2328">
              <w:rPr>
                <w:sz w:val="20"/>
                <w:szCs w:val="20"/>
              </w:rPr>
              <w:t>VÝZTUŽ MOSTNÍ NOSNÉ DESKOVÉ KONSTR</w:t>
            </w:r>
            <w:r>
              <w:rPr>
                <w:sz w:val="20"/>
                <w:szCs w:val="20"/>
              </w:rPr>
              <w:t>UKCE</w:t>
            </w:r>
            <w:r w:rsidRPr="000B2328">
              <w:rPr>
                <w:sz w:val="20"/>
                <w:szCs w:val="20"/>
              </w:rPr>
              <w:t xml:space="preserve"> Z OCELI 10505</w:t>
            </w:r>
          </w:p>
        </w:tc>
        <w:tc>
          <w:tcPr>
            <w:tcW w:w="879" w:type="dxa"/>
            <w:vAlign w:val="center"/>
          </w:tcPr>
          <w:p w14:paraId="79A09CC1" w14:textId="77777777" w:rsidR="002A71B0" w:rsidRPr="00CE7F05" w:rsidRDefault="00837A66" w:rsidP="002A71B0">
            <w:pPr>
              <w:jc w:val="center"/>
              <w:rPr>
                <w:sz w:val="20"/>
                <w:szCs w:val="20"/>
              </w:rPr>
            </w:pPr>
            <w:r>
              <w:rPr>
                <w:sz w:val="20"/>
                <w:szCs w:val="20"/>
              </w:rPr>
              <w:t>t</w:t>
            </w:r>
          </w:p>
        </w:tc>
        <w:tc>
          <w:tcPr>
            <w:tcW w:w="1020" w:type="dxa"/>
            <w:vAlign w:val="center"/>
          </w:tcPr>
          <w:p w14:paraId="21AAA3B5" w14:textId="77777777" w:rsidR="002A71B0" w:rsidRPr="00D17E4B" w:rsidRDefault="00837A66" w:rsidP="002A71B0">
            <w:pPr>
              <w:jc w:val="right"/>
              <w:rPr>
                <w:sz w:val="20"/>
                <w:szCs w:val="20"/>
              </w:rPr>
            </w:pPr>
            <w:r w:rsidRPr="00C2749A">
              <w:rPr>
                <w:sz w:val="20"/>
                <w:szCs w:val="20"/>
              </w:rPr>
              <w:t>9 000,00</w:t>
            </w:r>
          </w:p>
        </w:tc>
        <w:tc>
          <w:tcPr>
            <w:tcW w:w="1020" w:type="dxa"/>
            <w:vAlign w:val="center"/>
          </w:tcPr>
          <w:p w14:paraId="2A571984" w14:textId="77777777" w:rsidR="002A71B0" w:rsidRPr="00D17E4B" w:rsidRDefault="00837A66" w:rsidP="002A71B0">
            <w:pPr>
              <w:jc w:val="right"/>
              <w:rPr>
                <w:sz w:val="20"/>
                <w:szCs w:val="20"/>
              </w:rPr>
            </w:pPr>
            <w:r w:rsidRPr="00C2749A">
              <w:rPr>
                <w:sz w:val="20"/>
                <w:szCs w:val="20"/>
              </w:rPr>
              <w:t>27 200,00</w:t>
            </w:r>
          </w:p>
        </w:tc>
        <w:tc>
          <w:tcPr>
            <w:tcW w:w="1134" w:type="dxa"/>
            <w:vAlign w:val="center"/>
          </w:tcPr>
          <w:p w14:paraId="6A7AB0B8" w14:textId="77777777" w:rsidR="002A71B0" w:rsidRPr="00CE7F05" w:rsidRDefault="00837A66" w:rsidP="002A71B0">
            <w:pPr>
              <w:ind w:right="57"/>
              <w:jc w:val="right"/>
              <w:rPr>
                <w:sz w:val="20"/>
                <w:szCs w:val="20"/>
              </w:rPr>
            </w:pPr>
            <w:r w:rsidRPr="00C2749A">
              <w:rPr>
                <w:sz w:val="20"/>
                <w:szCs w:val="20"/>
              </w:rPr>
              <w:t>18 191,20</w:t>
            </w:r>
          </w:p>
        </w:tc>
        <w:tc>
          <w:tcPr>
            <w:tcW w:w="1134" w:type="dxa"/>
            <w:vAlign w:val="center"/>
          </w:tcPr>
          <w:p w14:paraId="7FDA85E4" w14:textId="77777777" w:rsidR="002A71B0" w:rsidRPr="00CE7F05" w:rsidRDefault="00837A66" w:rsidP="002A71B0">
            <w:pPr>
              <w:ind w:right="57"/>
              <w:jc w:val="right"/>
              <w:rPr>
                <w:sz w:val="20"/>
                <w:szCs w:val="20"/>
              </w:rPr>
            </w:pPr>
            <w:r w:rsidRPr="00773F8D">
              <w:rPr>
                <w:sz w:val="20"/>
                <w:szCs w:val="20"/>
              </w:rPr>
              <w:t>28 300,00</w:t>
            </w:r>
          </w:p>
        </w:tc>
        <w:tc>
          <w:tcPr>
            <w:tcW w:w="1247" w:type="dxa"/>
            <w:vAlign w:val="center"/>
          </w:tcPr>
          <w:p w14:paraId="7D4F701D" w14:textId="5736A0C0"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35,72</w:t>
            </w:r>
          </w:p>
        </w:tc>
      </w:tr>
      <w:tr w:rsidR="00363F0A" w14:paraId="33AE7596" w14:textId="77777777" w:rsidTr="000001E3">
        <w:trPr>
          <w:jc w:val="center"/>
        </w:trPr>
        <w:tc>
          <w:tcPr>
            <w:tcW w:w="846" w:type="dxa"/>
            <w:vAlign w:val="center"/>
          </w:tcPr>
          <w:p w14:paraId="1C0B129E" w14:textId="77777777" w:rsidR="002A71B0" w:rsidRPr="00CE7F05" w:rsidRDefault="00837A66" w:rsidP="000001E3">
            <w:pPr>
              <w:jc w:val="left"/>
              <w:rPr>
                <w:sz w:val="20"/>
                <w:szCs w:val="20"/>
              </w:rPr>
            </w:pPr>
            <w:r w:rsidRPr="000B2328">
              <w:rPr>
                <w:sz w:val="20"/>
                <w:szCs w:val="20"/>
              </w:rPr>
              <w:t>422365</w:t>
            </w:r>
          </w:p>
        </w:tc>
        <w:tc>
          <w:tcPr>
            <w:tcW w:w="6690" w:type="dxa"/>
            <w:vAlign w:val="center"/>
          </w:tcPr>
          <w:p w14:paraId="6FD5F776" w14:textId="77777777" w:rsidR="002A71B0" w:rsidRPr="00CE7F05" w:rsidRDefault="00837A66" w:rsidP="002A71B0">
            <w:pPr>
              <w:jc w:val="left"/>
              <w:rPr>
                <w:sz w:val="20"/>
                <w:szCs w:val="20"/>
              </w:rPr>
            </w:pPr>
            <w:r w:rsidRPr="000B2328">
              <w:rPr>
                <w:sz w:val="20"/>
                <w:szCs w:val="20"/>
              </w:rPr>
              <w:t>VÝZTUŽ MOSTNÍ NOSNÉ TRÁMOVÉ KONSTR</w:t>
            </w:r>
            <w:r>
              <w:rPr>
                <w:sz w:val="20"/>
                <w:szCs w:val="20"/>
              </w:rPr>
              <w:t>UKCE</w:t>
            </w:r>
            <w:r w:rsidRPr="000B2328">
              <w:rPr>
                <w:sz w:val="20"/>
                <w:szCs w:val="20"/>
              </w:rPr>
              <w:t xml:space="preserve"> Z OCELI 10505</w:t>
            </w:r>
          </w:p>
        </w:tc>
        <w:tc>
          <w:tcPr>
            <w:tcW w:w="879" w:type="dxa"/>
            <w:vAlign w:val="center"/>
          </w:tcPr>
          <w:p w14:paraId="7E834F51" w14:textId="77777777" w:rsidR="002A71B0" w:rsidRPr="00CE7F05" w:rsidRDefault="00837A66" w:rsidP="002A71B0">
            <w:pPr>
              <w:jc w:val="center"/>
              <w:rPr>
                <w:sz w:val="20"/>
                <w:szCs w:val="20"/>
              </w:rPr>
            </w:pPr>
            <w:r>
              <w:rPr>
                <w:sz w:val="20"/>
                <w:szCs w:val="20"/>
              </w:rPr>
              <w:t>t</w:t>
            </w:r>
          </w:p>
        </w:tc>
        <w:tc>
          <w:tcPr>
            <w:tcW w:w="1020" w:type="dxa"/>
            <w:vAlign w:val="center"/>
          </w:tcPr>
          <w:p w14:paraId="0E86D489" w14:textId="77777777" w:rsidR="002A71B0" w:rsidRPr="00D17E4B" w:rsidRDefault="00837A66" w:rsidP="002A71B0">
            <w:pPr>
              <w:jc w:val="right"/>
              <w:rPr>
                <w:sz w:val="20"/>
                <w:szCs w:val="20"/>
              </w:rPr>
            </w:pPr>
            <w:r w:rsidRPr="00BA147A">
              <w:rPr>
                <w:sz w:val="20"/>
                <w:szCs w:val="20"/>
              </w:rPr>
              <w:t>9 000,00</w:t>
            </w:r>
          </w:p>
        </w:tc>
        <w:tc>
          <w:tcPr>
            <w:tcW w:w="1020" w:type="dxa"/>
            <w:vAlign w:val="center"/>
          </w:tcPr>
          <w:p w14:paraId="659433DB" w14:textId="77777777" w:rsidR="002A71B0" w:rsidRPr="00D17E4B" w:rsidRDefault="00837A66" w:rsidP="002A71B0">
            <w:pPr>
              <w:jc w:val="right"/>
              <w:rPr>
                <w:sz w:val="20"/>
                <w:szCs w:val="20"/>
              </w:rPr>
            </w:pPr>
            <w:r w:rsidRPr="00BA147A">
              <w:rPr>
                <w:sz w:val="20"/>
                <w:szCs w:val="20"/>
              </w:rPr>
              <w:t>27 200,00</w:t>
            </w:r>
          </w:p>
        </w:tc>
        <w:tc>
          <w:tcPr>
            <w:tcW w:w="1134" w:type="dxa"/>
            <w:vAlign w:val="center"/>
          </w:tcPr>
          <w:p w14:paraId="01963938" w14:textId="77777777" w:rsidR="002A71B0" w:rsidRPr="00CE7F05" w:rsidRDefault="00837A66" w:rsidP="002A71B0">
            <w:pPr>
              <w:ind w:right="57"/>
              <w:jc w:val="right"/>
              <w:rPr>
                <w:sz w:val="20"/>
                <w:szCs w:val="20"/>
              </w:rPr>
            </w:pPr>
            <w:r w:rsidRPr="00BA147A">
              <w:rPr>
                <w:sz w:val="20"/>
                <w:szCs w:val="20"/>
              </w:rPr>
              <w:t>17 966,99</w:t>
            </w:r>
          </w:p>
        </w:tc>
        <w:tc>
          <w:tcPr>
            <w:tcW w:w="1134" w:type="dxa"/>
            <w:vAlign w:val="center"/>
          </w:tcPr>
          <w:p w14:paraId="7B1DD8F4" w14:textId="77777777" w:rsidR="002A71B0" w:rsidRPr="00CE7F05" w:rsidRDefault="00837A66" w:rsidP="002A71B0">
            <w:pPr>
              <w:ind w:right="57"/>
              <w:jc w:val="right"/>
              <w:rPr>
                <w:sz w:val="20"/>
                <w:szCs w:val="20"/>
              </w:rPr>
            </w:pPr>
            <w:r w:rsidRPr="00773F8D">
              <w:rPr>
                <w:sz w:val="20"/>
                <w:szCs w:val="20"/>
              </w:rPr>
              <w:t>25 500,00</w:t>
            </w:r>
          </w:p>
        </w:tc>
        <w:tc>
          <w:tcPr>
            <w:tcW w:w="1247" w:type="dxa"/>
            <w:vAlign w:val="center"/>
          </w:tcPr>
          <w:p w14:paraId="43191103" w14:textId="7DE3BA55"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29,54</w:t>
            </w:r>
          </w:p>
        </w:tc>
      </w:tr>
      <w:tr w:rsidR="00363F0A" w14:paraId="10A2DA52" w14:textId="77777777" w:rsidTr="000001E3">
        <w:trPr>
          <w:jc w:val="center"/>
        </w:trPr>
        <w:tc>
          <w:tcPr>
            <w:tcW w:w="846" w:type="dxa"/>
            <w:vAlign w:val="center"/>
          </w:tcPr>
          <w:p w14:paraId="46E1B8A2" w14:textId="77777777" w:rsidR="002A71B0" w:rsidRPr="00CE7F05" w:rsidRDefault="00837A66" w:rsidP="000001E3">
            <w:pPr>
              <w:jc w:val="left"/>
              <w:rPr>
                <w:sz w:val="20"/>
                <w:szCs w:val="20"/>
              </w:rPr>
            </w:pPr>
            <w:r w:rsidRPr="00A95C93">
              <w:rPr>
                <w:sz w:val="20"/>
                <w:szCs w:val="20"/>
              </w:rPr>
              <w:t>42854</w:t>
            </w:r>
          </w:p>
        </w:tc>
        <w:tc>
          <w:tcPr>
            <w:tcW w:w="6690" w:type="dxa"/>
            <w:vAlign w:val="center"/>
          </w:tcPr>
          <w:p w14:paraId="5C750115" w14:textId="77777777" w:rsidR="002A71B0" w:rsidRPr="00CE7F05" w:rsidRDefault="00837A66" w:rsidP="002A71B0">
            <w:pPr>
              <w:jc w:val="left"/>
              <w:rPr>
                <w:sz w:val="20"/>
                <w:szCs w:val="20"/>
              </w:rPr>
            </w:pPr>
            <w:r w:rsidRPr="00A95C93">
              <w:rPr>
                <w:sz w:val="20"/>
                <w:szCs w:val="20"/>
              </w:rPr>
              <w:t>MOSTNÍ LOŽISKA HRNCOVÁ PRO ZATÍŽ</w:t>
            </w:r>
            <w:r>
              <w:rPr>
                <w:sz w:val="20"/>
                <w:szCs w:val="20"/>
              </w:rPr>
              <w:t>ENÍ</w:t>
            </w:r>
            <w:r w:rsidRPr="00A95C93">
              <w:rPr>
                <w:sz w:val="20"/>
                <w:szCs w:val="20"/>
              </w:rPr>
              <w:t xml:space="preserve"> PŘES 5,0</w:t>
            </w:r>
            <w:r>
              <w:rPr>
                <w:sz w:val="20"/>
                <w:szCs w:val="20"/>
              </w:rPr>
              <w:t xml:space="preserve"> </w:t>
            </w:r>
            <w:r w:rsidRPr="00A95C93">
              <w:rPr>
                <w:sz w:val="20"/>
                <w:szCs w:val="20"/>
              </w:rPr>
              <w:t>MN</w:t>
            </w:r>
          </w:p>
        </w:tc>
        <w:tc>
          <w:tcPr>
            <w:tcW w:w="879" w:type="dxa"/>
            <w:vAlign w:val="center"/>
          </w:tcPr>
          <w:p w14:paraId="0FB7617E" w14:textId="77777777" w:rsidR="002A71B0" w:rsidRPr="00CE7F05" w:rsidRDefault="00837A66" w:rsidP="002A71B0">
            <w:pPr>
              <w:jc w:val="center"/>
              <w:rPr>
                <w:sz w:val="20"/>
                <w:szCs w:val="20"/>
              </w:rPr>
            </w:pPr>
            <w:r>
              <w:rPr>
                <w:sz w:val="20"/>
                <w:szCs w:val="20"/>
              </w:rPr>
              <w:t>kus</w:t>
            </w:r>
          </w:p>
        </w:tc>
        <w:tc>
          <w:tcPr>
            <w:tcW w:w="1020" w:type="dxa"/>
            <w:vAlign w:val="center"/>
          </w:tcPr>
          <w:p w14:paraId="0923D09B" w14:textId="77777777" w:rsidR="002A71B0" w:rsidRPr="00D17E4B" w:rsidRDefault="00837A66" w:rsidP="002A71B0">
            <w:pPr>
              <w:jc w:val="right"/>
              <w:rPr>
                <w:sz w:val="20"/>
                <w:szCs w:val="20"/>
              </w:rPr>
            </w:pPr>
            <w:r w:rsidRPr="00913CAF">
              <w:rPr>
                <w:sz w:val="20"/>
                <w:szCs w:val="20"/>
              </w:rPr>
              <w:t>54 250,00</w:t>
            </w:r>
          </w:p>
        </w:tc>
        <w:tc>
          <w:tcPr>
            <w:tcW w:w="1020" w:type="dxa"/>
            <w:vAlign w:val="center"/>
          </w:tcPr>
          <w:p w14:paraId="3E0675C4" w14:textId="77777777" w:rsidR="002A71B0" w:rsidRPr="00D17E4B" w:rsidRDefault="00837A66" w:rsidP="002A71B0">
            <w:pPr>
              <w:jc w:val="right"/>
              <w:rPr>
                <w:sz w:val="20"/>
                <w:szCs w:val="20"/>
              </w:rPr>
            </w:pPr>
            <w:r w:rsidRPr="00913CAF">
              <w:rPr>
                <w:sz w:val="20"/>
                <w:szCs w:val="20"/>
              </w:rPr>
              <w:t>192</w:t>
            </w:r>
            <w:r w:rsidRPr="00913CAF">
              <w:rPr>
                <w:sz w:val="16"/>
                <w:szCs w:val="20"/>
              </w:rPr>
              <w:t xml:space="preserve"> </w:t>
            </w:r>
            <w:r w:rsidRPr="00913CAF">
              <w:rPr>
                <w:sz w:val="20"/>
                <w:szCs w:val="20"/>
              </w:rPr>
              <w:t>200,00</w:t>
            </w:r>
          </w:p>
        </w:tc>
        <w:tc>
          <w:tcPr>
            <w:tcW w:w="1134" w:type="dxa"/>
            <w:vAlign w:val="center"/>
          </w:tcPr>
          <w:p w14:paraId="18E0C788" w14:textId="77777777" w:rsidR="002A71B0" w:rsidRPr="00CE7F05" w:rsidRDefault="00837A66" w:rsidP="002A71B0">
            <w:pPr>
              <w:ind w:right="57"/>
              <w:jc w:val="right"/>
              <w:rPr>
                <w:sz w:val="20"/>
                <w:szCs w:val="20"/>
              </w:rPr>
            </w:pPr>
            <w:r w:rsidRPr="00913CAF">
              <w:rPr>
                <w:sz w:val="20"/>
                <w:szCs w:val="20"/>
              </w:rPr>
              <w:t>92 508,13</w:t>
            </w:r>
          </w:p>
        </w:tc>
        <w:tc>
          <w:tcPr>
            <w:tcW w:w="1134" w:type="dxa"/>
            <w:vAlign w:val="center"/>
          </w:tcPr>
          <w:p w14:paraId="02537265" w14:textId="77777777" w:rsidR="002A71B0" w:rsidRPr="00CE7F05" w:rsidRDefault="00837A66" w:rsidP="002A71B0">
            <w:pPr>
              <w:ind w:right="57"/>
              <w:jc w:val="right"/>
              <w:rPr>
                <w:sz w:val="20"/>
                <w:szCs w:val="20"/>
              </w:rPr>
            </w:pPr>
            <w:r w:rsidRPr="00773F8D">
              <w:rPr>
                <w:sz w:val="20"/>
                <w:szCs w:val="20"/>
              </w:rPr>
              <w:t>182 500,00</w:t>
            </w:r>
          </w:p>
        </w:tc>
        <w:tc>
          <w:tcPr>
            <w:tcW w:w="1247" w:type="dxa"/>
            <w:vAlign w:val="center"/>
          </w:tcPr>
          <w:p w14:paraId="565832D4" w14:textId="2C6403A2"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49,31</w:t>
            </w:r>
          </w:p>
        </w:tc>
      </w:tr>
      <w:tr w:rsidR="00363F0A" w14:paraId="57FA1E50" w14:textId="77777777" w:rsidTr="000001E3">
        <w:trPr>
          <w:jc w:val="center"/>
        </w:trPr>
        <w:tc>
          <w:tcPr>
            <w:tcW w:w="846" w:type="dxa"/>
            <w:vAlign w:val="center"/>
          </w:tcPr>
          <w:p w14:paraId="529E241A" w14:textId="77777777" w:rsidR="002A71B0" w:rsidRPr="00CE7F05" w:rsidRDefault="00837A66" w:rsidP="000001E3">
            <w:pPr>
              <w:jc w:val="left"/>
              <w:rPr>
                <w:sz w:val="20"/>
                <w:szCs w:val="20"/>
              </w:rPr>
            </w:pPr>
            <w:r w:rsidRPr="00C920B9">
              <w:rPr>
                <w:sz w:val="20"/>
                <w:szCs w:val="20"/>
              </w:rPr>
              <w:t>56330</w:t>
            </w:r>
          </w:p>
        </w:tc>
        <w:tc>
          <w:tcPr>
            <w:tcW w:w="6690" w:type="dxa"/>
            <w:vAlign w:val="center"/>
          </w:tcPr>
          <w:p w14:paraId="17DBC8A6" w14:textId="77777777" w:rsidR="002A71B0" w:rsidRPr="00CE7F05" w:rsidRDefault="00837A66" w:rsidP="002A71B0">
            <w:pPr>
              <w:jc w:val="left"/>
              <w:rPr>
                <w:sz w:val="20"/>
                <w:szCs w:val="20"/>
              </w:rPr>
            </w:pPr>
            <w:r w:rsidRPr="00C920B9">
              <w:rPr>
                <w:sz w:val="20"/>
                <w:szCs w:val="20"/>
              </w:rPr>
              <w:t>VOZOVKOVÉ VRSTVY ZE ŠTĚRKODRTI</w:t>
            </w:r>
          </w:p>
        </w:tc>
        <w:tc>
          <w:tcPr>
            <w:tcW w:w="879" w:type="dxa"/>
            <w:vAlign w:val="center"/>
          </w:tcPr>
          <w:p w14:paraId="65AD3B8E" w14:textId="77777777" w:rsidR="002A71B0" w:rsidRPr="00CE7F05" w:rsidRDefault="00837A66" w:rsidP="002A71B0">
            <w:pPr>
              <w:jc w:val="center"/>
              <w:rPr>
                <w:sz w:val="20"/>
                <w:szCs w:val="20"/>
              </w:rPr>
            </w:pPr>
            <w:r>
              <w:rPr>
                <w:sz w:val="20"/>
                <w:szCs w:val="20"/>
              </w:rPr>
              <w:t>m</w:t>
            </w:r>
            <w:r w:rsidRPr="00263D30">
              <w:rPr>
                <w:sz w:val="20"/>
                <w:szCs w:val="20"/>
                <w:vertAlign w:val="superscript"/>
              </w:rPr>
              <w:t>3</w:t>
            </w:r>
          </w:p>
        </w:tc>
        <w:tc>
          <w:tcPr>
            <w:tcW w:w="1020" w:type="dxa"/>
            <w:vAlign w:val="center"/>
          </w:tcPr>
          <w:p w14:paraId="41D299B7" w14:textId="77777777" w:rsidR="002A71B0" w:rsidRPr="00D17E4B" w:rsidRDefault="00837A66" w:rsidP="002A71B0">
            <w:pPr>
              <w:jc w:val="right"/>
              <w:rPr>
                <w:sz w:val="20"/>
                <w:szCs w:val="20"/>
              </w:rPr>
            </w:pPr>
            <w:r w:rsidRPr="00B22FAE">
              <w:rPr>
                <w:sz w:val="20"/>
                <w:szCs w:val="20"/>
              </w:rPr>
              <w:t>123,34</w:t>
            </w:r>
          </w:p>
        </w:tc>
        <w:tc>
          <w:tcPr>
            <w:tcW w:w="1020" w:type="dxa"/>
            <w:vAlign w:val="center"/>
          </w:tcPr>
          <w:p w14:paraId="475FE73C" w14:textId="77777777" w:rsidR="002A71B0" w:rsidRPr="00D17E4B" w:rsidRDefault="00837A66" w:rsidP="002A71B0">
            <w:pPr>
              <w:jc w:val="right"/>
              <w:rPr>
                <w:sz w:val="20"/>
                <w:szCs w:val="20"/>
              </w:rPr>
            </w:pPr>
            <w:r w:rsidRPr="00B22FAE">
              <w:rPr>
                <w:sz w:val="20"/>
                <w:szCs w:val="20"/>
              </w:rPr>
              <w:t>2 500,00</w:t>
            </w:r>
          </w:p>
        </w:tc>
        <w:tc>
          <w:tcPr>
            <w:tcW w:w="1134" w:type="dxa"/>
            <w:vAlign w:val="center"/>
          </w:tcPr>
          <w:p w14:paraId="4536B5E6" w14:textId="77777777" w:rsidR="002A71B0" w:rsidRPr="00CE7F05" w:rsidRDefault="00837A66" w:rsidP="002A71B0">
            <w:pPr>
              <w:ind w:right="57"/>
              <w:jc w:val="right"/>
              <w:rPr>
                <w:sz w:val="20"/>
                <w:szCs w:val="20"/>
              </w:rPr>
            </w:pPr>
            <w:r w:rsidRPr="00B22FAE">
              <w:rPr>
                <w:sz w:val="20"/>
                <w:szCs w:val="20"/>
              </w:rPr>
              <w:t>562,32</w:t>
            </w:r>
          </w:p>
        </w:tc>
        <w:tc>
          <w:tcPr>
            <w:tcW w:w="1134" w:type="dxa"/>
            <w:vAlign w:val="center"/>
          </w:tcPr>
          <w:p w14:paraId="5EED0EDF" w14:textId="77777777" w:rsidR="002A71B0" w:rsidRPr="00CE7F05" w:rsidRDefault="00837A66" w:rsidP="002A71B0">
            <w:pPr>
              <w:ind w:right="57"/>
              <w:jc w:val="right"/>
              <w:rPr>
                <w:sz w:val="20"/>
                <w:szCs w:val="20"/>
              </w:rPr>
            </w:pPr>
            <w:r w:rsidRPr="00773F8D">
              <w:rPr>
                <w:sz w:val="20"/>
                <w:szCs w:val="20"/>
              </w:rPr>
              <w:t>689,00</w:t>
            </w:r>
          </w:p>
        </w:tc>
        <w:tc>
          <w:tcPr>
            <w:tcW w:w="1247" w:type="dxa"/>
            <w:vAlign w:val="center"/>
          </w:tcPr>
          <w:p w14:paraId="47606471" w14:textId="62C895D3"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18,39</w:t>
            </w:r>
          </w:p>
        </w:tc>
      </w:tr>
      <w:tr w:rsidR="00363F0A" w14:paraId="6297464E" w14:textId="77777777" w:rsidTr="000001E3">
        <w:trPr>
          <w:jc w:val="center"/>
        </w:trPr>
        <w:tc>
          <w:tcPr>
            <w:tcW w:w="846" w:type="dxa"/>
            <w:vAlign w:val="center"/>
          </w:tcPr>
          <w:p w14:paraId="3169C60B" w14:textId="77777777" w:rsidR="002A71B0" w:rsidRPr="00CE7F05" w:rsidRDefault="00837A66" w:rsidP="000001E3">
            <w:pPr>
              <w:jc w:val="left"/>
              <w:rPr>
                <w:sz w:val="20"/>
                <w:szCs w:val="20"/>
              </w:rPr>
            </w:pPr>
            <w:r w:rsidRPr="00C920B9">
              <w:rPr>
                <w:sz w:val="20"/>
                <w:szCs w:val="20"/>
              </w:rPr>
              <w:t>56334</w:t>
            </w:r>
          </w:p>
        </w:tc>
        <w:tc>
          <w:tcPr>
            <w:tcW w:w="6690" w:type="dxa"/>
            <w:vAlign w:val="center"/>
          </w:tcPr>
          <w:p w14:paraId="41DF6BD0" w14:textId="77777777" w:rsidR="002A71B0" w:rsidRPr="00CE7F05" w:rsidRDefault="00837A66" w:rsidP="002A71B0">
            <w:pPr>
              <w:jc w:val="left"/>
              <w:rPr>
                <w:sz w:val="20"/>
                <w:szCs w:val="20"/>
              </w:rPr>
            </w:pPr>
            <w:r w:rsidRPr="00C920B9">
              <w:rPr>
                <w:sz w:val="20"/>
                <w:szCs w:val="20"/>
              </w:rPr>
              <w:t>VOZOVKOVÉ VRSTVY ZE ŠTĚRKODRTI TL. DO 200MM</w:t>
            </w:r>
          </w:p>
        </w:tc>
        <w:tc>
          <w:tcPr>
            <w:tcW w:w="879" w:type="dxa"/>
            <w:vAlign w:val="center"/>
          </w:tcPr>
          <w:p w14:paraId="3337DFE8" w14:textId="77777777" w:rsidR="002A71B0" w:rsidRPr="00CE7F05" w:rsidRDefault="00837A66" w:rsidP="002A71B0">
            <w:pPr>
              <w:jc w:val="center"/>
              <w:rPr>
                <w:sz w:val="20"/>
                <w:szCs w:val="20"/>
              </w:rPr>
            </w:pPr>
            <w:r>
              <w:rPr>
                <w:sz w:val="20"/>
                <w:szCs w:val="20"/>
              </w:rPr>
              <w:t>m</w:t>
            </w:r>
            <w:r>
              <w:rPr>
                <w:sz w:val="20"/>
                <w:szCs w:val="20"/>
                <w:vertAlign w:val="superscript"/>
              </w:rPr>
              <w:t>2</w:t>
            </w:r>
          </w:p>
        </w:tc>
        <w:tc>
          <w:tcPr>
            <w:tcW w:w="1020" w:type="dxa"/>
            <w:vAlign w:val="center"/>
          </w:tcPr>
          <w:p w14:paraId="01959CDA" w14:textId="77777777" w:rsidR="002A71B0" w:rsidRPr="00D17E4B" w:rsidRDefault="00837A66" w:rsidP="002A71B0">
            <w:pPr>
              <w:jc w:val="right"/>
              <w:rPr>
                <w:sz w:val="20"/>
                <w:szCs w:val="20"/>
              </w:rPr>
            </w:pPr>
            <w:r w:rsidRPr="00F949EC">
              <w:rPr>
                <w:sz w:val="20"/>
                <w:szCs w:val="20"/>
              </w:rPr>
              <w:t>76,00</w:t>
            </w:r>
          </w:p>
        </w:tc>
        <w:tc>
          <w:tcPr>
            <w:tcW w:w="1020" w:type="dxa"/>
            <w:vAlign w:val="center"/>
          </w:tcPr>
          <w:p w14:paraId="63AF1B4E" w14:textId="77777777" w:rsidR="002A71B0" w:rsidRPr="00D17E4B" w:rsidRDefault="00837A66" w:rsidP="002A71B0">
            <w:pPr>
              <w:jc w:val="right"/>
              <w:rPr>
                <w:sz w:val="20"/>
                <w:szCs w:val="20"/>
              </w:rPr>
            </w:pPr>
            <w:r w:rsidRPr="00F949EC">
              <w:rPr>
                <w:sz w:val="20"/>
                <w:szCs w:val="20"/>
              </w:rPr>
              <w:t>323,64</w:t>
            </w:r>
          </w:p>
        </w:tc>
        <w:tc>
          <w:tcPr>
            <w:tcW w:w="1134" w:type="dxa"/>
            <w:vAlign w:val="center"/>
          </w:tcPr>
          <w:p w14:paraId="4FB75D72" w14:textId="77777777" w:rsidR="002A71B0" w:rsidRPr="00CE7F05" w:rsidRDefault="00837A66" w:rsidP="002A71B0">
            <w:pPr>
              <w:ind w:right="57"/>
              <w:jc w:val="right"/>
              <w:rPr>
                <w:sz w:val="20"/>
                <w:szCs w:val="20"/>
              </w:rPr>
            </w:pPr>
            <w:r w:rsidRPr="00F949EC">
              <w:rPr>
                <w:sz w:val="20"/>
                <w:szCs w:val="20"/>
              </w:rPr>
              <w:t>114,42</w:t>
            </w:r>
          </w:p>
        </w:tc>
        <w:tc>
          <w:tcPr>
            <w:tcW w:w="1134" w:type="dxa"/>
            <w:vAlign w:val="center"/>
          </w:tcPr>
          <w:p w14:paraId="4888C91D" w14:textId="77777777" w:rsidR="002A71B0" w:rsidRPr="00CE7F05" w:rsidRDefault="00837A66" w:rsidP="002A71B0">
            <w:pPr>
              <w:ind w:right="57"/>
              <w:jc w:val="right"/>
              <w:rPr>
                <w:sz w:val="20"/>
                <w:szCs w:val="20"/>
              </w:rPr>
            </w:pPr>
            <w:r w:rsidRPr="00773F8D">
              <w:rPr>
                <w:sz w:val="20"/>
                <w:szCs w:val="20"/>
              </w:rPr>
              <w:t>138,00</w:t>
            </w:r>
          </w:p>
        </w:tc>
        <w:tc>
          <w:tcPr>
            <w:tcW w:w="1247" w:type="dxa"/>
            <w:vAlign w:val="center"/>
          </w:tcPr>
          <w:p w14:paraId="42982A30" w14:textId="73873054"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17,09</w:t>
            </w:r>
          </w:p>
        </w:tc>
      </w:tr>
      <w:tr w:rsidR="00363F0A" w14:paraId="01E31A36" w14:textId="77777777" w:rsidTr="000001E3">
        <w:trPr>
          <w:jc w:val="center"/>
        </w:trPr>
        <w:tc>
          <w:tcPr>
            <w:tcW w:w="846" w:type="dxa"/>
            <w:vAlign w:val="center"/>
          </w:tcPr>
          <w:p w14:paraId="60711A7E" w14:textId="77777777" w:rsidR="002A71B0" w:rsidRPr="00CE7F05" w:rsidRDefault="00837A66" w:rsidP="000001E3">
            <w:pPr>
              <w:jc w:val="left"/>
              <w:rPr>
                <w:sz w:val="20"/>
                <w:szCs w:val="20"/>
              </w:rPr>
            </w:pPr>
            <w:r w:rsidRPr="00C920B9">
              <w:rPr>
                <w:sz w:val="20"/>
                <w:szCs w:val="20"/>
              </w:rPr>
              <w:t>76792</w:t>
            </w:r>
          </w:p>
        </w:tc>
        <w:tc>
          <w:tcPr>
            <w:tcW w:w="6690" w:type="dxa"/>
            <w:vAlign w:val="center"/>
          </w:tcPr>
          <w:p w14:paraId="6E122CC9" w14:textId="77777777" w:rsidR="002A71B0" w:rsidRPr="00CE7F05" w:rsidRDefault="00837A66" w:rsidP="002A71B0">
            <w:pPr>
              <w:jc w:val="left"/>
              <w:rPr>
                <w:sz w:val="20"/>
                <w:szCs w:val="20"/>
              </w:rPr>
            </w:pPr>
            <w:r w:rsidRPr="00C920B9">
              <w:rPr>
                <w:sz w:val="20"/>
                <w:szCs w:val="20"/>
              </w:rPr>
              <w:t>OPLOCENÍ Z DRÁTĚNÉHO PLETIVA POTAŽENÉHO PLASTEM</w:t>
            </w:r>
          </w:p>
        </w:tc>
        <w:tc>
          <w:tcPr>
            <w:tcW w:w="879" w:type="dxa"/>
            <w:vAlign w:val="center"/>
          </w:tcPr>
          <w:p w14:paraId="4A4D1321" w14:textId="77777777" w:rsidR="002A71B0" w:rsidRPr="00CE7F05" w:rsidRDefault="00837A66" w:rsidP="002A71B0">
            <w:pPr>
              <w:jc w:val="center"/>
              <w:rPr>
                <w:sz w:val="20"/>
                <w:szCs w:val="20"/>
              </w:rPr>
            </w:pPr>
            <w:r>
              <w:rPr>
                <w:sz w:val="20"/>
                <w:szCs w:val="20"/>
              </w:rPr>
              <w:t>m</w:t>
            </w:r>
            <w:r>
              <w:rPr>
                <w:sz w:val="20"/>
                <w:szCs w:val="20"/>
                <w:vertAlign w:val="superscript"/>
              </w:rPr>
              <w:t>2</w:t>
            </w:r>
          </w:p>
        </w:tc>
        <w:tc>
          <w:tcPr>
            <w:tcW w:w="1020" w:type="dxa"/>
            <w:vAlign w:val="center"/>
          </w:tcPr>
          <w:p w14:paraId="09E3B96D" w14:textId="77777777" w:rsidR="002A71B0" w:rsidRPr="00D17E4B" w:rsidRDefault="00837A66" w:rsidP="002A71B0">
            <w:pPr>
              <w:jc w:val="right"/>
              <w:rPr>
                <w:sz w:val="20"/>
                <w:szCs w:val="20"/>
              </w:rPr>
            </w:pPr>
            <w:r w:rsidRPr="00053A22">
              <w:rPr>
                <w:sz w:val="20"/>
                <w:szCs w:val="20"/>
              </w:rPr>
              <w:t>59,41</w:t>
            </w:r>
          </w:p>
        </w:tc>
        <w:tc>
          <w:tcPr>
            <w:tcW w:w="1020" w:type="dxa"/>
            <w:vAlign w:val="center"/>
          </w:tcPr>
          <w:p w14:paraId="004D3550" w14:textId="77777777" w:rsidR="002A71B0" w:rsidRPr="00D17E4B" w:rsidRDefault="00837A66" w:rsidP="002A71B0">
            <w:pPr>
              <w:jc w:val="right"/>
              <w:rPr>
                <w:sz w:val="20"/>
                <w:szCs w:val="20"/>
              </w:rPr>
            </w:pPr>
            <w:r w:rsidRPr="00053A22">
              <w:rPr>
                <w:sz w:val="20"/>
                <w:szCs w:val="20"/>
              </w:rPr>
              <w:t>539,71</w:t>
            </w:r>
          </w:p>
        </w:tc>
        <w:tc>
          <w:tcPr>
            <w:tcW w:w="1134" w:type="dxa"/>
            <w:vAlign w:val="center"/>
          </w:tcPr>
          <w:p w14:paraId="2D02DFB5" w14:textId="77777777" w:rsidR="002A71B0" w:rsidRPr="00CE7F05" w:rsidRDefault="00837A66" w:rsidP="002A71B0">
            <w:pPr>
              <w:ind w:right="57"/>
              <w:jc w:val="right"/>
              <w:rPr>
                <w:sz w:val="20"/>
                <w:szCs w:val="20"/>
              </w:rPr>
            </w:pPr>
            <w:r w:rsidRPr="00053A22">
              <w:rPr>
                <w:sz w:val="20"/>
                <w:szCs w:val="20"/>
              </w:rPr>
              <w:t>247,64</w:t>
            </w:r>
          </w:p>
        </w:tc>
        <w:tc>
          <w:tcPr>
            <w:tcW w:w="1134" w:type="dxa"/>
            <w:vAlign w:val="center"/>
          </w:tcPr>
          <w:p w14:paraId="624CEB95" w14:textId="77777777" w:rsidR="002A71B0" w:rsidRPr="00CE7F05" w:rsidRDefault="00837A66" w:rsidP="002A71B0">
            <w:pPr>
              <w:ind w:right="57"/>
              <w:jc w:val="right"/>
              <w:rPr>
                <w:sz w:val="20"/>
                <w:szCs w:val="20"/>
              </w:rPr>
            </w:pPr>
            <w:r w:rsidRPr="00773F8D">
              <w:rPr>
                <w:sz w:val="20"/>
                <w:szCs w:val="20"/>
              </w:rPr>
              <w:t>98,00</w:t>
            </w:r>
          </w:p>
        </w:tc>
        <w:tc>
          <w:tcPr>
            <w:tcW w:w="1247" w:type="dxa"/>
            <w:vAlign w:val="center"/>
          </w:tcPr>
          <w:p w14:paraId="3BF6B0A2" w14:textId="77777777" w:rsidR="002A71B0" w:rsidRPr="00A76B87" w:rsidRDefault="00837A66" w:rsidP="002A71B0">
            <w:pPr>
              <w:ind w:right="310"/>
              <w:jc w:val="right"/>
              <w:rPr>
                <w:sz w:val="20"/>
                <w:szCs w:val="20"/>
              </w:rPr>
            </w:pPr>
            <w:r w:rsidRPr="00A76B87">
              <w:rPr>
                <w:sz w:val="20"/>
                <w:szCs w:val="20"/>
              </w:rPr>
              <w:t>152,69</w:t>
            </w:r>
          </w:p>
        </w:tc>
      </w:tr>
      <w:tr w:rsidR="00363F0A" w14:paraId="00FB7A25" w14:textId="77777777" w:rsidTr="000001E3">
        <w:trPr>
          <w:jc w:val="center"/>
        </w:trPr>
        <w:tc>
          <w:tcPr>
            <w:tcW w:w="846" w:type="dxa"/>
            <w:vAlign w:val="center"/>
          </w:tcPr>
          <w:p w14:paraId="0071378D" w14:textId="77777777" w:rsidR="002A71B0" w:rsidRPr="00CE7F05" w:rsidRDefault="00837A66" w:rsidP="000001E3">
            <w:pPr>
              <w:jc w:val="left"/>
              <w:rPr>
                <w:sz w:val="20"/>
                <w:szCs w:val="20"/>
              </w:rPr>
            </w:pPr>
            <w:r>
              <w:rPr>
                <w:sz w:val="20"/>
                <w:szCs w:val="20"/>
              </w:rPr>
              <w:t>9113A1</w:t>
            </w:r>
          </w:p>
        </w:tc>
        <w:tc>
          <w:tcPr>
            <w:tcW w:w="6690" w:type="dxa"/>
          </w:tcPr>
          <w:p w14:paraId="126CDCF7" w14:textId="77777777" w:rsidR="002A71B0" w:rsidRPr="00CE7F05" w:rsidRDefault="00837A66" w:rsidP="002A71B0">
            <w:pPr>
              <w:jc w:val="left"/>
              <w:rPr>
                <w:sz w:val="20"/>
                <w:szCs w:val="20"/>
              </w:rPr>
            </w:pPr>
            <w:r w:rsidRPr="00156E25">
              <w:rPr>
                <w:sz w:val="20"/>
                <w:szCs w:val="20"/>
              </w:rPr>
              <w:t>SVODIDLO OCEL</w:t>
            </w:r>
            <w:r>
              <w:rPr>
                <w:sz w:val="20"/>
                <w:szCs w:val="20"/>
              </w:rPr>
              <w:t>OVÉ</w:t>
            </w:r>
            <w:r w:rsidRPr="00156E25">
              <w:rPr>
                <w:sz w:val="20"/>
                <w:szCs w:val="20"/>
              </w:rPr>
              <w:t xml:space="preserve"> SILNIČ</w:t>
            </w:r>
            <w:r>
              <w:rPr>
                <w:sz w:val="20"/>
                <w:szCs w:val="20"/>
              </w:rPr>
              <w:t>NÍ</w:t>
            </w:r>
            <w:r w:rsidRPr="00156E25">
              <w:rPr>
                <w:sz w:val="20"/>
                <w:szCs w:val="20"/>
              </w:rPr>
              <w:t xml:space="preserve"> JEDNOSTR</w:t>
            </w:r>
            <w:r>
              <w:rPr>
                <w:sz w:val="20"/>
                <w:szCs w:val="20"/>
              </w:rPr>
              <w:t>ANNÉ</w:t>
            </w:r>
            <w:r w:rsidRPr="00156E25">
              <w:rPr>
                <w:sz w:val="20"/>
                <w:szCs w:val="20"/>
              </w:rPr>
              <w:t>, ÚROVEŇ ZADRŽ</w:t>
            </w:r>
            <w:r>
              <w:rPr>
                <w:sz w:val="20"/>
                <w:szCs w:val="20"/>
              </w:rPr>
              <w:t>ENÍ</w:t>
            </w:r>
            <w:r w:rsidRPr="00156E25">
              <w:rPr>
                <w:sz w:val="20"/>
                <w:szCs w:val="20"/>
              </w:rPr>
              <w:t xml:space="preserve"> N1, N2 - DODÁVKA A MONTÁŽ</w:t>
            </w:r>
          </w:p>
        </w:tc>
        <w:tc>
          <w:tcPr>
            <w:tcW w:w="879" w:type="dxa"/>
            <w:vAlign w:val="center"/>
          </w:tcPr>
          <w:p w14:paraId="7565B7CD" w14:textId="77777777" w:rsidR="002A71B0" w:rsidRPr="00CE7F05" w:rsidRDefault="00837A66" w:rsidP="002A71B0">
            <w:pPr>
              <w:jc w:val="center"/>
              <w:rPr>
                <w:sz w:val="20"/>
                <w:szCs w:val="20"/>
              </w:rPr>
            </w:pPr>
            <w:r>
              <w:rPr>
                <w:sz w:val="20"/>
                <w:szCs w:val="20"/>
              </w:rPr>
              <w:t>m</w:t>
            </w:r>
          </w:p>
        </w:tc>
        <w:tc>
          <w:tcPr>
            <w:tcW w:w="1020" w:type="dxa"/>
            <w:vAlign w:val="center"/>
          </w:tcPr>
          <w:p w14:paraId="5A493CDF" w14:textId="77777777" w:rsidR="002A71B0" w:rsidRPr="00D17E4B" w:rsidRDefault="00837A66" w:rsidP="002A71B0">
            <w:pPr>
              <w:jc w:val="right"/>
              <w:rPr>
                <w:sz w:val="20"/>
                <w:szCs w:val="20"/>
              </w:rPr>
            </w:pPr>
            <w:r w:rsidRPr="00053A22">
              <w:rPr>
                <w:sz w:val="20"/>
                <w:szCs w:val="20"/>
              </w:rPr>
              <w:t>607,66</w:t>
            </w:r>
          </w:p>
        </w:tc>
        <w:tc>
          <w:tcPr>
            <w:tcW w:w="1020" w:type="dxa"/>
            <w:vAlign w:val="center"/>
          </w:tcPr>
          <w:p w14:paraId="46B11DBD" w14:textId="77777777" w:rsidR="002A71B0" w:rsidRPr="00D17E4B" w:rsidRDefault="00837A66" w:rsidP="002A71B0">
            <w:pPr>
              <w:jc w:val="right"/>
              <w:rPr>
                <w:sz w:val="20"/>
                <w:szCs w:val="20"/>
              </w:rPr>
            </w:pPr>
            <w:r w:rsidRPr="00053A22">
              <w:rPr>
                <w:sz w:val="20"/>
                <w:szCs w:val="20"/>
              </w:rPr>
              <w:t>1 740,00</w:t>
            </w:r>
          </w:p>
        </w:tc>
        <w:tc>
          <w:tcPr>
            <w:tcW w:w="1134" w:type="dxa"/>
            <w:vAlign w:val="center"/>
          </w:tcPr>
          <w:p w14:paraId="13CEB6A0" w14:textId="77777777" w:rsidR="002A71B0" w:rsidRPr="00CE7F05" w:rsidRDefault="00837A66" w:rsidP="002A71B0">
            <w:pPr>
              <w:ind w:right="57"/>
              <w:jc w:val="right"/>
              <w:rPr>
                <w:sz w:val="20"/>
                <w:szCs w:val="20"/>
              </w:rPr>
            </w:pPr>
            <w:r w:rsidRPr="00053A22">
              <w:rPr>
                <w:sz w:val="20"/>
                <w:szCs w:val="20"/>
              </w:rPr>
              <w:t>846,67</w:t>
            </w:r>
          </w:p>
        </w:tc>
        <w:tc>
          <w:tcPr>
            <w:tcW w:w="1134" w:type="dxa"/>
            <w:vAlign w:val="center"/>
          </w:tcPr>
          <w:p w14:paraId="7C40DF3B" w14:textId="77777777" w:rsidR="002A71B0" w:rsidRPr="00CE7F05" w:rsidRDefault="00837A66" w:rsidP="002A71B0">
            <w:pPr>
              <w:ind w:right="57"/>
              <w:jc w:val="right"/>
              <w:rPr>
                <w:sz w:val="20"/>
                <w:szCs w:val="20"/>
              </w:rPr>
            </w:pPr>
            <w:r w:rsidRPr="008F255B">
              <w:rPr>
                <w:sz w:val="20"/>
                <w:szCs w:val="20"/>
              </w:rPr>
              <w:t>989,00</w:t>
            </w:r>
          </w:p>
        </w:tc>
        <w:tc>
          <w:tcPr>
            <w:tcW w:w="1247" w:type="dxa"/>
            <w:vAlign w:val="center"/>
          </w:tcPr>
          <w:p w14:paraId="5FC0C2BB" w14:textId="10414B7D"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14,39</w:t>
            </w:r>
          </w:p>
        </w:tc>
      </w:tr>
      <w:tr w:rsidR="00363F0A" w14:paraId="41C4EF91" w14:textId="77777777" w:rsidTr="000001E3">
        <w:trPr>
          <w:jc w:val="center"/>
        </w:trPr>
        <w:tc>
          <w:tcPr>
            <w:tcW w:w="846" w:type="dxa"/>
            <w:vAlign w:val="center"/>
          </w:tcPr>
          <w:p w14:paraId="4A899ABC" w14:textId="77777777" w:rsidR="002A71B0" w:rsidRPr="00CE7F05" w:rsidRDefault="00837A66" w:rsidP="000001E3">
            <w:pPr>
              <w:jc w:val="left"/>
              <w:rPr>
                <w:sz w:val="20"/>
                <w:szCs w:val="20"/>
              </w:rPr>
            </w:pPr>
            <w:r>
              <w:rPr>
                <w:sz w:val="20"/>
                <w:szCs w:val="20"/>
              </w:rPr>
              <w:t>915111</w:t>
            </w:r>
          </w:p>
        </w:tc>
        <w:tc>
          <w:tcPr>
            <w:tcW w:w="6690" w:type="dxa"/>
            <w:vAlign w:val="center"/>
          </w:tcPr>
          <w:p w14:paraId="1C01E81B" w14:textId="77777777" w:rsidR="002A71B0" w:rsidRPr="00CE7F05" w:rsidRDefault="00837A66" w:rsidP="002A71B0">
            <w:pPr>
              <w:jc w:val="left"/>
              <w:rPr>
                <w:sz w:val="20"/>
                <w:szCs w:val="20"/>
              </w:rPr>
            </w:pPr>
            <w:r w:rsidRPr="007649DF">
              <w:rPr>
                <w:sz w:val="20"/>
                <w:szCs w:val="20"/>
              </w:rPr>
              <w:t>VODOROVNÉ DOPRAVNÍ ZNAČENÍ BARVOU HLADKÉ - DODÁVKA A POKLÁDKA</w:t>
            </w:r>
          </w:p>
        </w:tc>
        <w:tc>
          <w:tcPr>
            <w:tcW w:w="879" w:type="dxa"/>
            <w:vAlign w:val="center"/>
          </w:tcPr>
          <w:p w14:paraId="10320F88" w14:textId="77777777" w:rsidR="002A71B0" w:rsidRPr="00CE7F05" w:rsidRDefault="00837A66" w:rsidP="002A71B0">
            <w:pPr>
              <w:jc w:val="center"/>
              <w:rPr>
                <w:sz w:val="20"/>
                <w:szCs w:val="20"/>
              </w:rPr>
            </w:pPr>
            <w:r>
              <w:rPr>
                <w:sz w:val="20"/>
                <w:szCs w:val="20"/>
              </w:rPr>
              <w:t>m</w:t>
            </w:r>
            <w:r>
              <w:rPr>
                <w:sz w:val="20"/>
                <w:szCs w:val="20"/>
                <w:vertAlign w:val="superscript"/>
              </w:rPr>
              <w:t>2</w:t>
            </w:r>
          </w:p>
        </w:tc>
        <w:tc>
          <w:tcPr>
            <w:tcW w:w="1020" w:type="dxa"/>
            <w:vAlign w:val="center"/>
          </w:tcPr>
          <w:p w14:paraId="6B8A7EF7" w14:textId="77777777" w:rsidR="002A71B0" w:rsidRPr="00D17E4B" w:rsidRDefault="00837A66" w:rsidP="002A71B0">
            <w:pPr>
              <w:jc w:val="right"/>
              <w:rPr>
                <w:sz w:val="20"/>
                <w:szCs w:val="20"/>
              </w:rPr>
            </w:pPr>
            <w:r w:rsidRPr="00053A22">
              <w:rPr>
                <w:sz w:val="20"/>
                <w:szCs w:val="20"/>
              </w:rPr>
              <w:t>44,86</w:t>
            </w:r>
          </w:p>
        </w:tc>
        <w:tc>
          <w:tcPr>
            <w:tcW w:w="1020" w:type="dxa"/>
            <w:vAlign w:val="center"/>
          </w:tcPr>
          <w:p w14:paraId="3B35AA2A" w14:textId="77777777" w:rsidR="002A71B0" w:rsidRPr="00D17E4B" w:rsidRDefault="00837A66" w:rsidP="002A71B0">
            <w:pPr>
              <w:jc w:val="right"/>
              <w:rPr>
                <w:sz w:val="20"/>
                <w:szCs w:val="20"/>
              </w:rPr>
            </w:pPr>
            <w:r w:rsidRPr="00053A22">
              <w:rPr>
                <w:sz w:val="20"/>
                <w:szCs w:val="20"/>
              </w:rPr>
              <w:t>568,99</w:t>
            </w:r>
          </w:p>
        </w:tc>
        <w:tc>
          <w:tcPr>
            <w:tcW w:w="1134" w:type="dxa"/>
            <w:vAlign w:val="center"/>
          </w:tcPr>
          <w:p w14:paraId="14CDDE68" w14:textId="77777777" w:rsidR="002A71B0" w:rsidRPr="00053A22" w:rsidRDefault="00837A66" w:rsidP="002A71B0">
            <w:pPr>
              <w:ind w:right="57"/>
              <w:jc w:val="right"/>
              <w:rPr>
                <w:sz w:val="20"/>
                <w:szCs w:val="20"/>
              </w:rPr>
            </w:pPr>
            <w:r w:rsidRPr="00053A22">
              <w:rPr>
                <w:sz w:val="20"/>
                <w:szCs w:val="20"/>
              </w:rPr>
              <w:t>76,63</w:t>
            </w:r>
          </w:p>
        </w:tc>
        <w:tc>
          <w:tcPr>
            <w:tcW w:w="1134" w:type="dxa"/>
            <w:vAlign w:val="center"/>
          </w:tcPr>
          <w:p w14:paraId="38DA0AC2" w14:textId="77777777" w:rsidR="002A71B0" w:rsidRPr="00CE7F05" w:rsidRDefault="00837A66" w:rsidP="002A71B0">
            <w:pPr>
              <w:ind w:right="57"/>
              <w:jc w:val="right"/>
              <w:rPr>
                <w:sz w:val="20"/>
                <w:szCs w:val="20"/>
              </w:rPr>
            </w:pPr>
            <w:r w:rsidRPr="008F255B">
              <w:rPr>
                <w:sz w:val="20"/>
                <w:szCs w:val="20"/>
              </w:rPr>
              <w:t>114,00</w:t>
            </w:r>
          </w:p>
        </w:tc>
        <w:tc>
          <w:tcPr>
            <w:tcW w:w="1247" w:type="dxa"/>
            <w:vAlign w:val="center"/>
          </w:tcPr>
          <w:p w14:paraId="1FDB7930" w14:textId="300C5FF8"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32,78</w:t>
            </w:r>
          </w:p>
        </w:tc>
      </w:tr>
      <w:tr w:rsidR="00363F0A" w14:paraId="56B5C43C" w14:textId="77777777" w:rsidTr="000001E3">
        <w:trPr>
          <w:jc w:val="center"/>
        </w:trPr>
        <w:tc>
          <w:tcPr>
            <w:tcW w:w="846" w:type="dxa"/>
            <w:vAlign w:val="center"/>
          </w:tcPr>
          <w:p w14:paraId="3B27724E" w14:textId="77777777" w:rsidR="002A71B0" w:rsidRPr="00CE7F05" w:rsidRDefault="00837A66" w:rsidP="000001E3">
            <w:pPr>
              <w:jc w:val="left"/>
              <w:rPr>
                <w:sz w:val="20"/>
                <w:szCs w:val="20"/>
              </w:rPr>
            </w:pPr>
            <w:r w:rsidRPr="007649DF">
              <w:rPr>
                <w:sz w:val="20"/>
                <w:szCs w:val="20"/>
              </w:rPr>
              <w:t>915231</w:t>
            </w:r>
          </w:p>
        </w:tc>
        <w:tc>
          <w:tcPr>
            <w:tcW w:w="6690" w:type="dxa"/>
            <w:vAlign w:val="center"/>
          </w:tcPr>
          <w:p w14:paraId="7358F200" w14:textId="26E49ABE" w:rsidR="002A71B0" w:rsidRPr="00CE7F05" w:rsidRDefault="00837A66" w:rsidP="002A71B0">
            <w:pPr>
              <w:jc w:val="left"/>
              <w:rPr>
                <w:sz w:val="20"/>
                <w:szCs w:val="20"/>
              </w:rPr>
            </w:pPr>
            <w:r w:rsidRPr="007649DF">
              <w:rPr>
                <w:sz w:val="20"/>
                <w:szCs w:val="20"/>
              </w:rPr>
              <w:t>VODOR</w:t>
            </w:r>
            <w:r w:rsidR="00055A5E">
              <w:rPr>
                <w:sz w:val="20"/>
                <w:szCs w:val="20"/>
              </w:rPr>
              <w:t>.</w:t>
            </w:r>
            <w:r w:rsidRPr="007649DF">
              <w:rPr>
                <w:sz w:val="20"/>
                <w:szCs w:val="20"/>
              </w:rPr>
              <w:t xml:space="preserve"> DOPRAV</w:t>
            </w:r>
            <w:r>
              <w:rPr>
                <w:sz w:val="20"/>
                <w:szCs w:val="20"/>
              </w:rPr>
              <w:t>NÍ</w:t>
            </w:r>
            <w:r w:rsidRPr="007649DF">
              <w:rPr>
                <w:sz w:val="20"/>
                <w:szCs w:val="20"/>
              </w:rPr>
              <w:t xml:space="preserve"> ZNAČ</w:t>
            </w:r>
            <w:r>
              <w:rPr>
                <w:sz w:val="20"/>
                <w:szCs w:val="20"/>
              </w:rPr>
              <w:t>ENÍ</w:t>
            </w:r>
            <w:r w:rsidRPr="007649DF">
              <w:rPr>
                <w:sz w:val="20"/>
                <w:szCs w:val="20"/>
              </w:rPr>
              <w:t xml:space="preserve"> PLASTEM PROFIL ZVUČÍCÍ - DOD</w:t>
            </w:r>
            <w:r>
              <w:rPr>
                <w:sz w:val="20"/>
                <w:szCs w:val="20"/>
              </w:rPr>
              <w:t>ÁVKA</w:t>
            </w:r>
            <w:r w:rsidRPr="007649DF">
              <w:rPr>
                <w:sz w:val="20"/>
                <w:szCs w:val="20"/>
              </w:rPr>
              <w:t xml:space="preserve"> A POKLÁDKA</w:t>
            </w:r>
          </w:p>
        </w:tc>
        <w:tc>
          <w:tcPr>
            <w:tcW w:w="879" w:type="dxa"/>
            <w:vAlign w:val="center"/>
          </w:tcPr>
          <w:p w14:paraId="3648D7C5" w14:textId="77777777" w:rsidR="002A71B0" w:rsidRPr="00CE7F05" w:rsidRDefault="00837A66" w:rsidP="002A71B0">
            <w:pPr>
              <w:jc w:val="center"/>
              <w:rPr>
                <w:sz w:val="20"/>
                <w:szCs w:val="20"/>
              </w:rPr>
            </w:pPr>
            <w:r>
              <w:rPr>
                <w:sz w:val="20"/>
                <w:szCs w:val="20"/>
              </w:rPr>
              <w:t>m</w:t>
            </w:r>
            <w:r>
              <w:rPr>
                <w:sz w:val="20"/>
                <w:szCs w:val="20"/>
                <w:vertAlign w:val="superscript"/>
              </w:rPr>
              <w:t>2</w:t>
            </w:r>
          </w:p>
        </w:tc>
        <w:tc>
          <w:tcPr>
            <w:tcW w:w="1020" w:type="dxa"/>
            <w:vAlign w:val="center"/>
          </w:tcPr>
          <w:p w14:paraId="238A7E74" w14:textId="77777777" w:rsidR="002A71B0" w:rsidRPr="00D17E4B" w:rsidRDefault="00837A66" w:rsidP="002A71B0">
            <w:pPr>
              <w:jc w:val="right"/>
              <w:rPr>
                <w:sz w:val="20"/>
                <w:szCs w:val="20"/>
              </w:rPr>
            </w:pPr>
            <w:r w:rsidRPr="00053A22">
              <w:rPr>
                <w:sz w:val="20"/>
                <w:szCs w:val="20"/>
              </w:rPr>
              <w:t>103,00</w:t>
            </w:r>
          </w:p>
        </w:tc>
        <w:tc>
          <w:tcPr>
            <w:tcW w:w="1020" w:type="dxa"/>
            <w:vAlign w:val="center"/>
          </w:tcPr>
          <w:p w14:paraId="1321F279" w14:textId="77777777" w:rsidR="002A71B0" w:rsidRPr="00D17E4B" w:rsidRDefault="00837A66" w:rsidP="002A71B0">
            <w:pPr>
              <w:jc w:val="right"/>
              <w:rPr>
                <w:sz w:val="20"/>
                <w:szCs w:val="20"/>
              </w:rPr>
            </w:pPr>
            <w:r w:rsidRPr="00053A22">
              <w:rPr>
                <w:sz w:val="20"/>
                <w:szCs w:val="20"/>
              </w:rPr>
              <w:t>355,00</w:t>
            </w:r>
          </w:p>
        </w:tc>
        <w:tc>
          <w:tcPr>
            <w:tcW w:w="1134" w:type="dxa"/>
            <w:vAlign w:val="center"/>
          </w:tcPr>
          <w:p w14:paraId="185FC6A1" w14:textId="77777777" w:rsidR="002A71B0" w:rsidRPr="00CE7F05" w:rsidRDefault="00837A66" w:rsidP="002A71B0">
            <w:pPr>
              <w:ind w:right="57"/>
              <w:jc w:val="right"/>
              <w:rPr>
                <w:sz w:val="20"/>
                <w:szCs w:val="20"/>
              </w:rPr>
            </w:pPr>
            <w:r w:rsidRPr="00053A22">
              <w:rPr>
                <w:sz w:val="20"/>
                <w:szCs w:val="20"/>
              </w:rPr>
              <w:t>240,96</w:t>
            </w:r>
          </w:p>
        </w:tc>
        <w:tc>
          <w:tcPr>
            <w:tcW w:w="1134" w:type="dxa"/>
            <w:vAlign w:val="center"/>
          </w:tcPr>
          <w:p w14:paraId="2D53CA95" w14:textId="77777777" w:rsidR="002A71B0" w:rsidRPr="00CE7F05" w:rsidRDefault="00837A66" w:rsidP="002A71B0">
            <w:pPr>
              <w:ind w:right="57"/>
              <w:jc w:val="right"/>
              <w:rPr>
                <w:sz w:val="20"/>
                <w:szCs w:val="20"/>
              </w:rPr>
            </w:pPr>
            <w:r w:rsidRPr="008F255B">
              <w:rPr>
                <w:sz w:val="20"/>
                <w:szCs w:val="20"/>
              </w:rPr>
              <w:t>316,00</w:t>
            </w:r>
          </w:p>
        </w:tc>
        <w:tc>
          <w:tcPr>
            <w:tcW w:w="1247" w:type="dxa"/>
            <w:vAlign w:val="center"/>
          </w:tcPr>
          <w:p w14:paraId="028F8389" w14:textId="606F66BD" w:rsidR="002A71B0" w:rsidRPr="00A76B87" w:rsidRDefault="00815686" w:rsidP="002A71B0">
            <w:pPr>
              <w:ind w:right="310"/>
              <w:jc w:val="right"/>
              <w:rPr>
                <w:sz w:val="20"/>
                <w:szCs w:val="20"/>
              </w:rPr>
            </w:pPr>
            <w:r w:rsidRPr="00994D13">
              <w:rPr>
                <w:rFonts w:cs="Calibri"/>
                <w:sz w:val="20"/>
                <w:szCs w:val="20"/>
              </w:rPr>
              <w:t>−</w:t>
            </w:r>
            <w:r w:rsidR="00837A66" w:rsidRPr="00A76B87">
              <w:rPr>
                <w:sz w:val="20"/>
                <w:szCs w:val="20"/>
              </w:rPr>
              <w:t>23,75</w:t>
            </w:r>
          </w:p>
        </w:tc>
      </w:tr>
      <w:tr w:rsidR="00363F0A" w14:paraId="118F3F4D" w14:textId="77777777" w:rsidTr="000001E3">
        <w:trPr>
          <w:jc w:val="center"/>
        </w:trPr>
        <w:tc>
          <w:tcPr>
            <w:tcW w:w="846" w:type="dxa"/>
            <w:vAlign w:val="center"/>
          </w:tcPr>
          <w:p w14:paraId="163604BF" w14:textId="77777777" w:rsidR="002A71B0" w:rsidRPr="00CE7F05" w:rsidRDefault="00837A66" w:rsidP="000001E3">
            <w:pPr>
              <w:jc w:val="left"/>
              <w:rPr>
                <w:sz w:val="20"/>
                <w:szCs w:val="20"/>
              </w:rPr>
            </w:pPr>
            <w:r w:rsidRPr="00664FF9">
              <w:rPr>
                <w:sz w:val="20"/>
                <w:szCs w:val="20"/>
              </w:rPr>
              <w:t>935212</w:t>
            </w:r>
          </w:p>
        </w:tc>
        <w:tc>
          <w:tcPr>
            <w:tcW w:w="6690" w:type="dxa"/>
            <w:vAlign w:val="center"/>
          </w:tcPr>
          <w:p w14:paraId="3160E0CA" w14:textId="181D7331" w:rsidR="002A71B0" w:rsidRPr="00CE7F05" w:rsidRDefault="00837A66" w:rsidP="002A71B0">
            <w:pPr>
              <w:jc w:val="left"/>
              <w:rPr>
                <w:sz w:val="20"/>
                <w:szCs w:val="20"/>
              </w:rPr>
            </w:pPr>
            <w:r w:rsidRPr="00664FF9">
              <w:rPr>
                <w:sz w:val="20"/>
                <w:szCs w:val="20"/>
              </w:rPr>
              <w:t>PŘÍKOPOVÉ ŽLABY Z</w:t>
            </w:r>
            <w:r w:rsidR="00055A5E">
              <w:rPr>
                <w:sz w:val="20"/>
                <w:szCs w:val="20"/>
              </w:rPr>
              <w:t> </w:t>
            </w:r>
            <w:r w:rsidRPr="00664FF9">
              <w:rPr>
                <w:sz w:val="20"/>
                <w:szCs w:val="20"/>
              </w:rPr>
              <w:t>BETON</w:t>
            </w:r>
            <w:r w:rsidR="00055A5E">
              <w:rPr>
                <w:sz w:val="20"/>
                <w:szCs w:val="20"/>
              </w:rPr>
              <w:t>.</w:t>
            </w:r>
            <w:r w:rsidRPr="00664FF9">
              <w:rPr>
                <w:sz w:val="20"/>
                <w:szCs w:val="20"/>
              </w:rPr>
              <w:t xml:space="preserve"> TVÁRNIC ŠÍŘ DO 600MM DO BETONU TL 100MM</w:t>
            </w:r>
          </w:p>
        </w:tc>
        <w:tc>
          <w:tcPr>
            <w:tcW w:w="879" w:type="dxa"/>
            <w:vAlign w:val="center"/>
          </w:tcPr>
          <w:p w14:paraId="6C9C7135" w14:textId="77777777" w:rsidR="002A71B0" w:rsidRPr="00CE7F05" w:rsidRDefault="00837A66" w:rsidP="001B3FDC">
            <w:pPr>
              <w:jc w:val="center"/>
              <w:rPr>
                <w:sz w:val="20"/>
                <w:szCs w:val="20"/>
              </w:rPr>
            </w:pPr>
            <w:r>
              <w:rPr>
                <w:sz w:val="20"/>
                <w:szCs w:val="20"/>
              </w:rPr>
              <w:t>m</w:t>
            </w:r>
          </w:p>
        </w:tc>
        <w:tc>
          <w:tcPr>
            <w:tcW w:w="1020" w:type="dxa"/>
            <w:vAlign w:val="center"/>
          </w:tcPr>
          <w:p w14:paraId="48AFF790" w14:textId="77777777" w:rsidR="002A71B0" w:rsidRPr="00D17E4B" w:rsidRDefault="00837A66" w:rsidP="001B3FDC">
            <w:pPr>
              <w:jc w:val="right"/>
              <w:rPr>
                <w:sz w:val="20"/>
                <w:szCs w:val="20"/>
              </w:rPr>
            </w:pPr>
            <w:r w:rsidRPr="00A12A71">
              <w:rPr>
                <w:sz w:val="20"/>
                <w:szCs w:val="20"/>
              </w:rPr>
              <w:t>32,00</w:t>
            </w:r>
          </w:p>
        </w:tc>
        <w:tc>
          <w:tcPr>
            <w:tcW w:w="1020" w:type="dxa"/>
            <w:vAlign w:val="center"/>
          </w:tcPr>
          <w:p w14:paraId="21B92C27" w14:textId="77777777" w:rsidR="002A71B0" w:rsidRPr="00D17E4B" w:rsidRDefault="00837A66" w:rsidP="001B3FDC">
            <w:pPr>
              <w:jc w:val="right"/>
              <w:rPr>
                <w:sz w:val="20"/>
                <w:szCs w:val="20"/>
              </w:rPr>
            </w:pPr>
            <w:r w:rsidRPr="00A12A71">
              <w:rPr>
                <w:sz w:val="20"/>
                <w:szCs w:val="20"/>
              </w:rPr>
              <w:t>657,00</w:t>
            </w:r>
          </w:p>
        </w:tc>
        <w:tc>
          <w:tcPr>
            <w:tcW w:w="1134" w:type="dxa"/>
            <w:vAlign w:val="center"/>
          </w:tcPr>
          <w:p w14:paraId="57DF89AA" w14:textId="77777777" w:rsidR="002A71B0" w:rsidRPr="00CE7F05" w:rsidRDefault="00837A66" w:rsidP="001B3FDC">
            <w:pPr>
              <w:ind w:right="57"/>
              <w:jc w:val="right"/>
              <w:rPr>
                <w:sz w:val="20"/>
                <w:szCs w:val="20"/>
              </w:rPr>
            </w:pPr>
            <w:r w:rsidRPr="00A12A71">
              <w:rPr>
                <w:sz w:val="20"/>
                <w:szCs w:val="20"/>
              </w:rPr>
              <w:t>448,65</w:t>
            </w:r>
          </w:p>
        </w:tc>
        <w:tc>
          <w:tcPr>
            <w:tcW w:w="1134" w:type="dxa"/>
            <w:vAlign w:val="center"/>
          </w:tcPr>
          <w:p w14:paraId="35B1331F" w14:textId="77777777" w:rsidR="002A71B0" w:rsidRPr="00CE7F05" w:rsidRDefault="00837A66" w:rsidP="001B3FDC">
            <w:pPr>
              <w:ind w:right="57"/>
              <w:jc w:val="right"/>
              <w:rPr>
                <w:sz w:val="20"/>
                <w:szCs w:val="20"/>
              </w:rPr>
            </w:pPr>
            <w:r w:rsidRPr="008F255B">
              <w:rPr>
                <w:sz w:val="20"/>
                <w:szCs w:val="20"/>
              </w:rPr>
              <w:t>488,00</w:t>
            </w:r>
          </w:p>
        </w:tc>
        <w:tc>
          <w:tcPr>
            <w:tcW w:w="1247" w:type="dxa"/>
            <w:vAlign w:val="center"/>
          </w:tcPr>
          <w:p w14:paraId="6A030978" w14:textId="56A6BAD5" w:rsidR="002A71B0" w:rsidRPr="00A76B87" w:rsidRDefault="00815686" w:rsidP="001B3FDC">
            <w:pPr>
              <w:ind w:right="310"/>
              <w:jc w:val="right"/>
              <w:rPr>
                <w:sz w:val="20"/>
                <w:szCs w:val="20"/>
              </w:rPr>
            </w:pPr>
            <w:r w:rsidRPr="00994D13">
              <w:rPr>
                <w:rFonts w:cs="Calibri"/>
                <w:sz w:val="20"/>
                <w:szCs w:val="20"/>
              </w:rPr>
              <w:t>−</w:t>
            </w:r>
            <w:r w:rsidR="00837A66" w:rsidRPr="00A76B87">
              <w:rPr>
                <w:sz w:val="20"/>
                <w:szCs w:val="20"/>
              </w:rPr>
              <w:t>8,06</w:t>
            </w:r>
          </w:p>
        </w:tc>
      </w:tr>
    </w:tbl>
    <w:p w14:paraId="3F7C265E" w14:textId="7C01968B" w:rsidR="003C4872" w:rsidRPr="000001E3" w:rsidRDefault="00837A66" w:rsidP="00055A5E">
      <w:pPr>
        <w:ind w:left="567" w:hanging="567"/>
        <w:rPr>
          <w:sz w:val="20"/>
        </w:rPr>
      </w:pPr>
      <w:r w:rsidRPr="00610699">
        <w:rPr>
          <w:b/>
          <w:sz w:val="20"/>
        </w:rPr>
        <w:t>Zdroj:</w:t>
      </w:r>
      <w:r w:rsidRPr="00610699">
        <w:rPr>
          <w:sz w:val="20"/>
        </w:rPr>
        <w:t xml:space="preserve"> </w:t>
      </w:r>
      <w:r w:rsidRPr="00610699">
        <w:rPr>
          <w:sz w:val="20"/>
        </w:rPr>
        <w:tab/>
      </w:r>
      <w:r w:rsidR="00055A5E">
        <w:rPr>
          <w:sz w:val="20"/>
        </w:rPr>
        <w:t>n</w:t>
      </w:r>
      <w:r w:rsidRPr="00610699">
        <w:rPr>
          <w:sz w:val="20"/>
        </w:rPr>
        <w:t xml:space="preserve">abídkové rozpočty uchazečů v elektronické podobě, vlastní výpočet NKÚ, OTSKP </w:t>
      </w:r>
      <w:r>
        <w:rPr>
          <w:sz w:val="20"/>
        </w:rPr>
        <w:t>aktualizovan</w:t>
      </w:r>
      <w:r w:rsidR="00055A5E">
        <w:rPr>
          <w:sz w:val="20"/>
        </w:rPr>
        <w:t>ý</w:t>
      </w:r>
      <w:r>
        <w:rPr>
          <w:sz w:val="20"/>
        </w:rPr>
        <w:t xml:space="preserve"> v dubnu </w:t>
      </w:r>
      <w:r w:rsidRPr="00610699">
        <w:rPr>
          <w:sz w:val="20"/>
        </w:rPr>
        <w:t>2018</w:t>
      </w:r>
      <w:r w:rsidR="00181508">
        <w:rPr>
          <w:sz w:val="20"/>
        </w:rPr>
        <w:t>.</w:t>
      </w:r>
    </w:p>
    <w:sectPr w:rsidR="003C4872" w:rsidRPr="000001E3" w:rsidSect="002A71B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783C" w14:textId="77777777" w:rsidR="000F102D" w:rsidRDefault="000F102D">
      <w:r>
        <w:separator/>
      </w:r>
    </w:p>
  </w:endnote>
  <w:endnote w:type="continuationSeparator" w:id="0">
    <w:p w14:paraId="712976ED" w14:textId="77777777" w:rsidR="000F102D" w:rsidRDefault="000F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F983" w14:textId="77777777" w:rsidR="000F102D" w:rsidRDefault="000F10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DF92F" w14:textId="33D31074" w:rsidR="000F102D" w:rsidRPr="006936C3" w:rsidRDefault="000F102D" w:rsidP="006936C3">
    <w:pPr>
      <w:pStyle w:val="Zpat"/>
      <w:jc w:val="center"/>
      <w:rPr>
        <w:color w:val="004595"/>
      </w:rPr>
    </w:pPr>
    <w:r w:rsidRPr="006936C3">
      <w:rPr>
        <w:color w:val="004595"/>
      </w:rPr>
      <w:fldChar w:fldCharType="begin"/>
    </w:r>
    <w:r w:rsidRPr="006936C3">
      <w:rPr>
        <w:color w:val="004595"/>
      </w:rPr>
      <w:instrText>PAGE   \* MERGEFORMAT</w:instrText>
    </w:r>
    <w:r w:rsidRPr="006936C3">
      <w:rPr>
        <w:color w:val="004595"/>
      </w:rPr>
      <w:fldChar w:fldCharType="separate"/>
    </w:r>
    <w:r w:rsidR="00CE70CA">
      <w:rPr>
        <w:noProof/>
        <w:color w:val="004595"/>
      </w:rPr>
      <w:t>2</w:t>
    </w:r>
    <w:r w:rsidRPr="006936C3">
      <w:rPr>
        <w:color w:val="00459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D80C" w14:textId="77777777" w:rsidR="000F102D" w:rsidRDefault="000F10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A3E5F" w14:textId="77777777" w:rsidR="000F102D" w:rsidRDefault="000F102D" w:rsidP="006936C3">
      <w:r>
        <w:separator/>
      </w:r>
    </w:p>
  </w:footnote>
  <w:footnote w:type="continuationSeparator" w:id="0">
    <w:p w14:paraId="18C42810" w14:textId="77777777" w:rsidR="000F102D" w:rsidRDefault="000F102D" w:rsidP="006936C3">
      <w:r>
        <w:continuationSeparator/>
      </w:r>
    </w:p>
  </w:footnote>
  <w:footnote w:id="1">
    <w:p w14:paraId="140753CF" w14:textId="77777777" w:rsidR="000F102D" w:rsidRDefault="000F102D" w:rsidP="00097125">
      <w:pPr>
        <w:pStyle w:val="Textpoznpodarou"/>
        <w:ind w:left="284" w:hanging="284"/>
      </w:pPr>
      <w:r>
        <w:rPr>
          <w:rStyle w:val="Znakapoznpodarou"/>
        </w:rPr>
        <w:footnoteRef/>
      </w:r>
      <w:r>
        <w:tab/>
        <w:t xml:space="preserve">Ustanovení </w:t>
      </w:r>
      <w:r w:rsidRPr="00AF6F9F">
        <w:t xml:space="preserve">§ </w:t>
      </w:r>
      <w:r>
        <w:t>5</w:t>
      </w:r>
      <w:r w:rsidRPr="00AF6F9F">
        <w:t xml:space="preserve"> </w:t>
      </w:r>
      <w:r>
        <w:t xml:space="preserve">a ustanovení § 9 </w:t>
      </w:r>
      <w:r w:rsidRPr="00AF6F9F">
        <w:t>zákona č. 13/1997 Sb., o pozemních komunikacích</w:t>
      </w:r>
      <w:r>
        <w:t>.</w:t>
      </w:r>
    </w:p>
  </w:footnote>
  <w:footnote w:id="2">
    <w:p w14:paraId="7826FAF2" w14:textId="77777777" w:rsidR="000F102D" w:rsidRDefault="000F102D" w:rsidP="00097125">
      <w:pPr>
        <w:pStyle w:val="Textpoznpodarou"/>
        <w:ind w:left="284" w:hanging="284"/>
      </w:pPr>
      <w:r>
        <w:rPr>
          <w:rStyle w:val="Znakapoznpodarou"/>
        </w:rPr>
        <w:footnoteRef/>
      </w:r>
      <w:r>
        <w:tab/>
      </w:r>
      <w:r w:rsidRPr="00814EBE">
        <w:t>Zákon č. 104/2000 Sb., o Státním fondu dopravní infrastruktury</w:t>
      </w:r>
      <w:r>
        <w:t>.</w:t>
      </w:r>
    </w:p>
  </w:footnote>
  <w:footnote w:id="3">
    <w:p w14:paraId="0A761273" w14:textId="6852DA86" w:rsidR="000F102D" w:rsidRDefault="000F102D" w:rsidP="00097125">
      <w:pPr>
        <w:pStyle w:val="Textpoznpodarou"/>
        <w:ind w:left="284" w:hanging="284"/>
      </w:pPr>
      <w:r>
        <w:rPr>
          <w:rStyle w:val="Znakapoznpodarou"/>
        </w:rPr>
        <w:footnoteRef/>
      </w:r>
      <w:r>
        <w:tab/>
      </w:r>
      <w:r w:rsidRPr="00104C75">
        <w:t xml:space="preserve">Usnesení vlády </w:t>
      </w:r>
      <w:r>
        <w:t xml:space="preserve">ČR </w:t>
      </w:r>
      <w:r w:rsidRPr="00104C75">
        <w:t xml:space="preserve">ze dne 12. 6. 2013 č. 449, </w:t>
      </w:r>
      <w:r w:rsidRPr="00AD7698">
        <w:rPr>
          <w:i/>
        </w:rPr>
        <w:t>k Dopravní politice České republiky pro období let 2014 až 2020 s výhledem do roku 2050</w:t>
      </w:r>
      <w:r>
        <w:t>.</w:t>
      </w:r>
    </w:p>
  </w:footnote>
  <w:footnote w:id="4">
    <w:p w14:paraId="6EAE750E" w14:textId="4EBE6C04" w:rsidR="000F102D" w:rsidRDefault="000F102D" w:rsidP="00097125">
      <w:pPr>
        <w:pStyle w:val="Textpoznpodarou"/>
        <w:ind w:left="284" w:hanging="284"/>
      </w:pPr>
      <w:r>
        <w:rPr>
          <w:rStyle w:val="Znakapoznpodarou"/>
        </w:rPr>
        <w:footnoteRef/>
      </w:r>
      <w:r>
        <w:tab/>
      </w:r>
      <w:r w:rsidRPr="003E2022">
        <w:t>Usnesení vlády</w:t>
      </w:r>
      <w:r>
        <w:t xml:space="preserve"> ČR</w:t>
      </w:r>
      <w:r w:rsidRPr="003E2022">
        <w:t xml:space="preserve"> ze dne 13. 11. 2013 č. 850, </w:t>
      </w:r>
      <w:r w:rsidRPr="00AD7698">
        <w:rPr>
          <w:i/>
        </w:rPr>
        <w:t>o Dopravních sektorových strategiích, 2. fáze</w:t>
      </w:r>
      <w:r>
        <w:t>.</w:t>
      </w:r>
    </w:p>
  </w:footnote>
  <w:footnote w:id="5">
    <w:p w14:paraId="35CD8B87" w14:textId="0A892EE0" w:rsidR="000F102D" w:rsidRDefault="000F102D" w:rsidP="00097125">
      <w:pPr>
        <w:pStyle w:val="Textpoznpodarou"/>
        <w:ind w:left="284" w:hanging="284"/>
      </w:pPr>
      <w:r>
        <w:rPr>
          <w:rStyle w:val="Znakapoznpodarou"/>
        </w:rPr>
        <w:footnoteRef/>
      </w:r>
      <w:r>
        <w:tab/>
        <w:t>„</w:t>
      </w:r>
      <w:r w:rsidRPr="00E32585">
        <w:t>I/11 Mokré Lazce – hranice okresů Opava, Ostrava</w:t>
      </w:r>
      <w:r>
        <w:t>“</w:t>
      </w:r>
      <w:r w:rsidRPr="00E32585">
        <w:t xml:space="preserve">, </w:t>
      </w:r>
      <w:r>
        <w:t>„</w:t>
      </w:r>
      <w:r w:rsidRPr="00E32585">
        <w:t>I/44 Vlachov – Rájec</w:t>
      </w:r>
      <w:r>
        <w:t>“</w:t>
      </w:r>
      <w:r w:rsidRPr="00E32585">
        <w:t xml:space="preserve">, </w:t>
      </w:r>
      <w:r>
        <w:t>„</w:t>
      </w:r>
      <w:r w:rsidRPr="00E32585">
        <w:t>I/11 Oldřichovice – Bystřice</w:t>
      </w:r>
      <w:r>
        <w:t>“</w:t>
      </w:r>
      <w:r w:rsidRPr="00E32585">
        <w:t xml:space="preserve">, </w:t>
      </w:r>
      <w:r>
        <w:t>„</w:t>
      </w:r>
      <w:r w:rsidRPr="00E32585">
        <w:t>I/11 Nebory – Oldřichovice</w:t>
      </w:r>
      <w:r>
        <w:t>“</w:t>
      </w:r>
      <w:r w:rsidRPr="00E32585">
        <w:t xml:space="preserve">, </w:t>
      </w:r>
      <w:r>
        <w:t>„</w:t>
      </w:r>
      <w:r w:rsidRPr="00E32585">
        <w:t>I/26 Staňkov přeložka</w:t>
      </w:r>
      <w:r>
        <w:t>“</w:t>
      </w:r>
      <w:r w:rsidRPr="00E32585">
        <w:t xml:space="preserve"> a </w:t>
      </w:r>
      <w:r>
        <w:t>„</w:t>
      </w:r>
      <w:r w:rsidRPr="00E32585">
        <w:t>I/37 Chrudim obchvat</w:t>
      </w:r>
      <w:r>
        <w:t>,</w:t>
      </w:r>
      <w:r w:rsidRPr="00E32585">
        <w:t xml:space="preserve"> úsek Medlešice </w:t>
      </w:r>
      <w:r>
        <w:t>–</w:t>
      </w:r>
      <w:r w:rsidRPr="00E32585">
        <w:t xml:space="preserve"> I/17</w:t>
      </w:r>
      <w:r>
        <w:t>“.</w:t>
      </w:r>
    </w:p>
  </w:footnote>
  <w:footnote w:id="6">
    <w:p w14:paraId="296E942F" w14:textId="5E1C958B" w:rsidR="000F102D" w:rsidRDefault="000F102D" w:rsidP="00097125">
      <w:pPr>
        <w:pStyle w:val="Textpoznpodarou"/>
        <w:ind w:left="284" w:hanging="284"/>
      </w:pPr>
      <w:r>
        <w:rPr>
          <w:rStyle w:val="Znakapoznpodarou"/>
        </w:rPr>
        <w:footnoteRef/>
      </w:r>
      <w:r>
        <w:tab/>
      </w:r>
      <w:r w:rsidRPr="00E728D6">
        <w:t xml:space="preserve">Usnesení vlády </w:t>
      </w:r>
      <w:r>
        <w:t xml:space="preserve">ČR </w:t>
      </w:r>
      <w:r w:rsidRPr="00E728D6">
        <w:t xml:space="preserve">ze dne 27. února 2018 č. 136, </w:t>
      </w:r>
      <w:r w:rsidRPr="00AD7698">
        <w:rPr>
          <w:i/>
        </w:rPr>
        <w:t>o Dopravních sektorových strategiích – Aktualizace 2017</w:t>
      </w:r>
      <w:r>
        <w:t>.</w:t>
      </w:r>
    </w:p>
  </w:footnote>
  <w:footnote w:id="7">
    <w:p w14:paraId="12379642" w14:textId="6B16F0CB" w:rsidR="000F102D" w:rsidRDefault="000F102D" w:rsidP="00097125">
      <w:pPr>
        <w:pStyle w:val="Textpoznpodarou"/>
        <w:ind w:left="284" w:hanging="284"/>
      </w:pPr>
      <w:r>
        <w:rPr>
          <w:rStyle w:val="Znakapoznpodarou"/>
        </w:rPr>
        <w:footnoteRef/>
      </w:r>
      <w:r w:rsidRPr="00F51421">
        <w:tab/>
      </w:r>
      <w:r w:rsidRPr="00C75773">
        <w:t>Environmental Impact Assessment</w:t>
      </w:r>
      <w:r w:rsidRPr="00F51421">
        <w:t xml:space="preserve"> (EIA) </w:t>
      </w:r>
      <w:r>
        <w:t xml:space="preserve">– </w:t>
      </w:r>
      <w:r w:rsidRPr="00F51421">
        <w:t>posuzování vlivů záměru na životní prostředí podle zákona č.</w:t>
      </w:r>
      <w:r>
        <w:t> </w:t>
      </w:r>
      <w:r w:rsidRPr="00F51421">
        <w:t>244/1992</w:t>
      </w:r>
      <w:r>
        <w:t> </w:t>
      </w:r>
      <w:r w:rsidRPr="00F51421">
        <w:t>Sb., o posuzování vlivů na životní prostředí, resp. podle zákona č.</w:t>
      </w:r>
      <w:r>
        <w:t> </w:t>
      </w:r>
      <w:r w:rsidRPr="00F51421">
        <w:t>100/2001</w:t>
      </w:r>
      <w:r>
        <w:t> </w:t>
      </w:r>
      <w:r w:rsidRPr="00F51421">
        <w:t>Sb., o posuzování vlivů na životní prostředí a o změně některých souvisejících zákonů (zákon o posuzování vlivů na životní prostředí)</w:t>
      </w:r>
      <w:r>
        <w:t>.</w:t>
      </w:r>
    </w:p>
  </w:footnote>
  <w:footnote w:id="8">
    <w:p w14:paraId="798C2AE1" w14:textId="77777777" w:rsidR="000F102D" w:rsidRDefault="000F102D" w:rsidP="00097125">
      <w:pPr>
        <w:pStyle w:val="Textpoznpodarou"/>
        <w:ind w:left="284" w:hanging="284"/>
      </w:pPr>
      <w:r>
        <w:rPr>
          <w:rStyle w:val="Znakapoznpodarou"/>
        </w:rPr>
        <w:footnoteRef/>
      </w:r>
      <w:r>
        <w:tab/>
      </w:r>
      <w:r w:rsidRPr="000866BA">
        <w:t>Zákon č. 100/2001 Sb., o posuzování vlivů na životní prostředí a o změně některých souvisejících zákonů (zákon o posuzování vlivů na životní prostředí)</w:t>
      </w:r>
      <w:r>
        <w:t>.</w:t>
      </w:r>
    </w:p>
  </w:footnote>
  <w:footnote w:id="9">
    <w:p w14:paraId="1155EFD4" w14:textId="72798C2E" w:rsidR="000F102D" w:rsidRDefault="000F102D" w:rsidP="00097125">
      <w:pPr>
        <w:pStyle w:val="Textpoznpodarou"/>
        <w:ind w:left="284" w:hanging="284"/>
      </w:pPr>
      <w:r>
        <w:rPr>
          <w:rStyle w:val="Znakapoznpodarou"/>
        </w:rPr>
        <w:footnoteRef/>
      </w:r>
      <w:r>
        <w:tab/>
        <w:t>C</w:t>
      </w:r>
      <w:r w:rsidRPr="00CE70D6">
        <w:t>elistvá evropská soustava území se stanoveným stupněm ochrany</w:t>
      </w:r>
      <w:r>
        <w:t>, která je</w:t>
      </w:r>
      <w:r w:rsidRPr="00CE70D6">
        <w:t xml:space="preserve"> </w:t>
      </w:r>
      <w:r>
        <w:t>n</w:t>
      </w:r>
      <w:r w:rsidRPr="00CE70D6">
        <w:t>a území České republiky tvořena vymezenými ptačími oblastmi a vyhlášenými</w:t>
      </w:r>
      <w:r>
        <w:t xml:space="preserve"> evropsky významnými lokalitami (ustanovení § 3 odst. 1 </w:t>
      </w:r>
      <w:r>
        <w:br/>
        <w:t>písm. r) zákona č. 114/1992 Sb., o ochraně přírody a krajiny).</w:t>
      </w:r>
    </w:p>
  </w:footnote>
  <w:footnote w:id="10">
    <w:p w14:paraId="28DE55AF" w14:textId="77777777" w:rsidR="000F102D" w:rsidRDefault="000F102D" w:rsidP="00097125">
      <w:pPr>
        <w:pStyle w:val="Textpoznpodarou"/>
        <w:ind w:left="284" w:hanging="284"/>
      </w:pPr>
      <w:r>
        <w:rPr>
          <w:rStyle w:val="Znakapoznpodarou"/>
        </w:rPr>
        <w:footnoteRef/>
      </w:r>
      <w:r>
        <w:tab/>
      </w:r>
      <w:r w:rsidRPr="005E1B0A">
        <w:t>Zákon č. 183/2006 Sb., o územním plánování a stavebním řádu (stavební zákon)</w:t>
      </w:r>
      <w:r>
        <w:t>.</w:t>
      </w:r>
    </w:p>
  </w:footnote>
  <w:footnote w:id="11">
    <w:p w14:paraId="7489E0DB" w14:textId="77777777" w:rsidR="000F102D" w:rsidRDefault="000F102D" w:rsidP="0046106C">
      <w:pPr>
        <w:pStyle w:val="Textpoznpodarou"/>
        <w:ind w:left="284" w:hanging="284"/>
      </w:pPr>
      <w:r>
        <w:rPr>
          <w:rStyle w:val="Znakapoznpodarou"/>
        </w:rPr>
        <w:footnoteRef/>
      </w:r>
      <w:r>
        <w:tab/>
      </w:r>
      <w:r w:rsidRPr="005E1B0A">
        <w:t>Zákon č. 416/2009 Sb., o urychlení výstavby dopravní, vodní a energetické infrastruktury a infrastruktury elektronických komunikací</w:t>
      </w:r>
      <w:r>
        <w:t>.</w:t>
      </w:r>
    </w:p>
  </w:footnote>
  <w:footnote w:id="12">
    <w:p w14:paraId="688419EE" w14:textId="593647BF" w:rsidR="000F102D" w:rsidRDefault="000F102D" w:rsidP="0046106C">
      <w:pPr>
        <w:pStyle w:val="Textpoznpodarou"/>
        <w:ind w:left="284" w:hanging="284"/>
      </w:pPr>
      <w:r>
        <w:rPr>
          <w:rStyle w:val="Znakapoznpodarou"/>
        </w:rPr>
        <w:footnoteRef/>
      </w:r>
      <w:r>
        <w:t xml:space="preserve"> </w:t>
      </w:r>
      <w:r>
        <w:tab/>
        <w:t xml:space="preserve">Usnesení vlády ČR ze dne 25. 8. 2010 č. 617, </w:t>
      </w:r>
      <w:r w:rsidRPr="00893843">
        <w:rPr>
          <w:i/>
        </w:rPr>
        <w:t>k dopadům sníženého výdajového rámce na investiční výstavbu v letech 2010 a 2011</w:t>
      </w:r>
      <w:r>
        <w:t>.</w:t>
      </w:r>
    </w:p>
  </w:footnote>
  <w:footnote w:id="13">
    <w:p w14:paraId="2EE3C0B7" w14:textId="4B11E7DF" w:rsidR="000F102D" w:rsidRDefault="000F102D" w:rsidP="0046106C">
      <w:pPr>
        <w:pStyle w:val="Textpoznpodarou"/>
        <w:ind w:left="284" w:hanging="284"/>
      </w:pPr>
      <w:r>
        <w:rPr>
          <w:rStyle w:val="Znakapoznpodarou"/>
        </w:rPr>
        <w:footnoteRef/>
      </w:r>
      <w:r>
        <w:tab/>
        <w:t>Ustanovení</w:t>
      </w:r>
      <w:r w:rsidRPr="005143BF">
        <w:rPr>
          <w:sz w:val="16"/>
        </w:rPr>
        <w:t xml:space="preserve"> </w:t>
      </w:r>
      <w:r>
        <w:t>§</w:t>
      </w:r>
      <w:r w:rsidRPr="005143BF">
        <w:rPr>
          <w:sz w:val="16"/>
        </w:rPr>
        <w:t xml:space="preserve"> </w:t>
      </w:r>
      <w:r>
        <w:t>119</w:t>
      </w:r>
      <w:r w:rsidRPr="005143BF">
        <w:rPr>
          <w:sz w:val="16"/>
        </w:rPr>
        <w:t xml:space="preserve"> </w:t>
      </w:r>
      <w:r>
        <w:t>odst.</w:t>
      </w:r>
      <w:r w:rsidRPr="005143BF">
        <w:rPr>
          <w:sz w:val="16"/>
        </w:rPr>
        <w:t xml:space="preserve"> </w:t>
      </w:r>
      <w:r w:rsidRPr="00B7652C">
        <w:t>1</w:t>
      </w:r>
      <w:r w:rsidRPr="005143BF">
        <w:rPr>
          <w:sz w:val="16"/>
        </w:rPr>
        <w:t xml:space="preserve"> </w:t>
      </w:r>
      <w:r w:rsidRPr="00B7652C">
        <w:t>zákona</w:t>
      </w:r>
      <w:r w:rsidRPr="005143BF">
        <w:rPr>
          <w:sz w:val="16"/>
        </w:rPr>
        <w:t xml:space="preserve"> </w:t>
      </w:r>
      <w:r w:rsidRPr="00B7652C">
        <w:t>č.</w:t>
      </w:r>
      <w:r w:rsidRPr="005143BF">
        <w:rPr>
          <w:sz w:val="16"/>
        </w:rPr>
        <w:t xml:space="preserve"> </w:t>
      </w:r>
      <w:r w:rsidRPr="00B7652C">
        <w:t>183/2006</w:t>
      </w:r>
      <w:r w:rsidRPr="005143BF">
        <w:rPr>
          <w:sz w:val="16"/>
        </w:rPr>
        <w:t xml:space="preserve"> </w:t>
      </w:r>
      <w:r w:rsidRPr="00B7652C">
        <w:t>Sb.</w:t>
      </w:r>
      <w:r>
        <w:t>,</w:t>
      </w:r>
      <w:r w:rsidRPr="005143BF">
        <w:rPr>
          <w:sz w:val="16"/>
        </w:rPr>
        <w:t xml:space="preserve"> </w:t>
      </w:r>
      <w:r w:rsidRPr="005143BF">
        <w:t>o</w:t>
      </w:r>
      <w:r w:rsidRPr="005143BF">
        <w:rPr>
          <w:sz w:val="16"/>
        </w:rPr>
        <w:t xml:space="preserve"> </w:t>
      </w:r>
      <w:r w:rsidRPr="005143BF">
        <w:t>územním</w:t>
      </w:r>
      <w:r w:rsidRPr="005143BF">
        <w:rPr>
          <w:sz w:val="16"/>
        </w:rPr>
        <w:t xml:space="preserve"> </w:t>
      </w:r>
      <w:r w:rsidRPr="005143BF">
        <w:t>plánování</w:t>
      </w:r>
      <w:r w:rsidRPr="005143BF">
        <w:rPr>
          <w:sz w:val="16"/>
        </w:rPr>
        <w:t xml:space="preserve"> </w:t>
      </w:r>
      <w:r w:rsidRPr="005143BF">
        <w:t>a</w:t>
      </w:r>
      <w:r w:rsidRPr="005143BF">
        <w:rPr>
          <w:sz w:val="16"/>
        </w:rPr>
        <w:t xml:space="preserve"> </w:t>
      </w:r>
      <w:r w:rsidRPr="005143BF">
        <w:t>stavebním</w:t>
      </w:r>
      <w:r w:rsidRPr="005143BF">
        <w:rPr>
          <w:sz w:val="16"/>
        </w:rPr>
        <w:t xml:space="preserve"> </w:t>
      </w:r>
      <w:r w:rsidRPr="005143BF">
        <w:t>řádu</w:t>
      </w:r>
      <w:r w:rsidRPr="005143BF">
        <w:rPr>
          <w:sz w:val="16"/>
        </w:rPr>
        <w:t xml:space="preserve"> </w:t>
      </w:r>
      <w:r w:rsidRPr="005143BF">
        <w:t>(stavební</w:t>
      </w:r>
      <w:r w:rsidRPr="005143BF">
        <w:rPr>
          <w:sz w:val="16"/>
        </w:rPr>
        <w:t xml:space="preserve"> </w:t>
      </w:r>
      <w:r w:rsidRPr="005143BF">
        <w:t>zákon)</w:t>
      </w:r>
      <w:r>
        <w:t>.</w:t>
      </w:r>
    </w:p>
  </w:footnote>
  <w:footnote w:id="14">
    <w:p w14:paraId="7264EC9E" w14:textId="08F931BA" w:rsidR="000F102D" w:rsidRDefault="000F102D" w:rsidP="0046106C">
      <w:pPr>
        <w:pStyle w:val="Textpoznpodarou"/>
        <w:ind w:left="284" w:hanging="284"/>
      </w:pPr>
      <w:r>
        <w:rPr>
          <w:rStyle w:val="Znakapoznpodarou"/>
        </w:rPr>
        <w:footnoteRef/>
      </w:r>
      <w:r>
        <w:tab/>
      </w:r>
      <w:r w:rsidRPr="00C24684">
        <w:t>Zákon č. 137/2006 Sb., o veřejných zakázkách</w:t>
      </w:r>
      <w:r>
        <w:t>.</w:t>
      </w:r>
    </w:p>
  </w:footnote>
  <w:footnote w:id="15">
    <w:p w14:paraId="24D655D2" w14:textId="77777777" w:rsidR="000F102D" w:rsidRDefault="000F102D" w:rsidP="0046106C">
      <w:pPr>
        <w:pStyle w:val="Textpoznpodarou"/>
        <w:ind w:left="284" w:hanging="284"/>
      </w:pPr>
      <w:r>
        <w:rPr>
          <w:rStyle w:val="Znakapoznpodarou"/>
        </w:rPr>
        <w:footnoteRef/>
      </w:r>
      <w:r>
        <w:tab/>
      </w:r>
      <w:r w:rsidRPr="00326E9B">
        <w:t>Zákon č. 218/2000 Sb., o rozpočtových pravidlech a o změně některých souvisejících zákonů (rozpočtová pravidla)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18A07" w14:textId="77777777" w:rsidR="000F102D" w:rsidRDefault="000F10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3A556" w14:textId="77777777" w:rsidR="000F102D" w:rsidRDefault="000F102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75AE9" w14:textId="77777777" w:rsidR="000F102D" w:rsidRDefault="000F102D" w:rsidP="007662AA">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530D2"/>
    <w:multiLevelType w:val="hybridMultilevel"/>
    <w:tmpl w:val="6C1E5844"/>
    <w:lvl w:ilvl="0" w:tplc="29365A82">
      <w:start w:val="1"/>
      <w:numFmt w:val="bullet"/>
      <w:lvlText w:val=""/>
      <w:lvlJc w:val="left"/>
      <w:pPr>
        <w:ind w:left="360" w:hanging="360"/>
      </w:pPr>
      <w:rPr>
        <w:rFonts w:ascii="Symbol" w:hAnsi="Symbol" w:hint="default"/>
      </w:rPr>
    </w:lvl>
    <w:lvl w:ilvl="1" w:tplc="AF12C1D0" w:tentative="1">
      <w:start w:val="1"/>
      <w:numFmt w:val="bullet"/>
      <w:lvlText w:val="o"/>
      <w:lvlJc w:val="left"/>
      <w:pPr>
        <w:ind w:left="1080" w:hanging="360"/>
      </w:pPr>
      <w:rPr>
        <w:rFonts w:ascii="Courier New" w:hAnsi="Courier New" w:cs="Courier New" w:hint="default"/>
      </w:rPr>
    </w:lvl>
    <w:lvl w:ilvl="2" w:tplc="FC10804A" w:tentative="1">
      <w:start w:val="1"/>
      <w:numFmt w:val="bullet"/>
      <w:lvlText w:val=""/>
      <w:lvlJc w:val="left"/>
      <w:pPr>
        <w:ind w:left="1800" w:hanging="360"/>
      </w:pPr>
      <w:rPr>
        <w:rFonts w:ascii="Wingdings" w:hAnsi="Wingdings" w:hint="default"/>
      </w:rPr>
    </w:lvl>
    <w:lvl w:ilvl="3" w:tplc="F718E666" w:tentative="1">
      <w:start w:val="1"/>
      <w:numFmt w:val="bullet"/>
      <w:lvlText w:val=""/>
      <w:lvlJc w:val="left"/>
      <w:pPr>
        <w:ind w:left="2520" w:hanging="360"/>
      </w:pPr>
      <w:rPr>
        <w:rFonts w:ascii="Symbol" w:hAnsi="Symbol" w:hint="default"/>
      </w:rPr>
    </w:lvl>
    <w:lvl w:ilvl="4" w:tplc="5362622C" w:tentative="1">
      <w:start w:val="1"/>
      <w:numFmt w:val="bullet"/>
      <w:lvlText w:val="o"/>
      <w:lvlJc w:val="left"/>
      <w:pPr>
        <w:ind w:left="3240" w:hanging="360"/>
      </w:pPr>
      <w:rPr>
        <w:rFonts w:ascii="Courier New" w:hAnsi="Courier New" w:cs="Courier New" w:hint="default"/>
      </w:rPr>
    </w:lvl>
    <w:lvl w:ilvl="5" w:tplc="9F3435DA" w:tentative="1">
      <w:start w:val="1"/>
      <w:numFmt w:val="bullet"/>
      <w:lvlText w:val=""/>
      <w:lvlJc w:val="left"/>
      <w:pPr>
        <w:ind w:left="3960" w:hanging="360"/>
      </w:pPr>
      <w:rPr>
        <w:rFonts w:ascii="Wingdings" w:hAnsi="Wingdings" w:hint="default"/>
      </w:rPr>
    </w:lvl>
    <w:lvl w:ilvl="6" w:tplc="37BEE1B6" w:tentative="1">
      <w:start w:val="1"/>
      <w:numFmt w:val="bullet"/>
      <w:lvlText w:val=""/>
      <w:lvlJc w:val="left"/>
      <w:pPr>
        <w:ind w:left="4680" w:hanging="360"/>
      </w:pPr>
      <w:rPr>
        <w:rFonts w:ascii="Symbol" w:hAnsi="Symbol" w:hint="default"/>
      </w:rPr>
    </w:lvl>
    <w:lvl w:ilvl="7" w:tplc="A31A8DF0" w:tentative="1">
      <w:start w:val="1"/>
      <w:numFmt w:val="bullet"/>
      <w:lvlText w:val="o"/>
      <w:lvlJc w:val="left"/>
      <w:pPr>
        <w:ind w:left="5400" w:hanging="360"/>
      </w:pPr>
      <w:rPr>
        <w:rFonts w:ascii="Courier New" w:hAnsi="Courier New" w:cs="Courier New" w:hint="default"/>
      </w:rPr>
    </w:lvl>
    <w:lvl w:ilvl="8" w:tplc="D86C52A0" w:tentative="1">
      <w:start w:val="1"/>
      <w:numFmt w:val="bullet"/>
      <w:lvlText w:val=""/>
      <w:lvlJc w:val="left"/>
      <w:pPr>
        <w:ind w:left="6120" w:hanging="360"/>
      </w:pPr>
      <w:rPr>
        <w:rFonts w:ascii="Wingdings" w:hAnsi="Wingdings" w:hint="default"/>
      </w:rPr>
    </w:lvl>
  </w:abstractNum>
  <w:abstractNum w:abstractNumId="1" w15:restartNumberingAfterBreak="0">
    <w:nsid w:val="48AF180A"/>
    <w:multiLevelType w:val="hybridMultilevel"/>
    <w:tmpl w:val="E4FC4BF6"/>
    <w:lvl w:ilvl="0" w:tplc="D3CA8062">
      <w:start w:val="1"/>
      <w:numFmt w:val="bullet"/>
      <w:lvlText w:val=""/>
      <w:lvlJc w:val="left"/>
      <w:pPr>
        <w:ind w:left="720" w:hanging="360"/>
      </w:pPr>
      <w:rPr>
        <w:rFonts w:ascii="Wingdings" w:hAnsi="Wingdings" w:hint="default"/>
      </w:rPr>
    </w:lvl>
    <w:lvl w:ilvl="1" w:tplc="D3DE9680" w:tentative="1">
      <w:start w:val="1"/>
      <w:numFmt w:val="bullet"/>
      <w:lvlText w:val="o"/>
      <w:lvlJc w:val="left"/>
      <w:pPr>
        <w:ind w:left="1440" w:hanging="360"/>
      </w:pPr>
      <w:rPr>
        <w:rFonts w:ascii="Courier New" w:hAnsi="Courier New" w:cs="Courier New" w:hint="default"/>
      </w:rPr>
    </w:lvl>
    <w:lvl w:ilvl="2" w:tplc="2D847F9A" w:tentative="1">
      <w:start w:val="1"/>
      <w:numFmt w:val="bullet"/>
      <w:lvlText w:val=""/>
      <w:lvlJc w:val="left"/>
      <w:pPr>
        <w:ind w:left="2160" w:hanging="360"/>
      </w:pPr>
      <w:rPr>
        <w:rFonts w:ascii="Wingdings" w:hAnsi="Wingdings" w:hint="default"/>
      </w:rPr>
    </w:lvl>
    <w:lvl w:ilvl="3" w:tplc="C3DA215A" w:tentative="1">
      <w:start w:val="1"/>
      <w:numFmt w:val="bullet"/>
      <w:lvlText w:val=""/>
      <w:lvlJc w:val="left"/>
      <w:pPr>
        <w:ind w:left="2880" w:hanging="360"/>
      </w:pPr>
      <w:rPr>
        <w:rFonts w:ascii="Symbol" w:hAnsi="Symbol" w:hint="default"/>
      </w:rPr>
    </w:lvl>
    <w:lvl w:ilvl="4" w:tplc="D382DCB0" w:tentative="1">
      <w:start w:val="1"/>
      <w:numFmt w:val="bullet"/>
      <w:lvlText w:val="o"/>
      <w:lvlJc w:val="left"/>
      <w:pPr>
        <w:ind w:left="3600" w:hanging="360"/>
      </w:pPr>
      <w:rPr>
        <w:rFonts w:ascii="Courier New" w:hAnsi="Courier New" w:cs="Courier New" w:hint="default"/>
      </w:rPr>
    </w:lvl>
    <w:lvl w:ilvl="5" w:tplc="FD9A8AEE" w:tentative="1">
      <w:start w:val="1"/>
      <w:numFmt w:val="bullet"/>
      <w:lvlText w:val=""/>
      <w:lvlJc w:val="left"/>
      <w:pPr>
        <w:ind w:left="4320" w:hanging="360"/>
      </w:pPr>
      <w:rPr>
        <w:rFonts w:ascii="Wingdings" w:hAnsi="Wingdings" w:hint="default"/>
      </w:rPr>
    </w:lvl>
    <w:lvl w:ilvl="6" w:tplc="2C506510" w:tentative="1">
      <w:start w:val="1"/>
      <w:numFmt w:val="bullet"/>
      <w:lvlText w:val=""/>
      <w:lvlJc w:val="left"/>
      <w:pPr>
        <w:ind w:left="5040" w:hanging="360"/>
      </w:pPr>
      <w:rPr>
        <w:rFonts w:ascii="Symbol" w:hAnsi="Symbol" w:hint="default"/>
      </w:rPr>
    </w:lvl>
    <w:lvl w:ilvl="7" w:tplc="945C2292" w:tentative="1">
      <w:start w:val="1"/>
      <w:numFmt w:val="bullet"/>
      <w:lvlText w:val="o"/>
      <w:lvlJc w:val="left"/>
      <w:pPr>
        <w:ind w:left="5760" w:hanging="360"/>
      </w:pPr>
      <w:rPr>
        <w:rFonts w:ascii="Courier New" w:hAnsi="Courier New" w:cs="Courier New" w:hint="default"/>
      </w:rPr>
    </w:lvl>
    <w:lvl w:ilvl="8" w:tplc="84205D6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09"/>
    <w:rsid w:val="000001E3"/>
    <w:rsid w:val="00001616"/>
    <w:rsid w:val="0000734B"/>
    <w:rsid w:val="00010554"/>
    <w:rsid w:val="0001159F"/>
    <w:rsid w:val="000130AF"/>
    <w:rsid w:val="00016E5B"/>
    <w:rsid w:val="00021253"/>
    <w:rsid w:val="00023776"/>
    <w:rsid w:val="00024231"/>
    <w:rsid w:val="000305C6"/>
    <w:rsid w:val="000335B9"/>
    <w:rsid w:val="000354D4"/>
    <w:rsid w:val="00036070"/>
    <w:rsid w:val="00045089"/>
    <w:rsid w:val="0004546C"/>
    <w:rsid w:val="00053A22"/>
    <w:rsid w:val="00055A5E"/>
    <w:rsid w:val="00062961"/>
    <w:rsid w:val="00063BEB"/>
    <w:rsid w:val="0006456E"/>
    <w:rsid w:val="000660A2"/>
    <w:rsid w:val="00072D64"/>
    <w:rsid w:val="00075C53"/>
    <w:rsid w:val="00077DF6"/>
    <w:rsid w:val="00080E77"/>
    <w:rsid w:val="000866BA"/>
    <w:rsid w:val="00086E06"/>
    <w:rsid w:val="0009148A"/>
    <w:rsid w:val="000933C3"/>
    <w:rsid w:val="00097125"/>
    <w:rsid w:val="00097D2B"/>
    <w:rsid w:val="000A229E"/>
    <w:rsid w:val="000B2328"/>
    <w:rsid w:val="000C0CEB"/>
    <w:rsid w:val="000C3098"/>
    <w:rsid w:val="000C489A"/>
    <w:rsid w:val="000D57DE"/>
    <w:rsid w:val="000E0CA7"/>
    <w:rsid w:val="000E5FCA"/>
    <w:rsid w:val="000E79B1"/>
    <w:rsid w:val="000F0B1B"/>
    <w:rsid w:val="000F102D"/>
    <w:rsid w:val="000F1F14"/>
    <w:rsid w:val="000F3B6B"/>
    <w:rsid w:val="001005F5"/>
    <w:rsid w:val="001030FE"/>
    <w:rsid w:val="00104C75"/>
    <w:rsid w:val="00105130"/>
    <w:rsid w:val="00111D2F"/>
    <w:rsid w:val="00117EF9"/>
    <w:rsid w:val="00121E0A"/>
    <w:rsid w:val="00121F47"/>
    <w:rsid w:val="001225A3"/>
    <w:rsid w:val="001256FF"/>
    <w:rsid w:val="0012720F"/>
    <w:rsid w:val="00130289"/>
    <w:rsid w:val="00134B3C"/>
    <w:rsid w:val="001408A9"/>
    <w:rsid w:val="001446AD"/>
    <w:rsid w:val="00146E22"/>
    <w:rsid w:val="001479DA"/>
    <w:rsid w:val="00152F56"/>
    <w:rsid w:val="00156E25"/>
    <w:rsid w:val="00160EB2"/>
    <w:rsid w:val="001638BB"/>
    <w:rsid w:val="00166A2A"/>
    <w:rsid w:val="00171BCA"/>
    <w:rsid w:val="00172FE1"/>
    <w:rsid w:val="00181508"/>
    <w:rsid w:val="00183377"/>
    <w:rsid w:val="001952B9"/>
    <w:rsid w:val="00195FF0"/>
    <w:rsid w:val="001A50F0"/>
    <w:rsid w:val="001A5863"/>
    <w:rsid w:val="001B3FDC"/>
    <w:rsid w:val="001B5327"/>
    <w:rsid w:val="001C4B4D"/>
    <w:rsid w:val="001C4FA5"/>
    <w:rsid w:val="001D0819"/>
    <w:rsid w:val="001D2DAC"/>
    <w:rsid w:val="001D3BB1"/>
    <w:rsid w:val="001D7EC7"/>
    <w:rsid w:val="001E16E8"/>
    <w:rsid w:val="001E3645"/>
    <w:rsid w:val="001E5E95"/>
    <w:rsid w:val="001F0E85"/>
    <w:rsid w:val="002078B0"/>
    <w:rsid w:val="00215E7E"/>
    <w:rsid w:val="00216955"/>
    <w:rsid w:val="00217C8F"/>
    <w:rsid w:val="00227CD4"/>
    <w:rsid w:val="00231A84"/>
    <w:rsid w:val="00231DF5"/>
    <w:rsid w:val="002337C9"/>
    <w:rsid w:val="00243E1C"/>
    <w:rsid w:val="00244E07"/>
    <w:rsid w:val="00245F9E"/>
    <w:rsid w:val="00251829"/>
    <w:rsid w:val="00253988"/>
    <w:rsid w:val="00254FD0"/>
    <w:rsid w:val="00263D30"/>
    <w:rsid w:val="00265331"/>
    <w:rsid w:val="00280CB1"/>
    <w:rsid w:val="00290CA7"/>
    <w:rsid w:val="002921A9"/>
    <w:rsid w:val="00293538"/>
    <w:rsid w:val="002A3A3E"/>
    <w:rsid w:val="002A41B8"/>
    <w:rsid w:val="002A71B0"/>
    <w:rsid w:val="002A7F60"/>
    <w:rsid w:val="002B1143"/>
    <w:rsid w:val="002B7C98"/>
    <w:rsid w:val="002C4EE5"/>
    <w:rsid w:val="002D3292"/>
    <w:rsid w:val="002D7C45"/>
    <w:rsid w:val="002F4167"/>
    <w:rsid w:val="00302B82"/>
    <w:rsid w:val="0030386D"/>
    <w:rsid w:val="00304E02"/>
    <w:rsid w:val="00306EE8"/>
    <w:rsid w:val="00312BC8"/>
    <w:rsid w:val="003140B7"/>
    <w:rsid w:val="00316DD1"/>
    <w:rsid w:val="00322546"/>
    <w:rsid w:val="00323C6E"/>
    <w:rsid w:val="00323DC1"/>
    <w:rsid w:val="00326E9B"/>
    <w:rsid w:val="0033294E"/>
    <w:rsid w:val="00332ECD"/>
    <w:rsid w:val="00333CF9"/>
    <w:rsid w:val="003345FD"/>
    <w:rsid w:val="00342442"/>
    <w:rsid w:val="0034311A"/>
    <w:rsid w:val="00351EB4"/>
    <w:rsid w:val="00352EDA"/>
    <w:rsid w:val="003560E3"/>
    <w:rsid w:val="00360BDC"/>
    <w:rsid w:val="00363F0A"/>
    <w:rsid w:val="003737BD"/>
    <w:rsid w:val="00383FF0"/>
    <w:rsid w:val="00384CDC"/>
    <w:rsid w:val="00390AC1"/>
    <w:rsid w:val="00392387"/>
    <w:rsid w:val="003A5FAA"/>
    <w:rsid w:val="003B2415"/>
    <w:rsid w:val="003B2702"/>
    <w:rsid w:val="003B2F47"/>
    <w:rsid w:val="003B3EEE"/>
    <w:rsid w:val="003C093A"/>
    <w:rsid w:val="003C2391"/>
    <w:rsid w:val="003C3F62"/>
    <w:rsid w:val="003C4872"/>
    <w:rsid w:val="003C4DBA"/>
    <w:rsid w:val="003C5A1B"/>
    <w:rsid w:val="003C6DEA"/>
    <w:rsid w:val="003D3558"/>
    <w:rsid w:val="003D608A"/>
    <w:rsid w:val="003D60AE"/>
    <w:rsid w:val="003D6446"/>
    <w:rsid w:val="003D7290"/>
    <w:rsid w:val="003D77A3"/>
    <w:rsid w:val="003E2022"/>
    <w:rsid w:val="003E27FE"/>
    <w:rsid w:val="003E3533"/>
    <w:rsid w:val="003E3FB3"/>
    <w:rsid w:val="003F3685"/>
    <w:rsid w:val="004036DA"/>
    <w:rsid w:val="004045CB"/>
    <w:rsid w:val="004161CA"/>
    <w:rsid w:val="00416E95"/>
    <w:rsid w:val="0042286B"/>
    <w:rsid w:val="0042603D"/>
    <w:rsid w:val="004322B1"/>
    <w:rsid w:val="004332AF"/>
    <w:rsid w:val="00437576"/>
    <w:rsid w:val="0045145C"/>
    <w:rsid w:val="00454380"/>
    <w:rsid w:val="004557B7"/>
    <w:rsid w:val="004578A0"/>
    <w:rsid w:val="0046106C"/>
    <w:rsid w:val="00471477"/>
    <w:rsid w:val="00474F7F"/>
    <w:rsid w:val="00475E1F"/>
    <w:rsid w:val="00476C00"/>
    <w:rsid w:val="00482C08"/>
    <w:rsid w:val="0049699B"/>
    <w:rsid w:val="004973E5"/>
    <w:rsid w:val="00497FB4"/>
    <w:rsid w:val="004A0B02"/>
    <w:rsid w:val="004A66B7"/>
    <w:rsid w:val="004B0010"/>
    <w:rsid w:val="004B5EFA"/>
    <w:rsid w:val="004B620B"/>
    <w:rsid w:val="004B68C4"/>
    <w:rsid w:val="004C0577"/>
    <w:rsid w:val="004C09C0"/>
    <w:rsid w:val="004C280F"/>
    <w:rsid w:val="004D2C4E"/>
    <w:rsid w:val="004D4F7E"/>
    <w:rsid w:val="004E57AA"/>
    <w:rsid w:val="004F1D1A"/>
    <w:rsid w:val="004F49F6"/>
    <w:rsid w:val="004F59B1"/>
    <w:rsid w:val="004F6873"/>
    <w:rsid w:val="00503204"/>
    <w:rsid w:val="00511DA3"/>
    <w:rsid w:val="005143BF"/>
    <w:rsid w:val="0051463A"/>
    <w:rsid w:val="0051539F"/>
    <w:rsid w:val="005239CF"/>
    <w:rsid w:val="00526809"/>
    <w:rsid w:val="005363C3"/>
    <w:rsid w:val="0054107D"/>
    <w:rsid w:val="005471AD"/>
    <w:rsid w:val="00547908"/>
    <w:rsid w:val="00552CA6"/>
    <w:rsid w:val="005664D0"/>
    <w:rsid w:val="0057115C"/>
    <w:rsid w:val="005735DD"/>
    <w:rsid w:val="00575D42"/>
    <w:rsid w:val="005827A1"/>
    <w:rsid w:val="00582EED"/>
    <w:rsid w:val="00591B3C"/>
    <w:rsid w:val="00592506"/>
    <w:rsid w:val="005A3C9E"/>
    <w:rsid w:val="005A4F69"/>
    <w:rsid w:val="005B455E"/>
    <w:rsid w:val="005B7C71"/>
    <w:rsid w:val="005C18E4"/>
    <w:rsid w:val="005C3837"/>
    <w:rsid w:val="005C3C3C"/>
    <w:rsid w:val="005C66EA"/>
    <w:rsid w:val="005D4320"/>
    <w:rsid w:val="005E1B0A"/>
    <w:rsid w:val="005E32B3"/>
    <w:rsid w:val="005E6A4C"/>
    <w:rsid w:val="005F2D2D"/>
    <w:rsid w:val="00602BA9"/>
    <w:rsid w:val="00604652"/>
    <w:rsid w:val="00605558"/>
    <w:rsid w:val="00610699"/>
    <w:rsid w:val="00623C08"/>
    <w:rsid w:val="00632070"/>
    <w:rsid w:val="00632E55"/>
    <w:rsid w:val="0063474C"/>
    <w:rsid w:val="00634B18"/>
    <w:rsid w:val="006569A0"/>
    <w:rsid w:val="00656E6C"/>
    <w:rsid w:val="006573E9"/>
    <w:rsid w:val="00662C03"/>
    <w:rsid w:val="00664F26"/>
    <w:rsid w:val="00664FF9"/>
    <w:rsid w:val="00666362"/>
    <w:rsid w:val="006720A6"/>
    <w:rsid w:val="00672B91"/>
    <w:rsid w:val="00674E65"/>
    <w:rsid w:val="006767C9"/>
    <w:rsid w:val="006776EB"/>
    <w:rsid w:val="00682F31"/>
    <w:rsid w:val="00690892"/>
    <w:rsid w:val="00692046"/>
    <w:rsid w:val="006936C3"/>
    <w:rsid w:val="006A2491"/>
    <w:rsid w:val="006A53A4"/>
    <w:rsid w:val="006A7EF2"/>
    <w:rsid w:val="006B1097"/>
    <w:rsid w:val="006B677A"/>
    <w:rsid w:val="006C0A56"/>
    <w:rsid w:val="006C0BC3"/>
    <w:rsid w:val="006C438E"/>
    <w:rsid w:val="006C6FC6"/>
    <w:rsid w:val="006D0EE2"/>
    <w:rsid w:val="006D6F3C"/>
    <w:rsid w:val="006E3A12"/>
    <w:rsid w:val="006F27EF"/>
    <w:rsid w:val="006F3B9E"/>
    <w:rsid w:val="00700AD1"/>
    <w:rsid w:val="00711E0B"/>
    <w:rsid w:val="00723198"/>
    <w:rsid w:val="0072320D"/>
    <w:rsid w:val="00724A4B"/>
    <w:rsid w:val="0072731D"/>
    <w:rsid w:val="00730F53"/>
    <w:rsid w:val="007344A6"/>
    <w:rsid w:val="00735870"/>
    <w:rsid w:val="0074006E"/>
    <w:rsid w:val="00741B4C"/>
    <w:rsid w:val="00741EC4"/>
    <w:rsid w:val="00745DDF"/>
    <w:rsid w:val="007462CF"/>
    <w:rsid w:val="00746B0E"/>
    <w:rsid w:val="00751534"/>
    <w:rsid w:val="007524D3"/>
    <w:rsid w:val="00752974"/>
    <w:rsid w:val="00755B28"/>
    <w:rsid w:val="00757A27"/>
    <w:rsid w:val="0076410D"/>
    <w:rsid w:val="007644CC"/>
    <w:rsid w:val="007649DF"/>
    <w:rsid w:val="007662AA"/>
    <w:rsid w:val="00766362"/>
    <w:rsid w:val="00773F8D"/>
    <w:rsid w:val="0078569D"/>
    <w:rsid w:val="007943F5"/>
    <w:rsid w:val="007A15DB"/>
    <w:rsid w:val="007A757C"/>
    <w:rsid w:val="007B1F5F"/>
    <w:rsid w:val="007B2986"/>
    <w:rsid w:val="007B537C"/>
    <w:rsid w:val="007C59A6"/>
    <w:rsid w:val="007D4224"/>
    <w:rsid w:val="007D7316"/>
    <w:rsid w:val="007E2FFD"/>
    <w:rsid w:val="007E39C7"/>
    <w:rsid w:val="007E5604"/>
    <w:rsid w:val="007F3502"/>
    <w:rsid w:val="007F3837"/>
    <w:rsid w:val="007F4A18"/>
    <w:rsid w:val="00801A12"/>
    <w:rsid w:val="00803125"/>
    <w:rsid w:val="00814EBE"/>
    <w:rsid w:val="00815686"/>
    <w:rsid w:val="00824F00"/>
    <w:rsid w:val="00827120"/>
    <w:rsid w:val="00833FE3"/>
    <w:rsid w:val="008348B9"/>
    <w:rsid w:val="00837A66"/>
    <w:rsid w:val="00841EAE"/>
    <w:rsid w:val="00846324"/>
    <w:rsid w:val="00854582"/>
    <w:rsid w:val="00855475"/>
    <w:rsid w:val="008605F5"/>
    <w:rsid w:val="00861D7A"/>
    <w:rsid w:val="008629B9"/>
    <w:rsid w:val="008635F0"/>
    <w:rsid w:val="008644B7"/>
    <w:rsid w:val="008804D5"/>
    <w:rsid w:val="008835C2"/>
    <w:rsid w:val="00884246"/>
    <w:rsid w:val="00890BE6"/>
    <w:rsid w:val="00893843"/>
    <w:rsid w:val="00896281"/>
    <w:rsid w:val="008C25AB"/>
    <w:rsid w:val="008C5E44"/>
    <w:rsid w:val="008C7B0F"/>
    <w:rsid w:val="008D596F"/>
    <w:rsid w:val="008D5BCC"/>
    <w:rsid w:val="008E3712"/>
    <w:rsid w:val="008F0A1E"/>
    <w:rsid w:val="008F255B"/>
    <w:rsid w:val="008F2BE1"/>
    <w:rsid w:val="008F6DB9"/>
    <w:rsid w:val="00903BCE"/>
    <w:rsid w:val="009049E3"/>
    <w:rsid w:val="00905314"/>
    <w:rsid w:val="009060E3"/>
    <w:rsid w:val="00913CAF"/>
    <w:rsid w:val="009269DE"/>
    <w:rsid w:val="00932BB9"/>
    <w:rsid w:val="00947668"/>
    <w:rsid w:val="009525B3"/>
    <w:rsid w:val="00954342"/>
    <w:rsid w:val="00955DDF"/>
    <w:rsid w:val="00961F25"/>
    <w:rsid w:val="009621C1"/>
    <w:rsid w:val="009633DD"/>
    <w:rsid w:val="009657A3"/>
    <w:rsid w:val="00976721"/>
    <w:rsid w:val="00986837"/>
    <w:rsid w:val="00987515"/>
    <w:rsid w:val="0099348D"/>
    <w:rsid w:val="009939CB"/>
    <w:rsid w:val="00996B3B"/>
    <w:rsid w:val="00997253"/>
    <w:rsid w:val="009A4744"/>
    <w:rsid w:val="009A4904"/>
    <w:rsid w:val="009B50FF"/>
    <w:rsid w:val="009C186F"/>
    <w:rsid w:val="009C2D34"/>
    <w:rsid w:val="009C3773"/>
    <w:rsid w:val="009C7E0C"/>
    <w:rsid w:val="009D0EED"/>
    <w:rsid w:val="009D1127"/>
    <w:rsid w:val="009D6272"/>
    <w:rsid w:val="009D6872"/>
    <w:rsid w:val="009E46A6"/>
    <w:rsid w:val="009E498D"/>
    <w:rsid w:val="009E784C"/>
    <w:rsid w:val="009F004F"/>
    <w:rsid w:val="009F31EB"/>
    <w:rsid w:val="009F7A9E"/>
    <w:rsid w:val="00A01EC2"/>
    <w:rsid w:val="00A04C47"/>
    <w:rsid w:val="00A0619D"/>
    <w:rsid w:val="00A07438"/>
    <w:rsid w:val="00A10C0B"/>
    <w:rsid w:val="00A10C1C"/>
    <w:rsid w:val="00A10D44"/>
    <w:rsid w:val="00A12A71"/>
    <w:rsid w:val="00A135B9"/>
    <w:rsid w:val="00A14B65"/>
    <w:rsid w:val="00A216D4"/>
    <w:rsid w:val="00A230E2"/>
    <w:rsid w:val="00A25177"/>
    <w:rsid w:val="00A34F05"/>
    <w:rsid w:val="00A40D6E"/>
    <w:rsid w:val="00A45D8D"/>
    <w:rsid w:val="00A469BF"/>
    <w:rsid w:val="00A46CDB"/>
    <w:rsid w:val="00A4761C"/>
    <w:rsid w:val="00A522A2"/>
    <w:rsid w:val="00A52891"/>
    <w:rsid w:val="00A565F5"/>
    <w:rsid w:val="00A605AD"/>
    <w:rsid w:val="00A6499A"/>
    <w:rsid w:val="00A656E9"/>
    <w:rsid w:val="00A6764D"/>
    <w:rsid w:val="00A70093"/>
    <w:rsid w:val="00A70474"/>
    <w:rsid w:val="00A76B87"/>
    <w:rsid w:val="00A77319"/>
    <w:rsid w:val="00A774BF"/>
    <w:rsid w:val="00A8623A"/>
    <w:rsid w:val="00A87131"/>
    <w:rsid w:val="00A91466"/>
    <w:rsid w:val="00A93D4F"/>
    <w:rsid w:val="00A93E4D"/>
    <w:rsid w:val="00A95C93"/>
    <w:rsid w:val="00AA44A4"/>
    <w:rsid w:val="00AA45AF"/>
    <w:rsid w:val="00AB539F"/>
    <w:rsid w:val="00AB574F"/>
    <w:rsid w:val="00AC5486"/>
    <w:rsid w:val="00AD52B6"/>
    <w:rsid w:val="00AD5D43"/>
    <w:rsid w:val="00AD7698"/>
    <w:rsid w:val="00AD76CF"/>
    <w:rsid w:val="00AD7E2B"/>
    <w:rsid w:val="00AE3B05"/>
    <w:rsid w:val="00AE4145"/>
    <w:rsid w:val="00AE5A10"/>
    <w:rsid w:val="00AF307C"/>
    <w:rsid w:val="00AF5DD7"/>
    <w:rsid w:val="00AF650A"/>
    <w:rsid w:val="00AF6F9F"/>
    <w:rsid w:val="00B076FF"/>
    <w:rsid w:val="00B07E34"/>
    <w:rsid w:val="00B22FAE"/>
    <w:rsid w:val="00B262A7"/>
    <w:rsid w:val="00B325E5"/>
    <w:rsid w:val="00B32C10"/>
    <w:rsid w:val="00B34FA6"/>
    <w:rsid w:val="00B40E18"/>
    <w:rsid w:val="00B445B1"/>
    <w:rsid w:val="00B504A9"/>
    <w:rsid w:val="00B53D23"/>
    <w:rsid w:val="00B5622E"/>
    <w:rsid w:val="00B56E0F"/>
    <w:rsid w:val="00B571CE"/>
    <w:rsid w:val="00B7652C"/>
    <w:rsid w:val="00B80B9B"/>
    <w:rsid w:val="00B812CD"/>
    <w:rsid w:val="00B835D6"/>
    <w:rsid w:val="00B83C71"/>
    <w:rsid w:val="00B84A44"/>
    <w:rsid w:val="00B95380"/>
    <w:rsid w:val="00B95681"/>
    <w:rsid w:val="00BA147A"/>
    <w:rsid w:val="00BB105B"/>
    <w:rsid w:val="00BB5686"/>
    <w:rsid w:val="00BC5AFE"/>
    <w:rsid w:val="00BD18B7"/>
    <w:rsid w:val="00BD567B"/>
    <w:rsid w:val="00BE238E"/>
    <w:rsid w:val="00BE2A0C"/>
    <w:rsid w:val="00BE5D1A"/>
    <w:rsid w:val="00BF38F7"/>
    <w:rsid w:val="00BF3946"/>
    <w:rsid w:val="00C00A1D"/>
    <w:rsid w:val="00C01A45"/>
    <w:rsid w:val="00C04019"/>
    <w:rsid w:val="00C140F7"/>
    <w:rsid w:val="00C15007"/>
    <w:rsid w:val="00C151E5"/>
    <w:rsid w:val="00C164D8"/>
    <w:rsid w:val="00C17FED"/>
    <w:rsid w:val="00C24180"/>
    <w:rsid w:val="00C24684"/>
    <w:rsid w:val="00C2562F"/>
    <w:rsid w:val="00C267A6"/>
    <w:rsid w:val="00C2749A"/>
    <w:rsid w:val="00C304A0"/>
    <w:rsid w:val="00C321FB"/>
    <w:rsid w:val="00C326C2"/>
    <w:rsid w:val="00C37743"/>
    <w:rsid w:val="00C37FA6"/>
    <w:rsid w:val="00C43CA4"/>
    <w:rsid w:val="00C501AD"/>
    <w:rsid w:val="00C51CC6"/>
    <w:rsid w:val="00C53AAE"/>
    <w:rsid w:val="00C6294C"/>
    <w:rsid w:val="00C75773"/>
    <w:rsid w:val="00C815A8"/>
    <w:rsid w:val="00C834AE"/>
    <w:rsid w:val="00C91F5E"/>
    <w:rsid w:val="00C920B9"/>
    <w:rsid w:val="00C92266"/>
    <w:rsid w:val="00CA70AA"/>
    <w:rsid w:val="00CB2188"/>
    <w:rsid w:val="00CD0732"/>
    <w:rsid w:val="00CD155C"/>
    <w:rsid w:val="00CD28E7"/>
    <w:rsid w:val="00CD5791"/>
    <w:rsid w:val="00CD62DD"/>
    <w:rsid w:val="00CE3EE1"/>
    <w:rsid w:val="00CE70CA"/>
    <w:rsid w:val="00CE70D6"/>
    <w:rsid w:val="00CE7F05"/>
    <w:rsid w:val="00CF1BED"/>
    <w:rsid w:val="00CF4638"/>
    <w:rsid w:val="00CF5AE3"/>
    <w:rsid w:val="00CF7EC3"/>
    <w:rsid w:val="00D031DB"/>
    <w:rsid w:val="00D04518"/>
    <w:rsid w:val="00D04DA2"/>
    <w:rsid w:val="00D05009"/>
    <w:rsid w:val="00D07EAE"/>
    <w:rsid w:val="00D15495"/>
    <w:rsid w:val="00D15E92"/>
    <w:rsid w:val="00D17E4B"/>
    <w:rsid w:val="00D27B24"/>
    <w:rsid w:val="00D33D57"/>
    <w:rsid w:val="00D40FE6"/>
    <w:rsid w:val="00D430AD"/>
    <w:rsid w:val="00D44E10"/>
    <w:rsid w:val="00D512F6"/>
    <w:rsid w:val="00D522D1"/>
    <w:rsid w:val="00D57A00"/>
    <w:rsid w:val="00D6485A"/>
    <w:rsid w:val="00D657AB"/>
    <w:rsid w:val="00D668EA"/>
    <w:rsid w:val="00D71D5C"/>
    <w:rsid w:val="00D81687"/>
    <w:rsid w:val="00D874D2"/>
    <w:rsid w:val="00DA0F96"/>
    <w:rsid w:val="00DA5F77"/>
    <w:rsid w:val="00DB2558"/>
    <w:rsid w:val="00DB3CCA"/>
    <w:rsid w:val="00DD0026"/>
    <w:rsid w:val="00DD1ABC"/>
    <w:rsid w:val="00DD3997"/>
    <w:rsid w:val="00DD5284"/>
    <w:rsid w:val="00DD71EE"/>
    <w:rsid w:val="00DE7A9A"/>
    <w:rsid w:val="00DF113D"/>
    <w:rsid w:val="00DF4253"/>
    <w:rsid w:val="00E02E62"/>
    <w:rsid w:val="00E074D1"/>
    <w:rsid w:val="00E105D9"/>
    <w:rsid w:val="00E12B18"/>
    <w:rsid w:val="00E161EC"/>
    <w:rsid w:val="00E24AFF"/>
    <w:rsid w:val="00E25C33"/>
    <w:rsid w:val="00E32585"/>
    <w:rsid w:val="00E32A90"/>
    <w:rsid w:val="00E34561"/>
    <w:rsid w:val="00E36CC3"/>
    <w:rsid w:val="00E4017E"/>
    <w:rsid w:val="00E42264"/>
    <w:rsid w:val="00E426E6"/>
    <w:rsid w:val="00E43318"/>
    <w:rsid w:val="00E45AC3"/>
    <w:rsid w:val="00E45C85"/>
    <w:rsid w:val="00E51EB3"/>
    <w:rsid w:val="00E55022"/>
    <w:rsid w:val="00E55234"/>
    <w:rsid w:val="00E56D22"/>
    <w:rsid w:val="00E61B9D"/>
    <w:rsid w:val="00E67AB3"/>
    <w:rsid w:val="00E728D6"/>
    <w:rsid w:val="00E744A3"/>
    <w:rsid w:val="00E7650E"/>
    <w:rsid w:val="00E77746"/>
    <w:rsid w:val="00E77BA8"/>
    <w:rsid w:val="00E84485"/>
    <w:rsid w:val="00E850CB"/>
    <w:rsid w:val="00E852CD"/>
    <w:rsid w:val="00E86445"/>
    <w:rsid w:val="00EA704A"/>
    <w:rsid w:val="00EA7F9F"/>
    <w:rsid w:val="00EB7D68"/>
    <w:rsid w:val="00EC29DE"/>
    <w:rsid w:val="00ED016D"/>
    <w:rsid w:val="00ED0A3C"/>
    <w:rsid w:val="00ED42FB"/>
    <w:rsid w:val="00ED53E6"/>
    <w:rsid w:val="00EE642B"/>
    <w:rsid w:val="00EE769B"/>
    <w:rsid w:val="00EF67FA"/>
    <w:rsid w:val="00F10AA4"/>
    <w:rsid w:val="00F20562"/>
    <w:rsid w:val="00F21AE7"/>
    <w:rsid w:val="00F24269"/>
    <w:rsid w:val="00F244A8"/>
    <w:rsid w:val="00F25023"/>
    <w:rsid w:val="00F4443E"/>
    <w:rsid w:val="00F51421"/>
    <w:rsid w:val="00F53276"/>
    <w:rsid w:val="00F54141"/>
    <w:rsid w:val="00F66C33"/>
    <w:rsid w:val="00F673EC"/>
    <w:rsid w:val="00F71B61"/>
    <w:rsid w:val="00F751EE"/>
    <w:rsid w:val="00F77871"/>
    <w:rsid w:val="00F80C5C"/>
    <w:rsid w:val="00F81E10"/>
    <w:rsid w:val="00F85289"/>
    <w:rsid w:val="00F90C56"/>
    <w:rsid w:val="00F949EC"/>
    <w:rsid w:val="00F96766"/>
    <w:rsid w:val="00FA0289"/>
    <w:rsid w:val="00FA2028"/>
    <w:rsid w:val="00FA4F41"/>
    <w:rsid w:val="00FB2553"/>
    <w:rsid w:val="00FB4EA1"/>
    <w:rsid w:val="00FB6E27"/>
    <w:rsid w:val="00FB7150"/>
    <w:rsid w:val="00FB7757"/>
    <w:rsid w:val="00FC3843"/>
    <w:rsid w:val="00FC4E98"/>
    <w:rsid w:val="00FC6394"/>
    <w:rsid w:val="00FD29A4"/>
    <w:rsid w:val="00FD5CA6"/>
    <w:rsid w:val="00FE07EE"/>
    <w:rsid w:val="00FE1838"/>
    <w:rsid w:val="00FE7BB8"/>
    <w:rsid w:val="00FF4416"/>
    <w:rsid w:val="00FF5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47BC"/>
  <w15:chartTrackingRefBased/>
  <w15:docId w15:val="{27D49CCF-A5BB-4709-BABB-1124D389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F41"/>
    <w:pPr>
      <w:spacing w:after="0" w:line="240" w:lineRule="auto"/>
      <w:jc w:val="both"/>
    </w:pPr>
    <w:rPr>
      <w:rFonts w:ascii="Calibri" w:hAnsi="Calibri" w:cs="Times New Roman"/>
      <w:sz w:val="24"/>
      <w:szCs w:val="24"/>
    </w:rPr>
  </w:style>
  <w:style w:type="paragraph" w:styleId="Nadpis1">
    <w:name w:val="heading 1"/>
    <w:basedOn w:val="Normln"/>
    <w:next w:val="Normln"/>
    <w:link w:val="Nadpis1Char"/>
    <w:uiPriority w:val="9"/>
    <w:qFormat/>
    <w:rsid w:val="00D05009"/>
    <w:pPr>
      <w:keepNext/>
      <w:keepLines/>
      <w:spacing w:before="240"/>
      <w:outlineLvl w:val="0"/>
    </w:pPr>
    <w:rPr>
      <w:rFonts w:asciiTheme="minorHAnsi" w:eastAsiaTheme="majorEastAsia" w:hAnsiTheme="minorHAnsi" w:cstheme="majorBidi"/>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5009"/>
    <w:rPr>
      <w:rFonts w:eastAsiaTheme="majorEastAsia" w:cstheme="majorBidi"/>
      <w:sz w:val="32"/>
      <w:szCs w:val="32"/>
    </w:rPr>
  </w:style>
  <w:style w:type="paragraph" w:styleId="Zhlav">
    <w:name w:val="header"/>
    <w:basedOn w:val="Normln"/>
    <w:link w:val="ZhlavChar"/>
    <w:uiPriority w:val="99"/>
    <w:unhideWhenUsed/>
    <w:rsid w:val="006936C3"/>
    <w:pPr>
      <w:tabs>
        <w:tab w:val="center" w:pos="4536"/>
        <w:tab w:val="right" w:pos="9072"/>
      </w:tabs>
    </w:pPr>
  </w:style>
  <w:style w:type="character" w:customStyle="1" w:styleId="ZhlavChar">
    <w:name w:val="Záhlaví Char"/>
    <w:basedOn w:val="Standardnpsmoodstavce"/>
    <w:link w:val="Zhlav"/>
    <w:uiPriority w:val="99"/>
    <w:rsid w:val="006936C3"/>
    <w:rPr>
      <w:rFonts w:ascii="Calibri" w:hAnsi="Calibri" w:cs="Times New Roman"/>
      <w:sz w:val="24"/>
      <w:szCs w:val="24"/>
    </w:rPr>
  </w:style>
  <w:style w:type="paragraph" w:styleId="Zpat">
    <w:name w:val="footer"/>
    <w:basedOn w:val="Normln"/>
    <w:link w:val="ZpatChar"/>
    <w:uiPriority w:val="99"/>
    <w:unhideWhenUsed/>
    <w:rsid w:val="006936C3"/>
    <w:pPr>
      <w:tabs>
        <w:tab w:val="center" w:pos="4536"/>
        <w:tab w:val="right" w:pos="9072"/>
      </w:tabs>
    </w:pPr>
  </w:style>
  <w:style w:type="character" w:customStyle="1" w:styleId="ZpatChar">
    <w:name w:val="Zápatí Char"/>
    <w:basedOn w:val="Standardnpsmoodstavce"/>
    <w:link w:val="Zpat"/>
    <w:uiPriority w:val="99"/>
    <w:rsid w:val="006936C3"/>
    <w:rPr>
      <w:rFonts w:ascii="Calibri" w:hAnsi="Calibri" w:cs="Times New Roman"/>
      <w:sz w:val="24"/>
      <w:szCs w:val="24"/>
    </w:rPr>
  </w:style>
  <w:style w:type="paragraph" w:styleId="Textpoznpodarou">
    <w:name w:val="footnote text"/>
    <w:basedOn w:val="Normln"/>
    <w:link w:val="TextpoznpodarouChar"/>
    <w:uiPriority w:val="99"/>
    <w:unhideWhenUsed/>
    <w:rsid w:val="00AF6F9F"/>
    <w:rPr>
      <w:sz w:val="20"/>
      <w:szCs w:val="20"/>
    </w:rPr>
  </w:style>
  <w:style w:type="character" w:customStyle="1" w:styleId="TextpoznpodarouChar">
    <w:name w:val="Text pozn. pod čarou Char"/>
    <w:basedOn w:val="Standardnpsmoodstavce"/>
    <w:link w:val="Textpoznpodarou"/>
    <w:uiPriority w:val="99"/>
    <w:rsid w:val="00AF6F9F"/>
    <w:rPr>
      <w:rFonts w:ascii="Calibri" w:hAnsi="Calibri" w:cs="Times New Roman"/>
      <w:sz w:val="20"/>
      <w:szCs w:val="20"/>
    </w:rPr>
  </w:style>
  <w:style w:type="character" w:styleId="Znakapoznpodarou">
    <w:name w:val="footnote reference"/>
    <w:basedOn w:val="Standardnpsmoodstavce"/>
    <w:uiPriority w:val="99"/>
    <w:semiHidden/>
    <w:unhideWhenUsed/>
    <w:rsid w:val="00AF6F9F"/>
    <w:rPr>
      <w:vertAlign w:val="superscript"/>
    </w:rPr>
  </w:style>
  <w:style w:type="paragraph" w:styleId="Odstavecseseznamem">
    <w:name w:val="List Paragraph"/>
    <w:basedOn w:val="Normln"/>
    <w:uiPriority w:val="34"/>
    <w:rsid w:val="00735870"/>
    <w:pPr>
      <w:ind w:left="720"/>
      <w:contextualSpacing/>
    </w:pPr>
  </w:style>
  <w:style w:type="table" w:styleId="Mkatabulky">
    <w:name w:val="Table Grid"/>
    <w:basedOn w:val="Normlntabulka"/>
    <w:uiPriority w:val="39"/>
    <w:rsid w:val="0076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76410D"/>
    <w:pPr>
      <w:spacing w:after="200"/>
    </w:pPr>
    <w:rPr>
      <w:i/>
      <w:iCs/>
      <w:color w:val="44546A" w:themeColor="text2"/>
      <w:sz w:val="18"/>
      <w:szCs w:val="18"/>
    </w:rPr>
  </w:style>
  <w:style w:type="paragraph" w:styleId="Textbubliny">
    <w:name w:val="Balloon Text"/>
    <w:basedOn w:val="Normln"/>
    <w:link w:val="TextbublinyChar"/>
    <w:uiPriority w:val="99"/>
    <w:semiHidden/>
    <w:unhideWhenUsed/>
    <w:rsid w:val="00D657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57AB"/>
    <w:rPr>
      <w:rFonts w:ascii="Segoe UI" w:hAnsi="Segoe UI" w:cs="Segoe UI"/>
      <w:sz w:val="18"/>
      <w:szCs w:val="18"/>
    </w:rPr>
  </w:style>
  <w:style w:type="paragraph" w:styleId="Revize">
    <w:name w:val="Revision"/>
    <w:hidden/>
    <w:uiPriority w:val="99"/>
    <w:semiHidden/>
    <w:rsid w:val="00097D2B"/>
    <w:pPr>
      <w:spacing w:after="0" w:line="240" w:lineRule="auto"/>
    </w:pPr>
    <w:rPr>
      <w:rFonts w:ascii="Calibri" w:hAnsi="Calibri" w:cs="Times New Roman"/>
      <w:sz w:val="24"/>
      <w:szCs w:val="24"/>
    </w:rPr>
  </w:style>
  <w:style w:type="character" w:styleId="Odkaznakoment">
    <w:name w:val="annotation reference"/>
    <w:basedOn w:val="Standardnpsmoodstavce"/>
    <w:uiPriority w:val="99"/>
    <w:semiHidden/>
    <w:unhideWhenUsed/>
    <w:rsid w:val="00B80B9B"/>
    <w:rPr>
      <w:sz w:val="16"/>
      <w:szCs w:val="16"/>
    </w:rPr>
  </w:style>
  <w:style w:type="paragraph" w:styleId="Textkomente">
    <w:name w:val="annotation text"/>
    <w:basedOn w:val="Normln"/>
    <w:link w:val="TextkomenteChar"/>
    <w:uiPriority w:val="99"/>
    <w:semiHidden/>
    <w:unhideWhenUsed/>
    <w:rsid w:val="00B80B9B"/>
    <w:rPr>
      <w:sz w:val="20"/>
      <w:szCs w:val="20"/>
    </w:rPr>
  </w:style>
  <w:style w:type="character" w:customStyle="1" w:styleId="TextkomenteChar">
    <w:name w:val="Text komentáře Char"/>
    <w:basedOn w:val="Standardnpsmoodstavce"/>
    <w:link w:val="Textkomente"/>
    <w:uiPriority w:val="99"/>
    <w:semiHidden/>
    <w:rsid w:val="00B80B9B"/>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80B9B"/>
    <w:rPr>
      <w:b/>
      <w:bCs/>
    </w:rPr>
  </w:style>
  <w:style w:type="character" w:customStyle="1" w:styleId="PedmtkomenteChar">
    <w:name w:val="Předmět komentáře Char"/>
    <w:basedOn w:val="TextkomenteChar"/>
    <w:link w:val="Pedmtkomente"/>
    <w:uiPriority w:val="99"/>
    <w:semiHidden/>
    <w:rsid w:val="00B80B9B"/>
    <w:rPr>
      <w:rFonts w:ascii="Calibri" w:hAnsi="Calibri" w:cs="Times New Roman"/>
      <w:b/>
      <w:bCs/>
      <w:sz w:val="20"/>
      <w:szCs w:val="20"/>
    </w:rPr>
  </w:style>
  <w:style w:type="character" w:styleId="Hypertextovodkaz">
    <w:name w:val="Hyperlink"/>
    <w:basedOn w:val="Standardnpsmoodstavce"/>
    <w:uiPriority w:val="99"/>
    <w:unhideWhenUsed/>
    <w:rsid w:val="009D1127"/>
    <w:rPr>
      <w:color w:val="0563C1" w:themeColor="hyperlink"/>
      <w:u w:val="single"/>
    </w:rPr>
  </w:style>
  <w:style w:type="character" w:styleId="Sledovanodkaz">
    <w:name w:val="FollowedHyperlink"/>
    <w:basedOn w:val="Standardnpsmoodstavce"/>
    <w:uiPriority w:val="99"/>
    <w:semiHidden/>
    <w:unhideWhenUsed/>
    <w:rsid w:val="000F10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594746">
      <w:bodyDiv w:val="1"/>
      <w:marLeft w:val="0"/>
      <w:marRight w:val="0"/>
      <w:marTop w:val="0"/>
      <w:marBottom w:val="0"/>
      <w:divBdr>
        <w:top w:val="none" w:sz="0" w:space="0" w:color="auto"/>
        <w:left w:val="none" w:sz="0" w:space="0" w:color="auto"/>
        <w:bottom w:val="none" w:sz="0" w:space="0" w:color="auto"/>
        <w:right w:val="none" w:sz="0" w:space="0" w:color="auto"/>
      </w:divBdr>
      <w:divsChild>
        <w:div w:id="2090611522">
          <w:marLeft w:val="547"/>
          <w:marRight w:val="0"/>
          <w:marTop w:val="0"/>
          <w:marBottom w:val="0"/>
          <w:divBdr>
            <w:top w:val="none" w:sz="0" w:space="0" w:color="auto"/>
            <w:left w:val="none" w:sz="0" w:space="0" w:color="auto"/>
            <w:bottom w:val="none" w:sz="0" w:space="0" w:color="auto"/>
            <w:right w:val="none" w:sz="0" w:space="0" w:color="auto"/>
          </w:divBdr>
        </w:div>
        <w:div w:id="97415788">
          <w:marLeft w:val="1166"/>
          <w:marRight w:val="0"/>
          <w:marTop w:val="0"/>
          <w:marBottom w:val="0"/>
          <w:divBdr>
            <w:top w:val="none" w:sz="0" w:space="0" w:color="auto"/>
            <w:left w:val="none" w:sz="0" w:space="0" w:color="auto"/>
            <w:bottom w:val="none" w:sz="0" w:space="0" w:color="auto"/>
            <w:right w:val="none" w:sz="0" w:space="0" w:color="auto"/>
          </w:divBdr>
        </w:div>
      </w:divsChild>
    </w:div>
    <w:div w:id="1384911549">
      <w:bodyDiv w:val="1"/>
      <w:marLeft w:val="0"/>
      <w:marRight w:val="0"/>
      <w:marTop w:val="0"/>
      <w:marBottom w:val="0"/>
      <w:divBdr>
        <w:top w:val="none" w:sz="0" w:space="0" w:color="auto"/>
        <w:left w:val="none" w:sz="0" w:space="0" w:color="auto"/>
        <w:bottom w:val="none" w:sz="0" w:space="0" w:color="auto"/>
        <w:right w:val="none" w:sz="0" w:space="0" w:color="auto"/>
      </w:divBdr>
      <w:divsChild>
        <w:div w:id="666248305">
          <w:marLeft w:val="547"/>
          <w:marRight w:val="0"/>
          <w:marTop w:val="0"/>
          <w:marBottom w:val="0"/>
          <w:divBdr>
            <w:top w:val="none" w:sz="0" w:space="0" w:color="auto"/>
            <w:left w:val="none" w:sz="0" w:space="0" w:color="auto"/>
            <w:bottom w:val="none" w:sz="0" w:space="0" w:color="auto"/>
            <w:right w:val="none" w:sz="0" w:space="0" w:color="auto"/>
          </w:divBdr>
        </w:div>
        <w:div w:id="160530598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nku.cz/download/vystupy-z-kontrol/ka-18-21/databaze-oceneni-polozek.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List_aplikac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staveb</c:v>
                </c:pt>
              </c:strCache>
            </c:strRef>
          </c:tx>
          <c:spPr>
            <a:solidFill>
              <a:srgbClr val="004595"/>
            </a:solidFill>
            <a:ln>
              <a:noFill/>
            </a:ln>
            <a:effectLst/>
          </c:spPr>
          <c:invertIfNegative val="0"/>
          <c:dPt>
            <c:idx val="6"/>
            <c:invertIfNegative val="0"/>
            <c:bubble3D val="0"/>
            <c:spPr>
              <a:solidFill>
                <a:srgbClr val="004595">
                  <a:alpha val="60000"/>
                </a:srgbClr>
              </a:solidFill>
              <a:ln>
                <a:noFill/>
              </a:ln>
              <a:effectLst/>
            </c:spPr>
            <c:extLst>
              <c:ext xmlns:c16="http://schemas.microsoft.com/office/drawing/2014/chart" uri="{C3380CC4-5D6E-409C-BE32-E72D297353CC}">
                <c16:uniqueId val="{00000003-8C68-4218-8A65-A5440E34DFDD}"/>
              </c:ext>
            </c:extLst>
          </c:dPt>
          <c:dPt>
            <c:idx val="7"/>
            <c:invertIfNegative val="0"/>
            <c:bubble3D val="0"/>
            <c:spPr>
              <a:solidFill>
                <a:srgbClr val="004595">
                  <a:alpha val="60000"/>
                </a:srgbClr>
              </a:solidFill>
              <a:ln>
                <a:noFill/>
              </a:ln>
              <a:effectLst/>
            </c:spPr>
            <c:extLst>
              <c:ext xmlns:c16="http://schemas.microsoft.com/office/drawing/2014/chart" uri="{C3380CC4-5D6E-409C-BE32-E72D297353CC}">
                <c16:uniqueId val="{00000004-8C68-4218-8A65-A5440E34DFDD}"/>
              </c:ext>
            </c:extLst>
          </c:dPt>
          <c:dPt>
            <c:idx val="8"/>
            <c:invertIfNegative val="0"/>
            <c:bubble3D val="0"/>
            <c:spPr>
              <a:solidFill>
                <a:srgbClr val="004595">
                  <a:alpha val="60000"/>
                </a:srgbClr>
              </a:solidFill>
              <a:ln>
                <a:noFill/>
              </a:ln>
              <a:effectLst/>
            </c:spPr>
            <c:extLst>
              <c:ext xmlns:c16="http://schemas.microsoft.com/office/drawing/2014/chart" uri="{C3380CC4-5D6E-409C-BE32-E72D297353CC}">
                <c16:uniqueId val="{00000005-8C68-4218-8A65-A5440E34DFD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List1!$B$2:$B$10</c:f>
              <c:numCache>
                <c:formatCode>General</c:formatCode>
                <c:ptCount val="9"/>
                <c:pt idx="0">
                  <c:v>6</c:v>
                </c:pt>
                <c:pt idx="1">
                  <c:v>7</c:v>
                </c:pt>
                <c:pt idx="2">
                  <c:v>4</c:v>
                </c:pt>
                <c:pt idx="3">
                  <c:v>8</c:v>
                </c:pt>
                <c:pt idx="4">
                  <c:v>12</c:v>
                </c:pt>
                <c:pt idx="5">
                  <c:v>9</c:v>
                </c:pt>
                <c:pt idx="6">
                  <c:v>4</c:v>
                </c:pt>
                <c:pt idx="7">
                  <c:v>12</c:v>
                </c:pt>
                <c:pt idx="8">
                  <c:v>11</c:v>
                </c:pt>
              </c:numCache>
            </c:numRef>
          </c:val>
          <c:extLst>
            <c:ext xmlns:c16="http://schemas.microsoft.com/office/drawing/2014/chart" uri="{C3380CC4-5D6E-409C-BE32-E72D297353CC}">
              <c16:uniqueId val="{00000000-8C68-4218-8A65-A5440E34DFDD}"/>
            </c:ext>
          </c:extLst>
        </c:ser>
        <c:ser>
          <c:idx val="1"/>
          <c:order val="1"/>
          <c:tx>
            <c:strRef>
              <c:f>List1!$C$1</c:f>
              <c:strCache>
                <c:ptCount val="1"/>
                <c:pt idx="0">
                  <c:v>Délka hlavní trasy v km</c:v>
                </c:pt>
              </c:strCache>
            </c:strRef>
          </c:tx>
          <c:spPr>
            <a:solidFill>
              <a:srgbClr val="BD2A33"/>
            </a:solidFill>
            <a:ln>
              <a:noFill/>
            </a:ln>
            <a:effectLst/>
          </c:spPr>
          <c:invertIfNegative val="0"/>
          <c:dPt>
            <c:idx val="6"/>
            <c:invertIfNegative val="0"/>
            <c:bubble3D val="0"/>
            <c:spPr>
              <a:solidFill>
                <a:srgbClr val="BD2A33">
                  <a:alpha val="60000"/>
                </a:srgbClr>
              </a:solidFill>
              <a:ln>
                <a:noFill/>
              </a:ln>
              <a:effectLst/>
            </c:spPr>
            <c:extLst>
              <c:ext xmlns:c16="http://schemas.microsoft.com/office/drawing/2014/chart" uri="{C3380CC4-5D6E-409C-BE32-E72D297353CC}">
                <c16:uniqueId val="{00000006-8C68-4218-8A65-A5440E34DFDD}"/>
              </c:ext>
            </c:extLst>
          </c:dPt>
          <c:dPt>
            <c:idx val="7"/>
            <c:invertIfNegative val="0"/>
            <c:bubble3D val="0"/>
            <c:spPr>
              <a:solidFill>
                <a:srgbClr val="BD2A33">
                  <a:alpha val="60000"/>
                </a:srgbClr>
              </a:solidFill>
              <a:ln>
                <a:noFill/>
              </a:ln>
              <a:effectLst/>
            </c:spPr>
            <c:extLst>
              <c:ext xmlns:c16="http://schemas.microsoft.com/office/drawing/2014/chart" uri="{C3380CC4-5D6E-409C-BE32-E72D297353CC}">
                <c16:uniqueId val="{00000007-8C68-4218-8A65-A5440E34DFDD}"/>
              </c:ext>
            </c:extLst>
          </c:dPt>
          <c:dPt>
            <c:idx val="8"/>
            <c:invertIfNegative val="0"/>
            <c:bubble3D val="0"/>
            <c:spPr>
              <a:solidFill>
                <a:srgbClr val="BD2A33">
                  <a:alpha val="60000"/>
                </a:srgbClr>
              </a:solidFill>
              <a:ln>
                <a:noFill/>
              </a:ln>
              <a:effectLst/>
            </c:spPr>
            <c:extLst>
              <c:ext xmlns:c16="http://schemas.microsoft.com/office/drawing/2014/chart" uri="{C3380CC4-5D6E-409C-BE32-E72D297353CC}">
                <c16:uniqueId val="{00000008-8C68-4218-8A65-A5440E34DFDD}"/>
              </c:ext>
            </c:extLst>
          </c:dPt>
          <c:dLbls>
            <c:dLbl>
              <c:idx val="1"/>
              <c:layout>
                <c:manualLayout>
                  <c:x val="1.9586507072905292E-2"/>
                  <c:y val="-1.19047619047619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C68-4218-8A65-A5440E34DFD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List1!$A$2:$A$10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List1!$C$2:$C$10</c:f>
              <c:numCache>
                <c:formatCode>0.00</c:formatCode>
                <c:ptCount val="9"/>
                <c:pt idx="0">
                  <c:v>10.64</c:v>
                </c:pt>
                <c:pt idx="1">
                  <c:v>6.13</c:v>
                </c:pt>
                <c:pt idx="2">
                  <c:v>16.600000000000001</c:v>
                </c:pt>
                <c:pt idx="3">
                  <c:v>25.53</c:v>
                </c:pt>
                <c:pt idx="4">
                  <c:v>33.159999999999997</c:v>
                </c:pt>
                <c:pt idx="5">
                  <c:v>14.81</c:v>
                </c:pt>
                <c:pt idx="6">
                  <c:v>11.83</c:v>
                </c:pt>
                <c:pt idx="7">
                  <c:v>39.35</c:v>
                </c:pt>
                <c:pt idx="8">
                  <c:v>25.5</c:v>
                </c:pt>
              </c:numCache>
            </c:numRef>
          </c:val>
          <c:extLst>
            <c:ext xmlns:c16="http://schemas.microsoft.com/office/drawing/2014/chart" uri="{C3380CC4-5D6E-409C-BE32-E72D297353CC}">
              <c16:uniqueId val="{00000002-8C68-4218-8A65-A5440E34DFDD}"/>
            </c:ext>
          </c:extLst>
        </c:ser>
        <c:dLbls>
          <c:showLegendKey val="0"/>
          <c:showVal val="0"/>
          <c:showCatName val="0"/>
          <c:showSerName val="0"/>
          <c:showPercent val="0"/>
          <c:showBubbleSize val="0"/>
        </c:dLbls>
        <c:gapWidth val="219"/>
        <c:overlap val="-27"/>
        <c:axId val="199710095"/>
        <c:axId val="199709679"/>
      </c:barChart>
      <c:valAx>
        <c:axId val="199709679"/>
        <c:scaling>
          <c:orientation val="minMax"/>
        </c:scaling>
        <c:delete val="0"/>
        <c:axPos val="l"/>
        <c:title>
          <c:tx>
            <c:rich>
              <a:bodyPr rot="-5400000" spcFirstLastPara="1" vertOverflow="clip" vert="horz" wrap="square" anchor="ctr" anchorCtr="1"/>
              <a:lstStyle/>
              <a:p>
                <a:pPr>
                  <a:defRPr sz="1000" b="0" i="0" u="none" strike="noStrike" kern="1200" baseline="0">
                    <a:solidFill>
                      <a:schemeClr val="tx1"/>
                    </a:solidFill>
                    <a:latin typeface="+mn-lt"/>
                    <a:ea typeface="+mn-ea"/>
                    <a:cs typeface="+mn-cs"/>
                  </a:defRPr>
                </a:pPr>
                <a:r>
                  <a:rPr lang="cs-CZ">
                    <a:solidFill>
                      <a:schemeClr val="tx1"/>
                    </a:solidFill>
                  </a:rPr>
                  <a:t>Počet staveb</a:t>
                </a:r>
                <a:r>
                  <a:rPr lang="cs-CZ" baseline="0">
                    <a:solidFill>
                      <a:schemeClr val="tx1"/>
                    </a:solidFill>
                  </a:rPr>
                  <a:t> / délka v km</a:t>
                </a:r>
                <a:endParaRPr lang="cs-CZ">
                  <a:solidFill>
                    <a:schemeClr val="tx1"/>
                  </a:solidFill>
                </a:endParaRPr>
              </a:p>
            </c:rich>
          </c:tx>
          <c:layout/>
          <c:overlay val="0"/>
          <c:spPr>
            <a:noFill/>
            <a:ln>
              <a:noFill/>
            </a:ln>
            <a:effectLst/>
          </c:spPr>
          <c:txPr>
            <a:bodyPr rot="-5400000" spcFirstLastPara="1" vertOverflow="clip" vert="horz" wrap="square" anchor="ctr" anchorCtr="1"/>
            <a:lstStyle/>
            <a:p>
              <a:pPr>
                <a:defRPr sz="1000" b="0" i="0" u="none" strike="noStrike" kern="1200" baseline="0">
                  <a:solidFill>
                    <a:schemeClr val="tx1"/>
                  </a:solidFill>
                  <a:latin typeface="+mn-lt"/>
                  <a:ea typeface="+mn-ea"/>
                  <a:cs typeface="+mn-cs"/>
                </a:defRPr>
              </a:pPr>
              <a:endParaRPr lang="cs-CZ"/>
            </a:p>
          </c:txPr>
        </c:title>
        <c:numFmt formatCode="General" sourceLinked="1"/>
        <c:majorTickMark val="out"/>
        <c:minorTickMark val="none"/>
        <c:tickLblPos val="nextTo"/>
        <c:spPr>
          <a:noFill/>
          <a:ln w="9525">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99710095"/>
        <c:crosses val="autoZero"/>
        <c:crossBetween val="between"/>
      </c:valAx>
      <c:catAx>
        <c:axId val="199710095"/>
        <c:scaling>
          <c:orientation val="minMax"/>
        </c:scaling>
        <c:delete val="0"/>
        <c:axPos val="b"/>
        <c:numFmt formatCode="General" sourceLinked="1"/>
        <c:majorTickMark val="out"/>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crossAx val="199709679"/>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6655E-7AAD-4309-B9DE-5545CFEF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D23A3A06.dotm</Template>
  <TotalTime>6</TotalTime>
  <Pages>19</Pages>
  <Words>6748</Words>
  <Characters>39816</Characters>
  <Application>Microsoft Office Word</Application>
  <DocSecurity>4</DocSecurity>
  <Lines>331</Lines>
  <Paragraphs>92</Paragraphs>
  <ScaleCrop>false</ScaleCrop>
  <HeadingPairs>
    <vt:vector size="2" baseType="variant">
      <vt:variant>
        <vt:lpstr>Název</vt:lpstr>
      </vt:variant>
      <vt:variant>
        <vt:i4>1</vt:i4>
      </vt:variant>
    </vt:vector>
  </HeadingPairs>
  <TitlesOfParts>
    <vt:vector size="1" baseType="lpstr">
      <vt:lpstr>Výstavba a modernizace silnic I. třídy</vt:lpstr>
    </vt:vector>
  </TitlesOfParts>
  <Manager>Ing. Jan MÁLEK</Manager>
  <Company>NKU</Company>
  <LinksUpToDate>false</LinksUpToDate>
  <CharactersWithSpaces>46472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18/21 - Výstavba a modernizace silnic I. třídy</dc:title>
  <dc:creator>Nejvyšší kontrolní úřad</dc:creator>
  <cp:keywords>kontrolní závěr; doprava; silnice</cp:keywords>
  <cp:lastModifiedBy>KOKRDA Daniel</cp:lastModifiedBy>
  <cp:revision>2</cp:revision>
  <cp:lastPrinted>2019-10-16T12:10:00Z</cp:lastPrinted>
  <dcterms:created xsi:type="dcterms:W3CDTF">2019-10-29T12:39:00Z</dcterms:created>
  <dcterms:modified xsi:type="dcterms:W3CDTF">2019-10-29T12:39:00Z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18/21-NKU30/928/19</vt:lpwstr>
  </property>
  <property fmtid="{D5CDD505-2E9C-101B-9397-08002B2CF9AE}" pid="5" name="CJ_PostaDoruc_PisemnostOdpovedNa_Pisemnost">
    <vt:lpwstr>XXX-XXX-XXX</vt:lpwstr>
  </property>
  <property fmtid="{D5CDD505-2E9C-101B-9397-08002B2CF9AE}" pid="6" name="CJ_Spis_Pisemnost">
    <vt:lpwstr>30/719/18</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13.9.2019</vt:lpwstr>
  </property>
  <property fmtid="{D5CDD505-2E9C-101B-9397-08002B2CF9AE}" pid="11" name="DisplayName_CJCol">
    <vt:lpwstr>&lt;TABLE&gt;&lt;TR&gt;&lt;TD&gt;Č.j.:&lt;/TD&gt;&lt;TD&gt;18/21-NKU30/928/19&lt;/TD&gt;&lt;/TR&gt;&lt;TR&gt;&lt;TD&gt;&lt;/TD&gt;&lt;TD&gt;&lt;/TD&gt;&lt;/TR&gt;&lt;/TABLE&gt;</vt:lpwstr>
  </property>
  <property fmtid="{D5CDD505-2E9C-101B-9397-08002B2CF9AE}" pid="12" name="DisplayName_SlozkaStupenUtajeniCollection_Slozka_Pisemnost">
    <vt:lpwstr/>
  </property>
  <property fmtid="{D5CDD505-2E9C-101B-9397-08002B2CF9AE}" pid="13" name="DisplayName_SpisovyUzel_PoziceZodpo_Pisemnost">
    <vt:lpwstr>Členové Úřadu</vt:lpwstr>
  </property>
  <property fmtid="{D5CDD505-2E9C-101B-9397-08002B2CF9AE}" pid="14" name="DisplayName_UserPoriz_Pisemnost">
    <vt:lpwstr>Bc. Jana Pokorná</vt:lpwstr>
  </property>
  <property fmtid="{D5CDD505-2E9C-101B-9397-08002B2CF9AE}" pid="15" name="DuvodZmeny_SlozkaStupenUtajeniCollection_Slozka_Pisemnost">
    <vt:lpwstr/>
  </property>
  <property fmtid="{D5CDD505-2E9C-101B-9397-08002B2CF9AE}" pid="16" name="EC_Pisemnost">
    <vt:lpwstr>19-11871/NKU</vt:lpwstr>
  </property>
  <property fmtid="{D5CDD505-2E9C-101B-9397-08002B2CF9AE}" pid="17" name="Key_BarCode_Pisemnost">
    <vt:lpwstr>*B000342989*</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vt:lpwstr>
  </property>
  <property fmtid="{D5CDD505-2E9C-101B-9397-08002B2CF9AE}" pid="25" name="PocetPriloh_Pisemnost">
    <vt:lpwstr>POČET PŘÍLOH</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t:lpwstr>
  </property>
  <property fmtid="{D5CDD505-2E9C-101B-9397-08002B2CF9AE}" pid="30" name="SmlouvaCislo">
    <vt:lpwstr>ČÍSLO SMLOUVY</vt:lpwstr>
  </property>
  <property fmtid="{D5CDD505-2E9C-101B-9397-08002B2CF9AE}" pid="31" name="SZ_Spis_Pisemnost">
    <vt:lpwstr>18/21</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Návrh kontrolního závěru 18/21 – do připomínek</vt:lpwstr>
  </property>
  <property fmtid="{D5CDD505-2E9C-101B-9397-08002B2CF9AE}" pid="36" name="Zkratka_SpisovyUzel_PoziceZodpo_Pisemnost">
    <vt:lpwstr>30</vt:lpwstr>
  </property>
</Properties>
</file>