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BFCB7" w14:textId="77777777" w:rsidR="00C21015" w:rsidRDefault="00CB7290" w:rsidP="00C21015">
      <w:pPr>
        <w:pStyle w:val="Nzev"/>
        <w:outlineLvl w:val="0"/>
        <w:rPr>
          <w:rFonts w:cstheme="minorHAnsi"/>
          <w:sz w:val="28"/>
          <w:szCs w:val="28"/>
        </w:rPr>
      </w:pPr>
      <w:r w:rsidRPr="009E560F">
        <w:rPr>
          <w:noProof/>
        </w:rPr>
        <w:drawing>
          <wp:anchor distT="0" distB="0" distL="114300" distR="114300" simplePos="0" relativeHeight="251658240" behindDoc="0" locked="0" layoutInCell="1" allowOverlap="1" wp14:anchorId="79B1582A" wp14:editId="57FD418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64433" cy="540000"/>
            <wp:effectExtent l="0" t="0" r="0" b="0"/>
            <wp:wrapTopAndBottom/>
            <wp:docPr id="6" name="obrázek 4" descr="NKU_logo-transp-rgb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4072" name="Picture 4" descr="NKU_logo-transp-rgb300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33" cy="5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AFD07" w14:textId="77777777" w:rsidR="00C21015" w:rsidRDefault="00C21015" w:rsidP="00C21015">
      <w:pPr>
        <w:pStyle w:val="Nzev"/>
        <w:outlineLvl w:val="0"/>
        <w:rPr>
          <w:rFonts w:cstheme="minorHAnsi"/>
          <w:sz w:val="28"/>
          <w:szCs w:val="28"/>
        </w:rPr>
      </w:pPr>
    </w:p>
    <w:p w14:paraId="3AD9DBD2" w14:textId="77777777" w:rsidR="00C21015" w:rsidRPr="00E46577" w:rsidRDefault="00CB7290" w:rsidP="00C21015">
      <w:pPr>
        <w:pStyle w:val="Nzev"/>
        <w:outlineLvl w:val="0"/>
        <w:rPr>
          <w:rFonts w:cstheme="minorHAnsi"/>
          <w:sz w:val="28"/>
          <w:szCs w:val="28"/>
        </w:rPr>
      </w:pPr>
      <w:bookmarkStart w:id="0" w:name="_GoBack"/>
      <w:r w:rsidRPr="00E46577">
        <w:rPr>
          <w:rFonts w:cstheme="minorHAnsi"/>
          <w:sz w:val="28"/>
          <w:szCs w:val="28"/>
        </w:rPr>
        <w:t>Kontrolní závěr z kontrolní akce</w:t>
      </w:r>
    </w:p>
    <w:p w14:paraId="52D2DECE" w14:textId="77777777" w:rsidR="00C21015" w:rsidRPr="00E46577" w:rsidRDefault="00C21015" w:rsidP="00C21015">
      <w:pPr>
        <w:pStyle w:val="Nzev"/>
        <w:outlineLvl w:val="0"/>
        <w:rPr>
          <w:rFonts w:cstheme="minorHAnsi"/>
          <w:sz w:val="28"/>
          <w:szCs w:val="28"/>
        </w:rPr>
      </w:pPr>
    </w:p>
    <w:p w14:paraId="7EBA64AA" w14:textId="77777777" w:rsidR="00C21015" w:rsidRPr="00E46577" w:rsidRDefault="00CB7290" w:rsidP="00C21015">
      <w:pPr>
        <w:jc w:val="center"/>
        <w:rPr>
          <w:rFonts w:cstheme="minorHAnsi"/>
          <w:b/>
          <w:bCs/>
          <w:sz w:val="28"/>
          <w:szCs w:val="28"/>
        </w:rPr>
      </w:pPr>
      <w:r w:rsidRPr="00E46577">
        <w:rPr>
          <w:rFonts w:cstheme="minorHAnsi"/>
          <w:b/>
          <w:bCs/>
          <w:sz w:val="28"/>
          <w:szCs w:val="28"/>
        </w:rPr>
        <w:t>18/35</w:t>
      </w:r>
    </w:p>
    <w:p w14:paraId="4FB4DA2C" w14:textId="77777777" w:rsidR="00C21015" w:rsidRPr="00E46577" w:rsidRDefault="00C21015" w:rsidP="00C21015">
      <w:pPr>
        <w:jc w:val="center"/>
        <w:rPr>
          <w:rFonts w:cstheme="minorHAnsi"/>
          <w:b/>
          <w:bCs/>
          <w:sz w:val="28"/>
          <w:szCs w:val="28"/>
        </w:rPr>
      </w:pPr>
    </w:p>
    <w:p w14:paraId="6822B31B" w14:textId="77777777" w:rsidR="00C21015" w:rsidRPr="00E46577" w:rsidRDefault="00CB7290" w:rsidP="00C21015">
      <w:pPr>
        <w:spacing w:before="120" w:line="200" w:lineRule="atLeast"/>
        <w:jc w:val="center"/>
        <w:rPr>
          <w:rFonts w:cstheme="minorHAnsi"/>
          <w:b/>
          <w:sz w:val="28"/>
          <w:szCs w:val="28"/>
        </w:rPr>
      </w:pPr>
      <w:r w:rsidRPr="00E46577">
        <w:rPr>
          <w:rFonts w:cstheme="minorHAnsi"/>
          <w:b/>
          <w:sz w:val="28"/>
          <w:szCs w:val="28"/>
        </w:rPr>
        <w:t xml:space="preserve">Majetek a peněžní prostředky státu, se kterými je příslušný hospodařit </w:t>
      </w:r>
      <w:r w:rsidRPr="00E46577">
        <w:rPr>
          <w:rFonts w:cstheme="minorHAnsi"/>
          <w:b/>
          <w:sz w:val="28"/>
          <w:szCs w:val="28"/>
        </w:rPr>
        <w:br/>
        <w:t>Český báňský úřad</w:t>
      </w:r>
    </w:p>
    <w:bookmarkEnd w:id="0"/>
    <w:p w14:paraId="163E0CF2" w14:textId="21E87916" w:rsidR="00C21015" w:rsidRPr="00E46577" w:rsidRDefault="00C21015" w:rsidP="00C21015">
      <w:pPr>
        <w:spacing w:before="120" w:line="200" w:lineRule="atLeast"/>
        <w:jc w:val="center"/>
        <w:rPr>
          <w:rFonts w:cstheme="minorHAnsi"/>
          <w:sz w:val="28"/>
          <w:szCs w:val="28"/>
        </w:rPr>
      </w:pPr>
    </w:p>
    <w:p w14:paraId="6583563C" w14:textId="77777777" w:rsidR="00C21015" w:rsidRPr="00C21015" w:rsidRDefault="00C21015" w:rsidP="00C21015">
      <w:pPr>
        <w:tabs>
          <w:tab w:val="left" w:pos="7988"/>
        </w:tabs>
        <w:rPr>
          <w:rFonts w:cstheme="minorHAnsi"/>
        </w:rPr>
      </w:pPr>
    </w:p>
    <w:p w14:paraId="7A903015" w14:textId="77777777" w:rsidR="00C21015" w:rsidRPr="00C21015" w:rsidRDefault="00CB7290" w:rsidP="00C21015">
      <w:pPr>
        <w:rPr>
          <w:rFonts w:cstheme="minorHAnsi"/>
        </w:rPr>
      </w:pPr>
      <w:r w:rsidRPr="00C21015">
        <w:rPr>
          <w:rFonts w:cstheme="minorHAnsi"/>
        </w:rPr>
        <w:t xml:space="preserve">Kontrolní akce byla zařazena do plánu kontrolní činnosti Nejvyššího kontrolního úřadu (dále jen „NKÚ“) na rok 2018 pod číslem 18/35. Kontrolní akci řídila a kontrolní závěr vypracovala členka NKÚ Ing. Hana </w:t>
      </w:r>
      <w:proofErr w:type="spellStart"/>
      <w:r w:rsidRPr="00C21015">
        <w:rPr>
          <w:rFonts w:cstheme="minorHAnsi"/>
        </w:rPr>
        <w:t>Hykšová</w:t>
      </w:r>
      <w:proofErr w:type="spellEnd"/>
      <w:r w:rsidRPr="00C21015">
        <w:rPr>
          <w:rFonts w:cstheme="minorHAnsi"/>
        </w:rPr>
        <w:t>.</w:t>
      </w:r>
    </w:p>
    <w:p w14:paraId="0891923D" w14:textId="77777777" w:rsidR="00C21015" w:rsidRPr="00C21015" w:rsidRDefault="00C21015" w:rsidP="00C21015">
      <w:pPr>
        <w:rPr>
          <w:rFonts w:cstheme="minorHAnsi"/>
        </w:rPr>
      </w:pPr>
    </w:p>
    <w:p w14:paraId="53A3E455" w14:textId="77777777" w:rsidR="00C21015" w:rsidRPr="0003132F" w:rsidRDefault="00CB7290" w:rsidP="00C21015">
      <w:pPr>
        <w:rPr>
          <w:rFonts w:cstheme="minorHAnsi"/>
        </w:rPr>
      </w:pPr>
      <w:r w:rsidRPr="00C21015">
        <w:rPr>
          <w:rFonts w:cstheme="minorHAnsi"/>
        </w:rPr>
        <w:t xml:space="preserve">Cílem kontroly bylo </w:t>
      </w:r>
      <w:bookmarkStart w:id="1" w:name="_Toc506383339"/>
      <w:bookmarkStart w:id="2" w:name="_Toc256000068"/>
      <w:bookmarkStart w:id="3" w:name="_Toc256000035"/>
      <w:bookmarkStart w:id="4" w:name="_Toc256000002"/>
      <w:r w:rsidRPr="00C21015">
        <w:rPr>
          <w:rFonts w:cstheme="minorHAnsi"/>
        </w:rPr>
        <w:t xml:space="preserve">prověřit, </w:t>
      </w:r>
      <w:r w:rsidR="00126535">
        <w:rPr>
          <w:rFonts w:cstheme="minorHAnsi"/>
        </w:rPr>
        <w:t>zda Český báňský úřad hospodaří</w:t>
      </w:r>
      <w:r w:rsidRPr="00C21015">
        <w:rPr>
          <w:rFonts w:cstheme="minorHAnsi"/>
        </w:rPr>
        <w:t xml:space="preserve"> </w:t>
      </w:r>
      <w:r w:rsidR="00BD5ED3">
        <w:rPr>
          <w:rFonts w:cstheme="minorHAnsi"/>
        </w:rPr>
        <w:t xml:space="preserve">s </w:t>
      </w:r>
      <w:r w:rsidR="00BD5ED3" w:rsidRPr="00C21015">
        <w:rPr>
          <w:rFonts w:cstheme="minorHAnsi"/>
        </w:rPr>
        <w:t xml:space="preserve">peněžními prostředky </w:t>
      </w:r>
      <w:r w:rsidR="00BD5ED3" w:rsidRPr="0003132F">
        <w:rPr>
          <w:rFonts w:cstheme="minorHAnsi"/>
        </w:rPr>
        <w:t>a </w:t>
      </w:r>
      <w:r w:rsidRPr="0003132F">
        <w:rPr>
          <w:rFonts w:cstheme="minorHAnsi"/>
        </w:rPr>
        <w:t>majetkem</w:t>
      </w:r>
      <w:r w:rsidR="00BD5ED3" w:rsidRPr="0003132F">
        <w:rPr>
          <w:rFonts w:cstheme="minorHAnsi"/>
        </w:rPr>
        <w:t xml:space="preserve"> státu </w:t>
      </w:r>
      <w:bookmarkEnd w:id="1"/>
      <w:bookmarkEnd w:id="2"/>
      <w:bookmarkEnd w:id="3"/>
      <w:bookmarkEnd w:id="4"/>
      <w:r w:rsidRPr="0003132F">
        <w:rPr>
          <w:rFonts w:cstheme="minorHAnsi"/>
        </w:rPr>
        <w:t>v souladu s právními předpisy, účelně a hospodárně.</w:t>
      </w:r>
    </w:p>
    <w:p w14:paraId="517B773B" w14:textId="77777777" w:rsidR="00C21015" w:rsidRPr="0003132F" w:rsidRDefault="00C21015" w:rsidP="00C21015">
      <w:pPr>
        <w:spacing w:before="120" w:line="200" w:lineRule="atLeast"/>
        <w:rPr>
          <w:rFonts w:cstheme="minorHAnsi"/>
        </w:rPr>
      </w:pPr>
    </w:p>
    <w:p w14:paraId="0899F0EC" w14:textId="7902A569" w:rsidR="00C21015" w:rsidRPr="0003132F" w:rsidRDefault="00CB7290" w:rsidP="00C21015">
      <w:pPr>
        <w:rPr>
          <w:rFonts w:cstheme="minorHAnsi"/>
        </w:rPr>
      </w:pPr>
      <w:r w:rsidRPr="0003132F">
        <w:rPr>
          <w:rFonts w:cstheme="minorHAnsi"/>
        </w:rPr>
        <w:t>Kontrola byla prováděna u kontrolované osoby v období od října 2018 do dubna 2019. Kontrolov</w:t>
      </w:r>
      <w:r w:rsidR="007029B5">
        <w:rPr>
          <w:rFonts w:cstheme="minorHAnsi"/>
        </w:rPr>
        <w:t>áno</w:t>
      </w:r>
      <w:r w:rsidRPr="0003132F">
        <w:rPr>
          <w:rFonts w:cstheme="minorHAnsi"/>
        </w:rPr>
        <w:t xml:space="preserve"> bylo období od roku 2015 do </w:t>
      </w:r>
      <w:r w:rsidR="007029B5">
        <w:rPr>
          <w:rFonts w:cstheme="minorHAnsi"/>
        </w:rPr>
        <w:t xml:space="preserve">roku </w:t>
      </w:r>
      <w:r w:rsidRPr="0003132F">
        <w:rPr>
          <w:rFonts w:cstheme="minorHAnsi"/>
        </w:rPr>
        <w:t xml:space="preserve">2018, v případě věcných souvislostí i období předcházející a období do ukončení kontroly. </w:t>
      </w:r>
    </w:p>
    <w:p w14:paraId="14BC4316" w14:textId="77777777" w:rsidR="00C21015" w:rsidRPr="0003132F" w:rsidRDefault="00C21015" w:rsidP="00C21015">
      <w:pPr>
        <w:rPr>
          <w:rFonts w:cstheme="minorHAnsi"/>
        </w:rPr>
      </w:pPr>
    </w:p>
    <w:p w14:paraId="1566630F" w14:textId="4899750D" w:rsidR="00C21015" w:rsidRPr="00E41BC2" w:rsidRDefault="00CB7290" w:rsidP="00C21015">
      <w:pPr>
        <w:rPr>
          <w:rFonts w:cstheme="minorHAnsi"/>
          <w:b/>
        </w:rPr>
      </w:pPr>
      <w:r w:rsidRPr="00E41BC2">
        <w:rPr>
          <w:rFonts w:cstheme="minorHAnsi"/>
          <w:b/>
        </w:rPr>
        <w:t>Kontrolovan</w:t>
      </w:r>
      <w:r w:rsidR="007029B5" w:rsidRPr="00E41BC2">
        <w:rPr>
          <w:rFonts w:cstheme="minorHAnsi"/>
          <w:b/>
        </w:rPr>
        <w:t>á</w:t>
      </w:r>
      <w:r w:rsidRPr="00E41BC2">
        <w:rPr>
          <w:rFonts w:cstheme="minorHAnsi"/>
          <w:b/>
        </w:rPr>
        <w:t xml:space="preserve"> osob</w:t>
      </w:r>
      <w:r w:rsidR="007029B5" w:rsidRPr="00E41BC2">
        <w:rPr>
          <w:rFonts w:cstheme="minorHAnsi"/>
          <w:b/>
        </w:rPr>
        <w:t>a</w:t>
      </w:r>
      <w:r w:rsidRPr="00E41BC2">
        <w:rPr>
          <w:rFonts w:cstheme="minorHAnsi"/>
          <w:b/>
        </w:rPr>
        <w:t>:</w:t>
      </w:r>
    </w:p>
    <w:p w14:paraId="13F2F58B" w14:textId="23B50C15" w:rsidR="00C21015" w:rsidRPr="0003132F" w:rsidRDefault="00CB7290" w:rsidP="00C21015">
      <w:pPr>
        <w:rPr>
          <w:rFonts w:cstheme="minorHAnsi"/>
        </w:rPr>
      </w:pPr>
      <w:r w:rsidRPr="0003132F">
        <w:rPr>
          <w:rFonts w:cstheme="minorHAnsi"/>
        </w:rPr>
        <w:t>Český báňský úřad</w:t>
      </w:r>
      <w:r w:rsidR="00126535">
        <w:rPr>
          <w:rFonts w:cstheme="minorHAnsi"/>
        </w:rPr>
        <w:t>, Praha</w:t>
      </w:r>
      <w:r w:rsidRPr="0003132F">
        <w:rPr>
          <w:rFonts w:cstheme="minorHAnsi"/>
        </w:rPr>
        <w:t xml:space="preserve"> (dále také „ČBÚ“)</w:t>
      </w:r>
      <w:r w:rsidR="007029B5">
        <w:rPr>
          <w:rFonts w:cstheme="minorHAnsi"/>
        </w:rPr>
        <w:t>.</w:t>
      </w:r>
    </w:p>
    <w:p w14:paraId="6AC286B9" w14:textId="77777777" w:rsidR="00C21015" w:rsidRPr="0003132F" w:rsidRDefault="00C21015" w:rsidP="00E41BC2">
      <w:pPr>
        <w:rPr>
          <w:rFonts w:cstheme="minorHAnsi"/>
        </w:rPr>
      </w:pPr>
    </w:p>
    <w:p w14:paraId="43B74E02" w14:textId="369776C8" w:rsidR="00C21015" w:rsidRPr="00C21015" w:rsidRDefault="00CB7290" w:rsidP="00C21015">
      <w:pPr>
        <w:rPr>
          <w:rFonts w:cstheme="minorHAnsi"/>
        </w:rPr>
      </w:pPr>
      <w:r w:rsidRPr="00C21015">
        <w:rPr>
          <w:rFonts w:cstheme="minorHAnsi"/>
          <w:b/>
          <w:bCs/>
          <w:i/>
          <w:iCs/>
        </w:rPr>
        <w:t xml:space="preserve">K o l e g i u m   N K Ú  </w:t>
      </w:r>
      <w:r w:rsidRPr="00C21015">
        <w:rPr>
          <w:rFonts w:cstheme="minorHAnsi"/>
        </w:rPr>
        <w:t xml:space="preserve"> na svém </w:t>
      </w:r>
      <w:r w:rsidR="00987A27">
        <w:rPr>
          <w:rFonts w:cstheme="minorHAnsi"/>
        </w:rPr>
        <w:t>IX.</w:t>
      </w:r>
      <w:r w:rsidRPr="00C21015">
        <w:rPr>
          <w:rFonts w:cstheme="minorHAnsi"/>
        </w:rPr>
        <w:t xml:space="preserve"> jednání konaném dne </w:t>
      </w:r>
      <w:r w:rsidR="00987A27">
        <w:rPr>
          <w:rFonts w:cstheme="minorHAnsi"/>
        </w:rPr>
        <w:t>24. června</w:t>
      </w:r>
      <w:r w:rsidRPr="00C21015">
        <w:rPr>
          <w:rFonts w:cstheme="minorHAnsi"/>
        </w:rPr>
        <w:t xml:space="preserve"> 2019 </w:t>
      </w:r>
    </w:p>
    <w:p w14:paraId="6A3884A8" w14:textId="02352DD9" w:rsidR="00C21015" w:rsidRPr="00C21015" w:rsidRDefault="00CB7290" w:rsidP="00C21015">
      <w:pPr>
        <w:pStyle w:val="NormlnKZ"/>
        <w:spacing w:after="0"/>
        <w:ind w:firstLine="0"/>
        <w:rPr>
          <w:rFonts w:cstheme="minorHAnsi"/>
        </w:rPr>
      </w:pPr>
      <w:proofErr w:type="gramStart"/>
      <w:r w:rsidRPr="00C21015">
        <w:rPr>
          <w:rFonts w:cstheme="minorHAnsi"/>
          <w:b/>
          <w:bCs/>
          <w:i/>
          <w:iCs/>
        </w:rPr>
        <w:t xml:space="preserve">s c h v á l i l o  </w:t>
      </w:r>
      <w:r w:rsidRPr="00C21015">
        <w:rPr>
          <w:rFonts w:cstheme="minorHAnsi"/>
        </w:rPr>
        <w:t xml:space="preserve"> usnesením č.</w:t>
      </w:r>
      <w:proofErr w:type="gramEnd"/>
      <w:r w:rsidRPr="00C21015">
        <w:rPr>
          <w:rFonts w:cstheme="minorHAnsi"/>
        </w:rPr>
        <w:t xml:space="preserve"> </w:t>
      </w:r>
      <w:r w:rsidR="00B40CF5">
        <w:rPr>
          <w:rFonts w:cstheme="minorHAnsi"/>
        </w:rPr>
        <w:t>12</w:t>
      </w:r>
      <w:r w:rsidRPr="00C21015">
        <w:rPr>
          <w:rFonts w:cstheme="minorHAnsi"/>
        </w:rPr>
        <w:t>/</w:t>
      </w:r>
      <w:r w:rsidR="00987A27">
        <w:rPr>
          <w:rFonts w:cstheme="minorHAnsi"/>
        </w:rPr>
        <w:t>IX</w:t>
      </w:r>
      <w:r w:rsidRPr="00C21015">
        <w:rPr>
          <w:rFonts w:cstheme="minorHAnsi"/>
        </w:rPr>
        <w:t>/2019</w:t>
      </w:r>
    </w:p>
    <w:p w14:paraId="15460A62" w14:textId="77777777" w:rsidR="00C21015" w:rsidRPr="00C21015" w:rsidRDefault="00CB7290" w:rsidP="00C21015">
      <w:pPr>
        <w:pStyle w:val="NormlnKZ"/>
        <w:spacing w:after="0"/>
        <w:ind w:firstLine="0"/>
        <w:rPr>
          <w:rFonts w:cstheme="minorHAnsi"/>
        </w:rPr>
      </w:pPr>
      <w:r w:rsidRPr="00C21015">
        <w:rPr>
          <w:rFonts w:cstheme="minorHAnsi"/>
          <w:b/>
          <w:bCs/>
          <w:i/>
          <w:iCs/>
        </w:rPr>
        <w:t>k o n t r o l n í   z á v ě r</w:t>
      </w:r>
      <w:r w:rsidRPr="00C21015">
        <w:rPr>
          <w:rFonts w:cstheme="minorHAnsi"/>
        </w:rPr>
        <w:t xml:space="preserve">   v tomto znění:</w:t>
      </w:r>
    </w:p>
    <w:p w14:paraId="3B0913EA" w14:textId="77777777" w:rsidR="00C21015" w:rsidRPr="00C21015" w:rsidRDefault="00C21015" w:rsidP="00C21015">
      <w:pPr>
        <w:pStyle w:val="NormlnKZ"/>
        <w:spacing w:after="0"/>
        <w:ind w:firstLine="0"/>
        <w:rPr>
          <w:rFonts w:cstheme="minorHAnsi"/>
        </w:rPr>
      </w:pPr>
    </w:p>
    <w:p w14:paraId="4580F2F2" w14:textId="2EB6C344" w:rsidR="00C656FE" w:rsidRDefault="00CB7290" w:rsidP="00F67FA9">
      <w:pPr>
        <w:jc w:val="center"/>
      </w:pPr>
      <w:r>
        <w:rPr>
          <w:rFonts w:cstheme="minorHAnsi"/>
        </w:rPr>
        <w:br w:type="page"/>
      </w:r>
      <w:r w:rsidR="00F67FA9" w:rsidDel="00F67FA9">
        <w:lastRenderedPageBreak/>
        <w:t xml:space="preserve"> </w:t>
      </w:r>
    </w:p>
    <w:p w14:paraId="7EF50F64" w14:textId="4A9805BB" w:rsidR="00C656FE" w:rsidRDefault="00535712" w:rsidP="00C656FE">
      <w:r w:rsidRPr="00535712">
        <w:rPr>
          <w:noProof/>
          <w:lang w:eastAsia="cs-CZ"/>
        </w:rPr>
        <w:drawing>
          <wp:inline distT="0" distB="0" distL="0" distR="0" wp14:anchorId="0127D05F" wp14:editId="6D59EB93">
            <wp:extent cx="5760720" cy="8147719"/>
            <wp:effectExtent l="0" t="0" r="0" b="5715"/>
            <wp:docPr id="3" name="Obrázek 3" descr="C:\Users\SYKORAP\AppData\Local\Microsoft\Windows\INetCache\Content.Outlook\XKAYRVXX\18_35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KORAP\AppData\Local\Microsoft\Windows\INetCache\Content.Outlook\XKAYRVXX\18_35 (7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5001" w14:textId="77777777" w:rsidR="00C656FE" w:rsidRDefault="00C656FE" w:rsidP="00C656FE"/>
    <w:p w14:paraId="13EC0AA9" w14:textId="77777777" w:rsidR="00C21015" w:rsidRDefault="00C21015">
      <w:pPr>
        <w:spacing w:after="160" w:line="259" w:lineRule="auto"/>
        <w:jc w:val="left"/>
        <w:rPr>
          <w:rFonts w:cstheme="minorHAnsi"/>
          <w:lang w:eastAsia="cs-CZ"/>
        </w:rPr>
      </w:pPr>
    </w:p>
    <w:p w14:paraId="6161B622" w14:textId="77777777" w:rsidR="00C656FE" w:rsidRPr="00C656FE" w:rsidRDefault="00CB7290" w:rsidP="0071153B">
      <w:pPr>
        <w:pStyle w:val="Nadpis1"/>
        <w:numPr>
          <w:ilvl w:val="0"/>
          <w:numId w:val="1"/>
        </w:numPr>
        <w:overflowPunct w:val="0"/>
        <w:autoSpaceDE w:val="0"/>
        <w:autoSpaceDN w:val="0"/>
        <w:adjustRightInd w:val="0"/>
        <w:spacing w:before="480" w:line="240" w:lineRule="auto"/>
        <w:ind w:left="142" w:hanging="142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B74D2F">
        <w:rPr>
          <w:rFonts w:eastAsia="Times New Roman" w:cstheme="minorHAnsi"/>
          <w:color w:val="000000"/>
          <w:szCs w:val="24"/>
          <w:lang w:eastAsia="cs-CZ"/>
        </w:rPr>
        <w:lastRenderedPageBreak/>
        <w:t>Shrnutí a vyhodnocení</w:t>
      </w:r>
    </w:p>
    <w:p w14:paraId="7C950DCA" w14:textId="6BB4A70D" w:rsidR="00546174" w:rsidRPr="00DF2750" w:rsidRDefault="00CB7290" w:rsidP="00DF2750">
      <w:pPr>
        <w:rPr>
          <w:rFonts w:cstheme="minorHAnsi"/>
          <w:bCs/>
        </w:rPr>
      </w:pPr>
      <w:r w:rsidRPr="00DF2750">
        <w:rPr>
          <w:rFonts w:cstheme="minorHAnsi"/>
          <w:bCs/>
        </w:rPr>
        <w:t xml:space="preserve">NKÚ provedl kontrolu hospodaření s majetkem a peněžními prostředky státu, se kterými je příslušný hospodařit Český báňský úřad. Kontrola byla zaměřena na plnění příjmů kapitoly </w:t>
      </w:r>
      <w:r w:rsidR="00017B3D">
        <w:rPr>
          <w:rFonts w:cstheme="minorHAnsi"/>
          <w:bCs/>
        </w:rPr>
        <w:br/>
      </w:r>
      <w:r w:rsidR="00017B3D" w:rsidRPr="00B5606D">
        <w:rPr>
          <w:rFonts w:cstheme="minorHAnsi"/>
        </w:rPr>
        <w:t xml:space="preserve">348 – </w:t>
      </w:r>
      <w:r w:rsidR="00017B3D" w:rsidRPr="00B5606D">
        <w:rPr>
          <w:rFonts w:cstheme="minorHAnsi"/>
          <w:i/>
        </w:rPr>
        <w:t>Český báňský úřad</w:t>
      </w:r>
      <w:r w:rsidR="00017B3D" w:rsidRPr="00DF2750">
        <w:rPr>
          <w:rFonts w:cstheme="minorHAnsi"/>
          <w:bCs/>
        </w:rPr>
        <w:t xml:space="preserve"> </w:t>
      </w:r>
      <w:r w:rsidR="00017B3D">
        <w:rPr>
          <w:rFonts w:cstheme="minorHAnsi"/>
          <w:bCs/>
        </w:rPr>
        <w:t xml:space="preserve">(dále také „kapitola ČBÚ“) </w:t>
      </w:r>
      <w:r w:rsidRPr="00DF2750">
        <w:rPr>
          <w:rFonts w:cstheme="minorHAnsi"/>
          <w:bCs/>
        </w:rPr>
        <w:t>a</w:t>
      </w:r>
      <w:r w:rsidR="00017B3D">
        <w:rPr>
          <w:rFonts w:cstheme="minorHAnsi"/>
          <w:bCs/>
        </w:rPr>
        <w:t xml:space="preserve"> </w:t>
      </w:r>
      <w:r w:rsidRPr="00DF2750">
        <w:rPr>
          <w:rFonts w:cstheme="minorHAnsi"/>
          <w:bCs/>
        </w:rPr>
        <w:t>plnění povinností souvisejících se správ</w:t>
      </w:r>
      <w:r w:rsidR="004D1C21">
        <w:rPr>
          <w:rFonts w:cstheme="minorHAnsi"/>
          <w:bCs/>
        </w:rPr>
        <w:t xml:space="preserve">ou úhrad z vydobytých nerostů a </w:t>
      </w:r>
      <w:r w:rsidR="009C03D7">
        <w:rPr>
          <w:rFonts w:cstheme="minorHAnsi"/>
          <w:bCs/>
        </w:rPr>
        <w:t xml:space="preserve">úhrad z </w:t>
      </w:r>
      <w:r w:rsidRPr="00DF2750">
        <w:rPr>
          <w:rFonts w:cstheme="minorHAnsi"/>
          <w:bCs/>
        </w:rPr>
        <w:t xml:space="preserve">dobývacích prostor, dále na nakládání s dlouhodobým hmotným majetkem státu a na posouzení vybraných nákladů </w:t>
      </w:r>
      <w:r w:rsidR="002D4731">
        <w:rPr>
          <w:rFonts w:cstheme="minorHAnsi"/>
          <w:bCs/>
        </w:rPr>
        <w:t xml:space="preserve">a investičních výdajů </w:t>
      </w:r>
      <w:r w:rsidRPr="00DF2750">
        <w:rPr>
          <w:rFonts w:cstheme="minorHAnsi"/>
          <w:bCs/>
        </w:rPr>
        <w:t>z hlediska jejich hospodárnosti a účelnosti.</w:t>
      </w:r>
    </w:p>
    <w:p w14:paraId="7D3EFD9C" w14:textId="77777777" w:rsidR="00546174" w:rsidRPr="00DF2750" w:rsidRDefault="00546174" w:rsidP="00DF2750">
      <w:pPr>
        <w:rPr>
          <w:rFonts w:cstheme="minorHAnsi"/>
          <w:b/>
          <w:bCs/>
        </w:rPr>
      </w:pPr>
    </w:p>
    <w:p w14:paraId="749433FE" w14:textId="583DB05E" w:rsidR="00546174" w:rsidRPr="00DF2750" w:rsidRDefault="00CB7290" w:rsidP="00DF2750">
      <w:pPr>
        <w:rPr>
          <w:rFonts w:cstheme="minorHAnsi"/>
        </w:rPr>
      </w:pPr>
      <w:r w:rsidRPr="00DF2750">
        <w:rPr>
          <w:rFonts w:cstheme="minorHAnsi"/>
          <w:bCs/>
        </w:rPr>
        <w:t xml:space="preserve">NKÚ prověřil </w:t>
      </w:r>
      <w:r w:rsidRPr="00DF2750">
        <w:rPr>
          <w:rFonts w:cstheme="minorHAnsi"/>
        </w:rPr>
        <w:t xml:space="preserve">na vybraných vzorcích z období let 2015 až 2018 hospodaření s </w:t>
      </w:r>
      <w:r w:rsidRPr="00DF2750">
        <w:rPr>
          <w:rFonts w:cstheme="minorHAnsi"/>
          <w:bCs/>
        </w:rPr>
        <w:t>peněžními prostředky státu ve výš</w:t>
      </w:r>
      <w:r w:rsidR="002C692B">
        <w:rPr>
          <w:rFonts w:cstheme="minorHAnsi"/>
          <w:bCs/>
        </w:rPr>
        <w:t xml:space="preserve">i 983 657 330 Kč (z toho </w:t>
      </w:r>
      <w:r w:rsidR="003F4780">
        <w:rPr>
          <w:rFonts w:cstheme="minorHAnsi"/>
          <w:bCs/>
        </w:rPr>
        <w:t xml:space="preserve">výnosy </w:t>
      </w:r>
      <w:r w:rsidRPr="00DF2750">
        <w:rPr>
          <w:rFonts w:cstheme="minorHAnsi"/>
          <w:bCs/>
        </w:rPr>
        <w:t>úhrad ve výši 948 910 582 Kč, nedaňové příjmy ve výši 6</w:t>
      </w:r>
      <w:r w:rsidR="003E538A">
        <w:rPr>
          <w:rFonts w:cstheme="minorHAnsi"/>
          <w:bCs/>
        </w:rPr>
        <w:t xml:space="preserve"> </w:t>
      </w:r>
      <w:r w:rsidRPr="00DF2750">
        <w:rPr>
          <w:rFonts w:cstheme="minorHAnsi"/>
          <w:bCs/>
        </w:rPr>
        <w:t>751</w:t>
      </w:r>
      <w:r w:rsidR="003E538A">
        <w:rPr>
          <w:rFonts w:cstheme="minorHAnsi"/>
          <w:bCs/>
        </w:rPr>
        <w:t xml:space="preserve"> </w:t>
      </w:r>
      <w:r w:rsidRPr="00DF2750">
        <w:rPr>
          <w:rFonts w:cstheme="minorHAnsi"/>
          <w:bCs/>
        </w:rPr>
        <w:t>737 Kč, výdaje ve výši 27</w:t>
      </w:r>
      <w:r w:rsidR="003E538A">
        <w:rPr>
          <w:rFonts w:cstheme="minorHAnsi"/>
          <w:bCs/>
        </w:rPr>
        <w:t xml:space="preserve"> </w:t>
      </w:r>
      <w:r w:rsidRPr="00DF2750">
        <w:rPr>
          <w:rFonts w:cstheme="minorHAnsi"/>
          <w:bCs/>
        </w:rPr>
        <w:t>995</w:t>
      </w:r>
      <w:r w:rsidR="003E538A">
        <w:rPr>
          <w:rFonts w:cstheme="minorHAnsi"/>
          <w:bCs/>
        </w:rPr>
        <w:t xml:space="preserve"> </w:t>
      </w:r>
      <w:r w:rsidRPr="00DF2750">
        <w:rPr>
          <w:rFonts w:cstheme="minorHAnsi"/>
          <w:bCs/>
        </w:rPr>
        <w:t>011</w:t>
      </w:r>
      <w:r w:rsidR="003E538A">
        <w:rPr>
          <w:rFonts w:cstheme="minorHAnsi"/>
          <w:bCs/>
        </w:rPr>
        <w:t xml:space="preserve"> </w:t>
      </w:r>
      <w:r w:rsidRPr="00DF2750">
        <w:rPr>
          <w:rFonts w:cstheme="minorHAnsi"/>
          <w:bCs/>
        </w:rPr>
        <w:t xml:space="preserve">Kč) a </w:t>
      </w:r>
      <w:r w:rsidR="009C03D7">
        <w:rPr>
          <w:rFonts w:cstheme="minorHAnsi"/>
          <w:bCs/>
        </w:rPr>
        <w:t>hospodaření s </w:t>
      </w:r>
      <w:r w:rsidRPr="00DF2750">
        <w:rPr>
          <w:rFonts w:cstheme="minorHAnsi"/>
        </w:rPr>
        <w:t xml:space="preserve">majetkem </w:t>
      </w:r>
      <w:r w:rsidRPr="00DF2750">
        <w:rPr>
          <w:rFonts w:cstheme="minorHAnsi"/>
          <w:bCs/>
        </w:rPr>
        <w:t>v </w:t>
      </w:r>
      <w:r w:rsidR="00985809">
        <w:rPr>
          <w:rFonts w:cstheme="minorHAnsi"/>
          <w:bCs/>
        </w:rPr>
        <w:t>pořizovací ceně</w:t>
      </w:r>
      <w:r w:rsidR="00985809" w:rsidRPr="00DF2750">
        <w:rPr>
          <w:rFonts w:cstheme="minorHAnsi"/>
          <w:bCs/>
        </w:rPr>
        <w:t xml:space="preserve"> </w:t>
      </w:r>
      <w:r w:rsidRPr="00DF2750">
        <w:rPr>
          <w:rFonts w:cstheme="minorHAnsi"/>
          <w:bCs/>
        </w:rPr>
        <w:t xml:space="preserve">5 668 609 Kč. </w:t>
      </w:r>
    </w:p>
    <w:p w14:paraId="749B8DE2" w14:textId="77777777" w:rsidR="00546174" w:rsidRPr="00DF2750" w:rsidRDefault="00546174" w:rsidP="00DF2750">
      <w:pPr>
        <w:rPr>
          <w:rFonts w:cstheme="minorHAnsi"/>
          <w:bCs/>
        </w:rPr>
      </w:pPr>
    </w:p>
    <w:p w14:paraId="0E9F05A0" w14:textId="5F06D1C4" w:rsidR="00546174" w:rsidRPr="00DF2750" w:rsidRDefault="000D1B74" w:rsidP="00DF2750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Z níže uveden</w:t>
      </w:r>
      <w:r w:rsidR="00B3013A">
        <w:rPr>
          <w:rFonts w:cstheme="minorHAnsi"/>
          <w:b/>
        </w:rPr>
        <w:t>ých skutečností</w:t>
      </w:r>
      <w:r>
        <w:rPr>
          <w:rFonts w:cstheme="minorHAnsi"/>
          <w:b/>
        </w:rPr>
        <w:t xml:space="preserve"> </w:t>
      </w:r>
      <w:r w:rsidR="00B3013A" w:rsidRPr="00F67FA9">
        <w:rPr>
          <w:rFonts w:cstheme="minorHAnsi"/>
          <w:b/>
        </w:rPr>
        <w:t>zjištěných na vybraném kontrolním vzorku</w:t>
      </w:r>
      <w:r w:rsidR="00B3013A">
        <w:rPr>
          <w:rFonts w:cstheme="minorHAnsi"/>
          <w:b/>
        </w:rPr>
        <w:t xml:space="preserve"> </w:t>
      </w:r>
      <w:r>
        <w:rPr>
          <w:rFonts w:cstheme="minorHAnsi"/>
          <w:b/>
        </w:rPr>
        <w:t>vyplývá, že p</w:t>
      </w:r>
      <w:r w:rsidR="00CB7290" w:rsidRPr="00DF2750">
        <w:rPr>
          <w:rFonts w:cstheme="minorHAnsi"/>
          <w:b/>
        </w:rPr>
        <w:t>ři nakládání s majetkem a peněžními prostředky státu postupoval ČBÚ podle platných právních předpisů, účelně a hospodárně. ČBÚ sled</w:t>
      </w:r>
      <w:r w:rsidR="00B3013A">
        <w:rPr>
          <w:rFonts w:cstheme="minorHAnsi"/>
          <w:b/>
        </w:rPr>
        <w:t>oval</w:t>
      </w:r>
      <w:r w:rsidR="00CB7290" w:rsidRPr="00DF2750">
        <w:rPr>
          <w:rFonts w:cstheme="minorHAnsi"/>
          <w:b/>
        </w:rPr>
        <w:t xml:space="preserve"> a vyhodnoc</w:t>
      </w:r>
      <w:r w:rsidR="00B3013A">
        <w:rPr>
          <w:rFonts w:cstheme="minorHAnsi"/>
          <w:b/>
        </w:rPr>
        <w:t>oval</w:t>
      </w:r>
      <w:r w:rsidR="00CB7290" w:rsidRPr="00DF2750">
        <w:rPr>
          <w:rFonts w:cstheme="minorHAnsi"/>
          <w:b/>
        </w:rPr>
        <w:t xml:space="preserve"> hospodárnost a</w:t>
      </w:r>
      <w:r w:rsidR="00094817">
        <w:rPr>
          <w:rFonts w:cstheme="minorHAnsi"/>
          <w:b/>
        </w:rPr>
        <w:t> </w:t>
      </w:r>
      <w:r w:rsidR="00CB7290" w:rsidRPr="00DF2750">
        <w:rPr>
          <w:rFonts w:cstheme="minorHAnsi"/>
          <w:b/>
        </w:rPr>
        <w:t>účelnost vynaložených</w:t>
      </w:r>
      <w:r w:rsidR="005307E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peněžních </w:t>
      </w:r>
      <w:r w:rsidR="005307E8">
        <w:rPr>
          <w:rFonts w:cstheme="minorHAnsi"/>
          <w:b/>
        </w:rPr>
        <w:t xml:space="preserve">prostředků. Při správě výnosů </w:t>
      </w:r>
      <w:r w:rsidR="00CB7290" w:rsidRPr="00DF2750">
        <w:rPr>
          <w:rFonts w:cstheme="minorHAnsi"/>
          <w:b/>
        </w:rPr>
        <w:t>úhrad z dobývacích prostor a</w:t>
      </w:r>
      <w:r w:rsidR="004D1C21">
        <w:rPr>
          <w:rFonts w:cstheme="minorHAnsi"/>
          <w:b/>
        </w:rPr>
        <w:t xml:space="preserve"> </w:t>
      </w:r>
      <w:r w:rsidR="00CB7290" w:rsidRPr="00DF2750">
        <w:rPr>
          <w:rFonts w:cstheme="minorHAnsi"/>
          <w:b/>
        </w:rPr>
        <w:t>z vydobytých nerostů postupoval ČBÚ v souladu s</w:t>
      </w:r>
      <w:r w:rsidR="00985809">
        <w:rPr>
          <w:rFonts w:cstheme="minorHAnsi"/>
          <w:b/>
        </w:rPr>
        <w:t> horním zákonem</w:t>
      </w:r>
      <w:r w:rsidR="00CB7290">
        <w:rPr>
          <w:rStyle w:val="Znakapoznpodarou"/>
          <w:rFonts w:cstheme="minorHAnsi"/>
          <w:b/>
        </w:rPr>
        <w:footnoteReference w:id="1"/>
      </w:r>
      <w:r w:rsidR="00985809">
        <w:rPr>
          <w:rFonts w:cstheme="minorHAnsi"/>
          <w:b/>
        </w:rPr>
        <w:t xml:space="preserve"> a daňovým řádem</w:t>
      </w:r>
      <w:r w:rsidR="00CB7290">
        <w:rPr>
          <w:rStyle w:val="Znakapoznpodarou"/>
          <w:rFonts w:cstheme="minorHAnsi"/>
          <w:b/>
        </w:rPr>
        <w:footnoteReference w:id="2"/>
      </w:r>
      <w:r w:rsidR="00CB7290" w:rsidRPr="00DF2750">
        <w:rPr>
          <w:rFonts w:cstheme="minorHAnsi"/>
          <w:b/>
        </w:rPr>
        <w:t>.</w:t>
      </w:r>
    </w:p>
    <w:p w14:paraId="2AB41A2A" w14:textId="77777777" w:rsidR="00366BE6" w:rsidRPr="00DF2750" w:rsidRDefault="00366BE6" w:rsidP="00DF2750">
      <w:pPr>
        <w:autoSpaceDE w:val="0"/>
        <w:autoSpaceDN w:val="0"/>
        <w:adjustRightInd w:val="0"/>
        <w:rPr>
          <w:rFonts w:cstheme="minorHAnsi"/>
          <w:b/>
        </w:rPr>
      </w:pPr>
    </w:p>
    <w:p w14:paraId="5A5C7C7F" w14:textId="04033067" w:rsidR="00366BE6" w:rsidRPr="00DF2750" w:rsidRDefault="00CB7290" w:rsidP="00B5606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Cs w:val="24"/>
        </w:rPr>
      </w:pPr>
      <w:r w:rsidRPr="00DF2750">
        <w:rPr>
          <w:rFonts w:cstheme="minorHAnsi"/>
          <w:szCs w:val="24"/>
        </w:rPr>
        <w:t xml:space="preserve">V oblasti nakládání </w:t>
      </w:r>
      <w:r w:rsidRPr="00DF2750">
        <w:rPr>
          <w:rFonts w:asciiTheme="minorHAnsi" w:hAnsiTheme="minorHAnsi" w:cstheme="minorHAnsi"/>
          <w:szCs w:val="24"/>
        </w:rPr>
        <w:t xml:space="preserve">s majetkem a peněžními prostředky státu </w:t>
      </w:r>
      <w:r w:rsidR="00B021D5" w:rsidRPr="00DF2750">
        <w:rPr>
          <w:rFonts w:asciiTheme="minorHAnsi" w:hAnsiTheme="minorHAnsi" w:cstheme="minorHAnsi"/>
          <w:szCs w:val="24"/>
        </w:rPr>
        <w:t>ne</w:t>
      </w:r>
      <w:r w:rsidRPr="00DF2750">
        <w:rPr>
          <w:rFonts w:asciiTheme="minorHAnsi" w:hAnsiTheme="minorHAnsi" w:cstheme="minorHAnsi"/>
          <w:szCs w:val="24"/>
        </w:rPr>
        <w:t xml:space="preserve">byly zjištěny </w:t>
      </w:r>
      <w:r w:rsidR="00B021D5" w:rsidRPr="00DF2750">
        <w:rPr>
          <w:rFonts w:asciiTheme="minorHAnsi" w:hAnsiTheme="minorHAnsi" w:cstheme="minorHAnsi"/>
          <w:szCs w:val="24"/>
        </w:rPr>
        <w:t xml:space="preserve">zásadní nedostatky s </w:t>
      </w:r>
      <w:r w:rsidR="00B021D5" w:rsidRPr="00DF2750">
        <w:rPr>
          <w:rFonts w:cstheme="minorHAnsi"/>
          <w:szCs w:val="24"/>
        </w:rPr>
        <w:t>dopadem na hospodárnost a</w:t>
      </w:r>
      <w:r w:rsidR="004D1C21">
        <w:rPr>
          <w:rFonts w:cstheme="minorHAnsi"/>
          <w:szCs w:val="24"/>
        </w:rPr>
        <w:t xml:space="preserve"> </w:t>
      </w:r>
      <w:r w:rsidR="00B021D5" w:rsidRPr="00DF2750">
        <w:rPr>
          <w:rFonts w:cstheme="minorHAnsi"/>
          <w:szCs w:val="24"/>
        </w:rPr>
        <w:t>účelnost vynaložených prostředků. D</w:t>
      </w:r>
      <w:r w:rsidRPr="00DF2750">
        <w:rPr>
          <w:rFonts w:cstheme="minorHAnsi"/>
          <w:szCs w:val="24"/>
        </w:rPr>
        <w:t xml:space="preserve">ílčí nedostatky </w:t>
      </w:r>
      <w:r w:rsidR="00B021D5" w:rsidRPr="00DF2750">
        <w:rPr>
          <w:rFonts w:cstheme="minorHAnsi"/>
          <w:szCs w:val="24"/>
        </w:rPr>
        <w:t xml:space="preserve">byly zjištěny </w:t>
      </w:r>
      <w:r w:rsidRPr="00DF2750">
        <w:rPr>
          <w:rFonts w:cstheme="minorHAnsi"/>
          <w:szCs w:val="24"/>
        </w:rPr>
        <w:t>u tří smlu</w:t>
      </w:r>
      <w:r w:rsidR="00310EF6" w:rsidRPr="00DF2750">
        <w:rPr>
          <w:rFonts w:cstheme="minorHAnsi"/>
          <w:szCs w:val="24"/>
        </w:rPr>
        <w:t>v o pronájmu nemovitého majetku a</w:t>
      </w:r>
      <w:r w:rsidRPr="00DF2750">
        <w:rPr>
          <w:rFonts w:cstheme="minorHAnsi"/>
          <w:szCs w:val="24"/>
        </w:rPr>
        <w:t xml:space="preserve"> u pořízení bytové jednotky</w:t>
      </w:r>
      <w:r w:rsidR="00310EF6" w:rsidRPr="00DF2750">
        <w:rPr>
          <w:rFonts w:cstheme="minorHAnsi"/>
          <w:szCs w:val="24"/>
        </w:rPr>
        <w:t>.</w:t>
      </w:r>
      <w:r w:rsidRPr="00DF2750">
        <w:rPr>
          <w:rFonts w:cstheme="minorHAnsi"/>
          <w:szCs w:val="24"/>
        </w:rPr>
        <w:t xml:space="preserve"> </w:t>
      </w:r>
    </w:p>
    <w:p w14:paraId="7116CD51" w14:textId="0F9666D4" w:rsidR="00546174" w:rsidRPr="00DF2750" w:rsidRDefault="00CB7290" w:rsidP="005B42B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Cs w:val="24"/>
        </w:rPr>
      </w:pPr>
      <w:r w:rsidRPr="00DF2750">
        <w:rPr>
          <w:rFonts w:cstheme="minorHAnsi"/>
          <w:szCs w:val="24"/>
        </w:rPr>
        <w:t xml:space="preserve">ČBÚ sleduje a vyhodnocuje hospodárnost a účelnost vynaložených </w:t>
      </w:r>
      <w:r w:rsidR="00B554C1">
        <w:rPr>
          <w:rFonts w:cstheme="minorHAnsi"/>
          <w:szCs w:val="24"/>
        </w:rPr>
        <w:t xml:space="preserve">peněžních </w:t>
      </w:r>
      <w:r w:rsidRPr="00DF2750">
        <w:rPr>
          <w:rFonts w:cstheme="minorHAnsi"/>
          <w:szCs w:val="24"/>
        </w:rPr>
        <w:t>prostředků</w:t>
      </w:r>
      <w:r w:rsidR="003C6BAB" w:rsidRPr="00DF2750">
        <w:rPr>
          <w:rFonts w:cstheme="minorHAnsi"/>
          <w:szCs w:val="24"/>
        </w:rPr>
        <w:t xml:space="preserve"> a</w:t>
      </w:r>
      <w:r w:rsidR="004D1C21">
        <w:rPr>
          <w:rFonts w:cstheme="minorHAnsi"/>
          <w:szCs w:val="24"/>
        </w:rPr>
        <w:t> </w:t>
      </w:r>
      <w:r w:rsidRPr="00DF2750">
        <w:rPr>
          <w:rFonts w:cstheme="minorHAnsi"/>
          <w:szCs w:val="24"/>
        </w:rPr>
        <w:t xml:space="preserve">rovněž řídí hospodárnost a účelnost prostředků vynakládaných jednotlivými </w:t>
      </w:r>
      <w:r w:rsidR="0040395F">
        <w:rPr>
          <w:rFonts w:cstheme="minorHAnsi"/>
          <w:szCs w:val="24"/>
        </w:rPr>
        <w:t xml:space="preserve">obvodními báňskými úřady </w:t>
      </w:r>
      <w:r w:rsidR="00B45363">
        <w:rPr>
          <w:rFonts w:cstheme="minorHAnsi"/>
          <w:szCs w:val="24"/>
        </w:rPr>
        <w:t>(dále také „O</w:t>
      </w:r>
      <w:r w:rsidR="00B45363" w:rsidRPr="00DF2750">
        <w:rPr>
          <w:rFonts w:cstheme="minorHAnsi"/>
          <w:szCs w:val="24"/>
        </w:rPr>
        <w:t>BÚ</w:t>
      </w:r>
      <w:r w:rsidR="00B45363">
        <w:rPr>
          <w:rFonts w:cstheme="minorHAnsi"/>
          <w:szCs w:val="24"/>
        </w:rPr>
        <w:t>“)</w:t>
      </w:r>
      <w:r w:rsidRPr="00DF2750">
        <w:rPr>
          <w:rFonts w:cstheme="minorHAnsi"/>
          <w:szCs w:val="24"/>
        </w:rPr>
        <w:t>. Zjištěné rozdíly v</w:t>
      </w:r>
      <w:r w:rsidR="00094817">
        <w:rPr>
          <w:rFonts w:cstheme="minorHAnsi"/>
          <w:szCs w:val="24"/>
        </w:rPr>
        <w:t> </w:t>
      </w:r>
      <w:r w:rsidRPr="00DF2750">
        <w:rPr>
          <w:rFonts w:cstheme="minorHAnsi"/>
          <w:szCs w:val="24"/>
        </w:rPr>
        <w:t>nákladech vybra</w:t>
      </w:r>
      <w:r w:rsidR="00B554C1">
        <w:rPr>
          <w:rFonts w:cstheme="minorHAnsi"/>
          <w:szCs w:val="24"/>
        </w:rPr>
        <w:t xml:space="preserve">ných položek mezi jednotlivými </w:t>
      </w:r>
      <w:r w:rsidR="00180C4B">
        <w:rPr>
          <w:rFonts w:cstheme="minorHAnsi"/>
          <w:szCs w:val="24"/>
        </w:rPr>
        <w:t xml:space="preserve">OBÚ </w:t>
      </w:r>
      <w:r w:rsidRPr="00DF2750">
        <w:rPr>
          <w:rFonts w:cstheme="minorHAnsi"/>
          <w:szCs w:val="24"/>
        </w:rPr>
        <w:t xml:space="preserve">byly řádně zdůvodněny. </w:t>
      </w:r>
    </w:p>
    <w:p w14:paraId="3D4C1131" w14:textId="6007923C" w:rsidR="00546174" w:rsidRPr="00DF2750" w:rsidRDefault="00CB7290" w:rsidP="005B42B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szCs w:val="24"/>
        </w:rPr>
      </w:pPr>
      <w:r w:rsidRPr="00DF2750">
        <w:rPr>
          <w:szCs w:val="24"/>
        </w:rPr>
        <w:t xml:space="preserve">V oblasti zadávání veřejných zakázek prověřil </w:t>
      </w:r>
      <w:r w:rsidR="005B42BF" w:rsidRPr="00DF2750">
        <w:rPr>
          <w:szCs w:val="24"/>
        </w:rPr>
        <w:t xml:space="preserve">NKÚ </w:t>
      </w:r>
      <w:r w:rsidRPr="00DF2750">
        <w:rPr>
          <w:szCs w:val="24"/>
        </w:rPr>
        <w:t xml:space="preserve">celkem 12 </w:t>
      </w:r>
      <w:r w:rsidR="00B6775C">
        <w:rPr>
          <w:szCs w:val="24"/>
        </w:rPr>
        <w:t>veřejných zakázek</w:t>
      </w:r>
      <w:r w:rsidR="005B42BF">
        <w:rPr>
          <w:szCs w:val="24"/>
        </w:rPr>
        <w:t>, které se</w:t>
      </w:r>
      <w:r w:rsidRPr="00DF2750">
        <w:rPr>
          <w:szCs w:val="24"/>
        </w:rPr>
        <w:t xml:space="preserve"> týka</w:t>
      </w:r>
      <w:r w:rsidR="005B42BF">
        <w:rPr>
          <w:szCs w:val="24"/>
        </w:rPr>
        <w:t>ly</w:t>
      </w:r>
      <w:r w:rsidRPr="00DF2750">
        <w:rPr>
          <w:szCs w:val="24"/>
        </w:rPr>
        <w:t xml:space="preserve"> investičních výdajů a provozních nákladů, </w:t>
      </w:r>
      <w:r w:rsidR="005B42BF">
        <w:rPr>
          <w:szCs w:val="24"/>
        </w:rPr>
        <w:t>a</w:t>
      </w:r>
      <w:r w:rsidRPr="00DF2750">
        <w:rPr>
          <w:szCs w:val="24"/>
        </w:rPr>
        <w:t xml:space="preserve"> neshledal </w:t>
      </w:r>
      <w:r w:rsidR="005B42BF">
        <w:rPr>
          <w:szCs w:val="24"/>
        </w:rPr>
        <w:t>u nich žádn</w:t>
      </w:r>
      <w:r w:rsidR="00E60F40">
        <w:rPr>
          <w:szCs w:val="24"/>
        </w:rPr>
        <w:t>á</w:t>
      </w:r>
      <w:r w:rsidR="005B42BF">
        <w:rPr>
          <w:szCs w:val="24"/>
        </w:rPr>
        <w:t xml:space="preserve"> </w:t>
      </w:r>
      <w:r w:rsidRPr="00DF2750">
        <w:rPr>
          <w:szCs w:val="24"/>
        </w:rPr>
        <w:t xml:space="preserve">zásadní pochybení. </w:t>
      </w:r>
    </w:p>
    <w:p w14:paraId="661F0CBE" w14:textId="23EB42E8" w:rsidR="00546174" w:rsidRPr="00DF2750" w:rsidRDefault="00CB7290" w:rsidP="005B42BF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szCs w:val="24"/>
        </w:rPr>
      </w:pPr>
      <w:r w:rsidRPr="00DF2750">
        <w:rPr>
          <w:szCs w:val="24"/>
        </w:rPr>
        <w:t>Program rozvoje a obnovy materiálně technické základny</w:t>
      </w:r>
      <w:r>
        <w:rPr>
          <w:szCs w:val="24"/>
          <w:vertAlign w:val="superscript"/>
        </w:rPr>
        <w:footnoteReference w:id="3"/>
      </w:r>
      <w:r w:rsidRPr="00DF2750">
        <w:rPr>
          <w:szCs w:val="24"/>
        </w:rPr>
        <w:t xml:space="preserve"> zahájený v roce 2013 s předpokládaným rokem ukončení 2015 </w:t>
      </w:r>
      <w:r w:rsidR="005B42BF">
        <w:rPr>
          <w:szCs w:val="24"/>
        </w:rPr>
        <w:t>ČBÚ</w:t>
      </w:r>
      <w:r w:rsidR="005B42BF" w:rsidRPr="00DF2750">
        <w:rPr>
          <w:szCs w:val="24"/>
        </w:rPr>
        <w:t xml:space="preserve"> </w:t>
      </w:r>
      <w:r w:rsidR="00BE0FEE" w:rsidRPr="00DF2750">
        <w:rPr>
          <w:szCs w:val="24"/>
        </w:rPr>
        <w:t>opakovaně</w:t>
      </w:r>
      <w:r w:rsidR="00BE0FEE">
        <w:rPr>
          <w:szCs w:val="24"/>
        </w:rPr>
        <w:t xml:space="preserve"> upravoval</w:t>
      </w:r>
      <w:r w:rsidR="00366BE6" w:rsidRPr="00DF2750">
        <w:rPr>
          <w:szCs w:val="24"/>
        </w:rPr>
        <w:t xml:space="preserve"> </w:t>
      </w:r>
      <w:r w:rsidR="00BE0FEE">
        <w:rPr>
          <w:szCs w:val="24"/>
        </w:rPr>
        <w:t>a rozšiřoval</w:t>
      </w:r>
      <w:r w:rsidRPr="00DF2750">
        <w:rPr>
          <w:szCs w:val="24"/>
        </w:rPr>
        <w:t xml:space="preserve"> o další </w:t>
      </w:r>
      <w:r w:rsidR="00DD5CD2">
        <w:rPr>
          <w:szCs w:val="24"/>
        </w:rPr>
        <w:br/>
      </w:r>
      <w:r w:rsidRPr="00DF2750">
        <w:rPr>
          <w:szCs w:val="24"/>
        </w:rPr>
        <w:t>cíle a</w:t>
      </w:r>
      <w:r w:rsidR="00DD5CD2">
        <w:rPr>
          <w:szCs w:val="24"/>
        </w:rPr>
        <w:t xml:space="preserve"> </w:t>
      </w:r>
      <w:r w:rsidRPr="00DF2750">
        <w:rPr>
          <w:szCs w:val="24"/>
        </w:rPr>
        <w:t xml:space="preserve">nové akce. Postupně narostla jeho finanční bilance více </w:t>
      </w:r>
      <w:r w:rsidR="005B42BF">
        <w:rPr>
          <w:szCs w:val="24"/>
        </w:rPr>
        <w:t>než</w:t>
      </w:r>
      <w:r w:rsidRPr="00DF2750">
        <w:rPr>
          <w:szCs w:val="24"/>
        </w:rPr>
        <w:t xml:space="preserve"> sedmkrát, a to z</w:t>
      </w:r>
      <w:r w:rsidR="00094817">
        <w:rPr>
          <w:szCs w:val="24"/>
        </w:rPr>
        <w:t> </w:t>
      </w:r>
      <w:r w:rsidRPr="00DF2750">
        <w:rPr>
          <w:szCs w:val="24"/>
        </w:rPr>
        <w:t>12 376</w:t>
      </w:r>
      <w:r w:rsidR="00094817">
        <w:rPr>
          <w:szCs w:val="24"/>
        </w:rPr>
        <w:t> </w:t>
      </w:r>
      <w:r w:rsidRPr="00DF2750">
        <w:rPr>
          <w:szCs w:val="24"/>
        </w:rPr>
        <w:t>000</w:t>
      </w:r>
      <w:r w:rsidR="00094817">
        <w:rPr>
          <w:szCs w:val="24"/>
        </w:rPr>
        <w:t> </w:t>
      </w:r>
      <w:r w:rsidRPr="00DF2750">
        <w:rPr>
          <w:szCs w:val="24"/>
        </w:rPr>
        <w:t>Kč na 95 337 302 Kč</w:t>
      </w:r>
      <w:r w:rsidR="005B42BF">
        <w:rPr>
          <w:szCs w:val="24"/>
        </w:rPr>
        <w:t>,</w:t>
      </w:r>
      <w:r w:rsidRPr="00DF2750">
        <w:rPr>
          <w:szCs w:val="24"/>
        </w:rPr>
        <w:t xml:space="preserve"> a termín realizace byl prodloužen </w:t>
      </w:r>
      <w:r w:rsidR="001A3CE4" w:rsidRPr="00DF2750">
        <w:rPr>
          <w:szCs w:val="24"/>
        </w:rPr>
        <w:t>o pět let, tj. do roku</w:t>
      </w:r>
      <w:r w:rsidRPr="00DF2750">
        <w:rPr>
          <w:szCs w:val="24"/>
        </w:rPr>
        <w:t xml:space="preserve"> 2020. Zvoleným přístupe</w:t>
      </w:r>
      <w:r w:rsidR="002D4731">
        <w:rPr>
          <w:szCs w:val="24"/>
        </w:rPr>
        <w:t>m k realizaci programu nerespektoval</w:t>
      </w:r>
      <w:r w:rsidRPr="00DF2750">
        <w:rPr>
          <w:szCs w:val="24"/>
        </w:rPr>
        <w:t xml:space="preserve"> ČBÚ principy cílově orientovaného programového financování. </w:t>
      </w:r>
    </w:p>
    <w:p w14:paraId="2E42104A" w14:textId="37235F2F" w:rsidR="00546174" w:rsidRPr="00FD2D80" w:rsidRDefault="00CB7290" w:rsidP="00FD2D8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cstheme="minorHAnsi"/>
          <w:szCs w:val="24"/>
        </w:rPr>
      </w:pPr>
      <w:r w:rsidRPr="00DF2750">
        <w:rPr>
          <w:rFonts w:cstheme="minorHAnsi"/>
          <w:szCs w:val="24"/>
        </w:rPr>
        <w:t>Při správě výnosů</w:t>
      </w:r>
      <w:r w:rsidR="00DD5CD2">
        <w:rPr>
          <w:rFonts w:cstheme="minorHAnsi"/>
          <w:szCs w:val="24"/>
        </w:rPr>
        <w:t xml:space="preserve"> </w:t>
      </w:r>
      <w:r w:rsidRPr="00DF2750">
        <w:rPr>
          <w:rFonts w:cstheme="minorHAnsi"/>
          <w:szCs w:val="24"/>
        </w:rPr>
        <w:t>úhrad z dobývacích prostor a vydobytých nerostů postupoval ČBÚ v souladu s právními předpisy</w:t>
      </w:r>
      <w:r w:rsidR="00BD5ED3">
        <w:rPr>
          <w:rFonts w:cstheme="minorHAnsi"/>
          <w:szCs w:val="24"/>
        </w:rPr>
        <w:t xml:space="preserve"> a výnosy odeslal </w:t>
      </w:r>
      <w:r w:rsidR="00366BE6" w:rsidRPr="00DF2750">
        <w:rPr>
          <w:rFonts w:cstheme="minorHAnsi"/>
          <w:szCs w:val="24"/>
        </w:rPr>
        <w:t>všem oprávněným příjemcům v</w:t>
      </w:r>
      <w:r w:rsidR="003C6BAB" w:rsidRPr="00DF2750">
        <w:rPr>
          <w:rFonts w:cstheme="minorHAnsi"/>
          <w:szCs w:val="24"/>
        </w:rPr>
        <w:t xml:space="preserve">e </w:t>
      </w:r>
      <w:r w:rsidR="00B021D5" w:rsidRPr="00DF2750">
        <w:rPr>
          <w:rFonts w:cstheme="minorHAnsi"/>
          <w:szCs w:val="24"/>
        </w:rPr>
        <w:t xml:space="preserve">správné výši a </w:t>
      </w:r>
      <w:r w:rsidR="003C6BAB" w:rsidRPr="00DF2750">
        <w:rPr>
          <w:rFonts w:cstheme="minorHAnsi"/>
          <w:szCs w:val="24"/>
        </w:rPr>
        <w:t>stanovených termínech.</w:t>
      </w:r>
      <w:r w:rsidR="001A3CE4" w:rsidRPr="00DF2750">
        <w:rPr>
          <w:rFonts w:cstheme="minorHAnsi"/>
          <w:szCs w:val="24"/>
        </w:rPr>
        <w:t xml:space="preserve"> </w:t>
      </w:r>
      <w:r w:rsidR="002D4731">
        <w:rPr>
          <w:rFonts w:cstheme="minorHAnsi"/>
          <w:szCs w:val="24"/>
        </w:rPr>
        <w:t>Nedostatečná je</w:t>
      </w:r>
      <w:r w:rsidR="003C6BAB" w:rsidRPr="00DF2750">
        <w:rPr>
          <w:rFonts w:cstheme="minorHAnsi"/>
          <w:szCs w:val="24"/>
        </w:rPr>
        <w:t xml:space="preserve"> </w:t>
      </w:r>
      <w:r w:rsidRPr="00DF2750">
        <w:rPr>
          <w:rFonts w:cstheme="minorHAnsi"/>
          <w:szCs w:val="24"/>
        </w:rPr>
        <w:t>právní úprava týkající se aktualizace výše</w:t>
      </w:r>
      <w:r w:rsidRPr="00DF2750">
        <w:rPr>
          <w:rFonts w:cstheme="minorHAnsi"/>
          <w:bCs/>
          <w:szCs w:val="24"/>
        </w:rPr>
        <w:t xml:space="preserve"> úhrad z vydobytých nerostů. </w:t>
      </w:r>
      <w:r w:rsidR="006525E6">
        <w:rPr>
          <w:rFonts w:cstheme="minorHAnsi"/>
          <w:bCs/>
          <w:szCs w:val="24"/>
        </w:rPr>
        <w:t>S nabytím účinnosti novely</w:t>
      </w:r>
      <w:r w:rsidRPr="00DF2750">
        <w:rPr>
          <w:rFonts w:cstheme="minorHAnsi"/>
          <w:szCs w:val="24"/>
        </w:rPr>
        <w:t xml:space="preserve"> horního zákona mohou být výše sazeb úhrad za jednotlivé druhy vydobytých nerostů zvyšovány na základě vývoje</w:t>
      </w:r>
      <w:r w:rsidR="00FD2D80">
        <w:rPr>
          <w:rFonts w:cstheme="minorHAnsi"/>
          <w:szCs w:val="24"/>
        </w:rPr>
        <w:t xml:space="preserve"> tržních </w:t>
      </w:r>
      <w:r w:rsidR="00FD2D80">
        <w:rPr>
          <w:rFonts w:cstheme="minorHAnsi"/>
          <w:szCs w:val="24"/>
        </w:rPr>
        <w:lastRenderedPageBreak/>
        <w:t>cen</w:t>
      </w:r>
      <w:r w:rsidR="00B40CF5">
        <w:rPr>
          <w:rStyle w:val="Znakapoznpodarou"/>
          <w:rFonts w:cstheme="minorHAnsi"/>
          <w:szCs w:val="24"/>
        </w:rPr>
        <w:footnoteReference w:id="4"/>
      </w:r>
      <w:r w:rsidR="00FD2D80">
        <w:rPr>
          <w:rFonts w:cstheme="minorHAnsi"/>
          <w:szCs w:val="24"/>
        </w:rPr>
        <w:t>. Z </w:t>
      </w:r>
      <w:r w:rsidRPr="00FD2D80">
        <w:rPr>
          <w:rFonts w:cstheme="minorHAnsi"/>
          <w:szCs w:val="24"/>
        </w:rPr>
        <w:t xml:space="preserve">právní úpravy však není zřejmé, jak a kým </w:t>
      </w:r>
      <w:r w:rsidR="003C6BAB" w:rsidRPr="00FD2D80">
        <w:rPr>
          <w:rFonts w:cstheme="minorHAnsi"/>
          <w:szCs w:val="24"/>
        </w:rPr>
        <w:t>mají být</w:t>
      </w:r>
      <w:r w:rsidRPr="00FD2D80">
        <w:rPr>
          <w:rFonts w:cstheme="minorHAnsi"/>
          <w:szCs w:val="24"/>
        </w:rPr>
        <w:t xml:space="preserve"> tržní ceny nerostů pro jednotlivé druhy vydobytých nerostů zjišťovány. </w:t>
      </w:r>
    </w:p>
    <w:p w14:paraId="3777AA05" w14:textId="77777777" w:rsidR="001A3CE4" w:rsidRPr="005D06EC" w:rsidRDefault="00CB7290" w:rsidP="0071153B">
      <w:pPr>
        <w:pStyle w:val="Nadpis1"/>
        <w:numPr>
          <w:ilvl w:val="0"/>
          <w:numId w:val="1"/>
        </w:numPr>
        <w:overflowPunct w:val="0"/>
        <w:autoSpaceDE w:val="0"/>
        <w:autoSpaceDN w:val="0"/>
        <w:adjustRightInd w:val="0"/>
        <w:spacing w:before="480" w:line="240" w:lineRule="auto"/>
        <w:ind w:left="142" w:hanging="142"/>
        <w:textAlignment w:val="baseline"/>
        <w:rPr>
          <w:rFonts w:eastAsia="Times New Roman" w:cstheme="minorHAnsi"/>
          <w:color w:val="000000"/>
          <w:szCs w:val="24"/>
          <w:lang w:eastAsia="cs-CZ"/>
        </w:rPr>
      </w:pPr>
      <w:r w:rsidRPr="00B71EC0">
        <w:rPr>
          <w:rFonts w:eastAsia="Times New Roman" w:cstheme="minorHAnsi"/>
          <w:color w:val="000000"/>
          <w:szCs w:val="24"/>
          <w:lang w:eastAsia="cs-CZ"/>
        </w:rPr>
        <w:t>Informace o kontrolované oblasti</w:t>
      </w:r>
      <w:r w:rsidR="00094817">
        <w:rPr>
          <w:rFonts w:eastAsia="Times New Roman" w:cstheme="minorHAnsi"/>
          <w:color w:val="000000"/>
          <w:szCs w:val="24"/>
          <w:lang w:eastAsia="cs-CZ"/>
        </w:rPr>
        <w:t xml:space="preserve"> </w:t>
      </w:r>
    </w:p>
    <w:p w14:paraId="04C25212" w14:textId="3DFAB57B" w:rsidR="001A3CE4" w:rsidRPr="00B71EC0" w:rsidRDefault="00CB7290" w:rsidP="001A3CE4">
      <w:pPr>
        <w:rPr>
          <w:rFonts w:cstheme="minorHAnsi"/>
        </w:rPr>
      </w:pPr>
      <w:r w:rsidRPr="00B71EC0">
        <w:rPr>
          <w:rFonts w:cstheme="minorHAnsi"/>
        </w:rPr>
        <w:t>ČBÚ je na základě zákona č. 2/1969 Sb. ústředním orgánem státní správy</w:t>
      </w:r>
      <w:r>
        <w:rPr>
          <w:vertAlign w:val="superscript"/>
        </w:rPr>
        <w:footnoteReference w:id="5"/>
      </w:r>
      <w:r w:rsidRPr="00B71EC0">
        <w:rPr>
          <w:rFonts w:cstheme="minorHAnsi"/>
        </w:rPr>
        <w:t>. Č</w:t>
      </w:r>
      <w:r w:rsidR="005B42BF">
        <w:rPr>
          <w:rFonts w:cstheme="minorHAnsi"/>
        </w:rPr>
        <w:t>eskému báňskému úřadu</w:t>
      </w:r>
      <w:r w:rsidRPr="00B71EC0">
        <w:rPr>
          <w:rFonts w:cstheme="minorHAnsi"/>
        </w:rPr>
        <w:t xml:space="preserve"> </w:t>
      </w:r>
      <w:r w:rsidR="00B45363">
        <w:rPr>
          <w:rFonts w:cstheme="minorHAnsi"/>
        </w:rPr>
        <w:t>je podřízeno osm</w:t>
      </w:r>
      <w:r w:rsidRPr="00B71EC0">
        <w:rPr>
          <w:rFonts w:cstheme="minorHAnsi"/>
        </w:rPr>
        <w:t xml:space="preserve"> </w:t>
      </w:r>
      <w:r w:rsidR="00B45363">
        <w:rPr>
          <w:rFonts w:cstheme="minorHAnsi"/>
        </w:rPr>
        <w:t>obvodních báňských úřadů, s</w:t>
      </w:r>
      <w:r w:rsidR="0040395F">
        <w:rPr>
          <w:rFonts w:cstheme="minorHAnsi"/>
        </w:rPr>
        <w:t>e</w:t>
      </w:r>
      <w:r w:rsidR="003E538A">
        <w:rPr>
          <w:rFonts w:cstheme="minorHAnsi"/>
        </w:rPr>
        <w:t xml:space="preserve"> </w:t>
      </w:r>
      <w:r w:rsidR="00B45363">
        <w:rPr>
          <w:rFonts w:cstheme="minorHAnsi"/>
        </w:rPr>
        <w:t>kterými dohromady</w:t>
      </w:r>
      <w:r w:rsidR="00C239C4">
        <w:rPr>
          <w:rFonts w:cstheme="minorHAnsi"/>
        </w:rPr>
        <w:t xml:space="preserve"> </w:t>
      </w:r>
      <w:r w:rsidRPr="00B71EC0">
        <w:rPr>
          <w:rFonts w:cstheme="minorHAnsi"/>
        </w:rPr>
        <w:t xml:space="preserve">tvoří soustavu orgánů státní </w:t>
      </w:r>
      <w:r>
        <w:rPr>
          <w:rFonts w:cstheme="minorHAnsi"/>
        </w:rPr>
        <w:t xml:space="preserve">báňské správy (dále </w:t>
      </w:r>
      <w:r w:rsidRPr="0024243F">
        <w:rPr>
          <w:rFonts w:cstheme="minorHAnsi"/>
        </w:rPr>
        <w:t xml:space="preserve">také „SBS“). </w:t>
      </w:r>
      <w:r w:rsidRPr="00B71EC0">
        <w:rPr>
          <w:rFonts w:cstheme="minorHAnsi"/>
        </w:rPr>
        <w:t>Jejich činnost se řídí především zákonem č. 61/1988 Sb., o</w:t>
      </w:r>
      <w:r w:rsidR="003E538A">
        <w:rPr>
          <w:rFonts w:cstheme="minorHAnsi"/>
        </w:rPr>
        <w:t xml:space="preserve"> </w:t>
      </w:r>
      <w:r w:rsidRPr="00B71EC0">
        <w:rPr>
          <w:rFonts w:cstheme="minorHAnsi"/>
        </w:rPr>
        <w:t>hornické činnosti, výbušninách a o státní báňské správě. ČBÚ je organizační složkou státu</w:t>
      </w:r>
      <w:r>
        <w:rPr>
          <w:rStyle w:val="Znakapoznpodarou"/>
          <w:rFonts w:cstheme="minorHAnsi"/>
        </w:rPr>
        <w:footnoteReference w:id="6"/>
      </w:r>
      <w:r>
        <w:rPr>
          <w:rFonts w:cstheme="minorHAnsi"/>
        </w:rPr>
        <w:t xml:space="preserve">, </w:t>
      </w:r>
      <w:r w:rsidRPr="00B71EC0">
        <w:rPr>
          <w:rFonts w:cstheme="minorHAnsi"/>
        </w:rPr>
        <w:t xml:space="preserve">je správcem kapitoly státního rozpočtu 348 – </w:t>
      </w:r>
      <w:r w:rsidRPr="00B5606D">
        <w:rPr>
          <w:rFonts w:cstheme="minorHAnsi"/>
          <w:i/>
        </w:rPr>
        <w:t>Český báňský úřad</w:t>
      </w:r>
      <w:r>
        <w:rPr>
          <w:rStyle w:val="Znakapoznpodarou"/>
          <w:rFonts w:cstheme="minorHAnsi"/>
        </w:rPr>
        <w:footnoteReference w:id="7"/>
      </w:r>
      <w:r w:rsidRPr="00B71EC0">
        <w:rPr>
          <w:rFonts w:cstheme="minorHAnsi"/>
        </w:rPr>
        <w:t>, účetní jednotkou</w:t>
      </w:r>
      <w:r>
        <w:rPr>
          <w:vertAlign w:val="superscript"/>
        </w:rPr>
        <w:footnoteReference w:id="8"/>
      </w:r>
      <w:r w:rsidRPr="00B71EC0">
        <w:rPr>
          <w:rFonts w:cstheme="minorHAnsi"/>
        </w:rPr>
        <w:t xml:space="preserve"> a veřejným zadavatelem</w:t>
      </w:r>
      <w:r>
        <w:rPr>
          <w:rStyle w:val="Znakapoznpodarou"/>
          <w:rFonts w:cstheme="minorHAnsi"/>
        </w:rPr>
        <w:footnoteReference w:id="9"/>
      </w:r>
      <w:r w:rsidRPr="00B71EC0">
        <w:rPr>
          <w:rFonts w:cstheme="minorHAnsi"/>
        </w:rPr>
        <w:t>.</w:t>
      </w:r>
    </w:p>
    <w:p w14:paraId="2DD31E42" w14:textId="77777777" w:rsidR="001A3CE4" w:rsidRDefault="001A3CE4" w:rsidP="001A3CE4">
      <w:pPr>
        <w:rPr>
          <w:rFonts w:cstheme="minorHAnsi"/>
        </w:rPr>
      </w:pPr>
    </w:p>
    <w:p w14:paraId="173C99C7" w14:textId="65FD92FB" w:rsidR="001A3CE4" w:rsidRDefault="00CB7290" w:rsidP="001A3CE4">
      <w:pPr>
        <w:rPr>
          <w:rFonts w:cstheme="minorHAnsi"/>
        </w:rPr>
      </w:pPr>
      <w:r w:rsidRPr="00B71EC0">
        <w:rPr>
          <w:rFonts w:cstheme="minorHAnsi"/>
        </w:rPr>
        <w:t>Podle zákona č. 61/1988 Sb. stanovuje ČBÚ (OBÚ) mj. dobývací prostory, rozhoduje o</w:t>
      </w:r>
      <w:r w:rsidR="003E538A">
        <w:rPr>
          <w:rFonts w:cstheme="minorHAnsi"/>
        </w:rPr>
        <w:t xml:space="preserve"> </w:t>
      </w:r>
      <w:r w:rsidRPr="00B71EC0">
        <w:rPr>
          <w:rFonts w:cstheme="minorHAnsi"/>
        </w:rPr>
        <w:t>jejich změnách nebo zrušení, stanovuje podmínky k využívání výhradních ložisek nerostů, povoluje těžbu ložisek nevyhrazených nerostů v rámci činnos</w:t>
      </w:r>
      <w:r w:rsidR="005307E8">
        <w:rPr>
          <w:rFonts w:cstheme="minorHAnsi"/>
        </w:rPr>
        <w:t>ti prováděné hornickým způsobem</w:t>
      </w:r>
      <w:r w:rsidRPr="00B71EC0">
        <w:rPr>
          <w:rFonts w:cstheme="minorHAnsi"/>
        </w:rPr>
        <w:t xml:space="preserve"> a</w:t>
      </w:r>
      <w:r w:rsidR="003E538A">
        <w:rPr>
          <w:rFonts w:cstheme="minorHAnsi"/>
        </w:rPr>
        <w:t xml:space="preserve"> </w:t>
      </w:r>
      <w:r w:rsidRPr="00B71EC0">
        <w:rPr>
          <w:rFonts w:cstheme="minorHAnsi"/>
        </w:rPr>
        <w:t>vede evidenci dobývacích prostor nerostů, povolování výroby, držení a nakládání s výbušninami a</w:t>
      </w:r>
      <w:r w:rsidR="00094817">
        <w:rPr>
          <w:rFonts w:cstheme="minorHAnsi"/>
        </w:rPr>
        <w:t> </w:t>
      </w:r>
      <w:r w:rsidRPr="00B71EC0">
        <w:rPr>
          <w:rFonts w:cstheme="minorHAnsi"/>
        </w:rPr>
        <w:t>jejich složkami (prekurzory)</w:t>
      </w:r>
      <w:r>
        <w:rPr>
          <w:rStyle w:val="Znakapoznpodarou"/>
          <w:rFonts w:cstheme="minorHAnsi"/>
        </w:rPr>
        <w:footnoteReference w:id="10"/>
      </w:r>
      <w:r w:rsidRPr="00B71EC0">
        <w:rPr>
          <w:rFonts w:cstheme="minorHAnsi"/>
        </w:rPr>
        <w:t xml:space="preserve">. K těmto zákonem vymezeným kompetencím </w:t>
      </w:r>
      <w:r w:rsidR="009B0550">
        <w:rPr>
          <w:rFonts w:cstheme="minorHAnsi"/>
        </w:rPr>
        <w:t xml:space="preserve">SBS </w:t>
      </w:r>
      <w:r w:rsidR="00993376">
        <w:rPr>
          <w:rFonts w:cstheme="minorHAnsi"/>
        </w:rPr>
        <w:t>náleží i </w:t>
      </w:r>
      <w:r w:rsidRPr="00B71EC0">
        <w:rPr>
          <w:rFonts w:cstheme="minorHAnsi"/>
        </w:rPr>
        <w:t>kontrolní činnost, v rámci které při zjištění přestupků právních p</w:t>
      </w:r>
      <w:r w:rsidR="00BD5ED3">
        <w:rPr>
          <w:rFonts w:cstheme="minorHAnsi"/>
        </w:rPr>
        <w:t>ředpisů ukládá odpovědným subjektům</w:t>
      </w:r>
      <w:r w:rsidRPr="00B71EC0">
        <w:rPr>
          <w:rFonts w:cstheme="minorHAnsi"/>
        </w:rPr>
        <w:t xml:space="preserve"> opatření k odstranění zjištěných nedostatků a</w:t>
      </w:r>
      <w:r w:rsidRPr="0024243F">
        <w:rPr>
          <w:rFonts w:cstheme="minorHAnsi"/>
        </w:rPr>
        <w:t xml:space="preserve"> případně </w:t>
      </w:r>
      <w:r w:rsidRPr="00B71EC0">
        <w:rPr>
          <w:rFonts w:cstheme="minorHAnsi"/>
        </w:rPr>
        <w:t xml:space="preserve">pokuty. </w:t>
      </w:r>
    </w:p>
    <w:p w14:paraId="67DF078F" w14:textId="321FF2C1" w:rsidR="00646590" w:rsidRDefault="00646590" w:rsidP="001A3CE4">
      <w:pPr>
        <w:rPr>
          <w:rFonts w:cstheme="minorHAnsi"/>
        </w:rPr>
      </w:pPr>
    </w:p>
    <w:p w14:paraId="200E06DA" w14:textId="5DA2C294" w:rsidR="00646590" w:rsidRDefault="00646590" w:rsidP="00646590">
      <w:pPr>
        <w:rPr>
          <w:rFonts w:cstheme="minorHAnsi"/>
        </w:rPr>
      </w:pPr>
      <w:r w:rsidRPr="00B71EC0">
        <w:rPr>
          <w:rFonts w:cstheme="minorHAnsi"/>
        </w:rPr>
        <w:t xml:space="preserve">ČBÚ </w:t>
      </w:r>
      <w:r>
        <w:rPr>
          <w:rFonts w:cstheme="minorHAnsi"/>
        </w:rPr>
        <w:t xml:space="preserve">plní </w:t>
      </w:r>
      <w:r w:rsidRPr="00B71EC0">
        <w:rPr>
          <w:rFonts w:cstheme="minorHAnsi"/>
        </w:rPr>
        <w:t xml:space="preserve">roli </w:t>
      </w:r>
      <w:r>
        <w:rPr>
          <w:rFonts w:cstheme="minorHAnsi"/>
        </w:rPr>
        <w:t xml:space="preserve">nadřazeného </w:t>
      </w:r>
      <w:r w:rsidRPr="00F85943">
        <w:rPr>
          <w:rFonts w:cstheme="minorHAnsi"/>
        </w:rPr>
        <w:t>správce</w:t>
      </w:r>
      <w:r>
        <w:rPr>
          <w:rFonts w:cstheme="minorHAnsi"/>
        </w:rPr>
        <w:t xml:space="preserve"> úhrad a jednotlivé OBÚ jsou správci</w:t>
      </w:r>
      <w:r w:rsidRPr="00F85943">
        <w:rPr>
          <w:rFonts w:cstheme="minorHAnsi"/>
        </w:rPr>
        <w:t xml:space="preserve"> úhrad z dobývacích prostorů (dále také „DP“) a</w:t>
      </w:r>
      <w:r w:rsidR="004D1C21">
        <w:rPr>
          <w:rFonts w:cstheme="minorHAnsi"/>
        </w:rPr>
        <w:t xml:space="preserve"> </w:t>
      </w:r>
      <w:r w:rsidRPr="00F85943">
        <w:rPr>
          <w:rFonts w:cstheme="minorHAnsi"/>
        </w:rPr>
        <w:t>z</w:t>
      </w:r>
      <w:r>
        <w:rPr>
          <w:rFonts w:cstheme="minorHAnsi"/>
        </w:rPr>
        <w:t> </w:t>
      </w:r>
      <w:r w:rsidRPr="00F85943">
        <w:rPr>
          <w:rFonts w:cstheme="minorHAnsi"/>
        </w:rPr>
        <w:t>vydo</w:t>
      </w:r>
      <w:r>
        <w:rPr>
          <w:rFonts w:cstheme="minorHAnsi"/>
        </w:rPr>
        <w:t>bytých nerostů (dále také „VN“).</w:t>
      </w:r>
      <w:r w:rsidRPr="00F85943">
        <w:rPr>
          <w:rFonts w:cstheme="minorHAnsi"/>
        </w:rPr>
        <w:t xml:space="preserve"> </w:t>
      </w:r>
      <w:r>
        <w:rPr>
          <w:rFonts w:cstheme="minorHAnsi"/>
        </w:rPr>
        <w:t>Podle daňového řádu</w:t>
      </w:r>
      <w:r w:rsidRPr="00F85943">
        <w:rPr>
          <w:rFonts w:cstheme="minorHAnsi"/>
        </w:rPr>
        <w:t xml:space="preserve"> jednotlivé OBÚ evidují plátce úhrad, vymě</w:t>
      </w:r>
      <w:r>
        <w:rPr>
          <w:rFonts w:cstheme="minorHAnsi"/>
        </w:rPr>
        <w:t>řují výši úhrad,</w:t>
      </w:r>
      <w:r w:rsidRPr="00F85943">
        <w:rPr>
          <w:rFonts w:cstheme="minorHAnsi"/>
        </w:rPr>
        <w:t xml:space="preserve"> vymáhají úhrady o</w:t>
      </w:r>
      <w:r>
        <w:rPr>
          <w:rFonts w:cstheme="minorHAnsi"/>
        </w:rPr>
        <w:t xml:space="preserve">d plátců úhrad, sledují jejich </w:t>
      </w:r>
      <w:r w:rsidRPr="00F85943">
        <w:rPr>
          <w:rFonts w:cstheme="minorHAnsi"/>
        </w:rPr>
        <w:t>včasnost</w:t>
      </w:r>
      <w:r w:rsidRPr="00B71EC0">
        <w:rPr>
          <w:rFonts w:cstheme="minorHAnsi"/>
        </w:rPr>
        <w:t xml:space="preserve"> a úp</w:t>
      </w:r>
      <w:r>
        <w:rPr>
          <w:rFonts w:cstheme="minorHAnsi"/>
        </w:rPr>
        <w:t xml:space="preserve">lnost a </w:t>
      </w:r>
      <w:r w:rsidRPr="00B71EC0">
        <w:rPr>
          <w:rFonts w:cstheme="minorHAnsi"/>
        </w:rPr>
        <w:t>provád</w:t>
      </w:r>
      <w:r>
        <w:rPr>
          <w:rFonts w:cstheme="minorHAnsi"/>
        </w:rPr>
        <w:t>ěj</w:t>
      </w:r>
      <w:r w:rsidRPr="00B71EC0">
        <w:rPr>
          <w:rFonts w:cstheme="minorHAnsi"/>
        </w:rPr>
        <w:t>í kontroly plátců úhrad</w:t>
      </w:r>
      <w:r>
        <w:rPr>
          <w:rFonts w:cstheme="minorHAnsi"/>
        </w:rPr>
        <w:t>. Vybrané prostředky zasílá ČBÚ</w:t>
      </w:r>
      <w:r>
        <w:rPr>
          <w:rStyle w:val="Znakapoznpodarou"/>
          <w:rFonts w:cstheme="minorHAnsi"/>
        </w:rPr>
        <w:footnoteReference w:id="11"/>
      </w:r>
      <w:r w:rsidRPr="00B71EC0">
        <w:rPr>
          <w:rFonts w:cstheme="minorHAnsi"/>
        </w:rPr>
        <w:t xml:space="preserve"> určeným příjemcům, tj. obcím a státnímu rozpočtu.</w:t>
      </w:r>
    </w:p>
    <w:p w14:paraId="6E8A0D3A" w14:textId="77777777" w:rsidR="00646590" w:rsidRDefault="00646590" w:rsidP="001A3CE4">
      <w:pPr>
        <w:rPr>
          <w:rFonts w:cstheme="minorHAnsi"/>
        </w:rPr>
      </w:pPr>
    </w:p>
    <w:p w14:paraId="012E6809" w14:textId="5AF7DBA0" w:rsidR="001A3CE4" w:rsidRDefault="00CB7290" w:rsidP="001A3CE4">
      <w:r>
        <w:t xml:space="preserve">ČBÚ je správcem programu </w:t>
      </w:r>
      <w:r w:rsidR="00E232EE">
        <w:t xml:space="preserve">148 </w:t>
      </w:r>
      <w:r w:rsidRPr="00AA68D8">
        <w:t xml:space="preserve">01 </w:t>
      </w:r>
      <w:r w:rsidR="005B42BF">
        <w:t xml:space="preserve">– </w:t>
      </w:r>
      <w:r w:rsidRPr="00B5606D">
        <w:rPr>
          <w:i/>
        </w:rPr>
        <w:t>Rozvoj a obnova materiálně technické základny Českého báňského úřadu – od roku 2013</w:t>
      </w:r>
      <w:r>
        <w:t xml:space="preserve"> (dále také </w:t>
      </w:r>
      <w:r w:rsidRPr="00717059">
        <w:t xml:space="preserve">„program 148 01“). Program je členěn na dva </w:t>
      </w:r>
      <w:r>
        <w:t>podprogramy, a to</w:t>
      </w:r>
      <w:r w:rsidR="005307E8">
        <w:t xml:space="preserve"> podprogram 148</w:t>
      </w:r>
      <w:r w:rsidR="00E232EE">
        <w:t>V</w:t>
      </w:r>
      <w:r w:rsidRPr="00717059">
        <w:t>011 zaměřený na pořizování, rozvoj a provoz ICT</w:t>
      </w:r>
      <w:r w:rsidR="00265F4B">
        <w:rPr>
          <w:rStyle w:val="Znakapoznpodarou"/>
        </w:rPr>
        <w:footnoteReference w:id="12"/>
      </w:r>
      <w:r w:rsidRPr="00717059">
        <w:t xml:space="preserve"> a</w:t>
      </w:r>
      <w:r w:rsidR="009B0550">
        <w:t> </w:t>
      </w:r>
      <w:r w:rsidR="005B42BF">
        <w:t>pod</w:t>
      </w:r>
      <w:r w:rsidRPr="00717059">
        <w:t>program</w:t>
      </w:r>
      <w:r w:rsidR="005307E8">
        <w:t xml:space="preserve"> 148</w:t>
      </w:r>
      <w:r w:rsidR="00E232EE">
        <w:t>V</w:t>
      </w:r>
      <w:r>
        <w:t>012 zaměřený na reprodukci majetku.</w:t>
      </w:r>
    </w:p>
    <w:p w14:paraId="6C59D3C5" w14:textId="77777777" w:rsidR="001A3CE4" w:rsidRDefault="001A3CE4" w:rsidP="001A3CE4"/>
    <w:p w14:paraId="4D1E16BE" w14:textId="16F5CC11" w:rsidR="001A3CE4" w:rsidRPr="00C758DC" w:rsidRDefault="00CB7290" w:rsidP="001A3CE4">
      <w:r w:rsidRPr="00C758DC">
        <w:t xml:space="preserve">Celkové </w:t>
      </w:r>
      <w:r w:rsidRPr="00C758DC">
        <w:rPr>
          <w:b/>
        </w:rPr>
        <w:t>příjmy</w:t>
      </w:r>
      <w:r w:rsidRPr="00C758DC">
        <w:t xml:space="preserve"> kapitoly ČBÚ dle schválen</w:t>
      </w:r>
      <w:r w:rsidR="006526FB">
        <w:t>ých</w:t>
      </w:r>
      <w:r w:rsidRPr="00C758DC">
        <w:t xml:space="preserve"> zá</w:t>
      </w:r>
      <w:r w:rsidR="00993376">
        <w:t>věrečn</w:t>
      </w:r>
      <w:r w:rsidR="006526FB">
        <w:t>ých</w:t>
      </w:r>
      <w:r w:rsidR="00993376">
        <w:t xml:space="preserve"> účt</w:t>
      </w:r>
      <w:r w:rsidR="006526FB">
        <w:t>ů</w:t>
      </w:r>
      <w:r w:rsidR="00993376">
        <w:t xml:space="preserve"> </w:t>
      </w:r>
      <w:r w:rsidR="00C656FE">
        <w:t xml:space="preserve">kapitoly </w:t>
      </w:r>
      <w:r w:rsidR="00993376">
        <w:t>ČBÚ za</w:t>
      </w:r>
      <w:r w:rsidR="00F427D5">
        <w:t xml:space="preserve"> </w:t>
      </w:r>
      <w:r w:rsidR="00993376">
        <w:t>roky</w:t>
      </w:r>
      <w:r w:rsidR="004D1C21">
        <w:t xml:space="preserve"> </w:t>
      </w:r>
      <w:r w:rsidR="008A47D8">
        <w:br/>
      </w:r>
      <w:r w:rsidR="00993376">
        <w:t>2015</w:t>
      </w:r>
      <w:r w:rsidR="008A47D8">
        <w:t>–</w:t>
      </w:r>
      <w:r w:rsidRPr="00C758DC">
        <w:t>2017 a</w:t>
      </w:r>
      <w:r w:rsidR="0071153B">
        <w:t xml:space="preserve"> </w:t>
      </w:r>
      <w:r w:rsidRPr="00C758DC">
        <w:t xml:space="preserve">návrhu závěrečného účtu </w:t>
      </w:r>
      <w:r w:rsidR="00B5606D">
        <w:t xml:space="preserve">kapitoly ČBÚ </w:t>
      </w:r>
      <w:r w:rsidRPr="00C758DC">
        <w:t xml:space="preserve">za rok 2018 činily v kontrolovaném </w:t>
      </w:r>
      <w:r w:rsidRPr="009E7945">
        <w:t>období 491 640 108 Kč.</w:t>
      </w:r>
      <w:r w:rsidRPr="00C758DC">
        <w:rPr>
          <w:b/>
        </w:rPr>
        <w:t xml:space="preserve"> </w:t>
      </w:r>
      <w:r w:rsidRPr="00C758DC">
        <w:t>Do roku 2016 byly tvořeny převážně příjmy ze sankčních plateb přijatých od jiných subjektů a</w:t>
      </w:r>
      <w:r w:rsidR="00DD5CD2">
        <w:t xml:space="preserve"> </w:t>
      </w:r>
      <w:r w:rsidRPr="00C758DC">
        <w:t xml:space="preserve">příjmy z pronájmu nemovitostí. Od roku 2017, tj. od </w:t>
      </w:r>
      <w:r w:rsidR="00B26AC0">
        <w:t xml:space="preserve">nabytí </w:t>
      </w:r>
      <w:r w:rsidRPr="00C758DC">
        <w:lastRenderedPageBreak/>
        <w:t>účinnosti novely horního zákona</w:t>
      </w:r>
      <w:r>
        <w:rPr>
          <w:rStyle w:val="Znakapoznpodarou"/>
        </w:rPr>
        <w:footnoteReference w:id="13"/>
      </w:r>
      <w:r w:rsidRPr="00C758DC">
        <w:t>, tvoří největší díl příjmů kapitoly ČBÚ</w:t>
      </w:r>
      <w:r w:rsidR="00E57930">
        <w:t xml:space="preserve"> </w:t>
      </w:r>
      <w:r w:rsidRPr="00C758DC">
        <w:t>horním zákonem stanovená část výnosů úhrad z vydobytých nerostů.</w:t>
      </w:r>
      <w:r w:rsidR="00F650C2">
        <w:t xml:space="preserve"> </w:t>
      </w:r>
    </w:p>
    <w:p w14:paraId="165B44E0" w14:textId="77777777" w:rsidR="001A3CE4" w:rsidRPr="00C758DC" w:rsidRDefault="001A3CE4" w:rsidP="001A3CE4">
      <w:pPr>
        <w:rPr>
          <w:b/>
          <w:sz w:val="20"/>
        </w:rPr>
      </w:pPr>
    </w:p>
    <w:p w14:paraId="466E14A6" w14:textId="2856BC1C" w:rsidR="001A3CE4" w:rsidRDefault="00CB7290" w:rsidP="001A3CE4">
      <w:r w:rsidRPr="00C758DC">
        <w:t xml:space="preserve">Celkové </w:t>
      </w:r>
      <w:r w:rsidRPr="00C758DC">
        <w:rPr>
          <w:b/>
        </w:rPr>
        <w:t>výdaje</w:t>
      </w:r>
      <w:r w:rsidRPr="00C758DC">
        <w:t xml:space="preserve"> kapitoly ČBÚ dle schválen</w:t>
      </w:r>
      <w:r w:rsidR="006526FB">
        <w:t>ých</w:t>
      </w:r>
      <w:r w:rsidRPr="00C758DC">
        <w:t xml:space="preserve"> zá</w:t>
      </w:r>
      <w:r w:rsidR="00F97793">
        <w:t>věrečn</w:t>
      </w:r>
      <w:r w:rsidR="006526FB">
        <w:t>ých</w:t>
      </w:r>
      <w:r w:rsidR="00F97793">
        <w:t xml:space="preserve"> účt</w:t>
      </w:r>
      <w:r w:rsidR="006526FB">
        <w:t>ů</w:t>
      </w:r>
      <w:r w:rsidR="00F97793">
        <w:t xml:space="preserve"> </w:t>
      </w:r>
      <w:r w:rsidR="00C54E2F">
        <w:t xml:space="preserve">kapitoly </w:t>
      </w:r>
      <w:r w:rsidR="00F97793">
        <w:t>ČBÚ za roky</w:t>
      </w:r>
      <w:r w:rsidR="003E538A">
        <w:t xml:space="preserve"> </w:t>
      </w:r>
      <w:r w:rsidR="006526FB">
        <w:br/>
      </w:r>
      <w:r w:rsidR="00F97793">
        <w:t>2015</w:t>
      </w:r>
      <w:r w:rsidR="00F512EE">
        <w:t>–</w:t>
      </w:r>
      <w:r w:rsidRPr="00C758DC">
        <w:t>2017 a</w:t>
      </w:r>
      <w:r w:rsidR="006526FB">
        <w:t xml:space="preserve"> </w:t>
      </w:r>
      <w:r w:rsidRPr="00C758DC">
        <w:t xml:space="preserve">návrhu závěrečného účtu za rok 2018 činily v kontrolovaném období </w:t>
      </w:r>
      <w:r w:rsidRPr="004812DB">
        <w:t>597</w:t>
      </w:r>
      <w:r w:rsidR="00F12021">
        <w:t> </w:t>
      </w:r>
      <w:r w:rsidRPr="004812DB">
        <w:t>026</w:t>
      </w:r>
      <w:r w:rsidR="00F12021">
        <w:t> </w:t>
      </w:r>
      <w:r w:rsidRPr="004812DB">
        <w:t>379</w:t>
      </w:r>
      <w:r w:rsidR="00F12021">
        <w:t> </w:t>
      </w:r>
      <w:r w:rsidR="005307E8">
        <w:t>Kč</w:t>
      </w:r>
      <w:r w:rsidRPr="004812DB">
        <w:t xml:space="preserve"> </w:t>
      </w:r>
      <w:r w:rsidRPr="00C758DC">
        <w:t>a byly tvořeny především mzdovými výdaji</w:t>
      </w:r>
      <w:r w:rsidR="006526FB">
        <w:t>,</w:t>
      </w:r>
      <w:r w:rsidRPr="00C758DC">
        <w:t xml:space="preserve"> včetně zákonných odvodů na pojištění</w:t>
      </w:r>
      <w:r w:rsidR="006526FB">
        <w:t>,</w:t>
      </w:r>
      <w:r w:rsidRPr="00C758DC">
        <w:t xml:space="preserve"> a výdaji v souvislosti s realizací programu 148 01. Mezi další výraznější položky výdajů kapitoly patřily výdaje za nákupy materiálu, energií a služeb a výdaje na opravy a</w:t>
      </w:r>
      <w:r w:rsidR="006526FB">
        <w:t> </w:t>
      </w:r>
      <w:r w:rsidRPr="00C758DC">
        <w:t>udržování majetku.</w:t>
      </w:r>
      <w:r>
        <w:t xml:space="preserve"> </w:t>
      </w:r>
    </w:p>
    <w:p w14:paraId="081B04E4" w14:textId="77777777" w:rsidR="008B3C65" w:rsidRDefault="008B3C65" w:rsidP="001A3CE4"/>
    <w:p w14:paraId="0F97577A" w14:textId="77777777" w:rsidR="008B3C65" w:rsidRDefault="00CB7290" w:rsidP="001A3CE4">
      <w:r w:rsidRPr="005307E8">
        <w:rPr>
          <w:b/>
        </w:rPr>
        <w:t>Aktiva</w:t>
      </w:r>
      <w:r>
        <w:t xml:space="preserve"> ČBÚ k 31. prosinci 2018 činila 642 637 832 Kč</w:t>
      </w:r>
      <w:r>
        <w:rPr>
          <w:rStyle w:val="Znakapoznpodarou"/>
        </w:rPr>
        <w:footnoteReference w:id="14"/>
      </w:r>
      <w:r>
        <w:t>.</w:t>
      </w:r>
    </w:p>
    <w:p w14:paraId="3C03A316" w14:textId="77777777" w:rsidR="00585E37" w:rsidRDefault="00585E37" w:rsidP="001A3CE4"/>
    <w:p w14:paraId="72944C92" w14:textId="710853B5" w:rsidR="00585E37" w:rsidRPr="00F12021" w:rsidRDefault="00585E37" w:rsidP="006526FB">
      <w:pPr>
        <w:ind w:left="993" w:hanging="993"/>
        <w:rPr>
          <w:sz w:val="20"/>
          <w:szCs w:val="20"/>
        </w:rPr>
      </w:pPr>
      <w:r w:rsidRPr="00F12021">
        <w:rPr>
          <w:b/>
          <w:sz w:val="20"/>
          <w:szCs w:val="20"/>
        </w:rPr>
        <w:t>Poznámka:</w:t>
      </w:r>
      <w:r w:rsidRPr="00F12021">
        <w:rPr>
          <w:sz w:val="20"/>
          <w:szCs w:val="20"/>
        </w:rPr>
        <w:t xml:space="preserve"> </w:t>
      </w:r>
      <w:r w:rsidR="006526FB">
        <w:rPr>
          <w:sz w:val="20"/>
          <w:szCs w:val="20"/>
        </w:rPr>
        <w:tab/>
      </w:r>
      <w:r w:rsidRPr="00F12021">
        <w:rPr>
          <w:sz w:val="20"/>
          <w:szCs w:val="20"/>
        </w:rPr>
        <w:t>Právní předpisy uvedené v tomto kontrolním závěru jsou aplikovány ve znění účinném pro kontrolované období.</w:t>
      </w:r>
    </w:p>
    <w:p w14:paraId="3E4A651D" w14:textId="77777777" w:rsidR="001A3CE4" w:rsidRPr="00B74D2F" w:rsidRDefault="00CB7290" w:rsidP="0071153B">
      <w:pPr>
        <w:pStyle w:val="Nadpis1"/>
        <w:numPr>
          <w:ilvl w:val="0"/>
          <w:numId w:val="1"/>
        </w:numPr>
        <w:overflowPunct w:val="0"/>
        <w:autoSpaceDE w:val="0"/>
        <w:autoSpaceDN w:val="0"/>
        <w:adjustRightInd w:val="0"/>
        <w:spacing w:before="480" w:line="240" w:lineRule="auto"/>
        <w:ind w:left="142" w:hanging="142"/>
        <w:textAlignment w:val="baseline"/>
        <w:rPr>
          <w:rFonts w:eastAsia="Times New Roman" w:cstheme="minorHAnsi"/>
          <w:color w:val="000000"/>
          <w:szCs w:val="28"/>
          <w:lang w:eastAsia="cs-CZ"/>
        </w:rPr>
      </w:pPr>
      <w:r w:rsidRPr="00B74D2F">
        <w:rPr>
          <w:rFonts w:eastAsia="Times New Roman" w:cstheme="minorHAnsi"/>
          <w:color w:val="000000"/>
          <w:szCs w:val="28"/>
          <w:lang w:eastAsia="cs-CZ"/>
        </w:rPr>
        <w:t>Rozsah kontroly</w:t>
      </w:r>
    </w:p>
    <w:p w14:paraId="4715EEEA" w14:textId="227B565D" w:rsidR="001A3CE4" w:rsidRDefault="00CB7290" w:rsidP="001A3CE4">
      <w:r w:rsidRPr="00CA52B0">
        <w:rPr>
          <w:rFonts w:cstheme="minorHAnsi"/>
        </w:rPr>
        <w:t xml:space="preserve">V oblasti </w:t>
      </w:r>
      <w:r w:rsidRPr="00CA52B0">
        <w:rPr>
          <w:rFonts w:cstheme="minorHAnsi"/>
          <w:b/>
        </w:rPr>
        <w:t>příjmů</w:t>
      </w:r>
      <w:r w:rsidRPr="00CA52B0">
        <w:rPr>
          <w:rFonts w:cstheme="minorHAnsi"/>
        </w:rPr>
        <w:t xml:space="preserve"> se kontrola zaměřila na výkon správy výnosů úhrad z DP a</w:t>
      </w:r>
      <w:r w:rsidR="003E538A">
        <w:rPr>
          <w:rFonts w:cstheme="minorHAnsi"/>
        </w:rPr>
        <w:t xml:space="preserve"> </w:t>
      </w:r>
      <w:r w:rsidRPr="00CA52B0">
        <w:rPr>
          <w:rFonts w:cstheme="minorHAnsi"/>
        </w:rPr>
        <w:t>z</w:t>
      </w:r>
      <w:r>
        <w:rPr>
          <w:rFonts w:cstheme="minorHAnsi"/>
        </w:rPr>
        <w:t> </w:t>
      </w:r>
      <w:r w:rsidRPr="00CA52B0">
        <w:rPr>
          <w:rFonts w:cstheme="minorHAnsi"/>
        </w:rPr>
        <w:t>VN</w:t>
      </w:r>
      <w:r>
        <w:rPr>
          <w:rFonts w:cstheme="minorHAnsi"/>
        </w:rPr>
        <w:t>,</w:t>
      </w:r>
      <w:r w:rsidRPr="00CA52B0">
        <w:rPr>
          <w:rFonts w:cstheme="minorHAnsi"/>
        </w:rPr>
        <w:t xml:space="preserve"> na příjmy z</w:t>
      </w:r>
      <w:r w:rsidR="009B0550">
        <w:rPr>
          <w:rFonts w:cstheme="minorHAnsi"/>
        </w:rPr>
        <w:t> </w:t>
      </w:r>
      <w:r w:rsidRPr="00CA52B0">
        <w:rPr>
          <w:rFonts w:cstheme="minorHAnsi"/>
        </w:rPr>
        <w:t xml:space="preserve">pokut </w:t>
      </w:r>
      <w:r w:rsidRPr="00CA52B0">
        <w:t>udělených ve správním řízení a na příjmy z pronájmu majetku</w:t>
      </w:r>
      <w:r w:rsidRPr="00891121">
        <w:rPr>
          <w:rFonts w:cstheme="minorHAnsi"/>
        </w:rPr>
        <w:t xml:space="preserve"> přenechaného do užívání jiným osobám </w:t>
      </w:r>
      <w:r w:rsidRPr="00CA52B0">
        <w:rPr>
          <w:rFonts w:cstheme="minorHAnsi"/>
        </w:rPr>
        <w:t>včetně</w:t>
      </w:r>
      <w:r w:rsidR="00196782">
        <w:rPr>
          <w:rFonts w:cstheme="minorHAnsi"/>
        </w:rPr>
        <w:t xml:space="preserve"> vymáhání </w:t>
      </w:r>
      <w:r w:rsidRPr="00891121">
        <w:rPr>
          <w:rFonts w:cstheme="minorHAnsi"/>
        </w:rPr>
        <w:t>nedoplatků</w:t>
      </w:r>
      <w:r w:rsidR="00196782">
        <w:rPr>
          <w:rFonts w:cstheme="minorHAnsi"/>
        </w:rPr>
        <w:t xml:space="preserve"> a pokut</w:t>
      </w:r>
      <w:r>
        <w:t xml:space="preserve">. </w:t>
      </w:r>
    </w:p>
    <w:p w14:paraId="2F7B57A2" w14:textId="77777777" w:rsidR="001A3CE4" w:rsidRPr="00A31E67" w:rsidRDefault="001A3CE4" w:rsidP="001A3CE4"/>
    <w:p w14:paraId="29DDA66A" w14:textId="37D6C4A3" w:rsidR="001A3CE4" w:rsidRPr="00C758DC" w:rsidRDefault="00CB7290" w:rsidP="001A3CE4">
      <w:pPr>
        <w:rPr>
          <w:rFonts w:cstheme="minorHAnsi"/>
        </w:rPr>
      </w:pPr>
      <w:r w:rsidRPr="00A31E67">
        <w:t>Kontrolovaný objem výnosů úhrad činil</w:t>
      </w:r>
      <w:r w:rsidR="00196782">
        <w:t xml:space="preserve"> 948 910 582 Kč. Příjemci </w:t>
      </w:r>
      <w:r w:rsidRPr="00A31E67">
        <w:t>výnosů úhrad byly obce a</w:t>
      </w:r>
      <w:r w:rsidR="009B0550">
        <w:t> </w:t>
      </w:r>
      <w:r w:rsidRPr="00A31E67">
        <w:t>v případě výnosů úhrad z VN také M</w:t>
      </w:r>
      <w:r w:rsidR="00C54E2F">
        <w:t>inisterstvo průmyslu a obchodu</w:t>
      </w:r>
      <w:r w:rsidR="001C2D49">
        <w:t xml:space="preserve"> (dále také „MPO“)</w:t>
      </w:r>
      <w:r w:rsidRPr="00A31E67">
        <w:t>, M</w:t>
      </w:r>
      <w:r w:rsidR="00C54E2F">
        <w:t>inisterstvo životního prostředí</w:t>
      </w:r>
      <w:r w:rsidR="001C2D49">
        <w:t xml:space="preserve"> (dále také „MŽP“)</w:t>
      </w:r>
      <w:r w:rsidRPr="00A31E67">
        <w:t xml:space="preserve"> a ČBÚ v zákonem stanoveném poměru. </w:t>
      </w:r>
      <w:r w:rsidRPr="00C758DC">
        <w:t>Výnosy úhrad tak byly příjmem kapitoly ČBÚ jen zčást</w:t>
      </w:r>
      <w:r w:rsidR="00196782">
        <w:t>i. V případě příjmů z </w:t>
      </w:r>
      <w:r w:rsidRPr="00C758DC">
        <w:t>pokut</w:t>
      </w:r>
      <w:r w:rsidR="00196782">
        <w:t xml:space="preserve"> uložených</w:t>
      </w:r>
      <w:r w:rsidRPr="00C758DC">
        <w:t xml:space="preserve"> ve správním řízení, které byly příjmem kapitoly ČBÚ, byl ke kontrole vybrán vzorek ve výši 5 705 000 Kč a v případě pronájmů majetku státu se NKÚ zaměřil na tři dlouhodobé nájemní vztahy. Kontrolovaný objem příjmů z pronájmu majetku činil 1 046 737 Kč.</w:t>
      </w:r>
    </w:p>
    <w:p w14:paraId="3745EBB4" w14:textId="77777777" w:rsidR="001A3CE4" w:rsidRPr="00C758DC" w:rsidRDefault="001A3CE4" w:rsidP="001A3CE4"/>
    <w:p w14:paraId="10701EE7" w14:textId="77777777" w:rsidR="001A3CE4" w:rsidRPr="00C758DC" w:rsidRDefault="00CB7290" w:rsidP="001A3CE4">
      <w:pPr>
        <w:rPr>
          <w:rFonts w:cstheme="minorHAnsi"/>
        </w:rPr>
      </w:pPr>
      <w:r w:rsidRPr="00C758DC">
        <w:rPr>
          <w:rFonts w:cstheme="minorHAnsi"/>
        </w:rPr>
        <w:t xml:space="preserve">V oblasti </w:t>
      </w:r>
      <w:r w:rsidRPr="00C758DC">
        <w:rPr>
          <w:rFonts w:cstheme="minorHAnsi"/>
          <w:b/>
        </w:rPr>
        <w:t>výdajů</w:t>
      </w:r>
      <w:r w:rsidRPr="00C758DC">
        <w:rPr>
          <w:rFonts w:cstheme="minorHAnsi"/>
        </w:rPr>
        <w:t xml:space="preserve"> se kontrola zaměřila na tři vybrané akce</w:t>
      </w:r>
      <w:r w:rsidR="00E57930">
        <w:rPr>
          <w:rFonts w:cstheme="minorHAnsi"/>
        </w:rPr>
        <w:t xml:space="preserve"> zaměřené</w:t>
      </w:r>
      <w:r w:rsidRPr="00C758DC">
        <w:rPr>
          <w:rFonts w:cstheme="minorHAnsi"/>
        </w:rPr>
        <w:t xml:space="preserve"> na obnovu a reprodukci majetku s výdaji ve výši 25 537 377 Kč a na hospodárnost a účelnost výdajů za opravy, materiál tiskových náplní, úklidové služby a ostrahu v celkové výši 2 457</w:t>
      </w:r>
      <w:r w:rsidR="009B0550">
        <w:rPr>
          <w:rFonts w:cstheme="minorHAnsi"/>
        </w:rPr>
        <w:t> </w:t>
      </w:r>
      <w:r w:rsidRPr="00C758DC">
        <w:rPr>
          <w:rFonts w:cstheme="minorHAnsi"/>
        </w:rPr>
        <w:t>634</w:t>
      </w:r>
      <w:r w:rsidR="009B0550">
        <w:rPr>
          <w:rFonts w:cstheme="minorHAnsi"/>
        </w:rPr>
        <w:t> </w:t>
      </w:r>
      <w:r w:rsidRPr="00C758DC">
        <w:rPr>
          <w:rFonts w:cstheme="minorHAnsi"/>
        </w:rPr>
        <w:t>Kč. Součástí kontroly bylo také zadávání veřejných zakázek v režimu i mimo režim zákona</w:t>
      </w:r>
      <w:r>
        <w:rPr>
          <w:rStyle w:val="Znakapoznpodarou"/>
          <w:rFonts w:cstheme="minorHAnsi"/>
        </w:rPr>
        <w:footnoteReference w:id="15"/>
      </w:r>
      <w:r w:rsidRPr="00C758DC">
        <w:rPr>
          <w:rFonts w:cstheme="minorHAnsi"/>
        </w:rPr>
        <w:t>.</w:t>
      </w:r>
    </w:p>
    <w:p w14:paraId="385E3479" w14:textId="77777777" w:rsidR="001A3CE4" w:rsidRPr="00C758DC" w:rsidRDefault="001A3CE4" w:rsidP="001A3CE4">
      <w:pPr>
        <w:rPr>
          <w:rFonts w:cstheme="minorHAnsi"/>
        </w:rPr>
      </w:pPr>
    </w:p>
    <w:p w14:paraId="110FD469" w14:textId="45426746" w:rsidR="001A3CE4" w:rsidRPr="00A31E67" w:rsidRDefault="00CB7290" w:rsidP="001A3CE4">
      <w:pPr>
        <w:rPr>
          <w:rFonts w:cstheme="minorHAnsi"/>
        </w:rPr>
      </w:pPr>
      <w:r w:rsidRPr="001363C4">
        <w:rPr>
          <w:rFonts w:cstheme="minorHAnsi"/>
        </w:rPr>
        <w:t>V ob</w:t>
      </w:r>
      <w:r w:rsidR="00CE507D" w:rsidRPr="001363C4">
        <w:rPr>
          <w:rFonts w:cstheme="minorHAnsi"/>
        </w:rPr>
        <w:t>lasti hospodaření s </w:t>
      </w:r>
      <w:r w:rsidRPr="001363C4">
        <w:rPr>
          <w:rFonts w:cstheme="minorHAnsi"/>
          <w:b/>
        </w:rPr>
        <w:t>majetkem</w:t>
      </w:r>
      <w:r w:rsidR="0092073C" w:rsidRPr="001363C4">
        <w:rPr>
          <w:rFonts w:cstheme="minorHAnsi"/>
        </w:rPr>
        <w:t xml:space="preserve"> </w:t>
      </w:r>
      <w:r w:rsidR="00F0278D" w:rsidRPr="001363C4">
        <w:rPr>
          <w:rFonts w:cstheme="minorHAnsi"/>
        </w:rPr>
        <w:t xml:space="preserve">se </w:t>
      </w:r>
      <w:r w:rsidR="0092073C" w:rsidRPr="001363C4">
        <w:rPr>
          <w:rFonts w:cstheme="minorHAnsi"/>
        </w:rPr>
        <w:t xml:space="preserve">kontrola </w:t>
      </w:r>
      <w:r w:rsidR="00F0278D" w:rsidRPr="001363C4">
        <w:rPr>
          <w:rFonts w:cstheme="minorHAnsi"/>
        </w:rPr>
        <w:t xml:space="preserve">zaměřila na </w:t>
      </w:r>
      <w:r w:rsidR="002F71D5" w:rsidRPr="001363C4">
        <w:rPr>
          <w:rFonts w:cstheme="minorHAnsi"/>
        </w:rPr>
        <w:t>evidenci, inventarizaci a účtování o</w:t>
      </w:r>
      <w:r w:rsidR="00CC55E4">
        <w:rPr>
          <w:rFonts w:cstheme="minorHAnsi"/>
        </w:rPr>
        <w:t> </w:t>
      </w:r>
      <w:r w:rsidR="00521F69" w:rsidRPr="001363C4">
        <w:rPr>
          <w:rFonts w:cstheme="minorHAnsi"/>
        </w:rPr>
        <w:t>dlouhodobém hmotném majetku (</w:t>
      </w:r>
      <w:r w:rsidR="002F71D5" w:rsidRPr="001363C4">
        <w:rPr>
          <w:rFonts w:cstheme="minorHAnsi"/>
        </w:rPr>
        <w:t>nemovitostech a vybraných automobilech</w:t>
      </w:r>
      <w:r w:rsidR="00521F69" w:rsidRPr="001363C4">
        <w:rPr>
          <w:rFonts w:cstheme="minorHAnsi"/>
        </w:rPr>
        <w:t>)</w:t>
      </w:r>
      <w:r w:rsidR="002F71D5" w:rsidRPr="001363C4">
        <w:rPr>
          <w:rFonts w:cstheme="minorHAnsi"/>
        </w:rPr>
        <w:t>. Ověřeny byly přírůstky a úbytky dlouhodobého hmotného majetku</w:t>
      </w:r>
      <w:r w:rsidR="000A49FD" w:rsidRPr="001363C4">
        <w:rPr>
          <w:rFonts w:cstheme="minorHAnsi"/>
        </w:rPr>
        <w:t xml:space="preserve"> ve výši </w:t>
      </w:r>
      <w:r w:rsidRPr="001363C4">
        <w:rPr>
          <w:rFonts w:cstheme="minorHAnsi"/>
        </w:rPr>
        <w:t>5 668 609 Kč.</w:t>
      </w:r>
    </w:p>
    <w:p w14:paraId="27547A71" w14:textId="77777777" w:rsidR="001A3CE4" w:rsidRDefault="001A3CE4" w:rsidP="001A3CE4">
      <w:pPr>
        <w:rPr>
          <w:rFonts w:cstheme="minorHAnsi"/>
        </w:rPr>
      </w:pPr>
    </w:p>
    <w:p w14:paraId="6EEA00AA" w14:textId="28B54DBC" w:rsidR="001A3CE4" w:rsidRDefault="00CB7290" w:rsidP="001A3CE4">
      <w:pPr>
        <w:rPr>
          <w:rFonts w:cstheme="minorHAnsi"/>
        </w:rPr>
      </w:pPr>
      <w:r>
        <w:t>N</w:t>
      </w:r>
      <w:r w:rsidRPr="004717CA">
        <w:t xml:space="preserve">KÚ </w:t>
      </w:r>
      <w:r>
        <w:t xml:space="preserve">rovněž </w:t>
      </w:r>
      <w:r w:rsidRPr="004717CA">
        <w:t xml:space="preserve">prověřil, jakým způsobem je výše nákladů z hlediska </w:t>
      </w:r>
      <w:r w:rsidRPr="004717CA">
        <w:rPr>
          <w:rFonts w:cstheme="minorHAnsi"/>
        </w:rPr>
        <w:t>hospodárnosti a</w:t>
      </w:r>
      <w:r w:rsidR="00176E13">
        <w:rPr>
          <w:rFonts w:cstheme="minorHAnsi"/>
        </w:rPr>
        <w:t xml:space="preserve"> </w:t>
      </w:r>
      <w:r w:rsidRPr="004717CA">
        <w:rPr>
          <w:rFonts w:cstheme="minorHAnsi"/>
        </w:rPr>
        <w:t xml:space="preserve">účelnosti </w:t>
      </w:r>
      <w:r w:rsidR="00176E13">
        <w:rPr>
          <w:rFonts w:cstheme="minorHAnsi"/>
        </w:rPr>
        <w:t>u </w:t>
      </w:r>
      <w:r w:rsidRPr="004717CA">
        <w:t xml:space="preserve">jednotlivých OBÚ ze strany ČBÚ řízena a vyhodnocována a zda jsou případné rozdíly </w:t>
      </w:r>
      <w:r w:rsidR="00D74948">
        <w:t>u </w:t>
      </w:r>
      <w:r w:rsidRPr="004717CA">
        <w:t>vybraných druhů</w:t>
      </w:r>
      <w:r>
        <w:t xml:space="preserve"> nákladů</w:t>
      </w:r>
      <w:r w:rsidRPr="004717CA">
        <w:t xml:space="preserve"> opodstatněné</w:t>
      </w:r>
      <w:r>
        <w:t xml:space="preserve">. </w:t>
      </w:r>
    </w:p>
    <w:p w14:paraId="22285BC4" w14:textId="77777777" w:rsidR="001A3CE4" w:rsidRDefault="001A3CE4" w:rsidP="001A3CE4">
      <w:pPr>
        <w:rPr>
          <w:rFonts w:cstheme="minorHAnsi"/>
        </w:rPr>
      </w:pPr>
    </w:p>
    <w:p w14:paraId="01553829" w14:textId="20E20742" w:rsidR="001A3CE4" w:rsidRDefault="00CB7290" w:rsidP="001A3CE4">
      <w:pPr>
        <w:rPr>
          <w:rFonts w:cstheme="minorHAnsi"/>
        </w:rPr>
      </w:pPr>
      <w:r>
        <w:rPr>
          <w:rFonts w:cstheme="minorHAnsi"/>
        </w:rPr>
        <w:t>Celkový kontrolovaný objem vybraného vzorku činil 989 325</w:t>
      </w:r>
      <w:r w:rsidR="00E57930">
        <w:rPr>
          <w:rFonts w:cstheme="minorHAnsi"/>
        </w:rPr>
        <w:t> </w:t>
      </w:r>
      <w:r>
        <w:rPr>
          <w:rFonts w:cstheme="minorHAnsi"/>
        </w:rPr>
        <w:t>93</w:t>
      </w:r>
      <w:r w:rsidRPr="009018E8">
        <w:rPr>
          <w:rFonts w:cstheme="minorHAnsi"/>
        </w:rPr>
        <w:t>9</w:t>
      </w:r>
      <w:r>
        <w:rPr>
          <w:rFonts w:cstheme="minorHAnsi"/>
        </w:rPr>
        <w:t xml:space="preserve"> Kč</w:t>
      </w:r>
      <w:r w:rsidR="00985809">
        <w:rPr>
          <w:rFonts w:cstheme="minorHAnsi"/>
        </w:rPr>
        <w:t xml:space="preserve"> (p</w:t>
      </w:r>
      <w:r w:rsidR="004F211B">
        <w:rPr>
          <w:rFonts w:cstheme="minorHAnsi"/>
        </w:rPr>
        <w:t>říloha</w:t>
      </w:r>
      <w:r w:rsidR="00F67FA9">
        <w:rPr>
          <w:rFonts w:cstheme="minorHAnsi"/>
        </w:rPr>
        <w:t xml:space="preserve"> č. 1</w:t>
      </w:r>
      <w:r w:rsidR="00985809">
        <w:rPr>
          <w:rFonts w:cstheme="minorHAnsi"/>
        </w:rPr>
        <w:t>)</w:t>
      </w:r>
      <w:r>
        <w:rPr>
          <w:rFonts w:cstheme="minorHAnsi"/>
        </w:rPr>
        <w:t xml:space="preserve">. </w:t>
      </w:r>
    </w:p>
    <w:p w14:paraId="7CDF8BB0" w14:textId="77777777" w:rsidR="003C05D4" w:rsidRPr="005A1132" w:rsidRDefault="00CB7290" w:rsidP="0071153B">
      <w:pPr>
        <w:pStyle w:val="Nadpis1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line="240" w:lineRule="auto"/>
        <w:ind w:left="142" w:hanging="142"/>
        <w:textAlignment w:val="baseline"/>
        <w:rPr>
          <w:rFonts w:eastAsia="Times New Roman" w:cstheme="minorHAnsi"/>
          <w:color w:val="000000"/>
          <w:szCs w:val="28"/>
          <w:lang w:eastAsia="cs-CZ"/>
        </w:rPr>
      </w:pPr>
      <w:r w:rsidRPr="00757CD7">
        <w:rPr>
          <w:rFonts w:eastAsia="Times New Roman" w:cstheme="minorHAnsi"/>
          <w:color w:val="000000"/>
          <w:szCs w:val="28"/>
          <w:lang w:eastAsia="cs-CZ"/>
        </w:rPr>
        <w:lastRenderedPageBreak/>
        <w:t>Podrobné skutečnosti zjištěné kontrolou</w:t>
      </w:r>
      <w:r>
        <w:rPr>
          <w:rFonts w:eastAsia="Times New Roman" w:cstheme="minorHAnsi"/>
          <w:color w:val="000000"/>
          <w:szCs w:val="28"/>
          <w:lang w:eastAsia="cs-CZ"/>
        </w:rPr>
        <w:t xml:space="preserve"> </w:t>
      </w:r>
    </w:p>
    <w:p w14:paraId="26FEDC4B" w14:textId="77777777" w:rsidR="004C7A1F" w:rsidRDefault="00CB7290" w:rsidP="00485815">
      <w:pPr>
        <w:pStyle w:val="Odstavecseseznamem"/>
        <w:numPr>
          <w:ilvl w:val="0"/>
          <w:numId w:val="6"/>
        </w:numPr>
        <w:spacing w:after="120" w:line="240" w:lineRule="auto"/>
        <w:ind w:left="284" w:hanging="284"/>
        <w:rPr>
          <w:b/>
        </w:rPr>
      </w:pPr>
      <w:r>
        <w:rPr>
          <w:b/>
        </w:rPr>
        <w:t>Nakládání s</w:t>
      </w:r>
      <w:r w:rsidR="00746403">
        <w:rPr>
          <w:b/>
        </w:rPr>
        <w:t> </w:t>
      </w:r>
      <w:r>
        <w:rPr>
          <w:b/>
        </w:rPr>
        <w:t>majetkem</w:t>
      </w:r>
    </w:p>
    <w:p w14:paraId="1A55FEBE" w14:textId="565529AA" w:rsidR="009018E8" w:rsidRDefault="00CB7290" w:rsidP="009018E8">
      <w:r w:rsidRPr="00746403">
        <w:t xml:space="preserve">ČBÚ každoročně ověřoval </w:t>
      </w:r>
      <w:r>
        <w:t>s</w:t>
      </w:r>
      <w:r w:rsidR="00746403" w:rsidRPr="00746403">
        <w:t>právnost údajů a postupů majetkové evidence řádnou inventarizací veškerého majetku prováděnou vždy k 31. prosinci kalendářního roku.</w:t>
      </w:r>
      <w:r w:rsidRPr="009018E8">
        <w:t xml:space="preserve"> </w:t>
      </w:r>
      <w:r>
        <w:t>Kontrola se zaměřila na hospodaření a nakládání s dlouhodobým hmotným majetkem ČBÚ</w:t>
      </w:r>
      <w:r w:rsidR="00375DE7">
        <w:t>;</w:t>
      </w:r>
      <w:r>
        <w:t xml:space="preserve"> hodnota </w:t>
      </w:r>
      <w:r w:rsidR="00375DE7">
        <w:t xml:space="preserve">tohoto majetku </w:t>
      </w:r>
      <w:r>
        <w:t>k 31.</w:t>
      </w:r>
      <w:r w:rsidR="009B0550">
        <w:t> </w:t>
      </w:r>
      <w:r>
        <w:t xml:space="preserve">prosinci 2018 </w:t>
      </w:r>
      <w:r w:rsidRPr="00E31865">
        <w:t>činila 1</w:t>
      </w:r>
      <w:r w:rsidRPr="008C0A63">
        <w:t xml:space="preserve">39 188 648 </w:t>
      </w:r>
      <w:r w:rsidRPr="00E31865">
        <w:t xml:space="preserve">Kč. </w:t>
      </w:r>
    </w:p>
    <w:p w14:paraId="701A7C2A" w14:textId="77777777" w:rsidR="00746403" w:rsidRPr="00746403" w:rsidRDefault="00746403" w:rsidP="00746403">
      <w:pPr>
        <w:pStyle w:val="Textpoznpodarou"/>
        <w:jc w:val="both"/>
        <w:rPr>
          <w:rFonts w:asciiTheme="minorHAnsi" w:hAnsiTheme="minorHAnsi"/>
          <w:sz w:val="24"/>
          <w:szCs w:val="24"/>
          <w:lang w:eastAsia="en-US"/>
        </w:rPr>
      </w:pPr>
    </w:p>
    <w:p w14:paraId="431A397D" w14:textId="77777777" w:rsidR="003C05D4" w:rsidRPr="008C0A63" w:rsidRDefault="00CB7290" w:rsidP="003C05D4">
      <w:pPr>
        <w:rPr>
          <w:b/>
        </w:rPr>
      </w:pPr>
      <w:r w:rsidRPr="008C0A63">
        <w:rPr>
          <w:b/>
        </w:rPr>
        <w:t>Nemovitý majetek</w:t>
      </w:r>
    </w:p>
    <w:p w14:paraId="601C4F58" w14:textId="1C2C43D7" w:rsidR="003C05D4" w:rsidRPr="00746403" w:rsidRDefault="00CB7290" w:rsidP="003C05D4">
      <w:r>
        <w:t>Dle údajů v katastru nemovitostí k 31. prosinci 2018 byl</w:t>
      </w:r>
      <w:r w:rsidRPr="00AF0C73">
        <w:t xml:space="preserve"> ČBÚ </w:t>
      </w:r>
      <w:r w:rsidRPr="00F23FC4">
        <w:t xml:space="preserve">příslušný hospodařit </w:t>
      </w:r>
      <w:r w:rsidR="00B31050">
        <w:t>s</w:t>
      </w:r>
      <w:r w:rsidRPr="00F23FC4">
        <w:t xml:space="preserve"> pěti</w:t>
      </w:r>
      <w:r w:rsidRPr="00AF0C73">
        <w:t xml:space="preserve"> </w:t>
      </w:r>
      <w:r w:rsidR="00B31050">
        <w:t>administrativními</w:t>
      </w:r>
      <w:r w:rsidRPr="00DB59AE">
        <w:t xml:space="preserve"> budov</w:t>
      </w:r>
      <w:r w:rsidR="00B31050">
        <w:t>ami</w:t>
      </w:r>
      <w:r>
        <w:t>, a to v Praze, Plzni, Mostu, Ostravě a</w:t>
      </w:r>
      <w:r w:rsidR="003E538A">
        <w:t xml:space="preserve"> </w:t>
      </w:r>
      <w:r w:rsidRPr="00DB59AE">
        <w:t>Brn</w:t>
      </w:r>
      <w:r>
        <w:t>ě</w:t>
      </w:r>
      <w:r w:rsidRPr="00DB59AE">
        <w:t xml:space="preserve">. Dále </w:t>
      </w:r>
      <w:r w:rsidR="00B31050">
        <w:t>byl příslušný hospodařit</w:t>
      </w:r>
      <w:r w:rsidRPr="00F23FC4">
        <w:t xml:space="preserve"> s</w:t>
      </w:r>
      <w:r w:rsidR="00B31050">
        <w:t> pozemkem včetně garáže</w:t>
      </w:r>
      <w:r>
        <w:t xml:space="preserve"> v </w:t>
      </w:r>
      <w:r w:rsidRPr="00DB59AE">
        <w:t xml:space="preserve">Hradci Králové a </w:t>
      </w:r>
      <w:r w:rsidRPr="00B44531">
        <w:t xml:space="preserve">v Liberci. </w:t>
      </w:r>
      <w:r>
        <w:t>ČBÚ nemovitý majetek</w:t>
      </w:r>
      <w:r w:rsidRPr="005042C7">
        <w:t xml:space="preserve"> </w:t>
      </w:r>
      <w:r>
        <w:t>náležitě evidoval, prováděl jeho</w:t>
      </w:r>
      <w:r w:rsidRPr="00B44531">
        <w:t xml:space="preserve"> </w:t>
      </w:r>
      <w:r>
        <w:t>řádné inventarizace a správně o něm účtoval. M</w:t>
      </w:r>
      <w:r w:rsidRPr="00B44531">
        <w:t xml:space="preserve">ajetková evidence ČBÚ podle stavu ke dni </w:t>
      </w:r>
      <w:r w:rsidR="005307E8">
        <w:t>31. prosince</w:t>
      </w:r>
      <w:r>
        <w:t> 2017, ke kterému byla v </w:t>
      </w:r>
      <w:r w:rsidRPr="00B44531">
        <w:t>době kontroly dostupná poslední schválená inventarizace a účetní závěrka, odpovíd</w:t>
      </w:r>
      <w:r>
        <w:t>ala</w:t>
      </w:r>
      <w:r w:rsidRPr="00B44531">
        <w:t xml:space="preserve"> údajům v</w:t>
      </w:r>
      <w:r>
        <w:t> </w:t>
      </w:r>
      <w:r w:rsidR="001E0E4C">
        <w:t>katastru nemovitostí</w:t>
      </w:r>
      <w:r w:rsidRPr="00746403">
        <w:t xml:space="preserve">. </w:t>
      </w:r>
    </w:p>
    <w:p w14:paraId="391CC221" w14:textId="77777777" w:rsidR="003C05D4" w:rsidRDefault="003C05D4" w:rsidP="003C05D4"/>
    <w:p w14:paraId="1F5039B1" w14:textId="77777777" w:rsidR="003C05D4" w:rsidRPr="00967CDB" w:rsidRDefault="00CB7290" w:rsidP="003C05D4">
      <w:pPr>
        <w:rPr>
          <w:b/>
        </w:rPr>
      </w:pPr>
      <w:r>
        <w:rPr>
          <w:b/>
        </w:rPr>
        <w:t>Pořízení bytové jednotky</w:t>
      </w:r>
    </w:p>
    <w:p w14:paraId="63C1FCA3" w14:textId="0512441C" w:rsidR="003C05D4" w:rsidRPr="00B61EA6" w:rsidRDefault="00CB7290" w:rsidP="003C05D4">
      <w:r w:rsidRPr="006E544E">
        <w:t>ČBÚ získal bezúplatným převodem v červ</w:t>
      </w:r>
      <w:r w:rsidR="005307E8">
        <w:t>enci 2014 příslušnost hospodař</w:t>
      </w:r>
      <w:r w:rsidR="00375DE7">
        <w:t>it</w:t>
      </w:r>
      <w:r w:rsidRPr="006E544E">
        <w:t xml:space="preserve"> </w:t>
      </w:r>
      <w:r>
        <w:t xml:space="preserve">s </w:t>
      </w:r>
      <w:r w:rsidRPr="006E544E">
        <w:t>bytovou jednotkou 3+1 s užitnou plochou 80,35 m</w:t>
      </w:r>
      <w:r w:rsidRPr="006E544E">
        <w:rPr>
          <w:vertAlign w:val="superscript"/>
        </w:rPr>
        <w:t>2</w:t>
      </w:r>
      <w:r w:rsidR="00B80213" w:rsidRPr="00DD5CD2">
        <w:t xml:space="preserve"> </w:t>
      </w:r>
      <w:r w:rsidR="00B80213" w:rsidRPr="00B80213">
        <w:t>za účelem zajištění</w:t>
      </w:r>
      <w:r w:rsidRPr="006E544E">
        <w:t xml:space="preserve"> </w:t>
      </w:r>
      <w:r w:rsidR="00B80213">
        <w:t>možnosti bydlení pro své zaměstnance</w:t>
      </w:r>
      <w:r w:rsidRPr="006E544E">
        <w:t xml:space="preserve"> v Praze. </w:t>
      </w:r>
      <w:r w:rsidR="00CE03CF">
        <w:t>V </w:t>
      </w:r>
      <w:r w:rsidR="00CE03CF" w:rsidRPr="00E232EE">
        <w:t xml:space="preserve">roce </w:t>
      </w:r>
      <w:r w:rsidR="00E232EE" w:rsidRPr="00E232EE">
        <w:t>2014</w:t>
      </w:r>
      <w:r w:rsidR="00CE03CF" w:rsidRPr="00E232EE">
        <w:t xml:space="preserve"> </w:t>
      </w:r>
      <w:r w:rsidR="00CE03CF" w:rsidRPr="00CE03CF">
        <w:t>ČBÚ vynaložil n</w:t>
      </w:r>
      <w:r w:rsidRPr="00CE03CF">
        <w:t xml:space="preserve">a </w:t>
      </w:r>
      <w:r w:rsidRPr="006E544E">
        <w:t>nezbytně nutné opravy</w:t>
      </w:r>
      <w:r w:rsidR="00CE03CF">
        <w:t xml:space="preserve"> bytu </w:t>
      </w:r>
      <w:r w:rsidRPr="006E544E">
        <w:t>40 793 Kč a</w:t>
      </w:r>
      <w:r w:rsidR="009B0550">
        <w:t> </w:t>
      </w:r>
      <w:r w:rsidR="00DA2BE6">
        <w:t>v </w:t>
      </w:r>
      <w:r w:rsidR="00E232EE">
        <w:t xml:space="preserve">letech </w:t>
      </w:r>
      <w:r w:rsidR="00DA2BE6">
        <w:t xml:space="preserve">2014 až 2016 </w:t>
      </w:r>
      <w:r w:rsidR="00CE03CF">
        <w:t>uhradil celkem</w:t>
      </w:r>
      <w:r w:rsidRPr="006E544E">
        <w:t xml:space="preserve"> 41 782 Kč jako příspěvek do fondu oprav </w:t>
      </w:r>
      <w:r w:rsidR="00CE03CF">
        <w:t>společenství vlastníků bytových jednotek</w:t>
      </w:r>
      <w:r w:rsidRPr="006E544E">
        <w:t xml:space="preserve">. Zájem zaměstnanců o bydlení se </w:t>
      </w:r>
      <w:r w:rsidR="00CE03CF">
        <w:t xml:space="preserve">ale </w:t>
      </w:r>
      <w:r w:rsidRPr="006E544E">
        <w:t xml:space="preserve">nepotvrdil a důsledkem této skutečnosti bylo trvalé neobsazení bytu po dobu 26 měsíců. </w:t>
      </w:r>
      <w:r w:rsidR="00792144">
        <w:t>V prosinci 2015 proto ČBÚ rozhodl o trvalé nepotřebnosti bytu a v srpnu 2016</w:t>
      </w:r>
      <w:r w:rsidR="00CE03CF" w:rsidRPr="006E544E">
        <w:t xml:space="preserve"> </w:t>
      </w:r>
      <w:r w:rsidRPr="006E544E">
        <w:t>p</w:t>
      </w:r>
      <w:r w:rsidR="00DD2043">
        <w:t>řevedl příslušnost hospodař</w:t>
      </w:r>
      <w:r w:rsidR="00375DE7">
        <w:t>it</w:t>
      </w:r>
      <w:r w:rsidRPr="006E544E">
        <w:t xml:space="preserve"> s</w:t>
      </w:r>
      <w:r w:rsidR="00375DE7">
        <w:t> tímto bytem</w:t>
      </w:r>
      <w:r w:rsidR="00792144">
        <w:t xml:space="preserve"> </w:t>
      </w:r>
      <w:r w:rsidRPr="006E544E">
        <w:t>na Úřad pro zastupování státu ve věcech majetkových</w:t>
      </w:r>
      <w:r w:rsidRPr="00B61EA6">
        <w:t xml:space="preserve">. </w:t>
      </w:r>
    </w:p>
    <w:p w14:paraId="2405E20B" w14:textId="77777777" w:rsidR="003C05D4" w:rsidRDefault="003C05D4" w:rsidP="003C05D4">
      <w:pPr>
        <w:rPr>
          <w:rFonts w:cstheme="minorHAnsi"/>
        </w:rPr>
      </w:pPr>
    </w:p>
    <w:p w14:paraId="10BD77E5" w14:textId="77777777" w:rsidR="003C05D4" w:rsidRPr="00967CDB" w:rsidRDefault="00CB7290" w:rsidP="003C05D4">
      <w:pPr>
        <w:rPr>
          <w:rFonts w:cstheme="minorHAnsi"/>
          <w:b/>
        </w:rPr>
      </w:pPr>
      <w:r>
        <w:rPr>
          <w:rFonts w:cstheme="minorHAnsi"/>
          <w:b/>
        </w:rPr>
        <w:t>S</w:t>
      </w:r>
      <w:r w:rsidR="00CE03CF">
        <w:rPr>
          <w:rFonts w:cstheme="minorHAnsi"/>
          <w:b/>
        </w:rPr>
        <w:t xml:space="preserve">mlouvy o </w:t>
      </w:r>
      <w:r w:rsidRPr="00967CDB">
        <w:rPr>
          <w:rFonts w:cstheme="minorHAnsi"/>
          <w:b/>
        </w:rPr>
        <w:t>pronájmu</w:t>
      </w:r>
      <w:r w:rsidR="00CE03CF">
        <w:rPr>
          <w:rFonts w:cstheme="minorHAnsi"/>
          <w:b/>
        </w:rPr>
        <w:t xml:space="preserve"> majetku</w:t>
      </w:r>
    </w:p>
    <w:p w14:paraId="4FAD52FF" w14:textId="373A2482" w:rsidR="003C05D4" w:rsidRPr="00967CDB" w:rsidRDefault="00CB7290" w:rsidP="003C05D4">
      <w:pPr>
        <w:rPr>
          <w:rFonts w:cstheme="minorHAnsi"/>
        </w:rPr>
      </w:pPr>
      <w:r w:rsidRPr="008C0A63">
        <w:t>Ke kontrole souladu nájemních smluv s právními př</w:t>
      </w:r>
      <w:r>
        <w:t xml:space="preserve">edpisy byly vybrány tři </w:t>
      </w:r>
      <w:r w:rsidRPr="008C0A63">
        <w:t>smlouvy o</w:t>
      </w:r>
      <w:r w:rsidR="006628CA">
        <w:t xml:space="preserve"> </w:t>
      </w:r>
      <w:r>
        <w:t>pronájmu</w:t>
      </w:r>
      <w:r w:rsidRPr="008C0A63">
        <w:t xml:space="preserve"> nemovitého majetku</w:t>
      </w:r>
      <w:r>
        <w:t xml:space="preserve">, na základě kterých </w:t>
      </w:r>
      <w:r w:rsidRPr="00967CDB">
        <w:rPr>
          <w:rFonts w:cstheme="minorHAnsi"/>
        </w:rPr>
        <w:t xml:space="preserve">ČBÚ </w:t>
      </w:r>
      <w:r w:rsidR="00CE03CF">
        <w:rPr>
          <w:rFonts w:cstheme="minorHAnsi"/>
        </w:rPr>
        <w:t xml:space="preserve">pronajímal dvěma </w:t>
      </w:r>
      <w:r w:rsidRPr="00967CDB">
        <w:rPr>
          <w:rFonts w:cstheme="minorHAnsi"/>
        </w:rPr>
        <w:t xml:space="preserve">soukromým subjektům </w:t>
      </w:r>
      <w:r w:rsidR="00CE03CF">
        <w:rPr>
          <w:rFonts w:cstheme="minorHAnsi"/>
        </w:rPr>
        <w:t>část administrativní budovy OBÚ v</w:t>
      </w:r>
      <w:r w:rsidR="004F378E">
        <w:rPr>
          <w:rFonts w:cstheme="minorHAnsi"/>
        </w:rPr>
        <w:t> </w:t>
      </w:r>
      <w:r w:rsidR="00CE03CF">
        <w:rPr>
          <w:rFonts w:cstheme="minorHAnsi"/>
        </w:rPr>
        <w:t>Plzni</w:t>
      </w:r>
      <w:r w:rsidR="004F378E">
        <w:rPr>
          <w:rFonts w:cstheme="minorHAnsi"/>
        </w:rPr>
        <w:t xml:space="preserve"> a </w:t>
      </w:r>
      <w:r w:rsidR="00B80213">
        <w:rPr>
          <w:rFonts w:cstheme="minorHAnsi"/>
        </w:rPr>
        <w:t xml:space="preserve">mobilnímu operátorovi </w:t>
      </w:r>
      <w:r>
        <w:rPr>
          <w:rFonts w:cstheme="minorHAnsi"/>
        </w:rPr>
        <w:t>část administrativní budovy ČBÚ v</w:t>
      </w:r>
      <w:r w:rsidR="00B80213">
        <w:rPr>
          <w:rFonts w:cstheme="minorHAnsi"/>
        </w:rPr>
        <w:t> </w:t>
      </w:r>
      <w:r>
        <w:rPr>
          <w:rFonts w:cstheme="minorHAnsi"/>
        </w:rPr>
        <w:t>Praze</w:t>
      </w:r>
      <w:r w:rsidR="00B80213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375DE7">
        <w:t>V</w:t>
      </w:r>
      <w:r w:rsidRPr="00967CDB">
        <w:t> rozporu se zákonem o majetku státu</w:t>
      </w:r>
      <w:r>
        <w:rPr>
          <w:vertAlign w:val="superscript"/>
        </w:rPr>
        <w:footnoteReference w:id="16"/>
      </w:r>
      <w:r w:rsidRPr="00967CDB">
        <w:t xml:space="preserve"> </w:t>
      </w:r>
      <w:r w:rsidR="00375DE7">
        <w:t>chybělo</w:t>
      </w:r>
      <w:r w:rsidR="00375DE7" w:rsidRPr="00967CDB">
        <w:t xml:space="preserve"> </w:t>
      </w:r>
      <w:r w:rsidR="00375DE7">
        <w:t>ve</w:t>
      </w:r>
      <w:r w:rsidR="00375DE7">
        <w:rPr>
          <w:rFonts w:cstheme="minorHAnsi"/>
        </w:rPr>
        <w:t xml:space="preserve"> všech třech </w:t>
      </w:r>
      <w:r w:rsidR="00375DE7" w:rsidRPr="00967CDB">
        <w:t>kontrolovaných sml</w:t>
      </w:r>
      <w:r w:rsidR="00375DE7">
        <w:t>ouvách</w:t>
      </w:r>
      <w:r w:rsidR="00375DE7" w:rsidRPr="00967CDB">
        <w:t xml:space="preserve"> </w:t>
      </w:r>
      <w:r w:rsidRPr="00967CDB">
        <w:t xml:space="preserve">ujednání umožňující ČBÚ </w:t>
      </w:r>
      <w:r w:rsidR="00F650C2">
        <w:t>ukončit smluvní vztah okamžitou výpovědí</w:t>
      </w:r>
      <w:r w:rsidR="004F378E">
        <w:t>.</w:t>
      </w:r>
      <w:r w:rsidR="00E102F4">
        <w:t xml:space="preserve"> </w:t>
      </w:r>
    </w:p>
    <w:p w14:paraId="4755F36D" w14:textId="77777777" w:rsidR="003C05D4" w:rsidRPr="005542DD" w:rsidRDefault="003C05D4" w:rsidP="003C05D4">
      <w:pPr>
        <w:rPr>
          <w:highlight w:val="green"/>
        </w:rPr>
      </w:pPr>
    </w:p>
    <w:p w14:paraId="476880ED" w14:textId="77777777" w:rsidR="003C05D4" w:rsidRPr="005542DD" w:rsidRDefault="00CB7290" w:rsidP="003C05D4">
      <w:pPr>
        <w:rPr>
          <w:highlight w:val="green"/>
        </w:rPr>
      </w:pPr>
      <w:r>
        <w:rPr>
          <w:b/>
        </w:rPr>
        <w:t>Movitý majetek (</w:t>
      </w:r>
      <w:r w:rsidRPr="00D266FF">
        <w:rPr>
          <w:b/>
        </w:rPr>
        <w:t>automobily</w:t>
      </w:r>
      <w:r>
        <w:rPr>
          <w:b/>
        </w:rPr>
        <w:t>)</w:t>
      </w:r>
    </w:p>
    <w:p w14:paraId="0F26E642" w14:textId="29DBF27A" w:rsidR="003C05D4" w:rsidRPr="00FA1DC2" w:rsidRDefault="00CB7290" w:rsidP="003C05D4">
      <w:r w:rsidRPr="00FA1DC2">
        <w:t xml:space="preserve">Kontrolou bylo ověřeno </w:t>
      </w:r>
      <w:r w:rsidR="00DD2043">
        <w:t xml:space="preserve">nakládání s </w:t>
      </w:r>
      <w:r w:rsidR="00D535B3" w:rsidRPr="00FA1DC2">
        <w:t>osobními</w:t>
      </w:r>
      <w:r w:rsidRPr="00FA1DC2">
        <w:t xml:space="preserve"> aut</w:t>
      </w:r>
      <w:r w:rsidR="00D535B3" w:rsidRPr="00FA1DC2">
        <w:t>omobily</w:t>
      </w:r>
      <w:r w:rsidRPr="00FA1DC2">
        <w:t xml:space="preserve">. </w:t>
      </w:r>
      <w:r w:rsidR="00D535B3" w:rsidRPr="00FA1DC2">
        <w:t xml:space="preserve">Vzorek zahrnoval </w:t>
      </w:r>
      <w:r w:rsidR="00FA1DC2" w:rsidRPr="00FA1DC2">
        <w:t>pořízení tří</w:t>
      </w:r>
      <w:r w:rsidR="00F12090" w:rsidRPr="00FA1DC2">
        <w:t xml:space="preserve"> </w:t>
      </w:r>
      <w:r w:rsidR="008311D9">
        <w:t>cca 10 </w:t>
      </w:r>
      <w:r w:rsidR="00FA1DC2" w:rsidRPr="00FA1DC2">
        <w:t>let starých automobilů</w:t>
      </w:r>
      <w:r w:rsidR="00F12090" w:rsidRPr="00FA1DC2">
        <w:t xml:space="preserve"> </w:t>
      </w:r>
      <w:r w:rsidR="00FA1DC2">
        <w:t>na základě</w:t>
      </w:r>
      <w:r w:rsidR="00FA1DC2" w:rsidRPr="00FA1DC2">
        <w:t xml:space="preserve"> bezúplatného převodu</w:t>
      </w:r>
      <w:r w:rsidRPr="00FA1DC2">
        <w:t xml:space="preserve"> od</w:t>
      </w:r>
      <w:r w:rsidR="00CC3249" w:rsidRPr="00FA1DC2">
        <w:t xml:space="preserve"> jiné organizační složky státu</w:t>
      </w:r>
      <w:r w:rsidR="00B80213" w:rsidRPr="00B80213">
        <w:t xml:space="preserve"> </w:t>
      </w:r>
      <w:r w:rsidR="00B80213" w:rsidRPr="00FA1DC2">
        <w:t>v</w:t>
      </w:r>
      <w:r w:rsidR="00DA2BE6">
        <w:t> roce</w:t>
      </w:r>
      <w:r w:rsidR="00B80213" w:rsidRPr="00FA1DC2">
        <w:t xml:space="preserve"> 2016</w:t>
      </w:r>
      <w:r w:rsidR="00FA1DC2" w:rsidRPr="00FA1DC2">
        <w:t>.</w:t>
      </w:r>
      <w:r w:rsidRPr="00FA1DC2">
        <w:t xml:space="preserve"> </w:t>
      </w:r>
      <w:r w:rsidR="00F12090" w:rsidRPr="00FA1DC2">
        <w:t xml:space="preserve">Pořízené automobily ČBÚ využíval ke své činnosti, zejména pro služební cesty báňských inspektorů. Kontrolou byly ověřeny </w:t>
      </w:r>
      <w:r w:rsidR="00FA1DC2" w:rsidRPr="00FA1DC2">
        <w:t xml:space="preserve">i </w:t>
      </w:r>
      <w:r w:rsidR="00F12090" w:rsidRPr="00FA1DC2">
        <w:t xml:space="preserve">bezúplatné převody </w:t>
      </w:r>
      <w:r w:rsidR="00FA1DC2" w:rsidRPr="00FA1DC2">
        <w:t>na jiné státn</w:t>
      </w:r>
      <w:r w:rsidR="008311D9">
        <w:t>í organizace u </w:t>
      </w:r>
      <w:r w:rsidR="00F12090" w:rsidRPr="00FA1DC2">
        <w:t xml:space="preserve">dvou nepotřebných automobilů a </w:t>
      </w:r>
      <w:r w:rsidR="00B80213">
        <w:t>prodej</w:t>
      </w:r>
      <w:r w:rsidR="00FA1DC2" w:rsidRPr="00FA1DC2">
        <w:t xml:space="preserve"> čtyř </w:t>
      </w:r>
      <w:r w:rsidRPr="00FA1DC2">
        <w:t>aut</w:t>
      </w:r>
      <w:r w:rsidR="00FA1DC2" w:rsidRPr="00FA1DC2">
        <w:t>omobilů, jejichž stář</w:t>
      </w:r>
      <w:r w:rsidR="007E2031">
        <w:t>í se pohybovalo od</w:t>
      </w:r>
      <w:r w:rsidR="00375DE7">
        <w:t xml:space="preserve"> </w:t>
      </w:r>
      <w:r w:rsidR="007E2031">
        <w:t>12</w:t>
      </w:r>
      <w:r w:rsidR="00951AFB">
        <w:t> </w:t>
      </w:r>
      <w:r w:rsidR="00CC3249" w:rsidRPr="00FA1DC2">
        <w:t xml:space="preserve">do 15 let. </w:t>
      </w:r>
      <w:r w:rsidRPr="00FA1DC2">
        <w:t xml:space="preserve">Ve všech případech </w:t>
      </w:r>
      <w:r w:rsidR="00CC3249" w:rsidRPr="00FA1DC2">
        <w:t xml:space="preserve">ČBÚ </w:t>
      </w:r>
      <w:r w:rsidRPr="00FA1DC2">
        <w:t>postupoval v</w:t>
      </w:r>
      <w:r w:rsidR="007E2031">
        <w:t> souladu s právními předpisy, o</w:t>
      </w:r>
      <w:r w:rsidR="006628CA">
        <w:t xml:space="preserve"> </w:t>
      </w:r>
      <w:r w:rsidRPr="00FA1DC2">
        <w:t>pohybech majetku správně účtoval a prováděl jeho řádné inventarizace.</w:t>
      </w:r>
    </w:p>
    <w:p w14:paraId="625C2381" w14:textId="77777777" w:rsidR="008311D9" w:rsidRDefault="008311D9" w:rsidP="003C05D4">
      <w:pPr>
        <w:rPr>
          <w:rFonts w:cstheme="minorHAnsi"/>
          <w:b/>
        </w:rPr>
      </w:pPr>
    </w:p>
    <w:p w14:paraId="03CAE82E" w14:textId="77777777" w:rsidR="00442AF9" w:rsidRDefault="00CB7290" w:rsidP="00485815">
      <w:pPr>
        <w:keepNext/>
        <w:spacing w:after="120"/>
        <w:rPr>
          <w:rFonts w:cstheme="minorHAnsi"/>
          <w:b/>
        </w:rPr>
      </w:pPr>
      <w:r>
        <w:rPr>
          <w:rFonts w:cstheme="minorHAnsi"/>
          <w:b/>
        </w:rPr>
        <w:lastRenderedPageBreak/>
        <w:t>2. Zajištění</w:t>
      </w:r>
      <w:r w:rsidR="00B80213">
        <w:rPr>
          <w:rFonts w:cstheme="minorHAnsi"/>
          <w:b/>
        </w:rPr>
        <w:t xml:space="preserve"> hospodárnosti a účelnosti vybraných nákladů</w:t>
      </w:r>
    </w:p>
    <w:p w14:paraId="38187198" w14:textId="763A5FA7" w:rsidR="00B80213" w:rsidRPr="00D86606" w:rsidRDefault="00CB7290" w:rsidP="00B80213">
      <w:r w:rsidRPr="00D86606">
        <w:t>Ce</w:t>
      </w:r>
      <w:r w:rsidR="00FA2642">
        <w:t>lkové náklady ČBÚ v období 2015–</w:t>
      </w:r>
      <w:r w:rsidRPr="00D86606">
        <w:t>2018 činily 3</w:t>
      </w:r>
      <w:r w:rsidR="003E538A">
        <w:t xml:space="preserve"> </w:t>
      </w:r>
      <w:r w:rsidRPr="00D86606">
        <w:t>857</w:t>
      </w:r>
      <w:r w:rsidR="003E538A">
        <w:t xml:space="preserve"> </w:t>
      </w:r>
      <w:r w:rsidRPr="00D86606">
        <w:t>016</w:t>
      </w:r>
      <w:r w:rsidR="003E538A">
        <w:t xml:space="preserve"> </w:t>
      </w:r>
      <w:r w:rsidRPr="00D86606">
        <w:t xml:space="preserve">820 Kč, z </w:t>
      </w:r>
      <w:r w:rsidR="006628CA">
        <w:t>toho</w:t>
      </w:r>
      <w:r w:rsidRPr="00D86606">
        <w:t xml:space="preserve"> </w:t>
      </w:r>
      <w:r w:rsidR="00D86606">
        <w:t>hodnotově</w:t>
      </w:r>
      <w:r w:rsidRPr="00D86606">
        <w:t xml:space="preserve"> </w:t>
      </w:r>
      <w:r w:rsidR="00D86606">
        <w:t>nejvýznamnější položku v celkové</w:t>
      </w:r>
      <w:r w:rsidRPr="00D86606">
        <w:t xml:space="preserve"> výši 3</w:t>
      </w:r>
      <w:r w:rsidR="003E538A">
        <w:t xml:space="preserve"> </w:t>
      </w:r>
      <w:r w:rsidRPr="00D86606">
        <w:t>258</w:t>
      </w:r>
      <w:r w:rsidR="003E538A">
        <w:t xml:space="preserve"> </w:t>
      </w:r>
      <w:r w:rsidRPr="00D86606">
        <w:t xml:space="preserve">837 717 Kč </w:t>
      </w:r>
      <w:r w:rsidR="006628CA">
        <w:t>tvořily</w:t>
      </w:r>
      <w:r w:rsidRPr="00D86606">
        <w:t xml:space="preserve"> náklady ze sdílených daní a</w:t>
      </w:r>
      <w:r w:rsidR="00E102F4">
        <w:t> </w:t>
      </w:r>
      <w:r w:rsidRPr="00D86606">
        <w:t>poplatků, které představují výnosy</w:t>
      </w:r>
      <w:r w:rsidR="00D86606">
        <w:t xml:space="preserve"> </w:t>
      </w:r>
      <w:r w:rsidRPr="00D86606">
        <w:t xml:space="preserve">úhrad dle horního zákona přerozdělené </w:t>
      </w:r>
      <w:r w:rsidR="006628CA">
        <w:t>Českým báňským úřadem</w:t>
      </w:r>
      <w:r w:rsidRPr="00D86606">
        <w:t xml:space="preserve"> ve prospěch zákonem určených příjemců</w:t>
      </w:r>
      <w:r w:rsidR="006628CA">
        <w:t>,</w:t>
      </w:r>
      <w:r w:rsidR="00B16D32" w:rsidRPr="00D86606">
        <w:t xml:space="preserve"> a náklady z činnosti v celkové výši 597 899 695 Kč</w:t>
      </w:r>
      <w:r w:rsidRPr="00D86606">
        <w:rPr>
          <w:sz w:val="20"/>
          <w:szCs w:val="20"/>
        </w:rPr>
        <w:t>.</w:t>
      </w:r>
    </w:p>
    <w:p w14:paraId="1CCAAECF" w14:textId="77777777" w:rsidR="00B16D32" w:rsidRDefault="00B16D32" w:rsidP="00B80213">
      <w:pPr>
        <w:rPr>
          <w:sz w:val="20"/>
          <w:szCs w:val="20"/>
        </w:rPr>
      </w:pPr>
    </w:p>
    <w:p w14:paraId="26A105D4" w14:textId="3185D6CF" w:rsidR="00B16D32" w:rsidRPr="007E16F8" w:rsidRDefault="00CB7290" w:rsidP="0071153B">
      <w:pPr>
        <w:keepNext/>
        <w:tabs>
          <w:tab w:val="right" w:pos="9072"/>
        </w:tabs>
        <w:rPr>
          <w:rFonts w:cstheme="minorHAnsi"/>
          <w:lang w:eastAsia="cs-CZ"/>
        </w:rPr>
      </w:pPr>
      <w:r w:rsidRPr="007E16F8">
        <w:rPr>
          <w:rFonts w:cstheme="minorHAnsi"/>
          <w:b/>
          <w:lang w:eastAsia="cs-CZ"/>
        </w:rPr>
        <w:t>Tabulka č.</w:t>
      </w:r>
      <w:r w:rsidR="004812DB" w:rsidRPr="007E16F8">
        <w:rPr>
          <w:rFonts w:cstheme="minorHAnsi"/>
          <w:b/>
          <w:lang w:eastAsia="cs-CZ"/>
        </w:rPr>
        <w:t xml:space="preserve"> 1</w:t>
      </w:r>
      <w:r w:rsidRPr="007E16F8">
        <w:rPr>
          <w:rFonts w:cstheme="minorHAnsi"/>
          <w:b/>
          <w:lang w:eastAsia="cs-CZ"/>
        </w:rPr>
        <w:t xml:space="preserve">: </w:t>
      </w:r>
      <w:r w:rsidR="00D86606" w:rsidRPr="007E16F8">
        <w:rPr>
          <w:rFonts w:cstheme="minorHAnsi"/>
          <w:b/>
          <w:lang w:eastAsia="cs-CZ"/>
        </w:rPr>
        <w:t>Významné položky nákladů</w:t>
      </w:r>
      <w:r w:rsidRPr="007E16F8">
        <w:rPr>
          <w:rFonts w:cstheme="minorHAnsi"/>
          <w:b/>
          <w:lang w:eastAsia="cs-CZ"/>
        </w:rPr>
        <w:t xml:space="preserve"> </w:t>
      </w:r>
      <w:r w:rsidR="007E16F8">
        <w:rPr>
          <w:rFonts w:cstheme="minorHAnsi"/>
          <w:b/>
          <w:lang w:eastAsia="cs-CZ"/>
        </w:rPr>
        <w:tab/>
      </w:r>
      <w:r w:rsidRPr="0071153B">
        <w:rPr>
          <w:rFonts w:cstheme="minorHAnsi"/>
          <w:b/>
          <w:lang w:eastAsia="cs-CZ"/>
        </w:rPr>
        <w:t>(</w:t>
      </w:r>
      <w:r w:rsidR="004812DB" w:rsidRPr="0071153B">
        <w:rPr>
          <w:rFonts w:cstheme="minorHAnsi"/>
          <w:b/>
          <w:lang w:eastAsia="cs-CZ"/>
        </w:rPr>
        <w:t xml:space="preserve">v </w:t>
      </w:r>
      <w:r w:rsidRPr="0071153B">
        <w:rPr>
          <w:rFonts w:cstheme="minorHAnsi"/>
          <w:b/>
          <w:lang w:eastAsia="cs-CZ"/>
        </w:rPr>
        <w:t>Kč)</w:t>
      </w:r>
      <w:r w:rsidRPr="007E16F8">
        <w:rPr>
          <w:rFonts w:cstheme="minorHAnsi"/>
          <w:lang w:eastAsia="cs-CZ"/>
        </w:rPr>
        <w:t xml:space="preserve"> </w:t>
      </w: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3152"/>
        <w:gridCol w:w="1477"/>
        <w:gridCol w:w="1477"/>
        <w:gridCol w:w="1477"/>
        <w:gridCol w:w="1479"/>
      </w:tblGrid>
      <w:tr w:rsidR="007D5EC5" w14:paraId="1F63D6DF" w14:textId="77777777" w:rsidTr="00485815">
        <w:trPr>
          <w:trHeight w:val="553"/>
        </w:trPr>
        <w:tc>
          <w:tcPr>
            <w:tcW w:w="1739" w:type="pct"/>
            <w:shd w:val="clear" w:color="auto" w:fill="E5F1FF"/>
            <w:noWrap/>
            <w:vAlign w:val="center"/>
            <w:hideMark/>
          </w:tcPr>
          <w:p w14:paraId="0A696C90" w14:textId="38747078" w:rsidR="00B16D32" w:rsidRPr="006D5DE3" w:rsidRDefault="00CB7290" w:rsidP="00485815">
            <w:pPr>
              <w:ind w:left="164"/>
              <w:jc w:val="left"/>
              <w:rPr>
                <w:b/>
                <w:sz w:val="20"/>
                <w:szCs w:val="20"/>
              </w:rPr>
            </w:pPr>
            <w:r w:rsidRPr="006D5DE3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>Název položky výkazu</w:t>
            </w:r>
            <w:r w:rsidR="0071153B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br/>
            </w:r>
            <w:r w:rsidRPr="006D5DE3">
              <w:rPr>
                <w:rFonts w:cstheme="minorHAnsi"/>
                <w:b/>
                <w:bCs/>
                <w:sz w:val="20"/>
                <w:szCs w:val="20"/>
                <w:lang w:eastAsia="cs-CZ"/>
              </w:rPr>
              <w:t xml:space="preserve">zisku a ztráty </w:t>
            </w:r>
          </w:p>
        </w:tc>
        <w:tc>
          <w:tcPr>
            <w:tcW w:w="815" w:type="pct"/>
            <w:shd w:val="clear" w:color="auto" w:fill="E5F1FF"/>
            <w:noWrap/>
            <w:vAlign w:val="center"/>
            <w:hideMark/>
          </w:tcPr>
          <w:p w14:paraId="09767BED" w14:textId="77777777" w:rsidR="00B16D32" w:rsidRPr="006D5DE3" w:rsidRDefault="00CB7290" w:rsidP="00485815">
            <w:pPr>
              <w:jc w:val="center"/>
              <w:rPr>
                <w:b/>
                <w:sz w:val="20"/>
                <w:szCs w:val="20"/>
              </w:rPr>
            </w:pPr>
            <w:r w:rsidRPr="006D5DE3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815" w:type="pct"/>
            <w:shd w:val="clear" w:color="auto" w:fill="E5F1FF"/>
            <w:noWrap/>
            <w:vAlign w:val="center"/>
            <w:hideMark/>
          </w:tcPr>
          <w:p w14:paraId="217CDBA3" w14:textId="77777777" w:rsidR="00B16D32" w:rsidRPr="006D5DE3" w:rsidRDefault="00CB7290" w:rsidP="00485815">
            <w:pPr>
              <w:jc w:val="center"/>
              <w:rPr>
                <w:b/>
                <w:sz w:val="20"/>
                <w:szCs w:val="20"/>
              </w:rPr>
            </w:pPr>
            <w:r w:rsidRPr="006D5DE3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815" w:type="pct"/>
            <w:shd w:val="clear" w:color="auto" w:fill="E5F1FF"/>
            <w:noWrap/>
            <w:vAlign w:val="center"/>
            <w:hideMark/>
          </w:tcPr>
          <w:p w14:paraId="4E02B9F5" w14:textId="77777777" w:rsidR="00B16D32" w:rsidRPr="006D5DE3" w:rsidRDefault="00CB7290" w:rsidP="00485815">
            <w:pPr>
              <w:jc w:val="center"/>
              <w:rPr>
                <w:b/>
                <w:sz w:val="20"/>
                <w:szCs w:val="20"/>
              </w:rPr>
            </w:pPr>
            <w:r w:rsidRPr="006D5DE3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816" w:type="pct"/>
            <w:shd w:val="clear" w:color="auto" w:fill="E5F1FF"/>
            <w:vAlign w:val="center"/>
          </w:tcPr>
          <w:p w14:paraId="59A4B941" w14:textId="48A0D8AF" w:rsidR="00B16D32" w:rsidRPr="00A93FC7" w:rsidRDefault="00CB7290" w:rsidP="00485815">
            <w:pPr>
              <w:jc w:val="center"/>
              <w:rPr>
                <w:b/>
                <w:sz w:val="20"/>
                <w:szCs w:val="20"/>
              </w:rPr>
            </w:pPr>
            <w:r w:rsidRPr="00A93FC7">
              <w:rPr>
                <w:b/>
                <w:sz w:val="20"/>
                <w:szCs w:val="20"/>
              </w:rPr>
              <w:t>2018</w:t>
            </w:r>
          </w:p>
        </w:tc>
      </w:tr>
      <w:tr w:rsidR="007D5EC5" w14:paraId="4F38950B" w14:textId="77777777" w:rsidTr="00485815">
        <w:trPr>
          <w:trHeight w:val="290"/>
        </w:trPr>
        <w:tc>
          <w:tcPr>
            <w:tcW w:w="1739" w:type="pct"/>
            <w:noWrap/>
            <w:vAlign w:val="center"/>
            <w:hideMark/>
          </w:tcPr>
          <w:p w14:paraId="5436DDD6" w14:textId="77777777" w:rsidR="00B16D32" w:rsidRPr="00B1465E" w:rsidRDefault="00CB7290" w:rsidP="00485815">
            <w:pPr>
              <w:ind w:left="164"/>
              <w:jc w:val="left"/>
              <w:rPr>
                <w:sz w:val="20"/>
                <w:szCs w:val="20"/>
              </w:rPr>
            </w:pPr>
            <w:r w:rsidRPr="00B1465E">
              <w:rPr>
                <w:sz w:val="20"/>
                <w:szCs w:val="20"/>
              </w:rPr>
              <w:t>Náklady z činnosti</w:t>
            </w:r>
          </w:p>
        </w:tc>
        <w:tc>
          <w:tcPr>
            <w:tcW w:w="815" w:type="pct"/>
            <w:noWrap/>
            <w:vAlign w:val="center"/>
            <w:hideMark/>
          </w:tcPr>
          <w:p w14:paraId="57E936C1" w14:textId="77777777" w:rsidR="00B16D32" w:rsidRPr="00B1465E" w:rsidRDefault="00CB7290" w:rsidP="0048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133 743 138</w:t>
            </w:r>
          </w:p>
        </w:tc>
        <w:tc>
          <w:tcPr>
            <w:tcW w:w="815" w:type="pct"/>
            <w:noWrap/>
            <w:vAlign w:val="center"/>
            <w:hideMark/>
          </w:tcPr>
          <w:p w14:paraId="28E6660D" w14:textId="77777777" w:rsidR="00B16D32" w:rsidRPr="00B1465E" w:rsidRDefault="00CB7290" w:rsidP="0048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144 947 957</w:t>
            </w:r>
          </w:p>
        </w:tc>
        <w:tc>
          <w:tcPr>
            <w:tcW w:w="815" w:type="pct"/>
            <w:noWrap/>
            <w:vAlign w:val="center"/>
            <w:hideMark/>
          </w:tcPr>
          <w:p w14:paraId="29E5D5B1" w14:textId="77777777" w:rsidR="00B16D32" w:rsidRPr="00B1465E" w:rsidRDefault="00CB7290" w:rsidP="00485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154 649 507</w:t>
            </w:r>
          </w:p>
        </w:tc>
        <w:tc>
          <w:tcPr>
            <w:tcW w:w="816" w:type="pct"/>
            <w:vAlign w:val="center"/>
          </w:tcPr>
          <w:p w14:paraId="7143C063" w14:textId="77777777" w:rsidR="00B16D32" w:rsidRPr="0071153B" w:rsidRDefault="00CB7290" w:rsidP="00485815">
            <w:pPr>
              <w:jc w:val="center"/>
              <w:rPr>
                <w:b/>
                <w:sz w:val="20"/>
                <w:szCs w:val="20"/>
              </w:rPr>
            </w:pPr>
            <w:r w:rsidRPr="0071153B">
              <w:rPr>
                <w:sz w:val="20"/>
              </w:rPr>
              <w:t>164 559 093</w:t>
            </w:r>
          </w:p>
        </w:tc>
      </w:tr>
      <w:tr w:rsidR="007D5EC5" w14:paraId="747C6020" w14:textId="77777777" w:rsidTr="00485815">
        <w:trPr>
          <w:trHeight w:val="290"/>
        </w:trPr>
        <w:tc>
          <w:tcPr>
            <w:tcW w:w="1739" w:type="pct"/>
            <w:noWrap/>
            <w:vAlign w:val="center"/>
            <w:hideMark/>
          </w:tcPr>
          <w:p w14:paraId="48BAA33C" w14:textId="77777777" w:rsidR="00B16D32" w:rsidRPr="007B1CD8" w:rsidRDefault="00CB7290" w:rsidP="00485815">
            <w:pPr>
              <w:ind w:left="164"/>
              <w:jc w:val="left"/>
              <w:rPr>
                <w:sz w:val="20"/>
                <w:szCs w:val="20"/>
              </w:rPr>
            </w:pPr>
            <w:r w:rsidRPr="007B1CD8">
              <w:rPr>
                <w:sz w:val="20"/>
                <w:szCs w:val="20"/>
              </w:rPr>
              <w:t>Náklady ze sdílených daní a</w:t>
            </w:r>
            <w:r w:rsidR="00E102F4">
              <w:rPr>
                <w:sz w:val="20"/>
                <w:szCs w:val="20"/>
              </w:rPr>
              <w:t> </w:t>
            </w:r>
            <w:r w:rsidRPr="007B1CD8">
              <w:rPr>
                <w:sz w:val="20"/>
                <w:szCs w:val="20"/>
              </w:rPr>
              <w:t>poplatků</w:t>
            </w:r>
          </w:p>
        </w:tc>
        <w:tc>
          <w:tcPr>
            <w:tcW w:w="815" w:type="pct"/>
            <w:noWrap/>
            <w:vAlign w:val="center"/>
            <w:hideMark/>
          </w:tcPr>
          <w:p w14:paraId="3B14FF47" w14:textId="77777777" w:rsidR="00B16D32" w:rsidRPr="007B1CD8" w:rsidRDefault="00CB7290" w:rsidP="00485815">
            <w:pPr>
              <w:jc w:val="center"/>
              <w:rPr>
                <w:sz w:val="20"/>
                <w:szCs w:val="20"/>
              </w:rPr>
            </w:pPr>
            <w:r w:rsidRPr="007B1CD8">
              <w:rPr>
                <w:sz w:val="20"/>
                <w:szCs w:val="20"/>
              </w:rPr>
              <w:t>643 449 709</w:t>
            </w:r>
          </w:p>
        </w:tc>
        <w:tc>
          <w:tcPr>
            <w:tcW w:w="815" w:type="pct"/>
            <w:noWrap/>
            <w:vAlign w:val="center"/>
            <w:hideMark/>
          </w:tcPr>
          <w:p w14:paraId="2F920F66" w14:textId="77777777" w:rsidR="00B16D32" w:rsidRPr="007B1CD8" w:rsidRDefault="00CB7290" w:rsidP="00485815">
            <w:pPr>
              <w:jc w:val="center"/>
              <w:rPr>
                <w:sz w:val="20"/>
                <w:szCs w:val="20"/>
              </w:rPr>
            </w:pPr>
            <w:r w:rsidRPr="007B1CD8">
              <w:rPr>
                <w:sz w:val="20"/>
                <w:szCs w:val="20"/>
              </w:rPr>
              <w:t>561 912 166</w:t>
            </w:r>
          </w:p>
        </w:tc>
        <w:tc>
          <w:tcPr>
            <w:tcW w:w="815" w:type="pct"/>
            <w:noWrap/>
            <w:vAlign w:val="center"/>
            <w:hideMark/>
          </w:tcPr>
          <w:p w14:paraId="11659646" w14:textId="77777777" w:rsidR="00B16D32" w:rsidRPr="007B1CD8" w:rsidRDefault="00CB7290" w:rsidP="00485815">
            <w:pPr>
              <w:jc w:val="center"/>
              <w:rPr>
                <w:sz w:val="20"/>
                <w:szCs w:val="20"/>
              </w:rPr>
            </w:pPr>
            <w:r w:rsidRPr="007B1CD8">
              <w:rPr>
                <w:sz w:val="20"/>
                <w:szCs w:val="20"/>
              </w:rPr>
              <w:t>1 094 706 768</w:t>
            </w:r>
          </w:p>
        </w:tc>
        <w:tc>
          <w:tcPr>
            <w:tcW w:w="816" w:type="pct"/>
            <w:vAlign w:val="center"/>
          </w:tcPr>
          <w:p w14:paraId="0142A339" w14:textId="77777777" w:rsidR="00B16D32" w:rsidRPr="007B1CD8" w:rsidRDefault="00CB7290" w:rsidP="00485815">
            <w:pPr>
              <w:jc w:val="center"/>
              <w:rPr>
                <w:b/>
                <w:sz w:val="20"/>
                <w:szCs w:val="20"/>
              </w:rPr>
            </w:pPr>
            <w:r w:rsidRPr="007B1CD8">
              <w:rPr>
                <w:sz w:val="20"/>
              </w:rPr>
              <w:t>958 769 074</w:t>
            </w:r>
          </w:p>
        </w:tc>
      </w:tr>
      <w:tr w:rsidR="007D5EC5" w14:paraId="46C3F88F" w14:textId="77777777" w:rsidTr="00485815">
        <w:trPr>
          <w:trHeight w:val="290"/>
        </w:trPr>
        <w:tc>
          <w:tcPr>
            <w:tcW w:w="1739" w:type="pct"/>
            <w:shd w:val="clear" w:color="auto" w:fill="F2F2F2" w:themeFill="background1" w:themeFillShade="F2"/>
            <w:noWrap/>
            <w:vAlign w:val="center"/>
            <w:hideMark/>
          </w:tcPr>
          <w:p w14:paraId="6280A216" w14:textId="77777777" w:rsidR="00B16D32" w:rsidRPr="00485815" w:rsidRDefault="00CB7290" w:rsidP="00485815">
            <w:pPr>
              <w:ind w:left="164"/>
              <w:jc w:val="left"/>
              <w:rPr>
                <w:b/>
                <w:sz w:val="20"/>
                <w:szCs w:val="20"/>
              </w:rPr>
            </w:pPr>
            <w:r w:rsidRPr="00485815">
              <w:rPr>
                <w:b/>
                <w:sz w:val="20"/>
                <w:szCs w:val="20"/>
              </w:rPr>
              <w:t>NÁKLADY CELKEM</w:t>
            </w:r>
          </w:p>
        </w:tc>
        <w:tc>
          <w:tcPr>
            <w:tcW w:w="815" w:type="pct"/>
            <w:shd w:val="clear" w:color="auto" w:fill="F2F2F2" w:themeFill="background1" w:themeFillShade="F2"/>
            <w:noWrap/>
            <w:vAlign w:val="center"/>
            <w:hideMark/>
          </w:tcPr>
          <w:p w14:paraId="7BD7121C" w14:textId="77777777" w:rsidR="00B16D32" w:rsidRPr="00485815" w:rsidRDefault="00CB7290" w:rsidP="00485815">
            <w:pPr>
              <w:jc w:val="center"/>
              <w:rPr>
                <w:b/>
                <w:sz w:val="20"/>
                <w:szCs w:val="20"/>
              </w:rPr>
            </w:pPr>
            <w:r w:rsidRPr="00485815">
              <w:rPr>
                <w:b/>
                <w:sz w:val="20"/>
                <w:szCs w:val="20"/>
              </w:rPr>
              <w:t>777 341 503</w:t>
            </w:r>
          </w:p>
        </w:tc>
        <w:tc>
          <w:tcPr>
            <w:tcW w:w="815" w:type="pct"/>
            <w:shd w:val="clear" w:color="auto" w:fill="F2F2F2" w:themeFill="background1" w:themeFillShade="F2"/>
            <w:noWrap/>
            <w:vAlign w:val="center"/>
            <w:hideMark/>
          </w:tcPr>
          <w:p w14:paraId="04DEC080" w14:textId="77777777" w:rsidR="00B16D32" w:rsidRPr="00485815" w:rsidRDefault="00CB7290" w:rsidP="00485815">
            <w:pPr>
              <w:jc w:val="center"/>
              <w:rPr>
                <w:b/>
                <w:sz w:val="20"/>
                <w:szCs w:val="20"/>
              </w:rPr>
            </w:pPr>
            <w:r w:rsidRPr="00485815">
              <w:rPr>
                <w:b/>
                <w:sz w:val="20"/>
                <w:szCs w:val="20"/>
              </w:rPr>
              <w:t>706 897 684</w:t>
            </w:r>
          </w:p>
        </w:tc>
        <w:tc>
          <w:tcPr>
            <w:tcW w:w="815" w:type="pct"/>
            <w:shd w:val="clear" w:color="auto" w:fill="F2F2F2" w:themeFill="background1" w:themeFillShade="F2"/>
            <w:noWrap/>
            <w:vAlign w:val="center"/>
            <w:hideMark/>
          </w:tcPr>
          <w:p w14:paraId="708B9995" w14:textId="77777777" w:rsidR="00B16D32" w:rsidRPr="00485815" w:rsidRDefault="00CB7290" w:rsidP="00485815">
            <w:pPr>
              <w:jc w:val="center"/>
              <w:rPr>
                <w:b/>
                <w:sz w:val="20"/>
                <w:szCs w:val="20"/>
              </w:rPr>
            </w:pPr>
            <w:r w:rsidRPr="00485815">
              <w:rPr>
                <w:b/>
                <w:sz w:val="20"/>
                <w:szCs w:val="20"/>
              </w:rPr>
              <w:t>1 249 361 582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14:paraId="368FD3FA" w14:textId="77777777" w:rsidR="00B16D32" w:rsidRPr="001E0E58" w:rsidRDefault="00CB7290" w:rsidP="00485815">
            <w:pPr>
              <w:jc w:val="center"/>
              <w:rPr>
                <w:b/>
                <w:sz w:val="20"/>
                <w:szCs w:val="20"/>
              </w:rPr>
            </w:pPr>
            <w:r w:rsidRPr="00485815">
              <w:rPr>
                <w:b/>
                <w:sz w:val="20"/>
              </w:rPr>
              <w:t>1 123 416 051</w:t>
            </w:r>
          </w:p>
        </w:tc>
      </w:tr>
    </w:tbl>
    <w:p w14:paraId="67235E83" w14:textId="71657837" w:rsidR="00B16D32" w:rsidRPr="00664A20" w:rsidRDefault="00CB7290" w:rsidP="003E538A">
      <w:pPr>
        <w:ind w:left="567" w:hanging="567"/>
        <w:rPr>
          <w:i/>
          <w:sz w:val="18"/>
          <w:szCs w:val="18"/>
        </w:rPr>
      </w:pPr>
      <w:r w:rsidRPr="00664A20">
        <w:rPr>
          <w:b/>
          <w:i/>
          <w:sz w:val="18"/>
          <w:szCs w:val="18"/>
        </w:rPr>
        <w:t>Zdroj:</w:t>
      </w:r>
      <w:r w:rsidRPr="00664A20">
        <w:rPr>
          <w:i/>
          <w:sz w:val="18"/>
          <w:szCs w:val="18"/>
        </w:rPr>
        <w:t xml:space="preserve"> </w:t>
      </w:r>
      <w:r w:rsidR="003E538A">
        <w:rPr>
          <w:i/>
          <w:sz w:val="18"/>
          <w:szCs w:val="18"/>
        </w:rPr>
        <w:tab/>
      </w:r>
      <w:r w:rsidRPr="00664A20">
        <w:rPr>
          <w:i/>
          <w:sz w:val="18"/>
          <w:szCs w:val="18"/>
        </w:rPr>
        <w:t xml:space="preserve">data ČBÚ ze schválených účetních závěrek za </w:t>
      </w:r>
      <w:r w:rsidR="007A0705" w:rsidRPr="00664A20">
        <w:rPr>
          <w:i/>
          <w:sz w:val="18"/>
          <w:szCs w:val="18"/>
        </w:rPr>
        <w:t xml:space="preserve">roky 2015, 2016 a 2017 a </w:t>
      </w:r>
      <w:r w:rsidR="006628CA">
        <w:rPr>
          <w:i/>
          <w:sz w:val="18"/>
          <w:szCs w:val="18"/>
        </w:rPr>
        <w:t xml:space="preserve">z </w:t>
      </w:r>
      <w:r w:rsidR="00DD2043" w:rsidRPr="00664A20">
        <w:rPr>
          <w:i/>
          <w:sz w:val="18"/>
          <w:szCs w:val="18"/>
        </w:rPr>
        <w:t>ú</w:t>
      </w:r>
      <w:r w:rsidRPr="00664A20">
        <w:rPr>
          <w:i/>
          <w:sz w:val="18"/>
          <w:szCs w:val="18"/>
        </w:rPr>
        <w:t xml:space="preserve">četní závěrky </w:t>
      </w:r>
      <w:r w:rsidR="007A0705" w:rsidRPr="00664A20">
        <w:rPr>
          <w:i/>
          <w:sz w:val="18"/>
          <w:szCs w:val="18"/>
        </w:rPr>
        <w:t xml:space="preserve">před schválením </w:t>
      </w:r>
      <w:r w:rsidR="004D2BBD">
        <w:rPr>
          <w:i/>
          <w:sz w:val="18"/>
          <w:szCs w:val="18"/>
        </w:rPr>
        <w:t>za rok 2018 z </w:t>
      </w:r>
      <w:r w:rsidRPr="00664A20">
        <w:rPr>
          <w:i/>
          <w:sz w:val="18"/>
          <w:szCs w:val="18"/>
        </w:rPr>
        <w:t>1. dubna 2019 (ČBÚ do doby ukončení kontroly NKÚ účetní závěrku za rok 2018 neschválil).</w:t>
      </w:r>
    </w:p>
    <w:p w14:paraId="52EDBC41" w14:textId="77777777" w:rsidR="00D86606" w:rsidRPr="00E102F4" w:rsidRDefault="00D86606" w:rsidP="002219D8"/>
    <w:p w14:paraId="055BDC57" w14:textId="0078DC62" w:rsidR="00D86606" w:rsidRDefault="00CB7290" w:rsidP="002219D8">
      <w:pPr>
        <w:rPr>
          <w:b/>
        </w:rPr>
      </w:pPr>
      <w:r w:rsidRPr="00E102F4">
        <w:t>Kontrola</w:t>
      </w:r>
      <w:r w:rsidRPr="00D86606">
        <w:t xml:space="preserve"> se zaměřila na vzorek nákladů</w:t>
      </w:r>
      <w:r>
        <w:t xml:space="preserve"> z činnosti, a to</w:t>
      </w:r>
      <w:r w:rsidRPr="00D86606">
        <w:t xml:space="preserve"> u spotřeby materiálu, oprav a</w:t>
      </w:r>
      <w:r w:rsidR="00E102F4">
        <w:t> </w:t>
      </w:r>
      <w:r w:rsidRPr="00D86606">
        <w:t>udržování, úklidových prací a ostrahy majetku.</w:t>
      </w:r>
    </w:p>
    <w:p w14:paraId="3020971A" w14:textId="77777777" w:rsidR="00D86606" w:rsidRPr="00E102F4" w:rsidRDefault="00D86606" w:rsidP="002219D8"/>
    <w:p w14:paraId="6D517B56" w14:textId="77777777" w:rsidR="00D86606" w:rsidRPr="007060FC" w:rsidRDefault="00CB7290" w:rsidP="00D86606">
      <w:pPr>
        <w:keepNext/>
        <w:rPr>
          <w:b/>
        </w:rPr>
      </w:pPr>
      <w:r>
        <w:rPr>
          <w:b/>
        </w:rPr>
        <w:t>Spotřeba materiálu (tiskové náplně)</w:t>
      </w:r>
    </w:p>
    <w:p w14:paraId="69F5899A" w14:textId="64413707" w:rsidR="00D86606" w:rsidRPr="00155EB9" w:rsidRDefault="00CB7290" w:rsidP="00D86606">
      <w:pPr>
        <w:keepNext/>
        <w:rPr>
          <w:rFonts w:cstheme="minorHAnsi"/>
          <w:iCs/>
        </w:rPr>
      </w:pPr>
      <w:r w:rsidRPr="00155EB9">
        <w:rPr>
          <w:rFonts w:cstheme="minorHAnsi"/>
        </w:rPr>
        <w:t>V letech 2015 až 2018 ČBÚ vynaložil na spotřebu materiálu v úhrnu 5 025 530 Kč, z toho na spotřebu tiskových náplní a dalšího materiálu pro zaji</w:t>
      </w:r>
      <w:r>
        <w:rPr>
          <w:rFonts w:cstheme="minorHAnsi"/>
        </w:rPr>
        <w:t>štění tisku 2 319 028 Kč. Nákup</w:t>
      </w:r>
      <w:r w:rsidRPr="00155EB9">
        <w:rPr>
          <w:rFonts w:cstheme="minorHAnsi"/>
        </w:rPr>
        <w:t xml:space="preserve"> </w:t>
      </w:r>
      <w:r w:rsidR="00D3796E" w:rsidRPr="00155EB9">
        <w:rPr>
          <w:rFonts w:cstheme="minorHAnsi"/>
        </w:rPr>
        <w:t xml:space="preserve">tiskových náplní a dalšího materiálu </w:t>
      </w:r>
      <w:r>
        <w:rPr>
          <w:rFonts w:cstheme="minorHAnsi"/>
        </w:rPr>
        <w:t xml:space="preserve">zajišťoval </w:t>
      </w:r>
      <w:r w:rsidR="005C1524">
        <w:rPr>
          <w:rFonts w:cstheme="minorHAnsi"/>
        </w:rPr>
        <w:t>centrálně i pro jednotliv</w:t>
      </w:r>
      <w:r w:rsidR="006628CA">
        <w:rPr>
          <w:rFonts w:cstheme="minorHAnsi"/>
        </w:rPr>
        <w:t>é</w:t>
      </w:r>
      <w:r w:rsidR="005C1524">
        <w:rPr>
          <w:rFonts w:cstheme="minorHAnsi"/>
        </w:rPr>
        <w:t xml:space="preserve"> OBÚ </w:t>
      </w:r>
      <w:r w:rsidRPr="00155EB9">
        <w:rPr>
          <w:rFonts w:cstheme="minorHAnsi"/>
        </w:rPr>
        <w:t>na základě uzavřené rámcové smlouvy a</w:t>
      </w:r>
      <w:r w:rsidR="006628CA">
        <w:rPr>
          <w:rFonts w:cstheme="minorHAnsi"/>
        </w:rPr>
        <w:t xml:space="preserve"> v období</w:t>
      </w:r>
      <w:r w:rsidRPr="00155EB9">
        <w:rPr>
          <w:rFonts w:cstheme="minorHAnsi"/>
        </w:rPr>
        <w:t xml:space="preserve"> po skončení její platnosti, tj. od </w:t>
      </w:r>
      <w:r w:rsidR="00DD2043">
        <w:rPr>
          <w:rFonts w:cstheme="minorHAnsi"/>
        </w:rPr>
        <w:t>května</w:t>
      </w:r>
      <w:r w:rsidRPr="00155EB9">
        <w:rPr>
          <w:rFonts w:cstheme="minorHAnsi"/>
        </w:rPr>
        <w:t xml:space="preserve"> roku 2017 do konce roku 2018</w:t>
      </w:r>
      <w:r w:rsidR="006628CA">
        <w:rPr>
          <w:rFonts w:cstheme="minorHAnsi"/>
        </w:rPr>
        <w:t>,</w:t>
      </w:r>
      <w:r w:rsidRPr="00155EB9">
        <w:rPr>
          <w:rFonts w:cstheme="minorHAnsi"/>
        </w:rPr>
        <w:t xml:space="preserve"> na základě jednotlivých objednávek od </w:t>
      </w:r>
      <w:r w:rsidR="00FB2CA0">
        <w:rPr>
          <w:rFonts w:cstheme="minorHAnsi"/>
        </w:rPr>
        <w:t>různých dodavatelů. N</w:t>
      </w:r>
      <w:r w:rsidRPr="00155EB9">
        <w:rPr>
          <w:rFonts w:cstheme="minorHAnsi"/>
        </w:rPr>
        <w:t>a vzorku 17 objednávek v hodnotě 223 028 Kč uskutečněných v roce 2017</w:t>
      </w:r>
      <w:r>
        <w:rPr>
          <w:rFonts w:cstheme="minorHAnsi"/>
        </w:rPr>
        <w:t xml:space="preserve"> </w:t>
      </w:r>
      <w:r w:rsidR="00FB2CA0">
        <w:rPr>
          <w:rFonts w:cstheme="minorHAnsi"/>
        </w:rPr>
        <w:t xml:space="preserve">bylo ověřeno, </w:t>
      </w:r>
      <w:r w:rsidRPr="00155EB9">
        <w:rPr>
          <w:rFonts w:cstheme="minorHAnsi"/>
        </w:rPr>
        <w:t>že ČBÚ postupoval hospodárně a účelně a tiskové náplně</w:t>
      </w:r>
      <w:r w:rsidR="00D3796E">
        <w:rPr>
          <w:rFonts w:cstheme="minorHAnsi"/>
        </w:rPr>
        <w:t xml:space="preserve"> a příslušný materiál</w:t>
      </w:r>
      <w:r w:rsidRPr="00155EB9">
        <w:rPr>
          <w:rFonts w:cstheme="minorHAnsi"/>
        </w:rPr>
        <w:t xml:space="preserve"> nakupoval za ceny nižší, než </w:t>
      </w:r>
      <w:r w:rsidR="006628CA">
        <w:rPr>
          <w:rFonts w:cstheme="minorHAnsi"/>
        </w:rPr>
        <w:t>byly</w:t>
      </w:r>
      <w:r w:rsidRPr="00155EB9">
        <w:rPr>
          <w:rFonts w:cstheme="minorHAnsi"/>
        </w:rPr>
        <w:t xml:space="preserve"> průměrné tržní ceny v tomto období. </w:t>
      </w:r>
    </w:p>
    <w:p w14:paraId="0BACC06D" w14:textId="77777777" w:rsidR="00D86606" w:rsidRPr="00E102F4" w:rsidRDefault="00D86606" w:rsidP="002219D8"/>
    <w:p w14:paraId="7D5EC327" w14:textId="77777777" w:rsidR="00D86606" w:rsidRPr="007060FC" w:rsidRDefault="00CB7290" w:rsidP="00D86606">
      <w:pPr>
        <w:keepNext/>
        <w:rPr>
          <w:b/>
        </w:rPr>
      </w:pPr>
      <w:r>
        <w:rPr>
          <w:b/>
        </w:rPr>
        <w:t>O</w:t>
      </w:r>
      <w:r w:rsidRPr="007060FC">
        <w:rPr>
          <w:b/>
        </w:rPr>
        <w:t>pravy majetku</w:t>
      </w:r>
    </w:p>
    <w:p w14:paraId="377199CB" w14:textId="379A3AAA" w:rsidR="00D86606" w:rsidRPr="00155EB9" w:rsidRDefault="00CB7290" w:rsidP="00D86606">
      <w:pPr>
        <w:rPr>
          <w:rFonts w:cstheme="minorHAnsi"/>
        </w:rPr>
      </w:pPr>
      <w:r>
        <w:rPr>
          <w:rFonts w:cstheme="minorHAnsi"/>
        </w:rPr>
        <w:t xml:space="preserve">Náklady </w:t>
      </w:r>
      <w:r w:rsidRPr="00155EB9">
        <w:rPr>
          <w:rFonts w:cstheme="minorHAnsi"/>
        </w:rPr>
        <w:t xml:space="preserve">na opravy a udržování dosáhly v kontrolovaném období výše 4 603 363 Kč. </w:t>
      </w:r>
      <w:r>
        <w:rPr>
          <w:rFonts w:cstheme="minorHAnsi"/>
        </w:rPr>
        <w:t xml:space="preserve">Ověřena byla realizace </w:t>
      </w:r>
      <w:r w:rsidRPr="00155EB9">
        <w:rPr>
          <w:rFonts w:cstheme="minorHAnsi"/>
        </w:rPr>
        <w:t>tří oprav</w:t>
      </w:r>
      <w:r w:rsidR="00C6577A">
        <w:rPr>
          <w:rFonts w:cstheme="minorHAnsi"/>
        </w:rPr>
        <w:t>. J</w:t>
      </w:r>
      <w:r w:rsidR="008726CA">
        <w:rPr>
          <w:rFonts w:cstheme="minorHAnsi"/>
        </w:rPr>
        <w:t>ednalo se o</w:t>
      </w:r>
      <w:r>
        <w:rPr>
          <w:rFonts w:cstheme="minorHAnsi"/>
        </w:rPr>
        <w:t xml:space="preserve"> oprav</w:t>
      </w:r>
      <w:r w:rsidR="008726CA">
        <w:rPr>
          <w:rFonts w:cstheme="minorHAnsi"/>
        </w:rPr>
        <w:t>u</w:t>
      </w:r>
      <w:r>
        <w:rPr>
          <w:rFonts w:cstheme="minorHAnsi"/>
        </w:rPr>
        <w:t xml:space="preserve"> poškozené fasády vnitrobloku budovy ČBÚ v Praze, oprav</w:t>
      </w:r>
      <w:r w:rsidR="008726CA">
        <w:rPr>
          <w:rFonts w:cstheme="minorHAnsi"/>
        </w:rPr>
        <w:t>u</w:t>
      </w:r>
      <w:r>
        <w:rPr>
          <w:rFonts w:cstheme="minorHAnsi"/>
        </w:rPr>
        <w:t xml:space="preserve"> omítek v suterénu téže budovy a oprav</w:t>
      </w:r>
      <w:r w:rsidR="008726CA">
        <w:rPr>
          <w:rFonts w:cstheme="minorHAnsi"/>
        </w:rPr>
        <w:t>u</w:t>
      </w:r>
      <w:r>
        <w:rPr>
          <w:rFonts w:cstheme="minorHAnsi"/>
        </w:rPr>
        <w:t xml:space="preserve"> závad vyplývajících z provedených revizí elektroinstalace a systému ochrany před bleskem včetně kontroly nouzového a</w:t>
      </w:r>
      <w:r w:rsidR="00E102F4">
        <w:rPr>
          <w:rFonts w:cstheme="minorHAnsi"/>
        </w:rPr>
        <w:t> </w:t>
      </w:r>
      <w:proofErr w:type="spellStart"/>
      <w:r>
        <w:rPr>
          <w:rFonts w:cstheme="minorHAnsi"/>
        </w:rPr>
        <w:t>protipanického</w:t>
      </w:r>
      <w:proofErr w:type="spellEnd"/>
      <w:r>
        <w:rPr>
          <w:rFonts w:cstheme="minorHAnsi"/>
        </w:rPr>
        <w:t xml:space="preserve"> osvětlení budovy OBÚ v Ostravě. Celkové peněžní prostředky na tyto opravy činily </w:t>
      </w:r>
      <w:r w:rsidRPr="00155EB9">
        <w:rPr>
          <w:rFonts w:cstheme="minorHAnsi"/>
        </w:rPr>
        <w:t xml:space="preserve">1 424 823 </w:t>
      </w:r>
      <w:r>
        <w:rPr>
          <w:rFonts w:cstheme="minorHAnsi"/>
        </w:rPr>
        <w:t>Kč a ČBÚ při jejich vynaložení postupoval</w:t>
      </w:r>
      <w:r w:rsidRPr="00155EB9">
        <w:rPr>
          <w:rFonts w:cstheme="minorHAnsi"/>
        </w:rPr>
        <w:t xml:space="preserve"> účeln</w:t>
      </w:r>
      <w:r>
        <w:rPr>
          <w:rFonts w:cstheme="minorHAnsi"/>
        </w:rPr>
        <w:t>ě</w:t>
      </w:r>
      <w:r w:rsidRPr="00155EB9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155EB9">
        <w:rPr>
          <w:rFonts w:cstheme="minorHAnsi"/>
        </w:rPr>
        <w:t xml:space="preserve"> hospodárn</w:t>
      </w:r>
      <w:r>
        <w:rPr>
          <w:rFonts w:cstheme="minorHAnsi"/>
        </w:rPr>
        <w:t>ě.</w:t>
      </w:r>
    </w:p>
    <w:p w14:paraId="1C25C682" w14:textId="77777777" w:rsidR="00FB2CA0" w:rsidRPr="00E102F4" w:rsidRDefault="00FB2CA0" w:rsidP="002219D8"/>
    <w:p w14:paraId="703D20D2" w14:textId="77777777" w:rsidR="00D86606" w:rsidRDefault="00CB7290" w:rsidP="00D86606">
      <w:pPr>
        <w:keepNext/>
        <w:rPr>
          <w:b/>
        </w:rPr>
      </w:pPr>
      <w:r>
        <w:rPr>
          <w:b/>
        </w:rPr>
        <w:t>Úklidové služby, ostraha majetku</w:t>
      </w:r>
      <w:r w:rsidR="00E102F4">
        <w:rPr>
          <w:b/>
        </w:rPr>
        <w:t xml:space="preserve"> </w:t>
      </w:r>
    </w:p>
    <w:p w14:paraId="74210FF2" w14:textId="7FB7A74A" w:rsidR="001459B3" w:rsidRDefault="00CB7290" w:rsidP="001459B3">
      <w:pPr>
        <w:rPr>
          <w:rFonts w:cstheme="minorHAnsi"/>
        </w:rPr>
      </w:pPr>
      <w:r>
        <w:rPr>
          <w:rFonts w:cstheme="minorHAnsi"/>
        </w:rPr>
        <w:t xml:space="preserve">Náklady </w:t>
      </w:r>
      <w:r w:rsidRPr="00155EB9">
        <w:rPr>
          <w:rFonts w:cstheme="minorHAnsi"/>
        </w:rPr>
        <w:t>na ostatní služby dosáhly v období 2015 až 2018 celk</w:t>
      </w:r>
      <w:r w:rsidR="008726CA">
        <w:rPr>
          <w:rFonts w:cstheme="minorHAnsi"/>
        </w:rPr>
        <w:t>ové</w:t>
      </w:r>
      <w:r w:rsidRPr="00155EB9">
        <w:rPr>
          <w:rFonts w:cstheme="minorHAnsi"/>
        </w:rPr>
        <w:t xml:space="preserve"> </w:t>
      </w:r>
      <w:r w:rsidR="008726CA">
        <w:rPr>
          <w:rFonts w:cstheme="minorHAnsi"/>
        </w:rPr>
        <w:t xml:space="preserve">výše </w:t>
      </w:r>
      <w:r w:rsidRPr="00155EB9">
        <w:rPr>
          <w:rFonts w:cstheme="minorHAnsi"/>
        </w:rPr>
        <w:t xml:space="preserve">24 530 154 Kč. NKÚ </w:t>
      </w:r>
      <w:r>
        <w:rPr>
          <w:rFonts w:cstheme="minorHAnsi"/>
        </w:rPr>
        <w:t xml:space="preserve">se zaměřil na </w:t>
      </w:r>
      <w:r w:rsidRPr="00155EB9">
        <w:rPr>
          <w:rFonts w:cstheme="minorHAnsi"/>
        </w:rPr>
        <w:t xml:space="preserve">úklidové služby zajišťované </w:t>
      </w:r>
      <w:r>
        <w:rPr>
          <w:rFonts w:cstheme="minorHAnsi"/>
        </w:rPr>
        <w:t xml:space="preserve">smluvními </w:t>
      </w:r>
      <w:r w:rsidRPr="00155EB9">
        <w:rPr>
          <w:rFonts w:cstheme="minorHAnsi"/>
        </w:rPr>
        <w:t xml:space="preserve">dodavateli </w:t>
      </w:r>
      <w:r>
        <w:rPr>
          <w:rFonts w:cstheme="minorHAnsi"/>
        </w:rPr>
        <w:t xml:space="preserve">a </w:t>
      </w:r>
      <w:r w:rsidRPr="00155EB9">
        <w:rPr>
          <w:rFonts w:cstheme="minorHAnsi"/>
        </w:rPr>
        <w:t xml:space="preserve">na ochranu objektů, </w:t>
      </w:r>
      <w:r w:rsidR="000E129D">
        <w:rPr>
          <w:rFonts w:cstheme="minorHAnsi"/>
        </w:rPr>
        <w:t>s</w:t>
      </w:r>
      <w:r w:rsidRPr="00155EB9">
        <w:rPr>
          <w:rFonts w:cstheme="minorHAnsi"/>
        </w:rPr>
        <w:t> nim</w:t>
      </w:r>
      <w:r w:rsidR="000E129D">
        <w:rPr>
          <w:rFonts w:cstheme="minorHAnsi"/>
        </w:rPr>
        <w:t>i</w:t>
      </w:r>
      <w:r w:rsidRPr="00155EB9">
        <w:rPr>
          <w:rFonts w:cstheme="minorHAnsi"/>
        </w:rPr>
        <w:t xml:space="preserve">ž </w:t>
      </w:r>
      <w:r w:rsidR="005F72B0">
        <w:rPr>
          <w:rFonts w:cstheme="minorHAnsi"/>
        </w:rPr>
        <w:t xml:space="preserve">byl </w:t>
      </w:r>
      <w:r w:rsidRPr="00155EB9">
        <w:rPr>
          <w:rFonts w:cstheme="minorHAnsi"/>
        </w:rPr>
        <w:t xml:space="preserve">ČBÚ </w:t>
      </w:r>
      <w:r w:rsidR="005F72B0">
        <w:rPr>
          <w:rFonts w:cstheme="minorHAnsi"/>
        </w:rPr>
        <w:t>příslušný hospodařit.</w:t>
      </w:r>
      <w:r>
        <w:rPr>
          <w:rFonts w:cstheme="minorHAnsi"/>
        </w:rPr>
        <w:t xml:space="preserve"> Kontrolou NKÚ byly prověřeny peněžní prostředky</w:t>
      </w:r>
      <w:r w:rsidRPr="00155EB9">
        <w:rPr>
          <w:rFonts w:cstheme="minorHAnsi"/>
        </w:rPr>
        <w:t xml:space="preserve"> </w:t>
      </w:r>
      <w:r w:rsidR="00EC0D1D">
        <w:rPr>
          <w:rFonts w:cstheme="minorHAnsi"/>
        </w:rPr>
        <w:t>vynaložené za kontrolované období v celkové</w:t>
      </w:r>
      <w:r>
        <w:rPr>
          <w:rFonts w:cstheme="minorHAnsi"/>
        </w:rPr>
        <w:t xml:space="preserve"> hodnotě 809 783 Kč zahrnující prostředky za služby úklidu v budovách OBÚ v Ostravě, Plzni a ČBÚ v Praze a za služby ostrahy v budovách ČBÚ v Praze a</w:t>
      </w:r>
      <w:r w:rsidR="00E102F4">
        <w:rPr>
          <w:rFonts w:cstheme="minorHAnsi"/>
        </w:rPr>
        <w:t> </w:t>
      </w:r>
      <w:r>
        <w:rPr>
          <w:rFonts w:cstheme="minorHAnsi"/>
        </w:rPr>
        <w:t>v</w:t>
      </w:r>
      <w:r w:rsidR="008726CA">
        <w:rPr>
          <w:rFonts w:cstheme="minorHAnsi"/>
        </w:rPr>
        <w:t> </w:t>
      </w:r>
      <w:r>
        <w:rPr>
          <w:rFonts w:cstheme="minorHAnsi"/>
        </w:rPr>
        <w:t>budovách OBÚ v Ostravě, Plzni</w:t>
      </w:r>
      <w:r w:rsidR="005C1524">
        <w:rPr>
          <w:rFonts w:cstheme="minorHAnsi"/>
        </w:rPr>
        <w:t>,</w:t>
      </w:r>
      <w:r>
        <w:rPr>
          <w:rFonts w:cstheme="minorHAnsi"/>
        </w:rPr>
        <w:t xml:space="preserve"> Brně</w:t>
      </w:r>
      <w:r w:rsidR="005C1524">
        <w:rPr>
          <w:rFonts w:cstheme="minorHAnsi"/>
        </w:rPr>
        <w:t xml:space="preserve"> a Mostě</w:t>
      </w:r>
      <w:r w:rsidRPr="00155EB9">
        <w:rPr>
          <w:rFonts w:cstheme="minorHAnsi"/>
        </w:rPr>
        <w:t xml:space="preserve">. </w:t>
      </w:r>
      <w:r>
        <w:rPr>
          <w:rFonts w:cstheme="minorHAnsi"/>
        </w:rPr>
        <w:t>S</w:t>
      </w:r>
      <w:r w:rsidRPr="00155EB9">
        <w:rPr>
          <w:rFonts w:cstheme="minorHAnsi"/>
        </w:rPr>
        <w:t xml:space="preserve">mluvní ceny odpovídaly cenám obvyklým. </w:t>
      </w:r>
      <w:r>
        <w:rPr>
          <w:rFonts w:cstheme="minorHAnsi"/>
        </w:rPr>
        <w:t>Z porovnání jednotkových</w:t>
      </w:r>
      <w:r w:rsidR="00EC0D1D">
        <w:rPr>
          <w:rFonts w:cstheme="minorHAnsi"/>
        </w:rPr>
        <w:t xml:space="preserve"> cen úklidových služeb a ostrahy u jednotlivých budov ČBÚ vyplynulo, že </w:t>
      </w:r>
      <w:r>
        <w:rPr>
          <w:rFonts w:cstheme="minorHAnsi"/>
        </w:rPr>
        <w:t xml:space="preserve">u úklidových prací byly ceny srovnatelné a u ostrahy se lišily v rozmezí </w:t>
      </w:r>
      <w:r w:rsidRPr="00845E4A">
        <w:rPr>
          <w:rFonts w:cstheme="minorHAnsi"/>
        </w:rPr>
        <w:t xml:space="preserve">od </w:t>
      </w:r>
      <w:r w:rsidR="00845E4A" w:rsidRPr="00845E4A">
        <w:rPr>
          <w:rFonts w:cstheme="minorHAnsi"/>
        </w:rPr>
        <w:t>2,5</w:t>
      </w:r>
      <w:r w:rsidR="00DA2BE6">
        <w:rPr>
          <w:rFonts w:cstheme="minorHAnsi"/>
        </w:rPr>
        <w:t>2</w:t>
      </w:r>
      <w:r w:rsidR="00E102F4">
        <w:rPr>
          <w:rFonts w:cstheme="minorHAnsi"/>
        </w:rPr>
        <w:t> </w:t>
      </w:r>
      <w:r>
        <w:rPr>
          <w:rFonts w:cstheme="minorHAnsi"/>
        </w:rPr>
        <w:t>Kč</w:t>
      </w:r>
      <w:r w:rsidR="00845E4A">
        <w:rPr>
          <w:rFonts w:cstheme="minorHAnsi"/>
        </w:rPr>
        <w:t>/h</w:t>
      </w:r>
      <w:r>
        <w:rPr>
          <w:rFonts w:cstheme="minorHAnsi"/>
        </w:rPr>
        <w:t xml:space="preserve"> do </w:t>
      </w:r>
      <w:r w:rsidRPr="00703104">
        <w:rPr>
          <w:rFonts w:cstheme="minorHAnsi"/>
        </w:rPr>
        <w:t>93,78 Kč/h vč</w:t>
      </w:r>
      <w:r>
        <w:rPr>
          <w:rFonts w:cstheme="minorHAnsi"/>
        </w:rPr>
        <w:t xml:space="preserve">etně </w:t>
      </w:r>
      <w:r w:rsidR="000C54C3">
        <w:rPr>
          <w:rFonts w:cstheme="minorHAnsi"/>
        </w:rPr>
        <w:t>DPH</w:t>
      </w:r>
      <w:r>
        <w:rPr>
          <w:rFonts w:cstheme="minorHAnsi"/>
        </w:rPr>
        <w:t xml:space="preserve">. Rozdílnost jednotkových cen ostrahy ale odpovídala </w:t>
      </w:r>
      <w:r>
        <w:rPr>
          <w:rFonts w:cstheme="minorHAnsi"/>
        </w:rPr>
        <w:lastRenderedPageBreak/>
        <w:t>různým způsobům zajištění ochrany, tj. elektronické ostraze či fyzické ostraze.</w:t>
      </w:r>
      <w:r w:rsidRPr="00703104">
        <w:rPr>
          <w:rFonts w:cstheme="minorHAnsi"/>
        </w:rPr>
        <w:t xml:space="preserve"> Řádově vyšší náklady na</w:t>
      </w:r>
      <w:r w:rsidR="005F72B0">
        <w:rPr>
          <w:rFonts w:cstheme="minorHAnsi"/>
        </w:rPr>
        <w:t xml:space="preserve"> jednotku u ostrahy</w:t>
      </w:r>
      <w:r w:rsidRPr="00703104">
        <w:rPr>
          <w:rFonts w:cstheme="minorHAnsi"/>
        </w:rPr>
        <w:t xml:space="preserve"> administrativní budovy v Praze </w:t>
      </w:r>
      <w:r w:rsidR="000E129D">
        <w:rPr>
          <w:rFonts w:cstheme="minorHAnsi"/>
        </w:rPr>
        <w:t>byly</w:t>
      </w:r>
      <w:r w:rsidR="000E129D" w:rsidRPr="00703104">
        <w:rPr>
          <w:rFonts w:cstheme="minorHAnsi"/>
        </w:rPr>
        <w:t xml:space="preserve"> </w:t>
      </w:r>
      <w:r>
        <w:rPr>
          <w:rFonts w:cstheme="minorHAnsi"/>
        </w:rPr>
        <w:t xml:space="preserve">rovněž dány </w:t>
      </w:r>
      <w:r w:rsidRPr="00703104">
        <w:rPr>
          <w:rFonts w:cstheme="minorHAnsi"/>
        </w:rPr>
        <w:t>skutečností, že zde sídl</w:t>
      </w:r>
      <w:r>
        <w:rPr>
          <w:rFonts w:cstheme="minorHAnsi"/>
        </w:rPr>
        <w:t>í</w:t>
      </w:r>
      <w:r w:rsidRPr="00703104">
        <w:rPr>
          <w:rFonts w:cstheme="minorHAnsi"/>
        </w:rPr>
        <w:t xml:space="preserve"> </w:t>
      </w:r>
      <w:r w:rsidR="008726CA">
        <w:rPr>
          <w:rFonts w:cstheme="minorHAnsi"/>
        </w:rPr>
        <w:t xml:space="preserve">také </w:t>
      </w:r>
      <w:r w:rsidRPr="00703104">
        <w:rPr>
          <w:rFonts w:cstheme="minorHAnsi"/>
        </w:rPr>
        <w:t>Puncovní úřad se zvláštním bezpečnostním režimem.</w:t>
      </w:r>
      <w:r w:rsidR="005F72B0">
        <w:rPr>
          <w:rFonts w:cstheme="minorHAnsi"/>
        </w:rPr>
        <w:t xml:space="preserve"> Puncovní úřad se podíl</w:t>
      </w:r>
      <w:r w:rsidR="00F67FA9">
        <w:rPr>
          <w:rFonts w:cstheme="minorHAnsi"/>
        </w:rPr>
        <w:t xml:space="preserve">í </w:t>
      </w:r>
      <w:r w:rsidR="005F72B0">
        <w:rPr>
          <w:rFonts w:cstheme="minorHAnsi"/>
        </w:rPr>
        <w:t>na úhradě těchto nákladů.</w:t>
      </w:r>
    </w:p>
    <w:p w14:paraId="336DBA44" w14:textId="77777777" w:rsidR="000E129D" w:rsidRDefault="000E129D" w:rsidP="001459B3">
      <w:pPr>
        <w:rPr>
          <w:rFonts w:cstheme="minorHAnsi"/>
        </w:rPr>
      </w:pPr>
    </w:p>
    <w:p w14:paraId="138F8637" w14:textId="77777777" w:rsidR="00731017" w:rsidRDefault="00CB7290" w:rsidP="00442AF9">
      <w:pPr>
        <w:rPr>
          <w:rFonts w:cstheme="minorHAnsi"/>
          <w:b/>
        </w:rPr>
      </w:pPr>
      <w:r>
        <w:rPr>
          <w:rFonts w:cstheme="minorHAnsi"/>
          <w:b/>
        </w:rPr>
        <w:t>Systém sledování</w:t>
      </w:r>
      <w:r w:rsidRPr="009E7945">
        <w:rPr>
          <w:rFonts w:cstheme="minorHAnsi"/>
          <w:b/>
        </w:rPr>
        <w:t xml:space="preserve"> </w:t>
      </w:r>
      <w:r>
        <w:rPr>
          <w:rFonts w:cstheme="minorHAnsi"/>
          <w:b/>
        </w:rPr>
        <w:t>hospodárnosti a účelnosti nákladů</w:t>
      </w:r>
      <w:r w:rsidR="00E102F4">
        <w:rPr>
          <w:rFonts w:cstheme="minorHAnsi"/>
          <w:b/>
        </w:rPr>
        <w:t xml:space="preserve"> </w:t>
      </w:r>
    </w:p>
    <w:p w14:paraId="041CB8B6" w14:textId="03156013" w:rsidR="00442AF9" w:rsidRPr="004028E0" w:rsidRDefault="00CB7290" w:rsidP="00442AF9">
      <w:pPr>
        <w:rPr>
          <w:rFonts w:cstheme="minorHAnsi"/>
        </w:rPr>
      </w:pPr>
      <w:r w:rsidRPr="004C5E2F">
        <w:rPr>
          <w:rFonts w:cstheme="minorHAnsi"/>
        </w:rPr>
        <w:t xml:space="preserve">ČBÚ </w:t>
      </w:r>
      <w:r>
        <w:rPr>
          <w:rFonts w:cstheme="minorHAnsi"/>
        </w:rPr>
        <w:t>průběžně řídí hospodárnost a účelnost vynakládání peněžních prostředků</w:t>
      </w:r>
      <w:r w:rsidRPr="00054194">
        <w:rPr>
          <w:rFonts w:cstheme="minorHAnsi"/>
        </w:rPr>
        <w:t xml:space="preserve"> </w:t>
      </w:r>
      <w:r w:rsidRPr="004C5E2F">
        <w:rPr>
          <w:rFonts w:cstheme="minorHAnsi"/>
        </w:rPr>
        <w:t>jednotlivými OBÚ</w:t>
      </w:r>
      <w:r>
        <w:rPr>
          <w:rFonts w:cstheme="minorHAnsi"/>
        </w:rPr>
        <w:t>. P</w:t>
      </w:r>
      <w:r w:rsidRPr="004C5E2F">
        <w:rPr>
          <w:rFonts w:cstheme="minorHAnsi"/>
        </w:rPr>
        <w:t xml:space="preserve">ravidelně sleduje a následně vyhodnocuje náklady jednotlivých OBÚ pomocí </w:t>
      </w:r>
      <w:r>
        <w:rPr>
          <w:rFonts w:cstheme="minorHAnsi"/>
        </w:rPr>
        <w:t xml:space="preserve">jim stanovovaných </w:t>
      </w:r>
      <w:r w:rsidRPr="004C5E2F">
        <w:rPr>
          <w:rFonts w:cstheme="minorHAnsi"/>
        </w:rPr>
        <w:t xml:space="preserve">ročních limitů čerpání na cestovné, poštovné, telekomunikační služby, </w:t>
      </w:r>
      <w:r w:rsidR="00A5490B">
        <w:rPr>
          <w:rFonts w:cstheme="minorHAnsi"/>
        </w:rPr>
        <w:t>publikace, tisk a reprez</w:t>
      </w:r>
      <w:r>
        <w:rPr>
          <w:rFonts w:cstheme="minorHAnsi"/>
        </w:rPr>
        <w:t xml:space="preserve">entaci. K tomu </w:t>
      </w:r>
      <w:r w:rsidRPr="004C5E2F">
        <w:rPr>
          <w:rFonts w:cstheme="minorHAnsi"/>
        </w:rPr>
        <w:t xml:space="preserve">jednotlivé OBÚ poskytují měsíčně ČBÚ data o velikosti a náročnosti spravovaných agend. ČBÚ také sleduje a vyhodnocuje vytíženost služebních vozidel. </w:t>
      </w:r>
      <w:r>
        <w:rPr>
          <w:rFonts w:cstheme="minorHAnsi"/>
        </w:rPr>
        <w:t>T</w:t>
      </w:r>
      <w:r w:rsidRPr="004A1F2C">
        <w:rPr>
          <w:rFonts w:cstheme="minorHAnsi"/>
        </w:rPr>
        <w:t xml:space="preserve">ato </w:t>
      </w:r>
      <w:r>
        <w:rPr>
          <w:rFonts w:cstheme="minorHAnsi"/>
        </w:rPr>
        <w:t xml:space="preserve">systémová </w:t>
      </w:r>
      <w:r w:rsidRPr="004A1F2C">
        <w:rPr>
          <w:rFonts w:cstheme="minorHAnsi"/>
        </w:rPr>
        <w:t>opatření vedou k zajištění hospodárnosti a účelnosti výdajů.</w:t>
      </w:r>
      <w:r>
        <w:rPr>
          <w:rFonts w:cstheme="minorHAnsi"/>
        </w:rPr>
        <w:t xml:space="preserve"> </w:t>
      </w:r>
      <w:r w:rsidRPr="004C5E2F">
        <w:rPr>
          <w:rFonts w:cstheme="minorHAnsi"/>
        </w:rPr>
        <w:t>Z</w:t>
      </w:r>
      <w:r w:rsidR="008726CA">
        <w:rPr>
          <w:rFonts w:cstheme="minorHAnsi"/>
        </w:rPr>
        <w:t> </w:t>
      </w:r>
      <w:r w:rsidRPr="004C5E2F">
        <w:rPr>
          <w:rFonts w:cstheme="minorHAnsi"/>
        </w:rPr>
        <w:t xml:space="preserve">hlediska rozsahu a typu činností vykonávaných v působnosti jednotlivých OBÚ nejsou jednotlivé </w:t>
      </w:r>
      <w:r>
        <w:rPr>
          <w:rFonts w:cstheme="minorHAnsi"/>
        </w:rPr>
        <w:t>OBÚ vzájemně</w:t>
      </w:r>
      <w:r w:rsidRPr="004C5E2F">
        <w:rPr>
          <w:rFonts w:cstheme="minorHAnsi"/>
        </w:rPr>
        <w:t xml:space="preserve"> srovnatelné. Rozdílnost je ovliv</w:t>
      </w:r>
      <w:r>
        <w:rPr>
          <w:rFonts w:cstheme="minorHAnsi"/>
        </w:rPr>
        <w:t xml:space="preserve">něna především velikostí </w:t>
      </w:r>
      <w:r w:rsidRPr="004C5E2F">
        <w:rPr>
          <w:rFonts w:cstheme="minorHAnsi"/>
        </w:rPr>
        <w:t xml:space="preserve">agend jednotlivých OBÚ ve vazbě na externí faktory, </w:t>
      </w:r>
      <w:r>
        <w:rPr>
          <w:rFonts w:cstheme="minorHAnsi"/>
        </w:rPr>
        <w:t xml:space="preserve">jakými jsou </w:t>
      </w:r>
      <w:r w:rsidRPr="004C5E2F">
        <w:rPr>
          <w:rFonts w:cstheme="minorHAnsi"/>
        </w:rPr>
        <w:t>zejména počty ložisek nerostných surovin, výskytem podzemních staveb</w:t>
      </w:r>
      <w:r w:rsidR="008726CA">
        <w:rPr>
          <w:rFonts w:cstheme="minorHAnsi"/>
        </w:rPr>
        <w:t>,</w:t>
      </w:r>
      <w:r w:rsidRPr="004C5E2F">
        <w:rPr>
          <w:rFonts w:cstheme="minorHAnsi"/>
        </w:rPr>
        <w:t xml:space="preserve"> </w:t>
      </w:r>
      <w:r w:rsidR="008726CA">
        <w:rPr>
          <w:rFonts w:cstheme="minorHAnsi"/>
        </w:rPr>
        <w:t xml:space="preserve">počtem </w:t>
      </w:r>
      <w:r w:rsidRPr="004C5E2F">
        <w:rPr>
          <w:rFonts w:cstheme="minorHAnsi"/>
        </w:rPr>
        <w:t xml:space="preserve">výrobců výbušnin či </w:t>
      </w:r>
      <w:r w:rsidR="008726CA">
        <w:rPr>
          <w:rFonts w:cstheme="minorHAnsi"/>
        </w:rPr>
        <w:t>množstvím</w:t>
      </w:r>
      <w:r w:rsidRPr="004C5E2F">
        <w:rPr>
          <w:rFonts w:cstheme="minorHAnsi"/>
        </w:rPr>
        <w:t xml:space="preserve"> </w:t>
      </w:r>
      <w:r w:rsidR="00D064DC">
        <w:rPr>
          <w:rFonts w:cstheme="minorHAnsi"/>
        </w:rPr>
        <w:t>správních činností</w:t>
      </w:r>
      <w:r w:rsidRPr="004C5E2F">
        <w:rPr>
          <w:rFonts w:cstheme="minorHAnsi"/>
        </w:rPr>
        <w:t xml:space="preserve">. </w:t>
      </w:r>
      <w:r w:rsidRPr="004028E0">
        <w:rPr>
          <w:rFonts w:cstheme="minorHAnsi"/>
        </w:rPr>
        <w:t>S rozdílným rozsahem a typem vykonávaných činností souvisí i zjištěné rozdíly v</w:t>
      </w:r>
      <w:r w:rsidR="008726CA">
        <w:rPr>
          <w:rFonts w:cstheme="minorHAnsi"/>
        </w:rPr>
        <w:t> </w:t>
      </w:r>
      <w:r w:rsidR="005F72B0">
        <w:rPr>
          <w:rFonts w:cstheme="minorHAnsi"/>
        </w:rPr>
        <w:t>nákladech</w:t>
      </w:r>
      <w:r>
        <w:rPr>
          <w:rFonts w:cstheme="minorHAnsi"/>
        </w:rPr>
        <w:t xml:space="preserve"> jednotlivých</w:t>
      </w:r>
      <w:r w:rsidRPr="004028E0">
        <w:rPr>
          <w:rFonts w:cstheme="minorHAnsi"/>
        </w:rPr>
        <w:t xml:space="preserve"> OBÚ. </w:t>
      </w:r>
    </w:p>
    <w:p w14:paraId="5CE6D197" w14:textId="77777777" w:rsidR="00442AF9" w:rsidRPr="004028E0" w:rsidRDefault="00442AF9" w:rsidP="00442AF9">
      <w:pPr>
        <w:rPr>
          <w:rFonts w:cstheme="minorHAnsi"/>
        </w:rPr>
      </w:pPr>
    </w:p>
    <w:p w14:paraId="1E0385E5" w14:textId="77777777" w:rsidR="000C54C3" w:rsidRPr="004C6452" w:rsidRDefault="00CB7290" w:rsidP="00C6577A">
      <w:pPr>
        <w:spacing w:after="120"/>
        <w:rPr>
          <w:rFonts w:cstheme="minorHAnsi"/>
        </w:rPr>
      </w:pPr>
      <w:r>
        <w:rPr>
          <w:rFonts w:cstheme="minorHAnsi"/>
          <w:b/>
        </w:rPr>
        <w:t>3. Zadávání veřejných zakázek</w:t>
      </w:r>
    </w:p>
    <w:p w14:paraId="5AB61391" w14:textId="66136A94" w:rsidR="000C54C3" w:rsidRDefault="00CB7290" w:rsidP="00386F2C">
      <w:pPr>
        <w:pStyle w:val="Odstavecseseznamem"/>
        <w:keepNext/>
        <w:spacing w:after="0" w:line="240" w:lineRule="auto"/>
        <w:ind w:left="0"/>
        <w:contextualSpacing w:val="0"/>
        <w:jc w:val="both"/>
      </w:pPr>
      <w:r w:rsidRPr="00155EB9">
        <w:t>V kontrolovaném období realizoval ČBÚ 11 veřejných zakázek v</w:t>
      </w:r>
      <w:r w:rsidR="005C1524">
        <w:t> zadávacím řízení podle</w:t>
      </w:r>
      <w:r w:rsidRPr="00155EB9">
        <w:t xml:space="preserve"> zákona o veřejných zakázkách</w:t>
      </w:r>
      <w:r w:rsidR="00421BAE">
        <w:rPr>
          <w:rStyle w:val="Znakapoznpodarou"/>
        </w:rPr>
        <w:footnoteReference w:id="17"/>
      </w:r>
      <w:r w:rsidR="00421BAE">
        <w:t xml:space="preserve"> </w:t>
      </w:r>
      <w:r w:rsidRPr="00155EB9">
        <w:t xml:space="preserve">a 63 veřejných zakázek malého rozsahu. </w:t>
      </w:r>
      <w:r w:rsidR="00386F2C">
        <w:rPr>
          <w:rFonts w:cstheme="minorHAnsi"/>
        </w:rPr>
        <w:t xml:space="preserve">Zadávání veřejných zakázek zajišťuje ČBÚ i pro jednotlivé OBÚ. U </w:t>
      </w:r>
      <w:r w:rsidR="00985809">
        <w:rPr>
          <w:rFonts w:cstheme="minorHAnsi"/>
        </w:rPr>
        <w:t xml:space="preserve">vzorku </w:t>
      </w:r>
      <w:r w:rsidR="006B0EBB">
        <w:rPr>
          <w:rFonts w:cstheme="minorHAnsi"/>
        </w:rPr>
        <w:t>12</w:t>
      </w:r>
      <w:r w:rsidR="004B6CF4">
        <w:rPr>
          <w:rFonts w:cstheme="minorHAnsi"/>
        </w:rPr>
        <w:t xml:space="preserve"> </w:t>
      </w:r>
      <w:r w:rsidR="00386F2C">
        <w:rPr>
          <w:rFonts w:cstheme="minorHAnsi"/>
        </w:rPr>
        <w:t>kontr</w:t>
      </w:r>
      <w:r w:rsidR="00845E4A">
        <w:rPr>
          <w:rFonts w:cstheme="minorHAnsi"/>
        </w:rPr>
        <w:t>olovaných veřejných zakázek</w:t>
      </w:r>
      <w:r w:rsidR="00585E37">
        <w:rPr>
          <w:rFonts w:cstheme="minorHAnsi"/>
        </w:rPr>
        <w:t xml:space="preserve"> </w:t>
      </w:r>
      <w:r w:rsidR="008726CA">
        <w:rPr>
          <w:rFonts w:cstheme="minorHAnsi"/>
        </w:rPr>
        <w:t xml:space="preserve">zadaných </w:t>
      </w:r>
      <w:r w:rsidR="00585E37">
        <w:rPr>
          <w:rFonts w:cstheme="minorHAnsi"/>
        </w:rPr>
        <w:t>v režimu zákona i mimo něj</w:t>
      </w:r>
      <w:r w:rsidR="00845E4A">
        <w:rPr>
          <w:rFonts w:cstheme="minorHAnsi"/>
        </w:rPr>
        <w:t xml:space="preserve"> </w:t>
      </w:r>
      <w:r w:rsidR="00845E4A" w:rsidRPr="00845E4A">
        <w:rPr>
          <w:rFonts w:cstheme="minorHAnsi"/>
        </w:rPr>
        <w:t>byla</w:t>
      </w:r>
      <w:r w:rsidR="00386F2C" w:rsidRPr="00845E4A">
        <w:rPr>
          <w:rFonts w:cstheme="minorHAnsi"/>
        </w:rPr>
        <w:t xml:space="preserve"> jediným </w:t>
      </w:r>
      <w:r w:rsidR="00386F2C">
        <w:rPr>
          <w:rFonts w:cstheme="minorHAnsi"/>
        </w:rPr>
        <w:t>kritériem vždy nejnižší nabídková cena.</w:t>
      </w:r>
    </w:p>
    <w:p w14:paraId="161993CB" w14:textId="77777777" w:rsidR="00386F2C" w:rsidRPr="00E102F4" w:rsidRDefault="00386F2C" w:rsidP="002219D8"/>
    <w:p w14:paraId="6E479EB9" w14:textId="77777777" w:rsidR="000C54C3" w:rsidRPr="005C1524" w:rsidRDefault="00CB7290" w:rsidP="000C54C3">
      <w:pPr>
        <w:keepNext/>
        <w:rPr>
          <w:rFonts w:cstheme="minorHAnsi"/>
          <w:b/>
        </w:rPr>
      </w:pPr>
      <w:r w:rsidRPr="005C1524">
        <w:rPr>
          <w:rFonts w:cstheme="minorHAnsi"/>
          <w:b/>
        </w:rPr>
        <w:t>Veřejné zakázky</w:t>
      </w:r>
      <w:r w:rsidR="005C1524" w:rsidRPr="005C1524">
        <w:rPr>
          <w:rFonts w:cstheme="minorHAnsi"/>
          <w:b/>
        </w:rPr>
        <w:t xml:space="preserve"> </w:t>
      </w:r>
      <w:r w:rsidR="005C1524" w:rsidRPr="005C1524">
        <w:rPr>
          <w:b/>
        </w:rPr>
        <w:t>v zadávacím řízení podle zákona</w:t>
      </w:r>
      <w:r w:rsidRPr="005C1524">
        <w:rPr>
          <w:rFonts w:cstheme="minorHAnsi"/>
          <w:b/>
        </w:rPr>
        <w:t xml:space="preserve"> </w:t>
      </w:r>
    </w:p>
    <w:p w14:paraId="4CA10017" w14:textId="0E0146F9" w:rsidR="000C54C3" w:rsidRPr="00155EB9" w:rsidRDefault="00CB7290" w:rsidP="000C54C3">
      <w:r>
        <w:t>Ověření tří veřejných</w:t>
      </w:r>
      <w:r w:rsidRPr="00155EB9">
        <w:t xml:space="preserve"> zakáz</w:t>
      </w:r>
      <w:r>
        <w:t>ek zadaných</w:t>
      </w:r>
      <w:r w:rsidRPr="00155EB9">
        <w:t xml:space="preserve"> v režimu zákona </w:t>
      </w:r>
      <w:r w:rsidR="00F227F6">
        <w:t xml:space="preserve">v celkové hodnotě </w:t>
      </w:r>
      <w:r w:rsidR="00845E4A">
        <w:t>21 232 864 Kč</w:t>
      </w:r>
      <w:r>
        <w:rPr>
          <w:rStyle w:val="Znakapoznpodarou"/>
        </w:rPr>
        <w:footnoteReference w:id="18"/>
      </w:r>
      <w:r w:rsidR="00F227F6" w:rsidRPr="00C6577A">
        <w:t xml:space="preserve"> </w:t>
      </w:r>
      <w:r>
        <w:t>týkajících se rekonstrukce budovy OBÚ v</w:t>
      </w:r>
      <w:r w:rsidR="005307E8">
        <w:t> </w:t>
      </w:r>
      <w:r>
        <w:t>Mostě</w:t>
      </w:r>
      <w:r w:rsidR="005307E8">
        <w:t>,</w:t>
      </w:r>
      <w:r>
        <w:t xml:space="preserve"> dodávky tiskových náplní</w:t>
      </w:r>
      <w:r w:rsidR="005307E8">
        <w:t xml:space="preserve"> a úpravy a rozvoje Informačního systému úhrad</w:t>
      </w:r>
      <w:r>
        <w:t xml:space="preserve"> potvrdilo, že ČBÚ postupoval v souladu se zákonem. Nedostatek </w:t>
      </w:r>
      <w:r w:rsidR="00386F2C">
        <w:t xml:space="preserve">méně významného charakteru </w:t>
      </w:r>
      <w:r>
        <w:t xml:space="preserve">byl zjištěn u </w:t>
      </w:r>
      <w:r w:rsidR="00845E4A">
        <w:rPr>
          <w:rFonts w:cstheme="minorHAnsi"/>
        </w:rPr>
        <w:t>s</w:t>
      </w:r>
      <w:r>
        <w:rPr>
          <w:rFonts w:cstheme="minorHAnsi"/>
        </w:rPr>
        <w:t>mlouvy</w:t>
      </w:r>
      <w:r w:rsidRPr="00155EB9">
        <w:rPr>
          <w:rFonts w:cstheme="minorHAnsi"/>
        </w:rPr>
        <w:t xml:space="preserve"> na druhou etapu realizace rekonstrukce budovy OBÚ v</w:t>
      </w:r>
      <w:r w:rsidR="00421BAE">
        <w:rPr>
          <w:rFonts w:cstheme="minorHAnsi"/>
        </w:rPr>
        <w:t> </w:t>
      </w:r>
      <w:r w:rsidRPr="00155EB9">
        <w:rPr>
          <w:rFonts w:cstheme="minorHAnsi"/>
        </w:rPr>
        <w:t>Mostě</w:t>
      </w:r>
      <w:r w:rsidR="00421BAE">
        <w:rPr>
          <w:rFonts w:cstheme="minorHAnsi"/>
        </w:rPr>
        <w:t xml:space="preserve">. Zjištěné pochybení nemělo dopad na výběr zhotovitele ani na výši vynaložených peněžních prostředků. </w:t>
      </w:r>
    </w:p>
    <w:p w14:paraId="578D46F3" w14:textId="72C02449" w:rsidR="000C54C3" w:rsidRDefault="000C54C3" w:rsidP="002219D8"/>
    <w:p w14:paraId="61E7B4E3" w14:textId="77777777" w:rsidR="000C54C3" w:rsidRPr="009A1C41" w:rsidRDefault="00CB7290" w:rsidP="000457FA">
      <w:pPr>
        <w:keepNext/>
        <w:rPr>
          <w:rFonts w:cstheme="minorHAnsi"/>
          <w:b/>
        </w:rPr>
      </w:pPr>
      <w:r w:rsidRPr="009A1C41">
        <w:rPr>
          <w:rFonts w:cstheme="minorHAnsi"/>
          <w:b/>
        </w:rPr>
        <w:t>Veřejné zakázky malého rozsahu</w:t>
      </w:r>
    </w:p>
    <w:p w14:paraId="111355CA" w14:textId="3AC79C78" w:rsidR="000C54C3" w:rsidRDefault="00CB7290" w:rsidP="000C54C3">
      <w:pPr>
        <w:rPr>
          <w:rFonts w:cstheme="minorHAnsi"/>
        </w:rPr>
      </w:pPr>
      <w:r>
        <w:rPr>
          <w:rFonts w:cstheme="minorHAnsi"/>
        </w:rPr>
        <w:t xml:space="preserve">Z kontroly </w:t>
      </w:r>
      <w:r>
        <w:t>devíti</w:t>
      </w:r>
      <w:r>
        <w:rPr>
          <w:rStyle w:val="Znakapoznpodarou"/>
        </w:rPr>
        <w:footnoteReference w:id="19"/>
      </w:r>
      <w:r w:rsidRPr="00155EB9">
        <w:t xml:space="preserve"> veřejných zakázek </w:t>
      </w:r>
      <w:r w:rsidR="004B6CF4">
        <w:t xml:space="preserve">v celkové hodnotě 16 803 694 Kč </w:t>
      </w:r>
      <w:r w:rsidRPr="00155EB9">
        <w:t xml:space="preserve">zadaných mimo režim zákona o veřejných zakázkách </w:t>
      </w:r>
      <w:r w:rsidR="004F211B">
        <w:t>vyplynulo</w:t>
      </w:r>
      <w:r w:rsidRPr="00845E4A">
        <w:t xml:space="preserve">, že </w:t>
      </w:r>
      <w:r w:rsidR="00AA33CC" w:rsidRPr="00845E4A">
        <w:t>v</w:t>
      </w:r>
      <w:r w:rsidRPr="00845E4A">
        <w:t> </w:t>
      </w:r>
      <w:r>
        <w:t xml:space="preserve">sedmi </w:t>
      </w:r>
      <w:r w:rsidR="005C1524">
        <w:t xml:space="preserve">kontrolovaných </w:t>
      </w:r>
      <w:r>
        <w:t xml:space="preserve">případech ČBÚ </w:t>
      </w:r>
      <w:r w:rsidRPr="00155EB9">
        <w:rPr>
          <w:rFonts w:cstheme="minorHAnsi"/>
        </w:rPr>
        <w:t xml:space="preserve">postupoval </w:t>
      </w:r>
      <w:r>
        <w:t>p</w:t>
      </w:r>
      <w:r w:rsidRPr="00155EB9">
        <w:rPr>
          <w:rFonts w:cstheme="minorHAnsi"/>
        </w:rPr>
        <w:t xml:space="preserve">ři výběru dodavatelů zakázek malého rozsahu transparentním způsobem </w:t>
      </w:r>
      <w:r w:rsidR="004B6CF4">
        <w:rPr>
          <w:rFonts w:cstheme="minorHAnsi"/>
        </w:rPr>
        <w:lastRenderedPageBreak/>
        <w:t>a</w:t>
      </w:r>
      <w:r w:rsidR="00B45CD2">
        <w:rPr>
          <w:rFonts w:cstheme="minorHAnsi"/>
        </w:rPr>
        <w:t> </w:t>
      </w:r>
      <w:r w:rsidRPr="00155EB9">
        <w:rPr>
          <w:rFonts w:cstheme="minorHAnsi"/>
        </w:rPr>
        <w:t xml:space="preserve">v souladu se zásadami rovného zacházení a zákazu diskriminace, resp. </w:t>
      </w:r>
      <w:r w:rsidR="004F211B">
        <w:rPr>
          <w:rFonts w:cstheme="minorHAnsi"/>
        </w:rPr>
        <w:t xml:space="preserve">že </w:t>
      </w:r>
      <w:r w:rsidRPr="00155EB9">
        <w:rPr>
          <w:rFonts w:cstheme="minorHAnsi"/>
        </w:rPr>
        <w:t xml:space="preserve">přímé zadání veřejné zakázky malého rozsahu jednomu dodavateli bylo opodstatněné. </w:t>
      </w:r>
    </w:p>
    <w:p w14:paraId="2DCEDA62" w14:textId="77777777" w:rsidR="00C904DC" w:rsidRPr="00D46DD4" w:rsidRDefault="00CB7290" w:rsidP="000457FA">
      <w:pPr>
        <w:pStyle w:val="Nadpis2"/>
        <w:spacing w:before="240" w:after="120"/>
        <w:rPr>
          <w:rFonts w:asciiTheme="minorHAnsi" w:hAnsiTheme="minorHAnsi" w:cstheme="minorHAnsi"/>
          <w:b/>
          <w:color w:val="auto"/>
          <w:sz w:val="24"/>
        </w:rPr>
      </w:pPr>
      <w:r>
        <w:rPr>
          <w:rFonts w:asciiTheme="minorHAnsi" w:hAnsiTheme="minorHAnsi" w:cstheme="minorHAnsi"/>
          <w:b/>
          <w:color w:val="auto"/>
          <w:sz w:val="24"/>
        </w:rPr>
        <w:t xml:space="preserve">4. </w:t>
      </w:r>
      <w:r w:rsidRPr="00D46DD4">
        <w:rPr>
          <w:rFonts w:asciiTheme="minorHAnsi" w:hAnsiTheme="minorHAnsi" w:cstheme="minorHAnsi"/>
          <w:b/>
          <w:color w:val="auto"/>
          <w:sz w:val="24"/>
        </w:rPr>
        <w:t xml:space="preserve">Program </w:t>
      </w:r>
      <w:r w:rsidRPr="00D46D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rozvoje a obnovy materiálně technické základny </w:t>
      </w:r>
    </w:p>
    <w:p w14:paraId="739CBDB0" w14:textId="16CA6F4E" w:rsidR="00C904DC" w:rsidRDefault="00CB7290" w:rsidP="004812DB">
      <w:pPr>
        <w:rPr>
          <w:rFonts w:cstheme="minorHAnsi"/>
        </w:rPr>
      </w:pPr>
      <w:r w:rsidRPr="00155EB9">
        <w:t>C</w:t>
      </w:r>
      <w:r w:rsidRPr="00155EB9">
        <w:rPr>
          <w:rFonts w:cstheme="minorHAnsi"/>
        </w:rPr>
        <w:t xml:space="preserve">ílem programu </w:t>
      </w:r>
      <w:r w:rsidRPr="00C904DC">
        <w:rPr>
          <w:rFonts w:cstheme="minorHAnsi"/>
        </w:rPr>
        <w:t>rozvoje a obnovy materiálně technické základny bylo v době jeho</w:t>
      </w:r>
      <w:r w:rsidRPr="00155EB9">
        <w:rPr>
          <w:rFonts w:cstheme="minorHAnsi"/>
        </w:rPr>
        <w:t xml:space="preserve"> </w:t>
      </w:r>
      <w:r>
        <w:rPr>
          <w:rFonts w:cstheme="minorHAnsi"/>
        </w:rPr>
        <w:t>zahájení v roce 2013</w:t>
      </w:r>
      <w:r w:rsidRPr="00155EB9">
        <w:rPr>
          <w:rFonts w:cstheme="minorHAnsi"/>
        </w:rPr>
        <w:t xml:space="preserve"> „</w:t>
      </w:r>
      <w:r w:rsidR="004B6CF4" w:rsidRPr="000457FA">
        <w:rPr>
          <w:rFonts w:cstheme="minorHAnsi"/>
          <w:i/>
        </w:rPr>
        <w:t>v</w:t>
      </w:r>
      <w:r w:rsidRPr="000457FA">
        <w:rPr>
          <w:rFonts w:cstheme="minorHAnsi"/>
          <w:i/>
        </w:rPr>
        <w:t>ytvoření jednotného informačního systému SBS</w:t>
      </w:r>
      <w:r w:rsidRPr="00155EB9">
        <w:rPr>
          <w:rFonts w:cstheme="minorHAnsi"/>
        </w:rPr>
        <w:t>“ v cílovém roce 2015. Program byl členěn na dva podprogramy</w:t>
      </w:r>
      <w:r>
        <w:rPr>
          <w:rFonts w:cstheme="minorHAnsi"/>
        </w:rPr>
        <w:t>:</w:t>
      </w:r>
    </w:p>
    <w:p w14:paraId="5F25EBD7" w14:textId="50ADF21A" w:rsidR="00C904DC" w:rsidRPr="004812DB" w:rsidRDefault="00CB7290" w:rsidP="004812DB">
      <w:pPr>
        <w:pStyle w:val="Odstavecseseznamem"/>
        <w:numPr>
          <w:ilvl w:val="1"/>
          <w:numId w:val="9"/>
        </w:numPr>
        <w:spacing w:line="240" w:lineRule="auto"/>
        <w:ind w:left="284" w:hanging="284"/>
        <w:rPr>
          <w:rFonts w:cstheme="minorHAnsi"/>
        </w:rPr>
      </w:pPr>
      <w:r w:rsidRPr="004812DB">
        <w:rPr>
          <w:rFonts w:cstheme="minorHAnsi"/>
        </w:rPr>
        <w:t xml:space="preserve">148V011 – </w:t>
      </w:r>
      <w:r w:rsidRPr="000457FA">
        <w:rPr>
          <w:rFonts w:cstheme="minorHAnsi"/>
          <w:i/>
        </w:rPr>
        <w:t>Pořízení, obnova a provozování ICT Českého báňského úřadu</w:t>
      </w:r>
      <w:r w:rsidR="004B6CF4">
        <w:rPr>
          <w:rFonts w:cstheme="minorHAnsi"/>
        </w:rPr>
        <w:t>,</w:t>
      </w:r>
      <w:r w:rsidRPr="000457FA">
        <w:rPr>
          <w:rFonts w:cstheme="minorHAnsi"/>
          <w:i/>
        </w:rPr>
        <w:t xml:space="preserve"> </w:t>
      </w:r>
    </w:p>
    <w:p w14:paraId="4CD58E51" w14:textId="77777777" w:rsidR="00C904DC" w:rsidRPr="004812DB" w:rsidRDefault="00CB7290" w:rsidP="004812DB">
      <w:pPr>
        <w:pStyle w:val="Odstavecseseznamem"/>
        <w:numPr>
          <w:ilvl w:val="1"/>
          <w:numId w:val="9"/>
        </w:numPr>
        <w:spacing w:line="240" w:lineRule="auto"/>
        <w:ind w:left="284" w:hanging="284"/>
        <w:rPr>
          <w:rFonts w:cstheme="minorHAnsi"/>
        </w:rPr>
      </w:pPr>
      <w:r w:rsidRPr="004812DB">
        <w:rPr>
          <w:rFonts w:cstheme="minorHAnsi"/>
        </w:rPr>
        <w:t xml:space="preserve">148V012 – </w:t>
      </w:r>
      <w:r w:rsidRPr="000457FA">
        <w:rPr>
          <w:rFonts w:cstheme="minorHAnsi"/>
          <w:i/>
        </w:rPr>
        <w:t>Reprodukce majetku Českého báňského úřadu</w:t>
      </w:r>
      <w:r w:rsidR="00CF4818" w:rsidRPr="004812DB">
        <w:rPr>
          <w:rFonts w:cstheme="minorHAnsi"/>
        </w:rPr>
        <w:t>.</w:t>
      </w:r>
      <w:r w:rsidRPr="004812DB">
        <w:rPr>
          <w:rFonts w:cstheme="minorHAnsi"/>
        </w:rPr>
        <w:t xml:space="preserve"> </w:t>
      </w:r>
    </w:p>
    <w:p w14:paraId="37C192E4" w14:textId="3F12EBE5" w:rsidR="00C904DC" w:rsidRDefault="00CB7290" w:rsidP="004812DB">
      <w:r>
        <w:rPr>
          <w:rFonts w:cstheme="minorHAnsi"/>
        </w:rPr>
        <w:t>Během pěti let realizace programu ČBÚ pětkrát aktualizoval dokumentaci programu, a to po věcné, čas</w:t>
      </w:r>
      <w:r w:rsidR="0008011D">
        <w:rPr>
          <w:rFonts w:cstheme="minorHAnsi"/>
        </w:rPr>
        <w:t xml:space="preserve">ové i finanční stránce. </w:t>
      </w:r>
      <w:r w:rsidR="004912F3">
        <w:rPr>
          <w:rFonts w:cstheme="minorHAnsi"/>
        </w:rPr>
        <w:t>Ke čtyřem</w:t>
      </w:r>
      <w:r>
        <w:rPr>
          <w:rFonts w:cstheme="minorHAnsi"/>
        </w:rPr>
        <w:t xml:space="preserve"> původ</w:t>
      </w:r>
      <w:r w:rsidR="004912F3">
        <w:rPr>
          <w:rFonts w:cstheme="minorHAnsi"/>
        </w:rPr>
        <w:t>ním cílům programu doplnil sedm</w:t>
      </w:r>
      <w:r>
        <w:rPr>
          <w:rFonts w:cstheme="minorHAnsi"/>
        </w:rPr>
        <w:t xml:space="preserve"> další</w:t>
      </w:r>
      <w:r w:rsidR="004912F3">
        <w:rPr>
          <w:rFonts w:cstheme="minorHAnsi"/>
        </w:rPr>
        <w:t>ch cílů</w:t>
      </w:r>
      <w:r w:rsidR="00CF4818">
        <w:rPr>
          <w:rFonts w:cstheme="minorHAnsi"/>
        </w:rPr>
        <w:t xml:space="preserve"> a počet akcí zařazených</w:t>
      </w:r>
      <w:r>
        <w:rPr>
          <w:rFonts w:cstheme="minorHAnsi"/>
        </w:rPr>
        <w:t xml:space="preserve"> do programu </w:t>
      </w:r>
      <w:r w:rsidR="00CF4818">
        <w:rPr>
          <w:rFonts w:cstheme="minorHAnsi"/>
        </w:rPr>
        <w:t xml:space="preserve">na začátku roku 2013 </w:t>
      </w:r>
      <w:r w:rsidRPr="00CF4818">
        <w:rPr>
          <w:rFonts w:cstheme="minorHAnsi"/>
        </w:rPr>
        <w:t xml:space="preserve">zvýšil </w:t>
      </w:r>
      <w:r w:rsidR="00CF4818" w:rsidRPr="00CF4818">
        <w:rPr>
          <w:rFonts w:cstheme="minorHAnsi"/>
        </w:rPr>
        <w:t>z 6</w:t>
      </w:r>
      <w:r w:rsidRPr="00CF4818">
        <w:rPr>
          <w:rFonts w:cstheme="minorHAnsi"/>
        </w:rPr>
        <w:t xml:space="preserve"> na </w:t>
      </w:r>
      <w:r>
        <w:rPr>
          <w:rFonts w:cstheme="minorHAnsi"/>
        </w:rPr>
        <w:t>22 akcí. V důsledku toho vzrostla celková potřeba finančních prostředků na program z</w:t>
      </w:r>
      <w:r w:rsidR="002219D8">
        <w:rPr>
          <w:rFonts w:cstheme="minorHAnsi"/>
        </w:rPr>
        <w:t> </w:t>
      </w:r>
      <w:r w:rsidRPr="00155EB9">
        <w:rPr>
          <w:rFonts w:cstheme="minorHAnsi"/>
        </w:rPr>
        <w:t>12 376</w:t>
      </w:r>
      <w:r w:rsidR="002219D8">
        <w:rPr>
          <w:rFonts w:cstheme="minorHAnsi"/>
        </w:rPr>
        <w:t> </w:t>
      </w:r>
      <w:r w:rsidR="002219D8" w:rsidRPr="00155EB9">
        <w:rPr>
          <w:rFonts w:cstheme="minorHAnsi"/>
        </w:rPr>
        <w:t>000</w:t>
      </w:r>
      <w:r w:rsidR="002219D8">
        <w:rPr>
          <w:rFonts w:cstheme="minorHAnsi"/>
        </w:rPr>
        <w:t> </w:t>
      </w:r>
      <w:r w:rsidRPr="00155EB9">
        <w:rPr>
          <w:rFonts w:cstheme="minorHAnsi"/>
        </w:rPr>
        <w:t>Kč</w:t>
      </w:r>
      <w:r>
        <w:rPr>
          <w:rFonts w:cstheme="minorHAnsi"/>
        </w:rPr>
        <w:t xml:space="preserve"> na </w:t>
      </w:r>
      <w:r w:rsidRPr="00155EB9">
        <w:t>95 337 302</w:t>
      </w:r>
      <w:r w:rsidR="002219D8">
        <w:t> </w:t>
      </w:r>
      <w:r w:rsidRPr="00155EB9">
        <w:t>Kč</w:t>
      </w:r>
      <w:r>
        <w:rPr>
          <w:rStyle w:val="Znakapoznpodarou"/>
        </w:rPr>
        <w:footnoteReference w:id="20"/>
      </w:r>
      <w:r w:rsidR="004912F3">
        <w:t xml:space="preserve"> a doba ukončení </w:t>
      </w:r>
      <w:r>
        <w:t xml:space="preserve">realizace </w:t>
      </w:r>
      <w:r w:rsidR="004912F3">
        <w:t xml:space="preserve">programu </w:t>
      </w:r>
      <w:r>
        <w:t>se posunula z</w:t>
      </w:r>
      <w:r w:rsidR="002219D8">
        <w:t xml:space="preserve"> konce </w:t>
      </w:r>
      <w:r>
        <w:t xml:space="preserve">roku 2015 do </w:t>
      </w:r>
      <w:r w:rsidR="00350A8D">
        <w:t xml:space="preserve">konce </w:t>
      </w:r>
      <w:r>
        <w:t>roku 2020.</w:t>
      </w:r>
      <w:r w:rsidRPr="00433671">
        <w:t xml:space="preserve"> </w:t>
      </w:r>
      <w:r>
        <w:t>Tímto postupem nebyly dodrženy principy cílově oriento</w:t>
      </w:r>
      <w:r w:rsidR="00B6775C">
        <w:t xml:space="preserve">vaného programového financování, jehož podstatou je financování cílového stavu, kterého má být dosaženo v daném časovém úseku, stanoveným způsobem a </w:t>
      </w:r>
      <w:r w:rsidR="002D7643">
        <w:t xml:space="preserve">s </w:t>
      </w:r>
      <w:r w:rsidR="00B6775C">
        <w:t xml:space="preserve">určenou výší peněžních prostředků. </w:t>
      </w:r>
      <w:r w:rsidRPr="003D5B6E">
        <w:t>Program, který je opakovaně doplňován o nové cíle a na ně vázané akce, je tak ve svém důsledku orientován na rozpočtové, nikoliv na programové financování jednotlivých akcí.</w:t>
      </w:r>
      <w:r>
        <w:t xml:space="preserve"> Absenci cílově orientovaného přístupu dokládají i</w:t>
      </w:r>
      <w:r w:rsidR="004B6CF4">
        <w:t xml:space="preserve"> </w:t>
      </w:r>
      <w:r>
        <w:t xml:space="preserve">tři zjištěné případy, kdy ČBÚ vydal </w:t>
      </w:r>
      <w:r w:rsidR="004B6CF4" w:rsidRPr="000457FA">
        <w:rPr>
          <w:i/>
        </w:rPr>
        <w:t>s</w:t>
      </w:r>
      <w:r w:rsidRPr="000457FA">
        <w:rPr>
          <w:i/>
        </w:rPr>
        <w:t>tanovení výdajů na finan</w:t>
      </w:r>
      <w:r w:rsidR="00A350EE" w:rsidRPr="000457FA">
        <w:rPr>
          <w:i/>
        </w:rPr>
        <w:t>cování akc</w:t>
      </w:r>
      <w:r w:rsidR="004B6CF4" w:rsidRPr="000457FA">
        <w:rPr>
          <w:i/>
        </w:rPr>
        <w:t>e</w:t>
      </w:r>
      <w:r w:rsidR="00A350EE">
        <w:t xml:space="preserve"> </w:t>
      </w:r>
      <w:r w:rsidR="00CF4818">
        <w:t xml:space="preserve">cca </w:t>
      </w:r>
      <w:r w:rsidR="00A350EE">
        <w:t>o půl roku dříve, ne</w:t>
      </w:r>
      <w:r w:rsidR="005930B0">
        <w:t xml:space="preserve">ž </w:t>
      </w:r>
      <w:r>
        <w:t>Ministerstvo finan</w:t>
      </w:r>
      <w:r w:rsidR="00A350EE">
        <w:t>c</w:t>
      </w:r>
      <w:r w:rsidR="002D282A">
        <w:t>í schválilo doplnění programu o </w:t>
      </w:r>
      <w:r w:rsidR="00A350EE">
        <w:t xml:space="preserve">příslušný cíl týkající se daných </w:t>
      </w:r>
      <w:r w:rsidR="004B6CF4">
        <w:t xml:space="preserve">tří </w:t>
      </w:r>
      <w:r w:rsidR="00A350EE">
        <w:t>akcí</w:t>
      </w:r>
      <w:r>
        <w:rPr>
          <w:rStyle w:val="Znakapoznpodarou"/>
        </w:rPr>
        <w:footnoteReference w:id="21"/>
      </w:r>
      <w:r>
        <w:t xml:space="preserve">. Přestože program rozvoje a obnovy materiálně technické základny má </w:t>
      </w:r>
      <w:r w:rsidR="007761DC">
        <w:t xml:space="preserve">zejména z hlediska nastavení cílů </w:t>
      </w:r>
      <w:r>
        <w:t xml:space="preserve">jiný charakter než programy zaměřené na účelové dotace, měl by být důsledněji připraven. </w:t>
      </w:r>
    </w:p>
    <w:p w14:paraId="12E64FD0" w14:textId="77777777" w:rsidR="00BC1264" w:rsidRDefault="00BC1264" w:rsidP="00AA33CC">
      <w:pPr>
        <w:pStyle w:val="Odstavecseseznamem"/>
        <w:spacing w:line="240" w:lineRule="auto"/>
        <w:ind w:left="142"/>
        <w:jc w:val="both"/>
        <w:rPr>
          <w:rFonts w:cstheme="minorHAnsi"/>
        </w:rPr>
      </w:pPr>
    </w:p>
    <w:p w14:paraId="2890AAEB" w14:textId="77777777" w:rsidR="002014F2" w:rsidRDefault="00CB7290" w:rsidP="002014F2">
      <w:pPr>
        <w:pStyle w:val="Odstavecseseznamem"/>
        <w:spacing w:line="240" w:lineRule="auto"/>
        <w:ind w:left="142"/>
        <w:jc w:val="center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 wp14:anchorId="7A326DB0" wp14:editId="189A9051">
            <wp:extent cx="4490085" cy="2456597"/>
            <wp:effectExtent l="0" t="0" r="5715" b="127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F9B05E" w14:textId="77777777" w:rsidR="002014F2" w:rsidRDefault="002014F2" w:rsidP="00AA33CC">
      <w:pPr>
        <w:pStyle w:val="Odstavecseseznamem"/>
        <w:spacing w:line="240" w:lineRule="auto"/>
        <w:ind w:left="142"/>
        <w:jc w:val="both"/>
        <w:rPr>
          <w:rFonts w:cstheme="minorHAnsi"/>
        </w:rPr>
      </w:pPr>
    </w:p>
    <w:p w14:paraId="15EFEC6E" w14:textId="77777777" w:rsidR="002014F2" w:rsidRDefault="002014F2" w:rsidP="00AA33CC">
      <w:pPr>
        <w:pStyle w:val="Odstavecseseznamem"/>
        <w:spacing w:line="240" w:lineRule="auto"/>
        <w:ind w:left="142"/>
        <w:jc w:val="both"/>
        <w:rPr>
          <w:rFonts w:cstheme="minorHAnsi"/>
        </w:rPr>
      </w:pPr>
    </w:p>
    <w:p w14:paraId="304DE91D" w14:textId="77777777" w:rsidR="002014F2" w:rsidRPr="00210E2E" w:rsidRDefault="00CB7290" w:rsidP="002014F2">
      <w:pPr>
        <w:pStyle w:val="Odstavecseseznamem"/>
        <w:spacing w:line="240" w:lineRule="auto"/>
        <w:ind w:left="142"/>
        <w:jc w:val="center"/>
        <w:rPr>
          <w:rFonts w:cstheme="minorHAnsi"/>
        </w:rPr>
      </w:pPr>
      <w:r>
        <w:rPr>
          <w:noProof/>
          <w:lang w:eastAsia="cs-CZ"/>
        </w:rPr>
        <w:lastRenderedPageBreak/>
        <w:drawing>
          <wp:inline distT="0" distB="0" distL="0" distR="0" wp14:anchorId="4C60B1E7" wp14:editId="32781B74">
            <wp:extent cx="4545330" cy="2415654"/>
            <wp:effectExtent l="0" t="0" r="7620" b="381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F4DD5F" w14:textId="77777777" w:rsidR="004F211B" w:rsidRDefault="004F211B" w:rsidP="00307CCE">
      <w:pPr>
        <w:rPr>
          <w:rFonts w:cstheme="minorHAnsi"/>
          <w:b/>
        </w:rPr>
      </w:pPr>
    </w:p>
    <w:p w14:paraId="47DD4533" w14:textId="53F0774C" w:rsidR="00307CCE" w:rsidRPr="009018E8" w:rsidRDefault="00CB7290" w:rsidP="00307CCE">
      <w:pPr>
        <w:rPr>
          <w:rFonts w:cstheme="minorHAnsi"/>
          <w:b/>
        </w:rPr>
      </w:pPr>
      <w:r>
        <w:rPr>
          <w:rFonts w:cstheme="minorHAnsi"/>
          <w:b/>
        </w:rPr>
        <w:t xml:space="preserve">5. Správa výnosů </w:t>
      </w:r>
      <w:r w:rsidR="00874BAD">
        <w:rPr>
          <w:rFonts w:cstheme="minorHAnsi"/>
          <w:b/>
        </w:rPr>
        <w:t xml:space="preserve">úhrad z dobývacích prostorů a vydobytých nerostů </w:t>
      </w:r>
      <w:r w:rsidR="00CF20BF">
        <w:rPr>
          <w:rFonts w:cstheme="minorHAnsi"/>
          <w:b/>
        </w:rPr>
        <w:t>a udělených pokut</w:t>
      </w:r>
    </w:p>
    <w:p w14:paraId="423180B2" w14:textId="556A80AD" w:rsidR="00874BAD" w:rsidRDefault="00CB7290" w:rsidP="00A77D95">
      <w:pPr>
        <w:spacing w:before="120"/>
        <w:rPr>
          <w:rFonts w:cstheme="minorHAnsi"/>
        </w:rPr>
      </w:pPr>
      <w:r>
        <w:rPr>
          <w:rFonts w:cstheme="minorHAnsi"/>
        </w:rPr>
        <w:t>Jednotliv</w:t>
      </w:r>
      <w:r w:rsidR="00646590">
        <w:rPr>
          <w:rFonts w:cstheme="minorHAnsi"/>
        </w:rPr>
        <w:t>é</w:t>
      </w:r>
      <w:r>
        <w:rPr>
          <w:rFonts w:cstheme="minorHAnsi"/>
        </w:rPr>
        <w:t xml:space="preserve"> OBÚ jakožto správci úhrad z dobývacích prostorů a vydobytých nerostů vedou evidenci plátců, zjišťují správnost výpočtu základu úhrady a výše úhrad, kontrolují včasnost a</w:t>
      </w:r>
      <w:r w:rsidR="002219D8">
        <w:rPr>
          <w:rFonts w:cstheme="minorHAnsi"/>
        </w:rPr>
        <w:t> </w:t>
      </w:r>
      <w:r>
        <w:rPr>
          <w:rFonts w:cstheme="minorHAnsi"/>
        </w:rPr>
        <w:t>úplnost plateb úhrad, vymáhají úhrady od neplatičů</w:t>
      </w:r>
      <w:r w:rsidR="00646590">
        <w:rPr>
          <w:rFonts w:cstheme="minorHAnsi"/>
        </w:rPr>
        <w:t xml:space="preserve">. Do 31. prosince 2016 měly </w:t>
      </w:r>
      <w:r w:rsidR="00637D39">
        <w:rPr>
          <w:rFonts w:cstheme="minorHAnsi"/>
        </w:rPr>
        <w:t xml:space="preserve">OBÚ </w:t>
      </w:r>
      <w:r w:rsidR="00646590">
        <w:rPr>
          <w:rFonts w:cstheme="minorHAnsi"/>
        </w:rPr>
        <w:t>povinnost</w:t>
      </w:r>
      <w:r>
        <w:rPr>
          <w:rFonts w:cstheme="minorHAnsi"/>
        </w:rPr>
        <w:t xml:space="preserve"> </w:t>
      </w:r>
      <w:r w:rsidR="00646590">
        <w:rPr>
          <w:rFonts w:cstheme="minorHAnsi"/>
        </w:rPr>
        <w:t>vést</w:t>
      </w:r>
      <w:r>
        <w:rPr>
          <w:rFonts w:cstheme="minorHAnsi"/>
        </w:rPr>
        <w:t xml:space="preserve"> účty úhrad a </w:t>
      </w:r>
      <w:r w:rsidR="00637D39">
        <w:rPr>
          <w:rFonts w:cstheme="minorHAnsi"/>
        </w:rPr>
        <w:t xml:space="preserve">realizovat </w:t>
      </w:r>
      <w:r>
        <w:rPr>
          <w:rFonts w:cstheme="minorHAnsi"/>
        </w:rPr>
        <w:t xml:space="preserve">převody úhrad oprávněným příjemcům, kterými byly do konce roku 2016 obce, </w:t>
      </w:r>
      <w:r w:rsidR="00CF4818">
        <w:rPr>
          <w:rFonts w:cstheme="minorHAnsi"/>
        </w:rPr>
        <w:t>MPO a</w:t>
      </w:r>
      <w:r>
        <w:rPr>
          <w:rFonts w:cstheme="minorHAnsi"/>
        </w:rPr>
        <w:t xml:space="preserve"> MŽP. Od 1. ledna 2017 na základě novely horního zákona </w:t>
      </w:r>
      <w:r w:rsidR="00637D39">
        <w:rPr>
          <w:rFonts w:cstheme="minorHAnsi"/>
        </w:rPr>
        <w:t xml:space="preserve">odesílá vybrané prostředky oprávněným příjemcům přímo ČBÚ a část výnosů úhrad </w:t>
      </w:r>
      <w:r>
        <w:rPr>
          <w:rFonts w:cstheme="minorHAnsi"/>
        </w:rPr>
        <w:t xml:space="preserve">se stala </w:t>
      </w:r>
      <w:r w:rsidR="003F4780">
        <w:rPr>
          <w:rFonts w:cstheme="minorHAnsi"/>
        </w:rPr>
        <w:t>příjmem kapitoly</w:t>
      </w:r>
      <w:r>
        <w:rPr>
          <w:rFonts w:cstheme="minorHAnsi"/>
        </w:rPr>
        <w:t xml:space="preserve"> ČBÚ</w:t>
      </w:r>
      <w:r w:rsidR="003F4780">
        <w:rPr>
          <w:rFonts w:cstheme="minorHAnsi"/>
        </w:rPr>
        <w:t xml:space="preserve">. </w:t>
      </w:r>
      <w:r>
        <w:rPr>
          <w:rFonts w:cstheme="minorHAnsi"/>
        </w:rPr>
        <w:t>ČBÚ plní roli nadřízeného správce úhr</w:t>
      </w:r>
      <w:r w:rsidR="002D282A">
        <w:rPr>
          <w:rFonts w:cstheme="minorHAnsi"/>
        </w:rPr>
        <w:t>ad, který mimo jiné rozhoduje o </w:t>
      </w:r>
      <w:r>
        <w:rPr>
          <w:rFonts w:cstheme="minorHAnsi"/>
        </w:rPr>
        <w:t>odvolání</w:t>
      </w:r>
      <w:r w:rsidR="008D2A46">
        <w:rPr>
          <w:rFonts w:cstheme="minorHAnsi"/>
        </w:rPr>
        <w:t>ch</w:t>
      </w:r>
      <w:r>
        <w:rPr>
          <w:rFonts w:cstheme="minorHAnsi"/>
        </w:rPr>
        <w:t xml:space="preserve"> proti rozhodnutím vydaným OBÚ. </w:t>
      </w:r>
      <w:r w:rsidR="00F574C8">
        <w:rPr>
          <w:rFonts w:cstheme="minorHAnsi"/>
        </w:rPr>
        <w:t>Ověřen byl postup tří</w:t>
      </w:r>
      <w:r>
        <w:rPr>
          <w:rFonts w:cstheme="minorHAnsi"/>
        </w:rPr>
        <w:t xml:space="preserve"> OBÚ (Praha, Ostrava, Most) </w:t>
      </w:r>
      <w:r w:rsidR="00F574C8">
        <w:rPr>
          <w:rFonts w:cstheme="minorHAnsi"/>
        </w:rPr>
        <w:t xml:space="preserve">v letech 2017 a 2018 na vzorku </w:t>
      </w:r>
      <w:r w:rsidR="00CF4818">
        <w:rPr>
          <w:rFonts w:cstheme="minorHAnsi"/>
        </w:rPr>
        <w:t>výnosů</w:t>
      </w:r>
      <w:r w:rsidR="008D2A46">
        <w:rPr>
          <w:rFonts w:cstheme="minorHAnsi"/>
        </w:rPr>
        <w:t xml:space="preserve"> </w:t>
      </w:r>
      <w:r w:rsidR="00F574C8" w:rsidRPr="00F574C8">
        <w:rPr>
          <w:rFonts w:cstheme="minorHAnsi"/>
        </w:rPr>
        <w:t>úhrad z dobývacích prostorů a vydobytých nerostů</w:t>
      </w:r>
      <w:r w:rsidR="00F574C8">
        <w:rPr>
          <w:rFonts w:cstheme="minorHAnsi"/>
        </w:rPr>
        <w:t xml:space="preserve"> v celkové výši 948</w:t>
      </w:r>
      <w:r w:rsidR="003E538A">
        <w:rPr>
          <w:rFonts w:cstheme="minorHAnsi"/>
        </w:rPr>
        <w:t xml:space="preserve"> </w:t>
      </w:r>
      <w:r w:rsidR="00F574C8">
        <w:rPr>
          <w:rFonts w:cstheme="minorHAnsi"/>
        </w:rPr>
        <w:t>910</w:t>
      </w:r>
      <w:r w:rsidR="003E538A">
        <w:rPr>
          <w:rFonts w:cstheme="minorHAnsi"/>
        </w:rPr>
        <w:t xml:space="preserve"> </w:t>
      </w:r>
      <w:r w:rsidR="00F574C8">
        <w:rPr>
          <w:rFonts w:cstheme="minorHAnsi"/>
        </w:rPr>
        <w:t xml:space="preserve">582 Kč. </w:t>
      </w:r>
      <w:r w:rsidR="00CF20BF">
        <w:rPr>
          <w:rFonts w:cstheme="minorHAnsi"/>
        </w:rPr>
        <w:t xml:space="preserve">Kontrolou </w:t>
      </w:r>
      <w:r>
        <w:rPr>
          <w:rFonts w:cstheme="minorHAnsi"/>
        </w:rPr>
        <w:t xml:space="preserve">nebyly </w:t>
      </w:r>
      <w:r w:rsidR="00F574C8">
        <w:rPr>
          <w:rFonts w:cstheme="minorHAnsi"/>
        </w:rPr>
        <w:t xml:space="preserve">zjištěny nedostatky, OBÚ postupovaly </w:t>
      </w:r>
      <w:r w:rsidR="00B8412C">
        <w:rPr>
          <w:rFonts w:cstheme="minorHAnsi"/>
        </w:rPr>
        <w:t xml:space="preserve">v kontrolovaných případech </w:t>
      </w:r>
      <w:r w:rsidR="00F574C8">
        <w:rPr>
          <w:rFonts w:cstheme="minorHAnsi"/>
        </w:rPr>
        <w:t>bezodkladně a</w:t>
      </w:r>
      <w:r w:rsidR="004D1C21">
        <w:rPr>
          <w:rFonts w:cstheme="minorHAnsi"/>
        </w:rPr>
        <w:t xml:space="preserve"> </w:t>
      </w:r>
      <w:r>
        <w:rPr>
          <w:rFonts w:cstheme="minorHAnsi"/>
        </w:rPr>
        <w:t>v souladu s</w:t>
      </w:r>
      <w:r w:rsidR="00F574C8">
        <w:rPr>
          <w:rFonts w:cstheme="minorHAnsi"/>
        </w:rPr>
        <w:t> platnou právní úpravou.</w:t>
      </w:r>
    </w:p>
    <w:p w14:paraId="45A9A8A1" w14:textId="53C86227" w:rsidR="007E16F8" w:rsidRDefault="007E16F8" w:rsidP="00874BAD">
      <w:pPr>
        <w:rPr>
          <w:rFonts w:cstheme="minorHAnsi"/>
        </w:rPr>
      </w:pPr>
    </w:p>
    <w:p w14:paraId="00A1FC8B" w14:textId="1378DB0C" w:rsidR="007E16F8" w:rsidRPr="007E16F8" w:rsidRDefault="007E16F8" w:rsidP="00A77D95">
      <w:pPr>
        <w:ind w:left="1304" w:hanging="1304"/>
        <w:jc w:val="left"/>
        <w:rPr>
          <w:rFonts w:cstheme="minorHAnsi"/>
          <w:b/>
        </w:rPr>
      </w:pPr>
      <w:r w:rsidRPr="007E16F8">
        <w:rPr>
          <w:rFonts w:cstheme="minorHAnsi"/>
          <w:b/>
        </w:rPr>
        <w:t xml:space="preserve">Tabulka č. 2: </w:t>
      </w:r>
      <w:r w:rsidR="0071153B">
        <w:rPr>
          <w:rFonts w:cstheme="minorHAnsi"/>
          <w:b/>
        </w:rPr>
        <w:tab/>
      </w:r>
      <w:r w:rsidRPr="007E16F8">
        <w:rPr>
          <w:rFonts w:cstheme="minorHAnsi"/>
          <w:b/>
        </w:rPr>
        <w:t>Výnosy úhrad (včetně příslušenství) z VN a DP převedené příjemcům v kontrol</w:t>
      </w:r>
      <w:r>
        <w:rPr>
          <w:rFonts w:cstheme="minorHAnsi"/>
          <w:b/>
        </w:rPr>
        <w:t>ovaném</w:t>
      </w:r>
      <w:r w:rsidRPr="007E16F8">
        <w:rPr>
          <w:rFonts w:cstheme="minorHAnsi"/>
          <w:b/>
        </w:rPr>
        <w:t xml:space="preserve"> období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48"/>
        <w:gridCol w:w="1804"/>
        <w:gridCol w:w="1804"/>
        <w:gridCol w:w="1803"/>
        <w:gridCol w:w="1803"/>
      </w:tblGrid>
      <w:tr w:rsidR="007E16F8" w14:paraId="29E00645" w14:textId="77777777" w:rsidTr="00A77D95">
        <w:trPr>
          <w:trHeight w:val="34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1621432" w14:textId="56D7E9FF" w:rsidR="007E16F8" w:rsidRPr="00A77D95" w:rsidRDefault="007E16F8" w:rsidP="00B34C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AADA8BF" w14:textId="77777777" w:rsidR="007E16F8" w:rsidRPr="00A77D95" w:rsidRDefault="007E16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7D95">
              <w:rPr>
                <w:rFonts w:cstheme="minorHAnsi"/>
                <w:b/>
                <w:sz w:val="20"/>
                <w:szCs w:val="20"/>
              </w:rPr>
              <w:t>2015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32F5984" w14:textId="77777777" w:rsidR="007E16F8" w:rsidRPr="00A77D95" w:rsidRDefault="007E16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7D95"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A89E44A" w14:textId="77777777" w:rsidR="007E16F8" w:rsidRPr="00A77D95" w:rsidRDefault="007E16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7D95">
              <w:rPr>
                <w:rFonts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7079B5C" w14:textId="77777777" w:rsidR="007E16F8" w:rsidRPr="00A77D95" w:rsidRDefault="007E16F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7D95">
              <w:rPr>
                <w:rFonts w:cstheme="minorHAnsi"/>
                <w:b/>
                <w:sz w:val="20"/>
                <w:szCs w:val="20"/>
              </w:rPr>
              <w:t>2018</w:t>
            </w:r>
          </w:p>
        </w:tc>
      </w:tr>
      <w:tr w:rsidR="007E16F8" w14:paraId="56FB8A07" w14:textId="77777777" w:rsidTr="00A77D95">
        <w:trPr>
          <w:trHeight w:val="28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437C" w14:textId="77777777" w:rsidR="007E16F8" w:rsidRPr="00951AFB" w:rsidRDefault="007E16F8" w:rsidP="00951AFB">
            <w:pPr>
              <w:ind w:left="164"/>
              <w:jc w:val="left"/>
              <w:rPr>
                <w:rFonts w:cstheme="minorHAnsi"/>
                <w:sz w:val="20"/>
                <w:szCs w:val="20"/>
              </w:rPr>
            </w:pPr>
            <w:r w:rsidRPr="00951AFB">
              <w:rPr>
                <w:rFonts w:cstheme="minorHAnsi"/>
                <w:sz w:val="20"/>
                <w:szCs w:val="20"/>
              </w:rPr>
              <w:t>Úhrady z VN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AB4A" w14:textId="77777777" w:rsidR="007E16F8" w:rsidRPr="00951AFB" w:rsidRDefault="007E16F8" w:rsidP="00951AFB">
            <w:pPr>
              <w:ind w:right="93"/>
              <w:jc w:val="right"/>
              <w:rPr>
                <w:rFonts w:cstheme="minorHAnsi"/>
                <w:sz w:val="20"/>
                <w:szCs w:val="20"/>
              </w:rPr>
            </w:pPr>
            <w:r w:rsidRPr="00951AFB">
              <w:rPr>
                <w:sz w:val="20"/>
                <w:szCs w:val="20"/>
              </w:rPr>
              <w:t>517 591 188 Kč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1F50C" w14:textId="77777777" w:rsidR="007E16F8" w:rsidRPr="00951AFB" w:rsidRDefault="007E16F8" w:rsidP="00951AFB">
            <w:pPr>
              <w:ind w:right="93"/>
              <w:jc w:val="right"/>
              <w:rPr>
                <w:rFonts w:cstheme="minorHAnsi"/>
                <w:sz w:val="20"/>
                <w:szCs w:val="20"/>
              </w:rPr>
            </w:pPr>
            <w:r w:rsidRPr="00951AFB">
              <w:rPr>
                <w:sz w:val="20"/>
                <w:szCs w:val="20"/>
              </w:rPr>
              <w:t>434 319 365 Kč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ABEC" w14:textId="77777777" w:rsidR="007E16F8" w:rsidRPr="00951AFB" w:rsidRDefault="007E16F8" w:rsidP="00951AFB">
            <w:pPr>
              <w:ind w:right="93"/>
              <w:jc w:val="right"/>
              <w:rPr>
                <w:rFonts w:cstheme="minorHAnsi"/>
                <w:sz w:val="20"/>
                <w:szCs w:val="20"/>
              </w:rPr>
            </w:pPr>
            <w:r w:rsidRPr="00951AFB">
              <w:rPr>
                <w:sz w:val="20"/>
                <w:szCs w:val="20"/>
              </w:rPr>
              <w:t>398 367 850 Kč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390D" w14:textId="77777777" w:rsidR="007E16F8" w:rsidRPr="00951AFB" w:rsidRDefault="007E16F8" w:rsidP="00951AFB">
            <w:pPr>
              <w:ind w:right="93"/>
              <w:jc w:val="right"/>
              <w:rPr>
                <w:rFonts w:cstheme="minorHAnsi"/>
                <w:sz w:val="20"/>
                <w:szCs w:val="20"/>
              </w:rPr>
            </w:pPr>
            <w:r w:rsidRPr="00951AFB">
              <w:rPr>
                <w:sz w:val="20"/>
                <w:szCs w:val="20"/>
              </w:rPr>
              <w:t>1 210 249 211 Kč</w:t>
            </w:r>
          </w:p>
        </w:tc>
      </w:tr>
      <w:tr w:rsidR="007E16F8" w14:paraId="55E6EAA7" w14:textId="77777777" w:rsidTr="00A77D95">
        <w:trPr>
          <w:trHeight w:val="283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1460" w14:textId="77777777" w:rsidR="007E16F8" w:rsidRPr="00951AFB" w:rsidRDefault="007E16F8" w:rsidP="00951AFB">
            <w:pPr>
              <w:ind w:left="164"/>
              <w:jc w:val="left"/>
              <w:rPr>
                <w:rFonts w:cstheme="minorHAnsi"/>
                <w:sz w:val="20"/>
                <w:szCs w:val="20"/>
              </w:rPr>
            </w:pPr>
            <w:r w:rsidRPr="00951AFB">
              <w:rPr>
                <w:rFonts w:cstheme="minorHAnsi"/>
                <w:sz w:val="20"/>
                <w:szCs w:val="20"/>
              </w:rPr>
              <w:t>Úhrady z DP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5494" w14:textId="77777777" w:rsidR="007E16F8" w:rsidRPr="00951AFB" w:rsidRDefault="007E16F8" w:rsidP="00951AFB">
            <w:pPr>
              <w:ind w:right="93"/>
              <w:jc w:val="right"/>
              <w:rPr>
                <w:rFonts w:cstheme="minorHAnsi"/>
                <w:sz w:val="20"/>
                <w:szCs w:val="20"/>
              </w:rPr>
            </w:pPr>
            <w:r w:rsidRPr="00951AFB">
              <w:rPr>
                <w:sz w:val="20"/>
                <w:szCs w:val="20"/>
              </w:rPr>
              <w:t>13 775 519 Kč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EAA54" w14:textId="77777777" w:rsidR="007E16F8" w:rsidRPr="00951AFB" w:rsidRDefault="007E16F8" w:rsidP="00951AFB">
            <w:pPr>
              <w:ind w:right="93"/>
              <w:jc w:val="right"/>
              <w:rPr>
                <w:rFonts w:cstheme="minorHAnsi"/>
                <w:sz w:val="20"/>
                <w:szCs w:val="20"/>
              </w:rPr>
            </w:pPr>
            <w:r w:rsidRPr="00951AFB">
              <w:rPr>
                <w:sz w:val="20"/>
                <w:szCs w:val="20"/>
              </w:rPr>
              <w:t>13 687 848 Kč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1608" w14:textId="77777777" w:rsidR="007E16F8" w:rsidRPr="00951AFB" w:rsidRDefault="007E16F8" w:rsidP="00951AFB">
            <w:pPr>
              <w:ind w:right="93"/>
              <w:jc w:val="right"/>
              <w:rPr>
                <w:rFonts w:cstheme="minorHAnsi"/>
                <w:sz w:val="20"/>
                <w:szCs w:val="20"/>
              </w:rPr>
            </w:pPr>
            <w:r w:rsidRPr="00951AFB">
              <w:rPr>
                <w:sz w:val="20"/>
                <w:szCs w:val="20"/>
              </w:rPr>
              <w:t>96 348 381 Kč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0F9E" w14:textId="77777777" w:rsidR="007E16F8" w:rsidRPr="00951AFB" w:rsidRDefault="007E16F8" w:rsidP="00951AFB">
            <w:pPr>
              <w:ind w:right="93"/>
              <w:jc w:val="right"/>
              <w:rPr>
                <w:rFonts w:cstheme="minorHAnsi"/>
                <w:sz w:val="20"/>
                <w:szCs w:val="20"/>
              </w:rPr>
            </w:pPr>
            <w:r w:rsidRPr="00951AFB">
              <w:rPr>
                <w:sz w:val="20"/>
                <w:szCs w:val="20"/>
              </w:rPr>
              <w:t>88 150 425 Kč</w:t>
            </w:r>
          </w:p>
        </w:tc>
      </w:tr>
    </w:tbl>
    <w:p w14:paraId="16C4E2BC" w14:textId="5DCA8B9F" w:rsidR="007E16F8" w:rsidRDefault="007E16F8" w:rsidP="007E16F8">
      <w:pPr>
        <w:jc w:val="left"/>
        <w:rPr>
          <w:rFonts w:cstheme="minorHAnsi"/>
          <w:i/>
          <w:sz w:val="18"/>
          <w:szCs w:val="20"/>
        </w:rPr>
      </w:pPr>
      <w:r w:rsidRPr="00951AFB">
        <w:rPr>
          <w:rFonts w:cstheme="minorHAnsi"/>
          <w:b/>
          <w:i/>
          <w:sz w:val="18"/>
          <w:szCs w:val="20"/>
        </w:rPr>
        <w:t>Zdroj:</w:t>
      </w:r>
      <w:r>
        <w:rPr>
          <w:rFonts w:cstheme="minorHAnsi"/>
          <w:i/>
          <w:sz w:val="18"/>
          <w:szCs w:val="20"/>
        </w:rPr>
        <w:t xml:space="preserve"> </w:t>
      </w:r>
      <w:r w:rsidR="00D21F1F">
        <w:rPr>
          <w:rFonts w:cstheme="minorHAnsi"/>
          <w:i/>
          <w:sz w:val="18"/>
          <w:szCs w:val="20"/>
        </w:rPr>
        <w:t xml:space="preserve">schválené </w:t>
      </w:r>
      <w:r>
        <w:rPr>
          <w:rFonts w:cstheme="minorHAnsi"/>
          <w:i/>
          <w:sz w:val="18"/>
          <w:szCs w:val="20"/>
        </w:rPr>
        <w:t>závěrečné účt</w:t>
      </w:r>
      <w:r w:rsidR="00D21F1F">
        <w:rPr>
          <w:rFonts w:cstheme="minorHAnsi"/>
          <w:i/>
          <w:sz w:val="18"/>
          <w:szCs w:val="20"/>
        </w:rPr>
        <w:t>y</w:t>
      </w:r>
      <w:r>
        <w:rPr>
          <w:rFonts w:cstheme="minorHAnsi"/>
          <w:i/>
          <w:sz w:val="18"/>
          <w:szCs w:val="20"/>
        </w:rPr>
        <w:t xml:space="preserve"> kapitoly </w:t>
      </w:r>
      <w:r w:rsidR="00D21F1F">
        <w:rPr>
          <w:rFonts w:cstheme="minorHAnsi"/>
          <w:i/>
          <w:sz w:val="18"/>
          <w:szCs w:val="20"/>
        </w:rPr>
        <w:t>ČBÚ</w:t>
      </w:r>
      <w:r>
        <w:rPr>
          <w:rFonts w:cstheme="minorHAnsi"/>
          <w:i/>
          <w:sz w:val="18"/>
          <w:szCs w:val="20"/>
        </w:rPr>
        <w:t xml:space="preserve"> za roky 2015</w:t>
      </w:r>
      <w:r w:rsidR="00D21F1F">
        <w:rPr>
          <w:rFonts w:cstheme="minorHAnsi"/>
          <w:i/>
          <w:sz w:val="18"/>
          <w:szCs w:val="20"/>
        </w:rPr>
        <w:t>–</w:t>
      </w:r>
      <w:r>
        <w:rPr>
          <w:rFonts w:cstheme="minorHAnsi"/>
          <w:i/>
          <w:sz w:val="18"/>
          <w:szCs w:val="20"/>
        </w:rPr>
        <w:t xml:space="preserve">2017 a návrh </w:t>
      </w:r>
      <w:r w:rsidR="00D21F1F">
        <w:rPr>
          <w:rFonts w:cstheme="minorHAnsi"/>
          <w:i/>
          <w:sz w:val="18"/>
          <w:szCs w:val="20"/>
        </w:rPr>
        <w:t>z</w:t>
      </w:r>
      <w:r>
        <w:rPr>
          <w:rFonts w:cstheme="minorHAnsi"/>
          <w:i/>
          <w:sz w:val="18"/>
          <w:szCs w:val="20"/>
        </w:rPr>
        <w:t xml:space="preserve">ávěrečného účtu kapitoly </w:t>
      </w:r>
      <w:r w:rsidR="00D21F1F">
        <w:rPr>
          <w:rFonts w:cstheme="minorHAnsi"/>
          <w:i/>
          <w:sz w:val="18"/>
          <w:szCs w:val="20"/>
        </w:rPr>
        <w:t>ČBÚ</w:t>
      </w:r>
      <w:r>
        <w:rPr>
          <w:rFonts w:cstheme="minorHAnsi"/>
          <w:i/>
          <w:sz w:val="18"/>
          <w:szCs w:val="20"/>
        </w:rPr>
        <w:t xml:space="preserve"> za rok 2018</w:t>
      </w:r>
      <w:r w:rsidR="00B34CEC">
        <w:rPr>
          <w:rFonts w:cstheme="minorHAnsi"/>
          <w:i/>
          <w:sz w:val="18"/>
          <w:szCs w:val="20"/>
        </w:rPr>
        <w:t>.</w:t>
      </w:r>
    </w:p>
    <w:p w14:paraId="1A3B0683" w14:textId="77777777" w:rsidR="007E16F8" w:rsidRDefault="007E16F8" w:rsidP="007E16F8"/>
    <w:p w14:paraId="5C66C165" w14:textId="2C4560D1" w:rsidR="00CF20BF" w:rsidRPr="007E16F8" w:rsidRDefault="00CB7290" w:rsidP="00CF20BF">
      <w:pPr>
        <w:rPr>
          <w:b/>
        </w:rPr>
      </w:pPr>
      <w:r w:rsidRPr="007E16F8">
        <w:rPr>
          <w:b/>
        </w:rPr>
        <w:t>Tabulka č</w:t>
      </w:r>
      <w:r w:rsidR="004812DB" w:rsidRPr="007E16F8">
        <w:rPr>
          <w:b/>
        </w:rPr>
        <w:t xml:space="preserve">. </w:t>
      </w:r>
      <w:r w:rsidR="007E16F8">
        <w:rPr>
          <w:b/>
        </w:rPr>
        <w:t>3</w:t>
      </w:r>
      <w:r w:rsidR="005307E8" w:rsidRPr="007E16F8">
        <w:rPr>
          <w:b/>
        </w:rPr>
        <w:t>: Kontrolované výnosy</w:t>
      </w:r>
      <w:r w:rsidRPr="007E16F8">
        <w:rPr>
          <w:b/>
        </w:rPr>
        <w:t xml:space="preserve"> </w:t>
      </w:r>
      <w:r w:rsidRPr="007E16F8">
        <w:rPr>
          <w:rFonts w:cstheme="minorHAnsi"/>
          <w:b/>
        </w:rPr>
        <w:t>úhrad z dobývacích prostorů a vydobytých nerostů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2409"/>
        <w:gridCol w:w="2410"/>
        <w:gridCol w:w="2410"/>
      </w:tblGrid>
      <w:tr w:rsidR="007D5EC5" w14:paraId="72C7B8A2" w14:textId="77777777" w:rsidTr="00951AFB">
        <w:trPr>
          <w:trHeight w:val="34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D161CFA" w14:textId="585876FA" w:rsidR="00CF20BF" w:rsidRDefault="00CF20BF" w:rsidP="00951AFB">
            <w:pPr>
              <w:jc w:val="center"/>
              <w:rPr>
                <w:rFonts w:ascii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4629085" w14:textId="77777777" w:rsidR="00CF20BF" w:rsidRDefault="00CB7290" w:rsidP="006A70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VN 2018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44EEECB" w14:textId="77777777" w:rsidR="00CF20BF" w:rsidRDefault="00CB7290" w:rsidP="006A70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DP 2017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732BCF97" w14:textId="77777777" w:rsidR="00CF20BF" w:rsidRDefault="00CB7290" w:rsidP="006A704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DP 2018</w:t>
            </w:r>
          </w:p>
        </w:tc>
      </w:tr>
      <w:tr w:rsidR="007D5EC5" w14:paraId="47483499" w14:textId="77777777" w:rsidTr="00951AFB">
        <w:trPr>
          <w:trHeight w:val="283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30487" w14:textId="3C37137B" w:rsidR="00CF20BF" w:rsidRDefault="00D21F1F" w:rsidP="00535712">
            <w:pPr>
              <w:ind w:left="209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OBÚ </w:t>
            </w:r>
            <w:r w:rsidR="00CB7290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Pra</w:t>
            </w:r>
            <w:r w:rsidR="00535712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ha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D19B9D" w14:textId="77777777" w:rsidR="00CF20BF" w:rsidRDefault="00CB7290" w:rsidP="00951AFB">
            <w:pPr>
              <w:ind w:right="326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55 073 986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4BB784" w14:textId="77777777" w:rsidR="00CF20BF" w:rsidRDefault="00CB7290" w:rsidP="00951AFB">
            <w:pPr>
              <w:ind w:right="326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5 922 284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CC28DC" w14:textId="77777777" w:rsidR="00CF20BF" w:rsidRDefault="00CB7290" w:rsidP="00951AFB">
            <w:pPr>
              <w:ind w:right="326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5 924 464 Kč</w:t>
            </w:r>
          </w:p>
        </w:tc>
      </w:tr>
      <w:tr w:rsidR="007D5EC5" w14:paraId="3CAAA103" w14:textId="77777777" w:rsidTr="00951AFB">
        <w:trPr>
          <w:trHeight w:val="283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169FA8" w14:textId="1FEF1B93" w:rsidR="00CF20BF" w:rsidRDefault="00D21F1F" w:rsidP="00535712">
            <w:pPr>
              <w:ind w:left="209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OBÚ </w:t>
            </w:r>
            <w:r w:rsidR="00CB7290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Most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F7D436" w14:textId="77777777" w:rsidR="00CF20BF" w:rsidRDefault="00CB7290" w:rsidP="00951AFB">
            <w:pPr>
              <w:ind w:right="326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640 125 594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94EFD5" w14:textId="77777777" w:rsidR="00CF20BF" w:rsidRDefault="00CB7290" w:rsidP="00951AFB">
            <w:pPr>
              <w:ind w:right="326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20 524 976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C1C4DF" w14:textId="77777777" w:rsidR="00CF20BF" w:rsidRDefault="00CB7290" w:rsidP="00951AFB">
            <w:pPr>
              <w:ind w:right="326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20 787 600 Kč</w:t>
            </w:r>
          </w:p>
        </w:tc>
      </w:tr>
      <w:tr w:rsidR="007D5EC5" w14:paraId="2F63AFD4" w14:textId="77777777" w:rsidTr="00951AFB">
        <w:trPr>
          <w:trHeight w:val="283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EFCF9F" w14:textId="40BEBD57" w:rsidR="00CF20BF" w:rsidRDefault="00D21F1F" w:rsidP="00535712">
            <w:pPr>
              <w:ind w:left="209"/>
              <w:jc w:val="lef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 xml:space="preserve">OBÚ </w:t>
            </w:r>
            <w:r w:rsidR="00CB7290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Ostrav</w:t>
            </w:r>
            <w:r w:rsidR="00535712"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FCF74E" w14:textId="77777777" w:rsidR="00CF20BF" w:rsidRDefault="00CB7290" w:rsidP="00951AFB">
            <w:pPr>
              <w:ind w:right="326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121 935 500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A83E94" w14:textId="77777777" w:rsidR="00CF20BF" w:rsidRDefault="00CB7290" w:rsidP="00951AFB">
            <w:pPr>
              <w:ind w:right="326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42 096 628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5AC67" w14:textId="77777777" w:rsidR="00CF20BF" w:rsidRDefault="00CB7290" w:rsidP="00951AFB">
            <w:pPr>
              <w:ind w:right="326"/>
              <w:jc w:val="right"/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eastAsia="cs-CZ"/>
              </w:rPr>
              <w:t>36 519 550 Kč</w:t>
            </w:r>
          </w:p>
        </w:tc>
      </w:tr>
      <w:tr w:rsidR="007D5EC5" w14:paraId="74390B9A" w14:textId="77777777" w:rsidTr="00951AFB">
        <w:trPr>
          <w:trHeight w:val="283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5D2BA3" w14:textId="00139BD0" w:rsidR="00CF20BF" w:rsidRPr="00951AFB" w:rsidRDefault="00CB7290" w:rsidP="00951AFB">
            <w:pPr>
              <w:ind w:left="209"/>
              <w:jc w:val="left"/>
              <w:rPr>
                <w:rFonts w:ascii="Calibri" w:hAnsi="Calibri"/>
                <w:b/>
                <w:color w:val="000000"/>
                <w:sz w:val="20"/>
                <w:szCs w:val="20"/>
                <w:lang w:eastAsia="cs-CZ"/>
              </w:rPr>
            </w:pPr>
            <w:r w:rsidRPr="00951AFB">
              <w:rPr>
                <w:rFonts w:ascii="Calibri" w:hAnsi="Calibri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5FDAF6" w14:textId="77777777" w:rsidR="00CF20BF" w:rsidRPr="00951AFB" w:rsidRDefault="00CB7290" w:rsidP="00951AFB">
            <w:pPr>
              <w:ind w:right="326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1AF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817 135 080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600BE6" w14:textId="77777777" w:rsidR="00CF20BF" w:rsidRPr="00951AFB" w:rsidRDefault="00CB7290" w:rsidP="00951AFB">
            <w:pPr>
              <w:ind w:right="326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1AF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68 543 888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54C34" w14:textId="77777777" w:rsidR="00CF20BF" w:rsidRPr="00951AFB" w:rsidRDefault="00CB7290" w:rsidP="00951AFB">
            <w:pPr>
              <w:ind w:right="326"/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1AFB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cs-CZ"/>
              </w:rPr>
              <w:t>63 231 614 Kč</w:t>
            </w:r>
          </w:p>
        </w:tc>
      </w:tr>
    </w:tbl>
    <w:p w14:paraId="4B7F134C" w14:textId="6A854061" w:rsidR="00CF20BF" w:rsidRPr="00664A20" w:rsidRDefault="00CB7290" w:rsidP="00951AFB">
      <w:pPr>
        <w:ind w:left="510" w:hanging="510"/>
        <w:rPr>
          <w:i/>
          <w:sz w:val="18"/>
          <w:szCs w:val="18"/>
        </w:rPr>
      </w:pPr>
      <w:r w:rsidRPr="00664A20">
        <w:rPr>
          <w:rFonts w:cstheme="minorHAnsi"/>
          <w:b/>
          <w:i/>
          <w:sz w:val="18"/>
          <w:szCs w:val="18"/>
        </w:rPr>
        <w:t>Zdroj:</w:t>
      </w:r>
      <w:r w:rsidRPr="00664A20">
        <w:rPr>
          <w:rFonts w:cstheme="minorHAnsi"/>
          <w:i/>
          <w:sz w:val="18"/>
          <w:szCs w:val="18"/>
        </w:rPr>
        <w:t xml:space="preserve"> </w:t>
      </w:r>
      <w:r w:rsidR="005D649D">
        <w:rPr>
          <w:rFonts w:cstheme="minorHAnsi"/>
          <w:i/>
          <w:sz w:val="18"/>
          <w:szCs w:val="18"/>
        </w:rPr>
        <w:tab/>
      </w:r>
      <w:r w:rsidRPr="00664A20">
        <w:rPr>
          <w:i/>
          <w:sz w:val="18"/>
          <w:szCs w:val="18"/>
        </w:rPr>
        <w:t>schválen</w:t>
      </w:r>
      <w:r w:rsidR="00D21F1F">
        <w:rPr>
          <w:i/>
          <w:sz w:val="18"/>
          <w:szCs w:val="18"/>
        </w:rPr>
        <w:t>é</w:t>
      </w:r>
      <w:r w:rsidRPr="00664A20">
        <w:rPr>
          <w:i/>
          <w:sz w:val="18"/>
          <w:szCs w:val="18"/>
        </w:rPr>
        <w:t xml:space="preserve"> závěrečn</w:t>
      </w:r>
      <w:r w:rsidR="00D21F1F">
        <w:rPr>
          <w:i/>
          <w:sz w:val="18"/>
          <w:szCs w:val="18"/>
        </w:rPr>
        <w:t>é</w:t>
      </w:r>
      <w:r w:rsidR="002D282A">
        <w:rPr>
          <w:i/>
          <w:sz w:val="18"/>
          <w:szCs w:val="18"/>
        </w:rPr>
        <w:t xml:space="preserve"> úč</w:t>
      </w:r>
      <w:r w:rsidR="00D21F1F">
        <w:rPr>
          <w:i/>
          <w:sz w:val="18"/>
          <w:szCs w:val="18"/>
        </w:rPr>
        <w:t>ty</w:t>
      </w:r>
      <w:r w:rsidR="002D282A">
        <w:rPr>
          <w:i/>
          <w:sz w:val="18"/>
          <w:szCs w:val="18"/>
        </w:rPr>
        <w:t xml:space="preserve"> kapitoly ČBÚ za roky 2015–</w:t>
      </w:r>
      <w:r w:rsidRPr="00664A20">
        <w:rPr>
          <w:i/>
          <w:sz w:val="18"/>
          <w:szCs w:val="18"/>
        </w:rPr>
        <w:t xml:space="preserve">2017 a návrh závěrečného účtu </w:t>
      </w:r>
      <w:r w:rsidR="00D21F1F">
        <w:rPr>
          <w:i/>
          <w:sz w:val="18"/>
          <w:szCs w:val="18"/>
        </w:rPr>
        <w:t xml:space="preserve">kapitoly ČBÚ </w:t>
      </w:r>
      <w:r w:rsidRPr="00664A20">
        <w:rPr>
          <w:i/>
          <w:sz w:val="18"/>
          <w:szCs w:val="18"/>
        </w:rPr>
        <w:t xml:space="preserve">za rok 2018 </w:t>
      </w:r>
      <w:r w:rsidR="00D21F1F">
        <w:rPr>
          <w:i/>
          <w:sz w:val="18"/>
          <w:szCs w:val="18"/>
        </w:rPr>
        <w:t>(</w:t>
      </w:r>
      <w:r w:rsidRPr="00664A20">
        <w:rPr>
          <w:i/>
          <w:sz w:val="18"/>
          <w:szCs w:val="18"/>
        </w:rPr>
        <w:t>z 1. dubna </w:t>
      </w:r>
      <w:r w:rsidR="00E63EA7" w:rsidRPr="00664A20">
        <w:rPr>
          <w:i/>
          <w:sz w:val="18"/>
          <w:szCs w:val="18"/>
        </w:rPr>
        <w:t>2019</w:t>
      </w:r>
      <w:r w:rsidR="00D21F1F">
        <w:rPr>
          <w:i/>
          <w:sz w:val="18"/>
          <w:szCs w:val="18"/>
        </w:rPr>
        <w:t>)</w:t>
      </w:r>
      <w:r w:rsidRPr="00664A20">
        <w:rPr>
          <w:i/>
          <w:sz w:val="18"/>
          <w:szCs w:val="18"/>
        </w:rPr>
        <w:t>.</w:t>
      </w:r>
    </w:p>
    <w:p w14:paraId="3918337A" w14:textId="77777777" w:rsidR="007E16F8" w:rsidRDefault="007E16F8" w:rsidP="00874BAD">
      <w:pPr>
        <w:rPr>
          <w:rFonts w:cstheme="minorHAnsi"/>
        </w:rPr>
      </w:pPr>
    </w:p>
    <w:p w14:paraId="51A7575C" w14:textId="77777777" w:rsidR="00874BAD" w:rsidRPr="0087484E" w:rsidRDefault="00CB7290" w:rsidP="00951AFB">
      <w:pPr>
        <w:keepNext/>
        <w:rPr>
          <w:b/>
        </w:rPr>
      </w:pPr>
      <w:r>
        <w:rPr>
          <w:b/>
        </w:rPr>
        <w:t>T</w:t>
      </w:r>
      <w:r w:rsidRPr="0087484E">
        <w:rPr>
          <w:b/>
        </w:rPr>
        <w:t xml:space="preserve">ržní ceny vydobytých nerostů </w:t>
      </w:r>
    </w:p>
    <w:p w14:paraId="1BCF55A4" w14:textId="35B3EAFD" w:rsidR="00874BAD" w:rsidRDefault="00CB7290" w:rsidP="00874BAD">
      <w:r>
        <w:t xml:space="preserve">Výše </w:t>
      </w:r>
      <w:r w:rsidRPr="00F700FB">
        <w:t>saz</w:t>
      </w:r>
      <w:r>
        <w:t>e</w:t>
      </w:r>
      <w:r w:rsidRPr="00F700FB">
        <w:t xml:space="preserve">b úhrad za jednotlivé druhy vydobytých nerostů stanovuje od 1. </w:t>
      </w:r>
      <w:r>
        <w:t>ledna</w:t>
      </w:r>
      <w:r w:rsidRPr="00F700FB">
        <w:t xml:space="preserve"> 2017 nařízení vlády č. 98/2016 Sb.</w:t>
      </w:r>
      <w:r w:rsidR="00A63997">
        <w:t>,</w:t>
      </w:r>
      <w:r w:rsidR="00B8412C">
        <w:t xml:space="preserve"> o sazbách úhrady.</w:t>
      </w:r>
      <w:r w:rsidRPr="00F700FB">
        <w:t xml:space="preserve"> </w:t>
      </w:r>
      <w:r w:rsidR="00B8412C">
        <w:t>V</w:t>
      </w:r>
      <w:r w:rsidR="00FB454D">
        <w:t xml:space="preserve"> ustanovení </w:t>
      </w:r>
      <w:r w:rsidRPr="00F700FB">
        <w:t>§ 33k</w:t>
      </w:r>
      <w:r w:rsidR="002D7643">
        <w:t xml:space="preserve"> odst. 3)</w:t>
      </w:r>
      <w:r w:rsidRPr="00F700FB">
        <w:t xml:space="preserve"> horního zákona je </w:t>
      </w:r>
      <w:r w:rsidRPr="00F700FB">
        <w:lastRenderedPageBreak/>
        <w:t>uvedeno, že výše těchto sazeb může být nařízením vlády zvyšována na základě vývoje tržních cen</w:t>
      </w:r>
      <w:r w:rsidR="00350A8D">
        <w:t>, a to ve lhůtách nejméně pěti let</w:t>
      </w:r>
      <w:r w:rsidR="00B8412C">
        <w:t>. Z</w:t>
      </w:r>
      <w:r w:rsidRPr="00F700FB">
        <w:t xml:space="preserve"> právní úpravy však není zřejmé, jak a kým budou </w:t>
      </w:r>
      <w:r w:rsidR="005D649D">
        <w:br/>
      </w:r>
      <w:r w:rsidRPr="00F700FB">
        <w:t>tržní ceny nerostů pro jednotlivé druhy vydobytých nerostů zjišťovány, aby moh</w:t>
      </w:r>
      <w:r w:rsidR="00FB454D">
        <w:t xml:space="preserve">lo dojít </w:t>
      </w:r>
      <w:r w:rsidR="005D649D">
        <w:br/>
      </w:r>
      <w:r w:rsidR="00FB454D">
        <w:t>k aktualizaci sazeb. V </w:t>
      </w:r>
      <w:r w:rsidRPr="00F700FB">
        <w:t>úhradových přiznáních nejsou poplatníci povinni výše tržních cen uvádět. Návrh novely horního zákona z</w:t>
      </w:r>
      <w:r w:rsidR="002219D8">
        <w:t> </w:t>
      </w:r>
      <w:r w:rsidRPr="00F700FB">
        <w:t xml:space="preserve">počátku roku 2019 </w:t>
      </w:r>
      <w:r>
        <w:t>stanovil k </w:t>
      </w:r>
      <w:r w:rsidRPr="00F700FB">
        <w:t xml:space="preserve">již existující povinnosti osob vykonávajících hornickou činnost poskytovat </w:t>
      </w:r>
      <w:r w:rsidRPr="00873BE5">
        <w:t>MPO</w:t>
      </w:r>
      <w:r w:rsidRPr="0057665E">
        <w:t xml:space="preserve"> </w:t>
      </w:r>
      <w:r w:rsidRPr="00F700FB">
        <w:t>zákonem stanoven</w:t>
      </w:r>
      <w:r w:rsidR="005D649D">
        <w:t>ý</w:t>
      </w:r>
      <w:r w:rsidRPr="00F700FB">
        <w:t xml:space="preserve"> rozsah dat </w:t>
      </w:r>
      <w:r w:rsidR="005D649D">
        <w:br/>
      </w:r>
      <w:r w:rsidRPr="00F700FB">
        <w:t xml:space="preserve">báňsko-technické evidence nově také </w:t>
      </w:r>
      <w:r w:rsidR="005D649D">
        <w:t xml:space="preserve">povinnost poskytovat </w:t>
      </w:r>
      <w:r w:rsidRPr="00F700FB">
        <w:t>údaje o</w:t>
      </w:r>
      <w:r w:rsidR="005D649D">
        <w:t xml:space="preserve"> </w:t>
      </w:r>
      <w:r w:rsidRPr="00F700FB">
        <w:t>nákladech na těžbu a</w:t>
      </w:r>
      <w:r w:rsidR="005D649D">
        <w:t xml:space="preserve"> údaje </w:t>
      </w:r>
      <w:r w:rsidRPr="00F700FB">
        <w:t>o</w:t>
      </w:r>
      <w:r w:rsidR="00296AA8">
        <w:t xml:space="preserve"> </w:t>
      </w:r>
      <w:r w:rsidRPr="00F700FB">
        <w:t xml:space="preserve">průměrné tržní ceně za jednotlivé druhy vydobytých nerostů, které jsou předmětem úhrady. Návrh novely byl </w:t>
      </w:r>
      <w:r w:rsidR="00585E37">
        <w:t xml:space="preserve">vládě ČR předložen Ministerstvem průmyslu a obchodu ve spolupráci s ČBÚ </w:t>
      </w:r>
      <w:r w:rsidRPr="00F700FB">
        <w:t xml:space="preserve">dne 18. </w:t>
      </w:r>
      <w:r>
        <w:t>února 2019 pod čj.</w:t>
      </w:r>
      <w:r w:rsidR="00B45CD2">
        <w:t xml:space="preserve"> </w:t>
      </w:r>
      <w:r w:rsidRPr="00F700FB">
        <w:t>458/</w:t>
      </w:r>
      <w:r>
        <w:t>18 s rozporem podnikatelských a</w:t>
      </w:r>
      <w:r w:rsidR="005D649D">
        <w:t xml:space="preserve"> </w:t>
      </w:r>
      <w:r w:rsidRPr="00F700FB">
        <w:t>zaměstnaneckých svazů a</w:t>
      </w:r>
      <w:r w:rsidR="005D649D">
        <w:t> </w:t>
      </w:r>
      <w:r w:rsidRPr="00F700FB">
        <w:t xml:space="preserve">následně byl z jednání vlády stažen. </w:t>
      </w:r>
    </w:p>
    <w:p w14:paraId="7C1539A9" w14:textId="77777777" w:rsidR="00307CCE" w:rsidRDefault="00307CCE" w:rsidP="00307CCE"/>
    <w:p w14:paraId="5551F45D" w14:textId="77777777" w:rsidR="00CF20BF" w:rsidRPr="0087484E" w:rsidRDefault="00CB7290" w:rsidP="00CF20BF">
      <w:pPr>
        <w:keepNext/>
        <w:rPr>
          <w:b/>
        </w:rPr>
      </w:pPr>
      <w:r>
        <w:rPr>
          <w:b/>
        </w:rPr>
        <w:t>P</w:t>
      </w:r>
      <w:r w:rsidRPr="0087484E">
        <w:rPr>
          <w:b/>
        </w:rPr>
        <w:t>říjmy</w:t>
      </w:r>
      <w:r w:rsidRPr="0087484E">
        <w:rPr>
          <w:rFonts w:cstheme="minorHAnsi"/>
          <w:b/>
        </w:rPr>
        <w:t xml:space="preserve"> z pokut</w:t>
      </w:r>
      <w:r w:rsidRPr="008A2F7E">
        <w:rPr>
          <w:rFonts w:cstheme="minorHAnsi"/>
          <w:b/>
        </w:rPr>
        <w:t xml:space="preserve"> </w:t>
      </w:r>
      <w:r w:rsidRPr="0087484E">
        <w:rPr>
          <w:rFonts w:cstheme="minorHAnsi"/>
          <w:b/>
        </w:rPr>
        <w:t>udělených</w:t>
      </w:r>
      <w:r>
        <w:rPr>
          <w:rFonts w:cstheme="minorHAnsi"/>
          <w:b/>
        </w:rPr>
        <w:t xml:space="preserve"> ve správním řízení</w:t>
      </w:r>
    </w:p>
    <w:p w14:paraId="44188A3F" w14:textId="2ECC0679" w:rsidR="00CF20BF" w:rsidRPr="002219D8" w:rsidRDefault="00CB7290" w:rsidP="002219D8">
      <w:r w:rsidRPr="007447FD">
        <w:t>Podle zákona č. 61/1988 Sb. stanovuj</w:t>
      </w:r>
      <w:r w:rsidR="005D649D">
        <w:t>í</w:t>
      </w:r>
      <w:r w:rsidRPr="007447FD">
        <w:t xml:space="preserve"> ČBÚ a OBÚ</w:t>
      </w:r>
      <w:r w:rsidR="007447FD" w:rsidRPr="007447FD">
        <w:t xml:space="preserve"> mimo jiné</w:t>
      </w:r>
      <w:r w:rsidRPr="007447FD">
        <w:t xml:space="preserve"> dobývací prostory, rozhoduj</w:t>
      </w:r>
      <w:r w:rsidR="005D649D">
        <w:t>í</w:t>
      </w:r>
      <w:r w:rsidRPr="007447FD">
        <w:t xml:space="preserve"> o</w:t>
      </w:r>
      <w:r w:rsidR="002219D8">
        <w:t> </w:t>
      </w:r>
      <w:r w:rsidRPr="007447FD">
        <w:t>jejich změnách nebo zrušení, stanovuj</w:t>
      </w:r>
      <w:r w:rsidR="005D649D">
        <w:t>í</w:t>
      </w:r>
      <w:r w:rsidRPr="007447FD">
        <w:t xml:space="preserve"> podmínky k využívání výhradních ložisek nerostů, povoluj</w:t>
      </w:r>
      <w:r w:rsidR="005D649D">
        <w:t>í</w:t>
      </w:r>
      <w:r w:rsidRPr="007447FD">
        <w:t xml:space="preserve"> těžbu ložisek nevyhrazených nerostů v rámci činnos</w:t>
      </w:r>
      <w:r w:rsidR="00E63EA7">
        <w:t>ti prováděné hornickým způsobem</w:t>
      </w:r>
      <w:r w:rsidRPr="007447FD">
        <w:t xml:space="preserve"> a</w:t>
      </w:r>
      <w:r w:rsidR="005D649D">
        <w:t xml:space="preserve"> </w:t>
      </w:r>
      <w:r w:rsidRPr="007447FD">
        <w:t>ved</w:t>
      </w:r>
      <w:r w:rsidR="005D649D">
        <w:t>ou</w:t>
      </w:r>
      <w:r w:rsidRPr="007447FD">
        <w:t xml:space="preserve"> evidenci dobývacích prostor nerostů, povolování výroby, držení a</w:t>
      </w:r>
      <w:r w:rsidR="005D649D">
        <w:t> </w:t>
      </w:r>
      <w:r w:rsidRPr="007447FD">
        <w:t xml:space="preserve">nakládání s výbušninami a jejich složkami (prekurzory). K těmto zákonem vymezeným kompetencím </w:t>
      </w:r>
      <w:r w:rsidR="00E63EA7">
        <w:t xml:space="preserve">státní </w:t>
      </w:r>
      <w:r w:rsidRPr="007447FD">
        <w:t>báňské správy náleží i odpovídající kontrolní činnost. V rámci jejího výkonu ČBÚ a</w:t>
      </w:r>
      <w:r w:rsidR="00296AA8">
        <w:t xml:space="preserve"> </w:t>
      </w:r>
      <w:r w:rsidR="00B8412C">
        <w:t>OBÚ mají při zjištění porušení</w:t>
      </w:r>
      <w:r w:rsidRPr="007447FD">
        <w:t xml:space="preserve"> právních předpisů ukládat nejen opatření k odstra</w:t>
      </w:r>
      <w:r w:rsidR="005D649D">
        <w:t>nění</w:t>
      </w:r>
      <w:r w:rsidRPr="007447FD">
        <w:t xml:space="preserve"> </w:t>
      </w:r>
      <w:r w:rsidRPr="007447FD">
        <w:rPr>
          <w:rFonts w:eastAsiaTheme="minorHAnsi"/>
        </w:rPr>
        <w:t>zjištěných nedostatků, ale také pokuty odpovědným fyzickým a</w:t>
      </w:r>
      <w:r w:rsidR="00296AA8">
        <w:rPr>
          <w:rFonts w:eastAsiaTheme="minorHAnsi"/>
        </w:rPr>
        <w:t xml:space="preserve"> </w:t>
      </w:r>
      <w:r w:rsidRPr="007447FD">
        <w:rPr>
          <w:rFonts w:eastAsiaTheme="minorHAnsi"/>
        </w:rPr>
        <w:t>právnickým osobám.</w:t>
      </w:r>
      <w:r w:rsidRPr="007447FD">
        <w:t xml:space="preserve"> </w:t>
      </w:r>
      <w:r w:rsidR="00CA50ED">
        <w:t>Ú</w:t>
      </w:r>
      <w:r w:rsidRPr="007447FD">
        <w:t>hrn pokut udělených ve správním řízení</w:t>
      </w:r>
      <w:r w:rsidRPr="007447FD">
        <w:rPr>
          <w:b/>
        </w:rPr>
        <w:t xml:space="preserve"> </w:t>
      </w:r>
      <w:r w:rsidRPr="007447FD">
        <w:t>v kontrolovaném období je uveden v</w:t>
      </w:r>
      <w:r w:rsidR="004812DB">
        <w:t> </w:t>
      </w:r>
      <w:r w:rsidRPr="004812DB">
        <w:t>tabulce</w:t>
      </w:r>
      <w:r w:rsidR="004812DB" w:rsidRPr="004812DB">
        <w:t> </w:t>
      </w:r>
      <w:r w:rsidR="004812DB">
        <w:t>č. </w:t>
      </w:r>
      <w:r w:rsidR="007E16F8">
        <w:t>4</w:t>
      </w:r>
      <w:r w:rsidRPr="00924ED5">
        <w:t>.</w:t>
      </w:r>
    </w:p>
    <w:p w14:paraId="7C7C7364" w14:textId="77777777" w:rsidR="00CF20BF" w:rsidRDefault="00CF20BF" w:rsidP="00CF20BF">
      <w:pPr>
        <w:rPr>
          <w:rFonts w:cstheme="minorHAnsi"/>
        </w:rPr>
      </w:pPr>
    </w:p>
    <w:p w14:paraId="4D63C1BB" w14:textId="00861F5C" w:rsidR="00CF20BF" w:rsidRPr="007E16F8" w:rsidRDefault="00CB7290" w:rsidP="00CF20BF">
      <w:pPr>
        <w:keepNext/>
        <w:jc w:val="left"/>
        <w:rPr>
          <w:rFonts w:cstheme="minorHAnsi"/>
          <w:b/>
          <w:bCs/>
          <w:sz w:val="28"/>
        </w:rPr>
      </w:pPr>
      <w:r w:rsidRPr="007E16F8">
        <w:rPr>
          <w:rFonts w:cstheme="minorHAnsi"/>
          <w:b/>
          <w:bCs/>
        </w:rPr>
        <w:t xml:space="preserve">Tabulka č. </w:t>
      </w:r>
      <w:r w:rsidR="007E16F8">
        <w:rPr>
          <w:rFonts w:cstheme="minorHAnsi"/>
          <w:b/>
          <w:bCs/>
        </w:rPr>
        <w:t>4</w:t>
      </w:r>
      <w:r w:rsidRPr="007E16F8">
        <w:rPr>
          <w:rFonts w:cstheme="minorHAnsi"/>
          <w:b/>
          <w:bCs/>
        </w:rPr>
        <w:t xml:space="preserve">: Výše udělených pokut </w:t>
      </w:r>
    </w:p>
    <w:tbl>
      <w:tblPr>
        <w:tblStyle w:val="Mkatabulky"/>
        <w:tblW w:w="4987" w:type="pct"/>
        <w:tblLook w:val="04A0" w:firstRow="1" w:lastRow="0" w:firstColumn="1" w:lastColumn="0" w:noHBand="0" w:noVBand="1"/>
      </w:tblPr>
      <w:tblGrid>
        <w:gridCol w:w="1896"/>
        <w:gridCol w:w="7142"/>
      </w:tblGrid>
      <w:tr w:rsidR="007D5EC5" w14:paraId="72193247" w14:textId="77777777" w:rsidTr="00951AFB">
        <w:trPr>
          <w:trHeight w:val="340"/>
        </w:trPr>
        <w:tc>
          <w:tcPr>
            <w:tcW w:w="1049" w:type="pct"/>
            <w:shd w:val="clear" w:color="auto" w:fill="E5F1FF"/>
            <w:vAlign w:val="center"/>
          </w:tcPr>
          <w:p w14:paraId="070C0D43" w14:textId="642112F1" w:rsidR="00CF20BF" w:rsidRPr="00E81091" w:rsidRDefault="00CF20BF" w:rsidP="006A70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51" w:type="pct"/>
            <w:shd w:val="clear" w:color="auto" w:fill="E5F1FF"/>
            <w:vAlign w:val="center"/>
          </w:tcPr>
          <w:p w14:paraId="74656D26" w14:textId="63E09039" w:rsidR="00CF20BF" w:rsidRPr="00E81091" w:rsidRDefault="0071153B" w:rsidP="006A704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Ú</w:t>
            </w:r>
            <w:r w:rsidR="00CB7290">
              <w:rPr>
                <w:rFonts w:cstheme="minorHAnsi"/>
                <w:b/>
                <w:bCs/>
                <w:sz w:val="20"/>
                <w:szCs w:val="20"/>
              </w:rPr>
              <w:t>hrn pokut udělených ve správním řízení</w:t>
            </w:r>
          </w:p>
        </w:tc>
      </w:tr>
      <w:tr w:rsidR="007D5EC5" w14:paraId="6BD5297C" w14:textId="77777777" w:rsidTr="00951AFB">
        <w:trPr>
          <w:trHeight w:val="283"/>
        </w:trPr>
        <w:tc>
          <w:tcPr>
            <w:tcW w:w="1049" w:type="pct"/>
            <w:shd w:val="clear" w:color="auto" w:fill="FFFFFF" w:themeFill="background1"/>
            <w:vAlign w:val="center"/>
          </w:tcPr>
          <w:p w14:paraId="4BAAC827" w14:textId="77777777" w:rsidR="00CF20BF" w:rsidRPr="00E81091" w:rsidRDefault="00CB7290" w:rsidP="00951AFB">
            <w:pPr>
              <w:ind w:left="164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E81091">
              <w:rPr>
                <w:rFonts w:cstheme="minorHAnsi"/>
                <w:bCs/>
                <w:sz w:val="20"/>
                <w:szCs w:val="20"/>
              </w:rPr>
              <w:t>2015</w:t>
            </w:r>
          </w:p>
        </w:tc>
        <w:tc>
          <w:tcPr>
            <w:tcW w:w="3951" w:type="pct"/>
            <w:shd w:val="clear" w:color="auto" w:fill="FFFFFF" w:themeFill="background1"/>
          </w:tcPr>
          <w:p w14:paraId="71CD4B78" w14:textId="77777777" w:rsidR="00CF20BF" w:rsidRPr="00E81091" w:rsidRDefault="00CB7290" w:rsidP="006A704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81091">
              <w:rPr>
                <w:rFonts w:cstheme="minorHAnsi"/>
                <w:sz w:val="20"/>
                <w:szCs w:val="20"/>
              </w:rPr>
              <w:t>2 665</w:t>
            </w:r>
            <w:r w:rsidR="002219D8">
              <w:rPr>
                <w:rFonts w:cstheme="minorHAnsi"/>
                <w:sz w:val="20"/>
                <w:szCs w:val="20"/>
              </w:rPr>
              <w:t> </w:t>
            </w:r>
            <w:r w:rsidRPr="00E81091">
              <w:rPr>
                <w:rFonts w:cstheme="minorHAnsi"/>
                <w:sz w:val="20"/>
                <w:szCs w:val="20"/>
              </w:rPr>
              <w:t>000</w:t>
            </w:r>
            <w:r w:rsidR="002219D8">
              <w:rPr>
                <w:rFonts w:cstheme="minorHAnsi"/>
                <w:sz w:val="20"/>
                <w:szCs w:val="20"/>
              </w:rPr>
              <w:t xml:space="preserve"> Kč</w:t>
            </w:r>
          </w:p>
        </w:tc>
      </w:tr>
      <w:tr w:rsidR="007D5EC5" w14:paraId="139142B2" w14:textId="77777777" w:rsidTr="00951AFB">
        <w:trPr>
          <w:trHeight w:val="283"/>
        </w:trPr>
        <w:tc>
          <w:tcPr>
            <w:tcW w:w="1049" w:type="pct"/>
            <w:shd w:val="clear" w:color="auto" w:fill="FFFFFF" w:themeFill="background1"/>
            <w:vAlign w:val="center"/>
          </w:tcPr>
          <w:p w14:paraId="6BA573A7" w14:textId="77777777" w:rsidR="00CF20BF" w:rsidRPr="00E81091" w:rsidRDefault="00CB7290" w:rsidP="00951AFB">
            <w:pPr>
              <w:ind w:left="164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E81091">
              <w:rPr>
                <w:rFonts w:cstheme="minorHAnsi"/>
                <w:bCs/>
                <w:sz w:val="20"/>
                <w:szCs w:val="20"/>
              </w:rPr>
              <w:t>2016</w:t>
            </w:r>
          </w:p>
        </w:tc>
        <w:tc>
          <w:tcPr>
            <w:tcW w:w="3951" w:type="pct"/>
            <w:shd w:val="clear" w:color="auto" w:fill="FFFFFF" w:themeFill="background1"/>
          </w:tcPr>
          <w:p w14:paraId="4552C661" w14:textId="77777777" w:rsidR="00CF20BF" w:rsidRPr="00E81091" w:rsidRDefault="00CB7290" w:rsidP="006A704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81091">
              <w:rPr>
                <w:rFonts w:cstheme="minorHAnsi"/>
                <w:sz w:val="20"/>
                <w:szCs w:val="20"/>
              </w:rPr>
              <w:t>2 548</w:t>
            </w:r>
            <w:r w:rsidR="002219D8">
              <w:rPr>
                <w:rFonts w:cstheme="minorHAnsi"/>
                <w:sz w:val="20"/>
                <w:szCs w:val="20"/>
              </w:rPr>
              <w:t> </w:t>
            </w:r>
            <w:r w:rsidRPr="00E81091">
              <w:rPr>
                <w:rFonts w:cstheme="minorHAnsi"/>
                <w:sz w:val="20"/>
                <w:szCs w:val="20"/>
              </w:rPr>
              <w:t>000</w:t>
            </w:r>
            <w:r w:rsidR="002219D8">
              <w:rPr>
                <w:rFonts w:cstheme="minorHAnsi"/>
                <w:sz w:val="20"/>
                <w:szCs w:val="20"/>
              </w:rPr>
              <w:t xml:space="preserve"> Kč</w:t>
            </w:r>
          </w:p>
        </w:tc>
      </w:tr>
      <w:tr w:rsidR="007D5EC5" w14:paraId="099B4A10" w14:textId="77777777" w:rsidTr="00951AFB">
        <w:trPr>
          <w:trHeight w:val="283"/>
        </w:trPr>
        <w:tc>
          <w:tcPr>
            <w:tcW w:w="1049" w:type="pct"/>
            <w:shd w:val="clear" w:color="auto" w:fill="FFFFFF" w:themeFill="background1"/>
            <w:vAlign w:val="center"/>
          </w:tcPr>
          <w:p w14:paraId="46B856C5" w14:textId="77777777" w:rsidR="00CF20BF" w:rsidRPr="00E81091" w:rsidRDefault="00CB7290" w:rsidP="00951AFB">
            <w:pPr>
              <w:ind w:left="164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E81091">
              <w:rPr>
                <w:rFonts w:cstheme="minorHAnsi"/>
                <w:bCs/>
                <w:sz w:val="20"/>
                <w:szCs w:val="20"/>
              </w:rPr>
              <w:t>2017</w:t>
            </w:r>
          </w:p>
        </w:tc>
        <w:tc>
          <w:tcPr>
            <w:tcW w:w="3951" w:type="pct"/>
            <w:shd w:val="clear" w:color="auto" w:fill="FFFFFF" w:themeFill="background1"/>
          </w:tcPr>
          <w:p w14:paraId="28E58E92" w14:textId="77777777" w:rsidR="00CF20BF" w:rsidRPr="00E81091" w:rsidRDefault="00CB7290" w:rsidP="006A7046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81091">
              <w:rPr>
                <w:rFonts w:cstheme="minorHAnsi"/>
                <w:sz w:val="20"/>
                <w:szCs w:val="20"/>
              </w:rPr>
              <w:t>1 388</w:t>
            </w:r>
            <w:r w:rsidR="002219D8">
              <w:rPr>
                <w:rFonts w:cstheme="minorHAnsi"/>
                <w:sz w:val="20"/>
                <w:szCs w:val="20"/>
              </w:rPr>
              <w:t> </w:t>
            </w:r>
            <w:r w:rsidRPr="00E81091">
              <w:rPr>
                <w:rFonts w:cstheme="minorHAnsi"/>
                <w:sz w:val="20"/>
                <w:szCs w:val="20"/>
              </w:rPr>
              <w:t>000</w:t>
            </w:r>
            <w:r w:rsidR="002219D8">
              <w:rPr>
                <w:rFonts w:cstheme="minorHAnsi"/>
                <w:sz w:val="20"/>
                <w:szCs w:val="20"/>
              </w:rPr>
              <w:t xml:space="preserve"> Kč</w:t>
            </w:r>
          </w:p>
        </w:tc>
      </w:tr>
      <w:tr w:rsidR="007D5EC5" w14:paraId="66B8158A" w14:textId="77777777" w:rsidTr="00951AFB">
        <w:trPr>
          <w:trHeight w:val="283"/>
        </w:trPr>
        <w:tc>
          <w:tcPr>
            <w:tcW w:w="1049" w:type="pct"/>
            <w:shd w:val="clear" w:color="auto" w:fill="FFFFFF" w:themeFill="background1"/>
            <w:vAlign w:val="center"/>
          </w:tcPr>
          <w:p w14:paraId="2575052E" w14:textId="77777777" w:rsidR="00CF20BF" w:rsidRPr="00E81091" w:rsidRDefault="00CB7290" w:rsidP="00951AFB">
            <w:pPr>
              <w:ind w:left="164"/>
              <w:jc w:val="left"/>
              <w:rPr>
                <w:rFonts w:cstheme="minorHAnsi"/>
                <w:bCs/>
                <w:sz w:val="20"/>
                <w:szCs w:val="20"/>
              </w:rPr>
            </w:pPr>
            <w:r w:rsidRPr="00E81091">
              <w:rPr>
                <w:rFonts w:cstheme="minorHAnsi"/>
                <w:bCs/>
                <w:sz w:val="20"/>
                <w:szCs w:val="20"/>
              </w:rPr>
              <w:t>2018</w:t>
            </w:r>
          </w:p>
        </w:tc>
        <w:tc>
          <w:tcPr>
            <w:tcW w:w="3951" w:type="pct"/>
            <w:shd w:val="clear" w:color="auto" w:fill="FFFFFF" w:themeFill="background1"/>
          </w:tcPr>
          <w:p w14:paraId="1554867D" w14:textId="77777777" w:rsidR="00CF20BF" w:rsidRPr="00E81091" w:rsidRDefault="00CB7290" w:rsidP="006A70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81091">
              <w:rPr>
                <w:rFonts w:cstheme="minorHAnsi"/>
                <w:sz w:val="20"/>
                <w:szCs w:val="20"/>
              </w:rPr>
              <w:t>1 634</w:t>
            </w:r>
            <w:r w:rsidR="002219D8">
              <w:rPr>
                <w:rFonts w:cstheme="minorHAnsi"/>
                <w:sz w:val="20"/>
                <w:szCs w:val="20"/>
              </w:rPr>
              <w:t> </w:t>
            </w:r>
            <w:r w:rsidRPr="00E81091">
              <w:rPr>
                <w:rFonts w:cstheme="minorHAnsi"/>
                <w:sz w:val="20"/>
                <w:szCs w:val="20"/>
              </w:rPr>
              <w:t>534</w:t>
            </w:r>
            <w:r w:rsidR="002219D8">
              <w:rPr>
                <w:rFonts w:cstheme="minorHAnsi"/>
                <w:sz w:val="20"/>
                <w:szCs w:val="20"/>
              </w:rPr>
              <w:t xml:space="preserve"> Kč</w:t>
            </w:r>
          </w:p>
        </w:tc>
      </w:tr>
      <w:tr w:rsidR="007D5EC5" w14:paraId="5E397029" w14:textId="77777777" w:rsidTr="00951AFB">
        <w:trPr>
          <w:trHeight w:val="283"/>
        </w:trPr>
        <w:tc>
          <w:tcPr>
            <w:tcW w:w="1049" w:type="pct"/>
            <w:shd w:val="clear" w:color="auto" w:fill="D9D9D9" w:themeFill="background1" w:themeFillShade="D9"/>
            <w:vAlign w:val="center"/>
          </w:tcPr>
          <w:p w14:paraId="3F1F4ED0" w14:textId="77777777" w:rsidR="00CF20BF" w:rsidRPr="00951AFB" w:rsidRDefault="00CB7290" w:rsidP="00951AFB">
            <w:pPr>
              <w:ind w:left="164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951AFB">
              <w:rPr>
                <w:rFonts w:cstheme="minorHAnsi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3951" w:type="pct"/>
            <w:shd w:val="clear" w:color="auto" w:fill="D9D9D9" w:themeFill="background1" w:themeFillShade="D9"/>
            <w:vAlign w:val="center"/>
          </w:tcPr>
          <w:p w14:paraId="2F1F48D2" w14:textId="77777777" w:rsidR="00CF20BF" w:rsidRPr="00951AFB" w:rsidRDefault="00CB7290" w:rsidP="006A704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1AFB">
              <w:rPr>
                <w:rFonts w:cstheme="minorHAnsi"/>
                <w:b/>
                <w:sz w:val="20"/>
                <w:szCs w:val="20"/>
              </w:rPr>
              <w:t>8 235</w:t>
            </w:r>
            <w:r w:rsidR="002219D8" w:rsidRPr="00951AFB">
              <w:rPr>
                <w:rFonts w:cstheme="minorHAnsi"/>
                <w:b/>
                <w:sz w:val="20"/>
                <w:szCs w:val="20"/>
              </w:rPr>
              <w:t> </w:t>
            </w:r>
            <w:r w:rsidRPr="00951AFB">
              <w:rPr>
                <w:rFonts w:cstheme="minorHAnsi"/>
                <w:b/>
                <w:sz w:val="20"/>
                <w:szCs w:val="20"/>
              </w:rPr>
              <w:t>534</w:t>
            </w:r>
            <w:r w:rsidR="002219D8" w:rsidRPr="00951AFB">
              <w:rPr>
                <w:rFonts w:cstheme="minorHAnsi"/>
                <w:b/>
                <w:sz w:val="20"/>
                <w:szCs w:val="20"/>
              </w:rPr>
              <w:t xml:space="preserve"> Kč</w:t>
            </w:r>
          </w:p>
        </w:tc>
      </w:tr>
    </w:tbl>
    <w:p w14:paraId="5C90C6DC" w14:textId="3909D165" w:rsidR="00CF20BF" w:rsidRPr="00664A20" w:rsidRDefault="00CB7290" w:rsidP="00CF20BF">
      <w:pPr>
        <w:jc w:val="left"/>
        <w:rPr>
          <w:rFonts w:cstheme="minorHAnsi"/>
          <w:bCs/>
          <w:i/>
          <w:sz w:val="18"/>
          <w:szCs w:val="18"/>
        </w:rPr>
      </w:pPr>
      <w:r w:rsidRPr="00664A20">
        <w:rPr>
          <w:rFonts w:cstheme="minorHAnsi"/>
          <w:b/>
          <w:bCs/>
          <w:i/>
          <w:sz w:val="18"/>
          <w:szCs w:val="18"/>
        </w:rPr>
        <w:t>Zdroj:</w:t>
      </w:r>
      <w:r w:rsidRPr="00664A20">
        <w:rPr>
          <w:rFonts w:cstheme="minorHAnsi"/>
          <w:bCs/>
          <w:i/>
          <w:sz w:val="18"/>
          <w:szCs w:val="18"/>
        </w:rPr>
        <w:t xml:space="preserve"> </w:t>
      </w:r>
      <w:r w:rsidR="005D649D">
        <w:rPr>
          <w:rFonts w:cstheme="minorHAnsi"/>
          <w:bCs/>
          <w:i/>
          <w:sz w:val="18"/>
          <w:szCs w:val="18"/>
        </w:rPr>
        <w:t>z</w:t>
      </w:r>
      <w:r w:rsidRPr="00664A20">
        <w:rPr>
          <w:rFonts w:cstheme="minorHAnsi"/>
          <w:bCs/>
          <w:i/>
          <w:sz w:val="18"/>
          <w:szCs w:val="18"/>
        </w:rPr>
        <w:t>ávěrečné účty kapitoly ČBÚ za roky 2015 až 2017 a odpověď ČBÚ čj. SBS 29778/2018 ze dne 4. února 2019.</w:t>
      </w:r>
    </w:p>
    <w:p w14:paraId="3929CA54" w14:textId="5CE4A9E9" w:rsidR="008712F4" w:rsidRDefault="008712F4" w:rsidP="003C05D4">
      <w:pPr>
        <w:rPr>
          <w:rFonts w:cstheme="minorHAnsi"/>
          <w:b/>
        </w:rPr>
      </w:pPr>
    </w:p>
    <w:p w14:paraId="1343BB48" w14:textId="0848EE10" w:rsidR="007447FD" w:rsidRDefault="00B45CD2" w:rsidP="007447FD">
      <w:pPr>
        <w:keepNext/>
        <w:rPr>
          <w:rFonts w:cstheme="minorHAnsi"/>
        </w:rPr>
      </w:pPr>
      <w:r>
        <w:rPr>
          <w:rFonts w:cstheme="minorHAnsi"/>
        </w:rPr>
        <w:t>U</w:t>
      </w:r>
      <w:r w:rsidR="0071153B">
        <w:rPr>
          <w:rFonts w:cstheme="minorHAnsi"/>
        </w:rPr>
        <w:t xml:space="preserve"> </w:t>
      </w:r>
      <w:r w:rsidR="00CB7290" w:rsidRPr="00FE50B1">
        <w:rPr>
          <w:rFonts w:cstheme="minorHAnsi"/>
        </w:rPr>
        <w:t>kontrolované</w:t>
      </w:r>
      <w:r>
        <w:rPr>
          <w:rFonts w:cstheme="minorHAnsi"/>
        </w:rPr>
        <w:t>ho</w:t>
      </w:r>
      <w:r w:rsidR="00CB7290" w:rsidRPr="00FE50B1">
        <w:rPr>
          <w:rFonts w:cstheme="minorHAnsi"/>
        </w:rPr>
        <w:t xml:space="preserve"> vzorku 16 pokut udělených ve správních řízeních byly až na dvě výjimky</w:t>
      </w:r>
      <w:r w:rsidR="00CF4818">
        <w:rPr>
          <w:rFonts w:cstheme="minorHAnsi"/>
        </w:rPr>
        <w:t xml:space="preserve"> (opoždění o 4 a 11 dní)</w:t>
      </w:r>
      <w:r w:rsidR="00CB7290" w:rsidRPr="00FE50B1">
        <w:rPr>
          <w:rFonts w:cstheme="minorHAnsi"/>
        </w:rPr>
        <w:t xml:space="preserve"> pokuty uhrazeny včas a všech 16 pokut v celkové výši 5 705 000</w:t>
      </w:r>
      <w:r>
        <w:rPr>
          <w:rFonts w:cstheme="minorHAnsi"/>
        </w:rPr>
        <w:t> </w:t>
      </w:r>
      <w:r w:rsidR="00CB7290" w:rsidRPr="00FE50B1">
        <w:rPr>
          <w:rFonts w:cstheme="minorHAnsi"/>
        </w:rPr>
        <w:t xml:space="preserve">Kč bylo </w:t>
      </w:r>
      <w:r w:rsidR="00B8412C">
        <w:rPr>
          <w:rFonts w:cstheme="minorHAnsi"/>
        </w:rPr>
        <w:t>pokutovanými subjekty</w:t>
      </w:r>
      <w:r w:rsidR="00CB7290" w:rsidRPr="00FE50B1">
        <w:rPr>
          <w:rFonts w:cstheme="minorHAnsi"/>
        </w:rPr>
        <w:t xml:space="preserve"> uhrazeno. Kontrolou u vzorku pokut nebyl zjištěn případ, že by</w:t>
      </w:r>
      <w:r w:rsidR="00CB7290" w:rsidRPr="004757D9">
        <w:rPr>
          <w:rFonts w:cstheme="minorHAnsi"/>
        </w:rPr>
        <w:t xml:space="preserve"> ČBÚ musel úhradu pokuty vymáhat.</w:t>
      </w:r>
    </w:p>
    <w:p w14:paraId="374CD420" w14:textId="77777777" w:rsidR="0070275B" w:rsidRDefault="0070275B" w:rsidP="00436EB0">
      <w:pPr>
        <w:rPr>
          <w:rFonts w:ascii="Calibri" w:hAnsi="Calibri" w:cs="Calibri"/>
          <w:b/>
        </w:rPr>
      </w:pPr>
    </w:p>
    <w:p w14:paraId="1EE9E4C8" w14:textId="3E18492A" w:rsidR="00F12021" w:rsidRDefault="00F12021">
      <w:pPr>
        <w:spacing w:after="160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148F7F00" w14:textId="153C5F44" w:rsidR="00436EB0" w:rsidRPr="002219D8" w:rsidRDefault="00CB7290" w:rsidP="00123441">
      <w:pPr>
        <w:spacing w:after="2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S</w:t>
      </w:r>
      <w:r w:rsidRPr="002219D8">
        <w:rPr>
          <w:rFonts w:ascii="Calibri" w:hAnsi="Calibri" w:cs="Calibri"/>
          <w:b/>
        </w:rPr>
        <w:t xml:space="preserve">eznam zkratek 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6150"/>
      </w:tblGrid>
      <w:tr w:rsidR="00A96659" w14:paraId="7E4BDC5F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</w:tcPr>
          <w:p w14:paraId="1A4A466E" w14:textId="586515B7" w:rsidR="00A96659" w:rsidRPr="00D8106E" w:rsidRDefault="00A96659" w:rsidP="00123441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BOZP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E7CA17C" w14:textId="06603E5D" w:rsidR="00A96659" w:rsidRPr="00D8106E" w:rsidRDefault="00A96659" w:rsidP="00A96659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bezpečnost a ochrana zdraví při práci</w:t>
            </w:r>
          </w:p>
        </w:tc>
      </w:tr>
      <w:tr w:rsidR="007D5EC5" w14:paraId="7B720810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6007F0EC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 w:rsidRPr="00D8106E">
              <w:rPr>
                <w:rFonts w:ascii="Calibri" w:hAnsi="Calibri" w:cs="Calibri"/>
                <w:color w:val="000000"/>
                <w:lang w:eastAsia="cs-CZ"/>
              </w:rPr>
              <w:t xml:space="preserve">ČBÚ 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2BB28A57" w14:textId="77777777" w:rsidR="00436EB0" w:rsidRPr="00D8106E" w:rsidRDefault="00CB7290" w:rsidP="00A96659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 w:rsidRPr="00D8106E">
              <w:rPr>
                <w:rFonts w:ascii="Calibri" w:hAnsi="Calibri" w:cs="Calibri"/>
                <w:color w:val="000000"/>
                <w:lang w:eastAsia="cs-CZ"/>
              </w:rPr>
              <w:t xml:space="preserve">Český báňský úřad </w:t>
            </w:r>
          </w:p>
        </w:tc>
      </w:tr>
      <w:tr w:rsidR="00A96659" w14:paraId="54907DC6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</w:tcPr>
          <w:p w14:paraId="400BD693" w14:textId="49EB62B2" w:rsidR="00A96659" w:rsidRPr="00D8106E" w:rsidRDefault="00A96659" w:rsidP="00123441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ČR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133A011" w14:textId="2F6B5C7D" w:rsidR="00A96659" w:rsidRPr="00D8106E" w:rsidRDefault="00A96659" w:rsidP="00A96659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Česká republika</w:t>
            </w:r>
          </w:p>
        </w:tc>
      </w:tr>
      <w:tr w:rsidR="004A4854" w14:paraId="74FD7745" w14:textId="77777777" w:rsidTr="00A96659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</w:tcPr>
          <w:p w14:paraId="52496F9B" w14:textId="5478677D" w:rsidR="004A4854" w:rsidRDefault="004A4854" w:rsidP="00A96659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DHM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664B620D" w14:textId="0B497753" w:rsidR="004A4854" w:rsidRDefault="004A4854" w:rsidP="00A96659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dlouhodobý hmotný majetek</w:t>
            </w:r>
          </w:p>
        </w:tc>
      </w:tr>
      <w:tr w:rsidR="007D5EC5" w14:paraId="1C103DCC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60AC538F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 xml:space="preserve">DP 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4E0E77A1" w14:textId="77777777" w:rsidR="00436EB0" w:rsidRPr="00D8106E" w:rsidRDefault="00CB7290" w:rsidP="00A96659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>dobývací prostory</w:t>
            </w:r>
          </w:p>
        </w:tc>
      </w:tr>
      <w:tr w:rsidR="00A96659" w14:paraId="27CA0C39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</w:tcPr>
          <w:p w14:paraId="5E952D95" w14:textId="09CC7E93" w:rsidR="00A96659" w:rsidRPr="00D8106E" w:rsidRDefault="00A96659" w:rsidP="00123441">
            <w:pPr>
              <w:jc w:val="lef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DPH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1C02858C" w14:textId="24CABC24" w:rsidR="00A96659" w:rsidRPr="00D8106E" w:rsidRDefault="00A96659" w:rsidP="00A96659">
            <w:pPr>
              <w:jc w:val="lef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daň z přidané hodnoty</w:t>
            </w:r>
          </w:p>
        </w:tc>
      </w:tr>
      <w:tr w:rsidR="007D5EC5" w14:paraId="65134D27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61F7A93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>ICT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70AE2D78" w14:textId="77777777" w:rsidR="00436EB0" w:rsidRPr="00D8106E" w:rsidRDefault="00CB7290" w:rsidP="00A96659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 xml:space="preserve">informační a komunikační technologie </w:t>
            </w:r>
          </w:p>
        </w:tc>
      </w:tr>
      <w:tr w:rsidR="00A96659" w14:paraId="32B535FB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</w:tcPr>
          <w:p w14:paraId="3CA8B23E" w14:textId="4FA625C9" w:rsidR="00A96659" w:rsidRPr="00D8106E" w:rsidRDefault="00A96659" w:rsidP="00123441">
            <w:pPr>
              <w:jc w:val="lef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>kapitola ČBÚ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2ECABCAE" w14:textId="5035444C" w:rsidR="00A96659" w:rsidRPr="00D8106E" w:rsidRDefault="00A96659" w:rsidP="00A96659">
            <w:pPr>
              <w:jc w:val="left"/>
              <w:rPr>
                <w:rFonts w:ascii="Calibri" w:hAnsi="Calibri" w:cs="Calibri"/>
                <w:lang w:eastAsia="cs-CZ"/>
              </w:rPr>
            </w:pPr>
            <w:r>
              <w:rPr>
                <w:rFonts w:ascii="Calibri" w:hAnsi="Calibri" w:cs="Calibri"/>
                <w:lang w:eastAsia="cs-CZ"/>
              </w:rPr>
              <w:t xml:space="preserve">kapitola státního rozpočtu 348 – </w:t>
            </w:r>
            <w:r w:rsidRPr="00951AFB">
              <w:rPr>
                <w:rFonts w:ascii="Calibri" w:hAnsi="Calibri" w:cs="Calibri"/>
                <w:i/>
                <w:lang w:eastAsia="cs-CZ"/>
              </w:rPr>
              <w:t>Český báňský úřad</w:t>
            </w:r>
          </w:p>
        </w:tc>
      </w:tr>
      <w:tr w:rsidR="007D5EC5" w14:paraId="7BCFB8CA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083B50C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>MPO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47C56C12" w14:textId="77777777" w:rsidR="00436EB0" w:rsidRPr="00D8106E" w:rsidRDefault="00CB7290" w:rsidP="00A96659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>Ministerstvo průmyslu a obchodu</w:t>
            </w:r>
          </w:p>
        </w:tc>
      </w:tr>
      <w:tr w:rsidR="007D5EC5" w14:paraId="1BBF8323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6AF11DCF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>MŽP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3F1174ED" w14:textId="77777777" w:rsidR="00436EB0" w:rsidRPr="00D8106E" w:rsidRDefault="00CB7290" w:rsidP="00A96659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>Ministerstvo životního prostředí</w:t>
            </w:r>
          </w:p>
        </w:tc>
      </w:tr>
      <w:tr w:rsidR="00CA50ED" w14:paraId="3FA295E9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</w:tcPr>
          <w:p w14:paraId="5811C4DA" w14:textId="4606E8CD" w:rsidR="00CA50ED" w:rsidRPr="00D8106E" w:rsidRDefault="00CA50ED" w:rsidP="00123441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NKÚ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3CB9D163" w14:textId="50D188FD" w:rsidR="00CA50ED" w:rsidRPr="00D8106E" w:rsidRDefault="00CA50ED" w:rsidP="00A96659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Nejvyšší kontrolní úřad</w:t>
            </w:r>
          </w:p>
        </w:tc>
      </w:tr>
      <w:tr w:rsidR="007D5EC5" w14:paraId="6E15BB4D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75026989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 w:rsidRPr="00D8106E">
              <w:rPr>
                <w:rFonts w:ascii="Calibri" w:hAnsi="Calibri" w:cs="Calibri"/>
                <w:color w:val="000000"/>
                <w:lang w:eastAsia="cs-CZ"/>
              </w:rPr>
              <w:t xml:space="preserve">OBÚ 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7897AEB1" w14:textId="77777777" w:rsidR="00436EB0" w:rsidRPr="00D8106E" w:rsidRDefault="00CB7290" w:rsidP="00A96659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 w:rsidRPr="00D8106E">
              <w:rPr>
                <w:rFonts w:ascii="Calibri" w:hAnsi="Calibri" w:cs="Calibri"/>
                <w:color w:val="000000"/>
                <w:lang w:eastAsia="cs-CZ"/>
              </w:rPr>
              <w:t xml:space="preserve">obvodní báňský úřad </w:t>
            </w:r>
          </w:p>
        </w:tc>
      </w:tr>
      <w:tr w:rsidR="007D5EC5" w14:paraId="1BB5F8A4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hideMark/>
          </w:tcPr>
          <w:p w14:paraId="52BF74AE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>podprogram 148V011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15EC0CDB" w14:textId="70E18997" w:rsidR="00436EB0" w:rsidRPr="00123441" w:rsidRDefault="00CB7290" w:rsidP="00A96659">
            <w:pPr>
              <w:jc w:val="left"/>
              <w:rPr>
                <w:rFonts w:ascii="Calibri" w:hAnsi="Calibri" w:cs="Calibri"/>
                <w:lang w:eastAsia="cs-CZ"/>
              </w:rPr>
            </w:pPr>
            <w:r w:rsidRPr="00123441">
              <w:rPr>
                <w:rFonts w:ascii="Calibri" w:hAnsi="Calibri" w:cs="Calibri"/>
                <w:lang w:eastAsia="cs-CZ"/>
              </w:rPr>
              <w:t xml:space="preserve">podprogram č. 148V011 – </w:t>
            </w:r>
            <w:r w:rsidRPr="00951AFB">
              <w:rPr>
                <w:rFonts w:ascii="Calibri" w:hAnsi="Calibri" w:cs="Calibri"/>
                <w:i/>
                <w:lang w:eastAsia="cs-CZ"/>
              </w:rPr>
              <w:t>Pořízení, obnova a provozování ICT Českého báňského úřadu</w:t>
            </w:r>
            <w:r w:rsidRPr="00123441">
              <w:rPr>
                <w:rFonts w:ascii="Calibri" w:hAnsi="Calibri" w:cs="Calibri"/>
                <w:lang w:eastAsia="cs-CZ"/>
              </w:rPr>
              <w:t xml:space="preserve"> </w:t>
            </w:r>
          </w:p>
        </w:tc>
      </w:tr>
      <w:tr w:rsidR="007D5EC5" w14:paraId="6DDB58A5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hideMark/>
          </w:tcPr>
          <w:p w14:paraId="2F105F35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 xml:space="preserve">podprogram 148V012 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22212D80" w14:textId="17686563" w:rsidR="00436EB0" w:rsidRPr="00123441" w:rsidRDefault="00CB7290" w:rsidP="00A96659">
            <w:pPr>
              <w:jc w:val="left"/>
              <w:rPr>
                <w:rFonts w:ascii="Calibri" w:hAnsi="Calibri" w:cs="Calibri"/>
                <w:lang w:eastAsia="cs-CZ"/>
              </w:rPr>
            </w:pPr>
            <w:r w:rsidRPr="00123441">
              <w:rPr>
                <w:rFonts w:ascii="Calibri" w:hAnsi="Calibri" w:cs="Calibri"/>
                <w:lang w:eastAsia="cs-CZ"/>
              </w:rPr>
              <w:t xml:space="preserve">podprogram č. 148V012 – </w:t>
            </w:r>
            <w:r w:rsidRPr="00951AFB">
              <w:rPr>
                <w:rFonts w:ascii="Calibri" w:hAnsi="Calibri" w:cs="Calibri"/>
                <w:i/>
                <w:lang w:eastAsia="cs-CZ"/>
              </w:rPr>
              <w:t xml:space="preserve">Reprodukce majetku Českého báňského úřadu </w:t>
            </w:r>
          </w:p>
        </w:tc>
      </w:tr>
      <w:tr w:rsidR="007D5EC5" w14:paraId="2FA88285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hideMark/>
          </w:tcPr>
          <w:p w14:paraId="12E4A748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>program 148 01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68F23A03" w14:textId="6C2DF3D9" w:rsidR="00436EB0" w:rsidRPr="00123441" w:rsidRDefault="00A96659" w:rsidP="00A96659">
            <w:pPr>
              <w:jc w:val="left"/>
              <w:rPr>
                <w:rFonts w:ascii="Calibri" w:hAnsi="Calibri" w:cs="Calibri"/>
                <w:lang w:eastAsia="cs-CZ"/>
              </w:rPr>
            </w:pPr>
            <w:r w:rsidRPr="00123441">
              <w:rPr>
                <w:rFonts w:ascii="Calibri" w:hAnsi="Calibri" w:cs="Calibri"/>
                <w:lang w:eastAsia="cs-CZ"/>
              </w:rPr>
              <w:t>p</w:t>
            </w:r>
            <w:r w:rsidR="00CB7290" w:rsidRPr="00123441">
              <w:rPr>
                <w:rFonts w:ascii="Calibri" w:hAnsi="Calibri" w:cs="Calibri"/>
                <w:lang w:eastAsia="cs-CZ"/>
              </w:rPr>
              <w:t xml:space="preserve">rogram 148 01 </w:t>
            </w:r>
            <w:r w:rsidRPr="00123441">
              <w:rPr>
                <w:rFonts w:ascii="Calibri" w:hAnsi="Calibri" w:cs="Calibri"/>
                <w:lang w:eastAsia="cs-CZ"/>
              </w:rPr>
              <w:t xml:space="preserve">– </w:t>
            </w:r>
            <w:r w:rsidR="00CB7290" w:rsidRPr="00951AFB">
              <w:rPr>
                <w:rFonts w:ascii="Calibri" w:hAnsi="Calibri" w:cs="Calibri"/>
                <w:i/>
                <w:lang w:eastAsia="cs-CZ"/>
              </w:rPr>
              <w:t>Rozvoj a obnova materiálně technické základny ČBÚ – od roku 2013</w:t>
            </w:r>
            <w:r w:rsidR="00CB7290" w:rsidRPr="00123441">
              <w:rPr>
                <w:rFonts w:ascii="Calibri" w:hAnsi="Calibri" w:cs="Calibri"/>
                <w:lang w:eastAsia="cs-CZ"/>
              </w:rPr>
              <w:t xml:space="preserve"> </w:t>
            </w:r>
          </w:p>
        </w:tc>
      </w:tr>
      <w:tr w:rsidR="007D5EC5" w14:paraId="5363D690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6EA404B3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 w:rsidRPr="00D8106E">
              <w:rPr>
                <w:rFonts w:ascii="Calibri" w:hAnsi="Calibri" w:cs="Calibri"/>
                <w:color w:val="000000"/>
                <w:lang w:eastAsia="cs-CZ"/>
              </w:rPr>
              <w:t>SBS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255545CF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 w:rsidRPr="00D8106E">
              <w:rPr>
                <w:rFonts w:ascii="Calibri" w:hAnsi="Calibri" w:cs="Calibri"/>
                <w:color w:val="000000"/>
                <w:lang w:eastAsia="cs-CZ"/>
              </w:rPr>
              <w:t>státní báňská správa</w:t>
            </w:r>
          </w:p>
        </w:tc>
      </w:tr>
      <w:tr w:rsidR="00D20C50" w14:paraId="6A032676" w14:textId="77777777" w:rsidTr="00A96659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</w:tcPr>
          <w:p w14:paraId="24577535" w14:textId="287B817B" w:rsidR="00D20C50" w:rsidRPr="00D8106E" w:rsidRDefault="00D20C50" w:rsidP="0034033B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SÚ</w:t>
            </w:r>
          </w:p>
        </w:tc>
        <w:tc>
          <w:tcPr>
            <w:tcW w:w="6150" w:type="dxa"/>
            <w:shd w:val="clear" w:color="auto" w:fill="auto"/>
            <w:noWrap/>
            <w:vAlign w:val="center"/>
          </w:tcPr>
          <w:p w14:paraId="4A383983" w14:textId="69701C96" w:rsidR="00D20C50" w:rsidRPr="00D8106E" w:rsidRDefault="002C09CB" w:rsidP="00A96659">
            <w:pPr>
              <w:jc w:val="left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syntetický účet</w:t>
            </w:r>
          </w:p>
        </w:tc>
      </w:tr>
      <w:tr w:rsidR="007D5EC5" w14:paraId="798C36DA" w14:textId="77777777" w:rsidTr="00123441">
        <w:trPr>
          <w:trHeight w:val="510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382B2D47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 xml:space="preserve">VN </w:t>
            </w:r>
          </w:p>
        </w:tc>
        <w:tc>
          <w:tcPr>
            <w:tcW w:w="6150" w:type="dxa"/>
            <w:shd w:val="clear" w:color="auto" w:fill="auto"/>
            <w:noWrap/>
            <w:vAlign w:val="center"/>
            <w:hideMark/>
          </w:tcPr>
          <w:p w14:paraId="6B74C3E6" w14:textId="77777777" w:rsidR="00436EB0" w:rsidRPr="00D8106E" w:rsidRDefault="00CB7290" w:rsidP="00123441">
            <w:pPr>
              <w:jc w:val="left"/>
              <w:rPr>
                <w:rFonts w:ascii="Calibri" w:hAnsi="Calibri" w:cs="Calibri"/>
                <w:lang w:eastAsia="cs-CZ"/>
              </w:rPr>
            </w:pPr>
            <w:r w:rsidRPr="00D8106E">
              <w:rPr>
                <w:rFonts w:ascii="Calibri" w:hAnsi="Calibri" w:cs="Calibri"/>
                <w:lang w:eastAsia="cs-CZ"/>
              </w:rPr>
              <w:t>vydobyté nerosty</w:t>
            </w:r>
          </w:p>
        </w:tc>
      </w:tr>
    </w:tbl>
    <w:p w14:paraId="312699D5" w14:textId="77777777" w:rsidR="00CA50ED" w:rsidRDefault="00CA50ED" w:rsidP="00D74948"/>
    <w:p w14:paraId="6CAA8ACE" w14:textId="77777777" w:rsidR="00C44DAE" w:rsidRDefault="00C44DAE">
      <w:pPr>
        <w:spacing w:after="160" w:line="259" w:lineRule="auto"/>
        <w:jc w:val="left"/>
      </w:pPr>
      <w:r>
        <w:br w:type="page"/>
      </w:r>
    </w:p>
    <w:p w14:paraId="13214368" w14:textId="1F1E68E3" w:rsidR="00D74948" w:rsidRDefault="00CB7290" w:rsidP="00F12021">
      <w:pPr>
        <w:jc w:val="right"/>
      </w:pPr>
      <w:r>
        <w:lastRenderedPageBreak/>
        <w:t>Příloha</w:t>
      </w:r>
      <w:r w:rsidR="00F67FA9">
        <w:t xml:space="preserve"> č. 1</w:t>
      </w:r>
    </w:p>
    <w:p w14:paraId="7E23AA25" w14:textId="77777777" w:rsidR="00D74948" w:rsidRDefault="00D74948" w:rsidP="00D74948"/>
    <w:p w14:paraId="39434494" w14:textId="77777777" w:rsidR="00D74948" w:rsidRDefault="00CB7290" w:rsidP="00D74948">
      <w:pPr>
        <w:rPr>
          <w:b/>
        </w:rPr>
      </w:pPr>
      <w:bookmarkStart w:id="5" w:name="OLE_LINK1"/>
      <w:r>
        <w:rPr>
          <w:b/>
        </w:rPr>
        <w:t>P</w:t>
      </w:r>
      <w:r w:rsidRPr="00C45016">
        <w:rPr>
          <w:b/>
        </w:rPr>
        <w:t>řehled kontrolovaných objemů dle oblastí kontroly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812"/>
        <w:gridCol w:w="4250"/>
      </w:tblGrid>
      <w:tr w:rsidR="007D5EC5" w14:paraId="11A09313" w14:textId="77777777" w:rsidTr="00C60C87">
        <w:trPr>
          <w:trHeight w:val="461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4AAB469" w14:textId="7ECDF421" w:rsidR="00D74948" w:rsidRPr="00A12E42" w:rsidRDefault="00D20C50" w:rsidP="00D20C5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</w:t>
            </w:r>
            <w:r w:rsidR="00CB7290" w:rsidRPr="00A12E42">
              <w:rPr>
                <w:rFonts w:cstheme="minorHAnsi"/>
                <w:b/>
                <w:sz w:val="20"/>
                <w:szCs w:val="20"/>
              </w:rPr>
              <w:t>lavní</w:t>
            </w:r>
            <w:r w:rsidR="00CB7290">
              <w:rPr>
                <w:rFonts w:cstheme="minorHAnsi"/>
                <w:b/>
                <w:sz w:val="20"/>
                <w:szCs w:val="20"/>
              </w:rPr>
              <w:t>/</w:t>
            </w:r>
            <w:r w:rsidR="00CB7290" w:rsidRPr="00CC3E00">
              <w:rPr>
                <w:rFonts w:cstheme="minorHAnsi"/>
                <w:sz w:val="20"/>
                <w:szCs w:val="20"/>
              </w:rPr>
              <w:t>vedlejší</w:t>
            </w:r>
            <w:r w:rsidR="00CB729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7290" w:rsidRPr="00A12E42">
              <w:rPr>
                <w:rFonts w:cstheme="minorHAnsi"/>
                <w:b/>
                <w:sz w:val="20"/>
                <w:szCs w:val="20"/>
              </w:rPr>
              <w:t>kategorie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3D80766" w14:textId="43E1E199" w:rsidR="00D74948" w:rsidRPr="00A12E42" w:rsidRDefault="00D20C50" w:rsidP="0018668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</w:t>
            </w:r>
            <w:r w:rsidR="00CB7290" w:rsidRPr="00A12E42">
              <w:rPr>
                <w:rFonts w:cstheme="minorHAnsi"/>
                <w:b/>
                <w:sz w:val="20"/>
                <w:szCs w:val="20"/>
              </w:rPr>
              <w:t>ontrolovaný objem</w:t>
            </w:r>
          </w:p>
        </w:tc>
      </w:tr>
      <w:tr w:rsidR="007D5EC5" w14:paraId="2932607C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EA29" w14:textId="4B988D30" w:rsidR="00D74948" w:rsidRPr="00CC3E00" w:rsidRDefault="00D20C50" w:rsidP="00B631D6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</w:t>
            </w:r>
            <w:r w:rsidR="00CB7290" w:rsidRPr="00CC3E00">
              <w:rPr>
                <w:rFonts w:cstheme="minorHAnsi"/>
                <w:b/>
                <w:sz w:val="20"/>
                <w:szCs w:val="20"/>
              </w:rPr>
              <w:t>práva úhrad</w:t>
            </w:r>
            <w:r w:rsidR="00CB7290">
              <w:rPr>
                <w:rStyle w:val="Znakapoznpodarou"/>
                <w:rFonts w:cstheme="minorHAnsi"/>
                <w:b/>
              </w:rPr>
              <w:footnoteReference w:id="22"/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1D1" w14:textId="77777777" w:rsidR="00D74948" w:rsidRPr="00CC3E00" w:rsidRDefault="00CB7290" w:rsidP="00B631D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C3E00">
              <w:rPr>
                <w:rFonts w:cstheme="minorHAnsi"/>
                <w:b/>
                <w:sz w:val="20"/>
                <w:szCs w:val="20"/>
                <w:lang w:eastAsia="cs-CZ"/>
              </w:rPr>
              <w:t>948 910 582 Kč</w:t>
            </w:r>
          </w:p>
        </w:tc>
      </w:tr>
      <w:tr w:rsidR="007D5EC5" w14:paraId="26C25C51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3B8F" w14:textId="366D45C7" w:rsidR="00D74948" w:rsidRPr="00D60869" w:rsidRDefault="00D20C50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CB7290" w:rsidRPr="00D60869">
              <w:rPr>
                <w:rFonts w:cstheme="minorHAnsi"/>
                <w:sz w:val="20"/>
                <w:szCs w:val="20"/>
              </w:rPr>
              <w:t>ýnosy úhrad z dobývacích prostor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8D81" w14:textId="77777777" w:rsidR="00D74948" w:rsidRPr="00D60869" w:rsidRDefault="00CB7290" w:rsidP="00B631D6">
            <w:pPr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60869">
              <w:rPr>
                <w:rFonts w:cstheme="minorHAnsi"/>
                <w:sz w:val="20"/>
                <w:szCs w:val="20"/>
                <w:lang w:eastAsia="cs-CZ"/>
              </w:rPr>
              <w:t>131 775 502 Kč</w:t>
            </w:r>
          </w:p>
        </w:tc>
      </w:tr>
      <w:tr w:rsidR="007D5EC5" w14:paraId="6D0A434B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49B9" w14:textId="191AA6E2" w:rsidR="00D74948" w:rsidRPr="00D60869" w:rsidRDefault="00D20C50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CB7290" w:rsidRPr="00D60869">
              <w:rPr>
                <w:rFonts w:cstheme="minorHAnsi"/>
                <w:sz w:val="20"/>
                <w:szCs w:val="20"/>
              </w:rPr>
              <w:t xml:space="preserve">ýnosy úhrad z vydobytých nerostů 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FDD2" w14:textId="77777777" w:rsidR="00D74948" w:rsidRPr="00A12E42" w:rsidRDefault="00CB7290" w:rsidP="00B631D6">
            <w:pPr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60869">
              <w:rPr>
                <w:rFonts w:cstheme="minorHAnsi"/>
                <w:bCs/>
                <w:sz w:val="20"/>
                <w:szCs w:val="20"/>
                <w:lang w:eastAsia="cs-CZ"/>
              </w:rPr>
              <w:t>817 135 080 Kč</w:t>
            </w:r>
          </w:p>
        </w:tc>
      </w:tr>
      <w:tr w:rsidR="007D5EC5" w14:paraId="25463138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8490" w14:textId="2E80D96F" w:rsidR="00D74948" w:rsidRPr="00CC3E00" w:rsidRDefault="00D20C50" w:rsidP="00B631D6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CB7290" w:rsidRPr="00CC3E00">
              <w:rPr>
                <w:rFonts w:cstheme="minorHAnsi"/>
                <w:b/>
                <w:sz w:val="20"/>
                <w:szCs w:val="20"/>
              </w:rPr>
              <w:t>edaňové příjmy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6CF1" w14:textId="77777777" w:rsidR="00D74948" w:rsidRPr="00CC3E00" w:rsidRDefault="00CB7290" w:rsidP="00B631D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C3E00">
              <w:rPr>
                <w:rFonts w:cstheme="minorHAnsi"/>
                <w:b/>
                <w:sz w:val="20"/>
                <w:szCs w:val="20"/>
              </w:rPr>
              <w:t>6 751 737 Kč</w:t>
            </w:r>
          </w:p>
        </w:tc>
      </w:tr>
      <w:tr w:rsidR="007D5EC5" w14:paraId="147946AD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F8C1" w14:textId="20224D0B" w:rsidR="00D74948" w:rsidRPr="00A12E42" w:rsidRDefault="00D20C50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CB7290" w:rsidRPr="00A12E42">
              <w:rPr>
                <w:rFonts w:cstheme="minorHAnsi"/>
                <w:sz w:val="20"/>
                <w:szCs w:val="20"/>
              </w:rPr>
              <w:t>okuty ze správního řízení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BB90" w14:textId="77777777" w:rsidR="00D74948" w:rsidRPr="00A12E42" w:rsidRDefault="00CB7290" w:rsidP="00B631D6">
            <w:pPr>
              <w:jc w:val="right"/>
              <w:rPr>
                <w:rFonts w:cstheme="minorHAnsi"/>
                <w:sz w:val="20"/>
                <w:szCs w:val="20"/>
              </w:rPr>
            </w:pPr>
            <w:r w:rsidRPr="00A12E42">
              <w:rPr>
                <w:rFonts w:cstheme="minorHAnsi"/>
                <w:sz w:val="20"/>
                <w:szCs w:val="20"/>
              </w:rPr>
              <w:t>5 705 000</w:t>
            </w:r>
            <w:r w:rsidRPr="00A12E42">
              <w:rPr>
                <w:rFonts w:cstheme="minorHAnsi"/>
                <w:bCs/>
                <w:sz w:val="20"/>
                <w:szCs w:val="20"/>
              </w:rPr>
              <w:t> </w:t>
            </w:r>
            <w:r w:rsidRPr="00A12E42">
              <w:rPr>
                <w:rFonts w:cstheme="minorHAnsi"/>
                <w:sz w:val="20"/>
                <w:szCs w:val="20"/>
              </w:rPr>
              <w:t>Kč</w:t>
            </w:r>
          </w:p>
        </w:tc>
      </w:tr>
      <w:tr w:rsidR="007D5EC5" w14:paraId="4B098888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19A4" w14:textId="5EF2710A" w:rsidR="00D74948" w:rsidRPr="00A12E42" w:rsidRDefault="00D20C50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CB7290" w:rsidRPr="00A12E42">
              <w:rPr>
                <w:rFonts w:cstheme="minorHAnsi"/>
                <w:sz w:val="20"/>
                <w:szCs w:val="20"/>
              </w:rPr>
              <w:t>ronájmy nemovitého majetku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644D" w14:textId="77777777" w:rsidR="00D74948" w:rsidRPr="00A12E42" w:rsidRDefault="00CB7290" w:rsidP="00B631D6">
            <w:pPr>
              <w:jc w:val="right"/>
              <w:rPr>
                <w:rFonts w:cstheme="minorHAnsi"/>
                <w:sz w:val="20"/>
                <w:szCs w:val="20"/>
              </w:rPr>
            </w:pPr>
            <w:r w:rsidRPr="00A12E42">
              <w:rPr>
                <w:rFonts w:cstheme="minorHAnsi"/>
                <w:sz w:val="20"/>
                <w:szCs w:val="20"/>
              </w:rPr>
              <w:t>1 046 737 Kč</w:t>
            </w:r>
          </w:p>
        </w:tc>
      </w:tr>
      <w:tr w:rsidR="007D5EC5" w14:paraId="044EA2B9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A9D7" w14:textId="15E788DE" w:rsidR="00D74948" w:rsidRPr="00CC3E00" w:rsidRDefault="00D20C50" w:rsidP="00B631D6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="00CB7290" w:rsidRPr="00CC3E00">
              <w:rPr>
                <w:rFonts w:cstheme="minorHAnsi"/>
                <w:b/>
                <w:sz w:val="20"/>
                <w:szCs w:val="20"/>
              </w:rPr>
              <w:t>nvestiční výdaje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6E2D" w14:textId="77777777" w:rsidR="00D74948" w:rsidRPr="00CC3E00" w:rsidRDefault="00CB7290" w:rsidP="00B631D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C3E00">
              <w:rPr>
                <w:b/>
                <w:sz w:val="20"/>
              </w:rPr>
              <w:t>25 537 377 Kč</w:t>
            </w:r>
          </w:p>
        </w:tc>
      </w:tr>
      <w:tr w:rsidR="007D5EC5" w14:paraId="44095A19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535AC" w14:textId="68B232B1" w:rsidR="00D74948" w:rsidRPr="00A12E42" w:rsidRDefault="00D20C50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CB7290" w:rsidRPr="00A12E42">
              <w:rPr>
                <w:rFonts w:cstheme="minorHAnsi"/>
                <w:sz w:val="20"/>
                <w:szCs w:val="20"/>
              </w:rPr>
              <w:t>odprogram 148V011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F69A" w14:textId="77777777" w:rsidR="00D74948" w:rsidRPr="0034033B" w:rsidRDefault="00CB7290" w:rsidP="00B631D6">
            <w:pPr>
              <w:jc w:val="right"/>
              <w:rPr>
                <w:rFonts w:cstheme="minorHAnsi"/>
                <w:sz w:val="20"/>
                <w:szCs w:val="20"/>
                <w:highlight w:val="cyan"/>
              </w:rPr>
            </w:pPr>
            <w:r w:rsidRPr="00FE0DC5">
              <w:rPr>
                <w:sz w:val="20"/>
              </w:rPr>
              <w:t>4 646 569 Kč</w:t>
            </w:r>
          </w:p>
        </w:tc>
      </w:tr>
      <w:tr w:rsidR="007D5EC5" w14:paraId="462B9541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36FE" w14:textId="627BCCDA" w:rsidR="00D74948" w:rsidRPr="00A12E42" w:rsidRDefault="00D20C50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CB7290" w:rsidRPr="00A12E42">
              <w:rPr>
                <w:rFonts w:cstheme="minorHAnsi"/>
                <w:sz w:val="20"/>
                <w:szCs w:val="20"/>
              </w:rPr>
              <w:t>odprogram 148V012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73CE" w14:textId="77777777" w:rsidR="00D74948" w:rsidRPr="0034033B" w:rsidRDefault="00CB7290" w:rsidP="00B631D6">
            <w:pPr>
              <w:jc w:val="right"/>
              <w:rPr>
                <w:rFonts w:cstheme="minorHAnsi"/>
                <w:sz w:val="20"/>
                <w:szCs w:val="20"/>
                <w:highlight w:val="cyan"/>
              </w:rPr>
            </w:pPr>
            <w:r w:rsidRPr="00FE0DC5">
              <w:rPr>
                <w:sz w:val="20"/>
              </w:rPr>
              <w:t>20 890 808 Kč</w:t>
            </w:r>
          </w:p>
        </w:tc>
      </w:tr>
      <w:tr w:rsidR="007D5EC5" w14:paraId="3E371C60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BC47" w14:textId="426EA515" w:rsidR="00D74948" w:rsidRPr="00CC3E00" w:rsidRDefault="00D20C50" w:rsidP="00B631D6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</w:t>
            </w:r>
            <w:r w:rsidR="00CB7290" w:rsidRPr="00CC3E00">
              <w:rPr>
                <w:rFonts w:cstheme="minorHAnsi"/>
                <w:b/>
                <w:sz w:val="20"/>
                <w:szCs w:val="20"/>
              </w:rPr>
              <w:t>einvestiční výdaje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A538" w14:textId="77777777" w:rsidR="00D74948" w:rsidRPr="00590127" w:rsidRDefault="00CB7290" w:rsidP="00B631D6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90127">
              <w:rPr>
                <w:b/>
                <w:sz w:val="20"/>
              </w:rPr>
              <w:t>2 457 634 Kč</w:t>
            </w:r>
          </w:p>
        </w:tc>
      </w:tr>
      <w:tr w:rsidR="007D5EC5" w14:paraId="06083CA1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7034" w14:textId="0A5DF337" w:rsidR="00D74948" w:rsidRPr="00A12E42" w:rsidRDefault="00CB7290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 w:rsidRPr="00A12E42">
              <w:rPr>
                <w:rFonts w:cstheme="minorHAnsi"/>
                <w:sz w:val="20"/>
                <w:szCs w:val="20"/>
              </w:rPr>
              <w:t>SÚ 501 – tiskové náplně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7938" w14:textId="77777777" w:rsidR="00D74948" w:rsidRPr="00590127" w:rsidRDefault="00CB7290" w:rsidP="00B631D6">
            <w:pPr>
              <w:jc w:val="right"/>
              <w:rPr>
                <w:rFonts w:cstheme="minorHAnsi"/>
                <w:sz w:val="20"/>
                <w:szCs w:val="20"/>
              </w:rPr>
            </w:pPr>
            <w:r w:rsidRPr="00590127">
              <w:rPr>
                <w:sz w:val="20"/>
              </w:rPr>
              <w:t>223 028 Kč</w:t>
            </w:r>
          </w:p>
        </w:tc>
      </w:tr>
      <w:tr w:rsidR="007D5EC5" w14:paraId="4DE5D6F5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9388" w14:textId="29BFE0F6" w:rsidR="00D74948" w:rsidRPr="00A12E42" w:rsidRDefault="00CB7290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 w:rsidRPr="00A12E42">
              <w:rPr>
                <w:rFonts w:cstheme="minorHAnsi"/>
                <w:sz w:val="20"/>
                <w:szCs w:val="20"/>
              </w:rPr>
              <w:t>SÚ 511</w:t>
            </w:r>
            <w:r w:rsidR="00186683">
              <w:rPr>
                <w:rFonts w:cstheme="minorHAnsi"/>
                <w:sz w:val="20"/>
                <w:szCs w:val="20"/>
              </w:rPr>
              <w:t xml:space="preserve"> –</w:t>
            </w:r>
            <w:r w:rsidRPr="00A12E42">
              <w:rPr>
                <w:rFonts w:cstheme="minorHAnsi"/>
                <w:sz w:val="20"/>
                <w:szCs w:val="20"/>
              </w:rPr>
              <w:t xml:space="preserve"> opravy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6DE0" w14:textId="77777777" w:rsidR="00D74948" w:rsidRPr="00590127" w:rsidRDefault="00CB7290" w:rsidP="00B631D6">
            <w:pPr>
              <w:jc w:val="right"/>
              <w:rPr>
                <w:rFonts w:cstheme="minorHAnsi"/>
                <w:sz w:val="20"/>
                <w:szCs w:val="20"/>
              </w:rPr>
            </w:pPr>
            <w:r w:rsidRPr="00590127">
              <w:rPr>
                <w:sz w:val="20"/>
              </w:rPr>
              <w:t>1 424 823 Kč</w:t>
            </w:r>
          </w:p>
        </w:tc>
      </w:tr>
      <w:tr w:rsidR="007D5EC5" w14:paraId="57B08680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51C5" w14:textId="4125F809" w:rsidR="00D74948" w:rsidRPr="00A12E42" w:rsidRDefault="00CB7290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 w:rsidRPr="00A12E42">
              <w:rPr>
                <w:rFonts w:cstheme="minorHAnsi"/>
                <w:sz w:val="20"/>
                <w:szCs w:val="20"/>
              </w:rPr>
              <w:t xml:space="preserve">SÚ 518 </w:t>
            </w:r>
            <w:r w:rsidR="00186683">
              <w:rPr>
                <w:rFonts w:cstheme="minorHAnsi"/>
                <w:sz w:val="20"/>
                <w:szCs w:val="20"/>
              </w:rPr>
              <w:t>–</w:t>
            </w:r>
            <w:r w:rsidRPr="00A12E42">
              <w:rPr>
                <w:rFonts w:cstheme="minorHAnsi"/>
                <w:sz w:val="20"/>
                <w:szCs w:val="20"/>
              </w:rPr>
              <w:t xml:space="preserve"> úklid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1B819" w14:textId="77777777" w:rsidR="00D74948" w:rsidRPr="00590127" w:rsidRDefault="00CB7290" w:rsidP="00B631D6">
            <w:pPr>
              <w:jc w:val="right"/>
              <w:rPr>
                <w:rFonts w:cstheme="minorHAnsi"/>
                <w:sz w:val="20"/>
                <w:szCs w:val="20"/>
              </w:rPr>
            </w:pPr>
            <w:r w:rsidRPr="00590127">
              <w:rPr>
                <w:sz w:val="20"/>
              </w:rPr>
              <w:t>242 269 Kč</w:t>
            </w:r>
          </w:p>
        </w:tc>
      </w:tr>
      <w:tr w:rsidR="007D5EC5" w14:paraId="3D360A9B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4BA29" w14:textId="0F8B518F" w:rsidR="00D74948" w:rsidRPr="00A12E42" w:rsidRDefault="00CB7290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 w:rsidRPr="00A12E42">
              <w:rPr>
                <w:rFonts w:cstheme="minorHAnsi"/>
                <w:sz w:val="20"/>
                <w:szCs w:val="20"/>
              </w:rPr>
              <w:t>SÚ 518 – ostraha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92AE" w14:textId="77777777" w:rsidR="00D74948" w:rsidRPr="00590127" w:rsidRDefault="00CB7290" w:rsidP="00B631D6">
            <w:pPr>
              <w:jc w:val="right"/>
              <w:rPr>
                <w:rFonts w:cstheme="minorHAnsi"/>
                <w:sz w:val="20"/>
                <w:szCs w:val="20"/>
              </w:rPr>
            </w:pPr>
            <w:r w:rsidRPr="00590127">
              <w:rPr>
                <w:sz w:val="20"/>
              </w:rPr>
              <w:t>567 514 Kč</w:t>
            </w:r>
          </w:p>
        </w:tc>
      </w:tr>
      <w:tr w:rsidR="007D5EC5" w14:paraId="49C1FBC7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BDA4" w14:textId="68A953B9" w:rsidR="00D74948" w:rsidRPr="00CC3E00" w:rsidRDefault="00186683" w:rsidP="00B631D6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</w:t>
            </w:r>
            <w:r w:rsidR="00CB7290" w:rsidRPr="00CC3E00">
              <w:rPr>
                <w:rFonts w:cstheme="minorHAnsi"/>
                <w:b/>
                <w:sz w:val="20"/>
                <w:szCs w:val="20"/>
              </w:rPr>
              <w:t>ospodaření s majetkem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5148B" w14:textId="77777777" w:rsidR="00D74948" w:rsidRPr="00590127" w:rsidRDefault="00CB7290" w:rsidP="00B631D6">
            <w:pPr>
              <w:jc w:val="right"/>
              <w:rPr>
                <w:b/>
                <w:sz w:val="20"/>
              </w:rPr>
            </w:pPr>
            <w:r w:rsidRPr="00590127">
              <w:rPr>
                <w:b/>
                <w:sz w:val="20"/>
              </w:rPr>
              <w:t>5 668 609 Kč</w:t>
            </w:r>
          </w:p>
        </w:tc>
      </w:tr>
      <w:tr w:rsidR="007D5EC5" w14:paraId="30BBA0D4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CE9F" w14:textId="42FDD3F9" w:rsidR="00D74948" w:rsidRPr="00590127" w:rsidRDefault="00186683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</w:t>
            </w:r>
            <w:r w:rsidR="00CB7290" w:rsidRPr="00590127">
              <w:rPr>
                <w:sz w:val="20"/>
              </w:rPr>
              <w:t>emovitý DHM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E9F" w14:textId="77777777" w:rsidR="00D74948" w:rsidRPr="00590127" w:rsidRDefault="00CB7290" w:rsidP="00B631D6">
            <w:pPr>
              <w:jc w:val="right"/>
              <w:rPr>
                <w:sz w:val="20"/>
              </w:rPr>
            </w:pPr>
            <w:r w:rsidRPr="00590127">
              <w:rPr>
                <w:sz w:val="20"/>
              </w:rPr>
              <w:t>502 626 Kč</w:t>
            </w:r>
          </w:p>
        </w:tc>
      </w:tr>
      <w:tr w:rsidR="007D5EC5" w14:paraId="778E261A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C167" w14:textId="57859A77" w:rsidR="00D74948" w:rsidRPr="00590127" w:rsidRDefault="00186683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M</w:t>
            </w:r>
            <w:r w:rsidR="00CB7290" w:rsidRPr="00590127">
              <w:rPr>
                <w:sz w:val="20"/>
              </w:rPr>
              <w:t xml:space="preserve">ovitý DHM </w:t>
            </w:r>
            <w:r>
              <w:rPr>
                <w:sz w:val="20"/>
              </w:rPr>
              <w:t>–</w:t>
            </w:r>
            <w:r w:rsidR="00CB7290" w:rsidRPr="00590127">
              <w:rPr>
                <w:sz w:val="20"/>
              </w:rPr>
              <w:t xml:space="preserve"> automobily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64D5" w14:textId="77777777" w:rsidR="00D74948" w:rsidRPr="00590127" w:rsidRDefault="00CB7290" w:rsidP="00B631D6">
            <w:pPr>
              <w:jc w:val="right"/>
              <w:rPr>
                <w:sz w:val="20"/>
              </w:rPr>
            </w:pPr>
            <w:r w:rsidRPr="00590127">
              <w:rPr>
                <w:sz w:val="20"/>
              </w:rPr>
              <w:t>5 165 983 Kč</w:t>
            </w:r>
          </w:p>
        </w:tc>
      </w:tr>
      <w:tr w:rsidR="007D5EC5" w14:paraId="501B1C4F" w14:textId="77777777" w:rsidTr="00C60C87">
        <w:trPr>
          <w:trHeight w:val="362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8B4C6" w14:textId="77777777" w:rsidR="00D74948" w:rsidRPr="00A12E42" w:rsidRDefault="00CB7290" w:rsidP="00C60C87">
            <w:pPr>
              <w:rPr>
                <w:rFonts w:cstheme="minorHAnsi"/>
                <w:b/>
                <w:sz w:val="20"/>
                <w:szCs w:val="20"/>
              </w:rPr>
            </w:pPr>
            <w:r w:rsidRPr="00A12E42">
              <w:rPr>
                <w:rFonts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BD730" w14:textId="77777777" w:rsidR="00D74948" w:rsidRPr="00A12E42" w:rsidRDefault="00CB7290" w:rsidP="00C60C8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590127">
              <w:rPr>
                <w:rFonts w:cstheme="minorHAnsi"/>
                <w:b/>
                <w:sz w:val="20"/>
                <w:szCs w:val="20"/>
              </w:rPr>
              <w:t>989 325 93</w:t>
            </w:r>
            <w:r>
              <w:rPr>
                <w:rFonts w:cstheme="minorHAnsi"/>
                <w:b/>
                <w:sz w:val="20"/>
                <w:szCs w:val="20"/>
              </w:rPr>
              <w:t>9</w:t>
            </w:r>
            <w:r w:rsidRPr="00590127">
              <w:rPr>
                <w:rFonts w:cstheme="minorHAnsi"/>
                <w:b/>
                <w:sz w:val="20"/>
                <w:szCs w:val="20"/>
              </w:rPr>
              <w:t xml:space="preserve"> Kč</w:t>
            </w:r>
          </w:p>
        </w:tc>
      </w:tr>
      <w:tr w:rsidR="007D5EC5" w14:paraId="467BC805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3B19F4AA" w14:textId="3B83A3FE" w:rsidR="00D74948" w:rsidRPr="00C45016" w:rsidRDefault="00186683" w:rsidP="00B631D6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</w:t>
            </w:r>
            <w:r w:rsidR="00CB7290" w:rsidRPr="00C45016">
              <w:rPr>
                <w:rFonts w:cstheme="minorHAnsi"/>
                <w:b/>
                <w:sz w:val="20"/>
                <w:szCs w:val="20"/>
              </w:rPr>
              <w:t xml:space="preserve">ontrola systému 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</w:tcPr>
          <w:p w14:paraId="6DCC0229" w14:textId="77777777" w:rsidR="00D74948" w:rsidRPr="00A12E42" w:rsidRDefault="00D74948" w:rsidP="00C60C87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D5EC5" w14:paraId="00F50A88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3BAA" w14:textId="44371C2B" w:rsidR="00D74948" w:rsidRPr="00C45016" w:rsidRDefault="00186683" w:rsidP="00B631D6">
            <w:pPr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</w:t>
            </w:r>
            <w:r w:rsidR="00CB7290" w:rsidRPr="00C45016">
              <w:rPr>
                <w:rFonts w:cstheme="minorHAnsi"/>
                <w:sz w:val="20"/>
                <w:szCs w:val="20"/>
              </w:rPr>
              <w:t>inancování programu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A60C" w14:textId="77777777" w:rsidR="00D74948" w:rsidRPr="00C45016" w:rsidRDefault="00CB7290" w:rsidP="00B631D6">
            <w:pPr>
              <w:pStyle w:val="Odstavecseseznamem"/>
              <w:spacing w:after="0"/>
              <w:ind w:left="410"/>
              <w:jc w:val="right"/>
              <w:rPr>
                <w:rFonts w:cstheme="minorHAnsi"/>
                <w:sz w:val="20"/>
                <w:szCs w:val="20"/>
              </w:rPr>
            </w:pPr>
            <w:r w:rsidRPr="00C45016">
              <w:rPr>
                <w:rFonts w:cstheme="minorHAnsi"/>
                <w:sz w:val="20"/>
                <w:szCs w:val="20"/>
              </w:rPr>
              <w:t>95 337 302 Kč</w:t>
            </w:r>
          </w:p>
        </w:tc>
      </w:tr>
      <w:tr w:rsidR="007D5EC5" w14:paraId="3A9C407C" w14:textId="77777777" w:rsidTr="00B631D6">
        <w:trPr>
          <w:trHeight w:val="283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1B3A9" w14:textId="11406FBF" w:rsidR="00D74948" w:rsidRPr="00C45016" w:rsidRDefault="00186683" w:rsidP="00B631D6">
            <w:pPr>
              <w:jc w:val="left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CB7290" w:rsidRPr="00C45016">
              <w:rPr>
                <w:rFonts w:cstheme="minorHAnsi"/>
                <w:sz w:val="20"/>
                <w:szCs w:val="20"/>
              </w:rPr>
              <w:t>eřejné zakázky</w:t>
            </w:r>
          </w:p>
        </w:tc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3355" w14:textId="77777777" w:rsidR="00D74948" w:rsidRPr="00C45016" w:rsidRDefault="00CB7290" w:rsidP="00B631D6">
            <w:pPr>
              <w:jc w:val="right"/>
              <w:rPr>
                <w:rFonts w:cstheme="minorHAnsi"/>
                <w:sz w:val="20"/>
                <w:szCs w:val="20"/>
              </w:rPr>
            </w:pPr>
            <w:r w:rsidRPr="00C45016">
              <w:rPr>
                <w:rFonts w:cstheme="minorHAnsi"/>
                <w:sz w:val="20"/>
                <w:szCs w:val="20"/>
              </w:rPr>
              <w:t>38 036 558 Kč</w:t>
            </w:r>
          </w:p>
        </w:tc>
      </w:tr>
      <w:bookmarkEnd w:id="5"/>
    </w:tbl>
    <w:p w14:paraId="1762B196" w14:textId="0C09F158" w:rsidR="00D74948" w:rsidRDefault="00D74948" w:rsidP="00D74948"/>
    <w:p w14:paraId="4043877B" w14:textId="77777777" w:rsidR="00436EB0" w:rsidRPr="00D8106E" w:rsidRDefault="00436EB0" w:rsidP="00436EB0">
      <w:pPr>
        <w:rPr>
          <w:rFonts w:ascii="Calibri" w:hAnsi="Calibri" w:cs="Calibri"/>
        </w:rPr>
      </w:pPr>
    </w:p>
    <w:sectPr w:rsidR="00436EB0" w:rsidRPr="00D8106E" w:rsidSect="007A258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CD18B" w14:textId="77777777" w:rsidR="00951AFB" w:rsidRDefault="00951AFB">
      <w:r>
        <w:separator/>
      </w:r>
    </w:p>
  </w:endnote>
  <w:endnote w:type="continuationSeparator" w:id="0">
    <w:p w14:paraId="789DB829" w14:textId="77777777" w:rsidR="00951AFB" w:rsidRDefault="0095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341369"/>
      <w:docPartObj>
        <w:docPartGallery w:val="Page Numbers (Bottom of Page)"/>
        <w:docPartUnique/>
      </w:docPartObj>
    </w:sdtPr>
    <w:sdtEndPr/>
    <w:sdtContent>
      <w:p w14:paraId="43C16110" w14:textId="663637D5" w:rsidR="00951AFB" w:rsidRDefault="00951A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5CD">
          <w:rPr>
            <w:noProof/>
          </w:rPr>
          <w:t>13</w:t>
        </w:r>
        <w:r>
          <w:fldChar w:fldCharType="end"/>
        </w:r>
      </w:p>
    </w:sdtContent>
  </w:sdt>
  <w:p w14:paraId="65AA2572" w14:textId="77777777" w:rsidR="00951AFB" w:rsidRDefault="00951A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60585" w14:textId="77777777" w:rsidR="00951AFB" w:rsidRDefault="00951AFB" w:rsidP="00546174">
      <w:r>
        <w:separator/>
      </w:r>
    </w:p>
  </w:footnote>
  <w:footnote w:type="continuationSeparator" w:id="0">
    <w:p w14:paraId="0EABF35D" w14:textId="77777777" w:rsidR="00951AFB" w:rsidRDefault="00951AFB" w:rsidP="00546174">
      <w:r>
        <w:continuationSeparator/>
      </w:r>
    </w:p>
  </w:footnote>
  <w:footnote w:id="1">
    <w:p w14:paraId="6473D9A0" w14:textId="187D4840" w:rsidR="00951AFB" w:rsidRPr="0000478A" w:rsidRDefault="00951AFB" w:rsidP="00EE5374">
      <w:pPr>
        <w:pStyle w:val="Textpoznpodarou"/>
        <w:ind w:left="284" w:hanging="284"/>
        <w:jc w:val="both"/>
      </w:pPr>
      <w:r w:rsidRPr="0000478A">
        <w:rPr>
          <w:rStyle w:val="Znakapoznpodarou"/>
          <w:rFonts w:asciiTheme="minorHAnsi" w:hAnsiTheme="minorHAnsi" w:cstheme="minorHAnsi"/>
        </w:rPr>
        <w:footnoteRef/>
      </w:r>
      <w:r w:rsidRPr="0000478A">
        <w:t xml:space="preserve"> </w:t>
      </w:r>
      <w:r>
        <w:tab/>
      </w:r>
      <w:r w:rsidRPr="0000478A">
        <w:rPr>
          <w:rFonts w:asciiTheme="minorHAnsi" w:hAnsiTheme="minorHAnsi" w:cstheme="minorHAnsi"/>
        </w:rPr>
        <w:t>Zákon č. 44/1988 Sb., o ochraně a využití nerostného bohatství (horní zákon).</w:t>
      </w:r>
    </w:p>
  </w:footnote>
  <w:footnote w:id="2">
    <w:p w14:paraId="4B70BA46" w14:textId="403D0C7D" w:rsidR="00951AFB" w:rsidRPr="0000478A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0478A">
        <w:rPr>
          <w:rStyle w:val="Znakapoznpodarou"/>
          <w:rFonts w:asciiTheme="minorHAnsi" w:hAnsiTheme="minorHAnsi" w:cstheme="minorHAnsi"/>
        </w:rPr>
        <w:footnoteRef/>
      </w:r>
      <w:r w:rsidRPr="000047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0478A">
        <w:rPr>
          <w:rFonts w:asciiTheme="minorHAnsi" w:hAnsiTheme="minorHAnsi" w:cstheme="minorHAnsi"/>
        </w:rPr>
        <w:t>Zákon č. 280/2009 Sb., daňový řád.</w:t>
      </w:r>
    </w:p>
  </w:footnote>
  <w:footnote w:id="3">
    <w:p w14:paraId="3EA6DF87" w14:textId="500B003E" w:rsidR="00951AFB" w:rsidRPr="0000478A" w:rsidRDefault="00951AFB" w:rsidP="00EE5374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00478A">
        <w:rPr>
          <w:rStyle w:val="Znakapoznpodarou"/>
          <w:rFonts w:ascii="Calibri" w:hAnsi="Calibri" w:cs="Calibri"/>
        </w:rPr>
        <w:footnoteRef/>
      </w:r>
      <w:r w:rsidRPr="0000478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 w:rsidRPr="0000478A">
        <w:rPr>
          <w:rFonts w:ascii="Calibri" w:hAnsi="Calibri" w:cs="Calibri"/>
        </w:rPr>
        <w:t>Program 148 01</w:t>
      </w:r>
      <w:r>
        <w:rPr>
          <w:rFonts w:ascii="Calibri" w:hAnsi="Calibri" w:cs="Calibri"/>
        </w:rPr>
        <w:t xml:space="preserve"> –</w:t>
      </w:r>
      <w:r w:rsidRPr="0000478A">
        <w:rPr>
          <w:rFonts w:ascii="Calibri" w:hAnsi="Calibri" w:cs="Calibri"/>
        </w:rPr>
        <w:t xml:space="preserve"> </w:t>
      </w:r>
      <w:r w:rsidRPr="00B5606D">
        <w:rPr>
          <w:rFonts w:ascii="Calibri" w:hAnsi="Calibri" w:cs="Calibri"/>
          <w:i/>
        </w:rPr>
        <w:t>Rozvoj a obnova materiálně technické základny Českého báňského úřadu – od roku 2013</w:t>
      </w:r>
      <w:r w:rsidRPr="0000478A">
        <w:rPr>
          <w:rFonts w:ascii="Calibri" w:hAnsi="Calibri" w:cs="Calibri"/>
        </w:rPr>
        <w:t>.</w:t>
      </w:r>
    </w:p>
  </w:footnote>
  <w:footnote w:id="4">
    <w:p w14:paraId="674094E6" w14:textId="695AEF2D" w:rsidR="00951AFB" w:rsidRPr="0000478A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0478A">
        <w:rPr>
          <w:rStyle w:val="Znakapoznpodarou"/>
          <w:rFonts w:asciiTheme="minorHAnsi" w:hAnsiTheme="minorHAnsi" w:cstheme="minorHAnsi"/>
        </w:rPr>
        <w:footnoteRef/>
      </w:r>
      <w:r w:rsidRPr="000047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0478A">
        <w:rPr>
          <w:rFonts w:asciiTheme="minorHAnsi" w:hAnsiTheme="minorHAnsi" w:cstheme="minorHAnsi"/>
        </w:rPr>
        <w:t xml:space="preserve">Ustanovení § 33k odst. 3 zákona č. </w:t>
      </w:r>
      <w:r>
        <w:rPr>
          <w:rFonts w:asciiTheme="minorHAnsi" w:hAnsiTheme="minorHAnsi" w:cstheme="minorHAnsi"/>
        </w:rPr>
        <w:t>44</w:t>
      </w:r>
      <w:r w:rsidRPr="0000478A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1988</w:t>
      </w:r>
      <w:r w:rsidRPr="0000478A">
        <w:rPr>
          <w:rFonts w:asciiTheme="minorHAnsi" w:hAnsiTheme="minorHAnsi" w:cstheme="minorHAnsi"/>
        </w:rPr>
        <w:t xml:space="preserve"> Sb., o ochraně a využ</w:t>
      </w:r>
      <w:r>
        <w:rPr>
          <w:rFonts w:asciiTheme="minorHAnsi" w:hAnsiTheme="minorHAnsi" w:cstheme="minorHAnsi"/>
        </w:rPr>
        <w:t>ití</w:t>
      </w:r>
      <w:r w:rsidRPr="0000478A">
        <w:rPr>
          <w:rFonts w:asciiTheme="minorHAnsi" w:hAnsiTheme="minorHAnsi" w:cstheme="minorHAnsi"/>
        </w:rPr>
        <w:t xml:space="preserve"> nerostného bohatství (horní zákon). </w:t>
      </w:r>
    </w:p>
  </w:footnote>
  <w:footnote w:id="5">
    <w:p w14:paraId="24D2DF44" w14:textId="0960B6A9" w:rsidR="00951AFB" w:rsidRPr="0000478A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0478A">
        <w:rPr>
          <w:rStyle w:val="Znakapoznpodarou"/>
          <w:rFonts w:asciiTheme="minorHAnsi" w:hAnsiTheme="minorHAnsi" w:cstheme="minorHAnsi"/>
        </w:rPr>
        <w:footnoteRef/>
      </w:r>
      <w:r w:rsidRPr="000047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0478A">
        <w:rPr>
          <w:rFonts w:asciiTheme="minorHAnsi" w:hAnsiTheme="minorHAnsi" w:cstheme="minorHAnsi"/>
        </w:rPr>
        <w:t>Ustanovení § 2 zákona č. 2/1969 Sb.</w:t>
      </w:r>
      <w:r>
        <w:rPr>
          <w:rFonts w:asciiTheme="minorHAnsi" w:hAnsiTheme="minorHAnsi" w:cstheme="minorHAnsi"/>
        </w:rPr>
        <w:t>,</w:t>
      </w:r>
      <w:r w:rsidRPr="0000478A">
        <w:rPr>
          <w:rFonts w:asciiTheme="minorHAnsi" w:hAnsiTheme="minorHAnsi" w:cstheme="minorHAnsi"/>
        </w:rPr>
        <w:t xml:space="preserve"> o zřízení ministerstev a jiných ústředních orgánů st</w:t>
      </w:r>
      <w:r>
        <w:rPr>
          <w:rFonts w:asciiTheme="minorHAnsi" w:hAnsiTheme="minorHAnsi" w:cstheme="minorHAnsi"/>
        </w:rPr>
        <w:t>á</w:t>
      </w:r>
      <w:r w:rsidRPr="0000478A">
        <w:rPr>
          <w:rFonts w:asciiTheme="minorHAnsi" w:hAnsiTheme="minorHAnsi" w:cstheme="minorHAnsi"/>
        </w:rPr>
        <w:t>tn</w:t>
      </w:r>
      <w:r>
        <w:rPr>
          <w:rFonts w:asciiTheme="minorHAnsi" w:hAnsiTheme="minorHAnsi" w:cstheme="minorHAnsi"/>
        </w:rPr>
        <w:t>í</w:t>
      </w:r>
      <w:r w:rsidRPr="0000478A">
        <w:rPr>
          <w:rFonts w:asciiTheme="minorHAnsi" w:hAnsiTheme="minorHAnsi" w:cstheme="minorHAnsi"/>
        </w:rPr>
        <w:t xml:space="preserve"> správy České republiky.</w:t>
      </w:r>
    </w:p>
  </w:footnote>
  <w:footnote w:id="6">
    <w:p w14:paraId="48CBF797" w14:textId="0F2C1255" w:rsidR="00951AFB" w:rsidRPr="0000478A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0478A">
        <w:rPr>
          <w:rStyle w:val="Znakapoznpodarou"/>
          <w:rFonts w:asciiTheme="minorHAnsi" w:hAnsiTheme="minorHAnsi" w:cstheme="minorHAnsi"/>
        </w:rPr>
        <w:footnoteRef/>
      </w:r>
      <w:r w:rsidRPr="000047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0478A">
        <w:rPr>
          <w:rFonts w:asciiTheme="minorHAnsi" w:hAnsiTheme="minorHAnsi" w:cstheme="minorHAnsi"/>
        </w:rPr>
        <w:t>Ustanovení § 3 zákona č. 219/2000 Sb., o majetku České republiky a jejím vystupování v právních vztazích.</w:t>
      </w:r>
    </w:p>
  </w:footnote>
  <w:footnote w:id="7">
    <w:p w14:paraId="53E6250F" w14:textId="70BFA73D" w:rsidR="00951AFB" w:rsidRPr="0000478A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0478A">
        <w:rPr>
          <w:rStyle w:val="Znakapoznpodarou"/>
          <w:rFonts w:asciiTheme="minorHAnsi" w:hAnsiTheme="minorHAnsi" w:cstheme="minorHAnsi"/>
        </w:rPr>
        <w:footnoteRef/>
      </w:r>
      <w:r w:rsidRPr="000047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0478A">
        <w:rPr>
          <w:rFonts w:asciiTheme="minorHAnsi" w:hAnsiTheme="minorHAnsi" w:cstheme="minorHAnsi"/>
        </w:rPr>
        <w:t>Ustanovení § 3 písm. g) zákona č. 218/2000 Sb., o rozpočtových pravidlech a o změně některých souvisejících zákonů (rozpočtová pravidla).</w:t>
      </w:r>
    </w:p>
  </w:footnote>
  <w:footnote w:id="8">
    <w:p w14:paraId="3F289C0C" w14:textId="5E4C20D3" w:rsidR="00951AFB" w:rsidRPr="0000478A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0478A">
        <w:rPr>
          <w:rStyle w:val="Znakapoznpodarou"/>
          <w:rFonts w:asciiTheme="minorHAnsi" w:hAnsiTheme="minorHAnsi" w:cstheme="minorHAnsi"/>
        </w:rPr>
        <w:footnoteRef/>
      </w:r>
      <w:r w:rsidRPr="000047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0478A">
        <w:rPr>
          <w:rFonts w:asciiTheme="minorHAnsi" w:hAnsiTheme="minorHAnsi" w:cstheme="minorHAnsi"/>
        </w:rPr>
        <w:t>Ustanovení § 1 odst. 2 písm. c) zákona č. 563/1991 Sb., o účetnictví.</w:t>
      </w:r>
    </w:p>
  </w:footnote>
  <w:footnote w:id="9">
    <w:p w14:paraId="13F74BE8" w14:textId="299417AB" w:rsidR="00951AFB" w:rsidRPr="0000478A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0478A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0478A">
        <w:rPr>
          <w:rFonts w:asciiTheme="minorHAnsi" w:hAnsiTheme="minorHAnsi" w:cstheme="minorHAnsi"/>
        </w:rPr>
        <w:t>Zákon č. 137/2006 Sb.</w:t>
      </w:r>
      <w:r>
        <w:rPr>
          <w:rFonts w:asciiTheme="minorHAnsi" w:hAnsiTheme="minorHAnsi" w:cstheme="minorHAnsi"/>
        </w:rPr>
        <w:t>,</w:t>
      </w:r>
      <w:r w:rsidRPr="0000478A">
        <w:rPr>
          <w:rFonts w:asciiTheme="minorHAnsi" w:hAnsiTheme="minorHAnsi" w:cstheme="minorHAnsi"/>
        </w:rPr>
        <w:t xml:space="preserve"> o veřejných zakázkách</w:t>
      </w:r>
      <w:r>
        <w:rPr>
          <w:rFonts w:asciiTheme="minorHAnsi" w:hAnsiTheme="minorHAnsi" w:cstheme="minorHAnsi"/>
        </w:rPr>
        <w:t>,</w:t>
      </w:r>
      <w:r w:rsidRPr="0000478A">
        <w:rPr>
          <w:rFonts w:asciiTheme="minorHAnsi" w:hAnsiTheme="minorHAnsi" w:cstheme="minorHAnsi"/>
        </w:rPr>
        <w:t xml:space="preserve"> a zákon č. 134/2016 Sb., o zadávání veřejných zakázek.</w:t>
      </w:r>
    </w:p>
  </w:footnote>
  <w:footnote w:id="10">
    <w:p w14:paraId="1127CB11" w14:textId="4C67338E" w:rsidR="00951AFB" w:rsidRPr="0000478A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0478A">
        <w:rPr>
          <w:rStyle w:val="Znakapoznpodarou"/>
          <w:rFonts w:asciiTheme="minorHAnsi" w:hAnsiTheme="minorHAnsi" w:cstheme="minorHAnsi"/>
        </w:rPr>
        <w:footnoteRef/>
      </w:r>
      <w:r w:rsidRPr="000047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0478A">
        <w:rPr>
          <w:rFonts w:asciiTheme="minorHAnsi" w:hAnsiTheme="minorHAnsi" w:cstheme="minorHAnsi"/>
        </w:rPr>
        <w:t>Prekurzory jsou chemické látky, z nichž lze vyrobit nelegálně výbušniny.</w:t>
      </w:r>
    </w:p>
  </w:footnote>
  <w:footnote w:id="11">
    <w:p w14:paraId="0D027D6F" w14:textId="2910B490" w:rsidR="00951AFB" w:rsidRPr="0000478A" w:rsidRDefault="00951AFB" w:rsidP="00EE5374">
      <w:pPr>
        <w:pStyle w:val="Textpoznpodarou"/>
        <w:ind w:left="284" w:hanging="284"/>
        <w:rPr>
          <w:rFonts w:asciiTheme="minorHAnsi" w:hAnsiTheme="minorHAnsi" w:cstheme="minorHAnsi"/>
        </w:rPr>
      </w:pPr>
      <w:r w:rsidRPr="0000478A">
        <w:rPr>
          <w:rStyle w:val="Znakapoznpodarou"/>
          <w:rFonts w:asciiTheme="minorHAnsi" w:hAnsiTheme="minorHAnsi" w:cstheme="minorHAnsi"/>
        </w:rPr>
        <w:footnoteRef/>
      </w:r>
      <w:r w:rsidRPr="000047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0478A">
        <w:rPr>
          <w:rFonts w:asciiTheme="minorHAnsi" w:hAnsiTheme="minorHAnsi" w:cstheme="minorHAnsi"/>
        </w:rPr>
        <w:t>Do 31. 12. 2016 měly povinnost zasílat vybrané prostředky určeným příjemcům jednotlivé OBÚ.</w:t>
      </w:r>
    </w:p>
  </w:footnote>
  <w:footnote w:id="12">
    <w:p w14:paraId="3EA5FF1A" w14:textId="315CCCDE" w:rsidR="00951AFB" w:rsidRPr="0000478A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00478A">
        <w:rPr>
          <w:rStyle w:val="Znakapoznpodarou"/>
          <w:rFonts w:asciiTheme="minorHAnsi" w:hAnsiTheme="minorHAnsi" w:cstheme="minorHAnsi"/>
        </w:rPr>
        <w:footnoteRef/>
      </w:r>
      <w:r w:rsidRPr="000047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00478A">
        <w:rPr>
          <w:rFonts w:asciiTheme="minorHAnsi" w:hAnsiTheme="minorHAnsi" w:cstheme="minorHAnsi"/>
        </w:rPr>
        <w:t>Informační a komunikační technologie.</w:t>
      </w:r>
    </w:p>
  </w:footnote>
  <w:footnote w:id="13">
    <w:p w14:paraId="01385D91" w14:textId="6DAC5758" w:rsidR="00951AFB" w:rsidRPr="006806D8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806D8">
        <w:rPr>
          <w:rStyle w:val="Znakapoznpodarou"/>
          <w:rFonts w:asciiTheme="minorHAnsi" w:hAnsiTheme="minorHAnsi" w:cstheme="minorHAnsi"/>
        </w:rPr>
        <w:footnoteRef/>
      </w:r>
      <w:r w:rsidRPr="006806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806D8">
        <w:rPr>
          <w:rFonts w:asciiTheme="minorHAnsi" w:hAnsiTheme="minorHAnsi" w:cstheme="minorHAnsi"/>
        </w:rPr>
        <w:t>Zákon č. 89/2016 Sb., kterým se mění zákon č. 44/1988 Sb., o ochraně a využití nerostného bohatství (horní zákon), ve znění pozdějších předpisů, účinný od 1. 1. 2017.</w:t>
      </w:r>
    </w:p>
  </w:footnote>
  <w:footnote w:id="14">
    <w:p w14:paraId="6A6A4456" w14:textId="225D3B0C" w:rsidR="00951AFB" w:rsidRPr="006806D8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806D8">
        <w:rPr>
          <w:rStyle w:val="Znakapoznpodarou"/>
          <w:rFonts w:asciiTheme="minorHAnsi" w:hAnsiTheme="minorHAnsi" w:cstheme="minorHAnsi"/>
        </w:rPr>
        <w:footnoteRef/>
      </w:r>
      <w:r w:rsidRPr="006806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46601">
        <w:rPr>
          <w:rFonts w:asciiTheme="minorHAnsi" w:hAnsiTheme="minorHAnsi" w:cstheme="minorHAnsi"/>
        </w:rPr>
        <w:t>Zdroj:</w:t>
      </w:r>
      <w:r w:rsidRPr="006806D8">
        <w:rPr>
          <w:rFonts w:asciiTheme="minorHAnsi" w:hAnsiTheme="minorHAnsi" w:cstheme="minorHAnsi"/>
        </w:rPr>
        <w:t xml:space="preserve"> účetní závěrka za rok 2018 před schválením.</w:t>
      </w:r>
    </w:p>
  </w:footnote>
  <w:footnote w:id="15">
    <w:p w14:paraId="09CC8E15" w14:textId="25E524FE" w:rsidR="00951AFB" w:rsidRPr="006806D8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806D8">
        <w:rPr>
          <w:rStyle w:val="Znakapoznpodarou"/>
          <w:rFonts w:asciiTheme="minorHAnsi" w:hAnsiTheme="minorHAnsi" w:cstheme="minorHAnsi"/>
        </w:rPr>
        <w:footnoteRef/>
      </w:r>
      <w:r w:rsidRPr="006806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806D8">
        <w:rPr>
          <w:rFonts w:asciiTheme="minorHAnsi" w:hAnsiTheme="minorHAnsi" w:cstheme="minorHAnsi"/>
        </w:rPr>
        <w:t>Zákon č. 137/2006 Sb., o veřejných zakázkách</w:t>
      </w:r>
      <w:r>
        <w:rPr>
          <w:rFonts w:asciiTheme="minorHAnsi" w:hAnsiTheme="minorHAnsi" w:cstheme="minorHAnsi"/>
        </w:rPr>
        <w:t>,</w:t>
      </w:r>
      <w:r w:rsidRPr="006806D8">
        <w:rPr>
          <w:rFonts w:asciiTheme="minorHAnsi" w:hAnsiTheme="minorHAnsi" w:cstheme="minorHAnsi"/>
        </w:rPr>
        <w:t xml:space="preserve"> a zákon č. 134/2016 Sb., o zadávání veřejných zakázek.</w:t>
      </w:r>
    </w:p>
  </w:footnote>
  <w:footnote w:id="16">
    <w:p w14:paraId="07737DB8" w14:textId="1B63D9CB" w:rsidR="00951AFB" w:rsidRPr="006806D8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6806D8">
        <w:rPr>
          <w:rStyle w:val="Znakapoznpodarou"/>
          <w:rFonts w:asciiTheme="minorHAnsi" w:hAnsiTheme="minorHAnsi" w:cstheme="minorHAnsi"/>
        </w:rPr>
        <w:footnoteRef/>
      </w:r>
      <w:r w:rsidRPr="006806D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6806D8">
        <w:rPr>
          <w:rFonts w:asciiTheme="minorHAnsi" w:hAnsiTheme="minorHAnsi" w:cstheme="minorHAnsi"/>
        </w:rPr>
        <w:t>Ustanovení § 27 odst. 2 zákona č. 219/2000 Sb., o majetku České republiky a jejím vystupování v právních vztazích.</w:t>
      </w:r>
    </w:p>
  </w:footnote>
  <w:footnote w:id="17">
    <w:p w14:paraId="74AAB742" w14:textId="32759E48" w:rsidR="00951AFB" w:rsidRPr="00C44DAE" w:rsidRDefault="00951AFB" w:rsidP="00EE5374">
      <w:pPr>
        <w:ind w:left="284" w:hanging="284"/>
        <w:rPr>
          <w:sz w:val="20"/>
          <w:szCs w:val="20"/>
        </w:rPr>
      </w:pPr>
      <w:r w:rsidRPr="00C44DAE">
        <w:rPr>
          <w:rStyle w:val="Znakapoznpodarou"/>
          <w:sz w:val="20"/>
          <w:szCs w:val="20"/>
        </w:rPr>
        <w:footnoteRef/>
      </w:r>
      <w:r w:rsidRPr="00C44DA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C44DAE">
        <w:rPr>
          <w:rFonts w:cstheme="minorHAnsi"/>
          <w:sz w:val="20"/>
          <w:szCs w:val="20"/>
          <w:lang w:eastAsia="cs-CZ"/>
        </w:rPr>
        <w:t>Zákon č. 137/2006 Sb., o veřejných zakázkách</w:t>
      </w:r>
      <w:r>
        <w:rPr>
          <w:rFonts w:cstheme="minorHAnsi"/>
          <w:sz w:val="20"/>
          <w:szCs w:val="20"/>
          <w:lang w:eastAsia="cs-CZ"/>
        </w:rPr>
        <w:t>,</w:t>
      </w:r>
      <w:r w:rsidRPr="00C44DAE">
        <w:rPr>
          <w:rFonts w:cstheme="minorHAnsi"/>
          <w:sz w:val="20"/>
          <w:szCs w:val="20"/>
          <w:lang w:eastAsia="cs-CZ"/>
        </w:rPr>
        <w:t xml:space="preserve"> a zákon č. 134/2016 Sb., o zadávání veřejných zakázek.</w:t>
      </w:r>
    </w:p>
  </w:footnote>
  <w:footnote w:id="18">
    <w:p w14:paraId="544560C0" w14:textId="4CC6B3D5" w:rsidR="00951AFB" w:rsidRPr="00C44DAE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44DAE">
        <w:rPr>
          <w:rStyle w:val="Znakapoznpodarou"/>
          <w:rFonts w:asciiTheme="minorHAnsi" w:hAnsiTheme="minorHAnsi" w:cstheme="minorHAnsi"/>
        </w:rPr>
        <w:footnoteRef/>
      </w:r>
      <w:r w:rsidRPr="00C44D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</w:t>
      </w:r>
      <w:r w:rsidRPr="00C44DAE">
        <w:rPr>
          <w:rFonts w:asciiTheme="minorHAnsi" w:hAnsiTheme="minorHAnsi" w:cstheme="minorHAnsi"/>
        </w:rPr>
        <w:t xml:space="preserve">rostředky </w:t>
      </w:r>
      <w:r>
        <w:rPr>
          <w:rFonts w:asciiTheme="minorHAnsi" w:hAnsiTheme="minorHAnsi" w:cstheme="minorHAnsi"/>
        </w:rPr>
        <w:t>p</w:t>
      </w:r>
      <w:r w:rsidRPr="00C44DAE">
        <w:rPr>
          <w:rFonts w:asciiTheme="minorHAnsi" w:hAnsiTheme="minorHAnsi" w:cstheme="minorHAnsi"/>
        </w:rPr>
        <w:t>roplacené v letech 2015–2018.</w:t>
      </w:r>
    </w:p>
  </w:footnote>
  <w:footnote w:id="19">
    <w:p w14:paraId="049D96AC" w14:textId="38FAAD59" w:rsidR="00951AFB" w:rsidRPr="00C44DAE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44DAE">
        <w:rPr>
          <w:rStyle w:val="Znakapoznpodarou"/>
          <w:rFonts w:asciiTheme="minorHAnsi" w:hAnsiTheme="minorHAnsi" w:cstheme="minorHAnsi"/>
        </w:rPr>
        <w:footnoteRef/>
      </w:r>
      <w:r w:rsidRPr="00C44D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44DAE">
        <w:rPr>
          <w:rFonts w:asciiTheme="minorHAnsi" w:hAnsiTheme="minorHAnsi" w:cstheme="minorHAnsi"/>
        </w:rPr>
        <w:t>Veřejná zakázka malého rozsahu na zpracování projektové dokumentace kotelny a rozvodů tepla, veřejná zakázka malého rozsahu na realizaci výměny kotlů, veřejná zakázka malého rozsahu na služby technického dozoru investora a koordinátora BOZP při realizaci rekonstrukce budovy OBÚ v Mostě, veřejná zakázka malého rozsahu na dodávku Informačního systému úhrad, veřejná zakázka malého rozsahu na opravu poškozené fasády do dvora ve vnitrobloku budovy ČBÚ v Praze, veřejná zakázka malého rozsahu na odstranění závad z provedené revize elektroinstalace a ochrany budovy OBÚ v Ostravě před bleskem a tři veřejné zakázky malého rozsahu na dodavatele úklidových služeb.</w:t>
      </w:r>
    </w:p>
  </w:footnote>
  <w:footnote w:id="20">
    <w:p w14:paraId="2CA9EDB2" w14:textId="0D9C715B" w:rsidR="00951AFB" w:rsidRPr="00C44DAE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44DAE">
        <w:rPr>
          <w:rStyle w:val="Znakapoznpodarou"/>
          <w:rFonts w:asciiTheme="minorHAnsi" w:hAnsiTheme="minorHAnsi" w:cstheme="minorHAnsi"/>
        </w:rPr>
        <w:footnoteRef/>
      </w:r>
      <w:r w:rsidRPr="00C44D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44DAE">
        <w:rPr>
          <w:rFonts w:asciiTheme="minorHAnsi" w:hAnsiTheme="minorHAnsi" w:cstheme="minorHAnsi"/>
        </w:rPr>
        <w:t>Stav v lednu 2018.</w:t>
      </w:r>
    </w:p>
  </w:footnote>
  <w:footnote w:id="21">
    <w:p w14:paraId="0E109BC3" w14:textId="71DCF4D1" w:rsidR="00951AFB" w:rsidRPr="00C44DAE" w:rsidRDefault="00951AFB" w:rsidP="00EE5374">
      <w:pPr>
        <w:ind w:left="284" w:hanging="284"/>
        <w:rPr>
          <w:rFonts w:cstheme="minorHAnsi"/>
          <w:sz w:val="20"/>
          <w:szCs w:val="20"/>
        </w:rPr>
      </w:pPr>
      <w:r w:rsidRPr="00C44DAE">
        <w:rPr>
          <w:rStyle w:val="Znakapoznpodarou"/>
          <w:sz w:val="20"/>
          <w:szCs w:val="20"/>
        </w:rPr>
        <w:footnoteRef/>
      </w:r>
      <w:r w:rsidRPr="00C44DA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77D95">
        <w:rPr>
          <w:rFonts w:cstheme="minorHAnsi"/>
          <w:i/>
          <w:sz w:val="20"/>
          <w:szCs w:val="20"/>
        </w:rPr>
        <w:t>Rekonstrukce budovy OBÚ v Mostě + garáž/plot</w:t>
      </w:r>
      <w:r w:rsidRPr="00C44D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</w:t>
      </w:r>
      <w:r w:rsidRPr="00C44DAE">
        <w:rPr>
          <w:rFonts w:cstheme="minorHAnsi"/>
          <w:sz w:val="20"/>
          <w:szCs w:val="20"/>
        </w:rPr>
        <w:t xml:space="preserve"> ev. č. 148V012000006,</w:t>
      </w:r>
      <w:r w:rsidRPr="00A77D95">
        <w:rPr>
          <w:rFonts w:cstheme="minorHAnsi"/>
          <w:i/>
          <w:sz w:val="20"/>
          <w:szCs w:val="20"/>
        </w:rPr>
        <w:t xml:space="preserve"> Pořízení SW „Informační systém úhrad“</w:t>
      </w:r>
      <w:r w:rsidRPr="00C44D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</w:t>
      </w:r>
      <w:r w:rsidRPr="00C44DAE">
        <w:rPr>
          <w:rFonts w:cstheme="minorHAnsi"/>
          <w:sz w:val="20"/>
          <w:szCs w:val="20"/>
        </w:rPr>
        <w:t xml:space="preserve"> ev. č. 148V011000007 a</w:t>
      </w:r>
      <w:r>
        <w:rPr>
          <w:rFonts w:cstheme="minorHAnsi"/>
          <w:sz w:val="20"/>
          <w:szCs w:val="20"/>
        </w:rPr>
        <w:t xml:space="preserve"> </w:t>
      </w:r>
      <w:r w:rsidRPr="00A77D95">
        <w:rPr>
          <w:rFonts w:cstheme="minorHAnsi"/>
          <w:i/>
          <w:sz w:val="20"/>
          <w:szCs w:val="20"/>
        </w:rPr>
        <w:t>Výměna kotlů v budově ČBÚ</w:t>
      </w:r>
      <w:r w:rsidRPr="00C44DA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</w:t>
      </w:r>
      <w:r w:rsidRPr="00C44DAE">
        <w:rPr>
          <w:rFonts w:cstheme="minorHAnsi"/>
          <w:sz w:val="20"/>
          <w:szCs w:val="20"/>
        </w:rPr>
        <w:t xml:space="preserve"> ev. č. 148V012000011 v celkové hodnotě 25 537 377 Kč.</w:t>
      </w:r>
    </w:p>
    <w:p w14:paraId="2E343001" w14:textId="77777777" w:rsidR="00951AFB" w:rsidRPr="00C44DAE" w:rsidRDefault="00951AFB" w:rsidP="00CB7290">
      <w:pPr>
        <w:pStyle w:val="Textpoznpodarou"/>
        <w:jc w:val="both"/>
      </w:pPr>
    </w:p>
  </w:footnote>
  <w:footnote w:id="22">
    <w:p w14:paraId="232257A1" w14:textId="133F8B58" w:rsidR="00951AFB" w:rsidRPr="00C44DAE" w:rsidRDefault="00951AFB" w:rsidP="00EE537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C44DAE">
        <w:rPr>
          <w:rStyle w:val="Znakapoznpodarou"/>
          <w:rFonts w:asciiTheme="minorHAnsi" w:hAnsiTheme="minorHAnsi" w:cstheme="minorHAnsi"/>
        </w:rPr>
        <w:footnoteRef/>
      </w:r>
      <w:r w:rsidRPr="00C44D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44DAE">
        <w:rPr>
          <w:rFonts w:asciiTheme="minorHAnsi" w:hAnsiTheme="minorHAnsi" w:cstheme="minorHAnsi"/>
        </w:rPr>
        <w:t>Výnosy úhrad z dobývací</w:t>
      </w:r>
      <w:r>
        <w:rPr>
          <w:rFonts w:asciiTheme="minorHAnsi" w:hAnsiTheme="minorHAnsi" w:cstheme="minorHAnsi"/>
        </w:rPr>
        <w:t>ch</w:t>
      </w:r>
      <w:r w:rsidRPr="00C44DAE">
        <w:rPr>
          <w:rFonts w:asciiTheme="minorHAnsi" w:hAnsiTheme="minorHAnsi" w:cstheme="minorHAnsi"/>
        </w:rPr>
        <w:t xml:space="preserve"> prostor a vydobyt</w:t>
      </w:r>
      <w:r>
        <w:rPr>
          <w:rFonts w:asciiTheme="minorHAnsi" w:hAnsiTheme="minorHAnsi" w:cstheme="minorHAnsi"/>
        </w:rPr>
        <w:t>ých</w:t>
      </w:r>
      <w:r w:rsidRPr="00C44DAE">
        <w:rPr>
          <w:rFonts w:asciiTheme="minorHAnsi" w:hAnsiTheme="minorHAnsi" w:cstheme="minorHAnsi"/>
        </w:rPr>
        <w:t xml:space="preserve"> nerost</w:t>
      </w:r>
      <w:r>
        <w:rPr>
          <w:rFonts w:asciiTheme="minorHAnsi" w:hAnsiTheme="minorHAnsi" w:cstheme="minorHAnsi"/>
        </w:rPr>
        <w:t>ů</w:t>
      </w:r>
      <w:r w:rsidRPr="00C44DAE">
        <w:rPr>
          <w:rFonts w:asciiTheme="minorHAnsi" w:hAnsiTheme="minorHAnsi" w:cstheme="minorHAnsi"/>
        </w:rPr>
        <w:t xml:space="preserve"> jsou jednotlivými OBÚ rozdělovány dle horního zákona oprávněným příjemcům, tj. obcím, kapitole MPO, kapitole MŽP, a kapitole ČBÚ, která je pak vykazuje jako příjem.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9E270" w14:textId="4B0904AA" w:rsidR="00951AFB" w:rsidRDefault="00951AFB" w:rsidP="0012653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25053"/>
    <w:multiLevelType w:val="hybridMultilevel"/>
    <w:tmpl w:val="A6906AFA"/>
    <w:lvl w:ilvl="0" w:tplc="69DA5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52D82"/>
    <w:multiLevelType w:val="hybridMultilevel"/>
    <w:tmpl w:val="508C74C8"/>
    <w:lvl w:ilvl="0" w:tplc="678CE9BE">
      <w:start w:val="1"/>
      <w:numFmt w:val="upperRoman"/>
      <w:lvlText w:val="%1."/>
      <w:lvlJc w:val="right"/>
      <w:pPr>
        <w:ind w:left="624" w:hanging="264"/>
      </w:pPr>
      <w:rPr>
        <w:rFonts w:hint="default"/>
      </w:rPr>
    </w:lvl>
    <w:lvl w:ilvl="1" w:tplc="E4B48EC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C4A69DBC" w:tentative="1">
      <w:start w:val="1"/>
      <w:numFmt w:val="lowerRoman"/>
      <w:lvlText w:val="%3."/>
      <w:lvlJc w:val="right"/>
      <w:pPr>
        <w:ind w:left="2160" w:hanging="180"/>
      </w:pPr>
    </w:lvl>
    <w:lvl w:ilvl="3" w:tplc="B72A7498" w:tentative="1">
      <w:start w:val="1"/>
      <w:numFmt w:val="decimal"/>
      <w:lvlText w:val="%4."/>
      <w:lvlJc w:val="left"/>
      <w:pPr>
        <w:ind w:left="2880" w:hanging="360"/>
      </w:pPr>
    </w:lvl>
    <w:lvl w:ilvl="4" w:tplc="90FA4296" w:tentative="1">
      <w:start w:val="1"/>
      <w:numFmt w:val="lowerLetter"/>
      <w:lvlText w:val="%5."/>
      <w:lvlJc w:val="left"/>
      <w:pPr>
        <w:ind w:left="3600" w:hanging="360"/>
      </w:pPr>
    </w:lvl>
    <w:lvl w:ilvl="5" w:tplc="0090F8B8" w:tentative="1">
      <w:start w:val="1"/>
      <w:numFmt w:val="lowerRoman"/>
      <w:lvlText w:val="%6."/>
      <w:lvlJc w:val="right"/>
      <w:pPr>
        <w:ind w:left="4320" w:hanging="180"/>
      </w:pPr>
    </w:lvl>
    <w:lvl w:ilvl="6" w:tplc="519E753E" w:tentative="1">
      <w:start w:val="1"/>
      <w:numFmt w:val="decimal"/>
      <w:lvlText w:val="%7."/>
      <w:lvlJc w:val="left"/>
      <w:pPr>
        <w:ind w:left="5040" w:hanging="360"/>
      </w:pPr>
    </w:lvl>
    <w:lvl w:ilvl="7" w:tplc="514890EC" w:tentative="1">
      <w:start w:val="1"/>
      <w:numFmt w:val="lowerLetter"/>
      <w:lvlText w:val="%8."/>
      <w:lvlJc w:val="left"/>
      <w:pPr>
        <w:ind w:left="5760" w:hanging="360"/>
      </w:pPr>
    </w:lvl>
    <w:lvl w:ilvl="8" w:tplc="3EEA2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2636"/>
    <w:multiLevelType w:val="hybridMultilevel"/>
    <w:tmpl w:val="8F508286"/>
    <w:lvl w:ilvl="0" w:tplc="C0868074">
      <w:start w:val="1"/>
      <w:numFmt w:val="decimal"/>
      <w:lvlText w:val="%1."/>
      <w:lvlJc w:val="left"/>
      <w:pPr>
        <w:ind w:left="360" w:hanging="360"/>
      </w:pPr>
    </w:lvl>
    <w:lvl w:ilvl="1" w:tplc="8454EFC8" w:tentative="1">
      <w:start w:val="1"/>
      <w:numFmt w:val="lowerLetter"/>
      <w:lvlText w:val="%2."/>
      <w:lvlJc w:val="left"/>
      <w:pPr>
        <w:ind w:left="1080" w:hanging="360"/>
      </w:pPr>
    </w:lvl>
    <w:lvl w:ilvl="2" w:tplc="94060F5E" w:tentative="1">
      <w:start w:val="1"/>
      <w:numFmt w:val="lowerRoman"/>
      <w:lvlText w:val="%3."/>
      <w:lvlJc w:val="right"/>
      <w:pPr>
        <w:ind w:left="1800" w:hanging="180"/>
      </w:pPr>
    </w:lvl>
    <w:lvl w:ilvl="3" w:tplc="F672203A" w:tentative="1">
      <w:start w:val="1"/>
      <w:numFmt w:val="decimal"/>
      <w:lvlText w:val="%4."/>
      <w:lvlJc w:val="left"/>
      <w:pPr>
        <w:ind w:left="2520" w:hanging="360"/>
      </w:pPr>
    </w:lvl>
    <w:lvl w:ilvl="4" w:tplc="937A4C06" w:tentative="1">
      <w:start w:val="1"/>
      <w:numFmt w:val="lowerLetter"/>
      <w:lvlText w:val="%5."/>
      <w:lvlJc w:val="left"/>
      <w:pPr>
        <w:ind w:left="3240" w:hanging="360"/>
      </w:pPr>
    </w:lvl>
    <w:lvl w:ilvl="5" w:tplc="FA6A4AC8" w:tentative="1">
      <w:start w:val="1"/>
      <w:numFmt w:val="lowerRoman"/>
      <w:lvlText w:val="%6."/>
      <w:lvlJc w:val="right"/>
      <w:pPr>
        <w:ind w:left="3960" w:hanging="180"/>
      </w:pPr>
    </w:lvl>
    <w:lvl w:ilvl="6" w:tplc="428C6D5A" w:tentative="1">
      <w:start w:val="1"/>
      <w:numFmt w:val="decimal"/>
      <w:lvlText w:val="%7."/>
      <w:lvlJc w:val="left"/>
      <w:pPr>
        <w:ind w:left="4680" w:hanging="360"/>
      </w:pPr>
    </w:lvl>
    <w:lvl w:ilvl="7" w:tplc="8D18422E" w:tentative="1">
      <w:start w:val="1"/>
      <w:numFmt w:val="lowerLetter"/>
      <w:lvlText w:val="%8."/>
      <w:lvlJc w:val="left"/>
      <w:pPr>
        <w:ind w:left="5400" w:hanging="360"/>
      </w:pPr>
    </w:lvl>
    <w:lvl w:ilvl="8" w:tplc="491077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2B3744"/>
    <w:multiLevelType w:val="hybridMultilevel"/>
    <w:tmpl w:val="E56AAAF0"/>
    <w:lvl w:ilvl="0" w:tplc="76F034D8">
      <w:start w:val="1"/>
      <w:numFmt w:val="decimal"/>
      <w:lvlText w:val="%1."/>
      <w:lvlJc w:val="left"/>
      <w:pPr>
        <w:ind w:left="720" w:hanging="360"/>
      </w:pPr>
    </w:lvl>
    <w:lvl w:ilvl="1" w:tplc="CD64028E" w:tentative="1">
      <w:start w:val="1"/>
      <w:numFmt w:val="lowerLetter"/>
      <w:lvlText w:val="%2."/>
      <w:lvlJc w:val="left"/>
      <w:pPr>
        <w:ind w:left="1440" w:hanging="360"/>
      </w:pPr>
    </w:lvl>
    <w:lvl w:ilvl="2" w:tplc="42F2B222" w:tentative="1">
      <w:start w:val="1"/>
      <w:numFmt w:val="lowerRoman"/>
      <w:lvlText w:val="%3."/>
      <w:lvlJc w:val="right"/>
      <w:pPr>
        <w:ind w:left="2160" w:hanging="180"/>
      </w:pPr>
    </w:lvl>
    <w:lvl w:ilvl="3" w:tplc="663EF24A" w:tentative="1">
      <w:start w:val="1"/>
      <w:numFmt w:val="decimal"/>
      <w:lvlText w:val="%4."/>
      <w:lvlJc w:val="left"/>
      <w:pPr>
        <w:ind w:left="2880" w:hanging="360"/>
      </w:pPr>
    </w:lvl>
    <w:lvl w:ilvl="4" w:tplc="A2123A0E" w:tentative="1">
      <w:start w:val="1"/>
      <w:numFmt w:val="lowerLetter"/>
      <w:lvlText w:val="%5."/>
      <w:lvlJc w:val="left"/>
      <w:pPr>
        <w:ind w:left="3600" w:hanging="360"/>
      </w:pPr>
    </w:lvl>
    <w:lvl w:ilvl="5" w:tplc="97948F7A" w:tentative="1">
      <w:start w:val="1"/>
      <w:numFmt w:val="lowerRoman"/>
      <w:lvlText w:val="%6."/>
      <w:lvlJc w:val="right"/>
      <w:pPr>
        <w:ind w:left="4320" w:hanging="180"/>
      </w:pPr>
    </w:lvl>
    <w:lvl w:ilvl="6" w:tplc="E7F2CEA4" w:tentative="1">
      <w:start w:val="1"/>
      <w:numFmt w:val="decimal"/>
      <w:lvlText w:val="%7."/>
      <w:lvlJc w:val="left"/>
      <w:pPr>
        <w:ind w:left="5040" w:hanging="360"/>
      </w:pPr>
    </w:lvl>
    <w:lvl w:ilvl="7" w:tplc="EF36899C" w:tentative="1">
      <w:start w:val="1"/>
      <w:numFmt w:val="lowerLetter"/>
      <w:lvlText w:val="%8."/>
      <w:lvlJc w:val="left"/>
      <w:pPr>
        <w:ind w:left="5760" w:hanging="360"/>
      </w:pPr>
    </w:lvl>
    <w:lvl w:ilvl="8" w:tplc="B1C20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A221D"/>
    <w:multiLevelType w:val="hybridMultilevel"/>
    <w:tmpl w:val="C2FA9846"/>
    <w:lvl w:ilvl="0" w:tplc="F612D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E0D724" w:tentative="1">
      <w:start w:val="1"/>
      <w:numFmt w:val="lowerLetter"/>
      <w:lvlText w:val="%2."/>
      <w:lvlJc w:val="left"/>
      <w:pPr>
        <w:ind w:left="1440" w:hanging="360"/>
      </w:pPr>
    </w:lvl>
    <w:lvl w:ilvl="2" w:tplc="38580B30" w:tentative="1">
      <w:start w:val="1"/>
      <w:numFmt w:val="lowerRoman"/>
      <w:lvlText w:val="%3."/>
      <w:lvlJc w:val="right"/>
      <w:pPr>
        <w:ind w:left="2160" w:hanging="180"/>
      </w:pPr>
    </w:lvl>
    <w:lvl w:ilvl="3" w:tplc="A5787AB8" w:tentative="1">
      <w:start w:val="1"/>
      <w:numFmt w:val="decimal"/>
      <w:lvlText w:val="%4."/>
      <w:lvlJc w:val="left"/>
      <w:pPr>
        <w:ind w:left="2880" w:hanging="360"/>
      </w:pPr>
    </w:lvl>
    <w:lvl w:ilvl="4" w:tplc="4A28510E" w:tentative="1">
      <w:start w:val="1"/>
      <w:numFmt w:val="lowerLetter"/>
      <w:lvlText w:val="%5."/>
      <w:lvlJc w:val="left"/>
      <w:pPr>
        <w:ind w:left="3600" w:hanging="360"/>
      </w:pPr>
    </w:lvl>
    <w:lvl w:ilvl="5" w:tplc="F47CC3CA" w:tentative="1">
      <w:start w:val="1"/>
      <w:numFmt w:val="lowerRoman"/>
      <w:lvlText w:val="%6."/>
      <w:lvlJc w:val="right"/>
      <w:pPr>
        <w:ind w:left="4320" w:hanging="180"/>
      </w:pPr>
    </w:lvl>
    <w:lvl w:ilvl="6" w:tplc="CA46611A" w:tentative="1">
      <w:start w:val="1"/>
      <w:numFmt w:val="decimal"/>
      <w:lvlText w:val="%7."/>
      <w:lvlJc w:val="left"/>
      <w:pPr>
        <w:ind w:left="5040" w:hanging="360"/>
      </w:pPr>
    </w:lvl>
    <w:lvl w:ilvl="7" w:tplc="B6A46000" w:tentative="1">
      <w:start w:val="1"/>
      <w:numFmt w:val="lowerLetter"/>
      <w:lvlText w:val="%8."/>
      <w:lvlJc w:val="left"/>
      <w:pPr>
        <w:ind w:left="5760" w:hanging="360"/>
      </w:pPr>
    </w:lvl>
    <w:lvl w:ilvl="8" w:tplc="51103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960B4"/>
    <w:multiLevelType w:val="hybridMultilevel"/>
    <w:tmpl w:val="2E56E69C"/>
    <w:lvl w:ilvl="0" w:tplc="9B28F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61E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628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8E2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80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03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AA3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5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6E49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210D9"/>
    <w:multiLevelType w:val="hybridMultilevel"/>
    <w:tmpl w:val="FE28D82A"/>
    <w:lvl w:ilvl="0" w:tplc="C2E4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color w:val="auto"/>
      </w:rPr>
    </w:lvl>
    <w:lvl w:ilvl="1" w:tplc="EB585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E78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41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EA12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C6F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9E55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E7E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EC6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B6770"/>
    <w:multiLevelType w:val="hybridMultilevel"/>
    <w:tmpl w:val="A2423CC0"/>
    <w:lvl w:ilvl="0" w:tplc="1BB0AE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B3AA0222" w:tentative="1">
      <w:start w:val="1"/>
      <w:numFmt w:val="lowerLetter"/>
      <w:lvlText w:val="%2."/>
      <w:lvlJc w:val="left"/>
      <w:pPr>
        <w:ind w:left="1440" w:hanging="360"/>
      </w:pPr>
    </w:lvl>
    <w:lvl w:ilvl="2" w:tplc="3F527908" w:tentative="1">
      <w:start w:val="1"/>
      <w:numFmt w:val="lowerRoman"/>
      <w:lvlText w:val="%3."/>
      <w:lvlJc w:val="right"/>
      <w:pPr>
        <w:ind w:left="2160" w:hanging="180"/>
      </w:pPr>
    </w:lvl>
    <w:lvl w:ilvl="3" w:tplc="CD362B40" w:tentative="1">
      <w:start w:val="1"/>
      <w:numFmt w:val="decimal"/>
      <w:lvlText w:val="%4."/>
      <w:lvlJc w:val="left"/>
      <w:pPr>
        <w:ind w:left="2880" w:hanging="360"/>
      </w:pPr>
    </w:lvl>
    <w:lvl w:ilvl="4" w:tplc="9A1E0E9C" w:tentative="1">
      <w:start w:val="1"/>
      <w:numFmt w:val="lowerLetter"/>
      <w:lvlText w:val="%5."/>
      <w:lvlJc w:val="left"/>
      <w:pPr>
        <w:ind w:left="3600" w:hanging="360"/>
      </w:pPr>
    </w:lvl>
    <w:lvl w:ilvl="5" w:tplc="CB92412A" w:tentative="1">
      <w:start w:val="1"/>
      <w:numFmt w:val="lowerRoman"/>
      <w:lvlText w:val="%6."/>
      <w:lvlJc w:val="right"/>
      <w:pPr>
        <w:ind w:left="4320" w:hanging="180"/>
      </w:pPr>
    </w:lvl>
    <w:lvl w:ilvl="6" w:tplc="7158A9A0" w:tentative="1">
      <w:start w:val="1"/>
      <w:numFmt w:val="decimal"/>
      <w:lvlText w:val="%7."/>
      <w:lvlJc w:val="left"/>
      <w:pPr>
        <w:ind w:left="5040" w:hanging="360"/>
      </w:pPr>
    </w:lvl>
    <w:lvl w:ilvl="7" w:tplc="FDCE84F4" w:tentative="1">
      <w:start w:val="1"/>
      <w:numFmt w:val="lowerLetter"/>
      <w:lvlText w:val="%8."/>
      <w:lvlJc w:val="left"/>
      <w:pPr>
        <w:ind w:left="5760" w:hanging="360"/>
      </w:pPr>
    </w:lvl>
    <w:lvl w:ilvl="8" w:tplc="ECC62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D5CEC"/>
    <w:multiLevelType w:val="hybridMultilevel"/>
    <w:tmpl w:val="3EEE8D64"/>
    <w:lvl w:ilvl="0" w:tplc="6D04C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6F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3EF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87D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4CF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1EE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B02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D0CC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0C5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772AA"/>
    <w:multiLevelType w:val="hybridMultilevel"/>
    <w:tmpl w:val="F8EE4EB4"/>
    <w:lvl w:ilvl="0" w:tplc="7B529FC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B8A82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98E8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A6F1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696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E4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C02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B6B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06F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74"/>
    <w:rsid w:val="0000478A"/>
    <w:rsid w:val="00017B3D"/>
    <w:rsid w:val="0003132F"/>
    <w:rsid w:val="000457FA"/>
    <w:rsid w:val="00054194"/>
    <w:rsid w:val="0008011D"/>
    <w:rsid w:val="00093AC9"/>
    <w:rsid w:val="00094817"/>
    <w:rsid w:val="000A49FD"/>
    <w:rsid w:val="000C54C3"/>
    <w:rsid w:val="000D16F0"/>
    <w:rsid w:val="000D1B74"/>
    <w:rsid w:val="000E129D"/>
    <w:rsid w:val="000E6140"/>
    <w:rsid w:val="000F4E2A"/>
    <w:rsid w:val="00123441"/>
    <w:rsid w:val="00126535"/>
    <w:rsid w:val="001363C4"/>
    <w:rsid w:val="001459B3"/>
    <w:rsid w:val="00155EB9"/>
    <w:rsid w:val="001713EA"/>
    <w:rsid w:val="00176E13"/>
    <w:rsid w:val="00180C4B"/>
    <w:rsid w:val="00181B1F"/>
    <w:rsid w:val="00186683"/>
    <w:rsid w:val="00196782"/>
    <w:rsid w:val="001A3C5C"/>
    <w:rsid w:val="001A3CE4"/>
    <w:rsid w:val="001C189B"/>
    <w:rsid w:val="001C2D49"/>
    <w:rsid w:val="001E0E4C"/>
    <w:rsid w:val="001E0E58"/>
    <w:rsid w:val="001E316C"/>
    <w:rsid w:val="00200E59"/>
    <w:rsid w:val="002014F2"/>
    <w:rsid w:val="00210E2E"/>
    <w:rsid w:val="002219D8"/>
    <w:rsid w:val="0024243F"/>
    <w:rsid w:val="00265F4B"/>
    <w:rsid w:val="00296AA8"/>
    <w:rsid w:val="002C09CB"/>
    <w:rsid w:val="002C638B"/>
    <w:rsid w:val="002C692B"/>
    <w:rsid w:val="002D282A"/>
    <w:rsid w:val="002D4731"/>
    <w:rsid w:val="002D7643"/>
    <w:rsid w:val="002F71D5"/>
    <w:rsid w:val="00307CCE"/>
    <w:rsid w:val="00310EF6"/>
    <w:rsid w:val="00316166"/>
    <w:rsid w:val="0034033B"/>
    <w:rsid w:val="00350A8D"/>
    <w:rsid w:val="00356B2E"/>
    <w:rsid w:val="00364ACB"/>
    <w:rsid w:val="00366BE6"/>
    <w:rsid w:val="00375DE7"/>
    <w:rsid w:val="00381F35"/>
    <w:rsid w:val="00384F58"/>
    <w:rsid w:val="00386F2C"/>
    <w:rsid w:val="00387084"/>
    <w:rsid w:val="003B7D4D"/>
    <w:rsid w:val="003C05D4"/>
    <w:rsid w:val="003C4CC1"/>
    <w:rsid w:val="003C5372"/>
    <w:rsid w:val="003C6BAB"/>
    <w:rsid w:val="003D3B57"/>
    <w:rsid w:val="003D5B6E"/>
    <w:rsid w:val="003E538A"/>
    <w:rsid w:val="003F4780"/>
    <w:rsid w:val="003F6C01"/>
    <w:rsid w:val="004028E0"/>
    <w:rsid w:val="0040395F"/>
    <w:rsid w:val="0040599B"/>
    <w:rsid w:val="00421BAE"/>
    <w:rsid w:val="0043330E"/>
    <w:rsid w:val="00433671"/>
    <w:rsid w:val="004346EC"/>
    <w:rsid w:val="00436EB0"/>
    <w:rsid w:val="00442AF9"/>
    <w:rsid w:val="00470D08"/>
    <w:rsid w:val="004717CA"/>
    <w:rsid w:val="004757D9"/>
    <w:rsid w:val="004812DB"/>
    <w:rsid w:val="00485815"/>
    <w:rsid w:val="004858B9"/>
    <w:rsid w:val="004912F3"/>
    <w:rsid w:val="004A017F"/>
    <w:rsid w:val="004A1F2C"/>
    <w:rsid w:val="004A4854"/>
    <w:rsid w:val="004B6CF4"/>
    <w:rsid w:val="004C5E2F"/>
    <w:rsid w:val="004C6452"/>
    <w:rsid w:val="004C7A1F"/>
    <w:rsid w:val="004D1C21"/>
    <w:rsid w:val="004D2BBD"/>
    <w:rsid w:val="004D5035"/>
    <w:rsid w:val="004E2A6B"/>
    <w:rsid w:val="004F211B"/>
    <w:rsid w:val="004F378E"/>
    <w:rsid w:val="005042C7"/>
    <w:rsid w:val="00521F69"/>
    <w:rsid w:val="005307E8"/>
    <w:rsid w:val="00534DA5"/>
    <w:rsid w:val="00535712"/>
    <w:rsid w:val="00544096"/>
    <w:rsid w:val="00545F28"/>
    <w:rsid w:val="00546174"/>
    <w:rsid w:val="005542DD"/>
    <w:rsid w:val="0057665E"/>
    <w:rsid w:val="00585E37"/>
    <w:rsid w:val="00590127"/>
    <w:rsid w:val="005909CF"/>
    <w:rsid w:val="005930B0"/>
    <w:rsid w:val="005A1132"/>
    <w:rsid w:val="005B42BF"/>
    <w:rsid w:val="005C1524"/>
    <w:rsid w:val="005D06EC"/>
    <w:rsid w:val="005D649D"/>
    <w:rsid w:val="005F72B0"/>
    <w:rsid w:val="00624790"/>
    <w:rsid w:val="00627644"/>
    <w:rsid w:val="00637D39"/>
    <w:rsid w:val="00646590"/>
    <w:rsid w:val="006525E6"/>
    <w:rsid w:val="006526FB"/>
    <w:rsid w:val="006628CA"/>
    <w:rsid w:val="00664A20"/>
    <w:rsid w:val="006806D8"/>
    <w:rsid w:val="006A7046"/>
    <w:rsid w:val="006A7CFF"/>
    <w:rsid w:val="006B0EBB"/>
    <w:rsid w:val="006C7EE6"/>
    <w:rsid w:val="006D5DE3"/>
    <w:rsid w:val="006E2A1C"/>
    <w:rsid w:val="006E544E"/>
    <w:rsid w:val="0070275B"/>
    <w:rsid w:val="007029B5"/>
    <w:rsid w:val="00703104"/>
    <w:rsid w:val="007060FC"/>
    <w:rsid w:val="007113C1"/>
    <w:rsid w:val="0071153B"/>
    <w:rsid w:val="00717059"/>
    <w:rsid w:val="00722E09"/>
    <w:rsid w:val="00731017"/>
    <w:rsid w:val="00743373"/>
    <w:rsid w:val="007447FD"/>
    <w:rsid w:val="00746403"/>
    <w:rsid w:val="00757CD7"/>
    <w:rsid w:val="007623A2"/>
    <w:rsid w:val="007665C1"/>
    <w:rsid w:val="007761DC"/>
    <w:rsid w:val="00792144"/>
    <w:rsid w:val="007A0705"/>
    <w:rsid w:val="007A2586"/>
    <w:rsid w:val="007A7443"/>
    <w:rsid w:val="007B1CD8"/>
    <w:rsid w:val="007B5D93"/>
    <w:rsid w:val="007C1B4E"/>
    <w:rsid w:val="007D4A4A"/>
    <w:rsid w:val="007D5EC5"/>
    <w:rsid w:val="007E16F8"/>
    <w:rsid w:val="007E2031"/>
    <w:rsid w:val="007F7DB1"/>
    <w:rsid w:val="00816307"/>
    <w:rsid w:val="00830510"/>
    <w:rsid w:val="008311D9"/>
    <w:rsid w:val="00837A6D"/>
    <w:rsid w:val="00845E4A"/>
    <w:rsid w:val="00853668"/>
    <w:rsid w:val="00854455"/>
    <w:rsid w:val="008712F4"/>
    <w:rsid w:val="008726CA"/>
    <w:rsid w:val="00873BE5"/>
    <w:rsid w:val="0087484E"/>
    <w:rsid w:val="00874BAD"/>
    <w:rsid w:val="00891121"/>
    <w:rsid w:val="008A2F7E"/>
    <w:rsid w:val="008A3659"/>
    <w:rsid w:val="008A47D8"/>
    <w:rsid w:val="008A7573"/>
    <w:rsid w:val="008B2810"/>
    <w:rsid w:val="008B3C65"/>
    <w:rsid w:val="008C0A63"/>
    <w:rsid w:val="008D075C"/>
    <w:rsid w:val="008D2A46"/>
    <w:rsid w:val="008F02C3"/>
    <w:rsid w:val="009018E8"/>
    <w:rsid w:val="0092073C"/>
    <w:rsid w:val="00924ED5"/>
    <w:rsid w:val="00951AFB"/>
    <w:rsid w:val="00967CDB"/>
    <w:rsid w:val="00985809"/>
    <w:rsid w:val="00987A27"/>
    <w:rsid w:val="00993376"/>
    <w:rsid w:val="009944EE"/>
    <w:rsid w:val="009A1C41"/>
    <w:rsid w:val="009A7255"/>
    <w:rsid w:val="009B0550"/>
    <w:rsid w:val="009B1788"/>
    <w:rsid w:val="009C03D7"/>
    <w:rsid w:val="009E73BD"/>
    <w:rsid w:val="009E7945"/>
    <w:rsid w:val="00A06804"/>
    <w:rsid w:val="00A07CE1"/>
    <w:rsid w:val="00A12E42"/>
    <w:rsid w:val="00A21A88"/>
    <w:rsid w:val="00A227E9"/>
    <w:rsid w:val="00A23B3B"/>
    <w:rsid w:val="00A31E67"/>
    <w:rsid w:val="00A350EE"/>
    <w:rsid w:val="00A46601"/>
    <w:rsid w:val="00A5490B"/>
    <w:rsid w:val="00A63997"/>
    <w:rsid w:val="00A73C12"/>
    <w:rsid w:val="00A77D95"/>
    <w:rsid w:val="00A878D5"/>
    <w:rsid w:val="00A93126"/>
    <w:rsid w:val="00A93FC7"/>
    <w:rsid w:val="00A96659"/>
    <w:rsid w:val="00A96B8B"/>
    <w:rsid w:val="00AA33CC"/>
    <w:rsid w:val="00AA68D8"/>
    <w:rsid w:val="00AB5630"/>
    <w:rsid w:val="00AC09F3"/>
    <w:rsid w:val="00AE1F9B"/>
    <w:rsid w:val="00AF0C73"/>
    <w:rsid w:val="00AF17C7"/>
    <w:rsid w:val="00AF4E8A"/>
    <w:rsid w:val="00AF5A4C"/>
    <w:rsid w:val="00AF5C74"/>
    <w:rsid w:val="00B021D5"/>
    <w:rsid w:val="00B1465E"/>
    <w:rsid w:val="00B16D32"/>
    <w:rsid w:val="00B26AC0"/>
    <w:rsid w:val="00B3013A"/>
    <w:rsid w:val="00B31050"/>
    <w:rsid w:val="00B34CEC"/>
    <w:rsid w:val="00B40CF5"/>
    <w:rsid w:val="00B44531"/>
    <w:rsid w:val="00B45363"/>
    <w:rsid w:val="00B45CD2"/>
    <w:rsid w:val="00B554C1"/>
    <w:rsid w:val="00B5606D"/>
    <w:rsid w:val="00B61EA6"/>
    <w:rsid w:val="00B631D6"/>
    <w:rsid w:val="00B6775C"/>
    <w:rsid w:val="00B70DC8"/>
    <w:rsid w:val="00B71EC0"/>
    <w:rsid w:val="00B74D2F"/>
    <w:rsid w:val="00B80213"/>
    <w:rsid w:val="00B827BB"/>
    <w:rsid w:val="00B8412C"/>
    <w:rsid w:val="00BA7C79"/>
    <w:rsid w:val="00BC1264"/>
    <w:rsid w:val="00BC5D1B"/>
    <w:rsid w:val="00BD5ED3"/>
    <w:rsid w:val="00BD6E08"/>
    <w:rsid w:val="00BE0FEE"/>
    <w:rsid w:val="00BF6546"/>
    <w:rsid w:val="00C03CCE"/>
    <w:rsid w:val="00C14C68"/>
    <w:rsid w:val="00C15A92"/>
    <w:rsid w:val="00C21015"/>
    <w:rsid w:val="00C239C4"/>
    <w:rsid w:val="00C44DAE"/>
    <w:rsid w:val="00C45016"/>
    <w:rsid w:val="00C54E2F"/>
    <w:rsid w:val="00C60C87"/>
    <w:rsid w:val="00C65271"/>
    <w:rsid w:val="00C656FE"/>
    <w:rsid w:val="00C6577A"/>
    <w:rsid w:val="00C758DC"/>
    <w:rsid w:val="00C904DC"/>
    <w:rsid w:val="00CA50ED"/>
    <w:rsid w:val="00CA52B0"/>
    <w:rsid w:val="00CB7290"/>
    <w:rsid w:val="00CC3249"/>
    <w:rsid w:val="00CC3E00"/>
    <w:rsid w:val="00CC4CD6"/>
    <w:rsid w:val="00CC55E4"/>
    <w:rsid w:val="00CE03CF"/>
    <w:rsid w:val="00CE507D"/>
    <w:rsid w:val="00CE7011"/>
    <w:rsid w:val="00CF20BF"/>
    <w:rsid w:val="00CF2B66"/>
    <w:rsid w:val="00CF4818"/>
    <w:rsid w:val="00D064DC"/>
    <w:rsid w:val="00D141B5"/>
    <w:rsid w:val="00D20C50"/>
    <w:rsid w:val="00D21F1F"/>
    <w:rsid w:val="00D266FF"/>
    <w:rsid w:val="00D34A09"/>
    <w:rsid w:val="00D3796E"/>
    <w:rsid w:val="00D46DD4"/>
    <w:rsid w:val="00D535B3"/>
    <w:rsid w:val="00D6007C"/>
    <w:rsid w:val="00D60869"/>
    <w:rsid w:val="00D74948"/>
    <w:rsid w:val="00D8106E"/>
    <w:rsid w:val="00D86606"/>
    <w:rsid w:val="00DA2BE6"/>
    <w:rsid w:val="00DB148B"/>
    <w:rsid w:val="00DB373E"/>
    <w:rsid w:val="00DB59AE"/>
    <w:rsid w:val="00DC25CD"/>
    <w:rsid w:val="00DD2043"/>
    <w:rsid w:val="00DD5CD2"/>
    <w:rsid w:val="00DF2750"/>
    <w:rsid w:val="00E013E3"/>
    <w:rsid w:val="00E032EC"/>
    <w:rsid w:val="00E037F9"/>
    <w:rsid w:val="00E102F4"/>
    <w:rsid w:val="00E156AD"/>
    <w:rsid w:val="00E232EE"/>
    <w:rsid w:val="00E31865"/>
    <w:rsid w:val="00E41BC2"/>
    <w:rsid w:val="00E46577"/>
    <w:rsid w:val="00E57930"/>
    <w:rsid w:val="00E60F40"/>
    <w:rsid w:val="00E63EA7"/>
    <w:rsid w:val="00E73C43"/>
    <w:rsid w:val="00E81091"/>
    <w:rsid w:val="00EC0D1D"/>
    <w:rsid w:val="00EE5374"/>
    <w:rsid w:val="00F0278D"/>
    <w:rsid w:val="00F06207"/>
    <w:rsid w:val="00F12021"/>
    <w:rsid w:val="00F12090"/>
    <w:rsid w:val="00F14B4F"/>
    <w:rsid w:val="00F227F6"/>
    <w:rsid w:val="00F23205"/>
    <w:rsid w:val="00F239C5"/>
    <w:rsid w:val="00F23FC4"/>
    <w:rsid w:val="00F427D5"/>
    <w:rsid w:val="00F512EE"/>
    <w:rsid w:val="00F574C8"/>
    <w:rsid w:val="00F6316F"/>
    <w:rsid w:val="00F650C2"/>
    <w:rsid w:val="00F67FA9"/>
    <w:rsid w:val="00F700FB"/>
    <w:rsid w:val="00F85943"/>
    <w:rsid w:val="00F905DB"/>
    <w:rsid w:val="00F97793"/>
    <w:rsid w:val="00FA1DC2"/>
    <w:rsid w:val="00FA2642"/>
    <w:rsid w:val="00FA5483"/>
    <w:rsid w:val="00FB2CA0"/>
    <w:rsid w:val="00FB454D"/>
    <w:rsid w:val="00FC6008"/>
    <w:rsid w:val="00FD02FF"/>
    <w:rsid w:val="00FD2D80"/>
    <w:rsid w:val="00FE0DC5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250D"/>
  <w15:chartTrackingRefBased/>
  <w15:docId w15:val="{A2E45D79-9CB9-46BE-AF85-226276A0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6174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46174"/>
    <w:pPr>
      <w:keepNext/>
      <w:spacing w:before="360" w:after="240" w:line="200" w:lineRule="atLeast"/>
      <w:jc w:val="center"/>
      <w:outlineLvl w:val="0"/>
    </w:pPr>
    <w:rPr>
      <w:rFonts w:eastAsiaTheme="minorHAnsi" w:cs="Arial"/>
      <w:b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C05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46174"/>
    <w:rPr>
      <w:rFonts w:cs="Arial"/>
      <w:b/>
      <w:sz w:val="28"/>
    </w:rPr>
  </w:style>
  <w:style w:type="character" w:styleId="Znakapoznpodarou">
    <w:name w:val="footnote reference"/>
    <w:aliases w:val="12 b.,Appel note de bas de p,Appel note de bas de page,BVI fnr,Footnote,Footnote Reference Number,Footnote Reference Superscript,Footnote call,Footnote symbol,PGI Fußnote Ziffer,PGI Fußnote Ziffer + Times New Roman,Zúžené o ..."/>
    <w:basedOn w:val="Standardnpsmoodstavce"/>
    <w:uiPriority w:val="99"/>
    <w:rsid w:val="00546174"/>
    <w:rPr>
      <w:vertAlign w:val="superscript"/>
    </w:rPr>
  </w:style>
  <w:style w:type="paragraph" w:styleId="Textpoznpodarou">
    <w:name w:val="footnote text"/>
    <w:aliases w:val="Boston 10,Char,Char Char Char Char,Font: Geneva 9,Fußnotentextf,Geneva 9,Podrozdzia3,Podrozdział,Schriftart: 10 pt,Schriftart: 8 pt,Schriftart: 9 pt,Text poznámky pod čiarou 007,f,fn,pozn. pod čarou"/>
    <w:basedOn w:val="Normln"/>
    <w:link w:val="TextpoznpodarouChar"/>
    <w:uiPriority w:val="99"/>
    <w:rsid w:val="00546174"/>
    <w:pPr>
      <w:jc w:val="left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Char Char,Char Char Char Char Char,Font: Geneva 9 Char,Fußnotentextf Char,Geneva 9 Char,Podrozdzia3 Char,Podrozdział Char,Schriftart: 10 pt Char,Schriftart: 8 pt Char,Schriftart: 9 pt Char,f Char,fn Char"/>
    <w:basedOn w:val="Standardnpsmoodstavce"/>
    <w:link w:val="Textpoznpodarou"/>
    <w:uiPriority w:val="99"/>
    <w:rsid w:val="0054617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List Paragraph1,List Paragraph2,List Paragraph_0,Nad,Nad1,Nad2,Odstavec_muj,Odstavec_muj1,Odstavec_muj10,Odstavec_muj2,Odstavec_muj3,Odstavec_muj4,Odstavec_muj5,Odstavec_muj6,Odstavec_muj7,Odstavec_muj8,Odstavec_muj9,odrážky"/>
    <w:basedOn w:val="Normln"/>
    <w:link w:val="OdstavecseseznamemChar"/>
    <w:uiPriority w:val="34"/>
    <w:qFormat/>
    <w:rsid w:val="00546174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OdstavecseseznamemChar">
    <w:name w:val="Odstavec se seznamem Char"/>
    <w:aliases w:val="List Paragraph1 Char,List Paragraph2 Char,List Paragraph_0 Char,Nad Char,Nad1 Char,Nad2 Char,Odstavec_muj Char,Odstavec_muj1 Char,Odstavec_muj10 Char,Odstavec_muj2 Char,Odstavec_muj3 Char,Odstavec_muj4 Char,Odstavec_muj5 Char"/>
    <w:link w:val="Odstavecseseznamem"/>
    <w:uiPriority w:val="34"/>
    <w:qFormat/>
    <w:locked/>
    <w:rsid w:val="00546174"/>
    <w:rPr>
      <w:rFonts w:ascii="Calibri" w:eastAsia="Calibri" w:hAnsi="Calibri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1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1D5"/>
    <w:rPr>
      <w:rFonts w:ascii="Segoe UI" w:eastAsia="Times New Roman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3C05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3C05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05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05D4"/>
    <w:rPr>
      <w:rFonts w:eastAsia="Times New Roman" w:cs="Times New Roman"/>
      <w:sz w:val="20"/>
      <w:szCs w:val="20"/>
    </w:rPr>
  </w:style>
  <w:style w:type="table" w:styleId="Mkatabulky">
    <w:name w:val="Table Grid"/>
    <w:aliases w:val="Deloitte table 3"/>
    <w:basedOn w:val="Normlntabulka"/>
    <w:uiPriority w:val="39"/>
    <w:rsid w:val="00B1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50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50C2"/>
    <w:rPr>
      <w:rFonts w:eastAsia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650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50C2"/>
    <w:rPr>
      <w:rFonts w:eastAsia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C21015"/>
    <w:pPr>
      <w:jc w:val="center"/>
    </w:pPr>
    <w:rPr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21015"/>
    <w:rPr>
      <w:rFonts w:eastAsia="Times New Roman" w:cs="Times New Roman"/>
      <w:b/>
      <w:sz w:val="24"/>
      <w:szCs w:val="20"/>
      <w:lang w:eastAsia="cs-CZ"/>
    </w:rPr>
  </w:style>
  <w:style w:type="paragraph" w:customStyle="1" w:styleId="NormlnKZ">
    <w:name w:val="Normální KZ"/>
    <w:basedOn w:val="Normln"/>
    <w:rsid w:val="00C21015"/>
    <w:pPr>
      <w:spacing w:after="120"/>
      <w:ind w:firstLine="425"/>
    </w:pPr>
    <w:rPr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761DC"/>
    <w:pPr>
      <w:spacing w:after="200"/>
    </w:pPr>
    <w:rPr>
      <w:i/>
      <w:iCs/>
      <w:color w:val="44546A" w:themeColor="text2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39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39C5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1\BOLERAZK\DATA\Agendy\01-%20ODDELENI%20NOVE%20PRUMYSL\7KONTROLY-%20prob&#237;haj&#237;c&#237;\Barta\18%20-35%20%20CBU\KZ\poslano%20clence\KZ\grafy%20kapitola%204%20(program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1\BOLERAZK\DATA\Agendy\01-%20ODDELENI%20NOVE%20PRUMYSL\7KONTROLY-%20prob&#237;haj&#237;c&#237;\Barta\18%20-35%20%20CBU\KZ\poslano%20clence\KZ\grafy%20kapitola%204%20(program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/>
              <a:t>Program 148 01 – bilance potřeb finančních prostředků a jejich skutečné čerpání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'[1]grafy 148 01'!$E$145</c:f>
              <c:strCache>
                <c:ptCount val="1"/>
                <c:pt idx="0">
                  <c:v>bilance potřeb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numRef>
              <c:f>'[1]grafy 148 01'!$D$146:$D$151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'[1]grafy 148 01'!$E$146:$E$151</c:f>
              <c:numCache>
                <c:formatCode>General</c:formatCode>
                <c:ptCount val="6"/>
                <c:pt idx="0">
                  <c:v>12.375999999999999</c:v>
                </c:pt>
                <c:pt idx="1">
                  <c:v>18.162705000000003</c:v>
                </c:pt>
                <c:pt idx="2">
                  <c:v>48.719122999999996</c:v>
                </c:pt>
                <c:pt idx="3">
                  <c:v>78.591346999999999</c:v>
                </c:pt>
                <c:pt idx="4">
                  <c:v>78.591346999999999</c:v>
                </c:pt>
                <c:pt idx="5">
                  <c:v>95.337301999999994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AC-4CFF-8FAC-896D35E30B2F}"/>
            </c:ext>
          </c:extLst>
        </c:ser>
        <c:ser>
          <c:idx val="1"/>
          <c:order val="1"/>
          <c:tx>
            <c:strRef>
              <c:f>'[1]grafy 148 01'!$F$145</c:f>
              <c:strCache>
                <c:ptCount val="1"/>
                <c:pt idx="0">
                  <c:v>skutečné čerpání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cat>
            <c:numRef>
              <c:f>'[1]grafy 148 01'!$D$146:$D$151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'[1]grafy 148 01'!$F$146:$F$151</c:f>
              <c:numCache>
                <c:formatCode>General</c:formatCode>
                <c:ptCount val="6"/>
                <c:pt idx="0">
                  <c:v>6.28974893</c:v>
                </c:pt>
                <c:pt idx="1">
                  <c:v>12.133801300000002</c:v>
                </c:pt>
                <c:pt idx="2">
                  <c:v>18.498085329999999</c:v>
                </c:pt>
                <c:pt idx="3">
                  <c:v>42.040765869999994</c:v>
                </c:pt>
                <c:pt idx="4">
                  <c:v>54.821115420000005</c:v>
                </c:pt>
                <c:pt idx="5">
                  <c:v>64.810020210000005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AC-4CFF-8FAC-896D35E30B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31243087"/>
        <c:axId val="1831245167"/>
      </c:areaChart>
      <c:catAx>
        <c:axId val="1831243087"/>
        <c:scaling>
          <c:orientation val="minMax"/>
        </c:scaling>
        <c:delete val="0"/>
        <c:axPos val="b"/>
        <c:title>
          <c:tx>
            <c:rich>
              <a:bodyPr rot="0" spcFirstLastPara="1" vertOverflow="clip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rok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clip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31245167"/>
        <c:crosses val="autoZero"/>
        <c:auto val="1"/>
        <c:lblAlgn val="ctr"/>
        <c:lblOffset val="100"/>
        <c:noMultiLvlLbl val="0"/>
      </c:catAx>
      <c:valAx>
        <c:axId val="1831245167"/>
        <c:scaling>
          <c:orientation val="minMax"/>
        </c:scaling>
        <c:delete val="0"/>
        <c:axPos val="l"/>
        <c:title>
          <c:tx>
            <c:rich>
              <a:bodyPr rot="-5400000" spcFirstLastPara="1" vertOverflow="clip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mil. Kč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clip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31243087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000"/>
              <a:t>Program</a:t>
            </a:r>
            <a:r>
              <a:rPr lang="cs-CZ" sz="1000" baseline="0"/>
              <a:t> 148 01 – počet cílů a akcí v jednotlivých letech</a:t>
            </a:r>
            <a:endParaRPr lang="cs-CZ" sz="10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'[1]grafy 148 01'!$I$2</c:f>
              <c:strCache>
                <c:ptCount val="1"/>
                <c:pt idx="0">
                  <c:v>akce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none"/>
          </c:marker>
          <c:xVal>
            <c:numRef>
              <c:f>'[1]grafy 148 01'!$H$3:$H$74</c:f>
              <c:numCache>
                <c:formatCode>General</c:formatCode>
                <c:ptCount val="72"/>
                <c:pt idx="0">
                  <c:v>2013</c:v>
                </c:pt>
                <c:pt idx="1">
                  <c:v>2013</c:v>
                </c:pt>
                <c:pt idx="2">
                  <c:v>2013</c:v>
                </c:pt>
                <c:pt idx="3">
                  <c:v>2013</c:v>
                </c:pt>
                <c:pt idx="4">
                  <c:v>2013</c:v>
                </c:pt>
                <c:pt idx="5">
                  <c:v>2013</c:v>
                </c:pt>
                <c:pt idx="6">
                  <c:v>2013</c:v>
                </c:pt>
                <c:pt idx="7">
                  <c:v>2013</c:v>
                </c:pt>
                <c:pt idx="8">
                  <c:v>2013</c:v>
                </c:pt>
                <c:pt idx="9">
                  <c:v>2013</c:v>
                </c:pt>
                <c:pt idx="10">
                  <c:v>2013</c:v>
                </c:pt>
                <c:pt idx="11">
                  <c:v>2013</c:v>
                </c:pt>
                <c:pt idx="12">
                  <c:v>2014</c:v>
                </c:pt>
                <c:pt idx="13">
                  <c:v>2014</c:v>
                </c:pt>
                <c:pt idx="14">
                  <c:v>2014</c:v>
                </c:pt>
                <c:pt idx="15">
                  <c:v>2014</c:v>
                </c:pt>
                <c:pt idx="16">
                  <c:v>2014</c:v>
                </c:pt>
                <c:pt idx="17">
                  <c:v>2014</c:v>
                </c:pt>
                <c:pt idx="18">
                  <c:v>2014</c:v>
                </c:pt>
                <c:pt idx="19">
                  <c:v>2014</c:v>
                </c:pt>
                <c:pt idx="20">
                  <c:v>2014</c:v>
                </c:pt>
                <c:pt idx="21">
                  <c:v>2014</c:v>
                </c:pt>
                <c:pt idx="22">
                  <c:v>2014</c:v>
                </c:pt>
                <c:pt idx="23">
                  <c:v>2014</c:v>
                </c:pt>
                <c:pt idx="24">
                  <c:v>2015</c:v>
                </c:pt>
                <c:pt idx="25">
                  <c:v>2015</c:v>
                </c:pt>
                <c:pt idx="26">
                  <c:v>2015</c:v>
                </c:pt>
                <c:pt idx="27">
                  <c:v>2015</c:v>
                </c:pt>
                <c:pt idx="28">
                  <c:v>2015</c:v>
                </c:pt>
                <c:pt idx="29">
                  <c:v>2015</c:v>
                </c:pt>
                <c:pt idx="30">
                  <c:v>2015</c:v>
                </c:pt>
                <c:pt idx="31">
                  <c:v>2015</c:v>
                </c:pt>
                <c:pt idx="32">
                  <c:v>2015</c:v>
                </c:pt>
                <c:pt idx="33">
                  <c:v>2015</c:v>
                </c:pt>
                <c:pt idx="34">
                  <c:v>2015</c:v>
                </c:pt>
                <c:pt idx="35">
                  <c:v>2015</c:v>
                </c:pt>
                <c:pt idx="36">
                  <c:v>2016</c:v>
                </c:pt>
                <c:pt idx="37">
                  <c:v>2016</c:v>
                </c:pt>
                <c:pt idx="38">
                  <c:v>2016</c:v>
                </c:pt>
                <c:pt idx="39">
                  <c:v>2016</c:v>
                </c:pt>
                <c:pt idx="40">
                  <c:v>2016</c:v>
                </c:pt>
                <c:pt idx="41">
                  <c:v>2016</c:v>
                </c:pt>
                <c:pt idx="42">
                  <c:v>2016</c:v>
                </c:pt>
                <c:pt idx="43">
                  <c:v>2016</c:v>
                </c:pt>
                <c:pt idx="44">
                  <c:v>2016</c:v>
                </c:pt>
                <c:pt idx="45">
                  <c:v>2016</c:v>
                </c:pt>
                <c:pt idx="46">
                  <c:v>2016</c:v>
                </c:pt>
                <c:pt idx="47">
                  <c:v>2016</c:v>
                </c:pt>
                <c:pt idx="48">
                  <c:v>2017</c:v>
                </c:pt>
                <c:pt idx="49">
                  <c:v>2017</c:v>
                </c:pt>
                <c:pt idx="50">
                  <c:v>2017</c:v>
                </c:pt>
                <c:pt idx="51">
                  <c:v>2017</c:v>
                </c:pt>
                <c:pt idx="52">
                  <c:v>2017</c:v>
                </c:pt>
                <c:pt idx="53">
                  <c:v>2017</c:v>
                </c:pt>
                <c:pt idx="54">
                  <c:v>2017</c:v>
                </c:pt>
                <c:pt idx="55">
                  <c:v>2017</c:v>
                </c:pt>
                <c:pt idx="56">
                  <c:v>2017</c:v>
                </c:pt>
                <c:pt idx="57">
                  <c:v>2017</c:v>
                </c:pt>
                <c:pt idx="58">
                  <c:v>2017</c:v>
                </c:pt>
                <c:pt idx="59">
                  <c:v>2017</c:v>
                </c:pt>
                <c:pt idx="60">
                  <c:v>2018</c:v>
                </c:pt>
                <c:pt idx="61">
                  <c:v>2018</c:v>
                </c:pt>
                <c:pt idx="62">
                  <c:v>2018</c:v>
                </c:pt>
                <c:pt idx="63">
                  <c:v>2018</c:v>
                </c:pt>
                <c:pt idx="64">
                  <c:v>2018</c:v>
                </c:pt>
                <c:pt idx="65">
                  <c:v>2018</c:v>
                </c:pt>
                <c:pt idx="66">
                  <c:v>2018</c:v>
                </c:pt>
                <c:pt idx="67">
                  <c:v>2018</c:v>
                </c:pt>
                <c:pt idx="68">
                  <c:v>2018</c:v>
                </c:pt>
                <c:pt idx="69">
                  <c:v>2018</c:v>
                </c:pt>
                <c:pt idx="70">
                  <c:v>2018</c:v>
                </c:pt>
                <c:pt idx="71">
                  <c:v>2018</c:v>
                </c:pt>
              </c:numCache>
            </c:numRef>
          </c:xVal>
          <c:yVal>
            <c:numRef>
              <c:f>'[1]grafy 148 01'!$I$3:$I$74</c:f>
              <c:numCache>
                <c:formatCode>General</c:formatCode>
                <c:ptCount val="72"/>
                <c:pt idx="0">
                  <c:v>6</c:v>
                </c:pt>
                <c:pt idx="1">
                  <c:v>6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9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10</c:v>
                </c:pt>
                <c:pt idx="18">
                  <c:v>10</c:v>
                </c:pt>
                <c:pt idx="19">
                  <c:v>12</c:v>
                </c:pt>
                <c:pt idx="20">
                  <c:v>12</c:v>
                </c:pt>
                <c:pt idx="21">
                  <c:v>12</c:v>
                </c:pt>
                <c:pt idx="22">
                  <c:v>12</c:v>
                </c:pt>
                <c:pt idx="23">
                  <c:v>12</c:v>
                </c:pt>
                <c:pt idx="24">
                  <c:v>12</c:v>
                </c:pt>
                <c:pt idx="25">
                  <c:v>12</c:v>
                </c:pt>
                <c:pt idx="26">
                  <c:v>13</c:v>
                </c:pt>
                <c:pt idx="27">
                  <c:v>13</c:v>
                </c:pt>
                <c:pt idx="28">
                  <c:v>14</c:v>
                </c:pt>
                <c:pt idx="29">
                  <c:v>14</c:v>
                </c:pt>
                <c:pt idx="30">
                  <c:v>14</c:v>
                </c:pt>
                <c:pt idx="31">
                  <c:v>15</c:v>
                </c:pt>
                <c:pt idx="32">
                  <c:v>15</c:v>
                </c:pt>
                <c:pt idx="33">
                  <c:v>15</c:v>
                </c:pt>
                <c:pt idx="34">
                  <c:v>16</c:v>
                </c:pt>
                <c:pt idx="35">
                  <c:v>16</c:v>
                </c:pt>
                <c:pt idx="36">
                  <c:v>16</c:v>
                </c:pt>
                <c:pt idx="37">
                  <c:v>16</c:v>
                </c:pt>
                <c:pt idx="38">
                  <c:v>16</c:v>
                </c:pt>
                <c:pt idx="39">
                  <c:v>16</c:v>
                </c:pt>
                <c:pt idx="40">
                  <c:v>16</c:v>
                </c:pt>
                <c:pt idx="41">
                  <c:v>16</c:v>
                </c:pt>
                <c:pt idx="42">
                  <c:v>19</c:v>
                </c:pt>
                <c:pt idx="43">
                  <c:v>20</c:v>
                </c:pt>
                <c:pt idx="44">
                  <c:v>20</c:v>
                </c:pt>
                <c:pt idx="45">
                  <c:v>20</c:v>
                </c:pt>
                <c:pt idx="46">
                  <c:v>21</c:v>
                </c:pt>
                <c:pt idx="47">
                  <c:v>21</c:v>
                </c:pt>
                <c:pt idx="48">
                  <c:v>21</c:v>
                </c:pt>
                <c:pt idx="49">
                  <c:v>21</c:v>
                </c:pt>
                <c:pt idx="50">
                  <c:v>21</c:v>
                </c:pt>
                <c:pt idx="51">
                  <c:v>21</c:v>
                </c:pt>
                <c:pt idx="52">
                  <c:v>21</c:v>
                </c:pt>
                <c:pt idx="53">
                  <c:v>21</c:v>
                </c:pt>
                <c:pt idx="54">
                  <c:v>22</c:v>
                </c:pt>
                <c:pt idx="55">
                  <c:v>22</c:v>
                </c:pt>
                <c:pt idx="56">
                  <c:v>22</c:v>
                </c:pt>
                <c:pt idx="57">
                  <c:v>22</c:v>
                </c:pt>
                <c:pt idx="58">
                  <c:v>22</c:v>
                </c:pt>
                <c:pt idx="59">
                  <c:v>22</c:v>
                </c:pt>
                <c:pt idx="60">
                  <c:v>22</c:v>
                </c:pt>
                <c:pt idx="61">
                  <c:v>22</c:v>
                </c:pt>
                <c:pt idx="62">
                  <c:v>22</c:v>
                </c:pt>
                <c:pt idx="63">
                  <c:v>22</c:v>
                </c:pt>
                <c:pt idx="64">
                  <c:v>22</c:v>
                </c:pt>
                <c:pt idx="65">
                  <c:v>22</c:v>
                </c:pt>
                <c:pt idx="66">
                  <c:v>22</c:v>
                </c:pt>
                <c:pt idx="67">
                  <c:v>22</c:v>
                </c:pt>
                <c:pt idx="68">
                  <c:v>22</c:v>
                </c:pt>
                <c:pt idx="69">
                  <c:v>22</c:v>
                </c:pt>
                <c:pt idx="70">
                  <c:v>22</c:v>
                </c:pt>
                <c:pt idx="71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F69-4890-BF6E-6DAAE3D582FC}"/>
            </c:ext>
          </c:extLst>
        </c:ser>
        <c:ser>
          <c:idx val="1"/>
          <c:order val="1"/>
          <c:tx>
            <c:strRef>
              <c:f>'[1]grafy 148 01'!$J$2</c:f>
              <c:strCache>
                <c:ptCount val="1"/>
                <c:pt idx="0">
                  <c:v>cíle</c:v>
                </c:pt>
              </c:strCache>
            </c:strRef>
          </c:tx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xVal>
            <c:numRef>
              <c:f>'[1]grafy 148 01'!$H$3:$H$74</c:f>
              <c:numCache>
                <c:formatCode>General</c:formatCode>
                <c:ptCount val="72"/>
                <c:pt idx="0">
                  <c:v>2013</c:v>
                </c:pt>
                <c:pt idx="1">
                  <c:v>2013</c:v>
                </c:pt>
                <c:pt idx="2">
                  <c:v>2013</c:v>
                </c:pt>
                <c:pt idx="3">
                  <c:v>2013</c:v>
                </c:pt>
                <c:pt idx="4">
                  <c:v>2013</c:v>
                </c:pt>
                <c:pt idx="5">
                  <c:v>2013</c:v>
                </c:pt>
                <c:pt idx="6">
                  <c:v>2013</c:v>
                </c:pt>
                <c:pt idx="7">
                  <c:v>2013</c:v>
                </c:pt>
                <c:pt idx="8">
                  <c:v>2013</c:v>
                </c:pt>
                <c:pt idx="9">
                  <c:v>2013</c:v>
                </c:pt>
                <c:pt idx="10">
                  <c:v>2013</c:v>
                </c:pt>
                <c:pt idx="11">
                  <c:v>2013</c:v>
                </c:pt>
                <c:pt idx="12">
                  <c:v>2014</c:v>
                </c:pt>
                <c:pt idx="13">
                  <c:v>2014</c:v>
                </c:pt>
                <c:pt idx="14">
                  <c:v>2014</c:v>
                </c:pt>
                <c:pt idx="15">
                  <c:v>2014</c:v>
                </c:pt>
                <c:pt idx="16">
                  <c:v>2014</c:v>
                </c:pt>
                <c:pt idx="17">
                  <c:v>2014</c:v>
                </c:pt>
                <c:pt idx="18">
                  <c:v>2014</c:v>
                </c:pt>
                <c:pt idx="19">
                  <c:v>2014</c:v>
                </c:pt>
                <c:pt idx="20">
                  <c:v>2014</c:v>
                </c:pt>
                <c:pt idx="21">
                  <c:v>2014</c:v>
                </c:pt>
                <c:pt idx="22">
                  <c:v>2014</c:v>
                </c:pt>
                <c:pt idx="23">
                  <c:v>2014</c:v>
                </c:pt>
                <c:pt idx="24">
                  <c:v>2015</c:v>
                </c:pt>
                <c:pt idx="25">
                  <c:v>2015</c:v>
                </c:pt>
                <c:pt idx="26">
                  <c:v>2015</c:v>
                </c:pt>
                <c:pt idx="27">
                  <c:v>2015</c:v>
                </c:pt>
                <c:pt idx="28">
                  <c:v>2015</c:v>
                </c:pt>
                <c:pt idx="29">
                  <c:v>2015</c:v>
                </c:pt>
                <c:pt idx="30">
                  <c:v>2015</c:v>
                </c:pt>
                <c:pt idx="31">
                  <c:v>2015</c:v>
                </c:pt>
                <c:pt idx="32">
                  <c:v>2015</c:v>
                </c:pt>
                <c:pt idx="33">
                  <c:v>2015</c:v>
                </c:pt>
                <c:pt idx="34">
                  <c:v>2015</c:v>
                </c:pt>
                <c:pt idx="35">
                  <c:v>2015</c:v>
                </c:pt>
                <c:pt idx="36">
                  <c:v>2016</c:v>
                </c:pt>
                <c:pt idx="37">
                  <c:v>2016</c:v>
                </c:pt>
                <c:pt idx="38">
                  <c:v>2016</c:v>
                </c:pt>
                <c:pt idx="39">
                  <c:v>2016</c:v>
                </c:pt>
                <c:pt idx="40">
                  <c:v>2016</c:v>
                </c:pt>
                <c:pt idx="41">
                  <c:v>2016</c:v>
                </c:pt>
                <c:pt idx="42">
                  <c:v>2016</c:v>
                </c:pt>
                <c:pt idx="43">
                  <c:v>2016</c:v>
                </c:pt>
                <c:pt idx="44">
                  <c:v>2016</c:v>
                </c:pt>
                <c:pt idx="45">
                  <c:v>2016</c:v>
                </c:pt>
                <c:pt idx="46">
                  <c:v>2016</c:v>
                </c:pt>
                <c:pt idx="47">
                  <c:v>2016</c:v>
                </c:pt>
                <c:pt idx="48">
                  <c:v>2017</c:v>
                </c:pt>
                <c:pt idx="49">
                  <c:v>2017</c:v>
                </c:pt>
                <c:pt idx="50">
                  <c:v>2017</c:v>
                </c:pt>
                <c:pt idx="51">
                  <c:v>2017</c:v>
                </c:pt>
                <c:pt idx="52">
                  <c:v>2017</c:v>
                </c:pt>
                <c:pt idx="53">
                  <c:v>2017</c:v>
                </c:pt>
                <c:pt idx="54">
                  <c:v>2017</c:v>
                </c:pt>
                <c:pt idx="55">
                  <c:v>2017</c:v>
                </c:pt>
                <c:pt idx="56">
                  <c:v>2017</c:v>
                </c:pt>
                <c:pt idx="57">
                  <c:v>2017</c:v>
                </c:pt>
                <c:pt idx="58">
                  <c:v>2017</c:v>
                </c:pt>
                <c:pt idx="59">
                  <c:v>2017</c:v>
                </c:pt>
                <c:pt idx="60">
                  <c:v>2018</c:v>
                </c:pt>
                <c:pt idx="61">
                  <c:v>2018</c:v>
                </c:pt>
                <c:pt idx="62">
                  <c:v>2018</c:v>
                </c:pt>
                <c:pt idx="63">
                  <c:v>2018</c:v>
                </c:pt>
                <c:pt idx="64">
                  <c:v>2018</c:v>
                </c:pt>
                <c:pt idx="65">
                  <c:v>2018</c:v>
                </c:pt>
                <c:pt idx="66">
                  <c:v>2018</c:v>
                </c:pt>
                <c:pt idx="67">
                  <c:v>2018</c:v>
                </c:pt>
                <c:pt idx="68">
                  <c:v>2018</c:v>
                </c:pt>
                <c:pt idx="69">
                  <c:v>2018</c:v>
                </c:pt>
                <c:pt idx="70">
                  <c:v>2018</c:v>
                </c:pt>
                <c:pt idx="71">
                  <c:v>2018</c:v>
                </c:pt>
              </c:numCache>
            </c:numRef>
          </c:xVal>
          <c:yVal>
            <c:numRef>
              <c:f>'[1]grafy 148 01'!$J$3:$J$74</c:f>
              <c:numCache>
                <c:formatCode>General</c:formatCode>
                <c:ptCount val="72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5</c:v>
                </c:pt>
                <c:pt idx="25">
                  <c:v>5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5</c:v>
                </c:pt>
                <c:pt idx="31">
                  <c:v>5</c:v>
                </c:pt>
                <c:pt idx="32">
                  <c:v>5</c:v>
                </c:pt>
                <c:pt idx="33">
                  <c:v>5</c:v>
                </c:pt>
                <c:pt idx="34">
                  <c:v>5</c:v>
                </c:pt>
                <c:pt idx="35">
                  <c:v>6</c:v>
                </c:pt>
                <c:pt idx="36">
                  <c:v>6</c:v>
                </c:pt>
                <c:pt idx="37">
                  <c:v>6</c:v>
                </c:pt>
                <c:pt idx="38">
                  <c:v>6</c:v>
                </c:pt>
                <c:pt idx="39">
                  <c:v>6</c:v>
                </c:pt>
                <c:pt idx="40">
                  <c:v>6</c:v>
                </c:pt>
                <c:pt idx="41">
                  <c:v>6</c:v>
                </c:pt>
                <c:pt idx="42">
                  <c:v>6</c:v>
                </c:pt>
                <c:pt idx="43">
                  <c:v>6</c:v>
                </c:pt>
                <c:pt idx="44">
                  <c:v>6</c:v>
                </c:pt>
                <c:pt idx="45">
                  <c:v>6</c:v>
                </c:pt>
                <c:pt idx="46">
                  <c:v>6</c:v>
                </c:pt>
                <c:pt idx="47">
                  <c:v>10</c:v>
                </c:pt>
                <c:pt idx="48">
                  <c:v>10</c:v>
                </c:pt>
                <c:pt idx="49">
                  <c:v>10</c:v>
                </c:pt>
                <c:pt idx="50">
                  <c:v>10</c:v>
                </c:pt>
                <c:pt idx="51">
                  <c:v>10</c:v>
                </c:pt>
                <c:pt idx="52">
                  <c:v>10</c:v>
                </c:pt>
                <c:pt idx="53">
                  <c:v>10</c:v>
                </c:pt>
                <c:pt idx="54">
                  <c:v>10</c:v>
                </c:pt>
                <c:pt idx="55">
                  <c:v>10</c:v>
                </c:pt>
                <c:pt idx="56">
                  <c:v>10</c:v>
                </c:pt>
                <c:pt idx="57">
                  <c:v>10</c:v>
                </c:pt>
                <c:pt idx="58">
                  <c:v>10</c:v>
                </c:pt>
                <c:pt idx="59">
                  <c:v>10</c:v>
                </c:pt>
                <c:pt idx="60">
                  <c:v>11</c:v>
                </c:pt>
                <c:pt idx="61">
                  <c:v>11</c:v>
                </c:pt>
                <c:pt idx="62">
                  <c:v>11</c:v>
                </c:pt>
                <c:pt idx="63">
                  <c:v>11</c:v>
                </c:pt>
                <c:pt idx="64">
                  <c:v>11</c:v>
                </c:pt>
                <c:pt idx="65">
                  <c:v>11</c:v>
                </c:pt>
                <c:pt idx="66">
                  <c:v>11</c:v>
                </c:pt>
                <c:pt idx="67">
                  <c:v>11</c:v>
                </c:pt>
                <c:pt idx="68">
                  <c:v>11</c:v>
                </c:pt>
                <c:pt idx="69">
                  <c:v>11</c:v>
                </c:pt>
                <c:pt idx="70">
                  <c:v>11</c:v>
                </c:pt>
                <c:pt idx="71">
                  <c:v>11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F69-4890-BF6E-6DAAE3D582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84908943"/>
        <c:axId val="1884904783"/>
      </c:scatterChart>
      <c:valAx>
        <c:axId val="1884908943"/>
        <c:scaling>
          <c:orientation val="minMax"/>
          <c:max val="2018"/>
          <c:min val="2013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900"/>
                  <a:t>rok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84904783"/>
        <c:crosses val="autoZero"/>
        <c:crossBetween val="midCat"/>
      </c:valAx>
      <c:valAx>
        <c:axId val="1884904783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900"/>
                  <a:t>počet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out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8490894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B8692-5201-4D82-ADF9-EECEFF64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CFDF39B4.dotm</Template>
  <TotalTime>2</TotalTime>
  <Pages>13</Pages>
  <Words>3617</Words>
  <Characters>21341</Characters>
  <Application>Microsoft Office Word</Application>
  <DocSecurity>4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18/35 - Majetek a peněžní prostředky státu, se kterými je příslušný hospodařit Český báňský úřad</dc:title>
  <dc:creator>Nejvyšší kontrolní úřad</dc:creator>
  <cp:lastModifiedBy>KOKRDA Daniel</cp:lastModifiedBy>
  <cp:revision>2</cp:revision>
  <cp:lastPrinted>2019-07-01T15:27:00Z</cp:lastPrinted>
  <dcterms:created xsi:type="dcterms:W3CDTF">2019-07-22T06:56:00Z</dcterms:created>
  <dcterms:modified xsi:type="dcterms:W3CDTF">2019-07-22T06:56:00Z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18/35-NKU30/472/19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30/337/18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29.5.2019</vt:lpwstr>
  </property>
  <property fmtid="{D5CDD505-2E9C-101B-9397-08002B2CF9AE}" pid="11" name="DisplayName_CJCol">
    <vt:lpwstr>18/35-NKU30/472/19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Členové Úřadu</vt:lpwstr>
  </property>
  <property fmtid="{D5CDD505-2E9C-101B-9397-08002B2CF9AE}" pid="14" name="DisplayName_UserPoriz_Pisemnost">
    <vt:lpwstr>Bc. Jana Pokorná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19-7408/NKU</vt:lpwstr>
  </property>
  <property fmtid="{D5CDD505-2E9C-101B-9397-08002B2CF9AE}" pid="17" name="Key_BarCode_Pisemnost">
    <vt:lpwstr>*B000337155*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?/?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18/35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Návrh kontrolního závěru 18/35 – do připomínek</vt:lpwstr>
  </property>
  <property fmtid="{D5CDD505-2E9C-101B-9397-08002B2CF9AE}" pid="36" name="Zkratka_SpisovyUzel_PoziceZodpo_Pisemnost">
    <vt:lpwstr>30</vt:lpwstr>
  </property>
</Properties>
</file>