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EB88F" w14:textId="77777777" w:rsidR="00E35FC6" w:rsidRPr="00E35FC6" w:rsidRDefault="00E35FC6" w:rsidP="00E35FC6">
      <w:pPr>
        <w:spacing w:after="0" w:line="240" w:lineRule="auto"/>
        <w:jc w:val="center"/>
        <w:rPr>
          <w:rFonts w:cstheme="minorHAnsi"/>
          <w:sz w:val="24"/>
          <w:szCs w:val="28"/>
        </w:rPr>
      </w:pPr>
      <w:r w:rsidRPr="00452B92">
        <w:rPr>
          <w:rFonts w:cstheme="minorHAnsi"/>
          <w:b/>
          <w:noProof/>
          <w:szCs w:val="24"/>
          <w:lang w:eastAsia="cs-CZ"/>
        </w:rPr>
        <w:drawing>
          <wp:anchor distT="0" distB="0" distL="114300" distR="114300" simplePos="0" relativeHeight="251659264" behindDoc="0" locked="0" layoutInCell="1" allowOverlap="1" wp14:anchorId="51946D2F" wp14:editId="462D888E">
            <wp:simplePos x="0" y="0"/>
            <wp:positionH relativeFrom="margin">
              <wp:posOffset>2718435</wp:posOffset>
            </wp:positionH>
            <wp:positionV relativeFrom="paragraph">
              <wp:posOffset>4445</wp:posOffset>
            </wp:positionV>
            <wp:extent cx="791210" cy="559435"/>
            <wp:effectExtent l="0" t="0" r="8890" b="0"/>
            <wp:wrapTopAndBottom/>
            <wp:docPr id="14"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29151" name="obrázek 2" descr="NKU_LOGO 1"/>
                    <pic:cNvPicPr>
                      <a:picLocks noChangeAspect="1" noChangeArrowheads="1"/>
                    </pic:cNvPicPr>
                  </pic:nvPicPr>
                  <pic:blipFill>
                    <a:blip r:embed="rId7" cstate="print"/>
                    <a:stretch>
                      <a:fillRect/>
                    </a:stretch>
                  </pic:blipFill>
                  <pic:spPr bwMode="auto">
                    <a:xfrm>
                      <a:off x="0" y="0"/>
                      <a:ext cx="791210" cy="559435"/>
                    </a:xfrm>
                    <a:prstGeom prst="rect">
                      <a:avLst/>
                    </a:prstGeom>
                    <a:noFill/>
                    <a:ln w="9525">
                      <a:noFill/>
                      <a:miter lim="800000"/>
                      <a:headEnd/>
                      <a:tailEnd/>
                    </a:ln>
                  </pic:spPr>
                </pic:pic>
              </a:graphicData>
            </a:graphic>
          </wp:anchor>
        </w:drawing>
      </w:r>
    </w:p>
    <w:p w14:paraId="4CDAF959" w14:textId="77777777" w:rsidR="00E35FC6" w:rsidRPr="00E35FC6" w:rsidRDefault="00E35FC6" w:rsidP="00E35FC6">
      <w:pPr>
        <w:spacing w:after="0" w:line="240" w:lineRule="auto"/>
        <w:jc w:val="center"/>
        <w:rPr>
          <w:rFonts w:cstheme="minorHAnsi"/>
          <w:sz w:val="24"/>
          <w:szCs w:val="28"/>
        </w:rPr>
      </w:pPr>
    </w:p>
    <w:p w14:paraId="079CBC67" w14:textId="77777777" w:rsidR="00E35FC6" w:rsidRPr="00E35FC6" w:rsidRDefault="00E35FC6" w:rsidP="00E35FC6">
      <w:pPr>
        <w:spacing w:after="0" w:line="240" w:lineRule="auto"/>
        <w:jc w:val="center"/>
        <w:rPr>
          <w:rFonts w:cstheme="minorHAnsi"/>
          <w:sz w:val="24"/>
          <w:szCs w:val="28"/>
        </w:rPr>
      </w:pPr>
    </w:p>
    <w:p w14:paraId="22F480F4" w14:textId="77777777" w:rsidR="00E35FC6" w:rsidRPr="00343079" w:rsidRDefault="00E35FC6" w:rsidP="00E35FC6">
      <w:pPr>
        <w:spacing w:after="0"/>
        <w:jc w:val="center"/>
        <w:rPr>
          <w:rFonts w:cstheme="minorHAnsi"/>
          <w:b/>
          <w:sz w:val="28"/>
          <w:szCs w:val="28"/>
        </w:rPr>
      </w:pPr>
      <w:r w:rsidRPr="00343079">
        <w:rPr>
          <w:rFonts w:cstheme="minorHAnsi"/>
          <w:b/>
          <w:sz w:val="28"/>
          <w:szCs w:val="28"/>
        </w:rPr>
        <w:t>Kontrolní závěr z kontrolní akce</w:t>
      </w:r>
    </w:p>
    <w:p w14:paraId="1903D9B3" w14:textId="77777777" w:rsidR="00E35FC6" w:rsidRDefault="00E35FC6" w:rsidP="00E35FC6">
      <w:pPr>
        <w:pStyle w:val="Zkladn"/>
        <w:spacing w:before="0"/>
        <w:jc w:val="center"/>
        <w:rPr>
          <w:rFonts w:asciiTheme="minorHAnsi" w:hAnsiTheme="minorHAnsi" w:cstheme="minorHAnsi"/>
        </w:rPr>
      </w:pPr>
    </w:p>
    <w:p w14:paraId="43C35F53" w14:textId="77777777" w:rsidR="00E35FC6" w:rsidRPr="00343079" w:rsidRDefault="00E35FC6" w:rsidP="00E35FC6">
      <w:pPr>
        <w:spacing w:after="0"/>
        <w:jc w:val="center"/>
        <w:rPr>
          <w:rFonts w:cstheme="minorHAnsi"/>
          <w:b/>
          <w:bCs/>
          <w:sz w:val="28"/>
          <w:szCs w:val="28"/>
        </w:rPr>
      </w:pPr>
      <w:r>
        <w:rPr>
          <w:rFonts w:cstheme="minorHAnsi"/>
          <w:b/>
          <w:bCs/>
          <w:sz w:val="28"/>
          <w:szCs w:val="28"/>
        </w:rPr>
        <w:t>19/05</w:t>
      </w:r>
    </w:p>
    <w:p w14:paraId="392CCEF1" w14:textId="77777777" w:rsidR="00E35FC6" w:rsidRPr="00307CBB" w:rsidRDefault="00E35FC6" w:rsidP="00E35FC6">
      <w:pPr>
        <w:pStyle w:val="Bezmezer"/>
        <w:jc w:val="center"/>
      </w:pPr>
    </w:p>
    <w:p w14:paraId="070BBA96" w14:textId="77777777" w:rsidR="00E35FC6" w:rsidRPr="005F2D32" w:rsidRDefault="00E35FC6" w:rsidP="00E35FC6">
      <w:pPr>
        <w:autoSpaceDE w:val="0"/>
        <w:autoSpaceDN w:val="0"/>
        <w:adjustRightInd w:val="0"/>
        <w:spacing w:after="0"/>
        <w:jc w:val="center"/>
        <w:rPr>
          <w:rFonts w:cs="Times New Roman"/>
          <w:b/>
          <w:i/>
          <w:sz w:val="28"/>
          <w:szCs w:val="24"/>
        </w:rPr>
      </w:pPr>
      <w:r w:rsidRPr="00307CBB">
        <w:rPr>
          <w:rFonts w:cs="Times New Roman"/>
          <w:b/>
          <w:sz w:val="28"/>
          <w:szCs w:val="24"/>
        </w:rPr>
        <w:t>Peněžní prostředky státu poskytované mezinárodním organizacím a další související výdaje</w:t>
      </w:r>
    </w:p>
    <w:p w14:paraId="6801C775" w14:textId="77777777" w:rsidR="00E35FC6" w:rsidRPr="00454050" w:rsidRDefault="00E35FC6" w:rsidP="00454050">
      <w:pPr>
        <w:autoSpaceDE w:val="0"/>
        <w:autoSpaceDN w:val="0"/>
        <w:adjustRightInd w:val="0"/>
        <w:spacing w:after="0" w:line="240" w:lineRule="auto"/>
        <w:jc w:val="both"/>
        <w:rPr>
          <w:rFonts w:cstheme="minorHAnsi"/>
          <w:sz w:val="24"/>
          <w:szCs w:val="24"/>
        </w:rPr>
      </w:pPr>
    </w:p>
    <w:p w14:paraId="274DD1D6" w14:textId="77777777" w:rsidR="00E35FC6" w:rsidRPr="00454050" w:rsidRDefault="00E35FC6" w:rsidP="00454050">
      <w:pPr>
        <w:autoSpaceDE w:val="0"/>
        <w:autoSpaceDN w:val="0"/>
        <w:adjustRightInd w:val="0"/>
        <w:spacing w:after="0" w:line="240" w:lineRule="auto"/>
        <w:jc w:val="both"/>
        <w:rPr>
          <w:rFonts w:cstheme="minorHAnsi"/>
          <w:sz w:val="24"/>
          <w:szCs w:val="24"/>
        </w:rPr>
      </w:pPr>
    </w:p>
    <w:p w14:paraId="6F77BBA8" w14:textId="77777777" w:rsidR="00E35FC6" w:rsidRDefault="00E35FC6" w:rsidP="00454050">
      <w:pPr>
        <w:pStyle w:val="Zkladn"/>
        <w:spacing w:before="0"/>
        <w:rPr>
          <w:rFonts w:asciiTheme="minorHAnsi" w:hAnsiTheme="minorHAnsi" w:cstheme="minorHAnsi"/>
        </w:rPr>
      </w:pPr>
      <w:r w:rsidRPr="00454050">
        <w:rPr>
          <w:rFonts w:asciiTheme="minorHAnsi" w:hAnsiTheme="minorHAnsi" w:cstheme="minorHAnsi"/>
        </w:rPr>
        <w:t>Kontrolní akce byla zařazena do plánu kontrolní činnosti Nejvyššího kontrolního úřadu (dále také „NKÚ“) na rok 2019 pod číslem 19/05. Kontrolní akci řídil a kontrolní závěr vypracoval člen NKÚ Ing. Josef Kubíček.</w:t>
      </w:r>
    </w:p>
    <w:p w14:paraId="5F670FB8" w14:textId="77777777" w:rsidR="00454050" w:rsidRPr="00454050" w:rsidRDefault="00454050" w:rsidP="00454050">
      <w:pPr>
        <w:pStyle w:val="Zkladn"/>
        <w:spacing w:before="0"/>
        <w:rPr>
          <w:rFonts w:asciiTheme="minorHAnsi" w:hAnsiTheme="minorHAnsi" w:cstheme="minorHAnsi"/>
        </w:rPr>
      </w:pPr>
    </w:p>
    <w:p w14:paraId="0FD2F112" w14:textId="77777777" w:rsidR="00E35FC6" w:rsidRDefault="00E35FC6" w:rsidP="00454050">
      <w:pPr>
        <w:pStyle w:val="Zkladn"/>
        <w:spacing w:before="0"/>
        <w:rPr>
          <w:rFonts w:asciiTheme="minorHAnsi" w:hAnsiTheme="minorHAnsi" w:cstheme="minorHAnsi"/>
        </w:rPr>
      </w:pPr>
      <w:r w:rsidRPr="00454050">
        <w:rPr>
          <w:rFonts w:asciiTheme="minorHAnsi" w:hAnsiTheme="minorHAnsi" w:cstheme="minorHAnsi"/>
        </w:rPr>
        <w:t>Cílem kontroly bylo prověřit účelnost prostředků státu poskytovaných mezinárodním organizacím a</w:t>
      </w:r>
      <w:r w:rsidR="00ED30AC" w:rsidRPr="00454050">
        <w:rPr>
          <w:rFonts w:asciiTheme="minorHAnsi" w:hAnsiTheme="minorHAnsi" w:cstheme="minorHAnsi"/>
        </w:rPr>
        <w:t> </w:t>
      </w:r>
      <w:r w:rsidRPr="00454050">
        <w:rPr>
          <w:rFonts w:asciiTheme="minorHAnsi" w:hAnsiTheme="minorHAnsi" w:cstheme="minorHAnsi"/>
        </w:rPr>
        <w:t>dalších souvisejících výdajů.</w:t>
      </w:r>
    </w:p>
    <w:p w14:paraId="2A76F03E" w14:textId="77777777" w:rsidR="00454050" w:rsidRPr="00454050" w:rsidRDefault="00454050" w:rsidP="00454050">
      <w:pPr>
        <w:pStyle w:val="Zkladn"/>
        <w:spacing w:before="0"/>
        <w:rPr>
          <w:rFonts w:asciiTheme="minorHAnsi" w:hAnsiTheme="minorHAnsi" w:cstheme="minorHAnsi"/>
        </w:rPr>
      </w:pPr>
    </w:p>
    <w:p w14:paraId="2FEB56E9" w14:textId="77777777" w:rsidR="00E35FC6" w:rsidRPr="00454050" w:rsidRDefault="00E35FC6" w:rsidP="00454050">
      <w:pPr>
        <w:pStyle w:val="Zkladn"/>
        <w:spacing w:before="0"/>
        <w:rPr>
          <w:rFonts w:asciiTheme="minorHAnsi" w:hAnsiTheme="minorHAnsi" w:cstheme="minorHAnsi"/>
          <w:b/>
        </w:rPr>
      </w:pPr>
      <w:r w:rsidRPr="00454050">
        <w:rPr>
          <w:rFonts w:asciiTheme="minorHAnsi" w:hAnsiTheme="minorHAnsi" w:cstheme="minorHAnsi"/>
          <w:b/>
        </w:rPr>
        <w:t>Kontrolované osoby:</w:t>
      </w:r>
    </w:p>
    <w:p w14:paraId="7272010F" w14:textId="77777777" w:rsidR="00E35FC6" w:rsidRPr="00454050" w:rsidRDefault="00E35FC6" w:rsidP="00454050">
      <w:pPr>
        <w:pStyle w:val="Zkladn"/>
        <w:spacing w:before="0"/>
        <w:rPr>
          <w:rFonts w:asciiTheme="minorHAnsi" w:hAnsiTheme="minorHAnsi" w:cstheme="minorHAnsi"/>
        </w:rPr>
      </w:pPr>
      <w:r w:rsidRPr="00454050">
        <w:rPr>
          <w:rFonts w:asciiTheme="minorHAnsi" w:hAnsiTheme="minorHAnsi" w:cstheme="minorHAnsi"/>
        </w:rPr>
        <w:t>Ministerstvo zahraničních věcí (dále také „MZV“),</w:t>
      </w:r>
    </w:p>
    <w:p w14:paraId="1A9F832E" w14:textId="77777777" w:rsidR="00E35FC6" w:rsidRPr="00454050" w:rsidRDefault="00E35FC6" w:rsidP="00454050">
      <w:pPr>
        <w:spacing w:after="0" w:line="240" w:lineRule="auto"/>
        <w:rPr>
          <w:rFonts w:cstheme="minorHAnsi"/>
          <w:sz w:val="24"/>
          <w:szCs w:val="24"/>
        </w:rPr>
      </w:pPr>
      <w:r w:rsidRPr="00454050">
        <w:rPr>
          <w:rFonts w:cstheme="minorHAnsi"/>
          <w:sz w:val="24"/>
          <w:szCs w:val="24"/>
        </w:rPr>
        <w:t>Ministerstvo školství, mládeže a tělovýchovy (dále také „MŠMT“).</w:t>
      </w:r>
    </w:p>
    <w:p w14:paraId="74783062" w14:textId="77777777" w:rsidR="00454050" w:rsidRDefault="00454050" w:rsidP="00454050">
      <w:pPr>
        <w:spacing w:after="0" w:line="240" w:lineRule="auto"/>
        <w:rPr>
          <w:rFonts w:eastAsia="Times New Roman" w:cstheme="minorHAnsi"/>
          <w:sz w:val="24"/>
          <w:szCs w:val="24"/>
        </w:rPr>
      </w:pPr>
    </w:p>
    <w:p w14:paraId="41E5140A" w14:textId="77777777" w:rsidR="00E35FC6" w:rsidRDefault="00E35FC6" w:rsidP="00454050">
      <w:pPr>
        <w:spacing w:after="0" w:line="240" w:lineRule="auto"/>
        <w:rPr>
          <w:rFonts w:eastAsia="Times New Roman" w:cstheme="minorHAnsi"/>
          <w:sz w:val="24"/>
          <w:szCs w:val="24"/>
        </w:rPr>
      </w:pPr>
      <w:r w:rsidRPr="00454050">
        <w:rPr>
          <w:rFonts w:eastAsia="Times New Roman" w:cstheme="minorHAnsi"/>
          <w:sz w:val="24"/>
          <w:szCs w:val="24"/>
        </w:rPr>
        <w:t>Kontrola byla prováděna u kontrolovaných osob v období od března 2019 do října 2019.</w:t>
      </w:r>
    </w:p>
    <w:p w14:paraId="0C3EA7F7" w14:textId="77777777" w:rsidR="00454050" w:rsidRPr="00454050" w:rsidRDefault="00454050" w:rsidP="00454050">
      <w:pPr>
        <w:spacing w:after="0" w:line="240" w:lineRule="auto"/>
        <w:rPr>
          <w:rFonts w:eastAsia="Times New Roman" w:cstheme="minorHAnsi"/>
          <w:sz w:val="24"/>
          <w:szCs w:val="24"/>
        </w:rPr>
      </w:pPr>
    </w:p>
    <w:p w14:paraId="5ABE6A86" w14:textId="77777777" w:rsidR="00E35FC6" w:rsidRPr="00454050" w:rsidRDefault="00E35FC6" w:rsidP="00454050">
      <w:pPr>
        <w:spacing w:after="0" w:line="240" w:lineRule="auto"/>
        <w:rPr>
          <w:rFonts w:cstheme="minorHAnsi"/>
          <w:sz w:val="24"/>
          <w:szCs w:val="24"/>
        </w:rPr>
      </w:pPr>
      <w:r w:rsidRPr="00454050">
        <w:rPr>
          <w:rFonts w:cstheme="minorHAnsi"/>
          <w:b/>
          <w:sz w:val="24"/>
          <w:szCs w:val="24"/>
        </w:rPr>
        <w:t>Kontrolováno bylo období</w:t>
      </w:r>
      <w:r w:rsidRPr="00454050">
        <w:rPr>
          <w:rFonts w:cstheme="minorHAnsi"/>
          <w:sz w:val="24"/>
          <w:szCs w:val="24"/>
        </w:rPr>
        <w:t xml:space="preserve"> let 2014 až 2018, </w:t>
      </w:r>
      <w:r w:rsidRPr="00454050">
        <w:rPr>
          <w:rFonts w:cstheme="minorHAnsi"/>
          <w:bCs/>
          <w:sz w:val="24"/>
          <w:szCs w:val="24"/>
        </w:rPr>
        <w:t>v případě věcných souvislostí i období předcházející a období do ukončení kontroly.</w:t>
      </w:r>
    </w:p>
    <w:p w14:paraId="56096E92" w14:textId="77777777" w:rsidR="00E35FC6" w:rsidRPr="00454050" w:rsidRDefault="00E35FC6" w:rsidP="00454050">
      <w:pPr>
        <w:spacing w:after="0" w:line="240" w:lineRule="auto"/>
        <w:ind w:right="68"/>
        <w:rPr>
          <w:rFonts w:cstheme="minorHAnsi"/>
          <w:bCs/>
          <w:iCs/>
          <w:sz w:val="24"/>
          <w:szCs w:val="24"/>
        </w:rPr>
      </w:pPr>
    </w:p>
    <w:p w14:paraId="42E3B35A" w14:textId="77777777" w:rsidR="00E35FC6" w:rsidRPr="00454050" w:rsidRDefault="00E35FC6" w:rsidP="00454050">
      <w:pPr>
        <w:spacing w:after="0" w:line="240" w:lineRule="auto"/>
        <w:ind w:right="68"/>
        <w:rPr>
          <w:rFonts w:cstheme="minorHAnsi"/>
          <w:bCs/>
          <w:iCs/>
          <w:sz w:val="24"/>
          <w:szCs w:val="24"/>
        </w:rPr>
      </w:pPr>
    </w:p>
    <w:p w14:paraId="34645525" w14:textId="722C1950" w:rsidR="00E35FC6" w:rsidRPr="00F364BD" w:rsidRDefault="00E35FC6" w:rsidP="00E35FC6">
      <w:pPr>
        <w:spacing w:before="120"/>
        <w:ind w:right="70"/>
        <w:rPr>
          <w:rFonts w:cstheme="minorHAnsi"/>
          <w:szCs w:val="24"/>
        </w:rPr>
      </w:pPr>
      <w:r w:rsidRPr="00F364BD">
        <w:rPr>
          <w:rFonts w:cstheme="minorHAnsi"/>
          <w:b/>
          <w:bCs/>
          <w:i/>
          <w:iCs/>
          <w:szCs w:val="24"/>
        </w:rPr>
        <w:t>K o l e g i u m</w:t>
      </w:r>
      <w:r>
        <w:rPr>
          <w:rFonts w:cstheme="minorHAnsi"/>
          <w:b/>
          <w:bCs/>
          <w:i/>
          <w:iCs/>
          <w:szCs w:val="24"/>
        </w:rPr>
        <w:t xml:space="preserve"> </w:t>
      </w:r>
      <w:r w:rsidR="003C7F93">
        <w:rPr>
          <w:rFonts w:cstheme="minorHAnsi"/>
          <w:b/>
          <w:bCs/>
          <w:i/>
          <w:iCs/>
          <w:szCs w:val="24"/>
        </w:rPr>
        <w:t xml:space="preserve"> </w:t>
      </w:r>
      <w:r w:rsidRPr="00F364BD">
        <w:rPr>
          <w:rFonts w:cstheme="minorHAnsi"/>
          <w:b/>
          <w:bCs/>
          <w:i/>
          <w:iCs/>
          <w:szCs w:val="24"/>
        </w:rPr>
        <w:t xml:space="preserve"> N K Ú</w:t>
      </w:r>
      <w:r>
        <w:rPr>
          <w:rFonts w:cstheme="minorHAnsi"/>
          <w:b/>
          <w:bCs/>
          <w:iCs/>
          <w:szCs w:val="24"/>
        </w:rPr>
        <w:t xml:space="preserve"> </w:t>
      </w:r>
      <w:r w:rsidR="003C7F93">
        <w:rPr>
          <w:rFonts w:cstheme="minorHAnsi"/>
          <w:b/>
          <w:bCs/>
          <w:iCs/>
          <w:szCs w:val="24"/>
        </w:rPr>
        <w:t xml:space="preserve"> </w:t>
      </w:r>
      <w:r w:rsidRPr="00F364BD">
        <w:rPr>
          <w:rFonts w:cstheme="minorHAnsi"/>
          <w:b/>
          <w:bCs/>
          <w:iCs/>
          <w:szCs w:val="24"/>
        </w:rPr>
        <w:t xml:space="preserve"> </w:t>
      </w:r>
      <w:r w:rsidRPr="00F364BD">
        <w:rPr>
          <w:rFonts w:cstheme="minorHAnsi"/>
          <w:szCs w:val="24"/>
        </w:rPr>
        <w:t xml:space="preserve">na svém </w:t>
      </w:r>
      <w:r>
        <w:rPr>
          <w:rFonts w:cstheme="minorHAnsi"/>
          <w:szCs w:val="24"/>
        </w:rPr>
        <w:t>VII.</w:t>
      </w:r>
      <w:r w:rsidRPr="00F364BD">
        <w:rPr>
          <w:rFonts w:cstheme="minorHAnsi"/>
          <w:szCs w:val="24"/>
        </w:rPr>
        <w:t xml:space="preserve"> jednání, které se konalo dne </w:t>
      </w:r>
      <w:r>
        <w:rPr>
          <w:rFonts w:cstheme="minorHAnsi"/>
          <w:szCs w:val="24"/>
        </w:rPr>
        <w:t>27.</w:t>
      </w:r>
      <w:r w:rsidR="004D1573">
        <w:rPr>
          <w:rFonts w:cstheme="minorHAnsi"/>
          <w:szCs w:val="24"/>
        </w:rPr>
        <w:t> </w:t>
      </w:r>
      <w:r>
        <w:rPr>
          <w:rFonts w:cstheme="minorHAnsi"/>
          <w:szCs w:val="24"/>
        </w:rPr>
        <w:t>dubna 2020</w:t>
      </w:r>
      <w:r w:rsidRPr="00F364BD">
        <w:rPr>
          <w:rFonts w:cstheme="minorHAnsi"/>
          <w:szCs w:val="24"/>
        </w:rPr>
        <w:t>,</w:t>
      </w:r>
    </w:p>
    <w:p w14:paraId="082330EE" w14:textId="77777777" w:rsidR="00E35FC6" w:rsidRPr="00513864" w:rsidRDefault="00E35FC6" w:rsidP="00E35FC6">
      <w:pPr>
        <w:spacing w:before="120"/>
        <w:ind w:right="68"/>
        <w:rPr>
          <w:rFonts w:cstheme="minorHAnsi"/>
          <w:szCs w:val="24"/>
        </w:rPr>
      </w:pPr>
      <w:proofErr w:type="gramStart"/>
      <w:r w:rsidRPr="00F364BD">
        <w:rPr>
          <w:rFonts w:cstheme="minorHAnsi"/>
          <w:b/>
          <w:bCs/>
          <w:i/>
          <w:iCs/>
          <w:szCs w:val="24"/>
        </w:rPr>
        <w:t>s c h v á l i l o</w:t>
      </w:r>
      <w:r>
        <w:rPr>
          <w:rFonts w:cstheme="minorHAnsi"/>
          <w:b/>
          <w:bCs/>
          <w:iCs/>
          <w:szCs w:val="24"/>
        </w:rPr>
        <w:t xml:space="preserve"> </w:t>
      </w:r>
      <w:r w:rsidR="003C7F93">
        <w:rPr>
          <w:rFonts w:cstheme="minorHAnsi"/>
          <w:b/>
          <w:bCs/>
          <w:iCs/>
          <w:szCs w:val="24"/>
        </w:rPr>
        <w:t xml:space="preserve"> </w:t>
      </w:r>
      <w:r w:rsidRPr="00F364BD">
        <w:rPr>
          <w:rFonts w:cstheme="minorHAnsi"/>
          <w:b/>
          <w:bCs/>
          <w:iCs/>
          <w:szCs w:val="24"/>
        </w:rPr>
        <w:t xml:space="preserve"> </w:t>
      </w:r>
      <w:r>
        <w:rPr>
          <w:rFonts w:cstheme="minorHAnsi"/>
          <w:szCs w:val="24"/>
        </w:rPr>
        <w:t>usnesením č.</w:t>
      </w:r>
      <w:proofErr w:type="gramEnd"/>
      <w:r>
        <w:rPr>
          <w:rFonts w:cstheme="minorHAnsi"/>
          <w:szCs w:val="24"/>
        </w:rPr>
        <w:t xml:space="preserve"> 6/VII/2020</w:t>
      </w:r>
    </w:p>
    <w:p w14:paraId="4918CEB0" w14:textId="77777777" w:rsidR="00E35FC6" w:rsidRDefault="00E35FC6" w:rsidP="00E35FC6">
      <w:pPr>
        <w:spacing w:before="120"/>
        <w:ind w:right="70"/>
        <w:rPr>
          <w:rFonts w:cstheme="minorHAnsi"/>
          <w:szCs w:val="24"/>
        </w:rPr>
      </w:pPr>
      <w:r w:rsidRPr="00513864">
        <w:rPr>
          <w:rFonts w:cstheme="minorHAnsi"/>
          <w:b/>
          <w:bCs/>
          <w:i/>
          <w:iCs/>
          <w:szCs w:val="24"/>
        </w:rPr>
        <w:t>k o n t r o l n í</w:t>
      </w:r>
      <w:r>
        <w:rPr>
          <w:rFonts w:cstheme="minorHAnsi"/>
          <w:b/>
          <w:bCs/>
          <w:i/>
          <w:iCs/>
          <w:szCs w:val="24"/>
        </w:rPr>
        <w:t xml:space="preserve"> </w:t>
      </w:r>
      <w:r w:rsidR="003C7F93">
        <w:rPr>
          <w:rFonts w:cstheme="minorHAnsi"/>
          <w:b/>
          <w:bCs/>
          <w:i/>
          <w:iCs/>
          <w:szCs w:val="24"/>
        </w:rPr>
        <w:t xml:space="preserve"> </w:t>
      </w:r>
      <w:r w:rsidRPr="00513864">
        <w:rPr>
          <w:rFonts w:cstheme="minorHAnsi"/>
          <w:b/>
          <w:bCs/>
          <w:i/>
          <w:iCs/>
          <w:szCs w:val="24"/>
        </w:rPr>
        <w:t xml:space="preserve"> z á v ě r</w:t>
      </w:r>
      <w:r>
        <w:rPr>
          <w:rFonts w:cstheme="minorHAnsi"/>
          <w:b/>
          <w:szCs w:val="24"/>
        </w:rPr>
        <w:t xml:space="preserve"> </w:t>
      </w:r>
      <w:r w:rsidR="003C7F93">
        <w:rPr>
          <w:rFonts w:cstheme="minorHAnsi"/>
          <w:b/>
          <w:szCs w:val="24"/>
        </w:rPr>
        <w:t xml:space="preserve"> </w:t>
      </w:r>
      <w:r w:rsidRPr="00513864">
        <w:rPr>
          <w:rFonts w:cstheme="minorHAnsi"/>
          <w:b/>
          <w:szCs w:val="24"/>
        </w:rPr>
        <w:t xml:space="preserve"> </w:t>
      </w:r>
      <w:r w:rsidRPr="00513864">
        <w:rPr>
          <w:rFonts w:cstheme="minorHAnsi"/>
          <w:szCs w:val="24"/>
        </w:rPr>
        <w:t>v tomto znění:</w:t>
      </w:r>
      <w:r w:rsidRPr="00517A9E">
        <w:rPr>
          <w:rFonts w:cstheme="minorHAnsi"/>
          <w:szCs w:val="24"/>
        </w:rPr>
        <w:t xml:space="preserve"> </w:t>
      </w:r>
    </w:p>
    <w:p w14:paraId="57BE0091" w14:textId="77777777" w:rsidR="00E35FC6" w:rsidRDefault="00E35FC6" w:rsidP="00E35FC6">
      <w:pPr>
        <w:rPr>
          <w:rFonts w:cstheme="minorHAnsi"/>
          <w:szCs w:val="24"/>
        </w:rPr>
      </w:pPr>
      <w:r>
        <w:rPr>
          <w:rFonts w:cstheme="minorHAnsi"/>
          <w:szCs w:val="24"/>
        </w:rPr>
        <w:br w:type="page"/>
      </w:r>
    </w:p>
    <w:p w14:paraId="2F289138" w14:textId="77777777" w:rsidR="00E35FC6" w:rsidRPr="004C3F7D" w:rsidRDefault="00E35FC6" w:rsidP="00E35FC6">
      <w:pPr>
        <w:pStyle w:val="Nadpis1"/>
        <w:numPr>
          <w:ilvl w:val="0"/>
          <w:numId w:val="0"/>
        </w:numPr>
        <w:spacing w:before="240" w:after="240"/>
        <w:rPr>
          <w:color w:val="auto"/>
          <w:sz w:val="32"/>
          <w:szCs w:val="40"/>
        </w:rPr>
      </w:pPr>
      <w:r w:rsidRPr="004C3F7D">
        <w:rPr>
          <w:color w:val="auto"/>
          <w:sz w:val="32"/>
          <w:szCs w:val="40"/>
        </w:rPr>
        <w:lastRenderedPageBreak/>
        <w:t>Prostředky poskytované mezinárodním organizacím</w:t>
      </w:r>
      <w:r w:rsidRPr="004C3F7D">
        <w:rPr>
          <w:rStyle w:val="Znakapoznpodarou"/>
          <w:color w:val="auto"/>
          <w:sz w:val="32"/>
          <w:szCs w:val="40"/>
        </w:rPr>
        <w:footnoteReference w:id="1"/>
      </w:r>
      <w:r w:rsidRPr="004C3F7D">
        <w:rPr>
          <w:color w:val="auto"/>
          <w:sz w:val="32"/>
          <w:szCs w:val="40"/>
        </w:rPr>
        <w:t xml:space="preserve"> v roce 2018</w:t>
      </w:r>
    </w:p>
    <w:tbl>
      <w:tblPr>
        <w:tblStyle w:val="Mkatabul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70" w:type="dxa"/>
          <w:bottom w:w="113" w:type="dxa"/>
          <w:right w:w="170" w:type="dxa"/>
        </w:tblCellMar>
        <w:tblLook w:val="04A0" w:firstRow="1" w:lastRow="0" w:firstColumn="1" w:lastColumn="0" w:noHBand="0" w:noVBand="1"/>
      </w:tblPr>
      <w:tblGrid>
        <w:gridCol w:w="3020"/>
        <w:gridCol w:w="3021"/>
        <w:gridCol w:w="3021"/>
      </w:tblGrid>
      <w:tr w:rsidR="00E35FC6" w:rsidRPr="00F364BD" w14:paraId="43B8A5DD" w14:textId="77777777" w:rsidTr="00C01ACE">
        <w:trPr>
          <w:trHeight w:val="1318"/>
        </w:trPr>
        <w:tc>
          <w:tcPr>
            <w:tcW w:w="3020" w:type="dxa"/>
          </w:tcPr>
          <w:p w14:paraId="4257E351" w14:textId="77777777" w:rsidR="00E35FC6" w:rsidRPr="00385FA9" w:rsidRDefault="00E35FC6" w:rsidP="00ED30AC">
            <w:pPr>
              <w:spacing w:after="40"/>
              <w:jc w:val="center"/>
              <w:rPr>
                <w:rStyle w:val="A5"/>
                <w:rFonts w:cs="Calibri"/>
              </w:rPr>
            </w:pPr>
            <w:r w:rsidRPr="00385FA9">
              <w:rPr>
                <w:rStyle w:val="A5"/>
                <w:rFonts w:cs="Calibri"/>
              </w:rPr>
              <w:t>477</w:t>
            </w:r>
          </w:p>
          <w:p w14:paraId="40B86953" w14:textId="77777777" w:rsidR="00E35FC6" w:rsidRPr="00385FA9" w:rsidRDefault="00E35FC6" w:rsidP="00ED30AC">
            <w:pPr>
              <w:spacing w:after="40"/>
              <w:jc w:val="center"/>
              <w:rPr>
                <w:rFonts w:cs="Calibri"/>
                <w:sz w:val="20"/>
                <w:szCs w:val="20"/>
              </w:rPr>
            </w:pPr>
            <w:r w:rsidRPr="00385FA9">
              <w:rPr>
                <w:rFonts w:cs="Calibri"/>
                <w:b/>
                <w:sz w:val="20"/>
                <w:szCs w:val="20"/>
              </w:rPr>
              <w:t>počet</w:t>
            </w:r>
            <w:r w:rsidRPr="00385FA9">
              <w:rPr>
                <w:rFonts w:cs="Calibri"/>
                <w:sz w:val="20"/>
                <w:szCs w:val="20"/>
              </w:rPr>
              <w:t xml:space="preserve"> MEO </w:t>
            </w:r>
          </w:p>
          <w:p w14:paraId="7DAD7941" w14:textId="77777777" w:rsidR="00E35FC6" w:rsidRPr="00385FA9" w:rsidRDefault="00E35FC6" w:rsidP="00ED30AC">
            <w:pPr>
              <w:spacing w:after="40"/>
              <w:jc w:val="center"/>
              <w:rPr>
                <w:rFonts w:cs="Calibri"/>
                <w:b/>
                <w:bCs/>
                <w:color w:val="000000"/>
                <w:sz w:val="40"/>
                <w:szCs w:val="40"/>
              </w:rPr>
            </w:pPr>
            <w:r w:rsidRPr="00385FA9">
              <w:rPr>
                <w:rFonts w:cs="Calibri"/>
                <w:sz w:val="20"/>
                <w:szCs w:val="20"/>
              </w:rPr>
              <w:t>(469 v roce 2011)</w:t>
            </w:r>
          </w:p>
        </w:tc>
        <w:tc>
          <w:tcPr>
            <w:tcW w:w="3021" w:type="dxa"/>
          </w:tcPr>
          <w:p w14:paraId="0311A63B" w14:textId="77777777" w:rsidR="00E35FC6" w:rsidRPr="00385FA9" w:rsidRDefault="00E35FC6" w:rsidP="00ED30AC">
            <w:pPr>
              <w:spacing w:after="40"/>
              <w:jc w:val="center"/>
              <w:rPr>
                <w:rStyle w:val="A5"/>
                <w:rFonts w:cs="Calibri"/>
              </w:rPr>
            </w:pPr>
            <w:r w:rsidRPr="00385FA9">
              <w:rPr>
                <w:rStyle w:val="A5"/>
                <w:rFonts w:cs="Calibri"/>
              </w:rPr>
              <w:t>2,98 mld. Kč</w:t>
            </w:r>
          </w:p>
          <w:p w14:paraId="5722E366" w14:textId="77777777" w:rsidR="00E35FC6" w:rsidRPr="00385FA9" w:rsidRDefault="00E35FC6" w:rsidP="00ED30AC">
            <w:pPr>
              <w:spacing w:after="40"/>
              <w:jc w:val="center"/>
              <w:rPr>
                <w:rFonts w:cs="Calibri"/>
                <w:sz w:val="20"/>
                <w:szCs w:val="20"/>
              </w:rPr>
            </w:pPr>
            <w:r w:rsidRPr="00385FA9">
              <w:rPr>
                <w:rFonts w:cs="Calibri"/>
                <w:b/>
                <w:sz w:val="20"/>
                <w:szCs w:val="20"/>
              </w:rPr>
              <w:t xml:space="preserve">povinné příspěvky </w:t>
            </w:r>
            <w:r w:rsidRPr="00385FA9">
              <w:rPr>
                <w:rFonts w:cs="Calibri"/>
                <w:sz w:val="20"/>
                <w:szCs w:val="20"/>
              </w:rPr>
              <w:t xml:space="preserve">ČR </w:t>
            </w:r>
          </w:p>
          <w:p w14:paraId="707AA236" w14:textId="77777777" w:rsidR="00E35FC6" w:rsidRPr="00385FA9" w:rsidRDefault="00E35FC6" w:rsidP="00ED30AC">
            <w:pPr>
              <w:spacing w:after="40"/>
              <w:jc w:val="center"/>
              <w:rPr>
                <w:rFonts w:cs="Calibri"/>
                <w:b/>
                <w:bCs/>
                <w:color w:val="000000"/>
                <w:sz w:val="40"/>
                <w:szCs w:val="40"/>
              </w:rPr>
            </w:pPr>
            <w:r w:rsidRPr="00385FA9">
              <w:rPr>
                <w:rFonts w:cs="Calibri"/>
                <w:sz w:val="20"/>
                <w:szCs w:val="20"/>
              </w:rPr>
              <w:t>(2,606 mld. Kč v roce 2011)</w:t>
            </w:r>
          </w:p>
        </w:tc>
        <w:tc>
          <w:tcPr>
            <w:tcW w:w="3021" w:type="dxa"/>
          </w:tcPr>
          <w:p w14:paraId="2BADE083" w14:textId="77777777" w:rsidR="00E35FC6" w:rsidRPr="00385FA9" w:rsidRDefault="00E35FC6" w:rsidP="00ED30AC">
            <w:pPr>
              <w:spacing w:after="40"/>
              <w:jc w:val="center"/>
              <w:rPr>
                <w:rStyle w:val="A5"/>
                <w:rFonts w:cs="Calibri"/>
              </w:rPr>
            </w:pPr>
            <w:r w:rsidRPr="00385FA9">
              <w:rPr>
                <w:rStyle w:val="A5"/>
                <w:rFonts w:cs="Calibri"/>
              </w:rPr>
              <w:t>1,46 mld. Kč</w:t>
            </w:r>
          </w:p>
          <w:p w14:paraId="488AD4D6" w14:textId="77777777" w:rsidR="00E35FC6" w:rsidRPr="00385FA9" w:rsidRDefault="00E35FC6" w:rsidP="00ED30AC">
            <w:pPr>
              <w:spacing w:after="40"/>
              <w:jc w:val="center"/>
              <w:rPr>
                <w:rFonts w:cs="Calibri"/>
                <w:sz w:val="20"/>
                <w:szCs w:val="20"/>
              </w:rPr>
            </w:pPr>
            <w:r w:rsidRPr="00385FA9">
              <w:rPr>
                <w:rFonts w:cs="Calibri"/>
                <w:b/>
                <w:sz w:val="20"/>
                <w:szCs w:val="20"/>
              </w:rPr>
              <w:t xml:space="preserve">další příspěvky </w:t>
            </w:r>
            <w:r w:rsidRPr="00385FA9">
              <w:rPr>
                <w:rFonts w:cs="Calibri"/>
                <w:sz w:val="20"/>
                <w:szCs w:val="20"/>
              </w:rPr>
              <w:t xml:space="preserve">ČR </w:t>
            </w:r>
          </w:p>
          <w:p w14:paraId="1113E804" w14:textId="77777777" w:rsidR="00E35FC6" w:rsidRPr="00385FA9" w:rsidRDefault="00E35FC6" w:rsidP="00ED30AC">
            <w:pPr>
              <w:spacing w:after="40"/>
              <w:jc w:val="center"/>
              <w:rPr>
                <w:rFonts w:cs="Calibri"/>
                <w:b/>
                <w:bCs/>
                <w:color w:val="000000"/>
                <w:sz w:val="40"/>
                <w:szCs w:val="40"/>
              </w:rPr>
            </w:pPr>
            <w:r w:rsidRPr="00385FA9">
              <w:rPr>
                <w:rFonts w:cs="Calibri"/>
                <w:sz w:val="20"/>
                <w:szCs w:val="20"/>
              </w:rPr>
              <w:t>(0,774 mld. Kč v roce 2011)</w:t>
            </w:r>
          </w:p>
        </w:tc>
      </w:tr>
      <w:tr w:rsidR="00E35FC6" w:rsidRPr="00F364BD" w14:paraId="5FE7B19F" w14:textId="77777777" w:rsidTr="00C01ACE">
        <w:trPr>
          <w:trHeight w:val="1318"/>
        </w:trPr>
        <w:tc>
          <w:tcPr>
            <w:tcW w:w="3020" w:type="dxa"/>
          </w:tcPr>
          <w:p w14:paraId="1DBFE2E8" w14:textId="77777777" w:rsidR="00E35FC6" w:rsidRPr="00F364BD" w:rsidRDefault="00E35FC6" w:rsidP="00ED30AC">
            <w:pPr>
              <w:spacing w:after="120"/>
              <w:jc w:val="center"/>
              <w:rPr>
                <w:b/>
                <w:bCs/>
                <w:color w:val="000000"/>
                <w:sz w:val="40"/>
                <w:szCs w:val="40"/>
              </w:rPr>
            </w:pPr>
            <w:r w:rsidRPr="00F364BD">
              <w:rPr>
                <w:b/>
                <w:bCs/>
                <w:color w:val="000000"/>
                <w:sz w:val="40"/>
                <w:szCs w:val="40"/>
              </w:rPr>
              <w:t>21</w:t>
            </w:r>
          </w:p>
          <w:p w14:paraId="6570AD07" w14:textId="77777777" w:rsidR="00E35FC6" w:rsidRPr="00385FA9" w:rsidRDefault="00E35FC6" w:rsidP="00ED30AC">
            <w:pPr>
              <w:spacing w:after="120"/>
              <w:jc w:val="center"/>
              <w:rPr>
                <w:rFonts w:cs="Calibri"/>
                <w:b/>
                <w:sz w:val="20"/>
                <w:szCs w:val="20"/>
              </w:rPr>
            </w:pPr>
            <w:r w:rsidRPr="00385FA9">
              <w:rPr>
                <w:rFonts w:cs="Calibri"/>
                <w:b/>
                <w:sz w:val="20"/>
                <w:szCs w:val="20"/>
              </w:rPr>
              <w:t>počet MEO zásadního zahraničněpolitického významu</w:t>
            </w:r>
          </w:p>
          <w:p w14:paraId="2EAAE213" w14:textId="77777777" w:rsidR="00E35FC6" w:rsidRPr="00F364BD" w:rsidRDefault="00E35FC6" w:rsidP="00ED30AC">
            <w:pPr>
              <w:spacing w:after="120"/>
              <w:jc w:val="center"/>
              <w:rPr>
                <w:rFonts w:ascii="Calibri Light" w:hAnsi="Calibri Light" w:cs="Calibri Light"/>
                <w:color w:val="000000"/>
                <w:sz w:val="28"/>
                <w:szCs w:val="28"/>
              </w:rPr>
            </w:pPr>
            <w:r w:rsidRPr="00385FA9">
              <w:rPr>
                <w:rFonts w:cs="Calibri"/>
                <w:sz w:val="20"/>
                <w:szCs w:val="20"/>
              </w:rPr>
              <w:t>povinné příspěvky 0,976 mld. Kč</w:t>
            </w:r>
          </w:p>
        </w:tc>
        <w:tc>
          <w:tcPr>
            <w:tcW w:w="3021" w:type="dxa"/>
            <w:hideMark/>
          </w:tcPr>
          <w:p w14:paraId="6CAFC865" w14:textId="77777777" w:rsidR="00E35FC6" w:rsidRPr="00F364BD" w:rsidRDefault="00E35FC6" w:rsidP="00ED30AC">
            <w:pPr>
              <w:spacing w:after="120"/>
              <w:jc w:val="center"/>
              <w:rPr>
                <w:b/>
                <w:bCs/>
                <w:color w:val="000000"/>
                <w:sz w:val="40"/>
                <w:szCs w:val="40"/>
              </w:rPr>
            </w:pPr>
            <w:r w:rsidRPr="00F364BD">
              <w:rPr>
                <w:b/>
                <w:bCs/>
                <w:color w:val="000000"/>
                <w:sz w:val="40"/>
                <w:szCs w:val="40"/>
              </w:rPr>
              <w:t>233</w:t>
            </w:r>
          </w:p>
          <w:p w14:paraId="2EA7AE33" w14:textId="77777777" w:rsidR="00E35FC6" w:rsidRPr="00385FA9" w:rsidRDefault="00E35FC6" w:rsidP="00ED30AC">
            <w:pPr>
              <w:spacing w:after="120"/>
              <w:jc w:val="center"/>
              <w:rPr>
                <w:rFonts w:cs="Calibri"/>
                <w:sz w:val="20"/>
                <w:szCs w:val="20"/>
              </w:rPr>
            </w:pPr>
            <w:r w:rsidRPr="00385FA9">
              <w:rPr>
                <w:rFonts w:cs="Calibri"/>
                <w:b/>
                <w:sz w:val="20"/>
                <w:szCs w:val="20"/>
              </w:rPr>
              <w:t xml:space="preserve">počet MEO, u kterých gestoři vyhodnotili přínos spolupráce </w:t>
            </w:r>
          </w:p>
          <w:p w14:paraId="71D29664" w14:textId="77777777" w:rsidR="00E35FC6" w:rsidRPr="00F364BD" w:rsidRDefault="00E35FC6" w:rsidP="00ED30AC">
            <w:pPr>
              <w:spacing w:after="120"/>
              <w:jc w:val="center"/>
              <w:rPr>
                <w:color w:val="000000"/>
                <w:sz w:val="20"/>
                <w:szCs w:val="20"/>
              </w:rPr>
            </w:pPr>
            <w:r w:rsidRPr="00385FA9">
              <w:rPr>
                <w:rFonts w:cs="Calibri"/>
                <w:sz w:val="20"/>
                <w:szCs w:val="20"/>
              </w:rPr>
              <w:t>povinné příspěvky 2,134 mld. Kč</w:t>
            </w:r>
          </w:p>
        </w:tc>
        <w:tc>
          <w:tcPr>
            <w:tcW w:w="3021" w:type="dxa"/>
          </w:tcPr>
          <w:p w14:paraId="36E07F8D" w14:textId="77777777" w:rsidR="00E35FC6" w:rsidRPr="00385FA9" w:rsidRDefault="00E35FC6" w:rsidP="00ED30AC">
            <w:pPr>
              <w:spacing w:after="120"/>
              <w:jc w:val="center"/>
              <w:rPr>
                <w:rFonts w:cs="Calibri"/>
                <w:b/>
                <w:bCs/>
                <w:color w:val="000000"/>
                <w:sz w:val="40"/>
                <w:szCs w:val="40"/>
              </w:rPr>
            </w:pPr>
            <w:r w:rsidRPr="00385FA9">
              <w:rPr>
                <w:rFonts w:cs="Calibri"/>
                <w:b/>
                <w:bCs/>
                <w:color w:val="000000"/>
                <w:sz w:val="40"/>
                <w:szCs w:val="40"/>
              </w:rPr>
              <w:t>244</w:t>
            </w:r>
          </w:p>
          <w:p w14:paraId="5D8A1C90" w14:textId="77777777" w:rsidR="00E35FC6" w:rsidRPr="00385FA9" w:rsidRDefault="00E35FC6" w:rsidP="00ED30AC">
            <w:pPr>
              <w:spacing w:after="120"/>
              <w:jc w:val="center"/>
              <w:rPr>
                <w:rFonts w:cs="Calibri"/>
                <w:sz w:val="20"/>
                <w:szCs w:val="20"/>
              </w:rPr>
            </w:pPr>
            <w:r w:rsidRPr="00385FA9">
              <w:rPr>
                <w:rFonts w:cs="Calibri"/>
                <w:b/>
                <w:sz w:val="20"/>
                <w:szCs w:val="20"/>
              </w:rPr>
              <w:t>počet MEO, u kterých gestoři nevyhodnotili přínos spolupráce</w:t>
            </w:r>
          </w:p>
          <w:p w14:paraId="1676A013" w14:textId="77777777" w:rsidR="00E35FC6" w:rsidRPr="00385FA9" w:rsidRDefault="00E35FC6" w:rsidP="00ED30AC">
            <w:pPr>
              <w:spacing w:after="120"/>
              <w:jc w:val="center"/>
              <w:rPr>
                <w:rFonts w:cs="Calibri"/>
                <w:color w:val="000000"/>
                <w:sz w:val="20"/>
                <w:szCs w:val="20"/>
              </w:rPr>
            </w:pPr>
            <w:r w:rsidRPr="00385FA9">
              <w:rPr>
                <w:rFonts w:cs="Calibri"/>
                <w:color w:val="000000"/>
                <w:sz w:val="20"/>
                <w:szCs w:val="20"/>
              </w:rPr>
              <w:t>p</w:t>
            </w:r>
            <w:r w:rsidRPr="00385FA9">
              <w:rPr>
                <w:rFonts w:cs="Calibri"/>
                <w:sz w:val="20"/>
                <w:szCs w:val="20"/>
              </w:rPr>
              <w:t xml:space="preserve">ovinné příspěvky </w:t>
            </w:r>
            <w:r w:rsidRPr="00385FA9">
              <w:rPr>
                <w:rFonts w:cs="Calibri"/>
                <w:color w:val="000000"/>
                <w:sz w:val="20"/>
                <w:szCs w:val="20"/>
              </w:rPr>
              <w:t>0,846 mld. Kč</w:t>
            </w:r>
          </w:p>
        </w:tc>
      </w:tr>
    </w:tbl>
    <w:p w14:paraId="56960DDB" w14:textId="4C1E6B7F" w:rsidR="00E35FC6" w:rsidRDefault="00E35FC6" w:rsidP="00E35FC6">
      <w:pPr>
        <w:spacing w:after="0"/>
        <w:ind w:left="567" w:hanging="567"/>
        <w:rPr>
          <w:b/>
          <w:lang w:eastAsia="cs-CZ"/>
        </w:rPr>
      </w:pPr>
      <w:r w:rsidRPr="003153B7">
        <w:rPr>
          <w:b/>
          <w:sz w:val="20"/>
          <w:szCs w:val="20"/>
          <w:lang w:eastAsia="cs-CZ"/>
        </w:rPr>
        <w:t>Zdroj:</w:t>
      </w:r>
      <w:r w:rsidRPr="00F364BD">
        <w:rPr>
          <w:sz w:val="20"/>
          <w:szCs w:val="20"/>
          <w:lang w:eastAsia="cs-CZ"/>
        </w:rPr>
        <w:t xml:space="preserve"> </w:t>
      </w:r>
      <w:r w:rsidRPr="00F25566">
        <w:rPr>
          <w:rFonts w:eastAsia="Times New Roman" w:cstheme="minorHAnsi"/>
          <w:i/>
          <w:sz w:val="20"/>
          <w:szCs w:val="20"/>
          <w:lang w:eastAsia="cs-CZ"/>
        </w:rPr>
        <w:t>Úplný kategorizovaný seznam členství České republiky v mezinárodních organizacích na úrovni státu nebo resortu</w:t>
      </w:r>
      <w:r w:rsidRPr="00F364BD">
        <w:rPr>
          <w:rFonts w:eastAsia="Times New Roman" w:cstheme="minorHAnsi"/>
          <w:sz w:val="20"/>
          <w:szCs w:val="20"/>
          <w:lang w:eastAsia="cs-CZ"/>
        </w:rPr>
        <w:t xml:space="preserve"> ke dni 30. 9. 2012, </w:t>
      </w:r>
      <w:r w:rsidRPr="00F364BD">
        <w:rPr>
          <w:sz w:val="20"/>
          <w:szCs w:val="20"/>
          <w:lang w:eastAsia="cs-CZ"/>
        </w:rPr>
        <w:t>dotazníkové šetření NKÚ</w:t>
      </w:r>
      <w:r w:rsidRPr="004214A2">
        <w:rPr>
          <w:lang w:eastAsia="cs-CZ"/>
        </w:rPr>
        <w:t>.</w:t>
      </w:r>
    </w:p>
    <w:p w14:paraId="559E7661" w14:textId="77777777" w:rsidR="00E35FC6" w:rsidRPr="00BC20D3" w:rsidRDefault="00E35FC6" w:rsidP="00E35FC6">
      <w:pPr>
        <w:spacing w:after="0"/>
        <w:rPr>
          <w:b/>
          <w:sz w:val="24"/>
          <w:lang w:eastAsia="cs-CZ"/>
        </w:rPr>
      </w:pPr>
    </w:p>
    <w:p w14:paraId="3B304FB0" w14:textId="77777777" w:rsidR="00E35FC6" w:rsidRPr="00BC20D3" w:rsidRDefault="00E35FC6" w:rsidP="00E35FC6">
      <w:pPr>
        <w:spacing w:after="0"/>
        <w:rPr>
          <w:b/>
          <w:sz w:val="24"/>
        </w:rPr>
      </w:pPr>
    </w:p>
    <w:p w14:paraId="476DF4B8" w14:textId="77777777" w:rsidR="00E35FC6" w:rsidRPr="00BC20D3" w:rsidRDefault="00E35FC6" w:rsidP="00ED30AC">
      <w:pPr>
        <w:spacing w:after="0"/>
        <w:jc w:val="both"/>
        <w:rPr>
          <w:sz w:val="32"/>
          <w:szCs w:val="28"/>
        </w:rPr>
      </w:pPr>
      <w:r w:rsidRPr="00BC20D3">
        <w:rPr>
          <w:b/>
          <w:sz w:val="24"/>
        </w:rPr>
        <w:t>Graf č. 1: Podíl výše povinných příspěvků a počtu MEO dle jejich typu za rok 2018</w:t>
      </w:r>
    </w:p>
    <w:p w14:paraId="60521241" w14:textId="1685A2B5" w:rsidR="00E35FC6" w:rsidRPr="00F364BD" w:rsidRDefault="00115826" w:rsidP="00E35FC6">
      <w:pPr>
        <w:jc w:val="center"/>
        <w:rPr>
          <w:color w:val="004595"/>
          <w:szCs w:val="24"/>
        </w:rPr>
      </w:pPr>
      <w:r w:rsidRPr="00F364BD">
        <w:rPr>
          <w:noProof/>
          <w:lang w:eastAsia="cs-CZ"/>
        </w:rPr>
        <w:drawing>
          <wp:inline distT="0" distB="0" distL="0" distR="0" wp14:anchorId="1FBFC3DC" wp14:editId="1AC99B0D">
            <wp:extent cx="5970905" cy="3143885"/>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933888" w14:textId="77777777" w:rsidR="00E35FC6" w:rsidRPr="00F364BD" w:rsidRDefault="00E35FC6" w:rsidP="00E35FC6">
      <w:pPr>
        <w:spacing w:after="0"/>
        <w:rPr>
          <w:sz w:val="20"/>
          <w:szCs w:val="20"/>
        </w:rPr>
      </w:pPr>
      <w:r w:rsidRPr="004214A2">
        <w:rPr>
          <w:b/>
          <w:sz w:val="20"/>
          <w:szCs w:val="20"/>
        </w:rPr>
        <w:t>Zdroj:</w:t>
      </w:r>
      <w:r w:rsidRPr="00F364BD">
        <w:rPr>
          <w:sz w:val="20"/>
          <w:szCs w:val="20"/>
        </w:rPr>
        <w:t xml:space="preserve"> dotazníkové šetření NKÚ</w:t>
      </w:r>
      <w:r>
        <w:rPr>
          <w:sz w:val="20"/>
          <w:szCs w:val="20"/>
        </w:rPr>
        <w:t>.</w:t>
      </w:r>
    </w:p>
    <w:p w14:paraId="75EC88FA" w14:textId="6BEF5D60" w:rsidR="00E35FC6" w:rsidRPr="00F364BD" w:rsidRDefault="00E35FC6" w:rsidP="00E35FC6">
      <w:pPr>
        <w:spacing w:after="0"/>
        <w:rPr>
          <w:sz w:val="20"/>
          <w:szCs w:val="20"/>
        </w:rPr>
      </w:pPr>
      <w:r w:rsidRPr="004214A2">
        <w:rPr>
          <w:rFonts w:cstheme="minorHAnsi"/>
          <w:b/>
          <w:sz w:val="20"/>
          <w:szCs w:val="20"/>
        </w:rPr>
        <w:t>Pozn.:</w:t>
      </w:r>
      <w:r w:rsidRPr="00F364BD">
        <w:rPr>
          <w:rFonts w:cstheme="minorHAnsi"/>
          <w:sz w:val="20"/>
          <w:szCs w:val="20"/>
        </w:rPr>
        <w:t xml:space="preserve"> </w:t>
      </w:r>
      <w:r w:rsidR="007948AB">
        <w:rPr>
          <w:rFonts w:cstheme="minorHAnsi"/>
          <w:sz w:val="20"/>
          <w:szCs w:val="20"/>
        </w:rPr>
        <w:t xml:space="preserve">Kategorizace </w:t>
      </w:r>
      <w:r w:rsidR="007948AB">
        <w:rPr>
          <w:sz w:val="20"/>
          <w:szCs w:val="20"/>
        </w:rPr>
        <w:t>t</w:t>
      </w:r>
      <w:r w:rsidRPr="00F364BD">
        <w:rPr>
          <w:sz w:val="20"/>
          <w:szCs w:val="20"/>
        </w:rPr>
        <w:t>yp</w:t>
      </w:r>
      <w:r w:rsidR="007948AB">
        <w:rPr>
          <w:sz w:val="20"/>
          <w:szCs w:val="20"/>
        </w:rPr>
        <w:t>ů</w:t>
      </w:r>
      <w:r w:rsidRPr="00F364BD">
        <w:rPr>
          <w:sz w:val="20"/>
          <w:szCs w:val="20"/>
        </w:rPr>
        <w:t xml:space="preserve"> MEO</w:t>
      </w:r>
      <w:r w:rsidR="007948AB">
        <w:rPr>
          <w:sz w:val="20"/>
          <w:szCs w:val="20"/>
        </w:rPr>
        <w:t xml:space="preserve"> byla převzata od </w:t>
      </w:r>
      <w:r w:rsidRPr="00F364BD">
        <w:rPr>
          <w:sz w:val="20"/>
          <w:szCs w:val="20"/>
        </w:rPr>
        <w:t>MZV</w:t>
      </w:r>
      <w:r>
        <w:rPr>
          <w:sz w:val="20"/>
          <w:szCs w:val="20"/>
        </w:rPr>
        <w:t>.</w:t>
      </w:r>
    </w:p>
    <w:p w14:paraId="0E4FDB48" w14:textId="77777777" w:rsidR="00E35FC6" w:rsidRPr="00BC20D3" w:rsidRDefault="00E35FC6" w:rsidP="00BC20D3">
      <w:pPr>
        <w:spacing w:after="0"/>
        <w:jc w:val="both"/>
        <w:rPr>
          <w:sz w:val="24"/>
          <w:szCs w:val="24"/>
          <w:lang w:eastAsia="cs-CZ"/>
        </w:rPr>
      </w:pPr>
    </w:p>
    <w:p w14:paraId="289C0165" w14:textId="28F8FF5F" w:rsidR="00BC20D3" w:rsidRDefault="00E35FC6" w:rsidP="00BC20D3">
      <w:pPr>
        <w:ind w:left="709" w:hanging="709"/>
        <w:rPr>
          <w:sz w:val="24"/>
          <w:szCs w:val="24"/>
          <w:lang w:eastAsia="cs-CZ"/>
        </w:rPr>
      </w:pPr>
      <w:r w:rsidRPr="00BC20D3">
        <w:rPr>
          <w:b/>
          <w:sz w:val="24"/>
          <w:szCs w:val="24"/>
          <w:lang w:eastAsia="cs-CZ"/>
        </w:rPr>
        <w:t>Pozn.:</w:t>
      </w:r>
      <w:r w:rsidRPr="00BC20D3">
        <w:rPr>
          <w:sz w:val="24"/>
          <w:szCs w:val="24"/>
          <w:lang w:eastAsia="cs-CZ"/>
        </w:rPr>
        <w:t xml:space="preserve"> </w:t>
      </w:r>
      <w:r w:rsidR="00BC20D3">
        <w:rPr>
          <w:sz w:val="24"/>
          <w:szCs w:val="24"/>
          <w:lang w:eastAsia="cs-CZ"/>
        </w:rPr>
        <w:tab/>
      </w:r>
      <w:r w:rsidRPr="00BC20D3">
        <w:rPr>
          <w:sz w:val="24"/>
          <w:szCs w:val="24"/>
          <w:lang w:eastAsia="cs-CZ"/>
        </w:rPr>
        <w:t>Kontrole nebylo podrobeno členství ČR v Evropské unii a působení ČR, resp. zástupců kontrolovaných osob v ní. Výstupy z dotazníkového šetření NKÚ vč</w:t>
      </w:r>
      <w:r w:rsidR="00210E26">
        <w:rPr>
          <w:sz w:val="24"/>
          <w:szCs w:val="24"/>
          <w:lang w:eastAsia="cs-CZ"/>
        </w:rPr>
        <w:t>etně</w:t>
      </w:r>
      <w:r w:rsidRPr="00BC20D3">
        <w:rPr>
          <w:sz w:val="24"/>
          <w:szCs w:val="24"/>
          <w:lang w:eastAsia="cs-CZ"/>
        </w:rPr>
        <w:t xml:space="preserve"> názvů a zkratek jednotlivých mezinárodních organizací jsou uvedeny v</w:t>
      </w:r>
      <w:r w:rsidR="00ED30AC" w:rsidRPr="00BC20D3">
        <w:rPr>
          <w:sz w:val="24"/>
          <w:szCs w:val="24"/>
          <w:lang w:eastAsia="cs-CZ"/>
        </w:rPr>
        <w:t> </w:t>
      </w:r>
      <w:r w:rsidRPr="00BC20D3">
        <w:rPr>
          <w:sz w:val="24"/>
          <w:szCs w:val="24"/>
          <w:lang w:eastAsia="cs-CZ"/>
        </w:rPr>
        <w:t>příloze č. 1</w:t>
      </w:r>
      <w:r w:rsidR="00210E26">
        <w:rPr>
          <w:sz w:val="24"/>
          <w:szCs w:val="24"/>
          <w:lang w:eastAsia="cs-CZ"/>
        </w:rPr>
        <w:t>, která je dostupná na adrese</w:t>
      </w:r>
      <w:r w:rsidRPr="00BC20D3">
        <w:rPr>
          <w:sz w:val="24"/>
          <w:szCs w:val="24"/>
          <w:lang w:eastAsia="cs-CZ"/>
        </w:rPr>
        <w:t xml:space="preserve"> </w:t>
      </w:r>
      <w:hyperlink r:id="rId9" w:history="1">
        <w:r w:rsidRPr="00210E26">
          <w:rPr>
            <w:rStyle w:val="Hypertextovodkaz"/>
            <w:sz w:val="24"/>
            <w:szCs w:val="24"/>
            <w:u w:val="none"/>
          </w:rPr>
          <w:t>https://www.nku.cz/scripts/detail.php?id=11033</w:t>
        </w:r>
      </w:hyperlink>
      <w:r w:rsidRPr="00BC20D3">
        <w:rPr>
          <w:sz w:val="24"/>
          <w:szCs w:val="24"/>
          <w:lang w:eastAsia="cs-CZ"/>
        </w:rPr>
        <w:t>.</w:t>
      </w:r>
    </w:p>
    <w:p w14:paraId="03EE47ED" w14:textId="77777777" w:rsidR="00E35FC6" w:rsidRDefault="00E35FC6" w:rsidP="00BC20D3">
      <w:pPr>
        <w:rPr>
          <w:sz w:val="20"/>
          <w:szCs w:val="20"/>
          <w:lang w:eastAsia="cs-CZ"/>
        </w:rPr>
      </w:pPr>
      <w:r>
        <w:rPr>
          <w:sz w:val="20"/>
          <w:szCs w:val="20"/>
          <w:lang w:eastAsia="cs-CZ"/>
        </w:rPr>
        <w:br w:type="page"/>
      </w:r>
    </w:p>
    <w:p w14:paraId="674A0678" w14:textId="77777777" w:rsidR="00E35FC6" w:rsidRPr="00BC20D3" w:rsidRDefault="00E35FC6" w:rsidP="00BC20D3">
      <w:pPr>
        <w:pStyle w:val="Nadpis1"/>
        <w:numPr>
          <w:ilvl w:val="0"/>
          <w:numId w:val="0"/>
        </w:numPr>
        <w:spacing w:after="0"/>
        <w:ind w:left="340"/>
        <w:rPr>
          <w:sz w:val="28"/>
        </w:rPr>
      </w:pPr>
      <w:r w:rsidRPr="00BC20D3">
        <w:rPr>
          <w:sz w:val="28"/>
        </w:rPr>
        <w:lastRenderedPageBreak/>
        <w:t>I. Shrnutí a vyhodnocení</w:t>
      </w:r>
    </w:p>
    <w:p w14:paraId="1DE70C5A" w14:textId="77777777" w:rsidR="00E35FC6" w:rsidRPr="00BC20D3" w:rsidRDefault="00E35FC6" w:rsidP="00BC20D3">
      <w:pPr>
        <w:spacing w:after="0" w:line="240" w:lineRule="auto"/>
        <w:jc w:val="both"/>
        <w:rPr>
          <w:rFonts w:ascii="Calibri" w:hAnsi="Calibri" w:cs="Calibri"/>
          <w:sz w:val="24"/>
          <w:szCs w:val="24"/>
        </w:rPr>
      </w:pPr>
    </w:p>
    <w:p w14:paraId="43D19B9B" w14:textId="77777777" w:rsidR="00E35FC6" w:rsidRPr="00BC20D3" w:rsidRDefault="00E35FC6" w:rsidP="00BC20D3">
      <w:pPr>
        <w:spacing w:after="0" w:line="240" w:lineRule="auto"/>
        <w:jc w:val="both"/>
        <w:rPr>
          <w:rFonts w:ascii="Calibri" w:hAnsi="Calibri" w:cs="Calibri"/>
          <w:sz w:val="24"/>
          <w:szCs w:val="24"/>
          <w:lang w:eastAsia="cs-CZ"/>
        </w:rPr>
      </w:pPr>
      <w:r w:rsidRPr="00BC20D3">
        <w:rPr>
          <w:rFonts w:ascii="Calibri" w:hAnsi="Calibri" w:cs="Calibri"/>
          <w:sz w:val="24"/>
          <w:szCs w:val="24"/>
        </w:rPr>
        <w:t xml:space="preserve">NKÚ prověřil </w:t>
      </w:r>
      <w:r w:rsidRPr="00BC20D3">
        <w:rPr>
          <w:rFonts w:ascii="Calibri" w:hAnsi="Calibri" w:cs="Calibri"/>
          <w:sz w:val="24"/>
          <w:szCs w:val="24"/>
          <w:lang w:eastAsia="cs-CZ"/>
        </w:rPr>
        <w:t>účelnost prostředků státu poskytovaných mezinárodním organizacím a dalších souvisejících výdajů. Česká republika</w:t>
      </w:r>
      <w:r w:rsidRPr="00BC20D3">
        <w:rPr>
          <w:rFonts w:ascii="Calibri" w:hAnsi="Calibri" w:cs="Calibri"/>
          <w:sz w:val="24"/>
          <w:szCs w:val="24"/>
        </w:rPr>
        <w:t xml:space="preserve"> (dále také „</w:t>
      </w:r>
      <w:r w:rsidRPr="00BC20D3">
        <w:rPr>
          <w:rFonts w:ascii="Calibri" w:eastAsia="Times New Roman" w:hAnsi="Calibri" w:cs="Calibri"/>
          <w:sz w:val="24"/>
          <w:szCs w:val="24"/>
          <w:lang w:eastAsia="cs-CZ"/>
        </w:rPr>
        <w:t>ČR“) spolupracuje s téměř 500 mezinárodními organizacemi různého typu. Gestory spolupráce s MEO jsou správci jednotlivých kapitol státního rozpočtu (dále také „gesční resorty“) v závislosti na věcném zaměření. Za spolupráci zejména s MEO zásadního zahraničněpolitického významu</w:t>
      </w:r>
      <w:r w:rsidRPr="00BC20D3">
        <w:rPr>
          <w:rStyle w:val="Znakapoznpodarou"/>
          <w:rFonts w:ascii="Calibri" w:eastAsia="Times New Roman" w:hAnsi="Calibri" w:cs="Calibri"/>
          <w:sz w:val="24"/>
          <w:szCs w:val="24"/>
          <w:lang w:eastAsia="cs-CZ"/>
        </w:rPr>
        <w:footnoteReference w:id="2"/>
      </w:r>
      <w:r w:rsidRPr="00BC20D3">
        <w:rPr>
          <w:rFonts w:ascii="Calibri" w:eastAsia="Times New Roman" w:hAnsi="Calibri" w:cs="Calibri"/>
          <w:sz w:val="24"/>
          <w:szCs w:val="24"/>
          <w:lang w:eastAsia="cs-CZ"/>
        </w:rPr>
        <w:t xml:space="preserve"> odpovídá MZV. Zároveň má MZV plnit koordinační úlohu ve vztahu k MEO v gesci jiných resortů. Výše povinných příspěvků</w:t>
      </w:r>
      <w:r w:rsidRPr="00BC20D3">
        <w:rPr>
          <w:rStyle w:val="Znakapoznpodarou"/>
          <w:rFonts w:ascii="Calibri" w:eastAsia="Times New Roman" w:hAnsi="Calibri" w:cs="Calibri"/>
          <w:sz w:val="24"/>
          <w:szCs w:val="24"/>
          <w:lang w:eastAsia="cs-CZ"/>
        </w:rPr>
        <w:footnoteReference w:id="3"/>
      </w:r>
      <w:r w:rsidRPr="00BC20D3">
        <w:rPr>
          <w:rFonts w:ascii="Calibri" w:eastAsia="Times New Roman" w:hAnsi="Calibri" w:cs="Calibri"/>
          <w:sz w:val="24"/>
          <w:szCs w:val="24"/>
          <w:lang w:eastAsia="cs-CZ"/>
        </w:rPr>
        <w:t xml:space="preserve"> poskytovaných MEO se pohybuje kolem 3 mld. Kč ročně. ČR poskytuje MEO rovněž </w:t>
      </w:r>
      <w:r w:rsidRPr="00BC20D3">
        <w:rPr>
          <w:rFonts w:ascii="Calibri" w:hAnsi="Calibri" w:cs="Calibri"/>
          <w:sz w:val="24"/>
          <w:szCs w:val="24"/>
          <w:lang w:eastAsia="cs-CZ"/>
        </w:rPr>
        <w:t>další příspěvky</w:t>
      </w:r>
      <w:r w:rsidRPr="00BC20D3">
        <w:rPr>
          <w:rStyle w:val="Znakapoznpodarou"/>
          <w:rFonts w:ascii="Calibri" w:hAnsi="Calibri" w:cs="Calibri"/>
          <w:sz w:val="24"/>
          <w:szCs w:val="24"/>
          <w:lang w:eastAsia="cs-CZ"/>
        </w:rPr>
        <w:footnoteReference w:id="4"/>
      </w:r>
      <w:r w:rsidRPr="00BC20D3">
        <w:rPr>
          <w:rFonts w:ascii="Calibri" w:hAnsi="Calibri" w:cs="Calibri"/>
          <w:sz w:val="24"/>
          <w:szCs w:val="24"/>
          <w:lang w:eastAsia="cs-CZ"/>
        </w:rPr>
        <w:t xml:space="preserve"> (dary, účelové platby apod.), které v roce 2018 činily téměř 1,5 mld. Kč.</w:t>
      </w:r>
    </w:p>
    <w:p w14:paraId="5B4B6B04" w14:textId="77777777" w:rsidR="00E35FC6" w:rsidRPr="00BC20D3" w:rsidRDefault="00E35FC6" w:rsidP="00BC20D3">
      <w:pPr>
        <w:spacing w:after="0" w:line="240" w:lineRule="auto"/>
        <w:jc w:val="both"/>
        <w:rPr>
          <w:rFonts w:ascii="Calibri" w:eastAsia="Times New Roman" w:hAnsi="Calibri" w:cs="Calibri"/>
          <w:sz w:val="24"/>
          <w:szCs w:val="24"/>
          <w:lang w:eastAsia="cs-CZ"/>
        </w:rPr>
      </w:pPr>
    </w:p>
    <w:p w14:paraId="77554CE5" w14:textId="40E0DBC1" w:rsidR="00E35FC6" w:rsidRPr="00BC20D3" w:rsidRDefault="00E35FC6" w:rsidP="00BC20D3">
      <w:pPr>
        <w:spacing w:after="0" w:line="240" w:lineRule="auto"/>
        <w:jc w:val="both"/>
        <w:rPr>
          <w:rFonts w:ascii="Calibri" w:hAnsi="Calibri" w:cs="Calibri"/>
          <w:color w:val="000000" w:themeColor="text1"/>
          <w:sz w:val="24"/>
          <w:szCs w:val="24"/>
        </w:rPr>
      </w:pPr>
      <w:r w:rsidRPr="00BC20D3">
        <w:rPr>
          <w:rFonts w:ascii="Calibri" w:hAnsi="Calibri" w:cs="Calibri"/>
          <w:sz w:val="24"/>
          <w:szCs w:val="24"/>
        </w:rPr>
        <w:t xml:space="preserve">V roce 2012 navrhlo MZV společně s Ministerstvem financí (dále také „MF“) provést zásadní reformu celého systému poskytování příspěvků MEO, a to jak ze systémových, tak i z úsporných důvodů. Jako klíčové MZV společně s MF následně v roce 2013 vyhodnotily </w:t>
      </w:r>
      <w:r w:rsidRPr="00BC20D3">
        <w:rPr>
          <w:rFonts w:ascii="Calibri" w:hAnsi="Calibri" w:cs="Calibri"/>
          <w:bCs/>
          <w:sz w:val="24"/>
          <w:szCs w:val="24"/>
        </w:rPr>
        <w:t>nedostatečné využívání spolupráce ČR</w:t>
      </w:r>
      <w:r w:rsidRPr="00BC20D3">
        <w:rPr>
          <w:rFonts w:ascii="Calibri" w:hAnsi="Calibri" w:cs="Calibri"/>
          <w:sz w:val="24"/>
          <w:szCs w:val="24"/>
        </w:rPr>
        <w:t xml:space="preserve"> </w:t>
      </w:r>
      <w:r w:rsidRPr="00BC20D3">
        <w:rPr>
          <w:rFonts w:ascii="Calibri" w:hAnsi="Calibri" w:cs="Calibri"/>
          <w:bCs/>
          <w:sz w:val="24"/>
          <w:szCs w:val="24"/>
        </w:rPr>
        <w:t xml:space="preserve">s MEO, posuzování jejích přínosů a nedostatečnou podporu většího zapojení občanů ČR do práce v MEO. </w:t>
      </w:r>
      <w:r w:rsidRPr="00BC20D3">
        <w:rPr>
          <w:rFonts w:ascii="Calibri" w:hAnsi="Calibri" w:cs="Calibri"/>
          <w:sz w:val="24"/>
          <w:szCs w:val="24"/>
        </w:rPr>
        <w:t xml:space="preserve">Od roku 2012 přijímala vláda ČR na základě předložených analýz a doporučení systémová opatření týkající se spolupráce s MEO. </w:t>
      </w:r>
      <w:r w:rsidRPr="00BC20D3">
        <w:rPr>
          <w:rFonts w:ascii="Calibri" w:hAnsi="Calibri" w:cs="Calibri"/>
          <w:color w:val="000000" w:themeColor="text1"/>
          <w:sz w:val="24"/>
          <w:szCs w:val="24"/>
        </w:rPr>
        <w:t>Cílem těchto opatření bylo zefektivnit spolupráci s MEO, posílit meziresortní koordinaci a přinést finanční úspory. NKÚ prověřoval mj., zda byly na systémové úrovni vytvořeny předpoklady pro dosažení tohoto cíle, zda MZV a MŠMT plnily vládou ČR stanovené úkoly a nastavily a realizovaly poskytování peněžních prostředků MEO v souladu se stanovenými cíli.</w:t>
      </w:r>
    </w:p>
    <w:p w14:paraId="1E73E23B" w14:textId="77777777" w:rsidR="00E35FC6" w:rsidRPr="00BC20D3" w:rsidRDefault="00E35FC6" w:rsidP="00BC20D3">
      <w:pPr>
        <w:spacing w:after="0" w:line="240" w:lineRule="auto"/>
        <w:jc w:val="both"/>
        <w:rPr>
          <w:rFonts w:ascii="Calibri" w:hAnsi="Calibri" w:cs="Calibri"/>
          <w:bCs/>
          <w:sz w:val="24"/>
          <w:szCs w:val="24"/>
        </w:rPr>
      </w:pPr>
    </w:p>
    <w:p w14:paraId="5EBAC0C8" w14:textId="77777777" w:rsidR="00E35FC6" w:rsidRPr="00BC20D3" w:rsidRDefault="00E35FC6" w:rsidP="00BC20D3">
      <w:pPr>
        <w:spacing w:after="0" w:line="240" w:lineRule="auto"/>
        <w:jc w:val="both"/>
        <w:rPr>
          <w:rFonts w:ascii="Calibri" w:hAnsi="Calibri" w:cs="Calibri"/>
          <w:b/>
          <w:sz w:val="24"/>
          <w:szCs w:val="24"/>
        </w:rPr>
      </w:pPr>
      <w:r w:rsidRPr="00BC20D3">
        <w:rPr>
          <w:rFonts w:ascii="Calibri" w:hAnsi="Calibri" w:cs="Calibri"/>
          <w:b/>
          <w:sz w:val="24"/>
          <w:szCs w:val="24"/>
        </w:rPr>
        <w:t xml:space="preserve">NKÚ vyhodnotil, že nebyly naplněny předpoklady pro účelné poskytování prostředků MEO. Opatření stanovená vládou ČR, která mimo jiné sledovala dosažení úspor, nebyla řádně plněna. Nedůsledné plnění stanovených úkolů se týkalo postupů před vznikem spolupráce s MEO, sledování a vyhodnocování přínosů spolupráce a koordinace. </w:t>
      </w:r>
    </w:p>
    <w:p w14:paraId="3D82A035" w14:textId="77777777" w:rsidR="00E35FC6" w:rsidRPr="00BC20D3" w:rsidRDefault="00E35FC6" w:rsidP="00BC20D3">
      <w:pPr>
        <w:spacing w:after="0" w:line="240" w:lineRule="auto"/>
        <w:jc w:val="both"/>
        <w:rPr>
          <w:rFonts w:ascii="Calibri" w:hAnsi="Calibri" w:cs="Calibri"/>
          <w:b/>
          <w:sz w:val="24"/>
          <w:szCs w:val="24"/>
        </w:rPr>
      </w:pPr>
    </w:p>
    <w:p w14:paraId="5748EC24" w14:textId="77777777" w:rsidR="00E35FC6" w:rsidRPr="00BC20D3" w:rsidRDefault="00E35FC6" w:rsidP="00BC20D3">
      <w:pPr>
        <w:spacing w:after="0" w:line="240" w:lineRule="auto"/>
        <w:jc w:val="both"/>
        <w:rPr>
          <w:rFonts w:ascii="Calibri" w:hAnsi="Calibri" w:cs="Calibri"/>
          <w:b/>
          <w:sz w:val="24"/>
          <w:szCs w:val="24"/>
        </w:rPr>
      </w:pPr>
      <w:r w:rsidRPr="00BC20D3">
        <w:rPr>
          <w:rFonts w:ascii="Calibri" w:hAnsi="Calibri" w:cs="Calibri"/>
          <w:b/>
          <w:sz w:val="24"/>
          <w:szCs w:val="24"/>
        </w:rPr>
        <w:t>Podle zjištění NKÚ se počet MEO, s nimiž ČR spolupracovala, od roku 2011 zvýšil ze 469 na 477. Povinné příspěvky poskytované MEO se zvýšily z 2,606 mld. Kč v roce 2011 na 2,98 mld. Kč v roce 2018 a celkový počet českých občanů působících v MEO se změnil nepatrně (o 16 osob na celkových 278 v roce 2018).</w:t>
      </w:r>
    </w:p>
    <w:p w14:paraId="23980795" w14:textId="77777777" w:rsidR="00E35FC6" w:rsidRPr="00BC20D3" w:rsidRDefault="00E35FC6" w:rsidP="00BC20D3">
      <w:pPr>
        <w:spacing w:after="0" w:line="240" w:lineRule="auto"/>
        <w:jc w:val="both"/>
        <w:rPr>
          <w:rFonts w:ascii="Calibri" w:hAnsi="Calibri" w:cs="Calibri"/>
          <w:b/>
          <w:sz w:val="24"/>
          <w:szCs w:val="24"/>
        </w:rPr>
      </w:pPr>
    </w:p>
    <w:p w14:paraId="1A67A531" w14:textId="399A81D8" w:rsidR="00E35FC6" w:rsidRPr="00BC20D3" w:rsidRDefault="00E94C44" w:rsidP="00BC20D3">
      <w:pPr>
        <w:spacing w:after="0" w:line="240" w:lineRule="auto"/>
        <w:jc w:val="both"/>
        <w:rPr>
          <w:rFonts w:ascii="Calibri" w:hAnsi="Calibri" w:cs="Calibri"/>
          <w:b/>
          <w:sz w:val="24"/>
          <w:szCs w:val="24"/>
        </w:rPr>
      </w:pPr>
      <w:r>
        <w:rPr>
          <w:rFonts w:ascii="Calibri" w:hAnsi="Calibri" w:cs="Calibri"/>
          <w:b/>
          <w:sz w:val="24"/>
          <w:szCs w:val="24"/>
        </w:rPr>
        <w:t xml:space="preserve">Ke </w:t>
      </w:r>
      <w:r w:rsidR="00E35FC6" w:rsidRPr="00BC20D3">
        <w:rPr>
          <w:rFonts w:ascii="Calibri" w:hAnsi="Calibri" w:cs="Calibri"/>
          <w:b/>
          <w:sz w:val="24"/>
          <w:szCs w:val="24"/>
        </w:rPr>
        <w:t>zvýšení efektivnosti spolupráce s MEO</w:t>
      </w:r>
      <w:r w:rsidR="00303EF0">
        <w:rPr>
          <w:rFonts w:ascii="Calibri" w:hAnsi="Calibri" w:cs="Calibri"/>
          <w:b/>
          <w:sz w:val="24"/>
          <w:szCs w:val="24"/>
        </w:rPr>
        <w:t>,</w:t>
      </w:r>
      <w:r w:rsidR="00E35FC6" w:rsidRPr="00BC20D3">
        <w:rPr>
          <w:rFonts w:ascii="Calibri" w:hAnsi="Calibri" w:cs="Calibri"/>
          <w:b/>
          <w:sz w:val="24"/>
          <w:szCs w:val="24"/>
        </w:rPr>
        <w:t xml:space="preserve"> </w:t>
      </w:r>
      <w:r w:rsidR="00303EF0">
        <w:rPr>
          <w:rFonts w:ascii="Calibri" w:hAnsi="Calibri" w:cs="Calibri"/>
          <w:b/>
          <w:sz w:val="24"/>
          <w:szCs w:val="24"/>
        </w:rPr>
        <w:t xml:space="preserve">které </w:t>
      </w:r>
      <w:r w:rsidRPr="00BC20D3">
        <w:rPr>
          <w:rFonts w:ascii="Calibri" w:hAnsi="Calibri" w:cs="Calibri"/>
          <w:b/>
          <w:sz w:val="24"/>
          <w:szCs w:val="24"/>
        </w:rPr>
        <w:t>požadova</w:t>
      </w:r>
      <w:r w:rsidR="00303EF0">
        <w:rPr>
          <w:rFonts w:ascii="Calibri" w:hAnsi="Calibri" w:cs="Calibri"/>
          <w:b/>
          <w:sz w:val="24"/>
          <w:szCs w:val="24"/>
        </w:rPr>
        <w:t>la</w:t>
      </w:r>
      <w:r w:rsidRPr="00BC20D3">
        <w:rPr>
          <w:rFonts w:ascii="Calibri" w:hAnsi="Calibri" w:cs="Calibri"/>
          <w:b/>
          <w:sz w:val="24"/>
          <w:szCs w:val="24"/>
        </w:rPr>
        <w:t xml:space="preserve"> vlád</w:t>
      </w:r>
      <w:r w:rsidR="00303EF0">
        <w:rPr>
          <w:rFonts w:ascii="Calibri" w:hAnsi="Calibri" w:cs="Calibri"/>
          <w:b/>
          <w:sz w:val="24"/>
          <w:szCs w:val="24"/>
        </w:rPr>
        <w:t>a</w:t>
      </w:r>
      <w:r w:rsidRPr="00BC20D3">
        <w:rPr>
          <w:rFonts w:ascii="Calibri" w:hAnsi="Calibri" w:cs="Calibri"/>
          <w:b/>
          <w:sz w:val="24"/>
          <w:szCs w:val="24"/>
        </w:rPr>
        <w:t xml:space="preserve"> ČR</w:t>
      </w:r>
      <w:r w:rsidR="00303EF0">
        <w:rPr>
          <w:rFonts w:ascii="Calibri" w:hAnsi="Calibri" w:cs="Calibri"/>
          <w:b/>
          <w:sz w:val="24"/>
          <w:szCs w:val="24"/>
        </w:rPr>
        <w:t>,</w:t>
      </w:r>
      <w:r w:rsidRPr="00BC20D3">
        <w:rPr>
          <w:rFonts w:ascii="Calibri" w:hAnsi="Calibri" w:cs="Calibri"/>
          <w:b/>
          <w:sz w:val="24"/>
          <w:szCs w:val="24"/>
        </w:rPr>
        <w:t xml:space="preserve"> </w:t>
      </w:r>
      <w:r w:rsidR="00E35FC6" w:rsidRPr="00BC20D3">
        <w:rPr>
          <w:rFonts w:ascii="Calibri" w:hAnsi="Calibri" w:cs="Calibri"/>
          <w:b/>
          <w:sz w:val="24"/>
          <w:szCs w:val="24"/>
        </w:rPr>
        <w:t xml:space="preserve">tak nedošlo, realizované úspory byly spíše výjimkou a byly minimální a meziresortní koordinace se nezlepšila. </w:t>
      </w:r>
    </w:p>
    <w:p w14:paraId="1538F5E9" w14:textId="77777777" w:rsidR="00E35FC6" w:rsidRPr="00BC20D3" w:rsidRDefault="00E35FC6" w:rsidP="00BC20D3">
      <w:pPr>
        <w:spacing w:after="0" w:line="240" w:lineRule="auto"/>
        <w:jc w:val="both"/>
        <w:rPr>
          <w:rFonts w:ascii="Calibri" w:hAnsi="Calibri" w:cs="Calibri"/>
          <w:b/>
          <w:sz w:val="24"/>
          <w:szCs w:val="24"/>
        </w:rPr>
      </w:pPr>
    </w:p>
    <w:p w14:paraId="453EAC75" w14:textId="77777777" w:rsidR="00E35FC6" w:rsidRPr="00BC20D3" w:rsidRDefault="00E35FC6" w:rsidP="00BC20D3">
      <w:pPr>
        <w:keepNext/>
        <w:spacing w:after="0" w:line="240" w:lineRule="auto"/>
        <w:jc w:val="both"/>
        <w:rPr>
          <w:rFonts w:ascii="Calibri" w:hAnsi="Calibri" w:cs="Calibri"/>
          <w:b/>
          <w:sz w:val="24"/>
          <w:szCs w:val="24"/>
        </w:rPr>
      </w:pPr>
      <w:r w:rsidRPr="00BC20D3">
        <w:rPr>
          <w:rFonts w:ascii="Calibri" w:hAnsi="Calibri" w:cs="Calibri"/>
          <w:b/>
          <w:sz w:val="24"/>
          <w:szCs w:val="24"/>
        </w:rPr>
        <w:lastRenderedPageBreak/>
        <w:t>Výše uvedené celkové vyhodnocení vyplývá z následujících zjištění:</w:t>
      </w:r>
    </w:p>
    <w:p w14:paraId="106AE2EB" w14:textId="77777777" w:rsidR="00E35FC6" w:rsidRPr="00BC20D3" w:rsidRDefault="00E35FC6" w:rsidP="00BC20D3">
      <w:pPr>
        <w:keepNext/>
        <w:spacing w:after="0" w:line="240" w:lineRule="auto"/>
        <w:jc w:val="both"/>
        <w:rPr>
          <w:rFonts w:ascii="Calibri" w:hAnsi="Calibri" w:cs="Calibri"/>
          <w:b/>
          <w:sz w:val="24"/>
          <w:szCs w:val="24"/>
        </w:rPr>
      </w:pPr>
    </w:p>
    <w:p w14:paraId="6F8FFFC0" w14:textId="77777777" w:rsidR="00E35FC6" w:rsidRPr="00BC20D3" w:rsidRDefault="00E35FC6" w:rsidP="00BC20D3">
      <w:pPr>
        <w:keepNext/>
        <w:spacing w:after="0" w:line="240" w:lineRule="auto"/>
        <w:jc w:val="both"/>
        <w:rPr>
          <w:b/>
          <w:sz w:val="24"/>
          <w:szCs w:val="24"/>
        </w:rPr>
      </w:pPr>
      <w:r w:rsidRPr="00BC20D3">
        <w:rPr>
          <w:b/>
          <w:sz w:val="24"/>
          <w:szCs w:val="24"/>
        </w:rPr>
        <w:t>A. Nadresortní úroveň</w:t>
      </w:r>
    </w:p>
    <w:p w14:paraId="0253534D" w14:textId="77777777" w:rsidR="00E35FC6" w:rsidRPr="00BC20D3" w:rsidRDefault="00E35FC6" w:rsidP="00BC20D3">
      <w:pPr>
        <w:keepNext/>
        <w:spacing w:after="0" w:line="240" w:lineRule="auto"/>
        <w:jc w:val="both"/>
        <w:rPr>
          <w:b/>
          <w:sz w:val="24"/>
          <w:szCs w:val="24"/>
        </w:rPr>
      </w:pPr>
    </w:p>
    <w:p w14:paraId="51AF6FD6" w14:textId="77777777" w:rsidR="00E35FC6" w:rsidRPr="00F364BD" w:rsidRDefault="00BC20D3" w:rsidP="00BC20D3">
      <w:pPr>
        <w:pStyle w:val="Nadpis1"/>
        <w:keepLines/>
        <w:numPr>
          <w:ilvl w:val="0"/>
          <w:numId w:val="0"/>
        </w:numPr>
        <w:overflowPunct/>
        <w:autoSpaceDE/>
        <w:autoSpaceDN/>
        <w:adjustRightInd/>
        <w:spacing w:after="0"/>
        <w:ind w:left="284" w:hanging="284"/>
        <w:jc w:val="left"/>
        <w:textAlignment w:val="auto"/>
        <w:rPr>
          <w:szCs w:val="24"/>
        </w:rPr>
      </w:pPr>
      <w:r>
        <w:t xml:space="preserve">1. </w:t>
      </w:r>
      <w:r>
        <w:tab/>
      </w:r>
      <w:r w:rsidR="00E35FC6" w:rsidRPr="00F364BD">
        <w:t>Ve 14 z 28 případů představovala spolupráce s MEO vznik</w:t>
      </w:r>
      <w:r w:rsidR="00E35FC6" w:rsidRPr="00F364BD">
        <w:rPr>
          <w:rFonts w:eastAsia="Calibri"/>
          <w:szCs w:val="24"/>
        </w:rPr>
        <w:t xml:space="preserve"> nových finančních závazků</w:t>
      </w:r>
      <w:r w:rsidR="00E35FC6" w:rsidRPr="00F364BD">
        <w:t xml:space="preserve"> bez vědomí vlády </w:t>
      </w:r>
      <w:r w:rsidR="00E35FC6">
        <w:t xml:space="preserve">ČR </w:t>
      </w:r>
      <w:r w:rsidR="00E35FC6" w:rsidRPr="00F364BD">
        <w:t xml:space="preserve">a zapojení MZV </w:t>
      </w:r>
    </w:p>
    <w:p w14:paraId="52624DCB" w14:textId="77777777" w:rsidR="00295CC2" w:rsidRPr="00295CC2" w:rsidRDefault="00295CC2" w:rsidP="00BC20D3">
      <w:pPr>
        <w:keepNext/>
        <w:spacing w:after="0" w:line="240" w:lineRule="auto"/>
        <w:jc w:val="both"/>
        <w:rPr>
          <w:rFonts w:ascii="Calibri" w:hAnsi="Calibri" w:cs="Calibri"/>
          <w:sz w:val="24"/>
          <w:szCs w:val="24"/>
        </w:rPr>
      </w:pPr>
    </w:p>
    <w:p w14:paraId="204F488E" w14:textId="77777777" w:rsidR="00E35FC6" w:rsidRDefault="00E35FC6" w:rsidP="00295CC2">
      <w:pPr>
        <w:spacing w:after="0" w:line="240" w:lineRule="auto"/>
        <w:jc w:val="both"/>
        <w:rPr>
          <w:rFonts w:ascii="Calibri" w:hAnsi="Calibri" w:cs="Calibri"/>
          <w:sz w:val="24"/>
          <w:szCs w:val="24"/>
        </w:rPr>
      </w:pPr>
      <w:r w:rsidRPr="00295CC2">
        <w:rPr>
          <w:rFonts w:ascii="Calibri" w:hAnsi="Calibri" w:cs="Calibri"/>
          <w:sz w:val="24"/>
          <w:szCs w:val="24"/>
        </w:rPr>
        <w:t>MZV odpovídá mj. za koordinaci činnosti ústředních orgánů státní správy (dále také „ÚOSS“) v oblasti zahraničních vztahů, aktivit vyplývajících z mezinárodní spolupráce, zabezpečuje vztahy k MEO a v oblasti spolupráce s MEO má stanoveny i další úkoly</w:t>
      </w:r>
      <w:r w:rsidRPr="00295CC2">
        <w:rPr>
          <w:rStyle w:val="Znakapoznpodarou"/>
          <w:rFonts w:ascii="Calibri" w:hAnsi="Calibri" w:cs="Calibri"/>
          <w:sz w:val="24"/>
          <w:szCs w:val="24"/>
        </w:rPr>
        <w:footnoteReference w:id="5"/>
      </w:r>
      <w:r w:rsidRPr="00295CC2">
        <w:rPr>
          <w:rFonts w:ascii="Calibri" w:hAnsi="Calibri" w:cs="Calibri"/>
          <w:sz w:val="24"/>
          <w:szCs w:val="24"/>
        </w:rPr>
        <w:t>. MZV se přesto nemusí o spolupráci s MEO v gesci ostatních resortů dozvědět před jejím zahájením, resp. vůbec. Svoji koordinační roli tak nemůže MZV bez součinnosti gesčních resortů řádně plnit.</w:t>
      </w:r>
    </w:p>
    <w:p w14:paraId="1C9F20F7" w14:textId="77777777" w:rsidR="00295CC2" w:rsidRPr="00295CC2" w:rsidRDefault="00295CC2" w:rsidP="00295CC2">
      <w:pPr>
        <w:spacing w:after="0" w:line="240" w:lineRule="auto"/>
        <w:jc w:val="both"/>
        <w:rPr>
          <w:rFonts w:ascii="Calibri" w:hAnsi="Calibri" w:cs="Calibri"/>
          <w:sz w:val="24"/>
          <w:szCs w:val="24"/>
        </w:rPr>
      </w:pPr>
    </w:p>
    <w:p w14:paraId="1FC0721C" w14:textId="31BC280C" w:rsidR="00E35FC6" w:rsidRDefault="00E35FC6" w:rsidP="00295CC2">
      <w:pPr>
        <w:spacing w:after="0" w:line="240" w:lineRule="auto"/>
        <w:jc w:val="both"/>
        <w:rPr>
          <w:rFonts w:ascii="Calibri" w:hAnsi="Calibri" w:cs="Calibri"/>
          <w:sz w:val="24"/>
          <w:szCs w:val="24"/>
        </w:rPr>
      </w:pPr>
      <w:r w:rsidRPr="00295CC2">
        <w:rPr>
          <w:rFonts w:ascii="Calibri" w:eastAsia="Calibri" w:hAnsi="Calibri" w:cs="Calibri"/>
          <w:sz w:val="24"/>
          <w:szCs w:val="24"/>
        </w:rPr>
        <w:t xml:space="preserve">I přes povinnost gestora předložit materiál ke vzniku nových významných finančních závazků vůči MEO do meziresortního připomínkového řízení, došlo v období let 2014–2018 nejméně </w:t>
      </w:r>
      <w:proofErr w:type="gramStart"/>
      <w:r w:rsidRPr="00295CC2">
        <w:rPr>
          <w:rFonts w:ascii="Calibri" w:eastAsia="Calibri" w:hAnsi="Calibri" w:cs="Calibri"/>
          <w:sz w:val="24"/>
          <w:szCs w:val="24"/>
        </w:rPr>
        <w:t>ke</w:t>
      </w:r>
      <w:proofErr w:type="gramEnd"/>
      <w:r w:rsidRPr="00295CC2">
        <w:rPr>
          <w:rFonts w:ascii="Calibri" w:eastAsia="Calibri" w:hAnsi="Calibri" w:cs="Calibri"/>
          <w:sz w:val="24"/>
          <w:szCs w:val="24"/>
        </w:rPr>
        <w:t xml:space="preserve"> 14 takovým případům z 28 bez předchozího souhlasu vlády nebo vědomí MZV. Opatření zavedené usnesením vlády ČR (dále také „UV“) </w:t>
      </w:r>
      <w:r w:rsidR="00742922">
        <w:rPr>
          <w:rFonts w:ascii="Calibri" w:eastAsia="Calibri" w:hAnsi="Calibri" w:cs="Calibri"/>
          <w:sz w:val="24"/>
          <w:szCs w:val="24"/>
        </w:rPr>
        <w:t>č. </w:t>
      </w:r>
      <w:r w:rsidRPr="00295CC2">
        <w:rPr>
          <w:rFonts w:ascii="Calibri" w:eastAsia="Calibri" w:hAnsi="Calibri" w:cs="Calibri"/>
          <w:sz w:val="24"/>
          <w:szCs w:val="24"/>
        </w:rPr>
        <w:t>581/2012</w:t>
      </w:r>
      <w:r w:rsidRPr="00295CC2">
        <w:rPr>
          <w:rFonts w:ascii="Calibri" w:eastAsia="Times New Roman" w:hAnsi="Calibri" w:cs="Calibri"/>
          <w:sz w:val="24"/>
          <w:szCs w:val="24"/>
          <w:vertAlign w:val="superscript"/>
          <w:lang w:eastAsia="cs-CZ"/>
        </w:rPr>
        <w:footnoteReference w:id="6"/>
      </w:r>
      <w:r w:rsidRPr="00295CC2">
        <w:rPr>
          <w:rFonts w:ascii="Calibri" w:eastAsia="Calibri" w:hAnsi="Calibri" w:cs="Calibri"/>
          <w:sz w:val="24"/>
          <w:szCs w:val="24"/>
        </w:rPr>
        <w:t xml:space="preserve"> k zefektiv</w:t>
      </w:r>
      <w:r w:rsidR="00295CC2">
        <w:rPr>
          <w:rFonts w:ascii="Calibri" w:eastAsia="Calibri" w:hAnsi="Calibri" w:cs="Calibri"/>
          <w:sz w:val="24"/>
          <w:szCs w:val="24"/>
        </w:rPr>
        <w:t>nění systému spolupráce s MEO a </w:t>
      </w:r>
      <w:r w:rsidRPr="00295CC2">
        <w:rPr>
          <w:rFonts w:ascii="Calibri" w:eastAsia="Calibri" w:hAnsi="Calibri" w:cs="Calibri"/>
          <w:sz w:val="24"/>
          <w:szCs w:val="24"/>
        </w:rPr>
        <w:t>dosažení úspor tak nebylo účinné.</w:t>
      </w:r>
      <w:r w:rsidRPr="00295CC2">
        <w:rPr>
          <w:rFonts w:ascii="Calibri" w:hAnsi="Calibri" w:cs="Calibri"/>
          <w:sz w:val="24"/>
          <w:szCs w:val="24"/>
        </w:rPr>
        <w:t xml:space="preserve"> </w:t>
      </w:r>
    </w:p>
    <w:p w14:paraId="34E64F80" w14:textId="77777777" w:rsidR="00295CC2" w:rsidRPr="00295CC2" w:rsidRDefault="00295CC2" w:rsidP="00295CC2">
      <w:pPr>
        <w:spacing w:after="0" w:line="240" w:lineRule="auto"/>
        <w:jc w:val="both"/>
        <w:rPr>
          <w:rFonts w:ascii="Calibri" w:hAnsi="Calibri" w:cs="Calibri"/>
          <w:sz w:val="24"/>
          <w:szCs w:val="24"/>
        </w:rPr>
      </w:pPr>
    </w:p>
    <w:p w14:paraId="0284A53D" w14:textId="4A45796D" w:rsidR="00E35FC6" w:rsidRPr="00295CC2" w:rsidRDefault="00E35FC6" w:rsidP="00295CC2">
      <w:pPr>
        <w:spacing w:after="0" w:line="240" w:lineRule="auto"/>
        <w:jc w:val="both"/>
        <w:rPr>
          <w:rFonts w:ascii="Calibri" w:eastAsia="Calibri" w:hAnsi="Calibri" w:cs="Calibri"/>
          <w:sz w:val="24"/>
          <w:szCs w:val="24"/>
        </w:rPr>
      </w:pPr>
      <w:r w:rsidRPr="00295CC2">
        <w:rPr>
          <w:rFonts w:ascii="Calibri" w:eastAsia="Calibri" w:hAnsi="Calibri" w:cs="Calibri"/>
          <w:sz w:val="24"/>
          <w:szCs w:val="24"/>
        </w:rPr>
        <w:t>MZV od roku 2014 mělo v rámci každoročního monitoringu k dispozici informace, na</w:t>
      </w:r>
      <w:r w:rsidR="00303EF0">
        <w:rPr>
          <w:rFonts w:ascii="Calibri" w:eastAsia="Calibri" w:hAnsi="Calibri" w:cs="Calibri"/>
          <w:sz w:val="24"/>
          <w:szCs w:val="24"/>
        </w:rPr>
        <w:t xml:space="preserve"> jejichž</w:t>
      </w:r>
      <w:r w:rsidRPr="00295CC2">
        <w:rPr>
          <w:rFonts w:ascii="Calibri" w:eastAsia="Calibri" w:hAnsi="Calibri" w:cs="Calibri"/>
          <w:sz w:val="24"/>
          <w:szCs w:val="24"/>
        </w:rPr>
        <w:t xml:space="preserve"> základě se mohlo o nové spolupráci s MEO dozvědět a zjištěné nesrovnalosti následně ověřit. MZV to však v žádném ze</w:t>
      </w:r>
      <w:r w:rsidR="00303EF0">
        <w:rPr>
          <w:rFonts w:ascii="Calibri" w:eastAsia="Calibri" w:hAnsi="Calibri" w:cs="Calibri"/>
          <w:sz w:val="24"/>
          <w:szCs w:val="24"/>
        </w:rPr>
        <w:t xml:space="preserve"> </w:t>
      </w:r>
      <w:r w:rsidRPr="00295CC2">
        <w:rPr>
          <w:rFonts w:ascii="Calibri" w:eastAsia="Calibri" w:hAnsi="Calibri" w:cs="Calibri"/>
          <w:sz w:val="24"/>
          <w:szCs w:val="24"/>
        </w:rPr>
        <w:t>zjištěných případů neučinilo.</w:t>
      </w:r>
    </w:p>
    <w:p w14:paraId="35C3D06E" w14:textId="77777777" w:rsidR="00295CC2" w:rsidRDefault="00295CC2" w:rsidP="00295CC2">
      <w:pPr>
        <w:spacing w:after="0" w:line="240" w:lineRule="auto"/>
        <w:jc w:val="both"/>
        <w:rPr>
          <w:rFonts w:ascii="Calibri" w:hAnsi="Calibri" w:cs="Calibri"/>
          <w:sz w:val="24"/>
          <w:szCs w:val="24"/>
        </w:rPr>
      </w:pPr>
    </w:p>
    <w:p w14:paraId="341FD971" w14:textId="564FB377" w:rsidR="00E35FC6" w:rsidRPr="00295CC2" w:rsidRDefault="00E35FC6" w:rsidP="00295CC2">
      <w:pPr>
        <w:spacing w:after="0" w:line="240" w:lineRule="auto"/>
        <w:jc w:val="both"/>
        <w:rPr>
          <w:rFonts w:ascii="Calibri" w:eastAsia="Calibri" w:hAnsi="Calibri" w:cs="Calibri"/>
          <w:sz w:val="24"/>
          <w:szCs w:val="24"/>
        </w:rPr>
      </w:pPr>
      <w:r w:rsidRPr="00295CC2">
        <w:rPr>
          <w:rFonts w:ascii="Calibri" w:hAnsi="Calibri" w:cs="Calibri"/>
          <w:sz w:val="24"/>
          <w:szCs w:val="24"/>
        </w:rPr>
        <w:t>MZV má dále koordinovat i sjednávání mezinárodních smluv (mj. posoudit zda jsou sjednávány v souladu se zahraničně politickými zájmy ČR)</w:t>
      </w:r>
      <w:r w:rsidR="00303EF0">
        <w:rPr>
          <w:rFonts w:ascii="Calibri" w:hAnsi="Calibri" w:cs="Calibri"/>
          <w:sz w:val="24"/>
          <w:szCs w:val="24"/>
        </w:rPr>
        <w:t xml:space="preserve"> a</w:t>
      </w:r>
      <w:r w:rsidRPr="00295CC2">
        <w:rPr>
          <w:rFonts w:ascii="Calibri" w:hAnsi="Calibri" w:cs="Calibri"/>
          <w:sz w:val="24"/>
          <w:szCs w:val="24"/>
        </w:rPr>
        <w:t xml:space="preserve"> sledov</w:t>
      </w:r>
      <w:r w:rsidR="00303EF0">
        <w:rPr>
          <w:rFonts w:ascii="Calibri" w:hAnsi="Calibri" w:cs="Calibri"/>
          <w:sz w:val="24"/>
          <w:szCs w:val="24"/>
        </w:rPr>
        <w:t>at</w:t>
      </w:r>
      <w:r w:rsidRPr="00295CC2">
        <w:rPr>
          <w:rFonts w:ascii="Calibri" w:hAnsi="Calibri" w:cs="Calibri"/>
          <w:sz w:val="24"/>
          <w:szCs w:val="24"/>
        </w:rPr>
        <w:t xml:space="preserve"> jejich dodržování. U dvou uzavřených mezinárodních smluv týkajících se spolupráce s MEO však MZV nepředložilo, jak tyto smlouvy posoudilo.</w:t>
      </w:r>
    </w:p>
    <w:p w14:paraId="44E5877C" w14:textId="77777777" w:rsidR="00295CC2" w:rsidRPr="00295CC2" w:rsidRDefault="00295CC2" w:rsidP="00295CC2">
      <w:pPr>
        <w:spacing w:after="0" w:line="240" w:lineRule="auto"/>
        <w:jc w:val="both"/>
        <w:rPr>
          <w:rFonts w:ascii="Calibri" w:eastAsiaTheme="majorEastAsia" w:hAnsi="Calibri" w:cs="Calibri"/>
          <w:sz w:val="24"/>
          <w:szCs w:val="24"/>
        </w:rPr>
      </w:pPr>
    </w:p>
    <w:p w14:paraId="348B8C2B" w14:textId="77777777" w:rsidR="00E35FC6" w:rsidRPr="00295CC2" w:rsidRDefault="00295CC2" w:rsidP="00AF2801">
      <w:pPr>
        <w:spacing w:after="0" w:line="240" w:lineRule="auto"/>
        <w:jc w:val="both"/>
        <w:rPr>
          <w:rFonts w:ascii="Calibri" w:eastAsiaTheme="majorEastAsia" w:hAnsi="Calibri" w:cs="Calibri"/>
          <w:b/>
          <w:sz w:val="24"/>
          <w:szCs w:val="24"/>
        </w:rPr>
      </w:pPr>
      <w:r w:rsidRPr="00295CC2">
        <w:rPr>
          <w:rFonts w:ascii="Calibri" w:eastAsiaTheme="majorEastAsia" w:hAnsi="Calibri" w:cs="Calibri"/>
          <w:b/>
          <w:sz w:val="24"/>
          <w:szCs w:val="24"/>
        </w:rPr>
        <w:t xml:space="preserve">2. </w:t>
      </w:r>
      <w:r w:rsidR="00E35FC6" w:rsidRPr="00295CC2">
        <w:rPr>
          <w:rFonts w:ascii="Calibri" w:eastAsiaTheme="majorEastAsia" w:hAnsi="Calibri" w:cs="Calibri"/>
          <w:b/>
          <w:sz w:val="24"/>
          <w:szCs w:val="24"/>
        </w:rPr>
        <w:t>Monitoring prováděný MZV vyhodnotil NKÚ jako neúčelný</w:t>
      </w:r>
    </w:p>
    <w:p w14:paraId="688D2B94" w14:textId="77777777" w:rsidR="00295CC2" w:rsidRDefault="00295CC2" w:rsidP="00AF2801">
      <w:pPr>
        <w:spacing w:after="0" w:line="240" w:lineRule="auto"/>
        <w:jc w:val="both"/>
        <w:rPr>
          <w:rFonts w:ascii="Calibri" w:hAnsi="Calibri" w:cs="Calibri"/>
          <w:sz w:val="24"/>
          <w:szCs w:val="24"/>
        </w:rPr>
      </w:pPr>
    </w:p>
    <w:p w14:paraId="0ACDC46E" w14:textId="77777777" w:rsidR="00E35FC6" w:rsidRPr="00295CC2" w:rsidRDefault="00E35FC6" w:rsidP="00295CC2">
      <w:pPr>
        <w:pStyle w:val="Odstavecseseznamem"/>
        <w:numPr>
          <w:ilvl w:val="0"/>
          <w:numId w:val="33"/>
        </w:numPr>
        <w:spacing w:after="0" w:line="240" w:lineRule="auto"/>
        <w:ind w:left="284" w:hanging="284"/>
        <w:jc w:val="both"/>
        <w:rPr>
          <w:rFonts w:ascii="Calibri" w:hAnsi="Calibri" w:cs="Calibri"/>
          <w:b/>
          <w:sz w:val="24"/>
          <w:szCs w:val="24"/>
        </w:rPr>
      </w:pPr>
      <w:r w:rsidRPr="00295CC2">
        <w:rPr>
          <w:rFonts w:ascii="Calibri" w:hAnsi="Calibri" w:cs="Calibri"/>
          <w:b/>
          <w:sz w:val="24"/>
          <w:szCs w:val="24"/>
        </w:rPr>
        <w:t>Ani po sedmi letech MZV nespecifikovalo kritéria pro monitoring přínosů spolupráce s MEO</w:t>
      </w:r>
    </w:p>
    <w:p w14:paraId="12F56683" w14:textId="77777777" w:rsidR="00295CC2" w:rsidRDefault="00295CC2" w:rsidP="00AF2801">
      <w:pPr>
        <w:spacing w:after="0" w:line="240" w:lineRule="auto"/>
        <w:jc w:val="both"/>
        <w:rPr>
          <w:rFonts w:ascii="Calibri" w:hAnsi="Calibri" w:cs="Calibri"/>
          <w:sz w:val="24"/>
          <w:szCs w:val="24"/>
        </w:rPr>
      </w:pPr>
    </w:p>
    <w:p w14:paraId="6B6A6C0E" w14:textId="129210F0" w:rsidR="00E35FC6" w:rsidRDefault="00E35FC6" w:rsidP="00AF2801">
      <w:pPr>
        <w:spacing w:after="0" w:line="240" w:lineRule="auto"/>
        <w:jc w:val="both"/>
        <w:rPr>
          <w:rFonts w:ascii="Calibri" w:hAnsi="Calibri" w:cs="Calibri"/>
          <w:sz w:val="24"/>
          <w:szCs w:val="24"/>
        </w:rPr>
      </w:pPr>
      <w:r w:rsidRPr="00AF2801">
        <w:rPr>
          <w:rFonts w:ascii="Calibri" w:hAnsi="Calibri" w:cs="Calibri"/>
          <w:sz w:val="24"/>
          <w:szCs w:val="24"/>
        </w:rPr>
        <w:t xml:space="preserve">MZV v rámci plnění úkolů stanovených v příslušných UV nedefinovalo pojem „mezinárodní organizace“, resp. neupřesnilo, jaké typy MEO mají gesční resorty sledovat. Rovněž termín „členství v MEO“ používalo MZV nejednoznačným způsobem. MZV tak ponechalo na rozhodnutí jednotlivých gestorů, jaké organizace či instituce budou do přehledů uvádět. Vzhledem k chybějící metodice/kritériím sběru nemusí být informace od jednotlivých </w:t>
      </w:r>
      <w:r w:rsidR="00295CC2">
        <w:rPr>
          <w:rFonts w:ascii="Calibri" w:hAnsi="Calibri" w:cs="Calibri"/>
          <w:sz w:val="24"/>
          <w:szCs w:val="24"/>
        </w:rPr>
        <w:t>gestorů vzájemně porovnatelné a </w:t>
      </w:r>
      <w:r w:rsidRPr="00AF2801">
        <w:rPr>
          <w:rFonts w:ascii="Calibri" w:hAnsi="Calibri" w:cs="Calibri"/>
          <w:sz w:val="24"/>
          <w:szCs w:val="24"/>
        </w:rPr>
        <w:t>úplné. MZV neposkytlo ostatním resortům ani pokyny k </w:t>
      </w:r>
      <w:r w:rsidR="00295CC2">
        <w:rPr>
          <w:rFonts w:ascii="Calibri" w:hAnsi="Calibri" w:cs="Calibri"/>
          <w:sz w:val="24"/>
          <w:szCs w:val="24"/>
        </w:rPr>
        <w:t>podávání informací o působení a </w:t>
      </w:r>
      <w:r w:rsidRPr="00AF2801">
        <w:rPr>
          <w:rFonts w:ascii="Calibri" w:hAnsi="Calibri" w:cs="Calibri"/>
          <w:sz w:val="24"/>
          <w:szCs w:val="24"/>
        </w:rPr>
        <w:t xml:space="preserve">přínosech spolupráce s MEO a neřídilo se tak UV </w:t>
      </w:r>
      <w:r w:rsidR="00303EF0">
        <w:rPr>
          <w:rFonts w:ascii="Calibri" w:hAnsi="Calibri" w:cs="Calibri"/>
          <w:sz w:val="24"/>
          <w:szCs w:val="24"/>
        </w:rPr>
        <w:t>č. </w:t>
      </w:r>
      <w:r w:rsidRPr="00AF2801">
        <w:rPr>
          <w:rFonts w:ascii="Calibri" w:hAnsi="Calibri" w:cs="Calibri"/>
          <w:sz w:val="24"/>
          <w:szCs w:val="24"/>
        </w:rPr>
        <w:t xml:space="preserve">317/2013. Po jednotlivých gestorech požadovalo pouze aktualizaci přehledu MEO a informaci o vyplacených povinných příspěvcích, což </w:t>
      </w:r>
      <w:r w:rsidRPr="00AF2801">
        <w:rPr>
          <w:rFonts w:ascii="Calibri" w:hAnsi="Calibri" w:cs="Calibri"/>
          <w:sz w:val="24"/>
          <w:szCs w:val="24"/>
        </w:rPr>
        <w:lastRenderedPageBreak/>
        <w:t>neodpovídalo požadavkům UV 317/2013</w:t>
      </w:r>
      <w:r w:rsidRPr="00AF2801">
        <w:rPr>
          <w:rFonts w:ascii="Calibri" w:eastAsia="Times New Roman" w:hAnsi="Calibri" w:cs="Calibri"/>
          <w:sz w:val="24"/>
          <w:szCs w:val="24"/>
          <w:vertAlign w:val="superscript"/>
          <w:lang w:eastAsia="cs-CZ"/>
        </w:rPr>
        <w:footnoteReference w:id="7"/>
      </w:r>
      <w:r w:rsidRPr="00AF2801">
        <w:rPr>
          <w:rFonts w:ascii="Calibri" w:hAnsi="Calibri" w:cs="Calibri"/>
          <w:sz w:val="24"/>
          <w:szCs w:val="24"/>
        </w:rPr>
        <w:t xml:space="preserve">. Jednotliví gestoři (s výjimkou MŠMT) v podkladech předložených MZV informace o působení a přínosech spolupráce nepodávali. V oblasti hodnocení působení a přínosů spolupráce ČR s MEO nedošlo z důvodu nedůsledného plnění stanovených úkolů jak ze strany gesčních resortů, tak ze strany MZV </w:t>
      </w:r>
      <w:r w:rsidR="00884A1D" w:rsidRPr="00AF2801">
        <w:rPr>
          <w:rFonts w:ascii="Calibri" w:hAnsi="Calibri" w:cs="Calibri"/>
          <w:sz w:val="24"/>
          <w:szCs w:val="24"/>
        </w:rPr>
        <w:t xml:space="preserve">ke kvalitativní změně </w:t>
      </w:r>
      <w:r w:rsidRPr="00AF2801">
        <w:rPr>
          <w:rFonts w:ascii="Calibri" w:hAnsi="Calibri" w:cs="Calibri"/>
          <w:sz w:val="24"/>
          <w:szCs w:val="24"/>
        </w:rPr>
        <w:t xml:space="preserve">oproti stavu před přijetím UV </w:t>
      </w:r>
      <w:r w:rsidR="00E87499">
        <w:rPr>
          <w:rFonts w:ascii="Calibri" w:hAnsi="Calibri" w:cs="Calibri"/>
          <w:sz w:val="24"/>
          <w:szCs w:val="24"/>
        </w:rPr>
        <w:t>č. </w:t>
      </w:r>
      <w:r w:rsidRPr="00AF2801">
        <w:rPr>
          <w:rFonts w:ascii="Calibri" w:hAnsi="Calibri" w:cs="Calibri"/>
          <w:sz w:val="24"/>
          <w:szCs w:val="24"/>
        </w:rPr>
        <w:t>317/2013.</w:t>
      </w:r>
    </w:p>
    <w:p w14:paraId="6CC04553" w14:textId="77777777" w:rsidR="00295CC2" w:rsidRPr="00AF2801" w:rsidRDefault="00295CC2" w:rsidP="00AF2801">
      <w:pPr>
        <w:spacing w:after="0" w:line="240" w:lineRule="auto"/>
        <w:jc w:val="both"/>
        <w:rPr>
          <w:rFonts w:ascii="Calibri" w:hAnsi="Calibri" w:cs="Calibri"/>
          <w:sz w:val="24"/>
          <w:szCs w:val="24"/>
        </w:rPr>
      </w:pPr>
    </w:p>
    <w:p w14:paraId="27308541" w14:textId="5EFEE703" w:rsidR="00E35FC6" w:rsidRPr="00295CC2" w:rsidRDefault="00E35FC6" w:rsidP="007F57B6">
      <w:pPr>
        <w:pStyle w:val="Odstavecseseznamem"/>
        <w:numPr>
          <w:ilvl w:val="0"/>
          <w:numId w:val="32"/>
        </w:numPr>
        <w:spacing w:after="0" w:line="240" w:lineRule="auto"/>
        <w:ind w:left="284" w:hanging="284"/>
        <w:jc w:val="both"/>
        <w:rPr>
          <w:rFonts w:ascii="Calibri" w:hAnsi="Calibri" w:cs="Calibri"/>
          <w:b/>
          <w:sz w:val="24"/>
          <w:szCs w:val="24"/>
        </w:rPr>
      </w:pPr>
      <w:r w:rsidRPr="00295CC2">
        <w:rPr>
          <w:rFonts w:ascii="Calibri" w:hAnsi="Calibri" w:cs="Calibri"/>
          <w:b/>
          <w:sz w:val="24"/>
          <w:szCs w:val="24"/>
        </w:rPr>
        <w:t xml:space="preserve">Na nadresortní úrovni neexistovaly spolehlivé informace o spolupráci s MEO. Z důvodu neúplné evidence provedl NKÚ vlastní dotazníkové šetření </w:t>
      </w:r>
    </w:p>
    <w:p w14:paraId="0B74CB15" w14:textId="77777777" w:rsidR="00295CC2" w:rsidRPr="00AF2801" w:rsidRDefault="00295CC2" w:rsidP="00AF2801">
      <w:pPr>
        <w:spacing w:after="0" w:line="240" w:lineRule="auto"/>
        <w:jc w:val="both"/>
        <w:rPr>
          <w:rFonts w:ascii="Calibri" w:eastAsiaTheme="majorEastAsia" w:hAnsi="Calibri" w:cs="Calibri"/>
          <w:sz w:val="24"/>
          <w:szCs w:val="24"/>
        </w:rPr>
      </w:pPr>
    </w:p>
    <w:p w14:paraId="1A9FAE83" w14:textId="369B5572" w:rsidR="00E35FC6" w:rsidRPr="00295CC2" w:rsidRDefault="00E35FC6" w:rsidP="00AF2801">
      <w:pPr>
        <w:spacing w:after="0" w:line="240" w:lineRule="auto"/>
        <w:jc w:val="both"/>
        <w:rPr>
          <w:rFonts w:ascii="Calibri" w:hAnsi="Calibri" w:cs="Calibri"/>
          <w:sz w:val="24"/>
          <w:szCs w:val="24"/>
        </w:rPr>
      </w:pPr>
      <w:r w:rsidRPr="00AF2801">
        <w:rPr>
          <w:rFonts w:ascii="Calibri" w:hAnsi="Calibri" w:cs="Calibri"/>
          <w:sz w:val="24"/>
          <w:szCs w:val="24"/>
        </w:rPr>
        <w:t xml:space="preserve">MZV neoslovovalo všechny resorty, které měly MEO v gesci, a nemělo ani požadované podklady od některých oslovených resortů. MZV </w:t>
      </w:r>
      <w:r w:rsidR="003A58E9">
        <w:rPr>
          <w:rFonts w:ascii="Calibri" w:hAnsi="Calibri" w:cs="Calibri"/>
          <w:sz w:val="24"/>
          <w:szCs w:val="24"/>
        </w:rPr>
        <w:t>tudíž</w:t>
      </w:r>
      <w:r w:rsidRPr="00AF2801">
        <w:rPr>
          <w:rFonts w:ascii="Calibri" w:hAnsi="Calibri" w:cs="Calibri"/>
          <w:sz w:val="24"/>
          <w:szCs w:val="24"/>
        </w:rPr>
        <w:t xml:space="preserve"> nedisponovalo všemi relevantními informacemi, na </w:t>
      </w:r>
      <w:r w:rsidR="00E87499">
        <w:rPr>
          <w:rFonts w:ascii="Calibri" w:hAnsi="Calibri" w:cs="Calibri"/>
          <w:sz w:val="24"/>
          <w:szCs w:val="24"/>
        </w:rPr>
        <w:t xml:space="preserve">jejichž </w:t>
      </w:r>
      <w:r w:rsidRPr="00AF2801">
        <w:rPr>
          <w:rFonts w:ascii="Calibri" w:hAnsi="Calibri" w:cs="Calibri"/>
          <w:sz w:val="24"/>
          <w:szCs w:val="24"/>
        </w:rPr>
        <w:t xml:space="preserve">základě by mohlo v součinnosti s gesčními resorty sledovat spolupráci s MEO. </w:t>
      </w:r>
      <w:r w:rsidRPr="00AF2801">
        <w:rPr>
          <w:rFonts w:ascii="Calibri" w:eastAsia="Calibri" w:hAnsi="Calibri" w:cs="Calibri"/>
          <w:sz w:val="24"/>
          <w:szCs w:val="24"/>
        </w:rPr>
        <w:t>MZV sbírané informace kromě zpracování pracovních přehledů MEO v roce 2014 a 2017</w:t>
      </w:r>
      <w:r w:rsidRPr="00AF2801">
        <w:rPr>
          <w:rFonts w:ascii="Calibri" w:hAnsi="Calibri" w:cs="Calibri"/>
          <w:sz w:val="24"/>
          <w:szCs w:val="24"/>
        </w:rPr>
        <w:t>, které však nebyly úplné a spolehlivé,</w:t>
      </w:r>
      <w:r w:rsidRPr="00AF2801">
        <w:rPr>
          <w:rFonts w:ascii="Calibri" w:eastAsia="Calibri" w:hAnsi="Calibri" w:cs="Calibri"/>
          <w:sz w:val="24"/>
          <w:szCs w:val="24"/>
        </w:rPr>
        <w:t xml:space="preserve"> dále nevyužívalo. </w:t>
      </w:r>
      <w:r w:rsidRPr="00AF2801">
        <w:rPr>
          <w:rFonts w:ascii="Calibri" w:hAnsi="Calibri" w:cs="Calibri"/>
          <w:sz w:val="24"/>
          <w:szCs w:val="24"/>
        </w:rPr>
        <w:t xml:space="preserve">Sběr v podobě, v jaké jej provádělo MZV, byl neúčelný a představoval pouze administrativní zátěž pro ostatní resorty bez zřejmého přínosu této činnosti. </w:t>
      </w:r>
      <w:r w:rsidRPr="00AF2801">
        <w:rPr>
          <w:rFonts w:ascii="Calibri" w:hAnsi="Calibri" w:cs="Calibri"/>
          <w:color w:val="1F2123"/>
          <w:sz w:val="24"/>
          <w:szCs w:val="24"/>
        </w:rPr>
        <w:t>Vzhledem k tomu, že MZV nemělo za období 2014</w:t>
      </w:r>
      <w:r w:rsidRPr="00AF2801">
        <w:rPr>
          <w:rFonts w:ascii="Calibri" w:eastAsia="Calibri" w:hAnsi="Calibri" w:cs="Calibri"/>
          <w:sz w:val="24"/>
          <w:szCs w:val="24"/>
        </w:rPr>
        <w:t>–</w:t>
      </w:r>
      <w:r w:rsidRPr="00AF2801">
        <w:rPr>
          <w:rFonts w:ascii="Calibri" w:hAnsi="Calibri" w:cs="Calibri"/>
          <w:color w:val="1F2123"/>
          <w:sz w:val="24"/>
          <w:szCs w:val="24"/>
        </w:rPr>
        <w:t>2018 k dispozici úplná a spolehlivá data o MEO a</w:t>
      </w:r>
      <w:r w:rsidR="00295CC2">
        <w:rPr>
          <w:rFonts w:ascii="Calibri" w:hAnsi="Calibri" w:cs="Calibri"/>
          <w:color w:val="1F2123"/>
          <w:sz w:val="24"/>
          <w:szCs w:val="24"/>
        </w:rPr>
        <w:t> </w:t>
      </w:r>
      <w:r w:rsidRPr="00AF2801">
        <w:rPr>
          <w:rFonts w:ascii="Calibri" w:hAnsi="Calibri" w:cs="Calibri"/>
          <w:color w:val="1F2123"/>
          <w:sz w:val="24"/>
          <w:szCs w:val="24"/>
        </w:rPr>
        <w:t>o</w:t>
      </w:r>
      <w:r w:rsidR="00295CC2">
        <w:rPr>
          <w:rFonts w:ascii="Calibri" w:hAnsi="Calibri" w:cs="Calibri"/>
          <w:color w:val="1F2123"/>
          <w:sz w:val="24"/>
          <w:szCs w:val="24"/>
        </w:rPr>
        <w:t> </w:t>
      </w:r>
      <w:r w:rsidRPr="00AF2801">
        <w:rPr>
          <w:rFonts w:ascii="Calibri" w:hAnsi="Calibri" w:cs="Calibri"/>
          <w:color w:val="1F2123"/>
          <w:sz w:val="24"/>
          <w:szCs w:val="24"/>
        </w:rPr>
        <w:t xml:space="preserve">přínosech spolupráce s nimi, oslovil NKÚ všechny správce kapitol státního rozpočtu (dále také „SR“) a Českou národní banku (dále také ČNB“) s žádostí o vyplnění dotazníku. </w:t>
      </w:r>
      <w:r w:rsidRPr="00AF2801">
        <w:rPr>
          <w:rFonts w:ascii="Calibri" w:hAnsi="Calibri" w:cs="Calibri"/>
          <w:sz w:val="24"/>
          <w:szCs w:val="24"/>
        </w:rPr>
        <w:t>Na dotazníkové šetření odpověděli všichni respondenti. Ze šetření vyplynulo, že ČR v roce 2018 spolupracovala s </w:t>
      </w:r>
      <w:r w:rsidRPr="00AF2801">
        <w:rPr>
          <w:rFonts w:ascii="Calibri" w:hAnsi="Calibri" w:cs="Calibri"/>
          <w:sz w:val="24"/>
          <w:szCs w:val="24"/>
          <w:lang w:eastAsia="cs-CZ"/>
        </w:rPr>
        <w:t xml:space="preserve">477 MEO a poskytla jim 4,441 mld. Kč. </w:t>
      </w:r>
      <w:r w:rsidRPr="00AF2801">
        <w:rPr>
          <w:rFonts w:ascii="Calibri" w:hAnsi="Calibri" w:cs="Calibri"/>
          <w:sz w:val="24"/>
          <w:szCs w:val="24"/>
        </w:rPr>
        <w:t>Vybrané výsledky tohoto šetření jsou uvedeny v </w:t>
      </w:r>
      <w:r w:rsidR="00E87499">
        <w:rPr>
          <w:rFonts w:ascii="Calibri" w:hAnsi="Calibri" w:cs="Calibri"/>
          <w:sz w:val="24"/>
          <w:szCs w:val="24"/>
        </w:rPr>
        <w:t>p</w:t>
      </w:r>
      <w:r w:rsidR="003A58E9">
        <w:rPr>
          <w:rFonts w:ascii="Calibri" w:hAnsi="Calibri" w:cs="Calibri"/>
          <w:sz w:val="24"/>
          <w:szCs w:val="24"/>
        </w:rPr>
        <w:t>říloze č. </w:t>
      </w:r>
      <w:r w:rsidRPr="00AF2801">
        <w:rPr>
          <w:rFonts w:ascii="Calibri" w:hAnsi="Calibri" w:cs="Calibri"/>
          <w:sz w:val="24"/>
          <w:szCs w:val="24"/>
        </w:rPr>
        <w:t xml:space="preserve">1 </w:t>
      </w:r>
      <w:r w:rsidR="003A58E9">
        <w:rPr>
          <w:rFonts w:ascii="Calibri" w:hAnsi="Calibri" w:cs="Calibri"/>
          <w:sz w:val="24"/>
          <w:szCs w:val="24"/>
        </w:rPr>
        <w:t xml:space="preserve">tohoto kontrolního závěru </w:t>
      </w:r>
      <w:r w:rsidRPr="00295CC2">
        <w:rPr>
          <w:rFonts w:ascii="Calibri" w:hAnsi="Calibri" w:cs="Calibri"/>
          <w:sz w:val="24"/>
          <w:szCs w:val="24"/>
        </w:rPr>
        <w:t>(</w:t>
      </w:r>
      <w:r w:rsidR="00E87499">
        <w:rPr>
          <w:rFonts w:ascii="Calibri" w:hAnsi="Calibri" w:cs="Calibri"/>
          <w:sz w:val="24"/>
          <w:szCs w:val="24"/>
        </w:rPr>
        <w:t xml:space="preserve">viz </w:t>
      </w:r>
      <w:hyperlink r:id="rId10" w:history="1">
        <w:r w:rsidRPr="00295CC2">
          <w:rPr>
            <w:rStyle w:val="Hypertextovodkaz"/>
            <w:sz w:val="24"/>
            <w:szCs w:val="24"/>
            <w:u w:val="none"/>
          </w:rPr>
          <w:t>https://www.nku.cz/scripts/detail.php?id=11033</w:t>
        </w:r>
      </w:hyperlink>
      <w:r w:rsidRPr="00295CC2">
        <w:rPr>
          <w:rFonts w:ascii="Calibri" w:hAnsi="Calibri" w:cs="Calibri"/>
          <w:sz w:val="24"/>
          <w:szCs w:val="24"/>
        </w:rPr>
        <w:t xml:space="preserve">). </w:t>
      </w:r>
    </w:p>
    <w:p w14:paraId="7AF68ECF" w14:textId="77777777" w:rsidR="00295CC2" w:rsidRPr="00295CC2" w:rsidRDefault="00295CC2" w:rsidP="00AF2801">
      <w:pPr>
        <w:spacing w:after="0" w:line="240" w:lineRule="auto"/>
        <w:jc w:val="both"/>
        <w:rPr>
          <w:rFonts w:ascii="Calibri" w:hAnsi="Calibri" w:cs="Calibri"/>
          <w:sz w:val="24"/>
        </w:rPr>
      </w:pPr>
    </w:p>
    <w:p w14:paraId="5FD19661" w14:textId="77777777" w:rsidR="00E35FC6" w:rsidRPr="00DB5D3D" w:rsidRDefault="00DB5D3D" w:rsidP="009213E8">
      <w:pPr>
        <w:spacing w:after="0" w:line="240" w:lineRule="auto"/>
        <w:jc w:val="both"/>
        <w:rPr>
          <w:rFonts w:ascii="Calibri" w:hAnsi="Calibri" w:cs="Calibri"/>
          <w:b/>
          <w:sz w:val="24"/>
          <w:szCs w:val="24"/>
        </w:rPr>
      </w:pPr>
      <w:r w:rsidRPr="00DB5D3D">
        <w:rPr>
          <w:rFonts w:ascii="Calibri" w:hAnsi="Calibri" w:cs="Calibri"/>
          <w:b/>
          <w:sz w:val="24"/>
          <w:szCs w:val="24"/>
        </w:rPr>
        <w:t xml:space="preserve">3. </w:t>
      </w:r>
      <w:r w:rsidR="00E35FC6" w:rsidRPr="00DB5D3D">
        <w:rPr>
          <w:rFonts w:ascii="Calibri" w:hAnsi="Calibri" w:cs="Calibri"/>
          <w:b/>
          <w:sz w:val="24"/>
          <w:szCs w:val="24"/>
        </w:rPr>
        <w:t>Výše realizovaných úspor byla minimální</w:t>
      </w:r>
    </w:p>
    <w:p w14:paraId="0682F8C2" w14:textId="77777777" w:rsidR="00DB5D3D" w:rsidRDefault="00DB5D3D" w:rsidP="009213E8">
      <w:pPr>
        <w:spacing w:after="0" w:line="240" w:lineRule="auto"/>
        <w:jc w:val="both"/>
        <w:rPr>
          <w:rFonts w:ascii="Calibri" w:hAnsi="Calibri" w:cs="Calibri"/>
          <w:sz w:val="24"/>
          <w:szCs w:val="24"/>
        </w:rPr>
      </w:pPr>
    </w:p>
    <w:p w14:paraId="698DE511" w14:textId="5F847F5A" w:rsidR="00E35FC6" w:rsidRPr="009213E8" w:rsidRDefault="00E35FC6" w:rsidP="009213E8">
      <w:pPr>
        <w:spacing w:after="0" w:line="240" w:lineRule="auto"/>
        <w:jc w:val="both"/>
        <w:rPr>
          <w:rFonts w:ascii="Calibri" w:hAnsi="Calibri" w:cs="Calibri"/>
          <w:sz w:val="24"/>
          <w:szCs w:val="24"/>
        </w:rPr>
      </w:pPr>
      <w:r w:rsidRPr="009213E8">
        <w:rPr>
          <w:rFonts w:ascii="Calibri" w:hAnsi="Calibri" w:cs="Calibri"/>
          <w:sz w:val="24"/>
          <w:szCs w:val="24"/>
        </w:rPr>
        <w:t xml:space="preserve">UV </w:t>
      </w:r>
      <w:r w:rsidR="00E87499">
        <w:rPr>
          <w:rFonts w:ascii="Calibri" w:hAnsi="Calibri" w:cs="Calibri"/>
          <w:sz w:val="24"/>
          <w:szCs w:val="24"/>
        </w:rPr>
        <w:t>č. </w:t>
      </w:r>
      <w:r w:rsidRPr="009213E8">
        <w:rPr>
          <w:rFonts w:ascii="Calibri" w:hAnsi="Calibri" w:cs="Calibri"/>
          <w:sz w:val="24"/>
          <w:szCs w:val="24"/>
        </w:rPr>
        <w:t>317/2013 uložilo gesčním resortům identifikovat úspory. Jednotliví gestoři navrhli úspory u 16 z celkových 469 MEO</w:t>
      </w:r>
      <w:r w:rsidRPr="009213E8">
        <w:rPr>
          <w:rStyle w:val="Znakapoznpodarou"/>
          <w:rFonts w:ascii="Calibri" w:hAnsi="Calibri" w:cs="Calibri"/>
          <w:sz w:val="24"/>
          <w:szCs w:val="24"/>
        </w:rPr>
        <w:footnoteReference w:id="8"/>
      </w:r>
      <w:r w:rsidRPr="009213E8">
        <w:rPr>
          <w:rFonts w:ascii="Calibri" w:hAnsi="Calibri" w:cs="Calibri"/>
          <w:sz w:val="24"/>
          <w:szCs w:val="24"/>
        </w:rPr>
        <w:t xml:space="preserve">, a to ve výši přes 18 mil. Kč od roku 2015, což představovalo 0,5 % všech prostředků ročně poskytovaných MEO. MZV následně nesledovalo, zda gestoři </w:t>
      </w:r>
      <w:r w:rsidR="00F25566" w:rsidRPr="009213E8">
        <w:rPr>
          <w:rFonts w:ascii="Calibri" w:hAnsi="Calibri" w:cs="Calibri"/>
          <w:sz w:val="24"/>
          <w:szCs w:val="24"/>
        </w:rPr>
        <w:t xml:space="preserve">skutečně realizují </w:t>
      </w:r>
      <w:r w:rsidRPr="009213E8">
        <w:rPr>
          <w:rFonts w:ascii="Calibri" w:hAnsi="Calibri" w:cs="Calibri"/>
          <w:sz w:val="24"/>
          <w:szCs w:val="24"/>
        </w:rPr>
        <w:t>úspory, ke kterým se zavázali. NKÚ přitom zjistil, že příslušní gestoři včetně MZV i nadále poskytovali platby některým z MEO, u kterých navrhli ukončení členství či plateb. Jen za rok 2018 jim uhradili 10,5 mil. Kč.</w:t>
      </w:r>
    </w:p>
    <w:p w14:paraId="0399BF08" w14:textId="77777777" w:rsidR="00DB5D3D" w:rsidRDefault="00DB5D3D" w:rsidP="009213E8">
      <w:pPr>
        <w:spacing w:after="0" w:line="240" w:lineRule="auto"/>
        <w:jc w:val="both"/>
        <w:rPr>
          <w:rFonts w:ascii="Calibri" w:hAnsi="Calibri" w:cs="Calibri"/>
          <w:sz w:val="24"/>
          <w:szCs w:val="24"/>
        </w:rPr>
      </w:pPr>
    </w:p>
    <w:p w14:paraId="3C424111" w14:textId="77777777" w:rsidR="00E35FC6" w:rsidRPr="009213E8" w:rsidRDefault="00E35FC6" w:rsidP="009213E8">
      <w:pPr>
        <w:spacing w:after="0" w:line="240" w:lineRule="auto"/>
        <w:jc w:val="both"/>
        <w:rPr>
          <w:rFonts w:ascii="Calibri" w:hAnsi="Calibri" w:cs="Calibri"/>
          <w:sz w:val="24"/>
          <w:szCs w:val="24"/>
        </w:rPr>
      </w:pPr>
      <w:r w:rsidRPr="009213E8">
        <w:rPr>
          <w:rFonts w:ascii="Calibri" w:hAnsi="Calibri" w:cs="Calibri"/>
          <w:sz w:val="24"/>
          <w:szCs w:val="24"/>
        </w:rPr>
        <w:t xml:space="preserve">Další možné úspory představují kursové rozdíly v úhradě příspěvků MEO. MZV zahájilo v roce 2014 spolupráci s MF, jejímž cílem bylo dosažení úspor při hrazení povinných příspěvků MEO. NKÚ však zjistil, že MZV platby ve výši 74 mil. Kč hradilo i nadále přímo, čímž nedosáhlo úspor. </w:t>
      </w:r>
    </w:p>
    <w:p w14:paraId="54C6F4A1" w14:textId="77777777" w:rsidR="00DB5D3D" w:rsidRDefault="00DB5D3D" w:rsidP="009213E8">
      <w:pPr>
        <w:spacing w:after="0" w:line="240" w:lineRule="auto"/>
        <w:jc w:val="both"/>
        <w:rPr>
          <w:rFonts w:ascii="Calibri" w:hAnsi="Calibri" w:cs="Calibri"/>
          <w:sz w:val="24"/>
          <w:szCs w:val="24"/>
        </w:rPr>
      </w:pPr>
    </w:p>
    <w:p w14:paraId="6FA39AF4" w14:textId="77777777" w:rsidR="00E35FC6" w:rsidRPr="00DB5D3D" w:rsidRDefault="00DB5D3D" w:rsidP="00DB5D3D">
      <w:pPr>
        <w:spacing w:after="0" w:line="240" w:lineRule="auto"/>
        <w:rPr>
          <w:rFonts w:ascii="Calibri" w:hAnsi="Calibri" w:cs="Calibri"/>
          <w:b/>
          <w:sz w:val="24"/>
          <w:szCs w:val="24"/>
        </w:rPr>
      </w:pPr>
      <w:r w:rsidRPr="00DB5D3D">
        <w:rPr>
          <w:rFonts w:ascii="Calibri" w:hAnsi="Calibri" w:cs="Calibri"/>
          <w:b/>
          <w:sz w:val="24"/>
          <w:szCs w:val="24"/>
        </w:rPr>
        <w:t xml:space="preserve">4. </w:t>
      </w:r>
      <w:r w:rsidR="00E35FC6" w:rsidRPr="00DB5D3D">
        <w:rPr>
          <w:rFonts w:ascii="Calibri" w:hAnsi="Calibri" w:cs="Calibri"/>
          <w:b/>
          <w:sz w:val="24"/>
          <w:szCs w:val="24"/>
        </w:rPr>
        <w:t>MZV v průběhu čtyř let od vzniku meziresortní pracovní skupi</w:t>
      </w:r>
      <w:r>
        <w:rPr>
          <w:rFonts w:ascii="Calibri" w:hAnsi="Calibri" w:cs="Calibri"/>
          <w:b/>
          <w:sz w:val="24"/>
          <w:szCs w:val="24"/>
        </w:rPr>
        <w:t>ny tuto skupinu znovu nesvolalo</w:t>
      </w:r>
    </w:p>
    <w:p w14:paraId="727C7401" w14:textId="77777777" w:rsidR="009213E8" w:rsidRDefault="009213E8" w:rsidP="009213E8">
      <w:pPr>
        <w:spacing w:after="0" w:line="240" w:lineRule="auto"/>
        <w:jc w:val="both"/>
        <w:rPr>
          <w:rFonts w:ascii="Calibri" w:hAnsi="Calibri" w:cs="Calibri"/>
          <w:sz w:val="24"/>
          <w:szCs w:val="24"/>
        </w:rPr>
      </w:pPr>
    </w:p>
    <w:p w14:paraId="2B7B43D3" w14:textId="4478AF73" w:rsidR="00E35FC6" w:rsidRPr="009213E8" w:rsidRDefault="00E35FC6" w:rsidP="009213E8">
      <w:pPr>
        <w:spacing w:after="0" w:line="240" w:lineRule="auto"/>
        <w:jc w:val="both"/>
        <w:rPr>
          <w:rFonts w:ascii="Calibri" w:hAnsi="Calibri" w:cs="Calibri"/>
          <w:bCs/>
          <w:sz w:val="24"/>
          <w:szCs w:val="24"/>
        </w:rPr>
      </w:pPr>
      <w:r w:rsidRPr="009213E8">
        <w:rPr>
          <w:rFonts w:ascii="Calibri" w:hAnsi="Calibri" w:cs="Calibri"/>
          <w:sz w:val="24"/>
          <w:szCs w:val="24"/>
        </w:rPr>
        <w:t>Již v roce 2015 vzešla potřeba vytvoření meziresortní pracovní skupiny, v </w:t>
      </w:r>
      <w:r w:rsidR="00E87499">
        <w:rPr>
          <w:rFonts w:ascii="Calibri" w:hAnsi="Calibri" w:cs="Calibri"/>
          <w:sz w:val="24"/>
          <w:szCs w:val="24"/>
        </w:rPr>
        <w:t xml:space="preserve">jejímž </w:t>
      </w:r>
      <w:r w:rsidRPr="009213E8">
        <w:rPr>
          <w:rFonts w:ascii="Calibri" w:hAnsi="Calibri" w:cs="Calibri"/>
          <w:sz w:val="24"/>
          <w:szCs w:val="24"/>
        </w:rPr>
        <w:t xml:space="preserve">rámci měla probíhat vzájemná výměna informací a diskuse o žádoucích postupech ČR v MEO a doporučeních MZV. </w:t>
      </w:r>
      <w:r w:rsidR="00F25566">
        <w:rPr>
          <w:rStyle w:val="NzevChar"/>
          <w:rFonts w:ascii="Calibri" w:eastAsiaTheme="majorEastAsia" w:hAnsi="Calibri" w:cs="Calibri"/>
        </w:rPr>
        <w:t>Přestože</w:t>
      </w:r>
      <w:r w:rsidRPr="009213E8">
        <w:rPr>
          <w:rStyle w:val="NzevChar"/>
          <w:rFonts w:ascii="Calibri" w:eastAsiaTheme="majorEastAsia" w:hAnsi="Calibri" w:cs="Calibri"/>
        </w:rPr>
        <w:t xml:space="preserve"> zúčastnění považovali první jednání pracovní skup</w:t>
      </w:r>
      <w:r w:rsidR="009213E8">
        <w:rPr>
          <w:rStyle w:val="NzevChar"/>
          <w:rFonts w:ascii="Calibri" w:eastAsiaTheme="majorEastAsia" w:hAnsi="Calibri" w:cs="Calibri"/>
        </w:rPr>
        <w:t>iny v červnu 2015 za přínosné a </w:t>
      </w:r>
      <w:r w:rsidRPr="009213E8">
        <w:rPr>
          <w:rStyle w:val="NzevChar"/>
          <w:rFonts w:ascii="Calibri" w:eastAsiaTheme="majorEastAsia" w:hAnsi="Calibri" w:cs="Calibri"/>
        </w:rPr>
        <w:t xml:space="preserve">souhlasili s pokračováním činnosti této skupiny, MZV </w:t>
      </w:r>
      <w:r w:rsidR="00E87499">
        <w:rPr>
          <w:rStyle w:val="NzevChar"/>
          <w:rFonts w:ascii="Calibri" w:eastAsiaTheme="majorEastAsia" w:hAnsi="Calibri" w:cs="Calibri"/>
        </w:rPr>
        <w:t>ji</w:t>
      </w:r>
      <w:r w:rsidRPr="009213E8">
        <w:rPr>
          <w:rStyle w:val="NzevChar"/>
          <w:rFonts w:ascii="Calibri" w:eastAsiaTheme="majorEastAsia" w:hAnsi="Calibri" w:cs="Calibri"/>
        </w:rPr>
        <w:t xml:space="preserve"> v průběhu následujících čtyř let znovu nesvolalo.</w:t>
      </w:r>
      <w:r w:rsidRPr="009213E8">
        <w:rPr>
          <w:rFonts w:ascii="Calibri" w:hAnsi="Calibri" w:cs="Calibri"/>
          <w:i/>
          <w:sz w:val="24"/>
          <w:szCs w:val="24"/>
        </w:rPr>
        <w:t xml:space="preserve"> </w:t>
      </w:r>
      <w:r w:rsidRPr="009213E8">
        <w:rPr>
          <w:rFonts w:ascii="Calibri" w:hAnsi="Calibri" w:cs="Calibri"/>
          <w:sz w:val="24"/>
          <w:szCs w:val="24"/>
        </w:rPr>
        <w:t xml:space="preserve">MZV se nezabývalo ani podněty vzešlými z jednání této skupiny a řešení ponechalo na ostatních resortech. Ke zvýšení meziresortní koordinace ze strany MZV nedošlo. </w:t>
      </w:r>
      <w:r w:rsidRPr="009213E8">
        <w:rPr>
          <w:rFonts w:ascii="Calibri" w:hAnsi="Calibri" w:cs="Calibri"/>
          <w:bCs/>
          <w:sz w:val="24"/>
          <w:szCs w:val="24"/>
        </w:rPr>
        <w:t xml:space="preserve">Kontrolou zjištěný stav </w:t>
      </w:r>
      <w:r w:rsidRPr="009213E8">
        <w:rPr>
          <w:rFonts w:ascii="Calibri" w:hAnsi="Calibri" w:cs="Calibri"/>
          <w:bCs/>
          <w:sz w:val="24"/>
          <w:szCs w:val="24"/>
        </w:rPr>
        <w:lastRenderedPageBreak/>
        <w:t>meziresortní koordinace tak nepředstavuje kvalitativní změnu oproti stavu před přijetím UV</w:t>
      </w:r>
      <w:r w:rsidR="00E87499">
        <w:rPr>
          <w:rFonts w:ascii="Calibri" w:hAnsi="Calibri" w:cs="Calibri"/>
          <w:bCs/>
          <w:sz w:val="24"/>
          <w:szCs w:val="24"/>
        </w:rPr>
        <w:t> č.</w:t>
      </w:r>
      <w:r w:rsidR="00DB5D3D">
        <w:rPr>
          <w:rFonts w:ascii="Calibri" w:hAnsi="Calibri" w:cs="Calibri"/>
          <w:bCs/>
          <w:sz w:val="24"/>
          <w:szCs w:val="24"/>
        </w:rPr>
        <w:t> </w:t>
      </w:r>
      <w:r w:rsidRPr="009213E8">
        <w:rPr>
          <w:rFonts w:ascii="Calibri" w:hAnsi="Calibri" w:cs="Calibri"/>
          <w:bCs/>
          <w:sz w:val="24"/>
          <w:szCs w:val="24"/>
        </w:rPr>
        <w:t xml:space="preserve">317/2013. </w:t>
      </w:r>
    </w:p>
    <w:p w14:paraId="32E5BA10" w14:textId="77777777" w:rsidR="009213E8" w:rsidRDefault="009213E8" w:rsidP="009213E8">
      <w:pPr>
        <w:spacing w:after="0" w:line="240" w:lineRule="auto"/>
        <w:jc w:val="both"/>
        <w:rPr>
          <w:rFonts w:ascii="Calibri" w:hAnsi="Calibri" w:cs="Calibri"/>
          <w:sz w:val="24"/>
          <w:szCs w:val="24"/>
        </w:rPr>
      </w:pPr>
    </w:p>
    <w:p w14:paraId="321FCB6F" w14:textId="704A9823" w:rsidR="00E35FC6" w:rsidRPr="009213E8" w:rsidRDefault="009213E8" w:rsidP="009213E8">
      <w:pPr>
        <w:spacing w:after="0" w:line="240" w:lineRule="auto"/>
        <w:jc w:val="both"/>
        <w:rPr>
          <w:rFonts w:ascii="Calibri" w:hAnsi="Calibri" w:cs="Calibri"/>
          <w:b/>
          <w:sz w:val="24"/>
          <w:szCs w:val="24"/>
        </w:rPr>
      </w:pPr>
      <w:r w:rsidRPr="009213E8">
        <w:rPr>
          <w:rFonts w:ascii="Calibri" w:hAnsi="Calibri" w:cs="Calibri"/>
          <w:b/>
          <w:sz w:val="24"/>
          <w:szCs w:val="24"/>
        </w:rPr>
        <w:t xml:space="preserve">5. </w:t>
      </w:r>
      <w:r w:rsidR="00E35FC6" w:rsidRPr="009213E8">
        <w:rPr>
          <w:rFonts w:ascii="Calibri" w:hAnsi="Calibri" w:cs="Calibri"/>
          <w:b/>
          <w:sz w:val="24"/>
          <w:szCs w:val="24"/>
        </w:rPr>
        <w:t xml:space="preserve">V prioritních MEO zůstává ČR nadále </w:t>
      </w:r>
      <w:proofErr w:type="spellStart"/>
      <w:r w:rsidR="00E35FC6" w:rsidRPr="009213E8">
        <w:rPr>
          <w:rFonts w:ascii="Calibri" w:hAnsi="Calibri" w:cs="Calibri"/>
          <w:b/>
          <w:sz w:val="24"/>
          <w:szCs w:val="24"/>
        </w:rPr>
        <w:t>podzastoupena</w:t>
      </w:r>
      <w:proofErr w:type="spellEnd"/>
      <w:r w:rsidR="00E35FC6" w:rsidRPr="009213E8">
        <w:rPr>
          <w:rFonts w:ascii="Calibri" w:hAnsi="Calibri" w:cs="Calibri"/>
          <w:b/>
          <w:sz w:val="24"/>
          <w:szCs w:val="24"/>
        </w:rPr>
        <w:t xml:space="preserve"> </w:t>
      </w:r>
    </w:p>
    <w:p w14:paraId="08CC3014" w14:textId="77777777" w:rsidR="009213E8" w:rsidRPr="009213E8" w:rsidRDefault="009213E8" w:rsidP="009213E8">
      <w:pPr>
        <w:spacing w:after="0" w:line="240" w:lineRule="auto"/>
        <w:jc w:val="both"/>
        <w:rPr>
          <w:rFonts w:ascii="Calibri" w:hAnsi="Calibri" w:cs="Calibri"/>
          <w:sz w:val="24"/>
          <w:szCs w:val="24"/>
        </w:rPr>
      </w:pPr>
    </w:p>
    <w:p w14:paraId="1C5D1F13" w14:textId="77777777" w:rsidR="00E35FC6" w:rsidRPr="009213E8" w:rsidRDefault="00E35FC6" w:rsidP="009213E8">
      <w:pPr>
        <w:spacing w:after="0" w:line="240" w:lineRule="auto"/>
        <w:jc w:val="both"/>
        <w:rPr>
          <w:rFonts w:ascii="Calibri" w:hAnsi="Calibri" w:cs="Calibri"/>
          <w:sz w:val="24"/>
          <w:szCs w:val="24"/>
        </w:rPr>
      </w:pPr>
      <w:r w:rsidRPr="009213E8">
        <w:rPr>
          <w:rFonts w:ascii="Calibri" w:hAnsi="Calibri" w:cs="Calibri"/>
          <w:i/>
          <w:sz w:val="24"/>
          <w:szCs w:val="24"/>
        </w:rPr>
        <w:t>Strategie pro uplatňování českých občanů v mezinárodních organizacích</w:t>
      </w:r>
      <w:r w:rsidRPr="009213E8">
        <w:rPr>
          <w:rFonts w:ascii="Calibri" w:hAnsi="Calibri" w:cs="Calibri"/>
          <w:sz w:val="24"/>
          <w:szCs w:val="24"/>
        </w:rPr>
        <w:t xml:space="preserve"> (dále také „Strategie ČMEO“) měla za hlavní cíl navýšení počtu českých občanů působících na relevantních pozicích ve vybraných 21 prioritních MEO</w:t>
      </w:r>
      <w:r w:rsidRPr="009213E8">
        <w:rPr>
          <w:rStyle w:val="Znakapoznpodarou"/>
          <w:rFonts w:ascii="Calibri" w:hAnsi="Calibri" w:cs="Calibri"/>
          <w:sz w:val="24"/>
          <w:szCs w:val="24"/>
        </w:rPr>
        <w:footnoteReference w:id="9"/>
      </w:r>
      <w:r w:rsidRPr="009213E8">
        <w:rPr>
          <w:rFonts w:ascii="Calibri" w:hAnsi="Calibri" w:cs="Calibri"/>
          <w:sz w:val="24"/>
          <w:szCs w:val="24"/>
        </w:rPr>
        <w:t>, nicméně konkrétní počet osob MZV nestanovilo. MZV při hodnocení zastoupení v MEO vycházelo nejen z podílu českých občanů v MEO na celkovém počtu zaměstnanců MEO v porovnání s podílem finančních příspěvků ČR na celkovém rozpočtu dané MEO, ale také z</w:t>
      </w:r>
      <w:r w:rsidR="00DB5D3D">
        <w:rPr>
          <w:rFonts w:ascii="Calibri" w:hAnsi="Calibri" w:cs="Calibri"/>
          <w:sz w:val="24"/>
          <w:szCs w:val="24"/>
        </w:rPr>
        <w:t> </w:t>
      </w:r>
      <w:r w:rsidRPr="009213E8">
        <w:rPr>
          <w:rFonts w:ascii="Calibri" w:hAnsi="Calibri" w:cs="Calibri"/>
          <w:sz w:val="24"/>
          <w:szCs w:val="24"/>
        </w:rPr>
        <w:t>kvalitativní stránky tohoto zastoupení. V roce 2016 působili čeští občané na vyšších manažerských pozicích pouze u šesti MEO (11 občanů z celkového počtu 262 působících v MEO). V roce 2018 po změně definice manažerských pozic působili čeští občané na manažerských postech u 15 MEO (31</w:t>
      </w:r>
      <w:r w:rsidR="00DB5D3D">
        <w:rPr>
          <w:rFonts w:ascii="Calibri" w:hAnsi="Calibri" w:cs="Calibri"/>
          <w:sz w:val="24"/>
          <w:szCs w:val="24"/>
        </w:rPr>
        <w:t> </w:t>
      </w:r>
      <w:r w:rsidRPr="009213E8">
        <w:rPr>
          <w:rFonts w:ascii="Calibri" w:hAnsi="Calibri" w:cs="Calibri"/>
          <w:sz w:val="24"/>
          <w:szCs w:val="24"/>
        </w:rPr>
        <w:t xml:space="preserve">českých občanů z celkových </w:t>
      </w:r>
      <w:r w:rsidRPr="009213E8">
        <w:rPr>
          <w:rFonts w:ascii="Calibri" w:eastAsia="Times New Roman" w:hAnsi="Calibri" w:cs="Calibri"/>
          <w:color w:val="000000"/>
          <w:sz w:val="24"/>
          <w:szCs w:val="24"/>
          <w:lang w:eastAsia="cs-CZ"/>
        </w:rPr>
        <w:t>278</w:t>
      </w:r>
      <w:r w:rsidR="009213E8" w:rsidRPr="009213E8">
        <w:rPr>
          <w:rFonts w:ascii="Calibri" w:hAnsi="Calibri" w:cs="Calibri"/>
          <w:sz w:val="24"/>
          <w:szCs w:val="24"/>
        </w:rPr>
        <w:t xml:space="preserve"> na asistentských a </w:t>
      </w:r>
      <w:r w:rsidRPr="009213E8">
        <w:rPr>
          <w:rFonts w:ascii="Calibri" w:hAnsi="Calibri" w:cs="Calibri"/>
          <w:sz w:val="24"/>
          <w:szCs w:val="24"/>
        </w:rPr>
        <w:t xml:space="preserve">profesionálních pozicích v MEO). Celkový počet českých občanů působících v MEO se navýšil minimálně. </w:t>
      </w:r>
    </w:p>
    <w:p w14:paraId="3B7DCB08" w14:textId="77777777" w:rsidR="009213E8" w:rsidRPr="009213E8" w:rsidRDefault="009213E8" w:rsidP="009213E8">
      <w:pPr>
        <w:spacing w:after="0" w:line="240" w:lineRule="auto"/>
        <w:jc w:val="both"/>
        <w:rPr>
          <w:rFonts w:ascii="Calibri" w:hAnsi="Calibri" w:cs="Calibri"/>
          <w:sz w:val="24"/>
          <w:szCs w:val="24"/>
        </w:rPr>
      </w:pPr>
    </w:p>
    <w:p w14:paraId="63E2D569" w14:textId="77777777" w:rsidR="00E35FC6" w:rsidRPr="009213E8" w:rsidRDefault="00E35FC6" w:rsidP="009213E8">
      <w:pPr>
        <w:spacing w:after="0" w:line="240" w:lineRule="auto"/>
        <w:rPr>
          <w:b/>
          <w:sz w:val="24"/>
          <w:szCs w:val="24"/>
        </w:rPr>
      </w:pPr>
      <w:r w:rsidRPr="009213E8">
        <w:rPr>
          <w:b/>
          <w:sz w:val="24"/>
          <w:szCs w:val="24"/>
        </w:rPr>
        <w:t xml:space="preserve">B. Resortní úroveň </w:t>
      </w:r>
    </w:p>
    <w:p w14:paraId="1021FF61" w14:textId="77777777" w:rsidR="009213E8" w:rsidRPr="00245810" w:rsidRDefault="009213E8" w:rsidP="009213E8">
      <w:pPr>
        <w:spacing w:after="0" w:line="240" w:lineRule="auto"/>
        <w:jc w:val="both"/>
        <w:rPr>
          <w:rFonts w:ascii="Calibri" w:hAnsi="Calibri" w:cs="Calibri"/>
          <w:sz w:val="24"/>
          <w:szCs w:val="24"/>
        </w:rPr>
      </w:pPr>
    </w:p>
    <w:p w14:paraId="034EE4BD" w14:textId="77777777" w:rsidR="00E35FC6" w:rsidRPr="00F364BD" w:rsidRDefault="009213E8" w:rsidP="007F57B6">
      <w:pPr>
        <w:pStyle w:val="Nadpis1"/>
        <w:keepLines/>
        <w:numPr>
          <w:ilvl w:val="0"/>
          <w:numId w:val="0"/>
        </w:numPr>
        <w:overflowPunct/>
        <w:autoSpaceDE/>
        <w:autoSpaceDN/>
        <w:adjustRightInd/>
        <w:spacing w:after="0"/>
        <w:jc w:val="both"/>
        <w:textAlignment w:val="auto"/>
      </w:pPr>
      <w:r>
        <w:t xml:space="preserve">6. </w:t>
      </w:r>
      <w:r w:rsidR="00E35FC6" w:rsidRPr="00F364BD">
        <w:t>V řízení spolupráce s MEO v rámci sv</w:t>
      </w:r>
      <w:r w:rsidR="00E35FC6">
        <w:t xml:space="preserve">ých </w:t>
      </w:r>
      <w:r w:rsidR="00E35FC6" w:rsidRPr="00F364BD">
        <w:t>resort</w:t>
      </w:r>
      <w:r w:rsidR="00E35FC6">
        <w:t>ů</w:t>
      </w:r>
      <w:r w:rsidR="00E35FC6" w:rsidRPr="00F364BD">
        <w:t xml:space="preserve"> měly MZV a MŠMT následující nedostatky:</w:t>
      </w:r>
    </w:p>
    <w:p w14:paraId="04A9D87E" w14:textId="01D3B251" w:rsidR="00E35FC6" w:rsidRPr="00245810" w:rsidRDefault="00E35FC6" w:rsidP="0011732D">
      <w:pPr>
        <w:pStyle w:val="Odstavecseseznamem"/>
        <w:numPr>
          <w:ilvl w:val="0"/>
          <w:numId w:val="20"/>
        </w:numPr>
        <w:spacing w:after="0" w:line="240" w:lineRule="auto"/>
        <w:ind w:left="284" w:hanging="284"/>
        <w:contextualSpacing w:val="0"/>
        <w:jc w:val="both"/>
        <w:rPr>
          <w:rFonts w:ascii="Calibri" w:hAnsi="Calibri" w:cs="Calibri"/>
          <w:b/>
          <w:sz w:val="24"/>
          <w:szCs w:val="24"/>
          <w:u w:val="single"/>
        </w:rPr>
      </w:pPr>
      <w:r w:rsidRPr="0011732D">
        <w:rPr>
          <w:rFonts w:ascii="Calibri" w:hAnsi="Calibri" w:cs="Calibri"/>
          <w:sz w:val="24"/>
          <w:szCs w:val="24"/>
        </w:rPr>
        <w:t>Vnitřní řízení MZV bylo roztříštěné a v řadě případů bez jedno</w:t>
      </w:r>
      <w:r w:rsidR="009213E8" w:rsidRPr="0011732D">
        <w:rPr>
          <w:rFonts w:ascii="Calibri" w:hAnsi="Calibri" w:cs="Calibri"/>
          <w:sz w:val="24"/>
          <w:szCs w:val="24"/>
        </w:rPr>
        <w:t>značně stanovených kompetencí a </w:t>
      </w:r>
      <w:r w:rsidRPr="0011732D">
        <w:rPr>
          <w:rFonts w:ascii="Calibri" w:hAnsi="Calibri" w:cs="Calibri"/>
          <w:sz w:val="24"/>
          <w:szCs w:val="24"/>
        </w:rPr>
        <w:t xml:space="preserve">odpovědností. Tento stav měl vliv i na kvalitu a rozsah informací, které MZV předávalo v průběhu kontroly NKÚ. Informace musely být opakovaně upřesňovány a ověřovány. </w:t>
      </w:r>
    </w:p>
    <w:p w14:paraId="02E3053D" w14:textId="77777777" w:rsidR="00E35FC6" w:rsidRPr="0011732D" w:rsidRDefault="00E35FC6" w:rsidP="00CA7F42">
      <w:pPr>
        <w:pStyle w:val="Odstavecseseznamem"/>
        <w:spacing w:after="0" w:line="240" w:lineRule="auto"/>
        <w:ind w:left="284"/>
        <w:contextualSpacing w:val="0"/>
        <w:jc w:val="both"/>
        <w:rPr>
          <w:rFonts w:ascii="Calibri" w:hAnsi="Calibri" w:cs="Calibri"/>
          <w:b/>
          <w:sz w:val="24"/>
          <w:szCs w:val="24"/>
          <w:u w:val="single"/>
        </w:rPr>
      </w:pPr>
      <w:r w:rsidRPr="0011732D">
        <w:rPr>
          <w:rFonts w:ascii="Calibri" w:hAnsi="Calibri" w:cs="Calibri"/>
          <w:sz w:val="24"/>
          <w:szCs w:val="24"/>
        </w:rPr>
        <w:t>Resortní koordinační skupina, kterou zřídilo MŠMT za účelem koordinace agend v oblasti spolupráce s vybranými MEO, se od svého vzniku v roce 2013 až do roku 2017 znovu nesešla.</w:t>
      </w:r>
    </w:p>
    <w:p w14:paraId="5A4CA6C1" w14:textId="10FCD10F" w:rsidR="00E35FC6" w:rsidRPr="00245810" w:rsidRDefault="00E35FC6" w:rsidP="0011732D">
      <w:pPr>
        <w:pStyle w:val="Odstavecseseznamem"/>
        <w:numPr>
          <w:ilvl w:val="0"/>
          <w:numId w:val="20"/>
        </w:numPr>
        <w:spacing w:after="0" w:line="240" w:lineRule="auto"/>
        <w:ind w:left="284" w:hanging="284"/>
        <w:contextualSpacing w:val="0"/>
        <w:jc w:val="both"/>
        <w:rPr>
          <w:rFonts w:ascii="Calibri" w:hAnsi="Calibri" w:cs="Calibri"/>
          <w:sz w:val="24"/>
          <w:szCs w:val="24"/>
        </w:rPr>
      </w:pPr>
      <w:r w:rsidRPr="0011732D">
        <w:rPr>
          <w:rFonts w:ascii="Calibri" w:hAnsi="Calibri" w:cs="Calibri"/>
          <w:sz w:val="24"/>
          <w:szCs w:val="24"/>
        </w:rPr>
        <w:t>MZV stanovilo cíle spolupráce s MEO pouze pro některé MEO ve své</w:t>
      </w:r>
      <w:r w:rsidR="009213E8" w:rsidRPr="0011732D">
        <w:rPr>
          <w:rFonts w:ascii="Calibri" w:hAnsi="Calibri" w:cs="Calibri"/>
          <w:sz w:val="24"/>
          <w:szCs w:val="24"/>
        </w:rPr>
        <w:t xml:space="preserve"> gesci. Zejména se jednalo o </w:t>
      </w:r>
      <w:r w:rsidRPr="0011732D">
        <w:rPr>
          <w:rFonts w:ascii="Calibri" w:hAnsi="Calibri" w:cs="Calibri"/>
          <w:sz w:val="24"/>
          <w:szCs w:val="24"/>
        </w:rPr>
        <w:t xml:space="preserve">MEO zásadního zahraničněpolitického významu. </w:t>
      </w:r>
    </w:p>
    <w:p w14:paraId="49A60E23" w14:textId="2A560A9F" w:rsidR="00E35FC6" w:rsidRPr="0011732D" w:rsidRDefault="00E35FC6" w:rsidP="00CA7F42">
      <w:pPr>
        <w:pStyle w:val="Odstavecseseznamem"/>
        <w:spacing w:after="0" w:line="240" w:lineRule="auto"/>
        <w:ind w:left="284"/>
        <w:contextualSpacing w:val="0"/>
        <w:jc w:val="both"/>
        <w:rPr>
          <w:rFonts w:ascii="Calibri" w:hAnsi="Calibri" w:cs="Calibri"/>
          <w:sz w:val="24"/>
          <w:szCs w:val="24"/>
        </w:rPr>
      </w:pPr>
      <w:r w:rsidRPr="0011732D">
        <w:rPr>
          <w:rFonts w:ascii="Calibri" w:hAnsi="Calibri" w:cs="Calibri"/>
          <w:sz w:val="24"/>
          <w:szCs w:val="24"/>
        </w:rPr>
        <w:t>Obdobně i MŠMT stanovilo cíle pouze pro některé MEO ve své gesci, a to pro MEO spadající pod ostatní přímo řízené organizace.</w:t>
      </w:r>
      <w:r w:rsidR="009213E8" w:rsidRPr="0011732D">
        <w:rPr>
          <w:rFonts w:ascii="Calibri" w:hAnsi="Calibri" w:cs="Calibri"/>
          <w:sz w:val="24"/>
          <w:szCs w:val="24"/>
        </w:rPr>
        <w:t xml:space="preserve"> </w:t>
      </w:r>
    </w:p>
    <w:p w14:paraId="02793E5E" w14:textId="69549DAD" w:rsidR="00E35FC6" w:rsidRPr="0011732D" w:rsidRDefault="00E35FC6" w:rsidP="00CE7E98">
      <w:pPr>
        <w:pStyle w:val="Odstavecseseznamem"/>
        <w:numPr>
          <w:ilvl w:val="0"/>
          <w:numId w:val="20"/>
        </w:numPr>
        <w:spacing w:after="0" w:line="240" w:lineRule="auto"/>
        <w:ind w:left="284" w:hanging="284"/>
        <w:contextualSpacing w:val="0"/>
        <w:jc w:val="both"/>
        <w:rPr>
          <w:rFonts w:ascii="Calibri" w:hAnsi="Calibri" w:cs="Calibri"/>
          <w:sz w:val="24"/>
          <w:szCs w:val="24"/>
        </w:rPr>
      </w:pPr>
      <w:r w:rsidRPr="0011732D">
        <w:rPr>
          <w:rFonts w:ascii="Calibri" w:hAnsi="Calibri" w:cs="Calibri"/>
          <w:sz w:val="24"/>
          <w:szCs w:val="24"/>
        </w:rPr>
        <w:t>Bez stanovených cílů nemohly MZV a MŠMT objektivně vyhodnocovat přínosy této spolupráce. MZV a MŠMT tak nezajistily základní předpoklady pro</w:t>
      </w:r>
      <w:r w:rsidR="0011732D">
        <w:rPr>
          <w:rFonts w:ascii="Calibri" w:hAnsi="Calibri" w:cs="Calibri"/>
          <w:sz w:val="24"/>
          <w:szCs w:val="24"/>
        </w:rPr>
        <w:t xml:space="preserve"> </w:t>
      </w:r>
      <w:r w:rsidRPr="0011732D">
        <w:rPr>
          <w:rFonts w:ascii="Calibri" w:hAnsi="Calibri" w:cs="Calibri"/>
          <w:sz w:val="24"/>
          <w:szCs w:val="24"/>
        </w:rPr>
        <w:t xml:space="preserve">plnění úkolu trvale usilovat o maximální efektivitu spolupráce se všemi MEO v jejich gesci dle UV </w:t>
      </w:r>
      <w:r w:rsidR="0011732D">
        <w:rPr>
          <w:rFonts w:ascii="Calibri" w:hAnsi="Calibri" w:cs="Calibri"/>
          <w:sz w:val="24"/>
          <w:szCs w:val="24"/>
        </w:rPr>
        <w:t>č. </w:t>
      </w:r>
      <w:r w:rsidRPr="0011732D">
        <w:rPr>
          <w:rFonts w:ascii="Calibri" w:hAnsi="Calibri" w:cs="Calibri"/>
          <w:sz w:val="24"/>
          <w:szCs w:val="24"/>
        </w:rPr>
        <w:t>317/2013.</w:t>
      </w:r>
    </w:p>
    <w:p w14:paraId="005A53F9" w14:textId="70D2C77F" w:rsidR="00E35FC6" w:rsidRPr="009213E8" w:rsidRDefault="00E35FC6" w:rsidP="00385FA9">
      <w:pPr>
        <w:pStyle w:val="Odstavecseseznamem"/>
        <w:numPr>
          <w:ilvl w:val="0"/>
          <w:numId w:val="20"/>
        </w:numPr>
        <w:spacing w:after="0" w:line="240" w:lineRule="auto"/>
        <w:ind w:left="284" w:hanging="284"/>
        <w:contextualSpacing w:val="0"/>
        <w:jc w:val="both"/>
        <w:rPr>
          <w:rFonts w:ascii="Calibri" w:hAnsi="Calibri" w:cs="Calibri"/>
          <w:sz w:val="24"/>
          <w:szCs w:val="24"/>
        </w:rPr>
      </w:pPr>
      <w:r w:rsidRPr="009213E8">
        <w:rPr>
          <w:rFonts w:ascii="Calibri" w:hAnsi="Calibri" w:cs="Calibri"/>
          <w:sz w:val="24"/>
          <w:szCs w:val="24"/>
        </w:rPr>
        <w:t xml:space="preserve">Ačkoli pravidelné hodnocení považovalo MZV za jeden z nejdůležitějších nástrojů pro zvyšování efektivnosti spolupráce s MEO, samo nemělo nastaven pravidelný a funkční systém hodnocení působení a přínosů spolupráce s MEO ani hodnocení přínosů spolupráce s každou MEO ve své gesci neprovádělo. MZV </w:t>
      </w:r>
      <w:r w:rsidR="00CA7F42" w:rsidRPr="009213E8">
        <w:rPr>
          <w:rFonts w:ascii="Calibri" w:hAnsi="Calibri" w:cs="Calibri"/>
          <w:sz w:val="24"/>
          <w:szCs w:val="24"/>
        </w:rPr>
        <w:t xml:space="preserve">zpracovávalo </w:t>
      </w:r>
      <w:r w:rsidR="00CA7F42">
        <w:rPr>
          <w:rFonts w:ascii="Calibri" w:hAnsi="Calibri" w:cs="Calibri"/>
          <w:sz w:val="24"/>
          <w:szCs w:val="24"/>
        </w:rPr>
        <w:t xml:space="preserve">pouze </w:t>
      </w:r>
      <w:r w:rsidRPr="009213E8">
        <w:rPr>
          <w:rFonts w:ascii="Calibri" w:hAnsi="Calibri" w:cs="Calibri"/>
          <w:sz w:val="24"/>
          <w:szCs w:val="24"/>
        </w:rPr>
        <w:t>i</w:t>
      </w:r>
      <w:r w:rsidR="00245810" w:rsidRPr="009213E8">
        <w:rPr>
          <w:rFonts w:ascii="Calibri" w:hAnsi="Calibri" w:cs="Calibri"/>
          <w:sz w:val="24"/>
          <w:szCs w:val="24"/>
        </w:rPr>
        <w:t>nformace o</w:t>
      </w:r>
      <w:r w:rsidR="009047F6">
        <w:rPr>
          <w:rFonts w:ascii="Calibri" w:hAnsi="Calibri" w:cs="Calibri"/>
          <w:sz w:val="24"/>
          <w:szCs w:val="24"/>
        </w:rPr>
        <w:t> </w:t>
      </w:r>
      <w:r w:rsidR="00245810" w:rsidRPr="009213E8">
        <w:rPr>
          <w:rFonts w:ascii="Calibri" w:hAnsi="Calibri" w:cs="Calibri"/>
          <w:sz w:val="24"/>
          <w:szCs w:val="24"/>
        </w:rPr>
        <w:t>působení především v </w:t>
      </w:r>
      <w:r w:rsidRPr="009213E8">
        <w:rPr>
          <w:rFonts w:ascii="Calibri" w:hAnsi="Calibri" w:cs="Calibri"/>
          <w:sz w:val="24"/>
          <w:szCs w:val="24"/>
        </w:rPr>
        <w:t>MEO zásadního zahraničněpolitického významu</w:t>
      </w:r>
      <w:r w:rsidR="00CA7F42">
        <w:rPr>
          <w:rFonts w:ascii="Calibri" w:hAnsi="Calibri" w:cs="Calibri"/>
          <w:sz w:val="24"/>
          <w:szCs w:val="24"/>
        </w:rPr>
        <w:t>, a to nepravidelně</w:t>
      </w:r>
      <w:r w:rsidRPr="009213E8">
        <w:rPr>
          <w:rFonts w:ascii="Calibri" w:hAnsi="Calibri" w:cs="Calibri"/>
          <w:sz w:val="24"/>
          <w:szCs w:val="24"/>
        </w:rPr>
        <w:t xml:space="preserve">. MZV tak nepostupovalo dle UV </w:t>
      </w:r>
      <w:r w:rsidR="0011732D">
        <w:rPr>
          <w:rFonts w:ascii="Calibri" w:hAnsi="Calibri" w:cs="Calibri"/>
          <w:sz w:val="24"/>
          <w:szCs w:val="24"/>
        </w:rPr>
        <w:t>č. </w:t>
      </w:r>
      <w:r w:rsidRPr="009213E8">
        <w:rPr>
          <w:rFonts w:ascii="Calibri" w:hAnsi="Calibri" w:cs="Calibri"/>
          <w:sz w:val="24"/>
          <w:szCs w:val="24"/>
        </w:rPr>
        <w:t>317/2013.</w:t>
      </w:r>
      <w:r w:rsidR="009213E8" w:rsidRPr="009213E8">
        <w:rPr>
          <w:rFonts w:ascii="Calibri" w:hAnsi="Calibri" w:cs="Calibri"/>
          <w:sz w:val="24"/>
          <w:szCs w:val="24"/>
        </w:rPr>
        <w:t xml:space="preserve"> </w:t>
      </w:r>
      <w:r w:rsidRPr="009213E8">
        <w:rPr>
          <w:rFonts w:ascii="Calibri" w:hAnsi="Calibri" w:cs="Calibri"/>
          <w:sz w:val="24"/>
          <w:szCs w:val="24"/>
        </w:rPr>
        <w:t>MŠMT informace o působení a přínosech spolupráce s MEO předávalo MZV, nicméně tyto informace byly nekompletní a nepřesné.</w:t>
      </w:r>
    </w:p>
    <w:p w14:paraId="2454374D" w14:textId="393A2511" w:rsidR="00E35FC6" w:rsidRPr="00245810" w:rsidRDefault="00E35FC6" w:rsidP="00245810">
      <w:pPr>
        <w:pStyle w:val="Odstavecseseznamem"/>
        <w:numPr>
          <w:ilvl w:val="0"/>
          <w:numId w:val="20"/>
        </w:numPr>
        <w:spacing w:after="0" w:line="240" w:lineRule="auto"/>
        <w:ind w:left="284" w:hanging="284"/>
        <w:contextualSpacing w:val="0"/>
        <w:jc w:val="both"/>
        <w:rPr>
          <w:rFonts w:ascii="Calibri" w:hAnsi="Calibri" w:cs="Calibri"/>
          <w:sz w:val="24"/>
          <w:szCs w:val="24"/>
        </w:rPr>
      </w:pPr>
      <w:r w:rsidRPr="00245810">
        <w:rPr>
          <w:rFonts w:ascii="Calibri" w:hAnsi="Calibri" w:cs="Calibri"/>
          <w:sz w:val="24"/>
          <w:szCs w:val="24"/>
        </w:rPr>
        <w:t xml:space="preserve">MZV nezpracovalo analýzu nákladů a přínosů spolupráce s MEO ve své gesci ani strategii působení v těchto MEO s cílem najít úspory, jak ukládalo UV </w:t>
      </w:r>
      <w:r w:rsidR="0011732D">
        <w:rPr>
          <w:rFonts w:ascii="Calibri" w:hAnsi="Calibri" w:cs="Calibri"/>
          <w:sz w:val="24"/>
          <w:szCs w:val="24"/>
        </w:rPr>
        <w:t>č. </w:t>
      </w:r>
      <w:r w:rsidRPr="00245810">
        <w:rPr>
          <w:rFonts w:ascii="Calibri" w:hAnsi="Calibri" w:cs="Calibri"/>
          <w:sz w:val="24"/>
          <w:szCs w:val="24"/>
        </w:rPr>
        <w:t>317/2013. Nicmén</w:t>
      </w:r>
      <w:r w:rsidR="00245810">
        <w:rPr>
          <w:rFonts w:ascii="Calibri" w:hAnsi="Calibri" w:cs="Calibri"/>
          <w:sz w:val="24"/>
          <w:szCs w:val="24"/>
        </w:rPr>
        <w:t>ě navrhlo u </w:t>
      </w:r>
      <w:r w:rsidRPr="00245810">
        <w:rPr>
          <w:rFonts w:ascii="Calibri" w:hAnsi="Calibri" w:cs="Calibri"/>
          <w:sz w:val="24"/>
          <w:szCs w:val="24"/>
        </w:rPr>
        <w:t>svého resortu ukončit členství či platby od roku 2015 ve čtyřech MEO. I přesto však u dvou MEO následně navrhlo v platbách bez řádného zdůvodnění pokračovat a v období let 2015</w:t>
      </w:r>
      <w:r w:rsidRPr="00245810">
        <w:rPr>
          <w:rFonts w:ascii="Calibri" w:eastAsia="Calibri" w:hAnsi="Calibri" w:cs="Calibri"/>
          <w:sz w:val="24"/>
          <w:szCs w:val="24"/>
        </w:rPr>
        <w:t>–</w:t>
      </w:r>
      <w:r w:rsidRPr="00245810">
        <w:rPr>
          <w:rFonts w:ascii="Calibri" w:hAnsi="Calibri" w:cs="Calibri"/>
          <w:sz w:val="24"/>
          <w:szCs w:val="24"/>
        </w:rPr>
        <w:t xml:space="preserve">2018 jim uhradilo téměř 44 mil. Kč. V případě dalších dvou MEO se o reálnou úsporu nejednalo (jedna MEO </w:t>
      </w:r>
      <w:r w:rsidRPr="00245810">
        <w:rPr>
          <w:rFonts w:ascii="Calibri" w:hAnsi="Calibri" w:cs="Calibri"/>
          <w:sz w:val="24"/>
          <w:szCs w:val="24"/>
        </w:rPr>
        <w:lastRenderedPageBreak/>
        <w:t xml:space="preserve">ukončila činnost již v roce 2012 a u druhé převzala platby již od roku 2014 Evropská komise). Další opatření vedoucí k úsporám ve formě snížení plateb MZV v kontrolovaném období nerealizovalo. </w:t>
      </w:r>
    </w:p>
    <w:p w14:paraId="4DDA4627" w14:textId="47708234" w:rsidR="00E35FC6" w:rsidRPr="00245810" w:rsidRDefault="00E35FC6" w:rsidP="00245810">
      <w:pPr>
        <w:pStyle w:val="Odstavecseseznamem"/>
        <w:numPr>
          <w:ilvl w:val="0"/>
          <w:numId w:val="20"/>
        </w:numPr>
        <w:spacing w:after="0" w:line="240" w:lineRule="auto"/>
        <w:ind w:left="284" w:hanging="284"/>
        <w:contextualSpacing w:val="0"/>
        <w:jc w:val="both"/>
        <w:rPr>
          <w:rFonts w:ascii="Calibri" w:hAnsi="Calibri" w:cs="Calibri"/>
          <w:sz w:val="24"/>
          <w:szCs w:val="24"/>
        </w:rPr>
      </w:pPr>
      <w:r w:rsidRPr="00245810">
        <w:rPr>
          <w:rFonts w:ascii="Calibri" w:hAnsi="Calibri" w:cs="Calibri"/>
          <w:sz w:val="24"/>
          <w:szCs w:val="24"/>
        </w:rPr>
        <w:t xml:space="preserve">MŠMT nezpracovalo analýzu nákladů spolupráce s MEO a vzhledem k tomu následně neidentifikovalo ani konkrétní úspory. MZV a MŠMT nesplnily úkol dle UV </w:t>
      </w:r>
      <w:r w:rsidR="0011732D">
        <w:rPr>
          <w:rFonts w:ascii="Calibri" w:hAnsi="Calibri" w:cs="Calibri"/>
          <w:sz w:val="24"/>
          <w:szCs w:val="24"/>
        </w:rPr>
        <w:t>č. </w:t>
      </w:r>
      <w:r w:rsidRPr="00245810">
        <w:rPr>
          <w:rFonts w:ascii="Calibri" w:hAnsi="Calibri" w:cs="Calibri"/>
          <w:sz w:val="24"/>
          <w:szCs w:val="24"/>
        </w:rPr>
        <w:t>317/2013.</w:t>
      </w:r>
    </w:p>
    <w:p w14:paraId="49C23729" w14:textId="56E0B0F1" w:rsidR="00E35FC6" w:rsidRPr="00245810" w:rsidRDefault="00E35FC6" w:rsidP="00245810">
      <w:pPr>
        <w:pStyle w:val="Odstavecseseznamem"/>
        <w:numPr>
          <w:ilvl w:val="0"/>
          <w:numId w:val="20"/>
        </w:numPr>
        <w:spacing w:after="0" w:line="240" w:lineRule="auto"/>
        <w:ind w:left="284" w:hanging="284"/>
        <w:contextualSpacing w:val="0"/>
        <w:jc w:val="both"/>
        <w:rPr>
          <w:rFonts w:ascii="Calibri" w:hAnsi="Calibri" w:cs="Calibri"/>
          <w:sz w:val="24"/>
          <w:szCs w:val="24"/>
          <w:lang w:eastAsia="cs-CZ"/>
        </w:rPr>
      </w:pPr>
      <w:r w:rsidRPr="00245810">
        <w:rPr>
          <w:rFonts w:ascii="Calibri" w:hAnsi="Calibri" w:cs="Calibri"/>
          <w:sz w:val="24"/>
          <w:szCs w:val="24"/>
        </w:rPr>
        <w:t>MZV a v některých případech i MŠMT porušovaly rozpočtov</w:t>
      </w:r>
      <w:r w:rsidR="0011732D">
        <w:rPr>
          <w:rFonts w:ascii="Calibri" w:hAnsi="Calibri" w:cs="Calibri"/>
          <w:sz w:val="24"/>
          <w:szCs w:val="24"/>
        </w:rPr>
        <w:t>á</w:t>
      </w:r>
      <w:r w:rsidRPr="00245810">
        <w:rPr>
          <w:rFonts w:ascii="Calibri" w:hAnsi="Calibri" w:cs="Calibri"/>
          <w:sz w:val="24"/>
          <w:szCs w:val="24"/>
        </w:rPr>
        <w:t xml:space="preserve"> pravidl</w:t>
      </w:r>
      <w:r w:rsidR="0011732D">
        <w:rPr>
          <w:rFonts w:ascii="Calibri" w:hAnsi="Calibri" w:cs="Calibri"/>
          <w:sz w:val="24"/>
          <w:szCs w:val="24"/>
        </w:rPr>
        <w:t>a</w:t>
      </w:r>
      <w:r w:rsidRPr="00245810">
        <w:rPr>
          <w:rStyle w:val="Znakapoznpodarou"/>
          <w:rFonts w:ascii="Calibri" w:hAnsi="Calibri" w:cs="Calibri"/>
          <w:sz w:val="24"/>
          <w:szCs w:val="24"/>
        </w:rPr>
        <w:footnoteReference w:id="10"/>
      </w:r>
      <w:r w:rsidRPr="00245810">
        <w:rPr>
          <w:rFonts w:ascii="Calibri" w:hAnsi="Calibri" w:cs="Calibri"/>
          <w:sz w:val="24"/>
          <w:szCs w:val="24"/>
        </w:rPr>
        <w:t>, když vykazovaly peněžní prostředky na příspěvky MEO v rozporu s rozpočtovou skladbou. Spolehlivé údaje tak nejsou ani v</w:t>
      </w:r>
      <w:r w:rsidRPr="001C34BC">
        <w:rPr>
          <w:rFonts w:ascii="Calibri" w:hAnsi="Calibri" w:cs="Calibri"/>
          <w:i/>
          <w:sz w:val="24"/>
          <w:szCs w:val="24"/>
        </w:rPr>
        <w:t> Integrovaném informačním systému Státní pokladny</w:t>
      </w:r>
      <w:r w:rsidRPr="00245810">
        <w:rPr>
          <w:rFonts w:ascii="Calibri" w:hAnsi="Calibri" w:cs="Calibri"/>
          <w:sz w:val="24"/>
          <w:szCs w:val="24"/>
        </w:rPr>
        <w:t xml:space="preserve"> (dále také „IISSP“). Z žádného zdroje (mimo konkrétní účetní záznamy jednotlivých gesčních resortů) navíc nelze získat alespoň základní informace o tom, s kolika MEO ČR spolupracuje, či o celkové výši peněžních prostředků poskytnutých ze státního rozpočtu MEO.</w:t>
      </w:r>
      <w:r w:rsidR="00245810">
        <w:rPr>
          <w:rFonts w:ascii="Calibri" w:hAnsi="Calibri" w:cs="Calibri"/>
          <w:sz w:val="24"/>
          <w:szCs w:val="24"/>
        </w:rPr>
        <w:t xml:space="preserve"> Nedostatky zjistil NKÚ u MZV i </w:t>
      </w:r>
      <w:r w:rsidRPr="00245810">
        <w:rPr>
          <w:rFonts w:ascii="Calibri" w:hAnsi="Calibri" w:cs="Calibri"/>
          <w:sz w:val="24"/>
          <w:szCs w:val="24"/>
        </w:rPr>
        <w:t>v případě úhrady peněžních darů do zahraničí (viz část IV</w:t>
      </w:r>
      <w:r w:rsidR="00631B9E">
        <w:rPr>
          <w:rFonts w:ascii="Calibri" w:hAnsi="Calibri" w:cs="Calibri"/>
          <w:sz w:val="24"/>
          <w:szCs w:val="24"/>
        </w:rPr>
        <w:t>.</w:t>
      </w:r>
      <w:r w:rsidR="0011732D">
        <w:rPr>
          <w:rFonts w:ascii="Calibri" w:hAnsi="Calibri" w:cs="Calibri"/>
          <w:sz w:val="24"/>
          <w:szCs w:val="24"/>
        </w:rPr>
        <w:t xml:space="preserve"> tohoto kontrolního závěru</w:t>
      </w:r>
      <w:r w:rsidRPr="00245810">
        <w:rPr>
          <w:rFonts w:ascii="Calibri" w:hAnsi="Calibri" w:cs="Calibri"/>
          <w:sz w:val="24"/>
          <w:szCs w:val="24"/>
        </w:rPr>
        <w:t>).</w:t>
      </w:r>
      <w:r w:rsidRPr="00245810">
        <w:rPr>
          <w:rFonts w:ascii="Calibri" w:hAnsi="Calibri" w:cs="Calibri"/>
          <w:sz w:val="24"/>
          <w:szCs w:val="24"/>
          <w:lang w:eastAsia="cs-CZ"/>
        </w:rPr>
        <w:t xml:space="preserve"> </w:t>
      </w:r>
    </w:p>
    <w:p w14:paraId="3ACAF670" w14:textId="77777777" w:rsidR="00E35FC6" w:rsidRPr="00245810" w:rsidRDefault="00E35FC6" w:rsidP="00245810">
      <w:pPr>
        <w:pStyle w:val="Odstavecseseznamem"/>
        <w:numPr>
          <w:ilvl w:val="0"/>
          <w:numId w:val="20"/>
        </w:numPr>
        <w:spacing w:after="0" w:line="240" w:lineRule="auto"/>
        <w:ind w:left="284" w:hanging="284"/>
        <w:contextualSpacing w:val="0"/>
        <w:jc w:val="both"/>
        <w:rPr>
          <w:rFonts w:ascii="Calibri" w:hAnsi="Calibri" w:cs="Calibri"/>
          <w:sz w:val="24"/>
          <w:szCs w:val="24"/>
        </w:rPr>
      </w:pPr>
      <w:r w:rsidRPr="00245810">
        <w:rPr>
          <w:rFonts w:ascii="Calibri" w:hAnsi="Calibri" w:cs="Calibri"/>
          <w:sz w:val="24"/>
          <w:szCs w:val="24"/>
        </w:rPr>
        <w:t xml:space="preserve">MZV i MŠMT pravidelně zajišťovaly účast svých zástupců </w:t>
      </w:r>
      <w:r w:rsidR="00245810">
        <w:rPr>
          <w:rFonts w:ascii="Calibri" w:hAnsi="Calibri" w:cs="Calibri"/>
          <w:sz w:val="24"/>
          <w:szCs w:val="24"/>
        </w:rPr>
        <w:t>na jednáních ve vybraných MEO a </w:t>
      </w:r>
      <w:r w:rsidRPr="00245810">
        <w:rPr>
          <w:rFonts w:ascii="Calibri" w:hAnsi="Calibri" w:cs="Calibri"/>
          <w:sz w:val="24"/>
          <w:szCs w:val="24"/>
        </w:rPr>
        <w:t>účastníci těchto jednání se aktivně zapojovali do činností MEO.</w:t>
      </w:r>
      <w:r w:rsidR="00245810">
        <w:rPr>
          <w:rFonts w:ascii="Calibri" w:hAnsi="Calibri" w:cs="Calibri"/>
          <w:sz w:val="24"/>
          <w:szCs w:val="24"/>
        </w:rPr>
        <w:t xml:space="preserve"> Možnost využívání zkušeností a </w:t>
      </w:r>
      <w:r w:rsidRPr="00245810">
        <w:rPr>
          <w:rFonts w:ascii="Calibri" w:hAnsi="Calibri" w:cs="Calibri"/>
          <w:sz w:val="24"/>
          <w:szCs w:val="24"/>
        </w:rPr>
        <w:t xml:space="preserve">poznatků vyslaných expertů na MZV limitovala často povinnost mlčenlivosti. Pro oblasti, ke kterým se mlčenlivost nevztahovala, MZV doložilo zařazení expertů do organizačních útvarů MZV po jejich návratu a přednáškovou činnost dvou z nich. </w:t>
      </w:r>
    </w:p>
    <w:p w14:paraId="175CF8A9" w14:textId="77777777" w:rsidR="00E35FC6" w:rsidRPr="00245810" w:rsidRDefault="00E35FC6" w:rsidP="00245810">
      <w:pPr>
        <w:spacing w:after="0" w:line="240" w:lineRule="auto"/>
        <w:jc w:val="both"/>
        <w:rPr>
          <w:rFonts w:ascii="Calibri" w:hAnsi="Calibri" w:cs="Calibri"/>
          <w:sz w:val="24"/>
          <w:szCs w:val="24"/>
        </w:rPr>
      </w:pPr>
    </w:p>
    <w:p w14:paraId="64BC3A4B" w14:textId="74C7BEE1" w:rsidR="00E35FC6" w:rsidRPr="00245810" w:rsidRDefault="00E35FC6" w:rsidP="00245810">
      <w:pPr>
        <w:spacing w:after="0" w:line="240" w:lineRule="auto"/>
        <w:jc w:val="both"/>
        <w:rPr>
          <w:rFonts w:ascii="Calibri" w:hAnsi="Calibri" w:cs="Calibri"/>
          <w:sz w:val="24"/>
          <w:szCs w:val="24"/>
        </w:rPr>
      </w:pPr>
      <w:r w:rsidRPr="00245810">
        <w:rPr>
          <w:rFonts w:ascii="Calibri" w:hAnsi="Calibri" w:cs="Calibri"/>
          <w:b/>
          <w:sz w:val="24"/>
          <w:szCs w:val="24"/>
        </w:rPr>
        <w:t xml:space="preserve">NKÚ s ohledem na výše uvedené doporučuje revidovat systém monitoringu prováděný na základě UV </w:t>
      </w:r>
      <w:r w:rsidR="0011732D">
        <w:rPr>
          <w:rFonts w:ascii="Calibri" w:hAnsi="Calibri" w:cs="Calibri"/>
          <w:b/>
          <w:sz w:val="24"/>
          <w:szCs w:val="24"/>
        </w:rPr>
        <w:t>č. </w:t>
      </w:r>
      <w:r w:rsidRPr="00245810">
        <w:rPr>
          <w:rFonts w:ascii="Calibri" w:hAnsi="Calibri" w:cs="Calibri"/>
          <w:b/>
          <w:sz w:val="24"/>
          <w:szCs w:val="24"/>
        </w:rPr>
        <w:t>317/2013 tak, aby plnil vládou ČR stanovené cíle: zefektivnit spolupráci s MEO a identifikovat úspory. Dále NKÚ doporučuje, aby informace o spolupráci s MEO byly po předchozím projednání s MZV součástí výsledků rozpočtového hospodaření hodnocených správcem kapitoly.</w:t>
      </w:r>
      <w:r w:rsidRPr="00245810">
        <w:rPr>
          <w:rFonts w:ascii="Calibri" w:hAnsi="Calibri" w:cs="Calibri"/>
          <w:sz w:val="24"/>
          <w:szCs w:val="24"/>
        </w:rPr>
        <w:t xml:space="preserve"> </w:t>
      </w:r>
    </w:p>
    <w:p w14:paraId="2415335A" w14:textId="77777777" w:rsidR="00E35FC6" w:rsidRPr="00245810" w:rsidRDefault="00E35FC6" w:rsidP="00245810">
      <w:pPr>
        <w:spacing w:after="0" w:line="240" w:lineRule="auto"/>
        <w:jc w:val="both"/>
        <w:rPr>
          <w:rFonts w:ascii="Calibri" w:hAnsi="Calibri" w:cs="Calibri"/>
          <w:sz w:val="24"/>
          <w:szCs w:val="24"/>
        </w:rPr>
      </w:pPr>
    </w:p>
    <w:p w14:paraId="5C5FD0F2" w14:textId="77777777" w:rsidR="00D33109" w:rsidRPr="00245810" w:rsidRDefault="00D33109" w:rsidP="00245810">
      <w:pPr>
        <w:spacing w:after="0" w:line="240" w:lineRule="auto"/>
        <w:jc w:val="both"/>
        <w:rPr>
          <w:rFonts w:ascii="Calibri" w:hAnsi="Calibri" w:cs="Calibri"/>
          <w:sz w:val="24"/>
          <w:szCs w:val="24"/>
        </w:rPr>
      </w:pPr>
    </w:p>
    <w:p w14:paraId="62DFB82B" w14:textId="77777777" w:rsidR="00E35FC6" w:rsidRPr="00245810" w:rsidRDefault="006C57A7" w:rsidP="00245810">
      <w:pPr>
        <w:pStyle w:val="Nadpis1"/>
        <w:numPr>
          <w:ilvl w:val="0"/>
          <w:numId w:val="0"/>
        </w:numPr>
        <w:spacing w:after="0"/>
        <w:ind w:left="340"/>
        <w:rPr>
          <w:sz w:val="28"/>
        </w:rPr>
      </w:pPr>
      <w:r w:rsidRPr="00245810">
        <w:rPr>
          <w:sz w:val="28"/>
        </w:rPr>
        <w:t xml:space="preserve">II. </w:t>
      </w:r>
      <w:r w:rsidR="00E35FC6" w:rsidRPr="00245810">
        <w:rPr>
          <w:sz w:val="28"/>
        </w:rPr>
        <w:t>Informace o kontrolované oblasti</w:t>
      </w:r>
    </w:p>
    <w:p w14:paraId="3BA924CF" w14:textId="77777777" w:rsidR="00245810" w:rsidRDefault="00245810" w:rsidP="00245810">
      <w:pPr>
        <w:keepNext/>
        <w:spacing w:after="0" w:line="240" w:lineRule="auto"/>
        <w:jc w:val="both"/>
        <w:rPr>
          <w:rFonts w:ascii="Calibri" w:eastAsia="Times New Roman" w:hAnsi="Calibri" w:cs="Times New Roman"/>
          <w:szCs w:val="24"/>
          <w:lang w:eastAsia="cs-CZ"/>
        </w:rPr>
      </w:pPr>
    </w:p>
    <w:p w14:paraId="62F5F536" w14:textId="0A1419D3" w:rsidR="00E35FC6" w:rsidRDefault="00E35FC6" w:rsidP="00245810">
      <w:pPr>
        <w:spacing w:after="0" w:line="240" w:lineRule="auto"/>
        <w:jc w:val="both"/>
        <w:rPr>
          <w:rFonts w:ascii="Calibri" w:eastAsia="Times New Roman" w:hAnsi="Calibri" w:cs="Calibri"/>
          <w:sz w:val="24"/>
          <w:szCs w:val="24"/>
        </w:rPr>
      </w:pPr>
      <w:r w:rsidRPr="00245810">
        <w:rPr>
          <w:rFonts w:ascii="Calibri" w:eastAsia="Times New Roman" w:hAnsi="Calibri" w:cs="Calibri"/>
          <w:sz w:val="24"/>
          <w:szCs w:val="24"/>
          <w:lang w:eastAsia="cs-CZ"/>
        </w:rPr>
        <w:t xml:space="preserve">Mezinárodní organizace patří mezi významné aktéry při řešení otázek mezinárodní politiky a národních zájmů. </w:t>
      </w:r>
      <w:r w:rsidRPr="00245810">
        <w:rPr>
          <w:rFonts w:ascii="Calibri" w:hAnsi="Calibri" w:cs="Calibri"/>
          <w:sz w:val="24"/>
          <w:szCs w:val="24"/>
        </w:rPr>
        <w:t xml:space="preserve">Komise OSN pro mezinárodní právo definuje v dokumentu </w:t>
      </w:r>
      <w:r w:rsidRPr="00245810">
        <w:rPr>
          <w:rFonts w:ascii="Calibri" w:hAnsi="Calibri" w:cs="Calibri"/>
          <w:i/>
          <w:sz w:val="24"/>
          <w:szCs w:val="24"/>
        </w:rPr>
        <w:t xml:space="preserve">Report </w:t>
      </w:r>
      <w:proofErr w:type="spellStart"/>
      <w:r w:rsidRPr="00245810">
        <w:rPr>
          <w:rFonts w:ascii="Calibri" w:hAnsi="Calibri" w:cs="Calibri"/>
          <w:i/>
          <w:sz w:val="24"/>
          <w:szCs w:val="24"/>
        </w:rPr>
        <w:t>of</w:t>
      </w:r>
      <w:proofErr w:type="spellEnd"/>
      <w:r w:rsidRPr="00245810">
        <w:rPr>
          <w:rFonts w:ascii="Calibri" w:hAnsi="Calibri" w:cs="Calibri"/>
          <w:i/>
          <w:sz w:val="24"/>
          <w:szCs w:val="24"/>
        </w:rPr>
        <w:t xml:space="preserve"> </w:t>
      </w:r>
      <w:proofErr w:type="spellStart"/>
      <w:r w:rsidRPr="00245810">
        <w:rPr>
          <w:rFonts w:ascii="Calibri" w:hAnsi="Calibri" w:cs="Calibri"/>
          <w:i/>
          <w:sz w:val="24"/>
          <w:szCs w:val="24"/>
        </w:rPr>
        <w:t>the</w:t>
      </w:r>
      <w:proofErr w:type="spellEnd"/>
      <w:r w:rsidRPr="00245810">
        <w:rPr>
          <w:rFonts w:ascii="Calibri" w:hAnsi="Calibri" w:cs="Calibri"/>
          <w:i/>
          <w:sz w:val="24"/>
          <w:szCs w:val="24"/>
        </w:rPr>
        <w:t xml:space="preserve"> International </w:t>
      </w:r>
      <w:proofErr w:type="spellStart"/>
      <w:r w:rsidRPr="00245810">
        <w:rPr>
          <w:rFonts w:ascii="Calibri" w:hAnsi="Calibri" w:cs="Calibri"/>
          <w:i/>
          <w:sz w:val="24"/>
          <w:szCs w:val="24"/>
        </w:rPr>
        <w:t>Law</w:t>
      </w:r>
      <w:proofErr w:type="spellEnd"/>
      <w:r w:rsidRPr="00245810">
        <w:rPr>
          <w:rFonts w:ascii="Calibri" w:hAnsi="Calibri" w:cs="Calibri"/>
          <w:i/>
          <w:sz w:val="24"/>
          <w:szCs w:val="24"/>
        </w:rPr>
        <w:t xml:space="preserve"> </w:t>
      </w:r>
      <w:proofErr w:type="spellStart"/>
      <w:r w:rsidRPr="00245810">
        <w:rPr>
          <w:rFonts w:ascii="Calibri" w:hAnsi="Calibri" w:cs="Calibri"/>
          <w:i/>
          <w:sz w:val="24"/>
          <w:szCs w:val="24"/>
        </w:rPr>
        <w:t>Commission</w:t>
      </w:r>
      <w:proofErr w:type="spellEnd"/>
      <w:r w:rsidRPr="00245810">
        <w:rPr>
          <w:rFonts w:ascii="Calibri" w:hAnsi="Calibri" w:cs="Calibri"/>
          <w:sz w:val="24"/>
          <w:szCs w:val="24"/>
        </w:rPr>
        <w:t xml:space="preserve"> A/66/10 z roku 2011</w:t>
      </w:r>
      <w:r w:rsidRPr="00245810">
        <w:rPr>
          <w:rFonts w:ascii="Calibri" w:hAnsi="Calibri" w:cs="Calibri"/>
          <w:sz w:val="24"/>
          <w:szCs w:val="24"/>
          <w:vertAlign w:val="superscript"/>
        </w:rPr>
        <w:footnoteReference w:id="11"/>
      </w:r>
      <w:r w:rsidRPr="00245810">
        <w:rPr>
          <w:rFonts w:ascii="Calibri" w:hAnsi="Calibri" w:cs="Calibri"/>
          <w:sz w:val="24"/>
          <w:szCs w:val="24"/>
        </w:rPr>
        <w:t xml:space="preserve"> mezinárodní organizaci následovně: </w:t>
      </w:r>
      <w:r w:rsidRPr="001C34BC">
        <w:rPr>
          <w:rFonts w:ascii="Calibri" w:hAnsi="Calibri" w:cs="Calibri"/>
          <w:sz w:val="24"/>
          <w:szCs w:val="24"/>
        </w:rPr>
        <w:t>„</w:t>
      </w:r>
      <w:r w:rsidR="0011732D">
        <w:rPr>
          <w:rFonts w:ascii="Calibri" w:hAnsi="Calibri" w:cs="Calibri"/>
          <w:i/>
          <w:sz w:val="24"/>
          <w:szCs w:val="24"/>
        </w:rPr>
        <w:t>M</w:t>
      </w:r>
      <w:r w:rsidRPr="00245810">
        <w:rPr>
          <w:rFonts w:ascii="Calibri" w:hAnsi="Calibri" w:cs="Calibri"/>
          <w:i/>
          <w:sz w:val="24"/>
          <w:szCs w:val="24"/>
        </w:rPr>
        <w:t>ezinárodní organizace znamená organizaci zřízenou mezinárodní smlouvou nebo jiným instrumentem řídícím se mezinárodním právem a mající svoji vlastní mezinárodněprávní subjektivitu</w:t>
      </w:r>
      <w:r w:rsidR="0011732D">
        <w:rPr>
          <w:rFonts w:ascii="Calibri" w:hAnsi="Calibri" w:cs="Calibri"/>
          <w:i/>
          <w:sz w:val="24"/>
          <w:szCs w:val="24"/>
        </w:rPr>
        <w:t>.</w:t>
      </w:r>
      <w:r w:rsidRPr="001C34BC">
        <w:rPr>
          <w:rFonts w:ascii="Calibri" w:hAnsi="Calibri" w:cs="Calibri"/>
          <w:sz w:val="24"/>
          <w:szCs w:val="24"/>
        </w:rPr>
        <w:t>“</w:t>
      </w:r>
      <w:r w:rsidRPr="00245810">
        <w:rPr>
          <w:rFonts w:ascii="Calibri" w:hAnsi="Calibri" w:cs="Calibri"/>
          <w:sz w:val="24"/>
          <w:szCs w:val="24"/>
        </w:rPr>
        <w:t xml:space="preserve"> </w:t>
      </w:r>
      <w:r w:rsidRPr="00245810">
        <w:rPr>
          <w:rFonts w:ascii="Calibri" w:eastAsia="Times New Roman" w:hAnsi="Calibri" w:cs="Calibri"/>
          <w:sz w:val="24"/>
          <w:szCs w:val="24"/>
        </w:rPr>
        <w:t xml:space="preserve">Z hlediska mezinárodního práva je mezinárodní organizace vymezena také jako sdružení států, která na základě právního aktu, jímž byla zřízena (mezinárodní smlouva), trvale vykonávají určité úkoly pro členské státy, a to vlastním jménem a vlastními orgány. </w:t>
      </w:r>
    </w:p>
    <w:p w14:paraId="10CCF48F" w14:textId="77777777" w:rsidR="00245810" w:rsidRPr="00245810" w:rsidRDefault="00245810" w:rsidP="00245810">
      <w:pPr>
        <w:spacing w:after="0" w:line="240" w:lineRule="auto"/>
        <w:jc w:val="both"/>
        <w:rPr>
          <w:rFonts w:ascii="Calibri" w:eastAsia="Times New Roman" w:hAnsi="Calibri" w:cs="Calibri"/>
          <w:sz w:val="24"/>
          <w:szCs w:val="24"/>
        </w:rPr>
      </w:pPr>
    </w:p>
    <w:p w14:paraId="21CEC08F" w14:textId="77777777" w:rsidR="00E35FC6" w:rsidRDefault="00E35FC6" w:rsidP="00245810">
      <w:pPr>
        <w:spacing w:after="0" w:line="240" w:lineRule="auto"/>
        <w:jc w:val="both"/>
        <w:rPr>
          <w:rFonts w:ascii="Calibri" w:eastAsia="Times New Roman" w:hAnsi="Calibri" w:cs="Calibri"/>
          <w:sz w:val="24"/>
          <w:szCs w:val="24"/>
          <w:lang w:eastAsia="cs-CZ"/>
        </w:rPr>
      </w:pPr>
      <w:r w:rsidRPr="00245810">
        <w:rPr>
          <w:rFonts w:ascii="Calibri" w:eastAsia="Times New Roman" w:hAnsi="Calibri" w:cs="Calibri"/>
          <w:sz w:val="24"/>
          <w:szCs w:val="24"/>
          <w:lang w:eastAsia="cs-CZ"/>
        </w:rPr>
        <w:t>ČR se může do MEO zapojit prostřednictvím svého členství, což je ale možné pouze po splnění podmínek uvedených v článku 49 písm. c) Ústavy ČR</w:t>
      </w:r>
      <w:r w:rsidRPr="00245810">
        <w:rPr>
          <w:rStyle w:val="Znakapoznpodarou"/>
          <w:rFonts w:ascii="Calibri" w:eastAsia="Times New Roman" w:hAnsi="Calibri" w:cs="Calibri"/>
          <w:sz w:val="24"/>
          <w:szCs w:val="24"/>
          <w:lang w:eastAsia="cs-CZ"/>
        </w:rPr>
        <w:footnoteReference w:id="12"/>
      </w:r>
      <w:r w:rsidRPr="00245810">
        <w:rPr>
          <w:rFonts w:ascii="Calibri" w:eastAsia="Times New Roman" w:hAnsi="Calibri" w:cs="Calibri"/>
          <w:sz w:val="24"/>
          <w:szCs w:val="24"/>
          <w:lang w:eastAsia="cs-CZ"/>
        </w:rPr>
        <w:t>.</w:t>
      </w:r>
      <w:r w:rsidRPr="00245810">
        <w:rPr>
          <w:rFonts w:ascii="Calibri" w:hAnsi="Calibri" w:cs="Calibri"/>
          <w:sz w:val="24"/>
          <w:szCs w:val="24"/>
        </w:rPr>
        <w:t xml:space="preserve"> </w:t>
      </w:r>
      <w:r w:rsidRPr="00245810">
        <w:rPr>
          <w:rFonts w:ascii="Calibri" w:eastAsia="Times New Roman" w:hAnsi="Calibri" w:cs="Calibri"/>
          <w:sz w:val="24"/>
          <w:szCs w:val="24"/>
          <w:lang w:eastAsia="cs-CZ"/>
        </w:rPr>
        <w:t>Častější jsou však jiné formy zapojení do činnosti MEO, kdy ČR může např. pouze přispívat MEO peněžními prostředky. Pro všechny formy zapojení do činnosti MEO</w:t>
      </w:r>
      <w:r w:rsidRPr="00245810">
        <w:rPr>
          <w:rFonts w:ascii="Calibri" w:eastAsia="Times New Roman" w:hAnsi="Calibri" w:cs="Calibri"/>
          <w:sz w:val="24"/>
          <w:szCs w:val="24"/>
          <w:vertAlign w:val="superscript"/>
          <w:lang w:eastAsia="cs-CZ"/>
        </w:rPr>
        <w:footnoteReference w:id="13"/>
      </w:r>
      <w:r w:rsidRPr="00245810">
        <w:rPr>
          <w:rFonts w:ascii="Calibri" w:eastAsia="Times New Roman" w:hAnsi="Calibri" w:cs="Calibri"/>
          <w:sz w:val="24"/>
          <w:szCs w:val="24"/>
          <w:lang w:eastAsia="cs-CZ"/>
        </w:rPr>
        <w:t xml:space="preserve">, tj. členství v MEO, působení v MEO, finanční podpora MEO apod., byl v kontrolní akci zaveden souhrnný pojem spolupráce s MEO. </w:t>
      </w:r>
    </w:p>
    <w:p w14:paraId="13BDE0AE" w14:textId="77777777" w:rsidR="00245810" w:rsidRPr="00245810" w:rsidRDefault="00245810" w:rsidP="00245810">
      <w:pPr>
        <w:spacing w:after="0" w:line="240" w:lineRule="auto"/>
        <w:jc w:val="both"/>
        <w:rPr>
          <w:rFonts w:ascii="Calibri" w:eastAsia="Times New Roman" w:hAnsi="Calibri" w:cs="Calibri"/>
          <w:sz w:val="24"/>
          <w:szCs w:val="24"/>
          <w:lang w:eastAsia="cs-CZ"/>
        </w:rPr>
      </w:pPr>
    </w:p>
    <w:p w14:paraId="7661258F" w14:textId="08239D6A" w:rsidR="00E35FC6" w:rsidRPr="00245810" w:rsidRDefault="00E35FC6" w:rsidP="00245810">
      <w:pPr>
        <w:spacing w:after="0" w:line="240" w:lineRule="auto"/>
        <w:jc w:val="both"/>
        <w:rPr>
          <w:rFonts w:ascii="Calibri" w:hAnsi="Calibri" w:cs="Calibri"/>
          <w:sz w:val="24"/>
          <w:szCs w:val="24"/>
          <w:vertAlign w:val="superscript"/>
        </w:rPr>
      </w:pPr>
      <w:r w:rsidRPr="00245810">
        <w:rPr>
          <w:rFonts w:ascii="Calibri" w:eastAsia="Times New Roman" w:hAnsi="Calibri" w:cs="Calibri"/>
          <w:sz w:val="24"/>
          <w:szCs w:val="24"/>
          <w:lang w:eastAsia="cs-CZ"/>
        </w:rPr>
        <w:lastRenderedPageBreak/>
        <w:t xml:space="preserve">Ne ve všech případech se však jedná o spolupráci s MEO, která splňuje definici dle mezinárodního práva. </w:t>
      </w:r>
      <w:r w:rsidRPr="00245810">
        <w:rPr>
          <w:rFonts w:ascii="Calibri" w:hAnsi="Calibri" w:cs="Calibri"/>
          <w:sz w:val="24"/>
          <w:szCs w:val="24"/>
        </w:rPr>
        <w:t xml:space="preserve">Vedle mezinárodněprávního vymezení pojmu mezinárodní organizace existuje také pojetí širší, které se prosadilo i během procesu vedoucího k přijetí systémových opatření (viz </w:t>
      </w:r>
      <w:r w:rsidR="00631B9E">
        <w:rPr>
          <w:rFonts w:ascii="Calibri" w:hAnsi="Calibri" w:cs="Calibri"/>
          <w:sz w:val="24"/>
          <w:szCs w:val="24"/>
        </w:rPr>
        <w:t>dále</w:t>
      </w:r>
      <w:r w:rsidRPr="00245810">
        <w:rPr>
          <w:rFonts w:ascii="Calibri" w:hAnsi="Calibri" w:cs="Calibri"/>
          <w:sz w:val="24"/>
          <w:szCs w:val="24"/>
        </w:rPr>
        <w:t>), jejichž cílem bylo zefektivnit spolupráci s MEO včetně posílení meziresortní koordinace a přinést úspory. Pojem MEO uváděný v tomto kontrolním závěru tak zahrnuje různé typy institucí, kterým ČR poskytuje peněžní prostředky.</w:t>
      </w:r>
      <w:r w:rsidRPr="00245810">
        <w:rPr>
          <w:rFonts w:ascii="Calibri" w:hAnsi="Calibri" w:cs="Calibri"/>
          <w:sz w:val="24"/>
          <w:szCs w:val="24"/>
          <w:vertAlign w:val="superscript"/>
        </w:rPr>
        <w:footnoteReference w:id="14"/>
      </w:r>
    </w:p>
    <w:p w14:paraId="07EAE18E" w14:textId="77777777" w:rsidR="00245810" w:rsidRDefault="00245810" w:rsidP="00245810">
      <w:pPr>
        <w:spacing w:after="0" w:line="240" w:lineRule="auto"/>
        <w:jc w:val="both"/>
        <w:rPr>
          <w:rFonts w:ascii="Calibri" w:eastAsia="Times New Roman" w:hAnsi="Calibri" w:cs="Calibri"/>
          <w:sz w:val="24"/>
          <w:szCs w:val="24"/>
          <w:lang w:eastAsia="cs-CZ"/>
        </w:rPr>
      </w:pPr>
    </w:p>
    <w:p w14:paraId="58DBA8C6" w14:textId="12C4FCBD" w:rsidR="00E35FC6" w:rsidRDefault="00E35FC6" w:rsidP="00245810">
      <w:pPr>
        <w:spacing w:after="0" w:line="240" w:lineRule="auto"/>
        <w:jc w:val="both"/>
        <w:rPr>
          <w:rFonts w:ascii="Calibri" w:eastAsia="Times New Roman" w:hAnsi="Calibri" w:cs="Calibri"/>
          <w:sz w:val="24"/>
          <w:szCs w:val="24"/>
          <w:lang w:eastAsia="cs-CZ"/>
        </w:rPr>
      </w:pPr>
      <w:r w:rsidRPr="00245810">
        <w:rPr>
          <w:rFonts w:ascii="Calibri" w:eastAsia="Times New Roman" w:hAnsi="Calibri" w:cs="Calibri"/>
          <w:sz w:val="24"/>
          <w:szCs w:val="24"/>
          <w:lang w:eastAsia="cs-CZ"/>
        </w:rPr>
        <w:t>Spolupráce s MEO je součástí české zahraniční politiky. ČR může prostřednictvím MEO realizovat své zahraničněpolitické cíle, získávat zkušenosti z mezinárodního prostředí a uplatňovat je ve státní správě. Spolupráce s MEO může také přispět ke zvýšení konkurenceschopnosti ČR a zlepšení výkonu státní správy. Předpokladem pro naplnění tohoto potenciálu je však efektivní využívání možností této spolupráce. Jednou z podmínek je existence jas</w:t>
      </w:r>
      <w:r w:rsidR="00245810">
        <w:rPr>
          <w:rFonts w:ascii="Calibri" w:eastAsia="Times New Roman" w:hAnsi="Calibri" w:cs="Calibri"/>
          <w:sz w:val="24"/>
          <w:szCs w:val="24"/>
          <w:lang w:eastAsia="cs-CZ"/>
        </w:rPr>
        <w:t>ného koordinačního mechanismu a </w:t>
      </w:r>
      <w:r w:rsidRPr="00245810">
        <w:rPr>
          <w:rFonts w:ascii="Calibri" w:eastAsia="Times New Roman" w:hAnsi="Calibri" w:cs="Calibri"/>
          <w:sz w:val="24"/>
          <w:szCs w:val="24"/>
          <w:lang w:eastAsia="cs-CZ"/>
        </w:rPr>
        <w:t>komplexního přehledu</w:t>
      </w:r>
      <w:r w:rsidR="00631B9E">
        <w:rPr>
          <w:rFonts w:ascii="Calibri" w:eastAsia="Times New Roman" w:hAnsi="Calibri" w:cs="Calibri"/>
          <w:sz w:val="24"/>
          <w:szCs w:val="24"/>
          <w:lang w:eastAsia="cs-CZ"/>
        </w:rPr>
        <w:t xml:space="preserve"> </w:t>
      </w:r>
      <w:r w:rsidRPr="00245810">
        <w:rPr>
          <w:rFonts w:ascii="Calibri" w:eastAsia="Times New Roman" w:hAnsi="Calibri" w:cs="Calibri"/>
          <w:sz w:val="24"/>
          <w:szCs w:val="24"/>
          <w:lang w:eastAsia="cs-CZ"/>
        </w:rPr>
        <w:t>spolupráce s MEO</w:t>
      </w:r>
      <w:r w:rsidRPr="00245810">
        <w:rPr>
          <w:rStyle w:val="Znakapoznpodarou"/>
          <w:rFonts w:ascii="Calibri" w:eastAsia="Times New Roman" w:hAnsi="Calibri" w:cs="Calibri"/>
          <w:sz w:val="24"/>
          <w:szCs w:val="24"/>
          <w:lang w:eastAsia="cs-CZ"/>
        </w:rPr>
        <w:footnoteReference w:id="15"/>
      </w:r>
      <w:r w:rsidRPr="00245810">
        <w:rPr>
          <w:rFonts w:ascii="Calibri" w:eastAsia="Times New Roman" w:hAnsi="Calibri" w:cs="Calibri"/>
          <w:sz w:val="24"/>
          <w:szCs w:val="24"/>
          <w:lang w:eastAsia="cs-CZ"/>
        </w:rPr>
        <w:t xml:space="preserve">. ČR spolupracuje s téměř 500 MEO různého typu. Gestory této spolupráce jsou správci jednotlivých kapitol státního rozpočtu v závislosti na věcném zaměření činnosti MEO, koordinační úlohu má plnit MZV. Spolupráce s MEO je v naprosté většině případů spojena s hrazením povinných příspěvků (často na financování činnosti MEO), které se pohybují ve výši kolem 3 mld. ročně. Kromě povinných příspěvků mohou být hrazeny i další příspěvky (dary a platby na konkrétní účel, který MEO zabezpečuje), jejichž výše v roce 2018 činila téměř 1,5 mld. Kč. </w:t>
      </w:r>
    </w:p>
    <w:p w14:paraId="7DE6A9DD" w14:textId="77777777" w:rsidR="00C16930" w:rsidRPr="00245810" w:rsidRDefault="00C16930" w:rsidP="00245810">
      <w:pPr>
        <w:spacing w:after="0" w:line="240" w:lineRule="auto"/>
        <w:jc w:val="both"/>
        <w:rPr>
          <w:rFonts w:ascii="Calibri" w:eastAsia="Times New Roman" w:hAnsi="Calibri" w:cs="Calibri"/>
          <w:sz w:val="24"/>
          <w:szCs w:val="24"/>
          <w:lang w:eastAsia="cs-CZ"/>
        </w:rPr>
      </w:pPr>
    </w:p>
    <w:p w14:paraId="150F7FBE" w14:textId="77777777" w:rsidR="00E35FC6" w:rsidRPr="00245810" w:rsidRDefault="00E35FC6" w:rsidP="00D33109">
      <w:pPr>
        <w:keepNext/>
        <w:spacing w:after="0" w:line="240" w:lineRule="auto"/>
        <w:rPr>
          <w:sz w:val="28"/>
        </w:rPr>
      </w:pPr>
      <w:r w:rsidRPr="00245810">
        <w:rPr>
          <w:b/>
          <w:sz w:val="24"/>
        </w:rPr>
        <w:t>Graf č. 2: Top 5 nejvyšších povinných příspěvků MEO v roce 2018</w:t>
      </w:r>
    </w:p>
    <w:p w14:paraId="0EA46AA0" w14:textId="1C3F29D4" w:rsidR="00E35FC6" w:rsidRDefault="00115826" w:rsidP="00D33109">
      <w:pPr>
        <w:keepNext/>
        <w:spacing w:after="0" w:line="240" w:lineRule="auto"/>
        <w:rPr>
          <w:sz w:val="24"/>
        </w:rPr>
      </w:pPr>
      <w:r w:rsidRPr="00F364BD">
        <w:rPr>
          <w:noProof/>
          <w:lang w:eastAsia="cs-CZ"/>
        </w:rPr>
        <w:drawing>
          <wp:inline distT="0" distB="0" distL="0" distR="0" wp14:anchorId="3E3478B1" wp14:editId="7E06ED7F">
            <wp:extent cx="5810250" cy="25200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9B445B" w14:textId="77777777" w:rsidR="00E35FC6" w:rsidRDefault="00E35FC6" w:rsidP="00D33109">
      <w:pPr>
        <w:keepNext/>
        <w:spacing w:after="0" w:line="240" w:lineRule="auto"/>
        <w:rPr>
          <w:sz w:val="20"/>
          <w:szCs w:val="20"/>
        </w:rPr>
      </w:pPr>
      <w:r w:rsidRPr="007E525B">
        <w:rPr>
          <w:b/>
          <w:sz w:val="20"/>
          <w:szCs w:val="20"/>
        </w:rPr>
        <w:t>Zdroj:</w:t>
      </w:r>
      <w:r w:rsidRPr="00F364BD">
        <w:rPr>
          <w:sz w:val="20"/>
          <w:szCs w:val="20"/>
        </w:rPr>
        <w:t xml:space="preserve"> dotazníkové šetření NKÚ</w:t>
      </w:r>
      <w:r>
        <w:rPr>
          <w:sz w:val="20"/>
          <w:szCs w:val="20"/>
        </w:rPr>
        <w:t>.</w:t>
      </w:r>
    </w:p>
    <w:p w14:paraId="639A34CB" w14:textId="77777777" w:rsidR="00E35FC6" w:rsidRPr="00E35FC6" w:rsidRDefault="00E35FC6" w:rsidP="00E35FC6">
      <w:pPr>
        <w:spacing w:after="0" w:line="240" w:lineRule="auto"/>
        <w:rPr>
          <w:sz w:val="24"/>
          <w:szCs w:val="24"/>
        </w:rPr>
      </w:pPr>
    </w:p>
    <w:p w14:paraId="2DE83281" w14:textId="77777777" w:rsidR="00E35FC6" w:rsidRPr="00E35FC6" w:rsidRDefault="00E35FC6" w:rsidP="00E35FC6">
      <w:pPr>
        <w:spacing w:after="0" w:line="240" w:lineRule="auto"/>
        <w:rPr>
          <w:sz w:val="24"/>
          <w:szCs w:val="24"/>
        </w:rPr>
      </w:pPr>
    </w:p>
    <w:p w14:paraId="3FE641C6" w14:textId="0A39EF4D" w:rsidR="00E35FC6" w:rsidRPr="00E35FC6" w:rsidRDefault="00E35FC6" w:rsidP="00E35FC6">
      <w:pPr>
        <w:spacing w:after="0" w:line="240" w:lineRule="auto"/>
        <w:ind w:left="567" w:hanging="567"/>
        <w:rPr>
          <w:sz w:val="24"/>
          <w:szCs w:val="24"/>
        </w:rPr>
      </w:pPr>
      <w:r w:rsidRPr="00E35FC6">
        <w:rPr>
          <w:b/>
          <w:sz w:val="24"/>
          <w:szCs w:val="24"/>
          <w:lang w:eastAsia="cs-CZ"/>
        </w:rPr>
        <w:lastRenderedPageBreak/>
        <w:t>Pozn.:</w:t>
      </w:r>
      <w:r w:rsidRPr="00E35FC6">
        <w:rPr>
          <w:sz w:val="24"/>
          <w:szCs w:val="24"/>
          <w:lang w:eastAsia="cs-CZ"/>
        </w:rPr>
        <w:t xml:space="preserve"> Výstupy z dotazníkového šetření NKÚ vč</w:t>
      </w:r>
      <w:r w:rsidR="00BD79D0">
        <w:rPr>
          <w:sz w:val="24"/>
          <w:szCs w:val="24"/>
          <w:lang w:eastAsia="cs-CZ"/>
        </w:rPr>
        <w:t>etně</w:t>
      </w:r>
      <w:r w:rsidRPr="00E35FC6">
        <w:rPr>
          <w:sz w:val="24"/>
          <w:szCs w:val="24"/>
          <w:lang w:eastAsia="cs-CZ"/>
        </w:rPr>
        <w:t xml:space="preserve"> názvů a zkratek jednotlivých mezinárodních organizací jsou uvedeny v příloze č. 1</w:t>
      </w:r>
      <w:r w:rsidR="00631B9E">
        <w:rPr>
          <w:sz w:val="24"/>
          <w:szCs w:val="24"/>
          <w:lang w:eastAsia="cs-CZ"/>
        </w:rPr>
        <w:t xml:space="preserve"> tohoto kontrolního závěru</w:t>
      </w:r>
      <w:r w:rsidRPr="00E35FC6">
        <w:rPr>
          <w:sz w:val="24"/>
          <w:szCs w:val="24"/>
          <w:lang w:eastAsia="cs-CZ"/>
        </w:rPr>
        <w:t xml:space="preserve"> (</w:t>
      </w:r>
      <w:r w:rsidR="00BD79D0">
        <w:rPr>
          <w:sz w:val="24"/>
          <w:szCs w:val="24"/>
          <w:lang w:eastAsia="cs-CZ"/>
        </w:rPr>
        <w:t xml:space="preserve">dostupné na </w:t>
      </w:r>
      <w:hyperlink r:id="rId12" w:history="1">
        <w:r w:rsidRPr="001C34BC">
          <w:rPr>
            <w:rStyle w:val="Hypertextovodkaz"/>
            <w:sz w:val="24"/>
            <w:szCs w:val="24"/>
            <w:u w:val="none"/>
          </w:rPr>
          <w:t>https://www.nku.cz/scripts/detail.php?id=11033</w:t>
        </w:r>
      </w:hyperlink>
      <w:r w:rsidRPr="00E35FC6">
        <w:rPr>
          <w:sz w:val="24"/>
          <w:szCs w:val="24"/>
          <w:lang w:eastAsia="cs-CZ"/>
        </w:rPr>
        <w:t>).</w:t>
      </w:r>
    </w:p>
    <w:p w14:paraId="7F762AA2" w14:textId="77777777" w:rsidR="00E35FC6" w:rsidRDefault="00E35FC6" w:rsidP="00E35FC6">
      <w:pPr>
        <w:spacing w:after="0" w:line="240" w:lineRule="auto"/>
        <w:rPr>
          <w:sz w:val="24"/>
        </w:rPr>
      </w:pPr>
    </w:p>
    <w:p w14:paraId="734E83A8" w14:textId="77777777" w:rsidR="00E35FC6" w:rsidRPr="00E35FC6" w:rsidRDefault="00E35FC6" w:rsidP="00E35FC6">
      <w:pPr>
        <w:spacing w:after="0" w:line="240" w:lineRule="auto"/>
        <w:rPr>
          <w:sz w:val="24"/>
        </w:rPr>
      </w:pPr>
    </w:p>
    <w:p w14:paraId="261DB925" w14:textId="77777777" w:rsidR="00E35FC6" w:rsidRPr="00F373B0" w:rsidRDefault="00E35FC6" w:rsidP="00F373B0">
      <w:pPr>
        <w:pStyle w:val="Nadpis1"/>
        <w:numPr>
          <w:ilvl w:val="0"/>
          <w:numId w:val="0"/>
        </w:numPr>
        <w:spacing w:after="0"/>
        <w:ind w:left="340"/>
        <w:rPr>
          <w:sz w:val="28"/>
        </w:rPr>
      </w:pPr>
      <w:r w:rsidRPr="00F373B0">
        <w:rPr>
          <w:sz w:val="28"/>
        </w:rPr>
        <w:t>I</w:t>
      </w:r>
      <w:r w:rsidR="0014063E" w:rsidRPr="00F373B0">
        <w:rPr>
          <w:sz w:val="28"/>
        </w:rPr>
        <w:t>I</w:t>
      </w:r>
      <w:r w:rsidRPr="00F373B0">
        <w:rPr>
          <w:sz w:val="28"/>
        </w:rPr>
        <w:t>I. Rozsah kontroly</w:t>
      </w:r>
    </w:p>
    <w:p w14:paraId="5D5496AF" w14:textId="77777777" w:rsidR="00F373B0" w:rsidRPr="00F373B0" w:rsidRDefault="00F373B0" w:rsidP="00F373B0">
      <w:pPr>
        <w:spacing w:after="0" w:line="240" w:lineRule="auto"/>
        <w:jc w:val="both"/>
        <w:rPr>
          <w:rFonts w:ascii="Calibri" w:hAnsi="Calibri" w:cs="Calibri"/>
          <w:sz w:val="24"/>
          <w:szCs w:val="24"/>
          <w:lang w:eastAsia="cs-CZ"/>
        </w:rPr>
      </w:pPr>
    </w:p>
    <w:p w14:paraId="1125940A" w14:textId="77777777" w:rsidR="00E35FC6" w:rsidRDefault="00E35FC6" w:rsidP="00F373B0">
      <w:pPr>
        <w:spacing w:after="0" w:line="240" w:lineRule="auto"/>
        <w:jc w:val="both"/>
        <w:rPr>
          <w:rFonts w:ascii="Calibri" w:hAnsi="Calibri" w:cs="Calibri"/>
          <w:sz w:val="24"/>
          <w:szCs w:val="24"/>
          <w:lang w:eastAsia="cs-CZ"/>
        </w:rPr>
      </w:pPr>
      <w:r w:rsidRPr="00F373B0">
        <w:rPr>
          <w:rFonts w:ascii="Calibri" w:hAnsi="Calibri" w:cs="Calibri"/>
          <w:sz w:val="24"/>
          <w:szCs w:val="24"/>
          <w:lang w:eastAsia="cs-CZ"/>
        </w:rPr>
        <w:t xml:space="preserve">Předmětem kontroly byly </w:t>
      </w:r>
      <w:r w:rsidRPr="00F373B0">
        <w:rPr>
          <w:rFonts w:ascii="Calibri" w:hAnsi="Calibri" w:cs="Calibri"/>
          <w:sz w:val="24"/>
          <w:szCs w:val="24"/>
        </w:rPr>
        <w:t>peněžní prostředky státu poskytované mezinárodním organizacím a další související výdaje</w:t>
      </w:r>
      <w:r w:rsidRPr="00F373B0">
        <w:rPr>
          <w:rFonts w:ascii="Calibri" w:hAnsi="Calibri" w:cs="Calibri"/>
          <w:sz w:val="24"/>
          <w:szCs w:val="24"/>
          <w:lang w:eastAsia="cs-CZ"/>
        </w:rPr>
        <w:t xml:space="preserve">. Kontrolováno bylo období let 2014–2018, </w:t>
      </w:r>
      <w:r w:rsidRPr="00F373B0">
        <w:rPr>
          <w:rFonts w:ascii="Calibri" w:hAnsi="Calibri" w:cs="Calibri"/>
          <w:bCs/>
          <w:sz w:val="24"/>
          <w:szCs w:val="24"/>
        </w:rPr>
        <w:t>v případě věcných souvislostí i období předcházející a období do ukončení kontroly.</w:t>
      </w:r>
    </w:p>
    <w:p w14:paraId="69ACFCA7" w14:textId="77777777" w:rsidR="00F373B0" w:rsidRPr="00F373B0" w:rsidRDefault="00F373B0" w:rsidP="00F373B0">
      <w:pPr>
        <w:spacing w:after="0" w:line="240" w:lineRule="auto"/>
        <w:jc w:val="both"/>
        <w:rPr>
          <w:rFonts w:ascii="Calibri" w:hAnsi="Calibri" w:cs="Calibri"/>
          <w:sz w:val="24"/>
          <w:szCs w:val="24"/>
        </w:rPr>
      </w:pPr>
    </w:p>
    <w:p w14:paraId="2C657546" w14:textId="77777777" w:rsidR="00E35FC6" w:rsidRDefault="00E35FC6" w:rsidP="00F373B0">
      <w:pPr>
        <w:spacing w:after="0" w:line="240" w:lineRule="auto"/>
        <w:jc w:val="both"/>
        <w:rPr>
          <w:rFonts w:ascii="Calibri" w:hAnsi="Calibri" w:cs="Calibri"/>
          <w:sz w:val="24"/>
          <w:szCs w:val="24"/>
          <w:lang w:eastAsia="cs-CZ"/>
        </w:rPr>
      </w:pPr>
      <w:r w:rsidRPr="00F373B0">
        <w:rPr>
          <w:rFonts w:ascii="Calibri" w:hAnsi="Calibri" w:cs="Calibri"/>
          <w:sz w:val="24"/>
          <w:szCs w:val="24"/>
          <w:lang w:eastAsia="cs-CZ"/>
        </w:rPr>
        <w:t xml:space="preserve">Cílem kontroly bylo prověřit účelnost prostředků státu poskytovaných mezinárodním organizacím </w:t>
      </w:r>
      <w:r w:rsidR="00F373B0">
        <w:rPr>
          <w:rFonts w:ascii="Calibri" w:hAnsi="Calibri" w:cs="Calibri"/>
          <w:sz w:val="24"/>
          <w:szCs w:val="24"/>
          <w:lang w:eastAsia="cs-CZ"/>
        </w:rPr>
        <w:t>a dalších souvisejících výdajů.</w:t>
      </w:r>
    </w:p>
    <w:p w14:paraId="4B50D9C4" w14:textId="77777777" w:rsidR="00F373B0" w:rsidRPr="00F373B0" w:rsidRDefault="00F373B0" w:rsidP="00F373B0">
      <w:pPr>
        <w:spacing w:after="0" w:line="240" w:lineRule="auto"/>
        <w:jc w:val="both"/>
        <w:rPr>
          <w:rFonts w:ascii="Calibri" w:hAnsi="Calibri" w:cs="Calibri"/>
          <w:sz w:val="24"/>
          <w:szCs w:val="24"/>
        </w:rPr>
      </w:pPr>
    </w:p>
    <w:p w14:paraId="77BF1E26" w14:textId="77777777" w:rsidR="00E35FC6" w:rsidRDefault="00E35FC6" w:rsidP="00F373B0">
      <w:pPr>
        <w:pStyle w:val="Nzev"/>
        <w:spacing w:after="0"/>
        <w:rPr>
          <w:rFonts w:ascii="Calibri" w:hAnsi="Calibri" w:cs="Calibri"/>
        </w:rPr>
      </w:pPr>
      <w:r w:rsidRPr="00F373B0">
        <w:rPr>
          <w:rFonts w:ascii="Calibri" w:hAnsi="Calibri" w:cs="Calibri"/>
          <w:b/>
          <w:lang w:eastAsia="cs-CZ"/>
        </w:rPr>
        <w:t>Kontrola u MZV</w:t>
      </w:r>
      <w:r w:rsidRPr="00F373B0">
        <w:rPr>
          <w:rFonts w:ascii="Calibri" w:hAnsi="Calibri" w:cs="Calibri"/>
          <w:lang w:eastAsia="cs-CZ"/>
        </w:rPr>
        <w:t xml:space="preserve"> byla provedena jak na nadresortní úrovni (</w:t>
      </w:r>
      <w:r w:rsidRPr="00F373B0">
        <w:rPr>
          <w:rFonts w:ascii="Calibri" w:hAnsi="Calibri" w:cs="Calibri"/>
        </w:rPr>
        <w:t>nastavení, monitorování a naplňování strategických cílů, priorit a stanovených úkolů, koordinace a součinnost zapojených aktérů)</w:t>
      </w:r>
      <w:r w:rsidRPr="00F373B0">
        <w:rPr>
          <w:rFonts w:ascii="Calibri" w:hAnsi="Calibri" w:cs="Calibri"/>
          <w:lang w:eastAsia="cs-CZ"/>
        </w:rPr>
        <w:t>, tak na úrovni resortní (</w:t>
      </w:r>
      <w:r w:rsidRPr="00F373B0">
        <w:rPr>
          <w:rFonts w:ascii="Calibri" w:hAnsi="Calibri" w:cs="Calibri"/>
        </w:rPr>
        <w:t>systém vnitřního řízení, vyhodnocování pů</w:t>
      </w:r>
      <w:r w:rsidR="006C57A7" w:rsidRPr="00F373B0">
        <w:rPr>
          <w:rFonts w:ascii="Calibri" w:hAnsi="Calibri" w:cs="Calibri"/>
        </w:rPr>
        <w:t>sobení a přínosů, financování a </w:t>
      </w:r>
      <w:r w:rsidRPr="00F373B0">
        <w:rPr>
          <w:rFonts w:ascii="Calibri" w:hAnsi="Calibri" w:cs="Calibri"/>
        </w:rPr>
        <w:t>personální zajištění spolupráce s mezinárod</w:t>
      </w:r>
      <w:r w:rsidR="00F373B0">
        <w:rPr>
          <w:rFonts w:ascii="Calibri" w:hAnsi="Calibri" w:cs="Calibri"/>
        </w:rPr>
        <w:t>ními organizacemi v gesci MZV).</w:t>
      </w:r>
    </w:p>
    <w:p w14:paraId="79F491DC" w14:textId="77777777" w:rsidR="00F373B0" w:rsidRPr="00F373B0" w:rsidRDefault="00F373B0" w:rsidP="00F373B0">
      <w:pPr>
        <w:spacing w:after="0" w:line="240" w:lineRule="auto"/>
      </w:pPr>
    </w:p>
    <w:p w14:paraId="368CA114" w14:textId="77777777" w:rsidR="00E35FC6" w:rsidRDefault="00E35FC6" w:rsidP="00F373B0">
      <w:pPr>
        <w:pStyle w:val="Nzev"/>
        <w:spacing w:after="0"/>
        <w:rPr>
          <w:rFonts w:ascii="Calibri" w:hAnsi="Calibri" w:cs="Calibri"/>
          <w:lang w:eastAsia="cs-CZ"/>
        </w:rPr>
      </w:pPr>
      <w:r w:rsidRPr="00F373B0">
        <w:rPr>
          <w:rFonts w:ascii="Calibri" w:hAnsi="Calibri" w:cs="Calibri"/>
          <w:b/>
        </w:rPr>
        <w:t>Kontrola u MŠMT</w:t>
      </w:r>
      <w:r w:rsidRPr="00F373B0">
        <w:rPr>
          <w:rFonts w:ascii="Calibri" w:hAnsi="Calibri" w:cs="Calibri"/>
        </w:rPr>
        <w:t xml:space="preserve"> byla rovněž provedena na úrovni nadresortní (nastavení, monitorování a naplňování strategických cílů, priorit a stanovených úkolů) a resortní (koordinace spolupráce s mezinárodními organizacemi v gesci MŠMT, vyhodnocování pů</w:t>
      </w:r>
      <w:r w:rsidR="006C57A7" w:rsidRPr="00F373B0">
        <w:rPr>
          <w:rFonts w:ascii="Calibri" w:hAnsi="Calibri" w:cs="Calibri"/>
        </w:rPr>
        <w:t>sobení a přínosů, financování a </w:t>
      </w:r>
      <w:r w:rsidRPr="00F373B0">
        <w:rPr>
          <w:rFonts w:ascii="Calibri" w:hAnsi="Calibri" w:cs="Calibri"/>
        </w:rPr>
        <w:t>personální zajištění spolupráce s mezinárodními organizacemi v gesci MŠMT)</w:t>
      </w:r>
      <w:r w:rsidRPr="00F373B0">
        <w:rPr>
          <w:rFonts w:ascii="Calibri" w:hAnsi="Calibri" w:cs="Calibri"/>
          <w:lang w:eastAsia="cs-CZ"/>
        </w:rPr>
        <w:t xml:space="preserve">. </w:t>
      </w:r>
    </w:p>
    <w:p w14:paraId="4C0C555B" w14:textId="77777777" w:rsidR="00F373B0" w:rsidRPr="00F373B0" w:rsidRDefault="00F373B0" w:rsidP="00F373B0">
      <w:pPr>
        <w:spacing w:after="0" w:line="240" w:lineRule="auto"/>
        <w:rPr>
          <w:lang w:eastAsia="cs-CZ"/>
        </w:rPr>
      </w:pPr>
    </w:p>
    <w:p w14:paraId="10335CC7" w14:textId="77777777" w:rsidR="00E35FC6" w:rsidRPr="00F373B0" w:rsidRDefault="00E35FC6" w:rsidP="00F373B0">
      <w:pPr>
        <w:pStyle w:val="Nzev"/>
        <w:spacing w:after="0"/>
        <w:rPr>
          <w:rFonts w:ascii="Calibri" w:hAnsi="Calibri" w:cs="Calibri"/>
        </w:rPr>
      </w:pPr>
      <w:r w:rsidRPr="00F373B0">
        <w:rPr>
          <w:rFonts w:ascii="Calibri" w:hAnsi="Calibri" w:cs="Calibri"/>
        </w:rPr>
        <w:t>NKÚ mj. prověřoval:</w:t>
      </w:r>
    </w:p>
    <w:p w14:paraId="1D7AF42B" w14:textId="28FE0761" w:rsidR="00E35FC6" w:rsidRPr="00F373B0" w:rsidRDefault="00BD79D0" w:rsidP="00F373B0">
      <w:pPr>
        <w:pStyle w:val="Nzev"/>
        <w:numPr>
          <w:ilvl w:val="0"/>
          <w:numId w:val="8"/>
        </w:numPr>
        <w:spacing w:after="0"/>
        <w:ind w:left="284" w:hanging="284"/>
        <w:rPr>
          <w:rFonts w:ascii="Calibri" w:hAnsi="Calibri" w:cs="Calibri"/>
        </w:rPr>
      </w:pPr>
      <w:r>
        <w:rPr>
          <w:rFonts w:ascii="Calibri" w:hAnsi="Calibri" w:cs="Calibri"/>
        </w:rPr>
        <w:t>z</w:t>
      </w:r>
      <w:r w:rsidR="00E35FC6" w:rsidRPr="00F373B0">
        <w:rPr>
          <w:rFonts w:ascii="Calibri" w:hAnsi="Calibri" w:cs="Calibri"/>
        </w:rPr>
        <w:t>da byly vytvořeny podmínky pro řízení a koordinaci spolupráce s mezinárodními organizacemi;</w:t>
      </w:r>
    </w:p>
    <w:p w14:paraId="10F5E01A" w14:textId="6E848827" w:rsidR="00E35FC6" w:rsidRPr="00F373B0" w:rsidRDefault="00BD79D0" w:rsidP="00F373B0">
      <w:pPr>
        <w:pStyle w:val="Nzev"/>
        <w:numPr>
          <w:ilvl w:val="0"/>
          <w:numId w:val="8"/>
        </w:numPr>
        <w:spacing w:after="0"/>
        <w:ind w:left="284" w:hanging="284"/>
        <w:rPr>
          <w:rFonts w:ascii="Calibri" w:hAnsi="Calibri" w:cs="Calibri"/>
        </w:rPr>
      </w:pPr>
      <w:r>
        <w:rPr>
          <w:rFonts w:ascii="Calibri" w:hAnsi="Calibri" w:cs="Calibri"/>
        </w:rPr>
        <w:t>z</w:t>
      </w:r>
      <w:r w:rsidR="00E35FC6" w:rsidRPr="00F373B0">
        <w:rPr>
          <w:rFonts w:ascii="Calibri" w:hAnsi="Calibri" w:cs="Calibri"/>
        </w:rPr>
        <w:t>da byla spolupráce s mezinárodními organizacemi řízena a koordinována dle nastavených podmínek;</w:t>
      </w:r>
    </w:p>
    <w:p w14:paraId="43A30E0D" w14:textId="626A4E9B" w:rsidR="00E35FC6" w:rsidRPr="00F373B0" w:rsidRDefault="00BD79D0" w:rsidP="00F373B0">
      <w:pPr>
        <w:pStyle w:val="Nzev"/>
        <w:numPr>
          <w:ilvl w:val="0"/>
          <w:numId w:val="8"/>
        </w:numPr>
        <w:spacing w:after="0"/>
        <w:ind w:left="284" w:hanging="284"/>
        <w:rPr>
          <w:rFonts w:ascii="Calibri" w:hAnsi="Calibri" w:cs="Calibri"/>
        </w:rPr>
      </w:pPr>
      <w:r>
        <w:rPr>
          <w:rFonts w:ascii="Calibri" w:hAnsi="Calibri" w:cs="Calibri"/>
        </w:rPr>
        <w:t>z</w:t>
      </w:r>
      <w:r w:rsidR="00E35FC6" w:rsidRPr="00F373B0">
        <w:rPr>
          <w:rFonts w:ascii="Calibri" w:hAnsi="Calibri" w:cs="Calibri"/>
        </w:rPr>
        <w:t xml:space="preserve">da MZV nastavilo a realizovalo </w:t>
      </w:r>
      <w:r w:rsidR="00E35FC6" w:rsidRPr="00F373B0">
        <w:rPr>
          <w:rFonts w:ascii="Calibri" w:hAnsi="Calibri" w:cs="Calibri"/>
          <w:i/>
        </w:rPr>
        <w:t>Strategii pro uplatňování českých občanů v mezinárodních organizacích</w:t>
      </w:r>
      <w:r w:rsidR="00E35FC6" w:rsidRPr="00F373B0">
        <w:rPr>
          <w:rFonts w:ascii="Calibri" w:hAnsi="Calibri" w:cs="Calibri"/>
        </w:rPr>
        <w:t xml:space="preserve"> tak, aby vedla k dosažení navýšení počtu českých občanů v mezinárodních organizacích;</w:t>
      </w:r>
    </w:p>
    <w:p w14:paraId="615EE2EF" w14:textId="4D26BA2E" w:rsidR="00E35FC6" w:rsidRPr="00F373B0" w:rsidRDefault="00BD79D0" w:rsidP="00F373B0">
      <w:pPr>
        <w:pStyle w:val="Nzev"/>
        <w:numPr>
          <w:ilvl w:val="0"/>
          <w:numId w:val="8"/>
        </w:numPr>
        <w:spacing w:after="0"/>
        <w:ind w:left="284" w:hanging="284"/>
        <w:rPr>
          <w:rFonts w:ascii="Calibri" w:hAnsi="Calibri" w:cs="Calibri"/>
        </w:rPr>
      </w:pPr>
      <w:r>
        <w:rPr>
          <w:rFonts w:ascii="Calibri" w:hAnsi="Calibri" w:cs="Calibri"/>
        </w:rPr>
        <w:t>z</w:t>
      </w:r>
      <w:r w:rsidR="00E35FC6" w:rsidRPr="00F373B0">
        <w:rPr>
          <w:rFonts w:ascii="Calibri" w:hAnsi="Calibri" w:cs="Calibri"/>
        </w:rPr>
        <w:t>da byla spolupráce s mezinárodními organizacemi v gesci MZV a MŠMT v souladu se strategickými cíli a prioritami;</w:t>
      </w:r>
    </w:p>
    <w:p w14:paraId="1034DF57" w14:textId="2E5E4271" w:rsidR="00E35FC6" w:rsidRPr="00F373B0" w:rsidRDefault="00BD79D0" w:rsidP="00F373B0">
      <w:pPr>
        <w:pStyle w:val="Nzev"/>
        <w:numPr>
          <w:ilvl w:val="0"/>
          <w:numId w:val="8"/>
        </w:numPr>
        <w:spacing w:after="0"/>
        <w:ind w:left="284" w:hanging="284"/>
        <w:rPr>
          <w:rFonts w:ascii="Calibri" w:hAnsi="Calibri" w:cs="Calibri"/>
        </w:rPr>
      </w:pPr>
      <w:r>
        <w:rPr>
          <w:rFonts w:ascii="Calibri" w:hAnsi="Calibri" w:cs="Calibri"/>
        </w:rPr>
        <w:t>z</w:t>
      </w:r>
      <w:r w:rsidR="00E35FC6" w:rsidRPr="00F373B0">
        <w:rPr>
          <w:rFonts w:ascii="Calibri" w:hAnsi="Calibri" w:cs="Calibri"/>
        </w:rPr>
        <w:t>da MZV a MŠMT řídily spolupráci s mezinárodními organizacemi v rámci svých resortů;</w:t>
      </w:r>
    </w:p>
    <w:p w14:paraId="5768D163" w14:textId="5599524C" w:rsidR="00E35FC6" w:rsidRPr="00F373B0" w:rsidRDefault="00BD79D0" w:rsidP="00F373B0">
      <w:pPr>
        <w:pStyle w:val="Nzev"/>
        <w:numPr>
          <w:ilvl w:val="0"/>
          <w:numId w:val="8"/>
        </w:numPr>
        <w:spacing w:after="0"/>
        <w:ind w:left="284" w:hanging="284"/>
        <w:rPr>
          <w:rFonts w:ascii="Calibri" w:hAnsi="Calibri" w:cs="Calibri"/>
        </w:rPr>
      </w:pPr>
      <w:r>
        <w:rPr>
          <w:rFonts w:ascii="Calibri" w:hAnsi="Calibri" w:cs="Calibri"/>
        </w:rPr>
        <w:t>z</w:t>
      </w:r>
      <w:r w:rsidR="00E35FC6" w:rsidRPr="00F373B0">
        <w:rPr>
          <w:rFonts w:ascii="Calibri" w:hAnsi="Calibri" w:cs="Calibri"/>
        </w:rPr>
        <w:t>da MZV a MŠMT zajistily financování spolupráce s mezinárodními organizacemi v rámci svých resortů;</w:t>
      </w:r>
    </w:p>
    <w:p w14:paraId="6B35B96D" w14:textId="063EB124" w:rsidR="00E35FC6" w:rsidRPr="00F373B0" w:rsidRDefault="00BD79D0" w:rsidP="00F373B0">
      <w:pPr>
        <w:pStyle w:val="Nzev"/>
        <w:numPr>
          <w:ilvl w:val="0"/>
          <w:numId w:val="8"/>
        </w:numPr>
        <w:spacing w:after="0"/>
        <w:ind w:left="284" w:hanging="284"/>
        <w:rPr>
          <w:rFonts w:ascii="Calibri" w:hAnsi="Calibri" w:cs="Calibri"/>
        </w:rPr>
      </w:pPr>
      <w:r>
        <w:rPr>
          <w:rFonts w:ascii="Calibri" w:hAnsi="Calibri" w:cs="Calibri"/>
        </w:rPr>
        <w:t>z</w:t>
      </w:r>
      <w:r w:rsidR="00E35FC6" w:rsidRPr="00F373B0">
        <w:rPr>
          <w:rFonts w:ascii="Calibri" w:hAnsi="Calibri" w:cs="Calibri"/>
        </w:rPr>
        <w:t>da MZV a MŠMT zajistily spolupráci s mezinárodními organizacemi po personální stránce.</w:t>
      </w:r>
    </w:p>
    <w:p w14:paraId="07176B1C" w14:textId="77777777" w:rsidR="00F373B0" w:rsidRDefault="00F373B0" w:rsidP="00F373B0">
      <w:pPr>
        <w:spacing w:after="0" w:line="240" w:lineRule="auto"/>
        <w:jc w:val="both"/>
        <w:rPr>
          <w:rFonts w:ascii="Calibri" w:hAnsi="Calibri" w:cs="Calibri"/>
          <w:sz w:val="24"/>
          <w:szCs w:val="24"/>
        </w:rPr>
      </w:pPr>
    </w:p>
    <w:p w14:paraId="2874C2DA" w14:textId="77777777" w:rsidR="00E35FC6" w:rsidRPr="00F373B0" w:rsidRDefault="00E35FC6" w:rsidP="00F373B0">
      <w:pPr>
        <w:spacing w:after="0" w:line="240" w:lineRule="auto"/>
        <w:jc w:val="both"/>
        <w:rPr>
          <w:rFonts w:ascii="Calibri" w:hAnsi="Calibri" w:cs="Calibri"/>
          <w:b/>
          <w:sz w:val="24"/>
          <w:szCs w:val="24"/>
          <w:lang w:eastAsia="cs-CZ"/>
        </w:rPr>
      </w:pPr>
      <w:r w:rsidRPr="00F373B0">
        <w:rPr>
          <w:rFonts w:ascii="Calibri" w:hAnsi="Calibri" w:cs="Calibri"/>
          <w:sz w:val="24"/>
          <w:szCs w:val="24"/>
        </w:rPr>
        <w:t>U MZV činil kontrolovaný objem finančních prostředků v období let 2014–2018 na úrovni systému 8 429 264 783 Kč</w:t>
      </w:r>
      <w:r w:rsidRPr="00F373B0">
        <w:rPr>
          <w:rStyle w:val="Znakapoznpodarou"/>
          <w:rFonts w:ascii="Calibri" w:hAnsi="Calibri" w:cs="Calibri"/>
          <w:sz w:val="24"/>
          <w:szCs w:val="24"/>
        </w:rPr>
        <w:footnoteReference w:id="16"/>
      </w:r>
      <w:r w:rsidRPr="00F373B0">
        <w:rPr>
          <w:rFonts w:ascii="Calibri" w:hAnsi="Calibri" w:cs="Calibri"/>
          <w:sz w:val="24"/>
          <w:szCs w:val="24"/>
        </w:rPr>
        <w:t>, v případě MŠMT pak 4 158 880 391 Kč</w:t>
      </w:r>
      <w:r w:rsidRPr="00F373B0">
        <w:rPr>
          <w:rStyle w:val="Znakapoznpodarou"/>
          <w:rFonts w:ascii="Calibri" w:hAnsi="Calibri" w:cs="Calibri"/>
          <w:sz w:val="24"/>
          <w:szCs w:val="24"/>
        </w:rPr>
        <w:footnoteReference w:id="17"/>
      </w:r>
      <w:r w:rsidRPr="00F373B0">
        <w:rPr>
          <w:rFonts w:ascii="Calibri" w:hAnsi="Calibri" w:cs="Calibri"/>
          <w:sz w:val="24"/>
          <w:szCs w:val="24"/>
        </w:rPr>
        <w:t>.</w:t>
      </w:r>
      <w:r w:rsidRPr="00F373B0">
        <w:rPr>
          <w:rFonts w:ascii="Calibri" w:hAnsi="Calibri" w:cs="Calibri"/>
          <w:b/>
          <w:sz w:val="24"/>
          <w:szCs w:val="24"/>
          <w:lang w:eastAsia="cs-CZ"/>
        </w:rPr>
        <w:t xml:space="preserve"> </w:t>
      </w:r>
    </w:p>
    <w:p w14:paraId="6DF193D5" w14:textId="7E16093E" w:rsidR="00E35FC6" w:rsidRPr="00F373B0" w:rsidRDefault="00E35FC6" w:rsidP="00F373B0">
      <w:pPr>
        <w:spacing w:after="0" w:line="240" w:lineRule="auto"/>
        <w:jc w:val="both"/>
        <w:rPr>
          <w:rFonts w:ascii="Calibri" w:hAnsi="Calibri" w:cs="Calibri"/>
          <w:sz w:val="24"/>
          <w:szCs w:val="24"/>
          <w:lang w:eastAsia="cs-CZ"/>
        </w:rPr>
      </w:pPr>
      <w:r w:rsidRPr="00F373B0">
        <w:rPr>
          <w:rFonts w:ascii="Calibri" w:hAnsi="Calibri" w:cs="Calibri"/>
          <w:sz w:val="24"/>
          <w:szCs w:val="24"/>
          <w:lang w:eastAsia="cs-CZ"/>
        </w:rPr>
        <w:lastRenderedPageBreak/>
        <w:t>Vzhledem k absenci úplných a spolehlivých údajů o spolupráci s MEO oslovil NKÚ všechny správce kapitol státního rozpočtu a ČNB se žádostí o vyplnění dotazníku. Účelem šetření bylo mj. získání informací o MEO, ve kterých je ČR prostřednictvím kapitol státního rozpočtu a ČNB členem, o dalších formách spolupráce ČR s MEO, o peněžních prostředcích poskytovaných MEO a o zastoupení českých občanů v těchto MEO. Kontrolované osoby (MZV a MŠMT) byly osloveny prostřednictvím žádosti o informace. Všem ostatním respondentům byl zaslán personifikovaný dopis a dokument obsahující předvyplněné informace, které vycházely z </w:t>
      </w:r>
      <w:r w:rsidRPr="00F373B0">
        <w:rPr>
          <w:rFonts w:ascii="Calibri" w:hAnsi="Calibri" w:cs="Calibri"/>
          <w:i/>
          <w:sz w:val="24"/>
          <w:szCs w:val="24"/>
          <w:lang w:eastAsia="cs-CZ"/>
        </w:rPr>
        <w:t>Úplného kategorizovaného seznamu členství České republiky v mezinárodních organizacích na úrovni státu nebo resortu</w:t>
      </w:r>
      <w:r w:rsidRPr="00F373B0">
        <w:rPr>
          <w:rFonts w:ascii="Calibri" w:hAnsi="Calibri" w:cs="Calibri"/>
          <w:sz w:val="24"/>
          <w:szCs w:val="24"/>
          <w:lang w:eastAsia="cs-CZ"/>
        </w:rPr>
        <w:t xml:space="preserve"> ke dni 30. 9. 2012, který byl součástí UV </w:t>
      </w:r>
      <w:r w:rsidR="00BD79D0">
        <w:rPr>
          <w:rFonts w:ascii="Calibri" w:hAnsi="Calibri" w:cs="Calibri"/>
          <w:sz w:val="24"/>
          <w:szCs w:val="24"/>
          <w:lang w:eastAsia="cs-CZ"/>
        </w:rPr>
        <w:t>č. </w:t>
      </w:r>
      <w:r w:rsidRPr="00F373B0">
        <w:rPr>
          <w:rFonts w:ascii="Calibri" w:hAnsi="Calibri" w:cs="Calibri"/>
          <w:sz w:val="24"/>
          <w:szCs w:val="24"/>
          <w:lang w:eastAsia="cs-CZ"/>
        </w:rPr>
        <w:t>317/2013. Ostatní respondenti mimo kontrolované osoby byli osloveni v rámci vzájemné spolupráce orgánů veřejné správy při zajišťování přiměřeného a účinného systému finanční kontroly u veřejné správy. Poskytnuté informace od respondentů NKÚ již dále neověřoval.</w:t>
      </w:r>
    </w:p>
    <w:p w14:paraId="67C13DF9" w14:textId="77777777" w:rsidR="00F373B0" w:rsidRDefault="00F373B0" w:rsidP="00F373B0">
      <w:pPr>
        <w:spacing w:after="0" w:line="240" w:lineRule="auto"/>
        <w:jc w:val="both"/>
        <w:rPr>
          <w:rFonts w:ascii="Calibri" w:hAnsi="Calibri" w:cs="Calibri"/>
          <w:sz w:val="24"/>
          <w:szCs w:val="24"/>
          <w:lang w:eastAsia="cs-CZ"/>
        </w:rPr>
      </w:pPr>
    </w:p>
    <w:p w14:paraId="7B73735D" w14:textId="4370E2A4" w:rsidR="00E35FC6" w:rsidRPr="00F373B0" w:rsidRDefault="00E35FC6" w:rsidP="00F373B0">
      <w:pPr>
        <w:spacing w:after="0" w:line="240" w:lineRule="auto"/>
        <w:jc w:val="both"/>
        <w:rPr>
          <w:rFonts w:ascii="Calibri" w:hAnsi="Calibri" w:cs="Calibri"/>
          <w:sz w:val="24"/>
          <w:szCs w:val="24"/>
          <w:lang w:eastAsia="cs-CZ"/>
        </w:rPr>
      </w:pPr>
      <w:r w:rsidRPr="00F373B0">
        <w:rPr>
          <w:rFonts w:ascii="Calibri" w:hAnsi="Calibri" w:cs="Calibri"/>
          <w:sz w:val="24"/>
          <w:szCs w:val="24"/>
          <w:lang w:eastAsia="cs-CZ"/>
        </w:rPr>
        <w:t>Na dotazníkové šetření odpověděli všichni respondenti. Na základě získaných dat byl vytvořen přehled spolupráce s MEO na úrovni správců kapitol a ČNB za rok 2018, vybrané výsledky jsou uvedeny v </w:t>
      </w:r>
      <w:r w:rsidR="00116A5D">
        <w:rPr>
          <w:rFonts w:ascii="Calibri" w:hAnsi="Calibri" w:cs="Calibri"/>
          <w:sz w:val="24"/>
          <w:szCs w:val="24"/>
          <w:lang w:eastAsia="cs-CZ"/>
        </w:rPr>
        <w:t>p</w:t>
      </w:r>
      <w:r w:rsidRPr="00F373B0">
        <w:rPr>
          <w:rFonts w:ascii="Calibri" w:hAnsi="Calibri" w:cs="Calibri"/>
          <w:sz w:val="24"/>
          <w:szCs w:val="24"/>
          <w:lang w:eastAsia="cs-CZ"/>
        </w:rPr>
        <w:t xml:space="preserve">říloze č. 1, viz odkaz: </w:t>
      </w:r>
      <w:hyperlink r:id="rId13" w:history="1">
        <w:r w:rsidR="0014063E" w:rsidRPr="00F373B0">
          <w:rPr>
            <w:rStyle w:val="Hypertextovodkaz"/>
            <w:rFonts w:ascii="Calibri" w:hAnsi="Calibri" w:cs="Calibri"/>
            <w:sz w:val="24"/>
            <w:szCs w:val="24"/>
            <w:u w:val="none"/>
            <w:lang w:eastAsia="cs-CZ"/>
          </w:rPr>
          <w:t>https://www.nku.cz/scripts/detail.php?id=11033</w:t>
        </w:r>
      </w:hyperlink>
      <w:r w:rsidRPr="00F373B0">
        <w:rPr>
          <w:rFonts w:ascii="Calibri" w:hAnsi="Calibri" w:cs="Calibri"/>
          <w:sz w:val="24"/>
          <w:szCs w:val="24"/>
          <w:lang w:eastAsia="cs-CZ"/>
        </w:rPr>
        <w:t>.</w:t>
      </w:r>
    </w:p>
    <w:p w14:paraId="171DA4EF" w14:textId="77777777" w:rsidR="00F373B0" w:rsidRDefault="00F373B0" w:rsidP="00F373B0">
      <w:pPr>
        <w:spacing w:after="0" w:line="240" w:lineRule="auto"/>
        <w:jc w:val="both"/>
        <w:rPr>
          <w:rFonts w:ascii="Calibri" w:hAnsi="Calibri" w:cs="Calibri"/>
          <w:sz w:val="24"/>
          <w:szCs w:val="24"/>
        </w:rPr>
      </w:pPr>
    </w:p>
    <w:p w14:paraId="674D18E6" w14:textId="2253D957" w:rsidR="00E35FC6" w:rsidRPr="00F373B0" w:rsidRDefault="00E35FC6" w:rsidP="00F373B0">
      <w:pPr>
        <w:spacing w:after="0" w:line="240" w:lineRule="auto"/>
        <w:jc w:val="both"/>
        <w:rPr>
          <w:rFonts w:ascii="Calibri" w:hAnsi="Calibri" w:cs="Calibri"/>
          <w:sz w:val="24"/>
          <w:szCs w:val="24"/>
        </w:rPr>
      </w:pPr>
      <w:r w:rsidRPr="00F373B0">
        <w:rPr>
          <w:rFonts w:ascii="Calibri" w:hAnsi="Calibri" w:cs="Calibri"/>
          <w:sz w:val="24"/>
          <w:szCs w:val="24"/>
        </w:rPr>
        <w:t xml:space="preserve">Kontrole nebylo podrobeno členství ČR v Evropské unii a působení ČR, resp. zástupců kontrolovaných osob v ní. </w:t>
      </w:r>
    </w:p>
    <w:p w14:paraId="13C1129D" w14:textId="77777777" w:rsidR="00F373B0" w:rsidRPr="00F373B0" w:rsidRDefault="00F373B0" w:rsidP="00F373B0">
      <w:pPr>
        <w:spacing w:after="0" w:line="240" w:lineRule="auto"/>
        <w:jc w:val="both"/>
        <w:rPr>
          <w:rFonts w:ascii="Calibri" w:hAnsi="Calibri" w:cs="Calibri"/>
          <w:sz w:val="24"/>
          <w:szCs w:val="24"/>
        </w:rPr>
      </w:pPr>
    </w:p>
    <w:p w14:paraId="70F3C974" w14:textId="77777777" w:rsidR="00F373B0" w:rsidRPr="00F373B0" w:rsidRDefault="00F373B0" w:rsidP="00F373B0">
      <w:pPr>
        <w:spacing w:after="0" w:line="240" w:lineRule="auto"/>
        <w:jc w:val="both"/>
        <w:rPr>
          <w:rFonts w:ascii="Calibri" w:hAnsi="Calibri" w:cs="Calibri"/>
          <w:sz w:val="24"/>
          <w:szCs w:val="24"/>
          <w:lang w:eastAsia="cs-CZ"/>
        </w:rPr>
      </w:pPr>
    </w:p>
    <w:p w14:paraId="53845EBA" w14:textId="77777777" w:rsidR="00E35FC6" w:rsidRPr="00F373B0" w:rsidRDefault="00E35FC6" w:rsidP="00F373B0">
      <w:pPr>
        <w:pStyle w:val="Nadpis1"/>
        <w:numPr>
          <w:ilvl w:val="0"/>
          <w:numId w:val="0"/>
        </w:numPr>
        <w:spacing w:after="0"/>
        <w:ind w:left="426" w:hanging="426"/>
        <w:rPr>
          <w:sz w:val="28"/>
        </w:rPr>
      </w:pPr>
      <w:r w:rsidRPr="00F373B0">
        <w:rPr>
          <w:sz w:val="28"/>
        </w:rPr>
        <w:t>IV. Podrobné skutečnosti zjištěné kontrolou</w:t>
      </w:r>
    </w:p>
    <w:p w14:paraId="1832DB84" w14:textId="77777777" w:rsidR="00F373B0" w:rsidRDefault="00F373B0" w:rsidP="00F373B0">
      <w:pPr>
        <w:keepNext/>
        <w:spacing w:after="0" w:line="240" w:lineRule="auto"/>
        <w:jc w:val="both"/>
        <w:rPr>
          <w:rFonts w:ascii="Calibri" w:hAnsi="Calibri" w:cs="Calibri"/>
          <w:sz w:val="24"/>
          <w:szCs w:val="24"/>
        </w:rPr>
      </w:pPr>
    </w:p>
    <w:p w14:paraId="721C178A" w14:textId="77777777" w:rsidR="00E35FC6" w:rsidRPr="00F373B0" w:rsidRDefault="00F373B0" w:rsidP="00F373B0">
      <w:pPr>
        <w:keepNext/>
        <w:spacing w:after="0" w:line="240" w:lineRule="auto"/>
        <w:jc w:val="both"/>
        <w:rPr>
          <w:rFonts w:ascii="Calibri" w:hAnsi="Calibri" w:cs="Calibri"/>
          <w:b/>
          <w:sz w:val="24"/>
          <w:szCs w:val="24"/>
        </w:rPr>
      </w:pPr>
      <w:r w:rsidRPr="00F373B0">
        <w:rPr>
          <w:rFonts w:ascii="Calibri" w:hAnsi="Calibri" w:cs="Calibri"/>
          <w:b/>
          <w:sz w:val="24"/>
          <w:szCs w:val="24"/>
        </w:rPr>
        <w:t xml:space="preserve">1. </w:t>
      </w:r>
      <w:r w:rsidR="00E35FC6" w:rsidRPr="00F373B0">
        <w:rPr>
          <w:rFonts w:ascii="Calibri" w:hAnsi="Calibri" w:cs="Calibri"/>
          <w:b/>
          <w:sz w:val="24"/>
          <w:szCs w:val="24"/>
        </w:rPr>
        <w:t>Posuzování vstupu ČR do mezinárodních organizací a vzniku spolupráce</w:t>
      </w:r>
    </w:p>
    <w:p w14:paraId="3ABFF900" w14:textId="77777777" w:rsidR="00F373B0" w:rsidRDefault="00F373B0" w:rsidP="00F373B0">
      <w:pPr>
        <w:keepNext/>
        <w:spacing w:after="0" w:line="240" w:lineRule="auto"/>
        <w:jc w:val="both"/>
        <w:rPr>
          <w:rFonts w:ascii="Calibri" w:hAnsi="Calibri" w:cs="Calibri"/>
          <w:sz w:val="24"/>
          <w:szCs w:val="24"/>
        </w:rPr>
      </w:pPr>
    </w:p>
    <w:p w14:paraId="71C0562E" w14:textId="4B544D56" w:rsidR="00E35FC6" w:rsidRPr="00EA56A9" w:rsidRDefault="00E35FC6" w:rsidP="00EA56A9">
      <w:pPr>
        <w:spacing w:after="0" w:line="240" w:lineRule="auto"/>
        <w:jc w:val="both"/>
        <w:rPr>
          <w:rFonts w:ascii="Calibri" w:hAnsi="Calibri" w:cs="Calibri"/>
          <w:sz w:val="24"/>
          <w:szCs w:val="24"/>
        </w:rPr>
      </w:pPr>
      <w:r w:rsidRPr="00EA56A9">
        <w:rPr>
          <w:rFonts w:ascii="Calibri" w:hAnsi="Calibri" w:cs="Calibri"/>
          <w:sz w:val="24"/>
          <w:szCs w:val="24"/>
        </w:rPr>
        <w:t>Vznik spolupráce s MEO, který zakládá členství ČR v této MEO</w:t>
      </w:r>
      <w:r w:rsidR="00F373B0">
        <w:rPr>
          <w:rFonts w:ascii="Calibri" w:hAnsi="Calibri" w:cs="Calibri"/>
          <w:sz w:val="24"/>
          <w:szCs w:val="24"/>
        </w:rPr>
        <w:t>, se řídí postupem stanoveným v </w:t>
      </w:r>
      <w:r w:rsidRPr="00EA56A9">
        <w:rPr>
          <w:rFonts w:ascii="Calibri" w:hAnsi="Calibri" w:cs="Calibri"/>
          <w:sz w:val="24"/>
          <w:szCs w:val="24"/>
        </w:rPr>
        <w:t xml:space="preserve">článku 49 písm. c) Ústavy ČR a </w:t>
      </w:r>
      <w:r w:rsidR="00116A5D" w:rsidRPr="001C34BC">
        <w:rPr>
          <w:rFonts w:ascii="Calibri" w:hAnsi="Calibri" w:cs="Calibri"/>
          <w:sz w:val="24"/>
          <w:szCs w:val="24"/>
        </w:rPr>
        <w:t>s</w:t>
      </w:r>
      <w:r w:rsidRPr="001C34BC">
        <w:rPr>
          <w:rFonts w:ascii="Calibri" w:hAnsi="Calibri" w:cs="Calibri"/>
          <w:sz w:val="24"/>
          <w:szCs w:val="24"/>
        </w:rPr>
        <w:t>měrnici vlády pro sjednávání, vnitrostátní projednávání, provádění a ukončování platnosti mezinárodních smluv</w:t>
      </w:r>
      <w:r w:rsidRPr="00EA56A9">
        <w:rPr>
          <w:rFonts w:ascii="Calibri" w:hAnsi="Calibri" w:cs="Calibri"/>
          <w:sz w:val="24"/>
          <w:szCs w:val="24"/>
        </w:rPr>
        <w:t xml:space="preserve"> (dále také „Směrnice“)</w:t>
      </w:r>
      <w:r w:rsidRPr="00EA56A9">
        <w:rPr>
          <w:rFonts w:ascii="Calibri" w:hAnsi="Calibri" w:cs="Calibri"/>
          <w:i/>
          <w:sz w:val="24"/>
          <w:szCs w:val="24"/>
        </w:rPr>
        <w:t xml:space="preserve">. </w:t>
      </w:r>
      <w:r w:rsidRPr="00EA56A9">
        <w:rPr>
          <w:rFonts w:ascii="Calibri" w:hAnsi="Calibri" w:cs="Calibri"/>
          <w:sz w:val="24"/>
          <w:szCs w:val="24"/>
        </w:rPr>
        <w:t>Také v případě, že vznik spolupráce s MEO předpokládá uzavření mezinárodní smlouvy</w:t>
      </w:r>
      <w:r w:rsidRPr="00EA56A9">
        <w:rPr>
          <w:rStyle w:val="Znakapoznpodarou"/>
          <w:rFonts w:ascii="Calibri" w:hAnsi="Calibri" w:cs="Calibri"/>
          <w:sz w:val="24"/>
          <w:szCs w:val="24"/>
        </w:rPr>
        <w:footnoteReference w:id="18"/>
      </w:r>
      <w:r w:rsidRPr="00EA56A9">
        <w:rPr>
          <w:rFonts w:ascii="Calibri" w:hAnsi="Calibri" w:cs="Calibri"/>
          <w:sz w:val="24"/>
          <w:szCs w:val="24"/>
        </w:rPr>
        <w:t>, jsou povinnosti gestora a</w:t>
      </w:r>
      <w:r w:rsidR="00EA109A">
        <w:rPr>
          <w:rFonts w:ascii="Calibri" w:hAnsi="Calibri" w:cs="Calibri"/>
          <w:sz w:val="24"/>
          <w:szCs w:val="24"/>
        </w:rPr>
        <w:t> </w:t>
      </w:r>
      <w:r w:rsidRPr="00EA56A9">
        <w:rPr>
          <w:rFonts w:ascii="Calibri" w:hAnsi="Calibri" w:cs="Calibri"/>
          <w:sz w:val="24"/>
          <w:szCs w:val="24"/>
        </w:rPr>
        <w:t>MZV upraveny Směrnicí.</w:t>
      </w:r>
      <w:r w:rsidRPr="00EA56A9">
        <w:rPr>
          <w:rFonts w:ascii="Calibri" w:hAnsi="Calibri" w:cs="Calibri"/>
          <w:i/>
          <w:sz w:val="24"/>
          <w:szCs w:val="24"/>
        </w:rPr>
        <w:t xml:space="preserve"> </w:t>
      </w:r>
      <w:r w:rsidRPr="00EA56A9">
        <w:rPr>
          <w:rFonts w:ascii="Calibri" w:hAnsi="Calibri" w:cs="Calibri"/>
          <w:sz w:val="24"/>
          <w:szCs w:val="24"/>
        </w:rPr>
        <w:t>MZV má zejména sledovat, zda jsou mezinárodní smlouvy sjednávány v</w:t>
      </w:r>
      <w:r w:rsidR="00EA109A">
        <w:rPr>
          <w:rFonts w:ascii="Calibri" w:hAnsi="Calibri" w:cs="Calibri"/>
          <w:sz w:val="24"/>
          <w:szCs w:val="24"/>
        </w:rPr>
        <w:t> </w:t>
      </w:r>
      <w:r w:rsidRPr="00EA56A9">
        <w:rPr>
          <w:rFonts w:ascii="Calibri" w:hAnsi="Calibri" w:cs="Calibri"/>
          <w:sz w:val="24"/>
          <w:szCs w:val="24"/>
        </w:rPr>
        <w:t>souladu se zahraničněpolitickými zájmy ČR a s obecně uznávanými zásadami a normami mezinárodního smluvního práva. Z těchto důvodů s ním musí být příprava a sjednání každé mezinárodní smlouvy projednána.</w:t>
      </w:r>
    </w:p>
    <w:p w14:paraId="7AB7131A" w14:textId="77777777" w:rsidR="00EA56A9" w:rsidRDefault="00EA56A9" w:rsidP="00EA56A9">
      <w:pPr>
        <w:spacing w:after="0" w:line="240" w:lineRule="auto"/>
        <w:jc w:val="both"/>
        <w:rPr>
          <w:rFonts w:ascii="Calibri" w:hAnsi="Calibri" w:cs="Calibri"/>
          <w:sz w:val="24"/>
          <w:szCs w:val="24"/>
        </w:rPr>
      </w:pPr>
    </w:p>
    <w:p w14:paraId="5C64B7F7" w14:textId="72D5CC4C" w:rsidR="00E35FC6" w:rsidRPr="00EA56A9" w:rsidRDefault="0023090E" w:rsidP="00EA56A9">
      <w:pPr>
        <w:spacing w:after="0" w:line="240" w:lineRule="auto"/>
        <w:jc w:val="both"/>
        <w:rPr>
          <w:rFonts w:ascii="Calibri" w:hAnsi="Calibri" w:cs="Calibri"/>
          <w:sz w:val="24"/>
          <w:szCs w:val="24"/>
        </w:rPr>
      </w:pPr>
      <w:r>
        <w:rPr>
          <w:rFonts w:ascii="Calibri" w:hAnsi="Calibri" w:cs="Calibri"/>
          <w:sz w:val="24"/>
          <w:szCs w:val="24"/>
        </w:rPr>
        <w:t>V </w:t>
      </w:r>
      <w:r w:rsidR="00E35FC6" w:rsidRPr="00EA56A9">
        <w:rPr>
          <w:rFonts w:ascii="Calibri" w:hAnsi="Calibri" w:cs="Calibri"/>
          <w:sz w:val="24"/>
          <w:szCs w:val="24"/>
        </w:rPr>
        <w:t xml:space="preserve">UV </w:t>
      </w:r>
      <w:r w:rsidR="00EA109A">
        <w:rPr>
          <w:rFonts w:ascii="Calibri" w:hAnsi="Calibri" w:cs="Calibri"/>
          <w:sz w:val="24"/>
          <w:szCs w:val="24"/>
        </w:rPr>
        <w:t>č. </w:t>
      </w:r>
      <w:r w:rsidR="00E35FC6" w:rsidRPr="00EA56A9">
        <w:rPr>
          <w:rFonts w:ascii="Calibri" w:hAnsi="Calibri" w:cs="Calibri"/>
          <w:sz w:val="24"/>
          <w:szCs w:val="24"/>
        </w:rPr>
        <w:t xml:space="preserve">581/2012 uložila vláda ČR svým členům a vedoucím ostatních ÚOSS </w:t>
      </w:r>
      <w:r w:rsidR="00E35FC6" w:rsidRPr="00F73B87">
        <w:rPr>
          <w:rFonts w:ascii="Calibri" w:hAnsi="Calibri" w:cs="Calibri"/>
          <w:sz w:val="24"/>
          <w:szCs w:val="24"/>
        </w:rPr>
        <w:t>„</w:t>
      </w:r>
      <w:r w:rsidR="00EA109A" w:rsidRPr="00EA109A">
        <w:rPr>
          <w:rFonts w:ascii="Calibri" w:hAnsi="Calibri" w:cs="Calibri"/>
          <w:sz w:val="24"/>
          <w:szCs w:val="24"/>
        </w:rPr>
        <w:t>…</w:t>
      </w:r>
      <w:r w:rsidR="00E35FC6" w:rsidRPr="00EA56A9">
        <w:rPr>
          <w:rFonts w:ascii="Calibri" w:hAnsi="Calibri" w:cs="Calibri"/>
          <w:i/>
          <w:sz w:val="24"/>
          <w:szCs w:val="24"/>
        </w:rPr>
        <w:t>nevstupovat do případných nových významných finančních závazků ve vztazích vůči mezinárodním organizacím bez předchozího souhlasu vlády</w:t>
      </w:r>
      <w:r w:rsidR="00E35FC6" w:rsidRPr="00F73B87">
        <w:rPr>
          <w:rFonts w:ascii="Calibri" w:hAnsi="Calibri" w:cs="Calibri"/>
          <w:sz w:val="24"/>
          <w:szCs w:val="24"/>
        </w:rPr>
        <w:t>“</w:t>
      </w:r>
      <w:r w:rsidR="00E35FC6" w:rsidRPr="00EA56A9">
        <w:rPr>
          <w:rStyle w:val="Znakapoznpodarou"/>
          <w:rFonts w:ascii="Calibri" w:hAnsi="Calibri" w:cs="Calibri"/>
          <w:sz w:val="24"/>
          <w:szCs w:val="24"/>
        </w:rPr>
        <w:footnoteReference w:id="19"/>
      </w:r>
      <w:r w:rsidR="00E35FC6" w:rsidRPr="00EA56A9">
        <w:rPr>
          <w:rFonts w:ascii="Calibri" w:hAnsi="Calibri" w:cs="Calibri"/>
          <w:sz w:val="24"/>
          <w:szCs w:val="24"/>
        </w:rPr>
        <w:t xml:space="preserve">. Přičemž jednací řád vlády stanoví, že každý materiál pro jednání </w:t>
      </w:r>
      <w:r w:rsidR="00E35FC6" w:rsidRPr="00EA56A9">
        <w:rPr>
          <w:rFonts w:ascii="Calibri" w:hAnsi="Calibri" w:cs="Calibri"/>
          <w:sz w:val="24"/>
          <w:szCs w:val="24"/>
        </w:rPr>
        <w:lastRenderedPageBreak/>
        <w:t>schůze vlády musí být před jeho předložením vládě předložen ke stanovisku všem</w:t>
      </w:r>
      <w:r w:rsidR="00EA56A9">
        <w:rPr>
          <w:rFonts w:ascii="Calibri" w:hAnsi="Calibri" w:cs="Calibri"/>
          <w:sz w:val="24"/>
          <w:szCs w:val="24"/>
        </w:rPr>
        <w:t xml:space="preserve"> ministrům a</w:t>
      </w:r>
      <w:r w:rsidR="00EA109A">
        <w:rPr>
          <w:rFonts w:ascii="Calibri" w:hAnsi="Calibri" w:cs="Calibri"/>
          <w:sz w:val="24"/>
          <w:szCs w:val="24"/>
        </w:rPr>
        <w:t> </w:t>
      </w:r>
      <w:r w:rsidR="00EA56A9">
        <w:rPr>
          <w:rFonts w:ascii="Calibri" w:hAnsi="Calibri" w:cs="Calibri"/>
          <w:sz w:val="24"/>
          <w:szCs w:val="24"/>
        </w:rPr>
        <w:t>dalším subjektům</w:t>
      </w:r>
      <w:r w:rsidR="00EA109A">
        <w:rPr>
          <w:rFonts w:ascii="Calibri" w:hAnsi="Calibri" w:cs="Calibri"/>
          <w:sz w:val="24"/>
          <w:szCs w:val="24"/>
        </w:rPr>
        <w:t>,</w:t>
      </w:r>
      <w:r w:rsidR="00EA56A9">
        <w:rPr>
          <w:rFonts w:ascii="Calibri" w:hAnsi="Calibri" w:cs="Calibri"/>
          <w:sz w:val="24"/>
          <w:szCs w:val="24"/>
        </w:rPr>
        <w:t xml:space="preserve"> s </w:t>
      </w:r>
      <w:r w:rsidR="00E35FC6" w:rsidRPr="00EA56A9">
        <w:rPr>
          <w:rFonts w:ascii="Calibri" w:hAnsi="Calibri" w:cs="Calibri"/>
          <w:sz w:val="24"/>
          <w:szCs w:val="24"/>
        </w:rPr>
        <w:t>výjimkou materiálů uvedených v příloze č. 5. Tato příloha mj. uvádí, že návrhy na vyslovení souhlasu s úhradou vkladů a příspěvků MEO se zasílají vždy k připomínkám MZV a MF. Z toho vyplývá, že také v případě, že gestor předkládá na schůzi vlády materiál týkající se finančních závazků vůči MEO, musí být MZV vždy připomínkovým místem.</w:t>
      </w:r>
    </w:p>
    <w:p w14:paraId="1EF271BF" w14:textId="77777777" w:rsidR="00EA56A9" w:rsidRDefault="00EA56A9" w:rsidP="00EA56A9">
      <w:pPr>
        <w:spacing w:after="0" w:line="240" w:lineRule="auto"/>
        <w:jc w:val="both"/>
        <w:rPr>
          <w:rFonts w:ascii="Calibri" w:eastAsia="Calibri" w:hAnsi="Calibri" w:cs="Calibri"/>
          <w:sz w:val="24"/>
          <w:szCs w:val="24"/>
        </w:rPr>
      </w:pPr>
    </w:p>
    <w:p w14:paraId="56027F42" w14:textId="30E9BAD5" w:rsidR="00E35FC6" w:rsidRPr="00EA56A9" w:rsidRDefault="00AE0E56" w:rsidP="00EA56A9">
      <w:pPr>
        <w:spacing w:after="0" w:line="240" w:lineRule="auto"/>
        <w:jc w:val="both"/>
        <w:rPr>
          <w:rFonts w:ascii="Calibri" w:hAnsi="Calibri" w:cs="Calibri"/>
          <w:sz w:val="24"/>
          <w:szCs w:val="24"/>
        </w:rPr>
      </w:pPr>
      <w:r>
        <w:rPr>
          <w:rFonts w:ascii="Calibri" w:eastAsia="Calibri" w:hAnsi="Calibri" w:cs="Calibri"/>
          <w:sz w:val="24"/>
          <w:szCs w:val="24"/>
        </w:rPr>
        <w:t>Pokud</w:t>
      </w:r>
      <w:r w:rsidR="00E35FC6" w:rsidRPr="00EA56A9">
        <w:rPr>
          <w:rFonts w:ascii="Calibri" w:eastAsia="Calibri" w:hAnsi="Calibri" w:cs="Calibri"/>
          <w:sz w:val="24"/>
          <w:szCs w:val="24"/>
        </w:rPr>
        <w:t xml:space="preserve"> se nejedná o uzavření mezinárodní smlouvy a spolupráce s MEO nepředstavuje nově vzniklý významný finanční závazek, nemá gestor povinnost s MZV tuto spolupráci s MEO projednat, a to přesto, že MZV má odpovědnost za koordinaci spolupráce s MEO a byly mu v této souvislosti vládou ČR uloženy úkoly. Také v případech, kdy gestor nesplní svou povinnost předložit MZV materiál k připomínkám, může MZV vznik spolupráce s touto MEO </w:t>
      </w:r>
      <w:r w:rsidR="00CA7F42">
        <w:rPr>
          <w:rFonts w:ascii="Calibri" w:eastAsia="Calibri" w:hAnsi="Calibri" w:cs="Calibri"/>
          <w:sz w:val="24"/>
          <w:szCs w:val="24"/>
        </w:rPr>
        <w:t xml:space="preserve">zjistit </w:t>
      </w:r>
      <w:r w:rsidR="00E35FC6" w:rsidRPr="00EA56A9">
        <w:rPr>
          <w:rFonts w:ascii="Calibri" w:eastAsia="Calibri" w:hAnsi="Calibri" w:cs="Calibri"/>
          <w:sz w:val="24"/>
          <w:szCs w:val="24"/>
        </w:rPr>
        <w:t>až ex post, resp. se o spolupráci s MEO nemusí dozvědět vůbec.</w:t>
      </w:r>
    </w:p>
    <w:p w14:paraId="38D8DCC5" w14:textId="77777777" w:rsidR="00EA56A9" w:rsidRDefault="00EA56A9" w:rsidP="00EA56A9">
      <w:pPr>
        <w:spacing w:after="0" w:line="240" w:lineRule="auto"/>
        <w:jc w:val="both"/>
        <w:rPr>
          <w:rFonts w:ascii="Calibri" w:eastAsia="Calibri" w:hAnsi="Calibri" w:cs="Calibri"/>
          <w:sz w:val="24"/>
          <w:szCs w:val="24"/>
        </w:rPr>
      </w:pPr>
    </w:p>
    <w:p w14:paraId="729A4A94" w14:textId="210867FE" w:rsidR="00E35FC6" w:rsidRPr="00EA56A9" w:rsidRDefault="00E35FC6" w:rsidP="00EA56A9">
      <w:pPr>
        <w:spacing w:after="0" w:line="240" w:lineRule="auto"/>
        <w:jc w:val="both"/>
        <w:rPr>
          <w:rFonts w:ascii="Calibri" w:hAnsi="Calibri" w:cs="Calibri"/>
          <w:sz w:val="24"/>
          <w:szCs w:val="24"/>
        </w:rPr>
      </w:pPr>
      <w:r w:rsidRPr="00EA56A9">
        <w:rPr>
          <w:rFonts w:ascii="Calibri" w:eastAsia="Calibri" w:hAnsi="Calibri" w:cs="Calibri"/>
          <w:sz w:val="24"/>
          <w:szCs w:val="24"/>
        </w:rPr>
        <w:t>Na základě MZV předložené dokumentace identifikoval NKÚ, že v letech 2014–2018 vzniklo členství ČR, příp. jiná forma spolupráce, s 28 MEO</w:t>
      </w:r>
      <w:r w:rsidRPr="00EA56A9">
        <w:rPr>
          <w:rStyle w:val="Znakapoznpodarou"/>
          <w:rFonts w:ascii="Calibri" w:eastAsia="Calibri" w:hAnsi="Calibri" w:cs="Calibri"/>
          <w:sz w:val="24"/>
          <w:szCs w:val="24"/>
        </w:rPr>
        <w:footnoteReference w:id="20"/>
      </w:r>
      <w:r w:rsidR="0052721C">
        <w:rPr>
          <w:rFonts w:ascii="Calibri" w:eastAsia="Calibri" w:hAnsi="Calibri" w:cs="Calibri"/>
          <w:sz w:val="24"/>
          <w:szCs w:val="24"/>
        </w:rPr>
        <w:t>,</w:t>
      </w:r>
      <w:r w:rsidRPr="00EA56A9">
        <w:rPr>
          <w:rFonts w:ascii="Calibri" w:eastAsia="Calibri" w:hAnsi="Calibri" w:cs="Calibri"/>
          <w:sz w:val="24"/>
          <w:szCs w:val="24"/>
        </w:rPr>
        <w:t xml:space="preserve"> přičemž </w:t>
      </w:r>
      <w:r w:rsidRPr="00EA56A9">
        <w:rPr>
          <w:rFonts w:ascii="Calibri" w:hAnsi="Calibri" w:cs="Calibri"/>
          <w:sz w:val="24"/>
          <w:szCs w:val="24"/>
        </w:rPr>
        <w:t xml:space="preserve">u 12 z nich byla tato spolupráce předmětem meziresortního připomínkového řízení, jehož se účastnilo i MZV. V případě dalších 16 MEO, </w:t>
      </w:r>
      <w:r w:rsidR="0052721C">
        <w:rPr>
          <w:rFonts w:ascii="Calibri" w:hAnsi="Calibri" w:cs="Calibri"/>
          <w:sz w:val="24"/>
          <w:szCs w:val="24"/>
        </w:rPr>
        <w:t>z nichž</w:t>
      </w:r>
      <w:r w:rsidR="0052721C" w:rsidRPr="00EA56A9">
        <w:rPr>
          <w:rFonts w:ascii="Calibri" w:hAnsi="Calibri" w:cs="Calibri"/>
          <w:sz w:val="24"/>
          <w:szCs w:val="24"/>
        </w:rPr>
        <w:t xml:space="preserve"> </w:t>
      </w:r>
      <w:r w:rsidRPr="00EA56A9">
        <w:rPr>
          <w:rFonts w:ascii="Calibri" w:hAnsi="Calibri" w:cs="Calibri"/>
          <w:sz w:val="24"/>
          <w:szCs w:val="24"/>
        </w:rPr>
        <w:t>2 byly označeny v přehledu MZV jako vládní, se MZV do posouzení vzniku spolupráce nezapojilo. Vzhledem k absenci spolehlivého přehledu nelze zjistit přesnou výši peněžních prostředků, kter</w:t>
      </w:r>
      <w:r w:rsidR="0052721C">
        <w:rPr>
          <w:rFonts w:ascii="Calibri" w:hAnsi="Calibri" w:cs="Calibri"/>
          <w:sz w:val="24"/>
          <w:szCs w:val="24"/>
        </w:rPr>
        <w:t>é</w:t>
      </w:r>
      <w:r w:rsidRPr="00EA56A9">
        <w:rPr>
          <w:rFonts w:ascii="Calibri" w:hAnsi="Calibri" w:cs="Calibri"/>
          <w:sz w:val="24"/>
          <w:szCs w:val="24"/>
        </w:rPr>
        <w:t xml:space="preserve"> byl</w:t>
      </w:r>
      <w:r w:rsidR="0052721C">
        <w:rPr>
          <w:rFonts w:ascii="Calibri" w:hAnsi="Calibri" w:cs="Calibri"/>
          <w:sz w:val="24"/>
          <w:szCs w:val="24"/>
        </w:rPr>
        <w:t>y</w:t>
      </w:r>
      <w:r w:rsidRPr="00EA56A9">
        <w:rPr>
          <w:rFonts w:ascii="Calibri" w:hAnsi="Calibri" w:cs="Calibri"/>
          <w:sz w:val="24"/>
          <w:szCs w:val="24"/>
        </w:rPr>
        <w:t xml:space="preserve"> těmto MEO v kontrolovaném období poskytnut</w:t>
      </w:r>
      <w:r w:rsidR="0052721C">
        <w:rPr>
          <w:rFonts w:ascii="Calibri" w:hAnsi="Calibri" w:cs="Calibri"/>
          <w:sz w:val="24"/>
          <w:szCs w:val="24"/>
        </w:rPr>
        <w:t>y</w:t>
      </w:r>
      <w:r w:rsidRPr="00EA56A9">
        <w:rPr>
          <w:rFonts w:ascii="Calibri" w:hAnsi="Calibri" w:cs="Calibri"/>
          <w:sz w:val="24"/>
          <w:szCs w:val="24"/>
        </w:rPr>
        <w:t xml:space="preserve">, nicméně dle MZV vytvořeného pracovního přehledu byl v roce 2016 poskytnut příspěvek </w:t>
      </w:r>
      <w:r w:rsidR="00F270F1">
        <w:rPr>
          <w:rFonts w:ascii="Calibri" w:hAnsi="Calibri" w:cs="Calibri"/>
          <w:sz w:val="24"/>
          <w:szCs w:val="24"/>
        </w:rPr>
        <w:t xml:space="preserve">osmi </w:t>
      </w:r>
      <w:r w:rsidRPr="00EA56A9">
        <w:rPr>
          <w:rFonts w:ascii="Calibri" w:hAnsi="Calibri" w:cs="Calibri"/>
          <w:sz w:val="24"/>
          <w:szCs w:val="24"/>
        </w:rPr>
        <w:t xml:space="preserve">z těchto MEO v celkové výši cca 3 mil. Kč a na základě informací z vlastního dotazníkového šetření NKÚ byl v roce 2018 poskytnut příspěvek </w:t>
      </w:r>
      <w:r w:rsidR="00F270F1">
        <w:rPr>
          <w:rFonts w:ascii="Calibri" w:hAnsi="Calibri" w:cs="Calibri"/>
          <w:sz w:val="24"/>
          <w:szCs w:val="24"/>
        </w:rPr>
        <w:t>devíti</w:t>
      </w:r>
      <w:r w:rsidRPr="00EA56A9">
        <w:rPr>
          <w:rFonts w:ascii="Calibri" w:hAnsi="Calibri" w:cs="Calibri"/>
          <w:sz w:val="24"/>
          <w:szCs w:val="24"/>
        </w:rPr>
        <w:t xml:space="preserve"> MEO ve výši cca 2,5 mil. Kč. Celkem byl v kontrolovaném období poskytnut z uvedených 16 MEO příspěvek nejméně 14</w:t>
      </w:r>
      <w:r w:rsidRPr="00EA56A9">
        <w:rPr>
          <w:rStyle w:val="Znakapoznpodarou"/>
          <w:rFonts w:ascii="Calibri" w:hAnsi="Calibri" w:cs="Calibri"/>
          <w:sz w:val="24"/>
          <w:szCs w:val="24"/>
        </w:rPr>
        <w:footnoteReference w:id="21"/>
      </w:r>
      <w:r w:rsidRPr="00EA56A9">
        <w:rPr>
          <w:rFonts w:ascii="Calibri" w:hAnsi="Calibri" w:cs="Calibri"/>
          <w:sz w:val="24"/>
          <w:szCs w:val="24"/>
        </w:rPr>
        <w:t xml:space="preserve"> MEO ve výši 5,5 mil. Kč, a to bez předchozího souhlasu vlády nebo vědomí MZV.</w:t>
      </w:r>
    </w:p>
    <w:p w14:paraId="242C07E1" w14:textId="77777777" w:rsidR="00EA56A9" w:rsidRDefault="00EA56A9" w:rsidP="00C16930">
      <w:pPr>
        <w:spacing w:after="0" w:line="240" w:lineRule="auto"/>
        <w:jc w:val="both"/>
        <w:rPr>
          <w:rFonts w:ascii="Calibri" w:hAnsi="Calibri" w:cs="Calibri"/>
          <w:sz w:val="24"/>
          <w:szCs w:val="24"/>
        </w:rPr>
      </w:pPr>
    </w:p>
    <w:p w14:paraId="4836FCCF" w14:textId="1BE1BE37" w:rsidR="00E35FC6" w:rsidRDefault="00E35FC6" w:rsidP="00C16930">
      <w:pPr>
        <w:spacing w:after="0" w:line="240" w:lineRule="auto"/>
        <w:jc w:val="both"/>
        <w:rPr>
          <w:rFonts w:ascii="Calibri" w:hAnsi="Calibri" w:cs="Calibri"/>
          <w:sz w:val="24"/>
          <w:szCs w:val="24"/>
        </w:rPr>
      </w:pPr>
      <w:r w:rsidRPr="00EA56A9">
        <w:rPr>
          <w:rFonts w:ascii="Calibri" w:hAnsi="Calibri" w:cs="Calibri"/>
          <w:sz w:val="24"/>
          <w:szCs w:val="24"/>
        </w:rPr>
        <w:t xml:space="preserve">MZV mělo nástroj ve formě pravidelného monitoringu dle UV </w:t>
      </w:r>
      <w:r w:rsidR="0052721C">
        <w:rPr>
          <w:rFonts w:ascii="Calibri" w:hAnsi="Calibri" w:cs="Calibri"/>
          <w:sz w:val="24"/>
          <w:szCs w:val="24"/>
        </w:rPr>
        <w:t>č. </w:t>
      </w:r>
      <w:r w:rsidRPr="00EA56A9">
        <w:rPr>
          <w:rFonts w:ascii="Calibri" w:hAnsi="Calibri" w:cs="Calibri"/>
          <w:sz w:val="24"/>
          <w:szCs w:val="24"/>
        </w:rPr>
        <w:t>317/2013, na</w:t>
      </w:r>
      <w:r w:rsidR="0052721C">
        <w:rPr>
          <w:rFonts w:ascii="Calibri" w:hAnsi="Calibri" w:cs="Calibri"/>
          <w:sz w:val="24"/>
          <w:szCs w:val="24"/>
        </w:rPr>
        <w:t xml:space="preserve"> jehož</w:t>
      </w:r>
      <w:r w:rsidRPr="00EA56A9">
        <w:rPr>
          <w:rFonts w:ascii="Calibri" w:hAnsi="Calibri" w:cs="Calibri"/>
          <w:sz w:val="24"/>
          <w:szCs w:val="24"/>
        </w:rPr>
        <w:t xml:space="preserve"> základě mohlo uvedené případy identifikovat a zpětně prověřit. MZV nicméně získané informace nad rámec nepravidelného zpracovávání pracovních přehledů MEO (v roce 2014 a 2017) dále nevyužívalo. MZV až po upozornění NKÚ na dvě MEO (vznik spolupráce se dle údajů </w:t>
      </w:r>
      <w:r w:rsidR="00EA56A9">
        <w:rPr>
          <w:rFonts w:ascii="Calibri" w:hAnsi="Calibri" w:cs="Calibri"/>
          <w:sz w:val="24"/>
          <w:szCs w:val="24"/>
        </w:rPr>
        <w:t>MZV odehrál již v letech 2014 a </w:t>
      </w:r>
      <w:r w:rsidRPr="00EA56A9">
        <w:rPr>
          <w:rFonts w:ascii="Calibri" w:hAnsi="Calibri" w:cs="Calibri"/>
          <w:sz w:val="24"/>
          <w:szCs w:val="24"/>
        </w:rPr>
        <w:t>2015), které byly v materiálech MZV označeny jako vládní, kontaktovalo pří</w:t>
      </w:r>
      <w:r w:rsidR="00EA56A9">
        <w:rPr>
          <w:rFonts w:ascii="Calibri" w:hAnsi="Calibri" w:cs="Calibri"/>
          <w:sz w:val="24"/>
          <w:szCs w:val="24"/>
        </w:rPr>
        <w:t>slušného gestora a </w:t>
      </w:r>
      <w:r w:rsidRPr="00EA56A9">
        <w:rPr>
          <w:rFonts w:ascii="Calibri" w:hAnsi="Calibri" w:cs="Calibri"/>
          <w:sz w:val="24"/>
          <w:szCs w:val="24"/>
        </w:rPr>
        <w:t xml:space="preserve">začalo prověřovat, o jaké MEO se jedná a jak probíhal proces vzniku spolupráce s nimi. MZV dále uvedlo, že v případě jedné vládní MEO (Mezinárodní </w:t>
      </w:r>
      <w:proofErr w:type="spellStart"/>
      <w:r w:rsidRPr="00EA56A9">
        <w:rPr>
          <w:rFonts w:ascii="Calibri" w:hAnsi="Calibri" w:cs="Calibri"/>
          <w:sz w:val="24"/>
          <w:szCs w:val="24"/>
        </w:rPr>
        <w:t>topolářská</w:t>
      </w:r>
      <w:proofErr w:type="spellEnd"/>
      <w:r w:rsidRPr="00EA56A9">
        <w:rPr>
          <w:rFonts w:ascii="Calibri" w:hAnsi="Calibri" w:cs="Calibri"/>
          <w:sz w:val="24"/>
          <w:szCs w:val="24"/>
        </w:rPr>
        <w:t xml:space="preserve"> komise) se o vzniku spolupráce dozvědělo až ex-post a že v tomto případě nebyly dodrženy ústavní procedury. Ve svém důsledku tak nemohlo vzniknout členství ČR v této MEO. </w:t>
      </w:r>
    </w:p>
    <w:p w14:paraId="008D6247" w14:textId="77777777" w:rsidR="00C16930" w:rsidRPr="0052721C" w:rsidRDefault="00C16930" w:rsidP="00C16930">
      <w:pPr>
        <w:spacing w:after="0" w:line="240" w:lineRule="auto"/>
        <w:jc w:val="both"/>
        <w:rPr>
          <w:rFonts w:ascii="Calibri" w:hAnsi="Calibri" w:cs="Calibri"/>
          <w:sz w:val="24"/>
          <w:szCs w:val="24"/>
        </w:rPr>
      </w:pPr>
    </w:p>
    <w:p w14:paraId="4AFFDF6F" w14:textId="77777777" w:rsidR="00E35FC6" w:rsidRPr="0052721C" w:rsidRDefault="00E35FC6" w:rsidP="00C16930">
      <w:pPr>
        <w:spacing w:after="0" w:line="240" w:lineRule="auto"/>
        <w:jc w:val="both"/>
        <w:rPr>
          <w:rFonts w:ascii="Calibri" w:hAnsi="Calibri" w:cs="Calibri"/>
          <w:sz w:val="24"/>
          <w:szCs w:val="24"/>
        </w:rPr>
      </w:pPr>
      <w:r w:rsidRPr="0052721C">
        <w:rPr>
          <w:rFonts w:ascii="Calibri" w:hAnsi="Calibri" w:cs="Calibri"/>
          <w:sz w:val="24"/>
          <w:szCs w:val="24"/>
        </w:rPr>
        <w:t>MZV k uzavření mezinárodních smluv týkajících se spolupráce se dvěma MEO nepředložilo žádnou dokumentaci. Z tohoto důvodu nemohl NKÚ prověřit, zda vůbec nebo jakým způsobem MZV posoudilo, že jsou tyto smlouvy sjednávány v souladu se zahraničněpolitickými zájmy ČR, jak mělo činit dle Směrnice.</w:t>
      </w:r>
    </w:p>
    <w:p w14:paraId="552B9485" w14:textId="77777777" w:rsidR="00EA56A9" w:rsidRPr="0052721C" w:rsidRDefault="00EA56A9" w:rsidP="00C16930">
      <w:pPr>
        <w:spacing w:after="0" w:line="240" w:lineRule="auto"/>
        <w:jc w:val="both"/>
        <w:rPr>
          <w:rFonts w:ascii="Calibri" w:hAnsi="Calibri" w:cs="Calibri"/>
          <w:sz w:val="24"/>
          <w:szCs w:val="24"/>
        </w:rPr>
      </w:pPr>
      <w:bookmarkStart w:id="0" w:name="_Toc22207105"/>
      <w:bookmarkStart w:id="1" w:name="_Toc22647490"/>
    </w:p>
    <w:p w14:paraId="03ED868A" w14:textId="77777777" w:rsidR="00E35FC6" w:rsidRPr="00EA56A9" w:rsidRDefault="00EA56A9" w:rsidP="0052721C">
      <w:pPr>
        <w:keepNext/>
        <w:spacing w:after="0" w:line="240" w:lineRule="auto"/>
        <w:jc w:val="both"/>
        <w:rPr>
          <w:rFonts w:ascii="Calibri" w:hAnsi="Calibri" w:cs="Calibri"/>
          <w:b/>
          <w:sz w:val="24"/>
          <w:szCs w:val="24"/>
        </w:rPr>
      </w:pPr>
      <w:r>
        <w:rPr>
          <w:rFonts w:ascii="Calibri" w:hAnsi="Calibri" w:cs="Calibri"/>
          <w:b/>
          <w:sz w:val="24"/>
          <w:szCs w:val="24"/>
        </w:rPr>
        <w:lastRenderedPageBreak/>
        <w:t xml:space="preserve">2. </w:t>
      </w:r>
      <w:r w:rsidR="00E35FC6" w:rsidRPr="00EA56A9">
        <w:rPr>
          <w:rFonts w:ascii="Calibri" w:hAnsi="Calibri" w:cs="Calibri"/>
          <w:b/>
          <w:sz w:val="24"/>
          <w:szCs w:val="24"/>
        </w:rPr>
        <w:t>Monitoring spolupráce ČR s mezinárodními organizacemi</w:t>
      </w:r>
      <w:bookmarkEnd w:id="0"/>
      <w:bookmarkEnd w:id="1"/>
    </w:p>
    <w:p w14:paraId="4A4F15E7" w14:textId="77777777" w:rsidR="00EA56A9" w:rsidRDefault="00EA56A9" w:rsidP="0052721C">
      <w:pPr>
        <w:keepNext/>
        <w:spacing w:after="0" w:line="240" w:lineRule="auto"/>
        <w:jc w:val="both"/>
        <w:rPr>
          <w:rFonts w:ascii="Calibri" w:hAnsi="Calibri" w:cs="Calibri"/>
          <w:sz w:val="24"/>
          <w:szCs w:val="24"/>
        </w:rPr>
      </w:pPr>
    </w:p>
    <w:p w14:paraId="57081A7B" w14:textId="77777777" w:rsidR="00E35FC6" w:rsidRPr="00EA56A9" w:rsidRDefault="00E35FC6" w:rsidP="0052721C">
      <w:pPr>
        <w:pStyle w:val="Odstavecseseznamem"/>
        <w:keepNext/>
        <w:numPr>
          <w:ilvl w:val="0"/>
          <w:numId w:val="31"/>
        </w:numPr>
        <w:spacing w:after="0" w:line="240" w:lineRule="auto"/>
        <w:ind w:left="284" w:hanging="284"/>
        <w:jc w:val="both"/>
        <w:rPr>
          <w:rFonts w:ascii="Calibri" w:hAnsi="Calibri" w:cs="Calibri"/>
          <w:b/>
          <w:sz w:val="24"/>
          <w:szCs w:val="24"/>
        </w:rPr>
      </w:pPr>
      <w:r w:rsidRPr="00EA56A9">
        <w:rPr>
          <w:rFonts w:ascii="Calibri" w:hAnsi="Calibri" w:cs="Calibri"/>
          <w:b/>
          <w:sz w:val="24"/>
          <w:szCs w:val="24"/>
        </w:rPr>
        <w:t>Kritéria pro monitoring přínosů spolupráce s MEO</w:t>
      </w:r>
    </w:p>
    <w:p w14:paraId="6CECB92C" w14:textId="77777777" w:rsidR="00EA56A9" w:rsidRDefault="00EA56A9" w:rsidP="0052721C">
      <w:pPr>
        <w:keepNext/>
        <w:spacing w:after="0" w:line="240" w:lineRule="auto"/>
        <w:jc w:val="both"/>
        <w:rPr>
          <w:rFonts w:ascii="Calibri" w:hAnsi="Calibri" w:cs="Calibri"/>
          <w:sz w:val="24"/>
          <w:szCs w:val="24"/>
        </w:rPr>
      </w:pPr>
    </w:p>
    <w:p w14:paraId="5088BAAE" w14:textId="04DF9D29" w:rsidR="00EA56A9" w:rsidRDefault="00C61D35" w:rsidP="00EA56A9">
      <w:pPr>
        <w:spacing w:after="0" w:line="240" w:lineRule="auto"/>
        <w:jc w:val="both"/>
        <w:rPr>
          <w:rFonts w:ascii="Calibri" w:hAnsi="Calibri" w:cs="Calibri"/>
          <w:sz w:val="24"/>
          <w:szCs w:val="24"/>
        </w:rPr>
      </w:pPr>
      <w:r>
        <w:rPr>
          <w:rFonts w:ascii="Calibri" w:hAnsi="Calibri" w:cs="Calibri"/>
          <w:sz w:val="24"/>
          <w:szCs w:val="24"/>
        </w:rPr>
        <w:t>V </w:t>
      </w:r>
      <w:r w:rsidR="00E35FC6" w:rsidRPr="00EA56A9">
        <w:rPr>
          <w:rFonts w:ascii="Calibri" w:hAnsi="Calibri" w:cs="Calibri"/>
          <w:sz w:val="24"/>
          <w:szCs w:val="24"/>
        </w:rPr>
        <w:t xml:space="preserve">UV </w:t>
      </w:r>
      <w:r w:rsidR="0052721C">
        <w:rPr>
          <w:rFonts w:ascii="Calibri" w:hAnsi="Calibri" w:cs="Calibri"/>
          <w:sz w:val="24"/>
          <w:szCs w:val="24"/>
        </w:rPr>
        <w:t>č. </w:t>
      </w:r>
      <w:r w:rsidR="00E35FC6" w:rsidRPr="00EA56A9">
        <w:rPr>
          <w:rFonts w:ascii="Calibri" w:hAnsi="Calibri" w:cs="Calibri"/>
          <w:sz w:val="24"/>
          <w:szCs w:val="24"/>
        </w:rPr>
        <w:t xml:space="preserve">581/2012 uložila vláda ČR svým členům a vedoucím ostatních ÚOSS mj.: </w:t>
      </w:r>
      <w:r w:rsidR="00E35FC6" w:rsidRPr="00E31F0D">
        <w:rPr>
          <w:rFonts w:ascii="Calibri" w:hAnsi="Calibri" w:cs="Calibri"/>
          <w:sz w:val="24"/>
          <w:szCs w:val="24"/>
        </w:rPr>
        <w:t>„</w:t>
      </w:r>
      <w:r w:rsidR="00E35FC6" w:rsidRPr="00EA56A9">
        <w:rPr>
          <w:rFonts w:ascii="Calibri" w:hAnsi="Calibri" w:cs="Calibri"/>
          <w:i/>
          <w:sz w:val="24"/>
          <w:szCs w:val="24"/>
        </w:rPr>
        <w:t xml:space="preserve">zpracovat informace podle části III materiálu </w:t>
      </w:r>
      <w:proofErr w:type="gramStart"/>
      <w:r w:rsidR="00E35FC6" w:rsidRPr="00EA56A9">
        <w:rPr>
          <w:rFonts w:ascii="Calibri" w:hAnsi="Calibri" w:cs="Calibri"/>
          <w:i/>
          <w:sz w:val="24"/>
          <w:szCs w:val="24"/>
        </w:rPr>
        <w:t>č.j.</w:t>
      </w:r>
      <w:proofErr w:type="gramEnd"/>
      <w:r w:rsidR="00E35FC6" w:rsidRPr="00EA56A9">
        <w:rPr>
          <w:rFonts w:ascii="Calibri" w:hAnsi="Calibri" w:cs="Calibri"/>
          <w:i/>
          <w:sz w:val="24"/>
          <w:szCs w:val="24"/>
        </w:rPr>
        <w:t xml:space="preserve"> 780/12 a předložit Ministerstvu zahraničních věcí do 15. října 2012 úplný soupis mezinárodních organizací, jichž je Česká republika členem a jež spadají do jejich gesční zodpovědnosti</w:t>
      </w:r>
      <w:r w:rsidR="00E35FC6" w:rsidRPr="00E31F0D">
        <w:rPr>
          <w:rFonts w:ascii="Calibri" w:hAnsi="Calibri" w:cs="Calibri"/>
          <w:sz w:val="24"/>
          <w:szCs w:val="24"/>
        </w:rPr>
        <w:t xml:space="preserve">.“ </w:t>
      </w:r>
      <w:r w:rsidR="00E35FC6" w:rsidRPr="00EA56A9">
        <w:rPr>
          <w:rFonts w:ascii="Calibri" w:hAnsi="Calibri" w:cs="Calibri"/>
          <w:sz w:val="24"/>
          <w:szCs w:val="24"/>
        </w:rPr>
        <w:t>Dále vláda ČR uložila: „</w:t>
      </w:r>
      <w:r w:rsidR="00E35FC6" w:rsidRPr="00EA56A9">
        <w:rPr>
          <w:rFonts w:ascii="Calibri" w:hAnsi="Calibri" w:cs="Calibri"/>
          <w:i/>
          <w:sz w:val="24"/>
          <w:szCs w:val="24"/>
        </w:rPr>
        <w:t>1. místopředsedovi vlády a ministru zahraničních věcí, aby do 31. ledna 2013 předložil vládě úplný kategorizovaný seznam členství České republiky v mezinárodních organizacích, vyhodnotil funkčnost současného systému zakládání a udržování členství České republiky v mezinárodních organizacích a navrhl případné zlepšení tohoto systému.</w:t>
      </w:r>
      <w:r w:rsidR="00E35FC6" w:rsidRPr="00E31F0D">
        <w:rPr>
          <w:rFonts w:ascii="Calibri" w:hAnsi="Calibri" w:cs="Calibri"/>
          <w:sz w:val="24"/>
          <w:szCs w:val="24"/>
        </w:rPr>
        <w:t>“</w:t>
      </w:r>
      <w:r w:rsidR="00E35FC6" w:rsidRPr="00EA56A9">
        <w:rPr>
          <w:rFonts w:ascii="Calibri" w:hAnsi="Calibri" w:cs="Calibri"/>
          <w:sz w:val="24"/>
          <w:szCs w:val="24"/>
        </w:rPr>
        <w:t xml:space="preserve"> </w:t>
      </w:r>
    </w:p>
    <w:p w14:paraId="286E7C0E" w14:textId="77777777" w:rsidR="00EA56A9" w:rsidRDefault="00EA56A9" w:rsidP="00EA56A9">
      <w:pPr>
        <w:spacing w:after="0" w:line="240" w:lineRule="auto"/>
        <w:jc w:val="both"/>
        <w:rPr>
          <w:rFonts w:ascii="Calibri" w:hAnsi="Calibri" w:cs="Calibri"/>
          <w:sz w:val="24"/>
          <w:szCs w:val="24"/>
        </w:rPr>
      </w:pPr>
    </w:p>
    <w:p w14:paraId="3199EC92" w14:textId="77777777" w:rsidR="00E35FC6" w:rsidRPr="00EA56A9" w:rsidRDefault="00E35FC6" w:rsidP="00EA56A9">
      <w:pPr>
        <w:spacing w:after="0" w:line="240" w:lineRule="auto"/>
        <w:jc w:val="both"/>
        <w:rPr>
          <w:rFonts w:ascii="Calibri" w:hAnsi="Calibri" w:cs="Calibri"/>
          <w:sz w:val="24"/>
          <w:szCs w:val="24"/>
        </w:rPr>
      </w:pPr>
      <w:r w:rsidRPr="00EA56A9">
        <w:rPr>
          <w:rFonts w:ascii="Calibri" w:hAnsi="Calibri" w:cs="Calibri"/>
          <w:sz w:val="24"/>
          <w:szCs w:val="24"/>
        </w:rPr>
        <w:t xml:space="preserve">V rámci dotazníku v materiálu č. j. 780/12 MZV požadovalo mj.: </w:t>
      </w:r>
    </w:p>
    <w:p w14:paraId="79155B74" w14:textId="34E464D4" w:rsidR="00E35FC6" w:rsidRPr="00EA56A9" w:rsidRDefault="0052721C" w:rsidP="00EA56A9">
      <w:pPr>
        <w:pStyle w:val="Odstavecseseznamem"/>
        <w:numPr>
          <w:ilvl w:val="0"/>
          <w:numId w:val="30"/>
        </w:numPr>
        <w:spacing w:after="0" w:line="240" w:lineRule="auto"/>
        <w:ind w:left="284" w:hanging="284"/>
        <w:jc w:val="both"/>
        <w:rPr>
          <w:rFonts w:ascii="Calibri" w:hAnsi="Calibri" w:cs="Calibri"/>
          <w:sz w:val="24"/>
          <w:szCs w:val="24"/>
        </w:rPr>
      </w:pPr>
      <w:r>
        <w:rPr>
          <w:rFonts w:ascii="Calibri" w:hAnsi="Calibri" w:cs="Calibri"/>
          <w:sz w:val="24"/>
          <w:szCs w:val="24"/>
        </w:rPr>
        <w:t>o</w:t>
      </w:r>
      <w:r w:rsidR="00E35FC6" w:rsidRPr="00EA56A9">
        <w:rPr>
          <w:rFonts w:ascii="Calibri" w:hAnsi="Calibri" w:cs="Calibri"/>
          <w:sz w:val="24"/>
          <w:szCs w:val="24"/>
        </w:rPr>
        <w:t>becné informace o MEO (název, zkratka, sídlo, odborný gestor v ČR, poslání MEO),</w:t>
      </w:r>
    </w:p>
    <w:p w14:paraId="436256BE" w14:textId="38FCE0DF" w:rsidR="00E35FC6" w:rsidRPr="00EA56A9" w:rsidRDefault="0052721C" w:rsidP="00EA56A9">
      <w:pPr>
        <w:pStyle w:val="Odstavecseseznamem"/>
        <w:numPr>
          <w:ilvl w:val="0"/>
          <w:numId w:val="30"/>
        </w:numPr>
        <w:spacing w:after="0" w:line="240" w:lineRule="auto"/>
        <w:ind w:left="284" w:hanging="284"/>
        <w:jc w:val="both"/>
        <w:rPr>
          <w:rFonts w:ascii="Calibri" w:hAnsi="Calibri" w:cs="Calibri"/>
          <w:sz w:val="24"/>
          <w:szCs w:val="24"/>
        </w:rPr>
      </w:pPr>
      <w:r>
        <w:rPr>
          <w:rFonts w:ascii="Calibri" w:hAnsi="Calibri" w:cs="Calibri"/>
          <w:sz w:val="24"/>
          <w:szCs w:val="24"/>
        </w:rPr>
        <w:t>ú</w:t>
      </w:r>
      <w:r w:rsidR="00E35FC6" w:rsidRPr="00EA56A9">
        <w:rPr>
          <w:rFonts w:ascii="Calibri" w:hAnsi="Calibri" w:cs="Calibri"/>
          <w:sz w:val="24"/>
          <w:szCs w:val="24"/>
        </w:rPr>
        <w:t>daje o členství v MEO (počet členských zemí, další členské subjekty, možná jiná forma účasti, datum vstupu, hlasovací práva),</w:t>
      </w:r>
    </w:p>
    <w:p w14:paraId="2EA69C8D" w14:textId="584BAC44" w:rsidR="00E35FC6" w:rsidRPr="00EA56A9" w:rsidRDefault="0052721C" w:rsidP="00EA56A9">
      <w:pPr>
        <w:pStyle w:val="Odstavecseseznamem"/>
        <w:numPr>
          <w:ilvl w:val="0"/>
          <w:numId w:val="30"/>
        </w:numPr>
        <w:spacing w:after="0" w:line="240" w:lineRule="auto"/>
        <w:ind w:left="284" w:hanging="284"/>
        <w:jc w:val="both"/>
        <w:rPr>
          <w:rFonts w:ascii="Calibri" w:hAnsi="Calibri" w:cs="Calibri"/>
          <w:sz w:val="24"/>
          <w:szCs w:val="24"/>
        </w:rPr>
      </w:pPr>
      <w:r>
        <w:rPr>
          <w:rFonts w:ascii="Calibri" w:hAnsi="Calibri" w:cs="Calibri"/>
          <w:sz w:val="24"/>
          <w:szCs w:val="24"/>
        </w:rPr>
        <w:t>p</w:t>
      </w:r>
      <w:r w:rsidR="00E35FC6" w:rsidRPr="00EA56A9">
        <w:rPr>
          <w:rFonts w:ascii="Calibri" w:hAnsi="Calibri" w:cs="Calibri"/>
          <w:sz w:val="24"/>
          <w:szCs w:val="24"/>
        </w:rPr>
        <w:t>řínosy členství (politické, ekonomické, expertní, ostatní, finanční),</w:t>
      </w:r>
    </w:p>
    <w:p w14:paraId="48D0ABC8" w14:textId="6A1CA410" w:rsidR="00E35FC6" w:rsidRPr="00EA56A9" w:rsidRDefault="0052721C" w:rsidP="00EA56A9">
      <w:pPr>
        <w:pStyle w:val="Odstavecseseznamem"/>
        <w:numPr>
          <w:ilvl w:val="0"/>
          <w:numId w:val="30"/>
        </w:numPr>
        <w:spacing w:after="0" w:line="240" w:lineRule="auto"/>
        <w:ind w:left="284" w:hanging="284"/>
        <w:jc w:val="both"/>
        <w:rPr>
          <w:rFonts w:ascii="Calibri" w:hAnsi="Calibri" w:cs="Calibri"/>
          <w:sz w:val="24"/>
          <w:szCs w:val="24"/>
        </w:rPr>
      </w:pPr>
      <w:r>
        <w:rPr>
          <w:rFonts w:ascii="Calibri" w:hAnsi="Calibri" w:cs="Calibri"/>
          <w:sz w:val="24"/>
          <w:szCs w:val="24"/>
        </w:rPr>
        <w:t>f</w:t>
      </w:r>
      <w:r w:rsidR="00E35FC6" w:rsidRPr="00EA56A9">
        <w:rPr>
          <w:rFonts w:ascii="Calibri" w:hAnsi="Calibri" w:cs="Calibri"/>
          <w:sz w:val="24"/>
          <w:szCs w:val="24"/>
        </w:rPr>
        <w:t>inanční náklady spojené se členstvím (základní členský příspěvek, mimořádné a účelové platby, další finanční náklady),</w:t>
      </w:r>
    </w:p>
    <w:p w14:paraId="085AFA57" w14:textId="2DDCE435" w:rsidR="00E35FC6" w:rsidRPr="00EA56A9" w:rsidRDefault="0052721C" w:rsidP="00EA56A9">
      <w:pPr>
        <w:pStyle w:val="Odstavecseseznamem"/>
        <w:numPr>
          <w:ilvl w:val="0"/>
          <w:numId w:val="30"/>
        </w:numPr>
        <w:spacing w:after="0" w:line="240" w:lineRule="auto"/>
        <w:ind w:left="284" w:hanging="284"/>
        <w:jc w:val="both"/>
        <w:rPr>
          <w:rFonts w:ascii="Calibri" w:hAnsi="Calibri" w:cs="Calibri"/>
          <w:sz w:val="24"/>
          <w:szCs w:val="24"/>
        </w:rPr>
      </w:pPr>
      <w:r>
        <w:rPr>
          <w:rFonts w:ascii="Calibri" w:hAnsi="Calibri" w:cs="Calibri"/>
          <w:sz w:val="24"/>
          <w:szCs w:val="24"/>
        </w:rPr>
        <w:t>ř</w:t>
      </w:r>
      <w:r w:rsidR="00E35FC6" w:rsidRPr="00EA56A9">
        <w:rPr>
          <w:rFonts w:ascii="Calibri" w:hAnsi="Calibri" w:cs="Calibri"/>
          <w:sz w:val="24"/>
          <w:szCs w:val="24"/>
        </w:rPr>
        <w:t>íd</w:t>
      </w:r>
      <w:r>
        <w:rPr>
          <w:rFonts w:ascii="Calibri" w:hAnsi="Calibri" w:cs="Calibri"/>
          <w:sz w:val="24"/>
          <w:szCs w:val="24"/>
        </w:rPr>
        <w:t>i</w:t>
      </w:r>
      <w:r w:rsidR="00E35FC6" w:rsidRPr="00EA56A9">
        <w:rPr>
          <w:rFonts w:ascii="Calibri" w:hAnsi="Calibri" w:cs="Calibri"/>
          <w:sz w:val="24"/>
          <w:szCs w:val="24"/>
        </w:rPr>
        <w:t>cí struktur</w:t>
      </w:r>
      <w:r>
        <w:rPr>
          <w:rFonts w:ascii="Calibri" w:hAnsi="Calibri" w:cs="Calibri"/>
          <w:sz w:val="24"/>
          <w:szCs w:val="24"/>
        </w:rPr>
        <w:t>u</w:t>
      </w:r>
      <w:r w:rsidR="00E35FC6" w:rsidRPr="00EA56A9">
        <w:rPr>
          <w:rFonts w:ascii="Calibri" w:hAnsi="Calibri" w:cs="Calibri"/>
          <w:sz w:val="24"/>
          <w:szCs w:val="24"/>
        </w:rPr>
        <w:t xml:space="preserve"> MEO (počet zaměstnanců, systematizovaná místa).</w:t>
      </w:r>
    </w:p>
    <w:p w14:paraId="2542978D" w14:textId="77777777" w:rsidR="00EA56A9" w:rsidRDefault="00EA56A9" w:rsidP="00EA56A9">
      <w:pPr>
        <w:spacing w:after="0" w:line="240" w:lineRule="auto"/>
        <w:jc w:val="both"/>
        <w:rPr>
          <w:rFonts w:ascii="Calibri" w:hAnsi="Calibri" w:cs="Calibri"/>
          <w:sz w:val="24"/>
          <w:szCs w:val="24"/>
        </w:rPr>
      </w:pPr>
    </w:p>
    <w:p w14:paraId="06BCBBB1" w14:textId="351B15EB" w:rsidR="00E35FC6" w:rsidRPr="00EA56A9" w:rsidRDefault="00E35FC6" w:rsidP="00EA56A9">
      <w:pPr>
        <w:spacing w:after="0" w:line="240" w:lineRule="auto"/>
        <w:jc w:val="both"/>
        <w:rPr>
          <w:rFonts w:ascii="Calibri" w:hAnsi="Calibri" w:cs="Calibri"/>
          <w:sz w:val="24"/>
          <w:szCs w:val="24"/>
        </w:rPr>
      </w:pPr>
      <w:r w:rsidRPr="00EA56A9">
        <w:rPr>
          <w:rFonts w:ascii="Calibri" w:hAnsi="Calibri" w:cs="Calibri"/>
          <w:sz w:val="24"/>
          <w:szCs w:val="24"/>
        </w:rPr>
        <w:t xml:space="preserve">MZV však nedefinovalo pojem „mezinárodní organizace“, resp. jaké typy MEO mají jednotlivé resorty sledovat. V rámci vypořádání meziresortního připomínkového řízení k UV </w:t>
      </w:r>
      <w:r w:rsidR="0052721C">
        <w:rPr>
          <w:rFonts w:ascii="Calibri" w:hAnsi="Calibri" w:cs="Calibri"/>
          <w:sz w:val="24"/>
          <w:szCs w:val="24"/>
        </w:rPr>
        <w:t>č. </w:t>
      </w:r>
      <w:r w:rsidRPr="00EA56A9">
        <w:rPr>
          <w:rFonts w:ascii="Calibri" w:hAnsi="Calibri" w:cs="Calibri"/>
          <w:sz w:val="24"/>
          <w:szCs w:val="24"/>
        </w:rPr>
        <w:t>581/2012 uvedlo, že</w:t>
      </w:r>
      <w:r w:rsidRPr="00E31F0D">
        <w:rPr>
          <w:rFonts w:ascii="Calibri" w:hAnsi="Calibri" w:cs="Calibri"/>
          <w:sz w:val="24"/>
          <w:szCs w:val="24"/>
        </w:rPr>
        <w:t xml:space="preserve"> </w:t>
      </w:r>
      <w:r w:rsidRPr="00EA56A9">
        <w:rPr>
          <w:rFonts w:ascii="Calibri" w:hAnsi="Calibri" w:cs="Calibri"/>
          <w:sz w:val="24"/>
          <w:szCs w:val="24"/>
        </w:rPr>
        <w:t xml:space="preserve">primárním záměrem bylo komplexní zmapování všech MEO, kde je ČR zapojena a do nichž přispívá ze státního rozpočtu. MZV dále uvedlo, že v další fázi provede kategorizaci </w:t>
      </w:r>
      <w:r w:rsidR="00EA56A9">
        <w:rPr>
          <w:rFonts w:ascii="Calibri" w:hAnsi="Calibri" w:cs="Calibri"/>
          <w:sz w:val="24"/>
          <w:szCs w:val="24"/>
        </w:rPr>
        <w:t>členství ČR v </w:t>
      </w:r>
      <w:r w:rsidRPr="00EA56A9">
        <w:rPr>
          <w:rFonts w:ascii="Calibri" w:hAnsi="Calibri" w:cs="Calibri"/>
          <w:sz w:val="24"/>
          <w:szCs w:val="24"/>
        </w:rPr>
        <w:t>MEO, ve které se odrazí i rozlišení na vládní a nevládní. Na základě odpovědí na dotazník sestavilo MZV na přelomu let 2012/2013 kategorizovaný seznam</w:t>
      </w:r>
      <w:r w:rsidRPr="00EA56A9">
        <w:rPr>
          <w:rStyle w:val="Znakapoznpodarou"/>
          <w:rFonts w:ascii="Calibri" w:hAnsi="Calibri" w:cs="Calibri"/>
          <w:sz w:val="24"/>
          <w:szCs w:val="24"/>
        </w:rPr>
        <w:footnoteReference w:id="22"/>
      </w:r>
      <w:r w:rsidRPr="00EA56A9">
        <w:rPr>
          <w:rFonts w:ascii="Calibri" w:hAnsi="Calibri" w:cs="Calibri"/>
          <w:sz w:val="24"/>
          <w:szCs w:val="24"/>
        </w:rPr>
        <w:t>, který</w:t>
      </w:r>
      <w:r w:rsidRPr="00EA56A9">
        <w:rPr>
          <w:rFonts w:ascii="Calibri" w:hAnsi="Calibri" w:cs="Calibri"/>
          <w:i/>
          <w:sz w:val="24"/>
          <w:szCs w:val="24"/>
        </w:rPr>
        <w:t xml:space="preserve"> </w:t>
      </w:r>
      <w:r w:rsidRPr="00EA56A9">
        <w:rPr>
          <w:rFonts w:ascii="Calibri" w:hAnsi="Calibri" w:cs="Calibri"/>
          <w:sz w:val="24"/>
          <w:szCs w:val="24"/>
        </w:rPr>
        <w:t xml:space="preserve">byl přílohou UV </w:t>
      </w:r>
      <w:r w:rsidR="00DB2AB2">
        <w:rPr>
          <w:rFonts w:ascii="Calibri" w:hAnsi="Calibri" w:cs="Calibri"/>
          <w:sz w:val="24"/>
          <w:szCs w:val="24"/>
        </w:rPr>
        <w:t>č. </w:t>
      </w:r>
      <w:r w:rsidRPr="00EA56A9">
        <w:rPr>
          <w:rFonts w:ascii="Calibri" w:hAnsi="Calibri" w:cs="Calibri"/>
          <w:sz w:val="24"/>
          <w:szCs w:val="24"/>
        </w:rPr>
        <w:t>317/2013. V tomto kategorizovaném seznamu byly kromě mezinárodních vládních organizací obsaženy i další mezinárodní instituce</w:t>
      </w:r>
      <w:r w:rsidR="00DB2AB2">
        <w:rPr>
          <w:rFonts w:ascii="Calibri" w:hAnsi="Calibri" w:cs="Calibri"/>
          <w:sz w:val="24"/>
          <w:szCs w:val="24"/>
        </w:rPr>
        <w:t>,</w:t>
      </w:r>
      <w:r w:rsidRPr="00EA56A9">
        <w:rPr>
          <w:rFonts w:ascii="Calibri" w:hAnsi="Calibri" w:cs="Calibri"/>
          <w:sz w:val="24"/>
          <w:szCs w:val="24"/>
        </w:rPr>
        <w:t xml:space="preserve"> jako mezinárodní nevládní organizace, mezinárodní orgány, mezinárodní dohody nebo úmluvy, hybridní organizace, mezinárodní projekty nebo programy, mezinárodní fondy nebo nadace a mezinárodní fóra a platformy a další (ostatní nezařazené). MZV tak v seznamu rozčlenilo MEO do 10 typů. Současně však neuvedlo konkrétní charakteristiku jednotlivých typů MEO, příp. zda existují i další typy MEO, které v seznamu nebyly uvedeny. </w:t>
      </w:r>
    </w:p>
    <w:p w14:paraId="11792303" w14:textId="77777777" w:rsidR="00EA56A9" w:rsidRDefault="00EA56A9" w:rsidP="00EA56A9">
      <w:pPr>
        <w:spacing w:after="0" w:line="240" w:lineRule="auto"/>
        <w:jc w:val="both"/>
        <w:rPr>
          <w:rFonts w:ascii="Calibri" w:hAnsi="Calibri" w:cs="Calibri"/>
          <w:sz w:val="24"/>
          <w:szCs w:val="24"/>
        </w:rPr>
      </w:pPr>
    </w:p>
    <w:p w14:paraId="6F40D5EC" w14:textId="79F51D59" w:rsidR="00E35FC6" w:rsidRPr="00EA56A9" w:rsidRDefault="00E35FC6" w:rsidP="00EA56A9">
      <w:pPr>
        <w:spacing w:after="0" w:line="240" w:lineRule="auto"/>
        <w:jc w:val="both"/>
        <w:rPr>
          <w:rFonts w:ascii="Calibri" w:hAnsi="Calibri" w:cs="Calibri"/>
          <w:sz w:val="24"/>
          <w:szCs w:val="24"/>
        </w:rPr>
      </w:pPr>
      <w:r w:rsidRPr="00EA56A9">
        <w:rPr>
          <w:rFonts w:ascii="Calibri" w:hAnsi="Calibri" w:cs="Calibri"/>
          <w:sz w:val="24"/>
          <w:szCs w:val="24"/>
        </w:rPr>
        <w:t xml:space="preserve">Prostřednictvím UV </w:t>
      </w:r>
      <w:r w:rsidR="00DB2AB2">
        <w:rPr>
          <w:rFonts w:ascii="Calibri" w:hAnsi="Calibri" w:cs="Calibri"/>
          <w:sz w:val="24"/>
          <w:szCs w:val="24"/>
        </w:rPr>
        <w:t>č. </w:t>
      </w:r>
      <w:r w:rsidRPr="00EA56A9">
        <w:rPr>
          <w:rFonts w:ascii="Calibri" w:hAnsi="Calibri" w:cs="Calibri"/>
          <w:sz w:val="24"/>
          <w:szCs w:val="24"/>
        </w:rPr>
        <w:t xml:space="preserve">317/2013 uložila vláda ČR svým členům a vedoucím ostatních ÚOSS mj.: </w:t>
      </w:r>
      <w:r w:rsidRPr="00E31F0D">
        <w:rPr>
          <w:rFonts w:ascii="Calibri" w:hAnsi="Calibri" w:cs="Calibri"/>
          <w:sz w:val="24"/>
          <w:szCs w:val="24"/>
        </w:rPr>
        <w:t>„</w:t>
      </w:r>
      <w:r w:rsidRPr="00EA56A9">
        <w:rPr>
          <w:rFonts w:ascii="Calibri" w:hAnsi="Calibri" w:cs="Calibri"/>
          <w:i/>
          <w:sz w:val="24"/>
          <w:szCs w:val="24"/>
        </w:rPr>
        <w:t>podávat každoročně do 31. března 1. místopředsedovi vlády a ministru zahraničních věcí podle jeho dispozic informaci o působení a přínosech členství v každé mezinárodní organizaci, za niž mají gesci.</w:t>
      </w:r>
      <w:r w:rsidRPr="00E31F0D">
        <w:rPr>
          <w:rFonts w:ascii="Calibri" w:hAnsi="Calibri" w:cs="Calibri"/>
          <w:sz w:val="24"/>
          <w:szCs w:val="24"/>
        </w:rPr>
        <w:t>“</w:t>
      </w:r>
      <w:r w:rsidRPr="00EA56A9">
        <w:rPr>
          <w:rFonts w:ascii="Calibri" w:hAnsi="Calibri" w:cs="Calibri"/>
          <w:sz w:val="24"/>
          <w:szCs w:val="24"/>
        </w:rPr>
        <w:t xml:space="preserve"> Ani v tomto případě MZV v materiálu k UV </w:t>
      </w:r>
      <w:r w:rsidR="00DB2AB2">
        <w:rPr>
          <w:rFonts w:ascii="Calibri" w:hAnsi="Calibri" w:cs="Calibri"/>
          <w:sz w:val="24"/>
          <w:szCs w:val="24"/>
        </w:rPr>
        <w:t>č. </w:t>
      </w:r>
      <w:r w:rsidRPr="00EA56A9">
        <w:rPr>
          <w:rFonts w:ascii="Calibri" w:hAnsi="Calibri" w:cs="Calibri"/>
          <w:sz w:val="24"/>
          <w:szCs w:val="24"/>
        </w:rPr>
        <w:t>317/2013 pojem „mezinárodní organizace“ blíže nespecifikovalo, pouze v poznámce pod čarou uvedlo, že pro účel</w:t>
      </w:r>
      <w:r w:rsidR="00EA56A9">
        <w:rPr>
          <w:rFonts w:ascii="Calibri" w:hAnsi="Calibri" w:cs="Calibri"/>
          <w:sz w:val="24"/>
          <w:szCs w:val="24"/>
        </w:rPr>
        <w:t>y předkládaného materiálu jde v </w:t>
      </w:r>
      <w:r w:rsidRPr="00EA56A9">
        <w:rPr>
          <w:rFonts w:ascii="Calibri" w:hAnsi="Calibri" w:cs="Calibri"/>
          <w:sz w:val="24"/>
          <w:szCs w:val="24"/>
        </w:rPr>
        <w:t xml:space="preserve">širším smyslu o všechny mezinárodní závazky ČR generující zejména požadavek na státní rozpočet, bez EU. </w:t>
      </w:r>
    </w:p>
    <w:p w14:paraId="255BA28A" w14:textId="77777777" w:rsidR="00EA56A9" w:rsidRDefault="00EA56A9" w:rsidP="00EA56A9">
      <w:pPr>
        <w:spacing w:after="0" w:line="240" w:lineRule="auto"/>
        <w:jc w:val="both"/>
        <w:rPr>
          <w:rFonts w:ascii="Calibri" w:hAnsi="Calibri" w:cs="Calibri"/>
          <w:sz w:val="24"/>
          <w:szCs w:val="24"/>
        </w:rPr>
      </w:pPr>
    </w:p>
    <w:p w14:paraId="47775FE0" w14:textId="0002D31D" w:rsidR="00E35FC6" w:rsidRDefault="00E35FC6" w:rsidP="00EA56A9">
      <w:pPr>
        <w:spacing w:after="0" w:line="240" w:lineRule="auto"/>
        <w:jc w:val="both"/>
        <w:rPr>
          <w:rFonts w:ascii="Calibri" w:hAnsi="Calibri" w:cs="Calibri"/>
          <w:sz w:val="24"/>
          <w:szCs w:val="24"/>
        </w:rPr>
      </w:pPr>
      <w:r w:rsidRPr="00EA56A9">
        <w:rPr>
          <w:rFonts w:ascii="Calibri" w:hAnsi="Calibri" w:cs="Calibri"/>
          <w:sz w:val="24"/>
          <w:szCs w:val="24"/>
        </w:rPr>
        <w:lastRenderedPageBreak/>
        <w:t>MZV v průběhu kontroly deklarovalo, že jednotlivé resorty znají pojetí MEO dle mezinárodního práva, samo však uvedlo, že v procesu vedoucím k přijetí předmětných UV se prosadilo pojetí širší. Toto pojetí se tedy neshoduje s definicí MEO dle mezinárodního práva a MZV ho v žádném materiálu blíže nespecifikovalo. MZV tak ponechalo na rozhodnutí jednotlivých resortů, jaké organizace či instituce budou do přehledu uvádět. Rovněž pojem „členství“ používalo MZV nejednoznačným způsobem, přičemž NKÚ zjistil, že se vztahoval i k jiným formám spolupráce s MEO</w:t>
      </w:r>
      <w:r w:rsidR="00DB2AB2">
        <w:rPr>
          <w:rFonts w:ascii="Calibri" w:hAnsi="Calibri" w:cs="Calibri"/>
          <w:sz w:val="24"/>
          <w:szCs w:val="24"/>
        </w:rPr>
        <w:t>,</w:t>
      </w:r>
      <w:r w:rsidRPr="00EA56A9">
        <w:rPr>
          <w:rFonts w:ascii="Calibri" w:hAnsi="Calibri" w:cs="Calibri"/>
          <w:sz w:val="24"/>
          <w:szCs w:val="24"/>
        </w:rPr>
        <w:t xml:space="preserve"> než je členství ČR, které vzniká </w:t>
      </w:r>
      <w:r w:rsidRPr="00EA56A9">
        <w:rPr>
          <w:rFonts w:ascii="Calibri" w:eastAsia="Times New Roman" w:hAnsi="Calibri" w:cs="Calibri"/>
          <w:sz w:val="24"/>
          <w:szCs w:val="24"/>
          <w:lang w:eastAsia="cs-CZ"/>
        </w:rPr>
        <w:t>pouze po splnění podmínek uvedených v článku 49 písm. c) Ústavy ČR</w:t>
      </w:r>
      <w:r w:rsidRPr="00EA56A9">
        <w:rPr>
          <w:rFonts w:ascii="Calibri" w:hAnsi="Calibri" w:cs="Calibri"/>
          <w:sz w:val="24"/>
          <w:szCs w:val="24"/>
        </w:rPr>
        <w:t>. Na základě výše uvedeného NKÚ identifikoval riziko, že informace, které MZV sbíralo, nemusí být vzájemně porovnatelné a úplné, což má vliv na spolehlivost a úplnost přehledů, které MZV z těchto informací zpracovává.</w:t>
      </w:r>
    </w:p>
    <w:p w14:paraId="49A5E2C0" w14:textId="77777777" w:rsidR="00EA56A9" w:rsidRPr="00EA56A9" w:rsidRDefault="00EA56A9" w:rsidP="00EA56A9">
      <w:pPr>
        <w:spacing w:after="0" w:line="240" w:lineRule="auto"/>
        <w:jc w:val="both"/>
        <w:rPr>
          <w:rFonts w:ascii="Calibri" w:hAnsi="Calibri" w:cs="Calibri"/>
          <w:sz w:val="24"/>
          <w:szCs w:val="24"/>
        </w:rPr>
      </w:pPr>
    </w:p>
    <w:p w14:paraId="7BF8B970" w14:textId="7486E549" w:rsidR="00E35FC6" w:rsidRDefault="00E35FC6" w:rsidP="00EA56A9">
      <w:pPr>
        <w:spacing w:after="0" w:line="240" w:lineRule="auto"/>
        <w:jc w:val="both"/>
        <w:rPr>
          <w:rFonts w:ascii="Calibri" w:hAnsi="Calibri" w:cs="Calibri"/>
          <w:sz w:val="24"/>
          <w:szCs w:val="24"/>
        </w:rPr>
      </w:pPr>
      <w:r w:rsidRPr="00EA56A9">
        <w:rPr>
          <w:rFonts w:ascii="Calibri" w:hAnsi="Calibri" w:cs="Calibri"/>
          <w:sz w:val="24"/>
          <w:szCs w:val="24"/>
        </w:rPr>
        <w:t xml:space="preserve">MZV oproti původnímu předpokladu z UV </w:t>
      </w:r>
      <w:r w:rsidR="00DB2AB2">
        <w:rPr>
          <w:rFonts w:ascii="Calibri" w:hAnsi="Calibri" w:cs="Calibri"/>
          <w:sz w:val="24"/>
          <w:szCs w:val="24"/>
        </w:rPr>
        <w:t>č. </w:t>
      </w:r>
      <w:r w:rsidRPr="00EA56A9">
        <w:rPr>
          <w:rFonts w:ascii="Calibri" w:hAnsi="Calibri" w:cs="Calibri"/>
          <w:sz w:val="24"/>
          <w:szCs w:val="24"/>
        </w:rPr>
        <w:t xml:space="preserve">317/2013 požadovalo v rámci pravidelného monitoringu po jednotlivých subjektech aktualizaci přehledu MEO a informaci o vyplacených povinných příspěvcích (v roce 2015 požadovalo i další příspěvky a vícenáklady). MZV se neřídilo UV </w:t>
      </w:r>
      <w:r w:rsidR="00DB2AB2">
        <w:rPr>
          <w:rFonts w:ascii="Calibri" w:hAnsi="Calibri" w:cs="Calibri"/>
          <w:sz w:val="24"/>
          <w:szCs w:val="24"/>
        </w:rPr>
        <w:t>č. </w:t>
      </w:r>
      <w:r w:rsidRPr="00EA56A9">
        <w:rPr>
          <w:rFonts w:ascii="Calibri" w:hAnsi="Calibri" w:cs="Calibri"/>
          <w:sz w:val="24"/>
          <w:szCs w:val="24"/>
        </w:rPr>
        <w:t>317/2013, když v letech 2014, 2016, 2017, 2018 a 2019 neposkytlo členům vlády a vedoucím ostatních ÚOSS pokyny k podávání informací o působení a přínosech spolupráce v každé MEO, za niž mají gesci, ačkoli závaznost UV pro ministerstva a ÚOSS jednoznačně vyplývá z kompetenčního zákona</w:t>
      </w:r>
      <w:r w:rsidRPr="00EA56A9">
        <w:rPr>
          <w:rStyle w:val="Znakapoznpodarou"/>
          <w:rFonts w:ascii="Calibri" w:hAnsi="Calibri" w:cs="Calibri"/>
          <w:sz w:val="24"/>
          <w:szCs w:val="24"/>
        </w:rPr>
        <w:footnoteReference w:id="23"/>
      </w:r>
      <w:r w:rsidRPr="00EA56A9">
        <w:rPr>
          <w:rFonts w:ascii="Calibri" w:hAnsi="Calibri" w:cs="Calibri"/>
          <w:sz w:val="24"/>
          <w:szCs w:val="24"/>
        </w:rPr>
        <w:t>.</w:t>
      </w:r>
    </w:p>
    <w:p w14:paraId="0FEEE7CA" w14:textId="77777777" w:rsidR="00EA56A9" w:rsidRPr="00EA56A9" w:rsidRDefault="00EA56A9" w:rsidP="00EA56A9">
      <w:pPr>
        <w:spacing w:after="0" w:line="240" w:lineRule="auto"/>
        <w:jc w:val="both"/>
        <w:rPr>
          <w:rFonts w:ascii="Calibri" w:hAnsi="Calibri" w:cs="Calibri"/>
          <w:sz w:val="24"/>
          <w:szCs w:val="24"/>
        </w:rPr>
      </w:pPr>
    </w:p>
    <w:p w14:paraId="5B3EEBA6" w14:textId="24BAC742" w:rsidR="00E35FC6" w:rsidRPr="00EA56A9" w:rsidRDefault="00E35FC6" w:rsidP="00EA56A9">
      <w:pPr>
        <w:spacing w:after="0" w:line="240" w:lineRule="auto"/>
        <w:jc w:val="both"/>
        <w:rPr>
          <w:rFonts w:ascii="Calibri" w:hAnsi="Calibri" w:cs="Calibri"/>
          <w:sz w:val="24"/>
          <w:szCs w:val="24"/>
        </w:rPr>
      </w:pPr>
      <w:r w:rsidRPr="00EA56A9">
        <w:rPr>
          <w:rFonts w:ascii="Calibri" w:hAnsi="Calibri" w:cs="Calibri"/>
          <w:sz w:val="24"/>
          <w:szCs w:val="24"/>
        </w:rPr>
        <w:t>Jednotlivé resorty až na výjimky hodnocení působení a přínosů spolupráce s MEO v jejich gesci MZV nepředkládaly. Zavedení pravidelného hodnocení působení a přínosů v MEO bylo přitom jedním z předpokladů zvýšení efektivity spolupráce ČR s MEO. MZV však svým postupem k naplnění tohoto předpokladu nepřispělo</w:t>
      </w:r>
      <w:r w:rsidRPr="00EA56A9">
        <w:rPr>
          <w:rFonts w:ascii="Calibri" w:hAnsi="Calibri" w:cs="Calibri"/>
          <w:i/>
          <w:sz w:val="24"/>
          <w:szCs w:val="24"/>
        </w:rPr>
        <w:t xml:space="preserve"> </w:t>
      </w:r>
      <w:r w:rsidRPr="00EA56A9">
        <w:rPr>
          <w:rFonts w:ascii="Calibri" w:hAnsi="Calibri" w:cs="Calibri"/>
          <w:sz w:val="24"/>
          <w:szCs w:val="24"/>
        </w:rPr>
        <w:t xml:space="preserve">a v oblasti hodnocení působení a přínosů spolupráce ČR s MEO nedošlo oproti stavu před přijetím UV </w:t>
      </w:r>
      <w:r w:rsidR="00DB2AB2">
        <w:rPr>
          <w:rFonts w:ascii="Calibri" w:hAnsi="Calibri" w:cs="Calibri"/>
          <w:sz w:val="24"/>
          <w:szCs w:val="24"/>
        </w:rPr>
        <w:t>č. </w:t>
      </w:r>
      <w:r w:rsidRPr="00EA56A9">
        <w:rPr>
          <w:rFonts w:ascii="Calibri" w:hAnsi="Calibri" w:cs="Calibri"/>
          <w:sz w:val="24"/>
          <w:szCs w:val="24"/>
        </w:rPr>
        <w:t>317/2013 ke změně. Jedinou výjimku představoval rok 2015, kdy MZV realizovalo dotazníkové šetření, které se týkalo mj. hodnocení přínosů a efektivity působení ČR ve vybraných MEO (76 MEO s příspěvky nad 1 mil. Kč). V samotném vyhodnocení dotazníkového šetření však MZV informace k hodnocení přínosů MEO jednotlivými resorty neuvedlo. V návaznosti na výsledky dotazníkového šetření z roku 2015 nicméně MZV identifikovalo, že pravidelné a kritické hodnocení efektivity činnosti ČR v MEO a hodnocení relevance a efektivity MEO pro ČR jsou možnostmi, jak dosáhnout efektivní spolupráce s MEO. NKÚ v rámci svého dotazníkového šetření mj. zjistil, že u 233 MEO příslušní gestoři v roce 2018 vyhodnotili přínos spolupráce, u zbylých 244 MEO přínos spolupráce vyhodnocen nebyl.</w:t>
      </w:r>
    </w:p>
    <w:p w14:paraId="17E33326" w14:textId="77777777" w:rsidR="00EA56A9" w:rsidRDefault="00EA56A9" w:rsidP="00EA56A9">
      <w:pPr>
        <w:spacing w:after="0" w:line="240" w:lineRule="auto"/>
        <w:jc w:val="both"/>
        <w:rPr>
          <w:rFonts w:ascii="Calibri" w:hAnsi="Calibri" w:cs="Calibri"/>
          <w:sz w:val="24"/>
          <w:szCs w:val="24"/>
        </w:rPr>
      </w:pPr>
    </w:p>
    <w:p w14:paraId="022DE53E" w14:textId="77777777" w:rsidR="00E35FC6" w:rsidRPr="00EA56A9" w:rsidRDefault="00E35FC6" w:rsidP="00EA56A9">
      <w:pPr>
        <w:pStyle w:val="Odstavecseseznamem"/>
        <w:numPr>
          <w:ilvl w:val="0"/>
          <w:numId w:val="29"/>
        </w:numPr>
        <w:spacing w:after="0" w:line="240" w:lineRule="auto"/>
        <w:ind w:left="284" w:hanging="284"/>
        <w:jc w:val="both"/>
        <w:rPr>
          <w:rFonts w:ascii="Calibri" w:hAnsi="Calibri" w:cs="Calibri"/>
          <w:b/>
          <w:sz w:val="24"/>
          <w:szCs w:val="24"/>
        </w:rPr>
      </w:pPr>
      <w:r w:rsidRPr="00EA56A9">
        <w:rPr>
          <w:rFonts w:ascii="Calibri" w:hAnsi="Calibri" w:cs="Calibri"/>
          <w:b/>
          <w:sz w:val="24"/>
          <w:szCs w:val="24"/>
        </w:rPr>
        <w:t>Přehled o spolupráci s MEO</w:t>
      </w:r>
    </w:p>
    <w:p w14:paraId="35C023FC" w14:textId="77777777" w:rsidR="00EA56A9" w:rsidRDefault="00EA56A9" w:rsidP="00EA56A9">
      <w:pPr>
        <w:spacing w:after="0" w:line="240" w:lineRule="auto"/>
        <w:jc w:val="both"/>
        <w:rPr>
          <w:rFonts w:ascii="Calibri" w:hAnsi="Calibri" w:cs="Calibri"/>
          <w:sz w:val="24"/>
          <w:szCs w:val="24"/>
        </w:rPr>
      </w:pPr>
    </w:p>
    <w:p w14:paraId="273157B0" w14:textId="55A603D7" w:rsidR="00E35FC6" w:rsidRPr="00EA56A9" w:rsidRDefault="00E35FC6" w:rsidP="00EA56A9">
      <w:pPr>
        <w:spacing w:after="0" w:line="240" w:lineRule="auto"/>
        <w:jc w:val="both"/>
        <w:rPr>
          <w:rFonts w:ascii="Calibri" w:hAnsi="Calibri" w:cs="Calibri"/>
          <w:sz w:val="24"/>
          <w:szCs w:val="24"/>
        </w:rPr>
      </w:pPr>
      <w:r w:rsidRPr="00EA56A9">
        <w:rPr>
          <w:rFonts w:ascii="Calibri" w:hAnsi="Calibri" w:cs="Calibri"/>
          <w:sz w:val="24"/>
          <w:szCs w:val="24"/>
        </w:rPr>
        <w:t>NKÚ dále zjistil, že MZV v letech 2015 a</w:t>
      </w:r>
      <w:r w:rsidR="00DB2AB2">
        <w:rPr>
          <w:rFonts w:ascii="Calibri" w:hAnsi="Calibri" w:cs="Calibri"/>
          <w:sz w:val="24"/>
          <w:szCs w:val="24"/>
        </w:rPr>
        <w:t>ž</w:t>
      </w:r>
      <w:r w:rsidRPr="00EA56A9">
        <w:rPr>
          <w:rFonts w:ascii="Calibri" w:hAnsi="Calibri" w:cs="Calibri"/>
          <w:sz w:val="24"/>
          <w:szCs w:val="24"/>
        </w:rPr>
        <w:t xml:space="preserve"> 2019 neoslovovalo všechny ÚOSS, které měly dle UV </w:t>
      </w:r>
      <w:r w:rsidR="00DB2AB2">
        <w:rPr>
          <w:rFonts w:ascii="Calibri" w:hAnsi="Calibri" w:cs="Calibri"/>
          <w:sz w:val="24"/>
          <w:szCs w:val="24"/>
        </w:rPr>
        <w:t>č. </w:t>
      </w:r>
      <w:r w:rsidRPr="00EA56A9">
        <w:rPr>
          <w:rFonts w:ascii="Calibri" w:hAnsi="Calibri" w:cs="Calibri"/>
          <w:sz w:val="24"/>
          <w:szCs w:val="24"/>
        </w:rPr>
        <w:t>317/2013 podávat informaci ministru zahraničních věcí. MZV např. nikdy neoslovilo s žádostí o</w:t>
      </w:r>
      <w:r w:rsidR="00BE4AFA">
        <w:rPr>
          <w:rFonts w:ascii="Calibri" w:hAnsi="Calibri" w:cs="Calibri"/>
          <w:sz w:val="24"/>
          <w:szCs w:val="24"/>
        </w:rPr>
        <w:t> </w:t>
      </w:r>
      <w:r w:rsidRPr="00EA56A9">
        <w:rPr>
          <w:rFonts w:ascii="Calibri" w:hAnsi="Calibri" w:cs="Calibri"/>
          <w:sz w:val="24"/>
          <w:szCs w:val="24"/>
        </w:rPr>
        <w:t>dodání podkladů Český báňský úřad, Úřad pro ochranu hospodářské soutěže nebo Správu státních hmotných rezerv. MZV navíc nikdy neoslovilo nově vzniklé ÚOSS s výjimkou Národního úřadu pro kybernetickou bezpečnost v roce 2019. NKÚ dále zjistil, že MZV nedisponovalo za roky 2015 a</w:t>
      </w:r>
      <w:r w:rsidR="00DB2AB2">
        <w:rPr>
          <w:rFonts w:ascii="Calibri" w:hAnsi="Calibri" w:cs="Calibri"/>
          <w:sz w:val="24"/>
          <w:szCs w:val="24"/>
        </w:rPr>
        <w:t>ž</w:t>
      </w:r>
      <w:r w:rsidRPr="00EA56A9">
        <w:rPr>
          <w:rFonts w:ascii="Calibri" w:hAnsi="Calibri" w:cs="Calibri"/>
          <w:sz w:val="24"/>
          <w:szCs w:val="24"/>
        </w:rPr>
        <w:t xml:space="preserve"> 2019 kompletními informacemi/podklady ani od ÚOSS a dalších subjektů, které oslovilo. Za rok 2014 nemohl NKÚ ověřit okruh oslovených subjektů ani </w:t>
      </w:r>
      <w:r w:rsidR="005048A8">
        <w:rPr>
          <w:rFonts w:ascii="Calibri" w:hAnsi="Calibri" w:cs="Calibri"/>
          <w:sz w:val="24"/>
          <w:szCs w:val="24"/>
        </w:rPr>
        <w:t>obsah</w:t>
      </w:r>
      <w:r w:rsidRPr="00EA56A9">
        <w:rPr>
          <w:rFonts w:ascii="Calibri" w:hAnsi="Calibri" w:cs="Calibri"/>
          <w:sz w:val="24"/>
          <w:szCs w:val="24"/>
        </w:rPr>
        <w:t xml:space="preserve"> podkladů</w:t>
      </w:r>
      <w:r w:rsidR="00DB2AB2" w:rsidRPr="00DB2AB2">
        <w:rPr>
          <w:rFonts w:ascii="Calibri" w:hAnsi="Calibri" w:cs="Calibri"/>
          <w:sz w:val="24"/>
          <w:szCs w:val="24"/>
        </w:rPr>
        <w:t xml:space="preserve"> </w:t>
      </w:r>
      <w:r w:rsidR="008E6FA3" w:rsidRPr="00EA56A9">
        <w:rPr>
          <w:rFonts w:ascii="Calibri" w:hAnsi="Calibri" w:cs="Calibri"/>
          <w:sz w:val="24"/>
          <w:szCs w:val="24"/>
        </w:rPr>
        <w:t xml:space="preserve">předaných </w:t>
      </w:r>
      <w:r w:rsidR="00DB2AB2" w:rsidRPr="00EA56A9">
        <w:rPr>
          <w:rFonts w:ascii="Calibri" w:hAnsi="Calibri" w:cs="Calibri"/>
          <w:sz w:val="24"/>
          <w:szCs w:val="24"/>
        </w:rPr>
        <w:t>z jejich strany</w:t>
      </w:r>
      <w:r w:rsidRPr="00EA56A9">
        <w:rPr>
          <w:rFonts w:ascii="Calibri" w:hAnsi="Calibri" w:cs="Calibri"/>
          <w:sz w:val="24"/>
          <w:szCs w:val="24"/>
        </w:rPr>
        <w:t xml:space="preserve">, neboť MZV nepředložilo ke kontrole k tomuto žádnou dokumentaci. Podrobněji viz tabulka </w:t>
      </w:r>
      <w:r w:rsidR="0023090E">
        <w:rPr>
          <w:rFonts w:ascii="Calibri" w:hAnsi="Calibri" w:cs="Calibri"/>
          <w:sz w:val="24"/>
          <w:szCs w:val="24"/>
        </w:rPr>
        <w:t>č. </w:t>
      </w:r>
      <w:r w:rsidRPr="00EA56A9">
        <w:rPr>
          <w:rFonts w:ascii="Calibri" w:hAnsi="Calibri" w:cs="Calibri"/>
          <w:sz w:val="24"/>
          <w:szCs w:val="24"/>
        </w:rPr>
        <w:t>1.</w:t>
      </w:r>
    </w:p>
    <w:p w14:paraId="2AFDBCF3" w14:textId="77777777" w:rsidR="00E35FC6" w:rsidRPr="000C3A10" w:rsidRDefault="00E35FC6" w:rsidP="000C3A10">
      <w:pPr>
        <w:keepNext/>
        <w:spacing w:after="40" w:line="240" w:lineRule="auto"/>
        <w:rPr>
          <w:rFonts w:ascii="Calibri" w:hAnsi="Calibri" w:cs="Calibri"/>
          <w:b/>
          <w:sz w:val="24"/>
          <w:szCs w:val="24"/>
        </w:rPr>
      </w:pPr>
      <w:r w:rsidRPr="000C3A10">
        <w:rPr>
          <w:rFonts w:ascii="Calibri" w:hAnsi="Calibri" w:cs="Calibri"/>
          <w:b/>
          <w:sz w:val="24"/>
          <w:szCs w:val="24"/>
        </w:rPr>
        <w:lastRenderedPageBreak/>
        <w:t>Tabulka č. 1: Přehled oslovených subjektů a odpovědí, které má MZV k dispozici</w:t>
      </w:r>
    </w:p>
    <w:tbl>
      <w:tblPr>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70" w:type="dxa"/>
          <w:right w:w="70" w:type="dxa"/>
        </w:tblCellMar>
        <w:tblLook w:val="04A0" w:firstRow="1" w:lastRow="0" w:firstColumn="1" w:lastColumn="0" w:noHBand="0" w:noVBand="1"/>
      </w:tblPr>
      <w:tblGrid>
        <w:gridCol w:w="3831"/>
        <w:gridCol w:w="1418"/>
        <w:gridCol w:w="1271"/>
        <w:gridCol w:w="622"/>
        <w:gridCol w:w="622"/>
        <w:gridCol w:w="622"/>
        <w:gridCol w:w="622"/>
        <w:gridCol w:w="624"/>
      </w:tblGrid>
      <w:tr w:rsidR="00E35FC6" w:rsidRPr="000C3A10" w14:paraId="16973B03" w14:textId="77777777" w:rsidTr="00AB3254">
        <w:trPr>
          <w:jc w:val="center"/>
        </w:trPr>
        <w:tc>
          <w:tcPr>
            <w:tcW w:w="2724" w:type="pct"/>
            <w:gridSpan w:val="2"/>
            <w:vMerge w:val="restart"/>
            <w:shd w:val="clear" w:color="auto" w:fill="auto"/>
            <w:noWrap/>
            <w:vAlign w:val="center"/>
            <w:hideMark/>
          </w:tcPr>
          <w:p w14:paraId="63469117" w14:textId="77777777" w:rsidR="00E35FC6" w:rsidRPr="000C3A10" w:rsidRDefault="00E35FC6" w:rsidP="00AB3254">
            <w:pPr>
              <w:keepNext/>
              <w:spacing w:after="0" w:line="240" w:lineRule="auto"/>
              <w:jc w:val="center"/>
              <w:rPr>
                <w:rFonts w:ascii="Calibri" w:hAnsi="Calibri" w:cs="Calibri"/>
                <w:sz w:val="20"/>
                <w:szCs w:val="20"/>
                <w:lang w:eastAsia="cs-CZ"/>
              </w:rPr>
            </w:pPr>
          </w:p>
        </w:tc>
        <w:tc>
          <w:tcPr>
            <w:tcW w:w="2276" w:type="pct"/>
            <w:gridSpan w:val="6"/>
            <w:shd w:val="clear" w:color="auto" w:fill="auto"/>
            <w:noWrap/>
            <w:vAlign w:val="center"/>
            <w:hideMark/>
          </w:tcPr>
          <w:p w14:paraId="2538FEE4" w14:textId="77777777" w:rsidR="00E35FC6" w:rsidRPr="000C3A10" w:rsidRDefault="00E35FC6" w:rsidP="00AB3254">
            <w:pPr>
              <w:keepNext/>
              <w:spacing w:after="0" w:line="240" w:lineRule="auto"/>
              <w:jc w:val="center"/>
              <w:rPr>
                <w:rFonts w:ascii="Calibri" w:hAnsi="Calibri" w:cs="Calibri"/>
                <w:b/>
                <w:bCs/>
                <w:sz w:val="20"/>
                <w:szCs w:val="20"/>
                <w:lang w:eastAsia="cs-CZ"/>
              </w:rPr>
            </w:pPr>
            <w:r w:rsidRPr="000C3A10">
              <w:rPr>
                <w:rFonts w:ascii="Calibri" w:hAnsi="Calibri" w:cs="Calibri"/>
                <w:b/>
                <w:bCs/>
                <w:sz w:val="20"/>
                <w:szCs w:val="20"/>
                <w:lang w:eastAsia="cs-CZ"/>
              </w:rPr>
              <w:t>Rok dotazování (sběru informací)</w:t>
            </w:r>
          </w:p>
        </w:tc>
      </w:tr>
      <w:tr w:rsidR="00E35FC6" w:rsidRPr="000C3A10" w14:paraId="10CC6639" w14:textId="77777777" w:rsidTr="00AB3254">
        <w:trPr>
          <w:jc w:val="center"/>
        </w:trPr>
        <w:tc>
          <w:tcPr>
            <w:tcW w:w="2724" w:type="pct"/>
            <w:gridSpan w:val="2"/>
            <w:vMerge/>
            <w:vAlign w:val="center"/>
            <w:hideMark/>
          </w:tcPr>
          <w:p w14:paraId="42BF8ED2" w14:textId="77777777" w:rsidR="00E35FC6" w:rsidRPr="000C3A10" w:rsidRDefault="00E35FC6" w:rsidP="00AB3254">
            <w:pPr>
              <w:keepNext/>
              <w:spacing w:after="0" w:line="240" w:lineRule="auto"/>
              <w:jc w:val="center"/>
              <w:rPr>
                <w:rFonts w:ascii="Calibri" w:hAnsi="Calibri" w:cs="Calibri"/>
                <w:sz w:val="20"/>
                <w:szCs w:val="20"/>
                <w:lang w:eastAsia="cs-CZ"/>
              </w:rPr>
            </w:pPr>
          </w:p>
        </w:tc>
        <w:tc>
          <w:tcPr>
            <w:tcW w:w="660" w:type="pct"/>
            <w:shd w:val="clear" w:color="auto" w:fill="auto"/>
            <w:noWrap/>
            <w:vAlign w:val="center"/>
            <w:hideMark/>
          </w:tcPr>
          <w:p w14:paraId="49D6F8FD" w14:textId="77777777" w:rsidR="00E35FC6" w:rsidRPr="000C3A10" w:rsidRDefault="00E35FC6" w:rsidP="00AB3254">
            <w:pPr>
              <w:keepNext/>
              <w:spacing w:after="0" w:line="240" w:lineRule="auto"/>
              <w:jc w:val="center"/>
              <w:rPr>
                <w:rFonts w:ascii="Calibri" w:hAnsi="Calibri" w:cs="Calibri"/>
                <w:b/>
                <w:bCs/>
                <w:sz w:val="20"/>
                <w:szCs w:val="20"/>
                <w:lang w:eastAsia="cs-CZ"/>
              </w:rPr>
            </w:pPr>
            <w:r w:rsidRPr="000C3A10">
              <w:rPr>
                <w:rFonts w:ascii="Calibri" w:hAnsi="Calibri" w:cs="Calibri"/>
                <w:b/>
                <w:bCs/>
                <w:sz w:val="20"/>
                <w:szCs w:val="20"/>
                <w:lang w:eastAsia="cs-CZ"/>
              </w:rPr>
              <w:t>2014</w:t>
            </w:r>
          </w:p>
        </w:tc>
        <w:tc>
          <w:tcPr>
            <w:tcW w:w="323" w:type="pct"/>
            <w:shd w:val="clear" w:color="auto" w:fill="auto"/>
            <w:noWrap/>
            <w:vAlign w:val="center"/>
            <w:hideMark/>
          </w:tcPr>
          <w:p w14:paraId="571ACE90" w14:textId="77777777" w:rsidR="00E35FC6" w:rsidRPr="000C3A10" w:rsidRDefault="00E35FC6" w:rsidP="00AB3254">
            <w:pPr>
              <w:keepNext/>
              <w:spacing w:after="0" w:line="240" w:lineRule="auto"/>
              <w:jc w:val="center"/>
              <w:rPr>
                <w:rFonts w:ascii="Calibri" w:hAnsi="Calibri" w:cs="Calibri"/>
                <w:b/>
                <w:bCs/>
                <w:sz w:val="20"/>
                <w:szCs w:val="20"/>
                <w:lang w:eastAsia="cs-CZ"/>
              </w:rPr>
            </w:pPr>
            <w:r w:rsidRPr="000C3A10">
              <w:rPr>
                <w:rFonts w:ascii="Calibri" w:hAnsi="Calibri" w:cs="Calibri"/>
                <w:b/>
                <w:bCs/>
                <w:sz w:val="20"/>
                <w:szCs w:val="20"/>
                <w:lang w:eastAsia="cs-CZ"/>
              </w:rPr>
              <w:t>2015</w:t>
            </w:r>
          </w:p>
        </w:tc>
        <w:tc>
          <w:tcPr>
            <w:tcW w:w="323" w:type="pct"/>
            <w:shd w:val="clear" w:color="auto" w:fill="auto"/>
            <w:noWrap/>
            <w:vAlign w:val="center"/>
            <w:hideMark/>
          </w:tcPr>
          <w:p w14:paraId="3A733D2F" w14:textId="77777777" w:rsidR="00E35FC6" w:rsidRPr="000C3A10" w:rsidRDefault="00E35FC6" w:rsidP="00AB3254">
            <w:pPr>
              <w:keepNext/>
              <w:spacing w:after="0" w:line="240" w:lineRule="auto"/>
              <w:jc w:val="center"/>
              <w:rPr>
                <w:rFonts w:ascii="Calibri" w:hAnsi="Calibri" w:cs="Calibri"/>
                <w:b/>
                <w:bCs/>
                <w:sz w:val="20"/>
                <w:szCs w:val="20"/>
                <w:lang w:eastAsia="cs-CZ"/>
              </w:rPr>
            </w:pPr>
            <w:r w:rsidRPr="000C3A10">
              <w:rPr>
                <w:rFonts w:ascii="Calibri" w:hAnsi="Calibri" w:cs="Calibri"/>
                <w:b/>
                <w:bCs/>
                <w:sz w:val="20"/>
                <w:szCs w:val="20"/>
                <w:lang w:eastAsia="cs-CZ"/>
              </w:rPr>
              <w:t>2016</w:t>
            </w:r>
          </w:p>
        </w:tc>
        <w:tc>
          <w:tcPr>
            <w:tcW w:w="323" w:type="pct"/>
            <w:shd w:val="clear" w:color="auto" w:fill="auto"/>
            <w:noWrap/>
            <w:vAlign w:val="center"/>
            <w:hideMark/>
          </w:tcPr>
          <w:p w14:paraId="71FF09DD" w14:textId="77777777" w:rsidR="00E35FC6" w:rsidRPr="000C3A10" w:rsidRDefault="00E35FC6" w:rsidP="00AB3254">
            <w:pPr>
              <w:keepNext/>
              <w:spacing w:after="0" w:line="240" w:lineRule="auto"/>
              <w:jc w:val="center"/>
              <w:rPr>
                <w:rFonts w:ascii="Calibri" w:hAnsi="Calibri" w:cs="Calibri"/>
                <w:b/>
                <w:bCs/>
                <w:sz w:val="20"/>
                <w:szCs w:val="20"/>
                <w:lang w:eastAsia="cs-CZ"/>
              </w:rPr>
            </w:pPr>
            <w:r w:rsidRPr="000C3A10">
              <w:rPr>
                <w:rFonts w:ascii="Calibri" w:hAnsi="Calibri" w:cs="Calibri"/>
                <w:b/>
                <w:bCs/>
                <w:sz w:val="20"/>
                <w:szCs w:val="20"/>
                <w:lang w:eastAsia="cs-CZ"/>
              </w:rPr>
              <w:t>2017</w:t>
            </w:r>
          </w:p>
        </w:tc>
        <w:tc>
          <w:tcPr>
            <w:tcW w:w="323" w:type="pct"/>
            <w:shd w:val="clear" w:color="auto" w:fill="auto"/>
            <w:noWrap/>
            <w:vAlign w:val="center"/>
            <w:hideMark/>
          </w:tcPr>
          <w:p w14:paraId="602A62A9" w14:textId="77777777" w:rsidR="00E35FC6" w:rsidRPr="000C3A10" w:rsidRDefault="00E35FC6" w:rsidP="00AB3254">
            <w:pPr>
              <w:keepNext/>
              <w:spacing w:after="0" w:line="240" w:lineRule="auto"/>
              <w:jc w:val="center"/>
              <w:rPr>
                <w:rFonts w:ascii="Calibri" w:hAnsi="Calibri" w:cs="Calibri"/>
                <w:b/>
                <w:bCs/>
                <w:sz w:val="20"/>
                <w:szCs w:val="20"/>
                <w:lang w:eastAsia="cs-CZ"/>
              </w:rPr>
            </w:pPr>
            <w:r w:rsidRPr="000C3A10">
              <w:rPr>
                <w:rFonts w:ascii="Calibri" w:hAnsi="Calibri" w:cs="Calibri"/>
                <w:b/>
                <w:bCs/>
                <w:sz w:val="20"/>
                <w:szCs w:val="20"/>
                <w:lang w:eastAsia="cs-CZ"/>
              </w:rPr>
              <w:t>2018</w:t>
            </w:r>
          </w:p>
        </w:tc>
        <w:tc>
          <w:tcPr>
            <w:tcW w:w="323" w:type="pct"/>
            <w:shd w:val="clear" w:color="auto" w:fill="auto"/>
            <w:noWrap/>
            <w:vAlign w:val="center"/>
            <w:hideMark/>
          </w:tcPr>
          <w:p w14:paraId="5517E581" w14:textId="77777777" w:rsidR="00E35FC6" w:rsidRPr="000C3A10" w:rsidRDefault="00E35FC6" w:rsidP="00AB3254">
            <w:pPr>
              <w:keepNext/>
              <w:spacing w:after="0" w:line="240" w:lineRule="auto"/>
              <w:jc w:val="center"/>
              <w:rPr>
                <w:rFonts w:ascii="Calibri" w:hAnsi="Calibri" w:cs="Calibri"/>
                <w:b/>
                <w:bCs/>
                <w:sz w:val="20"/>
                <w:szCs w:val="20"/>
                <w:lang w:eastAsia="cs-CZ"/>
              </w:rPr>
            </w:pPr>
            <w:r w:rsidRPr="000C3A10">
              <w:rPr>
                <w:rFonts w:ascii="Calibri" w:hAnsi="Calibri" w:cs="Calibri"/>
                <w:b/>
                <w:bCs/>
                <w:sz w:val="20"/>
                <w:szCs w:val="20"/>
                <w:lang w:eastAsia="cs-CZ"/>
              </w:rPr>
              <w:t>2019</w:t>
            </w:r>
          </w:p>
        </w:tc>
      </w:tr>
      <w:tr w:rsidR="00E35FC6" w:rsidRPr="000C3A10" w14:paraId="209B6970" w14:textId="77777777" w:rsidTr="00AB3254">
        <w:trPr>
          <w:jc w:val="center"/>
        </w:trPr>
        <w:tc>
          <w:tcPr>
            <w:tcW w:w="1988" w:type="pct"/>
            <w:vMerge w:val="restart"/>
            <w:shd w:val="clear" w:color="auto" w:fill="auto"/>
            <w:vAlign w:val="center"/>
            <w:hideMark/>
          </w:tcPr>
          <w:p w14:paraId="0C7A62D1" w14:textId="77777777" w:rsidR="00E35FC6" w:rsidRPr="00AB3254" w:rsidRDefault="00E35FC6" w:rsidP="000C3A10">
            <w:pPr>
              <w:keepNext/>
              <w:spacing w:after="0" w:line="240" w:lineRule="auto"/>
              <w:rPr>
                <w:rFonts w:ascii="Calibri" w:hAnsi="Calibri" w:cs="Calibri"/>
                <w:bCs/>
                <w:sz w:val="20"/>
                <w:szCs w:val="20"/>
                <w:lang w:eastAsia="cs-CZ"/>
              </w:rPr>
            </w:pPr>
            <w:r w:rsidRPr="00AB3254">
              <w:rPr>
                <w:rFonts w:ascii="Calibri" w:hAnsi="Calibri" w:cs="Calibri"/>
                <w:bCs/>
                <w:sz w:val="20"/>
                <w:szCs w:val="20"/>
                <w:lang w:eastAsia="cs-CZ"/>
              </w:rPr>
              <w:t xml:space="preserve">Počet potenciálních dotazovaných subjektů </w:t>
            </w:r>
          </w:p>
        </w:tc>
        <w:tc>
          <w:tcPr>
            <w:tcW w:w="736" w:type="pct"/>
            <w:shd w:val="clear" w:color="auto" w:fill="auto"/>
            <w:noWrap/>
            <w:vAlign w:val="center"/>
            <w:hideMark/>
          </w:tcPr>
          <w:p w14:paraId="4E2D91B0" w14:textId="77777777" w:rsidR="00E35FC6" w:rsidRPr="00AB3254" w:rsidRDefault="00E35FC6" w:rsidP="000C3A10">
            <w:pPr>
              <w:keepNext/>
              <w:spacing w:after="0" w:line="240" w:lineRule="auto"/>
              <w:rPr>
                <w:rFonts w:ascii="Calibri" w:hAnsi="Calibri" w:cs="Calibri"/>
                <w:bCs/>
                <w:sz w:val="20"/>
                <w:szCs w:val="20"/>
                <w:lang w:eastAsia="cs-CZ"/>
              </w:rPr>
            </w:pPr>
            <w:r w:rsidRPr="00AB3254">
              <w:rPr>
                <w:rFonts w:ascii="Calibri" w:hAnsi="Calibri" w:cs="Calibri"/>
                <w:bCs/>
                <w:sz w:val="20"/>
                <w:szCs w:val="20"/>
                <w:lang w:eastAsia="cs-CZ"/>
              </w:rPr>
              <w:t>Kapitoly SR**</w:t>
            </w:r>
          </w:p>
        </w:tc>
        <w:tc>
          <w:tcPr>
            <w:tcW w:w="660" w:type="pct"/>
            <w:shd w:val="clear" w:color="auto" w:fill="auto"/>
            <w:noWrap/>
            <w:vAlign w:val="center"/>
            <w:hideMark/>
          </w:tcPr>
          <w:p w14:paraId="453AFBC2"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38</w:t>
            </w:r>
          </w:p>
        </w:tc>
        <w:tc>
          <w:tcPr>
            <w:tcW w:w="323" w:type="pct"/>
            <w:shd w:val="clear" w:color="auto" w:fill="auto"/>
            <w:noWrap/>
            <w:vAlign w:val="center"/>
            <w:hideMark/>
          </w:tcPr>
          <w:p w14:paraId="02D90DC2"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38</w:t>
            </w:r>
          </w:p>
        </w:tc>
        <w:tc>
          <w:tcPr>
            <w:tcW w:w="323" w:type="pct"/>
            <w:shd w:val="clear" w:color="auto" w:fill="auto"/>
            <w:noWrap/>
            <w:vAlign w:val="center"/>
            <w:hideMark/>
          </w:tcPr>
          <w:p w14:paraId="5BF17B81"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38</w:t>
            </w:r>
          </w:p>
        </w:tc>
        <w:tc>
          <w:tcPr>
            <w:tcW w:w="323" w:type="pct"/>
            <w:shd w:val="clear" w:color="auto" w:fill="auto"/>
            <w:noWrap/>
            <w:vAlign w:val="center"/>
            <w:hideMark/>
          </w:tcPr>
          <w:p w14:paraId="5A1BEE43"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39</w:t>
            </w:r>
          </w:p>
        </w:tc>
        <w:tc>
          <w:tcPr>
            <w:tcW w:w="323" w:type="pct"/>
            <w:shd w:val="clear" w:color="auto" w:fill="auto"/>
            <w:noWrap/>
            <w:vAlign w:val="center"/>
            <w:hideMark/>
          </w:tcPr>
          <w:p w14:paraId="7C906E7B"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42</w:t>
            </w:r>
          </w:p>
        </w:tc>
        <w:tc>
          <w:tcPr>
            <w:tcW w:w="323" w:type="pct"/>
            <w:shd w:val="clear" w:color="auto" w:fill="auto"/>
            <w:noWrap/>
            <w:vAlign w:val="center"/>
            <w:hideMark/>
          </w:tcPr>
          <w:p w14:paraId="4BEB6556"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42</w:t>
            </w:r>
          </w:p>
        </w:tc>
      </w:tr>
      <w:tr w:rsidR="00E35FC6" w:rsidRPr="000C3A10" w14:paraId="2BCB0775" w14:textId="77777777" w:rsidTr="00AB3254">
        <w:trPr>
          <w:jc w:val="center"/>
        </w:trPr>
        <w:tc>
          <w:tcPr>
            <w:tcW w:w="1988" w:type="pct"/>
            <w:vMerge/>
            <w:vAlign w:val="center"/>
            <w:hideMark/>
          </w:tcPr>
          <w:p w14:paraId="0528B553" w14:textId="77777777" w:rsidR="00E35FC6" w:rsidRPr="00AB3254" w:rsidRDefault="00E35FC6" w:rsidP="000C3A10">
            <w:pPr>
              <w:keepNext/>
              <w:spacing w:after="0" w:line="240" w:lineRule="auto"/>
              <w:rPr>
                <w:rFonts w:ascii="Calibri" w:hAnsi="Calibri" w:cs="Calibri"/>
                <w:bCs/>
                <w:sz w:val="20"/>
                <w:szCs w:val="20"/>
                <w:lang w:eastAsia="cs-CZ"/>
              </w:rPr>
            </w:pPr>
          </w:p>
        </w:tc>
        <w:tc>
          <w:tcPr>
            <w:tcW w:w="736" w:type="pct"/>
            <w:shd w:val="clear" w:color="auto" w:fill="auto"/>
            <w:noWrap/>
            <w:vAlign w:val="center"/>
            <w:hideMark/>
          </w:tcPr>
          <w:p w14:paraId="05C0D725" w14:textId="77777777" w:rsidR="00E35FC6" w:rsidRPr="00AB3254" w:rsidRDefault="00E35FC6" w:rsidP="000C3A10">
            <w:pPr>
              <w:keepNext/>
              <w:spacing w:after="0" w:line="240" w:lineRule="auto"/>
              <w:rPr>
                <w:rFonts w:ascii="Calibri" w:hAnsi="Calibri" w:cs="Calibri"/>
                <w:bCs/>
                <w:sz w:val="20"/>
                <w:szCs w:val="20"/>
                <w:lang w:eastAsia="cs-CZ"/>
              </w:rPr>
            </w:pPr>
            <w:r w:rsidRPr="00AB3254">
              <w:rPr>
                <w:rFonts w:ascii="Calibri" w:hAnsi="Calibri" w:cs="Calibri"/>
                <w:bCs/>
                <w:sz w:val="20"/>
                <w:szCs w:val="20"/>
                <w:lang w:eastAsia="cs-CZ"/>
              </w:rPr>
              <w:t>z toho ÚOSS*</w:t>
            </w:r>
          </w:p>
        </w:tc>
        <w:tc>
          <w:tcPr>
            <w:tcW w:w="660" w:type="pct"/>
            <w:shd w:val="clear" w:color="auto" w:fill="auto"/>
            <w:noWrap/>
            <w:vAlign w:val="center"/>
            <w:hideMark/>
          </w:tcPr>
          <w:p w14:paraId="520A5D70"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24</w:t>
            </w:r>
          </w:p>
        </w:tc>
        <w:tc>
          <w:tcPr>
            <w:tcW w:w="323" w:type="pct"/>
            <w:shd w:val="clear" w:color="auto" w:fill="auto"/>
            <w:noWrap/>
            <w:vAlign w:val="center"/>
            <w:hideMark/>
          </w:tcPr>
          <w:p w14:paraId="72AF77F6"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24</w:t>
            </w:r>
          </w:p>
        </w:tc>
        <w:tc>
          <w:tcPr>
            <w:tcW w:w="323" w:type="pct"/>
            <w:shd w:val="clear" w:color="auto" w:fill="auto"/>
            <w:noWrap/>
            <w:vAlign w:val="center"/>
            <w:hideMark/>
          </w:tcPr>
          <w:p w14:paraId="509A163F"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26</w:t>
            </w:r>
          </w:p>
        </w:tc>
        <w:tc>
          <w:tcPr>
            <w:tcW w:w="323" w:type="pct"/>
            <w:shd w:val="clear" w:color="auto" w:fill="auto"/>
            <w:noWrap/>
            <w:vAlign w:val="center"/>
            <w:hideMark/>
          </w:tcPr>
          <w:p w14:paraId="42544EB8"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27</w:t>
            </w:r>
          </w:p>
        </w:tc>
        <w:tc>
          <w:tcPr>
            <w:tcW w:w="323" w:type="pct"/>
            <w:shd w:val="clear" w:color="auto" w:fill="auto"/>
            <w:noWrap/>
            <w:vAlign w:val="center"/>
            <w:hideMark/>
          </w:tcPr>
          <w:p w14:paraId="375CCEE6"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29</w:t>
            </w:r>
          </w:p>
        </w:tc>
        <w:tc>
          <w:tcPr>
            <w:tcW w:w="323" w:type="pct"/>
            <w:shd w:val="clear" w:color="auto" w:fill="auto"/>
            <w:noWrap/>
            <w:vAlign w:val="center"/>
            <w:hideMark/>
          </w:tcPr>
          <w:p w14:paraId="7E7A102A"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29</w:t>
            </w:r>
          </w:p>
        </w:tc>
      </w:tr>
      <w:tr w:rsidR="00E35FC6" w:rsidRPr="000C3A10" w14:paraId="1752CD58" w14:textId="77777777" w:rsidTr="00AB3254">
        <w:trPr>
          <w:jc w:val="center"/>
        </w:trPr>
        <w:tc>
          <w:tcPr>
            <w:tcW w:w="1988" w:type="pct"/>
            <w:vMerge w:val="restart"/>
            <w:shd w:val="clear" w:color="auto" w:fill="auto"/>
            <w:vAlign w:val="center"/>
            <w:hideMark/>
          </w:tcPr>
          <w:p w14:paraId="26E9D212" w14:textId="77777777" w:rsidR="00E35FC6" w:rsidRPr="00AB3254" w:rsidRDefault="00E35FC6" w:rsidP="000C3A10">
            <w:pPr>
              <w:keepNext/>
              <w:spacing w:after="0" w:line="240" w:lineRule="auto"/>
              <w:rPr>
                <w:rFonts w:ascii="Calibri" w:hAnsi="Calibri" w:cs="Calibri"/>
                <w:bCs/>
                <w:sz w:val="20"/>
                <w:szCs w:val="20"/>
                <w:lang w:eastAsia="cs-CZ"/>
              </w:rPr>
            </w:pPr>
            <w:r w:rsidRPr="00AB3254">
              <w:rPr>
                <w:rFonts w:ascii="Calibri" w:hAnsi="Calibri" w:cs="Calibri"/>
                <w:bCs/>
                <w:sz w:val="20"/>
                <w:szCs w:val="20"/>
                <w:lang w:eastAsia="cs-CZ"/>
              </w:rPr>
              <w:t>Počet oslovených subjektů</w:t>
            </w:r>
          </w:p>
        </w:tc>
        <w:tc>
          <w:tcPr>
            <w:tcW w:w="736" w:type="pct"/>
            <w:shd w:val="clear" w:color="auto" w:fill="auto"/>
            <w:noWrap/>
            <w:vAlign w:val="center"/>
            <w:hideMark/>
          </w:tcPr>
          <w:p w14:paraId="732CC9B6" w14:textId="77777777" w:rsidR="00E35FC6" w:rsidRPr="00AB3254" w:rsidRDefault="00E35FC6" w:rsidP="000C3A10">
            <w:pPr>
              <w:keepNext/>
              <w:spacing w:after="0" w:line="240" w:lineRule="auto"/>
              <w:rPr>
                <w:rFonts w:ascii="Calibri" w:hAnsi="Calibri" w:cs="Calibri"/>
                <w:bCs/>
                <w:sz w:val="20"/>
                <w:szCs w:val="20"/>
                <w:lang w:eastAsia="cs-CZ"/>
              </w:rPr>
            </w:pPr>
            <w:r w:rsidRPr="00AB3254">
              <w:rPr>
                <w:rFonts w:ascii="Calibri" w:hAnsi="Calibri" w:cs="Calibri"/>
                <w:bCs/>
                <w:sz w:val="20"/>
                <w:szCs w:val="20"/>
                <w:lang w:eastAsia="cs-CZ"/>
              </w:rPr>
              <w:t>Kapitoly SR</w:t>
            </w:r>
          </w:p>
        </w:tc>
        <w:tc>
          <w:tcPr>
            <w:tcW w:w="660" w:type="pct"/>
            <w:shd w:val="clear" w:color="auto" w:fill="auto"/>
            <w:noWrap/>
            <w:vAlign w:val="center"/>
            <w:hideMark/>
          </w:tcPr>
          <w:p w14:paraId="18434EC5" w14:textId="481A45A5" w:rsidR="00E35FC6" w:rsidRPr="000C3A10" w:rsidRDefault="0023090E" w:rsidP="00AB3254">
            <w:pPr>
              <w:keepNext/>
              <w:spacing w:after="0" w:line="240" w:lineRule="auto"/>
              <w:ind w:right="57"/>
              <w:jc w:val="right"/>
              <w:rPr>
                <w:rFonts w:ascii="Calibri" w:hAnsi="Calibri" w:cs="Calibri"/>
                <w:sz w:val="20"/>
                <w:szCs w:val="20"/>
                <w:lang w:eastAsia="cs-CZ"/>
              </w:rPr>
            </w:pPr>
            <w:r>
              <w:rPr>
                <w:rFonts w:ascii="Calibri" w:hAnsi="Calibri" w:cs="Calibri"/>
                <w:sz w:val="20"/>
                <w:szCs w:val="20"/>
                <w:lang w:eastAsia="cs-CZ"/>
              </w:rPr>
              <w:t>N</w:t>
            </w:r>
            <w:r w:rsidR="00E35FC6" w:rsidRPr="000C3A10">
              <w:rPr>
                <w:rFonts w:ascii="Calibri" w:hAnsi="Calibri" w:cs="Calibri"/>
                <w:sz w:val="20"/>
                <w:szCs w:val="20"/>
                <w:lang w:eastAsia="cs-CZ"/>
              </w:rPr>
              <w:t>edoloženo</w:t>
            </w:r>
          </w:p>
        </w:tc>
        <w:tc>
          <w:tcPr>
            <w:tcW w:w="323" w:type="pct"/>
            <w:shd w:val="clear" w:color="auto" w:fill="auto"/>
            <w:noWrap/>
            <w:vAlign w:val="center"/>
            <w:hideMark/>
          </w:tcPr>
          <w:p w14:paraId="69319496"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23</w:t>
            </w:r>
          </w:p>
        </w:tc>
        <w:tc>
          <w:tcPr>
            <w:tcW w:w="323" w:type="pct"/>
            <w:shd w:val="clear" w:color="auto" w:fill="auto"/>
            <w:noWrap/>
            <w:vAlign w:val="center"/>
            <w:hideMark/>
          </w:tcPr>
          <w:p w14:paraId="2E1E2119"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23</w:t>
            </w:r>
          </w:p>
        </w:tc>
        <w:tc>
          <w:tcPr>
            <w:tcW w:w="323" w:type="pct"/>
            <w:shd w:val="clear" w:color="auto" w:fill="auto"/>
            <w:noWrap/>
            <w:vAlign w:val="center"/>
            <w:hideMark/>
          </w:tcPr>
          <w:p w14:paraId="54E8976B"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23</w:t>
            </w:r>
          </w:p>
        </w:tc>
        <w:tc>
          <w:tcPr>
            <w:tcW w:w="323" w:type="pct"/>
            <w:shd w:val="clear" w:color="auto" w:fill="auto"/>
            <w:noWrap/>
            <w:vAlign w:val="center"/>
            <w:hideMark/>
          </w:tcPr>
          <w:p w14:paraId="7A05CDD1"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25</w:t>
            </w:r>
          </w:p>
        </w:tc>
        <w:tc>
          <w:tcPr>
            <w:tcW w:w="323" w:type="pct"/>
            <w:shd w:val="clear" w:color="auto" w:fill="auto"/>
            <w:noWrap/>
            <w:vAlign w:val="center"/>
            <w:hideMark/>
          </w:tcPr>
          <w:p w14:paraId="4BB5C4FC"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28</w:t>
            </w:r>
          </w:p>
        </w:tc>
      </w:tr>
      <w:tr w:rsidR="00E35FC6" w:rsidRPr="000C3A10" w14:paraId="304E821B" w14:textId="77777777" w:rsidTr="00AB3254">
        <w:trPr>
          <w:jc w:val="center"/>
        </w:trPr>
        <w:tc>
          <w:tcPr>
            <w:tcW w:w="1988" w:type="pct"/>
            <w:vMerge/>
            <w:vAlign w:val="center"/>
            <w:hideMark/>
          </w:tcPr>
          <w:p w14:paraId="5E9C5B9E" w14:textId="77777777" w:rsidR="00E35FC6" w:rsidRPr="00AB3254" w:rsidRDefault="00E35FC6" w:rsidP="000C3A10">
            <w:pPr>
              <w:keepNext/>
              <w:spacing w:after="0" w:line="240" w:lineRule="auto"/>
              <w:rPr>
                <w:rFonts w:ascii="Calibri" w:hAnsi="Calibri" w:cs="Calibri"/>
                <w:bCs/>
                <w:sz w:val="20"/>
                <w:szCs w:val="20"/>
                <w:lang w:eastAsia="cs-CZ"/>
              </w:rPr>
            </w:pPr>
          </w:p>
        </w:tc>
        <w:tc>
          <w:tcPr>
            <w:tcW w:w="736" w:type="pct"/>
            <w:shd w:val="clear" w:color="auto" w:fill="auto"/>
            <w:noWrap/>
            <w:vAlign w:val="center"/>
            <w:hideMark/>
          </w:tcPr>
          <w:p w14:paraId="2F73B483" w14:textId="77777777" w:rsidR="00E35FC6" w:rsidRPr="00AB3254" w:rsidRDefault="00E35FC6" w:rsidP="000C3A10">
            <w:pPr>
              <w:keepNext/>
              <w:spacing w:after="0" w:line="240" w:lineRule="auto"/>
              <w:rPr>
                <w:rFonts w:ascii="Calibri" w:hAnsi="Calibri" w:cs="Calibri"/>
                <w:bCs/>
                <w:sz w:val="20"/>
                <w:szCs w:val="20"/>
                <w:lang w:eastAsia="cs-CZ"/>
              </w:rPr>
            </w:pPr>
            <w:r w:rsidRPr="00AB3254">
              <w:rPr>
                <w:rFonts w:ascii="Calibri" w:hAnsi="Calibri" w:cs="Calibri"/>
                <w:bCs/>
                <w:sz w:val="20"/>
                <w:szCs w:val="20"/>
                <w:lang w:eastAsia="cs-CZ"/>
              </w:rPr>
              <w:t>z toho ÚOSS</w:t>
            </w:r>
          </w:p>
        </w:tc>
        <w:tc>
          <w:tcPr>
            <w:tcW w:w="660" w:type="pct"/>
            <w:shd w:val="clear" w:color="auto" w:fill="auto"/>
            <w:noWrap/>
            <w:vAlign w:val="center"/>
            <w:hideMark/>
          </w:tcPr>
          <w:p w14:paraId="04E0BF97" w14:textId="627C8272" w:rsidR="00E35FC6" w:rsidRPr="000C3A10" w:rsidRDefault="0023090E" w:rsidP="00AB3254">
            <w:pPr>
              <w:keepNext/>
              <w:spacing w:after="0" w:line="240" w:lineRule="auto"/>
              <w:ind w:right="57"/>
              <w:jc w:val="right"/>
              <w:rPr>
                <w:rFonts w:ascii="Calibri" w:hAnsi="Calibri" w:cs="Calibri"/>
                <w:sz w:val="20"/>
                <w:szCs w:val="20"/>
                <w:lang w:eastAsia="cs-CZ"/>
              </w:rPr>
            </w:pPr>
            <w:r>
              <w:rPr>
                <w:rFonts w:ascii="Calibri" w:hAnsi="Calibri" w:cs="Calibri"/>
                <w:sz w:val="20"/>
                <w:szCs w:val="20"/>
                <w:lang w:eastAsia="cs-CZ"/>
              </w:rPr>
              <w:t>N</w:t>
            </w:r>
            <w:r w:rsidR="00E35FC6" w:rsidRPr="000C3A10">
              <w:rPr>
                <w:rFonts w:ascii="Calibri" w:hAnsi="Calibri" w:cs="Calibri"/>
                <w:sz w:val="20"/>
                <w:szCs w:val="20"/>
                <w:lang w:eastAsia="cs-CZ"/>
              </w:rPr>
              <w:t>edoloženo</w:t>
            </w:r>
          </w:p>
        </w:tc>
        <w:tc>
          <w:tcPr>
            <w:tcW w:w="323" w:type="pct"/>
            <w:shd w:val="clear" w:color="auto" w:fill="auto"/>
            <w:noWrap/>
            <w:vAlign w:val="center"/>
            <w:hideMark/>
          </w:tcPr>
          <w:p w14:paraId="3D22A799"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20</w:t>
            </w:r>
          </w:p>
        </w:tc>
        <w:tc>
          <w:tcPr>
            <w:tcW w:w="323" w:type="pct"/>
            <w:shd w:val="clear" w:color="auto" w:fill="auto"/>
            <w:noWrap/>
            <w:vAlign w:val="center"/>
            <w:hideMark/>
          </w:tcPr>
          <w:p w14:paraId="758464B5"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20</w:t>
            </w:r>
          </w:p>
        </w:tc>
        <w:tc>
          <w:tcPr>
            <w:tcW w:w="323" w:type="pct"/>
            <w:shd w:val="clear" w:color="auto" w:fill="auto"/>
            <w:noWrap/>
            <w:vAlign w:val="center"/>
            <w:hideMark/>
          </w:tcPr>
          <w:p w14:paraId="73186292"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20</w:t>
            </w:r>
          </w:p>
        </w:tc>
        <w:tc>
          <w:tcPr>
            <w:tcW w:w="323" w:type="pct"/>
            <w:shd w:val="clear" w:color="auto" w:fill="auto"/>
            <w:noWrap/>
            <w:vAlign w:val="center"/>
            <w:hideMark/>
          </w:tcPr>
          <w:p w14:paraId="098A6DC2"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21</w:t>
            </w:r>
          </w:p>
        </w:tc>
        <w:tc>
          <w:tcPr>
            <w:tcW w:w="323" w:type="pct"/>
            <w:shd w:val="clear" w:color="auto" w:fill="auto"/>
            <w:noWrap/>
            <w:vAlign w:val="center"/>
            <w:hideMark/>
          </w:tcPr>
          <w:p w14:paraId="1EA1628D"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22</w:t>
            </w:r>
          </w:p>
        </w:tc>
      </w:tr>
      <w:tr w:rsidR="00E35FC6" w:rsidRPr="000C3A10" w14:paraId="4075895C" w14:textId="77777777" w:rsidTr="00AB3254">
        <w:trPr>
          <w:jc w:val="center"/>
        </w:trPr>
        <w:tc>
          <w:tcPr>
            <w:tcW w:w="1988" w:type="pct"/>
            <w:vMerge/>
            <w:vAlign w:val="center"/>
            <w:hideMark/>
          </w:tcPr>
          <w:p w14:paraId="4EE21934" w14:textId="77777777" w:rsidR="00E35FC6" w:rsidRPr="00AB3254" w:rsidRDefault="00E35FC6" w:rsidP="000C3A10">
            <w:pPr>
              <w:keepNext/>
              <w:spacing w:after="0" w:line="240" w:lineRule="auto"/>
              <w:rPr>
                <w:rFonts w:ascii="Calibri" w:hAnsi="Calibri" w:cs="Calibri"/>
                <w:bCs/>
                <w:sz w:val="20"/>
                <w:szCs w:val="20"/>
                <w:lang w:eastAsia="cs-CZ"/>
              </w:rPr>
            </w:pPr>
          </w:p>
        </w:tc>
        <w:tc>
          <w:tcPr>
            <w:tcW w:w="736" w:type="pct"/>
            <w:shd w:val="clear" w:color="auto" w:fill="auto"/>
            <w:noWrap/>
            <w:vAlign w:val="center"/>
            <w:hideMark/>
          </w:tcPr>
          <w:p w14:paraId="52EDC019" w14:textId="77777777" w:rsidR="00E35FC6" w:rsidRPr="00AB3254" w:rsidRDefault="00E35FC6" w:rsidP="000C3A10">
            <w:pPr>
              <w:keepNext/>
              <w:spacing w:after="0" w:line="240" w:lineRule="auto"/>
              <w:rPr>
                <w:rFonts w:ascii="Calibri" w:hAnsi="Calibri" w:cs="Calibri"/>
                <w:bCs/>
                <w:sz w:val="20"/>
                <w:szCs w:val="20"/>
                <w:lang w:eastAsia="cs-CZ"/>
              </w:rPr>
            </w:pPr>
            <w:r w:rsidRPr="00AB3254">
              <w:rPr>
                <w:rFonts w:ascii="Calibri" w:hAnsi="Calibri" w:cs="Calibri"/>
                <w:bCs/>
                <w:sz w:val="20"/>
                <w:szCs w:val="20"/>
                <w:lang w:eastAsia="cs-CZ"/>
              </w:rPr>
              <w:t>Další</w:t>
            </w:r>
          </w:p>
        </w:tc>
        <w:tc>
          <w:tcPr>
            <w:tcW w:w="660" w:type="pct"/>
            <w:shd w:val="clear" w:color="auto" w:fill="auto"/>
            <w:noWrap/>
            <w:vAlign w:val="center"/>
            <w:hideMark/>
          </w:tcPr>
          <w:p w14:paraId="05EF619E" w14:textId="04F4738E" w:rsidR="00E35FC6" w:rsidRPr="000C3A10" w:rsidRDefault="0023090E" w:rsidP="00AB3254">
            <w:pPr>
              <w:keepNext/>
              <w:spacing w:after="0" w:line="240" w:lineRule="auto"/>
              <w:ind w:right="57"/>
              <w:jc w:val="right"/>
              <w:rPr>
                <w:rFonts w:ascii="Calibri" w:hAnsi="Calibri" w:cs="Calibri"/>
                <w:sz w:val="20"/>
                <w:szCs w:val="20"/>
                <w:lang w:eastAsia="cs-CZ"/>
              </w:rPr>
            </w:pPr>
            <w:r>
              <w:rPr>
                <w:rFonts w:ascii="Calibri" w:hAnsi="Calibri" w:cs="Calibri"/>
                <w:sz w:val="20"/>
                <w:szCs w:val="20"/>
                <w:lang w:eastAsia="cs-CZ"/>
              </w:rPr>
              <w:t>N</w:t>
            </w:r>
            <w:r w:rsidR="00E35FC6" w:rsidRPr="000C3A10">
              <w:rPr>
                <w:rFonts w:ascii="Calibri" w:hAnsi="Calibri" w:cs="Calibri"/>
                <w:sz w:val="20"/>
                <w:szCs w:val="20"/>
                <w:lang w:eastAsia="cs-CZ"/>
              </w:rPr>
              <w:t>edoloženo</w:t>
            </w:r>
          </w:p>
        </w:tc>
        <w:tc>
          <w:tcPr>
            <w:tcW w:w="323" w:type="pct"/>
            <w:shd w:val="clear" w:color="auto" w:fill="auto"/>
            <w:noWrap/>
            <w:vAlign w:val="center"/>
            <w:hideMark/>
          </w:tcPr>
          <w:p w14:paraId="4B809867"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ČNB</w:t>
            </w:r>
          </w:p>
        </w:tc>
        <w:tc>
          <w:tcPr>
            <w:tcW w:w="323" w:type="pct"/>
            <w:shd w:val="clear" w:color="auto" w:fill="auto"/>
            <w:noWrap/>
            <w:vAlign w:val="center"/>
            <w:hideMark/>
          </w:tcPr>
          <w:p w14:paraId="1F63957D"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ČNB</w:t>
            </w:r>
          </w:p>
        </w:tc>
        <w:tc>
          <w:tcPr>
            <w:tcW w:w="323" w:type="pct"/>
            <w:shd w:val="clear" w:color="auto" w:fill="auto"/>
            <w:noWrap/>
            <w:vAlign w:val="center"/>
            <w:hideMark/>
          </w:tcPr>
          <w:p w14:paraId="4A6AAFBB"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ČNB</w:t>
            </w:r>
          </w:p>
        </w:tc>
        <w:tc>
          <w:tcPr>
            <w:tcW w:w="323" w:type="pct"/>
            <w:shd w:val="clear" w:color="auto" w:fill="auto"/>
            <w:noWrap/>
            <w:vAlign w:val="center"/>
            <w:hideMark/>
          </w:tcPr>
          <w:p w14:paraId="79E4722C"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ČNB</w:t>
            </w:r>
          </w:p>
        </w:tc>
        <w:tc>
          <w:tcPr>
            <w:tcW w:w="323" w:type="pct"/>
            <w:shd w:val="clear" w:color="auto" w:fill="auto"/>
            <w:noWrap/>
            <w:vAlign w:val="center"/>
            <w:hideMark/>
          </w:tcPr>
          <w:p w14:paraId="4BFCE8A3"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ČNB</w:t>
            </w:r>
          </w:p>
        </w:tc>
      </w:tr>
      <w:tr w:rsidR="00E35FC6" w:rsidRPr="000C3A10" w14:paraId="2A755927" w14:textId="77777777" w:rsidTr="00AB3254">
        <w:trPr>
          <w:jc w:val="center"/>
        </w:trPr>
        <w:tc>
          <w:tcPr>
            <w:tcW w:w="1988" w:type="pct"/>
            <w:vMerge w:val="restart"/>
            <w:shd w:val="clear" w:color="auto" w:fill="auto"/>
            <w:vAlign w:val="center"/>
            <w:hideMark/>
          </w:tcPr>
          <w:p w14:paraId="78236795" w14:textId="77777777" w:rsidR="00E35FC6" w:rsidRPr="00AB3254" w:rsidRDefault="00E35FC6" w:rsidP="000C3A10">
            <w:pPr>
              <w:keepNext/>
              <w:spacing w:after="0" w:line="240" w:lineRule="auto"/>
              <w:rPr>
                <w:rFonts w:ascii="Calibri" w:hAnsi="Calibri" w:cs="Calibri"/>
                <w:bCs/>
                <w:sz w:val="20"/>
                <w:szCs w:val="20"/>
                <w:lang w:eastAsia="cs-CZ"/>
              </w:rPr>
            </w:pPr>
            <w:r w:rsidRPr="00AB3254">
              <w:rPr>
                <w:rFonts w:ascii="Calibri" w:hAnsi="Calibri" w:cs="Calibri"/>
                <w:bCs/>
                <w:sz w:val="20"/>
                <w:szCs w:val="20"/>
                <w:lang w:eastAsia="cs-CZ"/>
              </w:rPr>
              <w:t xml:space="preserve">Počet odpovědí, které má MZV k dispozici </w:t>
            </w:r>
          </w:p>
        </w:tc>
        <w:tc>
          <w:tcPr>
            <w:tcW w:w="736" w:type="pct"/>
            <w:shd w:val="clear" w:color="auto" w:fill="auto"/>
            <w:noWrap/>
            <w:vAlign w:val="center"/>
            <w:hideMark/>
          </w:tcPr>
          <w:p w14:paraId="0149C52E" w14:textId="77777777" w:rsidR="00E35FC6" w:rsidRPr="00AB3254" w:rsidRDefault="00E35FC6" w:rsidP="000C3A10">
            <w:pPr>
              <w:keepNext/>
              <w:spacing w:after="0" w:line="240" w:lineRule="auto"/>
              <w:rPr>
                <w:rFonts w:ascii="Calibri" w:hAnsi="Calibri" w:cs="Calibri"/>
                <w:bCs/>
                <w:sz w:val="20"/>
                <w:szCs w:val="20"/>
                <w:lang w:eastAsia="cs-CZ"/>
              </w:rPr>
            </w:pPr>
            <w:r w:rsidRPr="00AB3254">
              <w:rPr>
                <w:rFonts w:ascii="Calibri" w:hAnsi="Calibri" w:cs="Calibri"/>
                <w:bCs/>
                <w:sz w:val="20"/>
                <w:szCs w:val="20"/>
                <w:lang w:eastAsia="cs-CZ"/>
              </w:rPr>
              <w:t>Kapitoly SR</w:t>
            </w:r>
          </w:p>
        </w:tc>
        <w:tc>
          <w:tcPr>
            <w:tcW w:w="660" w:type="pct"/>
            <w:shd w:val="clear" w:color="auto" w:fill="auto"/>
            <w:noWrap/>
            <w:vAlign w:val="center"/>
            <w:hideMark/>
          </w:tcPr>
          <w:p w14:paraId="061E278B" w14:textId="291F1197" w:rsidR="00E35FC6" w:rsidRPr="000C3A10" w:rsidRDefault="0023090E" w:rsidP="00AB3254">
            <w:pPr>
              <w:keepNext/>
              <w:spacing w:after="0" w:line="240" w:lineRule="auto"/>
              <w:ind w:right="57"/>
              <w:jc w:val="right"/>
              <w:rPr>
                <w:rFonts w:ascii="Calibri" w:hAnsi="Calibri" w:cs="Calibri"/>
                <w:sz w:val="20"/>
                <w:szCs w:val="20"/>
                <w:lang w:eastAsia="cs-CZ"/>
              </w:rPr>
            </w:pPr>
            <w:r>
              <w:rPr>
                <w:rFonts w:ascii="Calibri" w:hAnsi="Calibri" w:cs="Calibri"/>
                <w:sz w:val="20"/>
                <w:szCs w:val="20"/>
                <w:lang w:eastAsia="cs-CZ"/>
              </w:rPr>
              <w:t>N</w:t>
            </w:r>
            <w:r w:rsidR="00E35FC6" w:rsidRPr="000C3A10">
              <w:rPr>
                <w:rFonts w:ascii="Calibri" w:hAnsi="Calibri" w:cs="Calibri"/>
                <w:sz w:val="20"/>
                <w:szCs w:val="20"/>
                <w:lang w:eastAsia="cs-CZ"/>
              </w:rPr>
              <w:t>edoloženo</w:t>
            </w:r>
          </w:p>
        </w:tc>
        <w:tc>
          <w:tcPr>
            <w:tcW w:w="323" w:type="pct"/>
            <w:shd w:val="clear" w:color="auto" w:fill="auto"/>
            <w:noWrap/>
            <w:vAlign w:val="center"/>
            <w:hideMark/>
          </w:tcPr>
          <w:p w14:paraId="4DDFAAF5"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9</w:t>
            </w:r>
          </w:p>
        </w:tc>
        <w:tc>
          <w:tcPr>
            <w:tcW w:w="323" w:type="pct"/>
            <w:shd w:val="clear" w:color="auto" w:fill="auto"/>
            <w:noWrap/>
            <w:vAlign w:val="center"/>
            <w:hideMark/>
          </w:tcPr>
          <w:p w14:paraId="18AE4577"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8</w:t>
            </w:r>
          </w:p>
        </w:tc>
        <w:tc>
          <w:tcPr>
            <w:tcW w:w="323" w:type="pct"/>
            <w:shd w:val="clear" w:color="auto" w:fill="auto"/>
            <w:noWrap/>
            <w:vAlign w:val="center"/>
            <w:hideMark/>
          </w:tcPr>
          <w:p w14:paraId="70ABB341"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18</w:t>
            </w:r>
          </w:p>
        </w:tc>
        <w:tc>
          <w:tcPr>
            <w:tcW w:w="323" w:type="pct"/>
            <w:shd w:val="clear" w:color="auto" w:fill="auto"/>
            <w:noWrap/>
            <w:vAlign w:val="center"/>
            <w:hideMark/>
          </w:tcPr>
          <w:p w14:paraId="0608BA54"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2</w:t>
            </w:r>
          </w:p>
        </w:tc>
        <w:tc>
          <w:tcPr>
            <w:tcW w:w="323" w:type="pct"/>
            <w:shd w:val="clear" w:color="auto" w:fill="auto"/>
            <w:noWrap/>
            <w:vAlign w:val="center"/>
            <w:hideMark/>
          </w:tcPr>
          <w:p w14:paraId="17E0E9C8" w14:textId="77777777" w:rsidR="00E35FC6" w:rsidRPr="000C3A10" w:rsidRDefault="00E35FC6" w:rsidP="00AB3254">
            <w:pPr>
              <w:keepNext/>
              <w:spacing w:after="0" w:line="240" w:lineRule="auto"/>
              <w:ind w:right="57"/>
              <w:jc w:val="right"/>
              <w:rPr>
                <w:rFonts w:ascii="Calibri" w:hAnsi="Calibri" w:cs="Calibri"/>
                <w:strike/>
                <w:sz w:val="20"/>
                <w:szCs w:val="20"/>
                <w:lang w:eastAsia="cs-CZ"/>
              </w:rPr>
            </w:pPr>
            <w:r w:rsidRPr="000C3A10">
              <w:rPr>
                <w:rFonts w:ascii="Calibri" w:hAnsi="Calibri" w:cs="Calibri"/>
                <w:sz w:val="20"/>
                <w:szCs w:val="20"/>
                <w:lang w:eastAsia="cs-CZ"/>
              </w:rPr>
              <w:t>26</w:t>
            </w:r>
          </w:p>
        </w:tc>
      </w:tr>
      <w:tr w:rsidR="00E35FC6" w:rsidRPr="000C3A10" w14:paraId="7667994B" w14:textId="77777777" w:rsidTr="00AB3254">
        <w:trPr>
          <w:jc w:val="center"/>
        </w:trPr>
        <w:tc>
          <w:tcPr>
            <w:tcW w:w="1988" w:type="pct"/>
            <w:vMerge/>
            <w:vAlign w:val="center"/>
            <w:hideMark/>
          </w:tcPr>
          <w:p w14:paraId="72E9E92F" w14:textId="77777777" w:rsidR="00E35FC6" w:rsidRPr="00AB3254" w:rsidRDefault="00E35FC6" w:rsidP="000C3A10">
            <w:pPr>
              <w:keepNext/>
              <w:spacing w:after="0" w:line="240" w:lineRule="auto"/>
              <w:rPr>
                <w:rFonts w:ascii="Calibri" w:hAnsi="Calibri" w:cs="Calibri"/>
                <w:bCs/>
                <w:sz w:val="20"/>
                <w:szCs w:val="20"/>
                <w:lang w:eastAsia="cs-CZ"/>
              </w:rPr>
            </w:pPr>
          </w:p>
        </w:tc>
        <w:tc>
          <w:tcPr>
            <w:tcW w:w="736" w:type="pct"/>
            <w:shd w:val="clear" w:color="auto" w:fill="auto"/>
            <w:noWrap/>
            <w:vAlign w:val="center"/>
            <w:hideMark/>
          </w:tcPr>
          <w:p w14:paraId="12A39CE0" w14:textId="77777777" w:rsidR="00E35FC6" w:rsidRPr="00AB3254" w:rsidRDefault="00E35FC6" w:rsidP="000C3A10">
            <w:pPr>
              <w:keepNext/>
              <w:spacing w:after="0" w:line="240" w:lineRule="auto"/>
              <w:rPr>
                <w:rFonts w:ascii="Calibri" w:hAnsi="Calibri" w:cs="Calibri"/>
                <w:bCs/>
                <w:sz w:val="20"/>
                <w:szCs w:val="20"/>
                <w:lang w:eastAsia="cs-CZ"/>
              </w:rPr>
            </w:pPr>
            <w:r w:rsidRPr="00AB3254">
              <w:rPr>
                <w:rFonts w:ascii="Calibri" w:hAnsi="Calibri" w:cs="Calibri"/>
                <w:bCs/>
                <w:sz w:val="20"/>
                <w:szCs w:val="20"/>
                <w:lang w:eastAsia="cs-CZ"/>
              </w:rPr>
              <w:t>z toho ÚOSS</w:t>
            </w:r>
          </w:p>
        </w:tc>
        <w:tc>
          <w:tcPr>
            <w:tcW w:w="660" w:type="pct"/>
            <w:shd w:val="clear" w:color="auto" w:fill="auto"/>
            <w:noWrap/>
            <w:vAlign w:val="center"/>
            <w:hideMark/>
          </w:tcPr>
          <w:p w14:paraId="29C5E6F6" w14:textId="685F138E" w:rsidR="00E35FC6" w:rsidRPr="000C3A10" w:rsidRDefault="0023090E" w:rsidP="00AB3254">
            <w:pPr>
              <w:keepNext/>
              <w:spacing w:after="0" w:line="240" w:lineRule="auto"/>
              <w:ind w:right="57"/>
              <w:jc w:val="right"/>
              <w:rPr>
                <w:rFonts w:ascii="Calibri" w:hAnsi="Calibri" w:cs="Calibri"/>
                <w:sz w:val="20"/>
                <w:szCs w:val="20"/>
                <w:lang w:eastAsia="cs-CZ"/>
              </w:rPr>
            </w:pPr>
            <w:r>
              <w:rPr>
                <w:rFonts w:ascii="Calibri" w:hAnsi="Calibri" w:cs="Calibri"/>
                <w:sz w:val="20"/>
                <w:szCs w:val="20"/>
                <w:lang w:eastAsia="cs-CZ"/>
              </w:rPr>
              <w:t>N</w:t>
            </w:r>
            <w:r w:rsidR="00E35FC6" w:rsidRPr="000C3A10">
              <w:rPr>
                <w:rFonts w:ascii="Calibri" w:hAnsi="Calibri" w:cs="Calibri"/>
                <w:sz w:val="20"/>
                <w:szCs w:val="20"/>
                <w:lang w:eastAsia="cs-CZ"/>
              </w:rPr>
              <w:t>edoloženo</w:t>
            </w:r>
          </w:p>
        </w:tc>
        <w:tc>
          <w:tcPr>
            <w:tcW w:w="323" w:type="pct"/>
            <w:shd w:val="clear" w:color="auto" w:fill="auto"/>
            <w:noWrap/>
            <w:vAlign w:val="center"/>
            <w:hideMark/>
          </w:tcPr>
          <w:p w14:paraId="283A3DF1"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7</w:t>
            </w:r>
          </w:p>
        </w:tc>
        <w:tc>
          <w:tcPr>
            <w:tcW w:w="323" w:type="pct"/>
            <w:shd w:val="clear" w:color="auto" w:fill="auto"/>
            <w:noWrap/>
            <w:vAlign w:val="center"/>
            <w:hideMark/>
          </w:tcPr>
          <w:p w14:paraId="5D670078"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5</w:t>
            </w:r>
          </w:p>
        </w:tc>
        <w:tc>
          <w:tcPr>
            <w:tcW w:w="323" w:type="pct"/>
            <w:shd w:val="clear" w:color="auto" w:fill="auto"/>
            <w:noWrap/>
            <w:vAlign w:val="center"/>
            <w:hideMark/>
          </w:tcPr>
          <w:p w14:paraId="5389E518"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16</w:t>
            </w:r>
          </w:p>
        </w:tc>
        <w:tc>
          <w:tcPr>
            <w:tcW w:w="323" w:type="pct"/>
            <w:shd w:val="clear" w:color="auto" w:fill="auto"/>
            <w:noWrap/>
            <w:vAlign w:val="center"/>
            <w:hideMark/>
          </w:tcPr>
          <w:p w14:paraId="6C2699F7"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1</w:t>
            </w:r>
          </w:p>
        </w:tc>
        <w:tc>
          <w:tcPr>
            <w:tcW w:w="323" w:type="pct"/>
            <w:shd w:val="clear" w:color="auto" w:fill="auto"/>
            <w:noWrap/>
            <w:vAlign w:val="center"/>
            <w:hideMark/>
          </w:tcPr>
          <w:p w14:paraId="1FED872D" w14:textId="77777777" w:rsidR="00E35FC6" w:rsidRPr="000C3A10" w:rsidRDefault="00E35FC6" w:rsidP="00AB3254">
            <w:pPr>
              <w:keepNext/>
              <w:spacing w:after="0" w:line="240" w:lineRule="auto"/>
              <w:ind w:right="57"/>
              <w:jc w:val="right"/>
              <w:rPr>
                <w:rFonts w:ascii="Calibri" w:hAnsi="Calibri" w:cs="Calibri"/>
                <w:strike/>
                <w:sz w:val="20"/>
                <w:szCs w:val="20"/>
                <w:lang w:eastAsia="cs-CZ"/>
              </w:rPr>
            </w:pPr>
            <w:r w:rsidRPr="000C3A10">
              <w:rPr>
                <w:rFonts w:ascii="Calibri" w:hAnsi="Calibri" w:cs="Calibri"/>
                <w:sz w:val="20"/>
                <w:szCs w:val="20"/>
                <w:lang w:eastAsia="cs-CZ"/>
              </w:rPr>
              <w:t>23</w:t>
            </w:r>
          </w:p>
        </w:tc>
      </w:tr>
      <w:tr w:rsidR="00E35FC6" w:rsidRPr="000C3A10" w14:paraId="35D87E90" w14:textId="77777777" w:rsidTr="00AB3254">
        <w:trPr>
          <w:jc w:val="center"/>
        </w:trPr>
        <w:tc>
          <w:tcPr>
            <w:tcW w:w="1988" w:type="pct"/>
            <w:vMerge/>
            <w:vAlign w:val="center"/>
            <w:hideMark/>
          </w:tcPr>
          <w:p w14:paraId="7F70CB2D" w14:textId="77777777" w:rsidR="00E35FC6" w:rsidRPr="00AB3254" w:rsidRDefault="00E35FC6" w:rsidP="000C3A10">
            <w:pPr>
              <w:keepNext/>
              <w:spacing w:after="0" w:line="240" w:lineRule="auto"/>
              <w:rPr>
                <w:rFonts w:ascii="Calibri" w:hAnsi="Calibri" w:cs="Calibri"/>
                <w:bCs/>
                <w:sz w:val="20"/>
                <w:szCs w:val="20"/>
                <w:lang w:eastAsia="cs-CZ"/>
              </w:rPr>
            </w:pPr>
          </w:p>
        </w:tc>
        <w:tc>
          <w:tcPr>
            <w:tcW w:w="736" w:type="pct"/>
            <w:shd w:val="clear" w:color="auto" w:fill="auto"/>
            <w:noWrap/>
            <w:vAlign w:val="center"/>
            <w:hideMark/>
          </w:tcPr>
          <w:p w14:paraId="252F8425" w14:textId="77777777" w:rsidR="00E35FC6" w:rsidRPr="00AB3254" w:rsidRDefault="00E35FC6" w:rsidP="000C3A10">
            <w:pPr>
              <w:keepNext/>
              <w:spacing w:after="0" w:line="240" w:lineRule="auto"/>
              <w:rPr>
                <w:rFonts w:ascii="Calibri" w:hAnsi="Calibri" w:cs="Calibri"/>
                <w:bCs/>
                <w:sz w:val="20"/>
                <w:szCs w:val="20"/>
                <w:lang w:eastAsia="cs-CZ"/>
              </w:rPr>
            </w:pPr>
            <w:r w:rsidRPr="00AB3254">
              <w:rPr>
                <w:rFonts w:ascii="Calibri" w:hAnsi="Calibri" w:cs="Calibri"/>
                <w:bCs/>
                <w:sz w:val="20"/>
                <w:szCs w:val="20"/>
                <w:lang w:eastAsia="cs-CZ"/>
              </w:rPr>
              <w:t>Další</w:t>
            </w:r>
          </w:p>
        </w:tc>
        <w:tc>
          <w:tcPr>
            <w:tcW w:w="660" w:type="pct"/>
            <w:shd w:val="clear" w:color="auto" w:fill="auto"/>
            <w:noWrap/>
            <w:vAlign w:val="center"/>
            <w:hideMark/>
          </w:tcPr>
          <w:p w14:paraId="2AED5097" w14:textId="19FC7419" w:rsidR="00E35FC6" w:rsidRPr="000C3A10" w:rsidRDefault="0023090E" w:rsidP="00AB3254">
            <w:pPr>
              <w:keepNext/>
              <w:spacing w:after="0" w:line="240" w:lineRule="auto"/>
              <w:ind w:right="57"/>
              <w:jc w:val="right"/>
              <w:rPr>
                <w:rFonts w:ascii="Calibri" w:hAnsi="Calibri" w:cs="Calibri"/>
                <w:sz w:val="20"/>
                <w:szCs w:val="20"/>
                <w:lang w:eastAsia="cs-CZ"/>
              </w:rPr>
            </w:pPr>
            <w:r>
              <w:rPr>
                <w:rFonts w:ascii="Calibri" w:hAnsi="Calibri" w:cs="Calibri"/>
                <w:sz w:val="20"/>
                <w:szCs w:val="20"/>
                <w:lang w:eastAsia="cs-CZ"/>
              </w:rPr>
              <w:t>N</w:t>
            </w:r>
            <w:r w:rsidR="00E35FC6" w:rsidRPr="000C3A10">
              <w:rPr>
                <w:rFonts w:ascii="Calibri" w:hAnsi="Calibri" w:cs="Calibri"/>
                <w:sz w:val="20"/>
                <w:szCs w:val="20"/>
                <w:lang w:eastAsia="cs-CZ"/>
              </w:rPr>
              <w:t>edoloženo</w:t>
            </w:r>
          </w:p>
        </w:tc>
        <w:tc>
          <w:tcPr>
            <w:tcW w:w="323" w:type="pct"/>
            <w:shd w:val="clear" w:color="auto" w:fill="auto"/>
            <w:noWrap/>
            <w:vAlign w:val="center"/>
            <w:hideMark/>
          </w:tcPr>
          <w:p w14:paraId="6D397FD4"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0</w:t>
            </w:r>
          </w:p>
        </w:tc>
        <w:tc>
          <w:tcPr>
            <w:tcW w:w="323" w:type="pct"/>
            <w:shd w:val="clear" w:color="auto" w:fill="auto"/>
            <w:noWrap/>
            <w:vAlign w:val="center"/>
            <w:hideMark/>
          </w:tcPr>
          <w:p w14:paraId="51E9D316"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0</w:t>
            </w:r>
          </w:p>
        </w:tc>
        <w:tc>
          <w:tcPr>
            <w:tcW w:w="323" w:type="pct"/>
            <w:shd w:val="clear" w:color="auto" w:fill="auto"/>
            <w:noWrap/>
            <w:vAlign w:val="center"/>
            <w:hideMark/>
          </w:tcPr>
          <w:p w14:paraId="1253E290"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0</w:t>
            </w:r>
          </w:p>
        </w:tc>
        <w:tc>
          <w:tcPr>
            <w:tcW w:w="323" w:type="pct"/>
            <w:shd w:val="clear" w:color="auto" w:fill="auto"/>
            <w:noWrap/>
            <w:vAlign w:val="center"/>
            <w:hideMark/>
          </w:tcPr>
          <w:p w14:paraId="3727738C"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0</w:t>
            </w:r>
          </w:p>
        </w:tc>
        <w:tc>
          <w:tcPr>
            <w:tcW w:w="323" w:type="pct"/>
            <w:shd w:val="clear" w:color="auto" w:fill="auto"/>
            <w:noWrap/>
            <w:vAlign w:val="center"/>
            <w:hideMark/>
          </w:tcPr>
          <w:p w14:paraId="7F889567" w14:textId="77777777" w:rsidR="00E35FC6" w:rsidRPr="000C3A10" w:rsidRDefault="00E35FC6" w:rsidP="00AB3254">
            <w:pPr>
              <w:keepNext/>
              <w:spacing w:after="0" w:line="240" w:lineRule="auto"/>
              <w:ind w:right="57"/>
              <w:jc w:val="right"/>
              <w:rPr>
                <w:rFonts w:ascii="Calibri" w:hAnsi="Calibri" w:cs="Calibri"/>
                <w:sz w:val="20"/>
                <w:szCs w:val="20"/>
                <w:lang w:eastAsia="cs-CZ"/>
              </w:rPr>
            </w:pPr>
            <w:r w:rsidRPr="000C3A10">
              <w:rPr>
                <w:rFonts w:ascii="Calibri" w:hAnsi="Calibri" w:cs="Calibri"/>
                <w:sz w:val="20"/>
                <w:szCs w:val="20"/>
                <w:lang w:eastAsia="cs-CZ"/>
              </w:rPr>
              <w:t>0</w:t>
            </w:r>
          </w:p>
        </w:tc>
      </w:tr>
    </w:tbl>
    <w:p w14:paraId="4D7C34C0" w14:textId="393E7A7A" w:rsidR="00E35FC6" w:rsidRPr="000C3A10" w:rsidRDefault="00E35FC6" w:rsidP="000C3A10">
      <w:pPr>
        <w:keepNext/>
        <w:spacing w:before="40" w:after="0" w:line="240" w:lineRule="auto"/>
        <w:rPr>
          <w:rFonts w:ascii="Calibri" w:hAnsi="Calibri" w:cs="Calibri"/>
          <w:sz w:val="20"/>
          <w:szCs w:val="20"/>
        </w:rPr>
      </w:pPr>
      <w:r w:rsidRPr="000C3A10">
        <w:rPr>
          <w:rFonts w:ascii="Calibri" w:hAnsi="Calibri" w:cs="Calibri"/>
          <w:b/>
          <w:sz w:val="20"/>
          <w:szCs w:val="20"/>
        </w:rPr>
        <w:t>Zdroj:</w:t>
      </w:r>
      <w:r w:rsidRPr="000C3A10">
        <w:rPr>
          <w:rFonts w:ascii="Calibri" w:hAnsi="Calibri" w:cs="Calibri"/>
          <w:sz w:val="20"/>
          <w:szCs w:val="20"/>
        </w:rPr>
        <w:t xml:space="preserve"> dokumentace MZV</w:t>
      </w:r>
      <w:r w:rsidR="00C106C6">
        <w:rPr>
          <w:rFonts w:ascii="Calibri" w:hAnsi="Calibri" w:cs="Calibri"/>
          <w:sz w:val="20"/>
          <w:szCs w:val="20"/>
        </w:rPr>
        <w:t>;</w:t>
      </w:r>
      <w:r w:rsidRPr="000C3A10">
        <w:rPr>
          <w:rFonts w:ascii="Calibri" w:hAnsi="Calibri" w:cs="Calibri"/>
          <w:sz w:val="20"/>
          <w:szCs w:val="20"/>
        </w:rPr>
        <w:t xml:space="preserve"> </w:t>
      </w:r>
      <w:r w:rsidR="0023090E">
        <w:rPr>
          <w:rFonts w:ascii="Calibri" w:hAnsi="Calibri" w:cs="Calibri"/>
          <w:sz w:val="20"/>
          <w:szCs w:val="20"/>
        </w:rPr>
        <w:t>vypracoval NKÚ</w:t>
      </w:r>
      <w:r w:rsidRPr="000C3A10">
        <w:rPr>
          <w:rFonts w:ascii="Calibri" w:hAnsi="Calibri" w:cs="Calibri"/>
          <w:sz w:val="20"/>
          <w:szCs w:val="20"/>
        </w:rPr>
        <w:t>.</w:t>
      </w:r>
    </w:p>
    <w:p w14:paraId="31008CCE" w14:textId="02B05E6C" w:rsidR="00E35FC6" w:rsidRPr="000C3A10" w:rsidRDefault="00E35FC6" w:rsidP="000C3A10">
      <w:pPr>
        <w:keepNext/>
        <w:spacing w:after="0" w:line="240" w:lineRule="auto"/>
        <w:rPr>
          <w:rFonts w:ascii="Calibri" w:hAnsi="Calibri" w:cs="Calibri"/>
          <w:sz w:val="20"/>
          <w:szCs w:val="20"/>
        </w:rPr>
      </w:pPr>
      <w:r w:rsidRPr="000C3A10">
        <w:rPr>
          <w:rFonts w:ascii="Calibri" w:hAnsi="Calibri" w:cs="Calibri"/>
          <w:b/>
          <w:sz w:val="20"/>
          <w:szCs w:val="20"/>
        </w:rPr>
        <w:t>Pozn.:</w:t>
      </w:r>
      <w:r w:rsidRPr="000C3A10">
        <w:rPr>
          <w:rFonts w:ascii="Calibri" w:hAnsi="Calibri" w:cs="Calibri"/>
          <w:sz w:val="20"/>
          <w:szCs w:val="20"/>
        </w:rPr>
        <w:t xml:space="preserve"> MZV nezapočítáno</w:t>
      </w:r>
      <w:r w:rsidR="0023090E">
        <w:rPr>
          <w:rFonts w:ascii="Calibri" w:hAnsi="Calibri" w:cs="Calibri"/>
          <w:sz w:val="20"/>
          <w:szCs w:val="20"/>
        </w:rPr>
        <w:t>,</w:t>
      </w:r>
      <w:r w:rsidRPr="000C3A10">
        <w:rPr>
          <w:rFonts w:ascii="Calibri" w:hAnsi="Calibri" w:cs="Calibri"/>
          <w:sz w:val="20"/>
          <w:szCs w:val="20"/>
        </w:rPr>
        <w:t xml:space="preserve"> a</w:t>
      </w:r>
      <w:r w:rsidR="0023090E">
        <w:rPr>
          <w:rFonts w:ascii="Calibri" w:hAnsi="Calibri" w:cs="Calibri"/>
          <w:sz w:val="20"/>
          <w:szCs w:val="20"/>
        </w:rPr>
        <w:t>ni</w:t>
      </w:r>
      <w:r w:rsidRPr="000C3A10">
        <w:rPr>
          <w:rFonts w:ascii="Calibri" w:hAnsi="Calibri" w:cs="Calibri"/>
          <w:sz w:val="20"/>
          <w:szCs w:val="20"/>
        </w:rPr>
        <w:t xml:space="preserve"> kapitoly </w:t>
      </w:r>
      <w:r w:rsidRPr="005048A8">
        <w:rPr>
          <w:rFonts w:ascii="Calibri" w:hAnsi="Calibri" w:cs="Calibri"/>
          <w:i/>
          <w:sz w:val="20"/>
          <w:szCs w:val="20"/>
        </w:rPr>
        <w:t>Státní dluh</w:t>
      </w:r>
      <w:r w:rsidRPr="000C3A10">
        <w:rPr>
          <w:rFonts w:ascii="Calibri" w:hAnsi="Calibri" w:cs="Calibri"/>
          <w:sz w:val="20"/>
          <w:szCs w:val="20"/>
        </w:rPr>
        <w:t xml:space="preserve">, </w:t>
      </w:r>
      <w:r w:rsidRPr="005048A8">
        <w:rPr>
          <w:rFonts w:ascii="Calibri" w:hAnsi="Calibri" w:cs="Calibri"/>
          <w:i/>
          <w:sz w:val="20"/>
          <w:szCs w:val="20"/>
        </w:rPr>
        <w:t>Všeobecná pokladní správa</w:t>
      </w:r>
      <w:r w:rsidRPr="000C3A10">
        <w:rPr>
          <w:rFonts w:ascii="Calibri" w:hAnsi="Calibri" w:cs="Calibri"/>
          <w:sz w:val="20"/>
          <w:szCs w:val="20"/>
        </w:rPr>
        <w:t xml:space="preserve"> a </w:t>
      </w:r>
      <w:r w:rsidRPr="005048A8">
        <w:rPr>
          <w:rFonts w:ascii="Calibri" w:hAnsi="Calibri" w:cs="Calibri"/>
          <w:i/>
          <w:sz w:val="20"/>
          <w:szCs w:val="20"/>
        </w:rPr>
        <w:t>Operace státních finančních aktiv</w:t>
      </w:r>
      <w:r w:rsidRPr="000C3A10">
        <w:rPr>
          <w:rFonts w:ascii="Calibri" w:hAnsi="Calibri" w:cs="Calibri"/>
          <w:sz w:val="20"/>
          <w:szCs w:val="20"/>
        </w:rPr>
        <w:t xml:space="preserve">. </w:t>
      </w:r>
    </w:p>
    <w:p w14:paraId="7D26999E" w14:textId="77777777" w:rsidR="00E35FC6" w:rsidRPr="000C3A10" w:rsidRDefault="00E35FC6" w:rsidP="000C3A10">
      <w:pPr>
        <w:keepNext/>
        <w:spacing w:after="0" w:line="240" w:lineRule="auto"/>
        <w:rPr>
          <w:rFonts w:ascii="Calibri" w:hAnsi="Calibri" w:cs="Calibri"/>
          <w:sz w:val="20"/>
          <w:szCs w:val="20"/>
        </w:rPr>
      </w:pPr>
      <w:r w:rsidRPr="000C3A10">
        <w:rPr>
          <w:rFonts w:ascii="Calibri" w:hAnsi="Calibri" w:cs="Calibri"/>
          <w:sz w:val="20"/>
          <w:szCs w:val="20"/>
        </w:rPr>
        <w:t>*Počet dle znění kompetenčního zákona k 31. 12. předchozího roku.</w:t>
      </w:r>
    </w:p>
    <w:p w14:paraId="4CE039FC" w14:textId="77777777" w:rsidR="00E35FC6" w:rsidRPr="000C3A10" w:rsidRDefault="00E35FC6" w:rsidP="000C3A10">
      <w:pPr>
        <w:spacing w:after="0" w:line="240" w:lineRule="auto"/>
        <w:rPr>
          <w:rFonts w:ascii="Calibri" w:hAnsi="Calibri" w:cs="Calibri"/>
          <w:sz w:val="20"/>
          <w:szCs w:val="20"/>
        </w:rPr>
      </w:pPr>
      <w:r w:rsidRPr="000C3A10">
        <w:rPr>
          <w:rFonts w:ascii="Calibri" w:hAnsi="Calibri" w:cs="Calibri"/>
          <w:sz w:val="20"/>
          <w:szCs w:val="20"/>
        </w:rPr>
        <w:t>** Počet dle znění vyhlášky č. 323/2002 Sb.,</w:t>
      </w:r>
      <w:r w:rsidRPr="0023090E">
        <w:rPr>
          <w:rFonts w:ascii="Calibri" w:hAnsi="Calibri" w:cs="Calibri"/>
          <w:sz w:val="20"/>
          <w:szCs w:val="20"/>
        </w:rPr>
        <w:t xml:space="preserve"> </w:t>
      </w:r>
      <w:r w:rsidRPr="005048A8">
        <w:rPr>
          <w:rFonts w:ascii="Calibri" w:hAnsi="Calibri" w:cs="Calibri"/>
          <w:sz w:val="20"/>
          <w:szCs w:val="20"/>
        </w:rPr>
        <w:t>o rozpočtové skladbě</w:t>
      </w:r>
      <w:r w:rsidRPr="0023090E">
        <w:rPr>
          <w:rFonts w:ascii="Calibri" w:hAnsi="Calibri" w:cs="Calibri"/>
          <w:sz w:val="20"/>
          <w:szCs w:val="20"/>
        </w:rPr>
        <w:t xml:space="preserve">, </w:t>
      </w:r>
      <w:r w:rsidRPr="000C3A10">
        <w:rPr>
          <w:rFonts w:ascii="Calibri" w:hAnsi="Calibri" w:cs="Calibri"/>
          <w:sz w:val="20"/>
          <w:szCs w:val="20"/>
        </w:rPr>
        <w:t>k 31. 12. předchozího roku (bez ČNB).</w:t>
      </w:r>
    </w:p>
    <w:p w14:paraId="511D4E7D" w14:textId="77777777" w:rsidR="000C3A10" w:rsidRDefault="000C3A10" w:rsidP="000C3A10">
      <w:pPr>
        <w:spacing w:after="0" w:line="240" w:lineRule="auto"/>
        <w:jc w:val="both"/>
        <w:rPr>
          <w:rFonts w:ascii="Calibri" w:hAnsi="Calibri" w:cs="Calibri"/>
          <w:sz w:val="24"/>
          <w:szCs w:val="24"/>
        </w:rPr>
      </w:pPr>
    </w:p>
    <w:p w14:paraId="6C58F85C" w14:textId="3E62963C" w:rsidR="00E35FC6" w:rsidRDefault="00E35FC6" w:rsidP="000C3A10">
      <w:pPr>
        <w:spacing w:after="0" w:line="240" w:lineRule="auto"/>
        <w:jc w:val="both"/>
        <w:rPr>
          <w:rFonts w:ascii="Calibri" w:hAnsi="Calibri" w:cs="Calibri"/>
          <w:sz w:val="24"/>
          <w:szCs w:val="24"/>
        </w:rPr>
      </w:pPr>
      <w:r w:rsidRPr="000C3A10">
        <w:rPr>
          <w:rFonts w:ascii="Calibri" w:hAnsi="Calibri" w:cs="Calibri"/>
          <w:sz w:val="24"/>
          <w:szCs w:val="24"/>
        </w:rPr>
        <w:t xml:space="preserve">MZV nedisponovalo kompletními podklady, na </w:t>
      </w:r>
      <w:r w:rsidR="0023090E">
        <w:rPr>
          <w:rFonts w:ascii="Calibri" w:hAnsi="Calibri" w:cs="Calibri"/>
          <w:sz w:val="24"/>
          <w:szCs w:val="24"/>
        </w:rPr>
        <w:t xml:space="preserve">jejichž </w:t>
      </w:r>
      <w:r w:rsidRPr="000C3A10">
        <w:rPr>
          <w:rFonts w:ascii="Calibri" w:hAnsi="Calibri" w:cs="Calibri"/>
          <w:sz w:val="24"/>
          <w:szCs w:val="24"/>
        </w:rPr>
        <w:t xml:space="preserve">základě by mohlo v rámci své koordinační role sledovat spolupráci s MEO. MZV podklady získané v rámci monitoringu na základě UV </w:t>
      </w:r>
      <w:r w:rsidR="0023090E">
        <w:rPr>
          <w:rFonts w:ascii="Calibri" w:hAnsi="Calibri" w:cs="Calibri"/>
          <w:sz w:val="24"/>
          <w:szCs w:val="24"/>
        </w:rPr>
        <w:t>č. </w:t>
      </w:r>
      <w:r w:rsidRPr="000C3A10">
        <w:rPr>
          <w:rFonts w:ascii="Calibri" w:hAnsi="Calibri" w:cs="Calibri"/>
          <w:sz w:val="24"/>
          <w:szCs w:val="24"/>
        </w:rPr>
        <w:t xml:space="preserve">317/2013 dále využívalo pouze k sestavení interních pracovních přehledů v letech 2014 (údaje k 1. 1. 2014) </w:t>
      </w:r>
      <w:r w:rsidR="000C3A10">
        <w:rPr>
          <w:rFonts w:ascii="Calibri" w:hAnsi="Calibri" w:cs="Calibri"/>
          <w:sz w:val="24"/>
          <w:szCs w:val="24"/>
        </w:rPr>
        <w:t>a </w:t>
      </w:r>
      <w:r w:rsidRPr="000C3A10">
        <w:rPr>
          <w:rFonts w:ascii="Calibri" w:hAnsi="Calibri" w:cs="Calibri"/>
          <w:sz w:val="24"/>
          <w:szCs w:val="24"/>
        </w:rPr>
        <w:t>2017 (údaje za rok 2016). NKÚ zjistil, že údaje za resort MZV uvedené v těchto přehledech v některých případech neodpovídají předloženým účetním dokladům a údajům uvedeným v závěrečném účtu kapitoly MZV. MZV tak nebylo schopné ani v rámci vlastní kapitoly zajistit správnost údajů a informací uvedených v jím zpracovávaném přehledu. Tyto nesrovnalosti dokládají, že přehledy zpracované MZV nejsou přesné a úplné, a tedy ani spolehlivé. Nespolehlivost zpracovávaných přehledů potvrdilo opakovaně i MZV ve svých vyjádřeních v rámci odpovědí na žádosti NKÚ. MZV tyto přehledy přikládalo, s výjimkou roku 2016, k</w:t>
      </w:r>
      <w:r w:rsidR="000C3A10">
        <w:rPr>
          <w:rFonts w:ascii="Calibri" w:hAnsi="Calibri" w:cs="Calibri"/>
          <w:sz w:val="24"/>
          <w:szCs w:val="24"/>
        </w:rPr>
        <w:t xml:space="preserve"> žádostem o aktualizaci údajů a </w:t>
      </w:r>
      <w:r w:rsidRPr="000C3A10">
        <w:rPr>
          <w:rFonts w:ascii="Calibri" w:hAnsi="Calibri" w:cs="Calibri"/>
          <w:sz w:val="24"/>
          <w:szCs w:val="24"/>
        </w:rPr>
        <w:t xml:space="preserve">zaslání výše povinných příspěvků a poskytovalo tak ostatním resortům nespolehlivé a nekompletní informace. </w:t>
      </w:r>
    </w:p>
    <w:p w14:paraId="2C3CD14B" w14:textId="77777777" w:rsidR="000C3A10" w:rsidRPr="000C3A10" w:rsidRDefault="000C3A10" w:rsidP="000C3A10">
      <w:pPr>
        <w:spacing w:after="0" w:line="240" w:lineRule="auto"/>
        <w:jc w:val="both"/>
        <w:rPr>
          <w:rFonts w:ascii="Calibri" w:hAnsi="Calibri" w:cs="Calibri"/>
          <w:sz w:val="24"/>
          <w:szCs w:val="24"/>
        </w:rPr>
      </w:pPr>
    </w:p>
    <w:p w14:paraId="3435E511" w14:textId="40C9890A" w:rsidR="00E35FC6" w:rsidRDefault="00E35FC6" w:rsidP="000C3A10">
      <w:pPr>
        <w:spacing w:after="0" w:line="240" w:lineRule="auto"/>
        <w:jc w:val="both"/>
        <w:rPr>
          <w:rFonts w:ascii="Calibri" w:hAnsi="Calibri" w:cs="Calibri"/>
          <w:sz w:val="24"/>
          <w:szCs w:val="24"/>
        </w:rPr>
      </w:pPr>
      <w:r w:rsidRPr="000C3A10">
        <w:rPr>
          <w:rFonts w:ascii="Calibri" w:hAnsi="Calibri" w:cs="Calibri"/>
          <w:sz w:val="24"/>
          <w:szCs w:val="24"/>
        </w:rPr>
        <w:t>NKÚ vzhledem k absenci úplných a spolehlivých dat o spolupráci s MEO oslovil všechny správce kapitol státního rozpočtu a ČNB se žádostí o vyplnění dotazníku. Všichni oslovení respondenti poskytli informace o spolupráci s MEO v jejich gesci za rok 2018 (blíže viz část III</w:t>
      </w:r>
      <w:r w:rsidR="00631B9E">
        <w:rPr>
          <w:rFonts w:ascii="Calibri" w:hAnsi="Calibri" w:cs="Calibri"/>
          <w:sz w:val="24"/>
          <w:szCs w:val="24"/>
        </w:rPr>
        <w:t>.</w:t>
      </w:r>
      <w:r w:rsidR="0023090E">
        <w:rPr>
          <w:rFonts w:ascii="Calibri" w:hAnsi="Calibri" w:cs="Calibri"/>
          <w:sz w:val="24"/>
          <w:szCs w:val="24"/>
        </w:rPr>
        <w:t xml:space="preserve"> tohoto kontrolního závěru</w:t>
      </w:r>
      <w:r w:rsidRPr="000C3A10">
        <w:rPr>
          <w:rFonts w:ascii="Calibri" w:hAnsi="Calibri" w:cs="Calibri"/>
          <w:sz w:val="24"/>
          <w:szCs w:val="24"/>
        </w:rPr>
        <w:t>).</w:t>
      </w:r>
    </w:p>
    <w:p w14:paraId="12A18735" w14:textId="77777777" w:rsidR="000C3A10" w:rsidRPr="000C3A10" w:rsidRDefault="000C3A10" w:rsidP="000C3A10">
      <w:pPr>
        <w:spacing w:after="0" w:line="240" w:lineRule="auto"/>
        <w:jc w:val="both"/>
        <w:rPr>
          <w:rFonts w:ascii="Calibri" w:hAnsi="Calibri" w:cs="Calibri"/>
          <w:sz w:val="24"/>
          <w:szCs w:val="24"/>
        </w:rPr>
      </w:pPr>
    </w:p>
    <w:p w14:paraId="59CCC169" w14:textId="1BE6F259" w:rsidR="00E35FC6" w:rsidRDefault="00E35FC6" w:rsidP="000C3A10">
      <w:pPr>
        <w:spacing w:after="0" w:line="240" w:lineRule="auto"/>
        <w:jc w:val="both"/>
        <w:rPr>
          <w:rFonts w:ascii="Calibri" w:hAnsi="Calibri" w:cs="Calibri"/>
          <w:sz w:val="24"/>
          <w:szCs w:val="24"/>
        </w:rPr>
      </w:pPr>
      <w:r w:rsidRPr="000C3A10">
        <w:rPr>
          <w:rFonts w:ascii="Calibri" w:hAnsi="Calibri" w:cs="Calibri"/>
          <w:sz w:val="24"/>
          <w:szCs w:val="24"/>
        </w:rPr>
        <w:t xml:space="preserve">Z informací získaných v rámci mezinárodní spolupráce (projektu NKÚ </w:t>
      </w:r>
      <w:r w:rsidR="0023090E">
        <w:rPr>
          <w:rFonts w:ascii="Calibri" w:hAnsi="Calibri" w:cs="Calibri"/>
          <w:sz w:val="24"/>
          <w:szCs w:val="24"/>
        </w:rPr>
        <w:t>–</w:t>
      </w:r>
      <w:r w:rsidRPr="000C3A10">
        <w:rPr>
          <w:rFonts w:ascii="Calibri" w:hAnsi="Calibri" w:cs="Calibri"/>
          <w:sz w:val="24"/>
          <w:szCs w:val="24"/>
        </w:rPr>
        <w:t xml:space="preserve"> BIEP) od nejvyšších kontrolních institucí EUROSAI vyplývá, že přesný a podrobný přehled spolupráce s MEO vytváří podmínky pro efektivní zapojení do MEO a sledování/vyhodnocování naplňování cílů zahraniční politiky státu. To potvrzují i doporučení, která uvedly nejvyšší kontrolní instituce Litvy a Finska ve svých auditních zprávách, ohledně jednotného a centralizovaného sběru informací o spolupráci s MEO a jeho pravidelné aktualizace. Podrobnější informace získané od jednotlivých kontrolních institucí jsou uvedeny v </w:t>
      </w:r>
      <w:r w:rsidR="0023090E">
        <w:rPr>
          <w:rFonts w:ascii="Calibri" w:hAnsi="Calibri" w:cs="Calibri"/>
          <w:sz w:val="24"/>
          <w:szCs w:val="24"/>
        </w:rPr>
        <w:t>p</w:t>
      </w:r>
      <w:r w:rsidRPr="000C3A10">
        <w:rPr>
          <w:rFonts w:ascii="Calibri" w:hAnsi="Calibri" w:cs="Calibri"/>
          <w:sz w:val="24"/>
          <w:szCs w:val="24"/>
        </w:rPr>
        <w:t>říloze č. 2</w:t>
      </w:r>
      <w:r w:rsidR="00150928">
        <w:rPr>
          <w:rFonts w:ascii="Calibri" w:hAnsi="Calibri" w:cs="Calibri"/>
          <w:sz w:val="24"/>
          <w:szCs w:val="24"/>
        </w:rPr>
        <w:t xml:space="preserve"> tohoto kontrolního závěru</w:t>
      </w:r>
      <w:r w:rsidRPr="000C3A10">
        <w:rPr>
          <w:rFonts w:ascii="Calibri" w:hAnsi="Calibri" w:cs="Calibri"/>
          <w:sz w:val="24"/>
          <w:szCs w:val="24"/>
        </w:rPr>
        <w:t>.</w:t>
      </w:r>
    </w:p>
    <w:p w14:paraId="1F24CC16" w14:textId="77777777" w:rsidR="000C3A10" w:rsidRPr="000C3A10" w:rsidRDefault="000C3A10" w:rsidP="000C3A10">
      <w:pPr>
        <w:spacing w:after="0" w:line="240" w:lineRule="auto"/>
        <w:jc w:val="both"/>
        <w:rPr>
          <w:rFonts w:ascii="Calibri" w:hAnsi="Calibri" w:cs="Calibri"/>
          <w:sz w:val="24"/>
          <w:szCs w:val="24"/>
        </w:rPr>
      </w:pPr>
    </w:p>
    <w:p w14:paraId="61B633E5" w14:textId="77777777" w:rsidR="00E35FC6" w:rsidRPr="000C3A10" w:rsidRDefault="000C3A10" w:rsidP="000C3A10">
      <w:pPr>
        <w:spacing w:after="0" w:line="240" w:lineRule="auto"/>
        <w:rPr>
          <w:b/>
          <w:sz w:val="24"/>
        </w:rPr>
      </w:pPr>
      <w:bookmarkStart w:id="2" w:name="_Toc22207104"/>
      <w:bookmarkStart w:id="3" w:name="_Toc22647489"/>
      <w:r w:rsidRPr="000C3A10">
        <w:rPr>
          <w:b/>
          <w:sz w:val="24"/>
        </w:rPr>
        <w:t xml:space="preserve">3. </w:t>
      </w:r>
      <w:r w:rsidR="00E35FC6" w:rsidRPr="000C3A10">
        <w:rPr>
          <w:b/>
          <w:sz w:val="24"/>
        </w:rPr>
        <w:t>Potenciální úspory v oblasti spolupráce s mezinárodními organizacemi</w:t>
      </w:r>
      <w:bookmarkEnd w:id="2"/>
      <w:bookmarkEnd w:id="3"/>
    </w:p>
    <w:p w14:paraId="25F1B21B" w14:textId="77777777" w:rsidR="000C3A10" w:rsidRDefault="000C3A10" w:rsidP="000C3A10">
      <w:pPr>
        <w:spacing w:after="0" w:line="240" w:lineRule="auto"/>
        <w:jc w:val="both"/>
        <w:rPr>
          <w:rFonts w:ascii="Calibri" w:hAnsi="Calibri" w:cs="Calibri"/>
          <w:sz w:val="24"/>
          <w:szCs w:val="24"/>
          <w:lang w:eastAsia="cs-CZ"/>
        </w:rPr>
      </w:pPr>
    </w:p>
    <w:p w14:paraId="444A8E73" w14:textId="4E50D31F" w:rsidR="00E35FC6" w:rsidRPr="000C3A10" w:rsidRDefault="00E35FC6" w:rsidP="000C3A10">
      <w:pPr>
        <w:spacing w:after="0" w:line="240" w:lineRule="auto"/>
        <w:jc w:val="both"/>
        <w:rPr>
          <w:rFonts w:ascii="Calibri" w:hAnsi="Calibri" w:cs="Calibri"/>
          <w:i/>
          <w:sz w:val="24"/>
          <w:szCs w:val="24"/>
          <w:lang w:eastAsia="cs-CZ"/>
        </w:rPr>
      </w:pPr>
      <w:r w:rsidRPr="000C3A10">
        <w:rPr>
          <w:rFonts w:ascii="Calibri" w:hAnsi="Calibri" w:cs="Calibri"/>
          <w:sz w:val="24"/>
          <w:szCs w:val="24"/>
          <w:lang w:eastAsia="cs-CZ"/>
        </w:rPr>
        <w:t xml:space="preserve">V UV </w:t>
      </w:r>
      <w:r w:rsidR="0023090E">
        <w:rPr>
          <w:rFonts w:ascii="Calibri" w:hAnsi="Calibri" w:cs="Calibri"/>
          <w:sz w:val="24"/>
          <w:szCs w:val="24"/>
          <w:lang w:eastAsia="cs-CZ"/>
        </w:rPr>
        <w:t>č. </w:t>
      </w:r>
      <w:r w:rsidRPr="000C3A10">
        <w:rPr>
          <w:rFonts w:ascii="Calibri" w:hAnsi="Calibri" w:cs="Calibri"/>
          <w:sz w:val="24"/>
          <w:szCs w:val="24"/>
          <w:lang w:eastAsia="cs-CZ"/>
        </w:rPr>
        <w:t>317/2013</w:t>
      </w:r>
      <w:r w:rsidRPr="005048A8">
        <w:rPr>
          <w:rFonts w:ascii="Calibri" w:hAnsi="Calibri" w:cs="Calibri"/>
          <w:sz w:val="24"/>
          <w:szCs w:val="24"/>
          <w:lang w:eastAsia="cs-CZ"/>
        </w:rPr>
        <w:t xml:space="preserve"> </w:t>
      </w:r>
      <w:r w:rsidRPr="000C3A10">
        <w:rPr>
          <w:rFonts w:ascii="Calibri" w:hAnsi="Calibri" w:cs="Calibri"/>
          <w:sz w:val="24"/>
          <w:szCs w:val="24"/>
          <w:lang w:eastAsia="cs-CZ"/>
        </w:rPr>
        <w:t xml:space="preserve">uložila vláda ČR svým členům a vedoucím ostatních ÚOSS: </w:t>
      </w:r>
      <w:r w:rsidRPr="005048A8">
        <w:rPr>
          <w:rFonts w:ascii="Calibri" w:hAnsi="Calibri" w:cs="Calibri"/>
          <w:sz w:val="24"/>
          <w:szCs w:val="24"/>
          <w:lang w:eastAsia="cs-CZ"/>
        </w:rPr>
        <w:t>„</w:t>
      </w:r>
      <w:r w:rsidRPr="000C3A10">
        <w:rPr>
          <w:rFonts w:ascii="Calibri" w:hAnsi="Calibri" w:cs="Calibri"/>
          <w:i/>
          <w:sz w:val="24"/>
          <w:szCs w:val="24"/>
          <w:lang w:eastAsia="cs-CZ"/>
        </w:rPr>
        <w:t>provést v rámci své působnosti analýzu nákladů a přínosů členství v mezinárodních organizacích a vypracovat strategii působení v těchto organizacích s cílem najít rezervy a do 31. května 2013 informovat 1.</w:t>
      </w:r>
      <w:r w:rsidR="000C3A10">
        <w:rPr>
          <w:rFonts w:ascii="Calibri" w:hAnsi="Calibri" w:cs="Calibri"/>
          <w:i/>
          <w:sz w:val="24"/>
          <w:szCs w:val="24"/>
          <w:lang w:eastAsia="cs-CZ"/>
        </w:rPr>
        <w:t> </w:t>
      </w:r>
      <w:r w:rsidRPr="000C3A10">
        <w:rPr>
          <w:rFonts w:ascii="Calibri" w:hAnsi="Calibri" w:cs="Calibri"/>
          <w:i/>
          <w:sz w:val="24"/>
          <w:szCs w:val="24"/>
          <w:lang w:eastAsia="cs-CZ"/>
        </w:rPr>
        <w:t>místopředsedu vlády a ministra zahraničních věcí a ministra financí o konkrétních návrzích úspor v roce 2014</w:t>
      </w:r>
      <w:r w:rsidR="00C61D35">
        <w:rPr>
          <w:rFonts w:ascii="Calibri" w:hAnsi="Calibri" w:cs="Calibri"/>
          <w:i/>
          <w:sz w:val="24"/>
          <w:szCs w:val="24"/>
          <w:lang w:eastAsia="cs-CZ"/>
        </w:rPr>
        <w:t>.</w:t>
      </w:r>
      <w:r w:rsidRPr="005048A8">
        <w:rPr>
          <w:rFonts w:ascii="Calibri" w:hAnsi="Calibri" w:cs="Calibri"/>
          <w:sz w:val="24"/>
          <w:szCs w:val="24"/>
          <w:lang w:eastAsia="cs-CZ"/>
        </w:rPr>
        <w:t>“</w:t>
      </w:r>
      <w:r w:rsidRPr="000C3A10">
        <w:rPr>
          <w:rFonts w:ascii="Calibri" w:hAnsi="Calibri" w:cs="Calibri"/>
          <w:sz w:val="24"/>
          <w:szCs w:val="24"/>
          <w:lang w:eastAsia="cs-CZ"/>
        </w:rPr>
        <w:t xml:space="preserve"> Dále vláda ČR uložila 1. místopředsedovi vlády a ministru zahraničních věcí: </w:t>
      </w:r>
      <w:r w:rsidRPr="005048A8">
        <w:rPr>
          <w:rFonts w:ascii="Calibri" w:hAnsi="Calibri" w:cs="Calibri"/>
          <w:sz w:val="24"/>
          <w:szCs w:val="24"/>
          <w:lang w:eastAsia="cs-CZ"/>
        </w:rPr>
        <w:t>„</w:t>
      </w:r>
      <w:r w:rsidRPr="000C3A10">
        <w:rPr>
          <w:rFonts w:ascii="Calibri" w:hAnsi="Calibri" w:cs="Calibri"/>
          <w:i/>
          <w:sz w:val="24"/>
          <w:szCs w:val="24"/>
          <w:lang w:eastAsia="cs-CZ"/>
        </w:rPr>
        <w:t xml:space="preserve">podat ve </w:t>
      </w:r>
      <w:r w:rsidRPr="000C3A10">
        <w:rPr>
          <w:rFonts w:ascii="Calibri" w:hAnsi="Calibri" w:cs="Calibri"/>
          <w:i/>
          <w:sz w:val="24"/>
          <w:szCs w:val="24"/>
          <w:lang w:eastAsia="cs-CZ"/>
        </w:rPr>
        <w:lastRenderedPageBreak/>
        <w:t>spolupráci s ministrem financí vládě do 30. června 2013 souhrnnou informaci o konkrétních úsporách resortů dosažených podle bodu III/1d tohoto usnesení</w:t>
      </w:r>
      <w:r w:rsidR="00C61D35">
        <w:rPr>
          <w:rFonts w:ascii="Calibri" w:hAnsi="Calibri" w:cs="Calibri"/>
          <w:i/>
          <w:sz w:val="24"/>
          <w:szCs w:val="24"/>
          <w:lang w:eastAsia="cs-CZ"/>
        </w:rPr>
        <w:t>.</w:t>
      </w:r>
      <w:r w:rsidRPr="005048A8">
        <w:rPr>
          <w:rFonts w:ascii="Calibri" w:hAnsi="Calibri" w:cs="Calibri"/>
          <w:sz w:val="24"/>
          <w:szCs w:val="24"/>
          <w:lang w:eastAsia="cs-CZ"/>
        </w:rPr>
        <w:t>“</w:t>
      </w:r>
    </w:p>
    <w:p w14:paraId="7B47A70B" w14:textId="77777777" w:rsidR="000C3A10" w:rsidRDefault="000C3A10" w:rsidP="000C3A10">
      <w:pPr>
        <w:spacing w:after="0" w:line="240" w:lineRule="auto"/>
        <w:jc w:val="both"/>
        <w:rPr>
          <w:rFonts w:ascii="Calibri" w:hAnsi="Calibri" w:cs="Calibri"/>
          <w:sz w:val="24"/>
          <w:szCs w:val="24"/>
          <w:lang w:eastAsia="cs-CZ"/>
        </w:rPr>
      </w:pPr>
    </w:p>
    <w:p w14:paraId="06E045F7" w14:textId="77777777" w:rsidR="00E35FC6" w:rsidRDefault="00E35FC6" w:rsidP="000C3A10">
      <w:pPr>
        <w:spacing w:after="0" w:line="240" w:lineRule="auto"/>
        <w:jc w:val="both"/>
        <w:rPr>
          <w:rFonts w:ascii="Calibri" w:hAnsi="Calibri" w:cs="Calibri"/>
          <w:sz w:val="24"/>
          <w:szCs w:val="24"/>
          <w:lang w:eastAsia="cs-CZ"/>
        </w:rPr>
      </w:pPr>
      <w:r w:rsidRPr="000C3A10">
        <w:rPr>
          <w:rFonts w:ascii="Calibri" w:hAnsi="Calibri" w:cs="Calibri"/>
          <w:sz w:val="24"/>
          <w:szCs w:val="24"/>
          <w:lang w:eastAsia="cs-CZ"/>
        </w:rPr>
        <w:t>MZV na základě obdržených informací od jednotlivých resortů předložilo na jednání vlády dne 3.</w:t>
      </w:r>
      <w:r w:rsidR="000C3A10">
        <w:rPr>
          <w:rFonts w:ascii="Calibri" w:hAnsi="Calibri" w:cs="Calibri"/>
          <w:sz w:val="24"/>
          <w:szCs w:val="24"/>
          <w:lang w:eastAsia="cs-CZ"/>
        </w:rPr>
        <w:t> </w:t>
      </w:r>
      <w:r w:rsidRPr="000C3A10">
        <w:rPr>
          <w:rFonts w:ascii="Calibri" w:hAnsi="Calibri" w:cs="Calibri"/>
          <w:sz w:val="24"/>
          <w:szCs w:val="24"/>
          <w:lang w:eastAsia="cs-CZ"/>
        </w:rPr>
        <w:t>7.</w:t>
      </w:r>
      <w:r w:rsidR="000C3A10">
        <w:rPr>
          <w:rFonts w:ascii="Calibri" w:hAnsi="Calibri" w:cs="Calibri"/>
          <w:sz w:val="24"/>
          <w:szCs w:val="24"/>
          <w:lang w:eastAsia="cs-CZ"/>
        </w:rPr>
        <w:t> </w:t>
      </w:r>
      <w:r w:rsidRPr="000C3A10">
        <w:rPr>
          <w:rFonts w:ascii="Calibri" w:hAnsi="Calibri" w:cs="Calibri"/>
          <w:sz w:val="24"/>
          <w:szCs w:val="24"/>
          <w:lang w:eastAsia="cs-CZ"/>
        </w:rPr>
        <w:t xml:space="preserve">2013 materiál </w:t>
      </w:r>
      <w:r w:rsidRPr="000C3A10">
        <w:rPr>
          <w:rFonts w:ascii="Calibri" w:hAnsi="Calibri" w:cs="Calibri"/>
          <w:i/>
          <w:sz w:val="24"/>
          <w:szCs w:val="24"/>
          <w:lang w:eastAsia="cs-CZ"/>
        </w:rPr>
        <w:t>Informace o členství České republiky v mezinárodních organizacích – očekávané úspory od roku 2014</w:t>
      </w:r>
      <w:r w:rsidRPr="000C3A10">
        <w:rPr>
          <w:rStyle w:val="Znakapoznpodarou"/>
          <w:rFonts w:ascii="Calibri" w:hAnsi="Calibri" w:cs="Calibri"/>
          <w:sz w:val="24"/>
          <w:szCs w:val="24"/>
          <w:lang w:eastAsia="cs-CZ"/>
        </w:rPr>
        <w:footnoteReference w:id="24"/>
      </w:r>
      <w:r w:rsidRPr="000C3A10">
        <w:rPr>
          <w:rFonts w:ascii="Calibri" w:hAnsi="Calibri" w:cs="Calibri"/>
          <w:sz w:val="24"/>
          <w:szCs w:val="24"/>
          <w:lang w:eastAsia="cs-CZ"/>
        </w:rPr>
        <w:t xml:space="preserve">, který uvádí opatření v gesci </w:t>
      </w:r>
      <w:r w:rsidRPr="000C3A10">
        <w:rPr>
          <w:rStyle w:val="NzevChar"/>
          <w:rFonts w:ascii="Calibri" w:eastAsiaTheme="majorEastAsia" w:hAnsi="Calibri" w:cs="Calibri"/>
        </w:rPr>
        <w:t>správců kapitol státního rozpočtu</w:t>
      </w:r>
      <w:r w:rsidRPr="000C3A10">
        <w:rPr>
          <w:rFonts w:ascii="Calibri" w:hAnsi="Calibri" w:cs="Calibri"/>
          <w:sz w:val="24"/>
          <w:szCs w:val="24"/>
          <w:lang w:eastAsia="cs-CZ"/>
        </w:rPr>
        <w:t>. Jednotlivé resorty navrhly realizovat od roku 2015 úspory u 16 MEO (z toho 4 v gesci MZV a 12 v gesci ostatních resortů) v celkové výši přes 18 mil. Kč oproti roku 2012.</w:t>
      </w:r>
      <w:r w:rsidRPr="000C3A10">
        <w:rPr>
          <w:rStyle w:val="NzevChar"/>
          <w:rFonts w:ascii="Calibri" w:eastAsiaTheme="majorEastAsia" w:hAnsi="Calibri" w:cs="Calibri"/>
        </w:rPr>
        <w:t xml:space="preserve"> MZV v tomto materiálu mj. upozornilo na rostoucí náklady na spolupráci s MEO a s tím související potřebu úspor a zvýšení efektivity spolupráce s MEO</w:t>
      </w:r>
      <w:r w:rsidRPr="000C3A10">
        <w:rPr>
          <w:rStyle w:val="Znakapoznpodarou"/>
          <w:rFonts w:ascii="Calibri" w:eastAsiaTheme="majorEastAsia" w:hAnsi="Calibri" w:cs="Calibri"/>
          <w:sz w:val="24"/>
          <w:szCs w:val="24"/>
        </w:rPr>
        <w:footnoteReference w:id="25"/>
      </w:r>
      <w:r w:rsidRPr="000C3A10">
        <w:rPr>
          <w:rStyle w:val="NzevChar"/>
          <w:rFonts w:ascii="Calibri" w:eastAsiaTheme="majorEastAsia" w:hAnsi="Calibri" w:cs="Calibri"/>
        </w:rPr>
        <w:t xml:space="preserve">. </w:t>
      </w:r>
      <w:r w:rsidRPr="000C3A10">
        <w:rPr>
          <w:rFonts w:ascii="Calibri" w:hAnsi="Calibri" w:cs="Calibri"/>
          <w:sz w:val="24"/>
          <w:szCs w:val="24"/>
        </w:rPr>
        <w:t>Úkol identifikovat úspory a zvýšit efektivitu členství v MEO byl dle MZV trvalý a měl být průběžně vyhodnocován.</w:t>
      </w:r>
      <w:r w:rsidRPr="000C3A10">
        <w:rPr>
          <w:rFonts w:ascii="Calibri" w:hAnsi="Calibri" w:cs="Calibri"/>
          <w:i/>
          <w:sz w:val="24"/>
          <w:szCs w:val="24"/>
          <w:lang w:eastAsia="cs-CZ"/>
        </w:rPr>
        <w:t xml:space="preserve"> </w:t>
      </w:r>
      <w:r w:rsidRPr="000C3A10">
        <w:rPr>
          <w:rFonts w:ascii="Calibri" w:hAnsi="Calibri" w:cs="Calibri"/>
          <w:sz w:val="24"/>
          <w:szCs w:val="24"/>
          <w:lang w:eastAsia="cs-CZ"/>
        </w:rPr>
        <w:t>NKÚ proto prověřil, zda jsou MEO v gesci ostatních resortů, u nichž MZV uvádělo, že dojde od roku 2014 k ukončení členství či plateb, tyto platby i nadále poskytovány (viz tabulka č. 2).</w:t>
      </w:r>
    </w:p>
    <w:p w14:paraId="64E8B6AC" w14:textId="77777777" w:rsidR="000C3A10" w:rsidRPr="000C3A10" w:rsidRDefault="000C3A10" w:rsidP="000C3A10">
      <w:pPr>
        <w:spacing w:after="0" w:line="240" w:lineRule="auto"/>
        <w:jc w:val="both"/>
        <w:rPr>
          <w:rFonts w:ascii="Calibri" w:hAnsi="Calibri" w:cs="Calibri"/>
          <w:sz w:val="24"/>
          <w:szCs w:val="24"/>
          <w:lang w:eastAsia="cs-CZ"/>
        </w:rPr>
      </w:pPr>
    </w:p>
    <w:p w14:paraId="4EB4C930" w14:textId="77777777" w:rsidR="00E35FC6" w:rsidRPr="00F364BD" w:rsidRDefault="00E34E53" w:rsidP="009162B1">
      <w:pPr>
        <w:pStyle w:val="Titulek"/>
        <w:keepNext/>
        <w:spacing w:after="40"/>
        <w:ind w:left="1276" w:hanging="1276"/>
        <w:rPr>
          <w:b/>
          <w:i w:val="0"/>
          <w:color w:val="auto"/>
          <w:sz w:val="24"/>
          <w:szCs w:val="24"/>
          <w:lang w:val="cs-CZ"/>
        </w:rPr>
      </w:pPr>
      <w:r>
        <w:rPr>
          <w:b/>
          <w:i w:val="0"/>
          <w:color w:val="auto"/>
          <w:sz w:val="24"/>
          <w:szCs w:val="24"/>
          <w:lang w:val="cs-CZ"/>
        </w:rPr>
        <w:t>Tabulka č. </w:t>
      </w:r>
      <w:r w:rsidR="00E35FC6" w:rsidRPr="00F364BD">
        <w:rPr>
          <w:b/>
          <w:i w:val="0"/>
          <w:color w:val="auto"/>
          <w:sz w:val="24"/>
          <w:szCs w:val="24"/>
          <w:lang w:val="cs-CZ"/>
        </w:rPr>
        <w:t>2:</w:t>
      </w:r>
      <w:r>
        <w:rPr>
          <w:b/>
          <w:i w:val="0"/>
          <w:color w:val="auto"/>
          <w:sz w:val="24"/>
          <w:szCs w:val="24"/>
          <w:lang w:val="cs-CZ"/>
        </w:rPr>
        <w:tab/>
      </w:r>
      <w:r w:rsidR="00E35FC6" w:rsidRPr="00F364BD">
        <w:rPr>
          <w:b/>
          <w:i w:val="0"/>
          <w:color w:val="auto"/>
          <w:sz w:val="24"/>
          <w:szCs w:val="24"/>
          <w:lang w:val="cs-CZ"/>
        </w:rPr>
        <w:t>Peněžní prostředky poskytované MEO, u nichž bylo rozhodnuto o ukončení spolupráce či plateb</w:t>
      </w:r>
    </w:p>
    <w:tbl>
      <w:tblPr>
        <w:tblW w:w="9577"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70" w:type="dxa"/>
          <w:right w:w="70" w:type="dxa"/>
        </w:tblCellMar>
        <w:tblLook w:val="04A0" w:firstRow="1" w:lastRow="0" w:firstColumn="1" w:lastColumn="0" w:noHBand="0" w:noVBand="1"/>
      </w:tblPr>
      <w:tblGrid>
        <w:gridCol w:w="704"/>
        <w:gridCol w:w="1304"/>
        <w:gridCol w:w="1276"/>
        <w:gridCol w:w="1417"/>
        <w:gridCol w:w="4876"/>
      </w:tblGrid>
      <w:tr w:rsidR="00E35FC6" w:rsidRPr="009162B1" w14:paraId="72C5A761" w14:textId="77777777" w:rsidTr="000C3A10">
        <w:trPr>
          <w:trHeight w:val="227"/>
          <w:tblHeader/>
          <w:jc w:val="center"/>
        </w:trPr>
        <w:tc>
          <w:tcPr>
            <w:tcW w:w="704" w:type="dxa"/>
            <w:noWrap/>
            <w:vAlign w:val="center"/>
            <w:hideMark/>
          </w:tcPr>
          <w:p w14:paraId="08971513" w14:textId="77777777" w:rsidR="00E35FC6" w:rsidRPr="009162B1" w:rsidRDefault="00E35FC6" w:rsidP="009162B1">
            <w:pPr>
              <w:spacing w:after="0" w:line="240" w:lineRule="auto"/>
              <w:jc w:val="center"/>
              <w:rPr>
                <w:rFonts w:ascii="Calibri" w:hAnsi="Calibri" w:cs="Calibri"/>
                <w:b/>
                <w:bCs/>
                <w:color w:val="000000"/>
                <w:sz w:val="20"/>
                <w:szCs w:val="20"/>
                <w:lang w:eastAsia="cs-CZ"/>
              </w:rPr>
            </w:pPr>
            <w:r w:rsidRPr="009162B1">
              <w:rPr>
                <w:rFonts w:ascii="Calibri" w:hAnsi="Calibri" w:cs="Calibri"/>
                <w:b/>
                <w:bCs/>
                <w:color w:val="000000"/>
                <w:sz w:val="20"/>
                <w:szCs w:val="20"/>
                <w:lang w:eastAsia="cs-CZ"/>
              </w:rPr>
              <w:t>Resort</w:t>
            </w:r>
          </w:p>
        </w:tc>
        <w:tc>
          <w:tcPr>
            <w:tcW w:w="1304" w:type="dxa"/>
            <w:noWrap/>
            <w:vAlign w:val="center"/>
            <w:hideMark/>
          </w:tcPr>
          <w:p w14:paraId="27103D31" w14:textId="77777777" w:rsidR="00E35FC6" w:rsidRPr="009162B1" w:rsidRDefault="00E35FC6" w:rsidP="009162B1">
            <w:pPr>
              <w:spacing w:after="0" w:line="240" w:lineRule="auto"/>
              <w:jc w:val="center"/>
              <w:rPr>
                <w:rFonts w:ascii="Calibri" w:hAnsi="Calibri" w:cs="Calibri"/>
                <w:b/>
                <w:bCs/>
                <w:color w:val="000000"/>
                <w:sz w:val="20"/>
                <w:szCs w:val="20"/>
                <w:lang w:eastAsia="cs-CZ"/>
              </w:rPr>
            </w:pPr>
            <w:r w:rsidRPr="009162B1">
              <w:rPr>
                <w:rFonts w:ascii="Calibri" w:hAnsi="Calibri" w:cs="Calibri"/>
                <w:b/>
                <w:bCs/>
                <w:color w:val="000000"/>
                <w:sz w:val="20"/>
                <w:szCs w:val="20"/>
                <w:lang w:eastAsia="cs-CZ"/>
              </w:rPr>
              <w:t>MEO</w:t>
            </w:r>
          </w:p>
        </w:tc>
        <w:tc>
          <w:tcPr>
            <w:tcW w:w="1276" w:type="dxa"/>
            <w:vAlign w:val="center"/>
          </w:tcPr>
          <w:p w14:paraId="350838A0" w14:textId="77777777" w:rsidR="00E35FC6" w:rsidRPr="009162B1" w:rsidRDefault="00E35FC6" w:rsidP="009162B1">
            <w:pPr>
              <w:spacing w:after="0" w:line="240" w:lineRule="auto"/>
              <w:jc w:val="center"/>
              <w:rPr>
                <w:rFonts w:ascii="Calibri" w:hAnsi="Calibri" w:cs="Calibri"/>
                <w:b/>
                <w:bCs/>
                <w:color w:val="000000"/>
                <w:sz w:val="20"/>
                <w:szCs w:val="20"/>
                <w:lang w:eastAsia="cs-CZ"/>
              </w:rPr>
            </w:pPr>
            <w:r w:rsidRPr="009162B1">
              <w:rPr>
                <w:rFonts w:ascii="Calibri" w:hAnsi="Calibri" w:cs="Calibri"/>
                <w:b/>
                <w:bCs/>
                <w:color w:val="000000"/>
                <w:sz w:val="20"/>
                <w:szCs w:val="20"/>
                <w:lang w:eastAsia="cs-CZ"/>
              </w:rPr>
              <w:t>Platba 2012*</w:t>
            </w:r>
          </w:p>
          <w:p w14:paraId="177111F7" w14:textId="77777777" w:rsidR="00E35FC6" w:rsidRPr="009162B1" w:rsidRDefault="00E35FC6" w:rsidP="009162B1">
            <w:pPr>
              <w:spacing w:after="0" w:line="240" w:lineRule="auto"/>
              <w:jc w:val="center"/>
              <w:rPr>
                <w:rFonts w:ascii="Calibri" w:hAnsi="Calibri" w:cs="Calibri"/>
                <w:b/>
                <w:bCs/>
                <w:color w:val="000000"/>
                <w:sz w:val="20"/>
                <w:szCs w:val="20"/>
                <w:lang w:eastAsia="cs-CZ"/>
              </w:rPr>
            </w:pPr>
            <w:r w:rsidRPr="009162B1">
              <w:rPr>
                <w:rFonts w:ascii="Calibri" w:hAnsi="Calibri" w:cs="Calibri"/>
                <w:b/>
                <w:bCs/>
                <w:color w:val="000000"/>
                <w:sz w:val="20"/>
                <w:szCs w:val="20"/>
                <w:lang w:eastAsia="cs-CZ"/>
              </w:rPr>
              <w:t>(v Kč)</w:t>
            </w:r>
          </w:p>
        </w:tc>
        <w:tc>
          <w:tcPr>
            <w:tcW w:w="1417" w:type="dxa"/>
            <w:vAlign w:val="center"/>
          </w:tcPr>
          <w:p w14:paraId="67CB0147" w14:textId="77777777" w:rsidR="00E35FC6" w:rsidRPr="009162B1" w:rsidRDefault="00E35FC6" w:rsidP="009162B1">
            <w:pPr>
              <w:spacing w:after="0" w:line="240" w:lineRule="auto"/>
              <w:jc w:val="center"/>
              <w:rPr>
                <w:rFonts w:ascii="Calibri" w:hAnsi="Calibri" w:cs="Calibri"/>
                <w:b/>
                <w:bCs/>
                <w:color w:val="000000"/>
                <w:sz w:val="20"/>
                <w:szCs w:val="20"/>
                <w:lang w:eastAsia="cs-CZ"/>
              </w:rPr>
            </w:pPr>
            <w:r w:rsidRPr="009162B1">
              <w:rPr>
                <w:rFonts w:ascii="Calibri" w:hAnsi="Calibri" w:cs="Calibri"/>
                <w:b/>
                <w:bCs/>
                <w:color w:val="000000"/>
                <w:sz w:val="20"/>
                <w:szCs w:val="20"/>
                <w:lang w:eastAsia="cs-CZ"/>
              </w:rPr>
              <w:t>Platba 2018**</w:t>
            </w:r>
          </w:p>
          <w:p w14:paraId="71FCE4BF" w14:textId="77777777" w:rsidR="00E35FC6" w:rsidRPr="009162B1" w:rsidRDefault="00E35FC6" w:rsidP="009162B1">
            <w:pPr>
              <w:spacing w:after="0" w:line="240" w:lineRule="auto"/>
              <w:jc w:val="center"/>
              <w:rPr>
                <w:rFonts w:ascii="Calibri" w:hAnsi="Calibri" w:cs="Calibri"/>
                <w:b/>
                <w:bCs/>
                <w:color w:val="000000"/>
                <w:sz w:val="20"/>
                <w:szCs w:val="20"/>
                <w:lang w:eastAsia="cs-CZ"/>
              </w:rPr>
            </w:pPr>
            <w:r w:rsidRPr="009162B1">
              <w:rPr>
                <w:rFonts w:ascii="Calibri" w:hAnsi="Calibri" w:cs="Calibri"/>
                <w:b/>
                <w:bCs/>
                <w:color w:val="000000"/>
                <w:sz w:val="20"/>
                <w:szCs w:val="20"/>
                <w:lang w:eastAsia="cs-CZ"/>
              </w:rPr>
              <w:t>(v Kč)</w:t>
            </w:r>
          </w:p>
        </w:tc>
        <w:tc>
          <w:tcPr>
            <w:tcW w:w="4876" w:type="dxa"/>
            <w:noWrap/>
            <w:vAlign w:val="center"/>
            <w:hideMark/>
          </w:tcPr>
          <w:p w14:paraId="0DE05911" w14:textId="77777777" w:rsidR="00E35FC6" w:rsidRPr="009162B1" w:rsidRDefault="00E35FC6" w:rsidP="009162B1">
            <w:pPr>
              <w:spacing w:after="0" w:line="240" w:lineRule="auto"/>
              <w:jc w:val="center"/>
              <w:rPr>
                <w:rFonts w:ascii="Calibri" w:hAnsi="Calibri" w:cs="Calibri"/>
                <w:b/>
                <w:bCs/>
                <w:color w:val="000000"/>
                <w:sz w:val="20"/>
                <w:szCs w:val="20"/>
                <w:lang w:eastAsia="cs-CZ"/>
              </w:rPr>
            </w:pPr>
            <w:r w:rsidRPr="009162B1">
              <w:rPr>
                <w:rFonts w:ascii="Calibri" w:hAnsi="Calibri" w:cs="Calibri"/>
                <w:b/>
                <w:bCs/>
                <w:color w:val="000000"/>
                <w:sz w:val="20"/>
                <w:szCs w:val="20"/>
                <w:lang w:eastAsia="cs-CZ"/>
              </w:rPr>
              <w:t>Poznámka</w:t>
            </w:r>
          </w:p>
        </w:tc>
      </w:tr>
      <w:tr w:rsidR="00E35FC6" w:rsidRPr="009162B1" w14:paraId="20463F2E" w14:textId="77777777" w:rsidTr="000C3A10">
        <w:trPr>
          <w:trHeight w:val="227"/>
          <w:jc w:val="center"/>
        </w:trPr>
        <w:tc>
          <w:tcPr>
            <w:tcW w:w="704" w:type="dxa"/>
            <w:noWrap/>
            <w:vAlign w:val="center"/>
            <w:hideMark/>
          </w:tcPr>
          <w:p w14:paraId="23B33C03"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313</w:t>
            </w:r>
          </w:p>
          <w:p w14:paraId="2E11F7AA"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MPSV</w:t>
            </w:r>
          </w:p>
        </w:tc>
        <w:tc>
          <w:tcPr>
            <w:tcW w:w="1304" w:type="dxa"/>
            <w:noWrap/>
            <w:vAlign w:val="center"/>
            <w:hideMark/>
          </w:tcPr>
          <w:p w14:paraId="0256ED8F"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ISSA</w:t>
            </w:r>
          </w:p>
        </w:tc>
        <w:tc>
          <w:tcPr>
            <w:tcW w:w="1276" w:type="dxa"/>
            <w:noWrap/>
            <w:vAlign w:val="center"/>
            <w:hideMark/>
          </w:tcPr>
          <w:p w14:paraId="5BE42E49"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2 245 638</w:t>
            </w:r>
          </w:p>
        </w:tc>
        <w:tc>
          <w:tcPr>
            <w:tcW w:w="1417" w:type="dxa"/>
            <w:shd w:val="clear" w:color="auto" w:fill="auto"/>
            <w:noWrap/>
            <w:vAlign w:val="center"/>
            <w:hideMark/>
          </w:tcPr>
          <w:p w14:paraId="5BD08E39"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248 243</w:t>
            </w:r>
          </w:p>
        </w:tc>
        <w:tc>
          <w:tcPr>
            <w:tcW w:w="4876" w:type="dxa"/>
            <w:shd w:val="clear" w:color="auto" w:fill="auto"/>
            <w:noWrap/>
            <w:vAlign w:val="center"/>
            <w:hideMark/>
          </w:tcPr>
          <w:p w14:paraId="6AECFA2B" w14:textId="14781E4D"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Forma spolupráce měla být změněna a platby sníženy od 2014</w:t>
            </w:r>
            <w:r w:rsidR="00C61D35">
              <w:rPr>
                <w:rFonts w:ascii="Calibri" w:hAnsi="Calibri" w:cs="Calibri"/>
                <w:color w:val="000000"/>
                <w:sz w:val="20"/>
                <w:szCs w:val="20"/>
                <w:lang w:eastAsia="cs-CZ"/>
              </w:rPr>
              <w:t>.</w:t>
            </w:r>
          </w:p>
        </w:tc>
      </w:tr>
      <w:tr w:rsidR="00E35FC6" w:rsidRPr="009162B1" w14:paraId="306AB9A4" w14:textId="77777777" w:rsidTr="000C3A10">
        <w:trPr>
          <w:trHeight w:val="227"/>
          <w:jc w:val="center"/>
        </w:trPr>
        <w:tc>
          <w:tcPr>
            <w:tcW w:w="704" w:type="dxa"/>
            <w:vMerge w:val="restart"/>
            <w:noWrap/>
            <w:vAlign w:val="center"/>
            <w:hideMark/>
          </w:tcPr>
          <w:p w14:paraId="41F28F6B"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315</w:t>
            </w:r>
          </w:p>
          <w:p w14:paraId="1174CF32"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MŽP</w:t>
            </w:r>
          </w:p>
        </w:tc>
        <w:tc>
          <w:tcPr>
            <w:tcW w:w="1304" w:type="dxa"/>
            <w:noWrap/>
            <w:vAlign w:val="center"/>
            <w:hideMark/>
          </w:tcPr>
          <w:p w14:paraId="493D640A"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CSD</w:t>
            </w:r>
          </w:p>
        </w:tc>
        <w:tc>
          <w:tcPr>
            <w:tcW w:w="1276" w:type="dxa"/>
            <w:vMerge w:val="restart"/>
            <w:noWrap/>
            <w:vAlign w:val="center"/>
            <w:hideMark/>
          </w:tcPr>
          <w:p w14:paraId="5333BA49"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3 307 226</w:t>
            </w:r>
          </w:p>
        </w:tc>
        <w:tc>
          <w:tcPr>
            <w:tcW w:w="1417" w:type="dxa"/>
            <w:noWrap/>
            <w:vAlign w:val="center"/>
            <w:hideMark/>
          </w:tcPr>
          <w:p w14:paraId="027E5685"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0</w:t>
            </w:r>
          </w:p>
        </w:tc>
        <w:tc>
          <w:tcPr>
            <w:tcW w:w="4876" w:type="dxa"/>
            <w:noWrap/>
            <w:vAlign w:val="center"/>
            <w:hideMark/>
          </w:tcPr>
          <w:p w14:paraId="43C9D12E"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 -</w:t>
            </w:r>
          </w:p>
        </w:tc>
      </w:tr>
      <w:tr w:rsidR="00E35FC6" w:rsidRPr="009162B1" w14:paraId="43C0B255" w14:textId="77777777" w:rsidTr="000C3A10">
        <w:trPr>
          <w:trHeight w:val="227"/>
          <w:jc w:val="center"/>
        </w:trPr>
        <w:tc>
          <w:tcPr>
            <w:tcW w:w="704" w:type="dxa"/>
            <w:vMerge/>
            <w:vAlign w:val="center"/>
            <w:hideMark/>
          </w:tcPr>
          <w:p w14:paraId="09609096" w14:textId="77777777" w:rsidR="00E35FC6" w:rsidRPr="009162B1" w:rsidRDefault="00E35FC6" w:rsidP="009162B1">
            <w:pPr>
              <w:spacing w:after="0" w:line="240" w:lineRule="auto"/>
              <w:rPr>
                <w:rFonts w:ascii="Calibri" w:hAnsi="Calibri" w:cs="Calibri"/>
                <w:color w:val="000000"/>
                <w:sz w:val="20"/>
                <w:szCs w:val="20"/>
                <w:lang w:eastAsia="cs-CZ"/>
              </w:rPr>
            </w:pPr>
          </w:p>
        </w:tc>
        <w:tc>
          <w:tcPr>
            <w:tcW w:w="1304" w:type="dxa"/>
            <w:noWrap/>
            <w:vAlign w:val="center"/>
            <w:hideMark/>
          </w:tcPr>
          <w:p w14:paraId="58979352"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Planta Europa</w:t>
            </w:r>
          </w:p>
        </w:tc>
        <w:tc>
          <w:tcPr>
            <w:tcW w:w="1276" w:type="dxa"/>
            <w:vMerge/>
            <w:vAlign w:val="center"/>
            <w:hideMark/>
          </w:tcPr>
          <w:p w14:paraId="49FB9FE8"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p>
        </w:tc>
        <w:tc>
          <w:tcPr>
            <w:tcW w:w="1417" w:type="dxa"/>
            <w:noWrap/>
            <w:vAlign w:val="center"/>
            <w:hideMark/>
          </w:tcPr>
          <w:p w14:paraId="55326F6E"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0</w:t>
            </w:r>
          </w:p>
        </w:tc>
        <w:tc>
          <w:tcPr>
            <w:tcW w:w="4876" w:type="dxa"/>
            <w:noWrap/>
            <w:vAlign w:val="center"/>
            <w:hideMark/>
          </w:tcPr>
          <w:p w14:paraId="0AE9BB3C"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 -</w:t>
            </w:r>
          </w:p>
        </w:tc>
      </w:tr>
      <w:tr w:rsidR="00E35FC6" w:rsidRPr="009162B1" w14:paraId="7C2EA5C4" w14:textId="77777777" w:rsidTr="000C3A10">
        <w:trPr>
          <w:trHeight w:val="227"/>
          <w:jc w:val="center"/>
        </w:trPr>
        <w:tc>
          <w:tcPr>
            <w:tcW w:w="704" w:type="dxa"/>
            <w:vMerge w:val="restart"/>
            <w:noWrap/>
            <w:vAlign w:val="center"/>
            <w:hideMark/>
          </w:tcPr>
          <w:p w14:paraId="52862FEF"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322</w:t>
            </w:r>
          </w:p>
          <w:p w14:paraId="00E9C17D"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MPO</w:t>
            </w:r>
          </w:p>
        </w:tc>
        <w:tc>
          <w:tcPr>
            <w:tcW w:w="1304" w:type="dxa"/>
            <w:noWrap/>
            <w:vAlign w:val="center"/>
            <w:hideMark/>
          </w:tcPr>
          <w:p w14:paraId="22B08DD6"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CEOC</w:t>
            </w:r>
          </w:p>
        </w:tc>
        <w:tc>
          <w:tcPr>
            <w:tcW w:w="1276" w:type="dxa"/>
            <w:vMerge w:val="restart"/>
            <w:noWrap/>
            <w:vAlign w:val="center"/>
            <w:hideMark/>
          </w:tcPr>
          <w:p w14:paraId="6A3E11C6"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347 650</w:t>
            </w:r>
          </w:p>
        </w:tc>
        <w:tc>
          <w:tcPr>
            <w:tcW w:w="1417" w:type="dxa"/>
            <w:noWrap/>
            <w:vAlign w:val="center"/>
            <w:hideMark/>
          </w:tcPr>
          <w:p w14:paraId="6A3CC5C3"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0</w:t>
            </w:r>
          </w:p>
        </w:tc>
        <w:tc>
          <w:tcPr>
            <w:tcW w:w="4876" w:type="dxa"/>
            <w:noWrap/>
            <w:vAlign w:val="center"/>
            <w:hideMark/>
          </w:tcPr>
          <w:p w14:paraId="387BB07E"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 -</w:t>
            </w:r>
          </w:p>
        </w:tc>
      </w:tr>
      <w:tr w:rsidR="00E35FC6" w:rsidRPr="009162B1" w14:paraId="7C0FCE87" w14:textId="77777777" w:rsidTr="000C3A10">
        <w:trPr>
          <w:trHeight w:val="227"/>
          <w:jc w:val="center"/>
        </w:trPr>
        <w:tc>
          <w:tcPr>
            <w:tcW w:w="704" w:type="dxa"/>
            <w:vMerge/>
            <w:vAlign w:val="center"/>
            <w:hideMark/>
          </w:tcPr>
          <w:p w14:paraId="249A41CC" w14:textId="77777777" w:rsidR="00E35FC6" w:rsidRPr="009162B1" w:rsidRDefault="00E35FC6" w:rsidP="009162B1">
            <w:pPr>
              <w:spacing w:after="0" w:line="240" w:lineRule="auto"/>
              <w:rPr>
                <w:rFonts w:ascii="Calibri" w:hAnsi="Calibri" w:cs="Calibri"/>
                <w:color w:val="000000"/>
                <w:sz w:val="20"/>
                <w:szCs w:val="20"/>
                <w:lang w:eastAsia="cs-CZ"/>
              </w:rPr>
            </w:pPr>
          </w:p>
        </w:tc>
        <w:tc>
          <w:tcPr>
            <w:tcW w:w="1304" w:type="dxa"/>
            <w:noWrap/>
            <w:vAlign w:val="center"/>
            <w:hideMark/>
          </w:tcPr>
          <w:p w14:paraId="4CDAF0AC"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EGOLF</w:t>
            </w:r>
          </w:p>
        </w:tc>
        <w:tc>
          <w:tcPr>
            <w:tcW w:w="1276" w:type="dxa"/>
            <w:vMerge/>
            <w:vAlign w:val="center"/>
            <w:hideMark/>
          </w:tcPr>
          <w:p w14:paraId="064FCDDB"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p>
        </w:tc>
        <w:tc>
          <w:tcPr>
            <w:tcW w:w="1417" w:type="dxa"/>
            <w:noWrap/>
            <w:vAlign w:val="center"/>
            <w:hideMark/>
          </w:tcPr>
          <w:p w14:paraId="3E98F618"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0</w:t>
            </w:r>
          </w:p>
        </w:tc>
        <w:tc>
          <w:tcPr>
            <w:tcW w:w="4876" w:type="dxa"/>
            <w:noWrap/>
            <w:vAlign w:val="center"/>
            <w:hideMark/>
          </w:tcPr>
          <w:p w14:paraId="0D25BEA7"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 -</w:t>
            </w:r>
          </w:p>
        </w:tc>
      </w:tr>
      <w:tr w:rsidR="00E35FC6" w:rsidRPr="009162B1" w14:paraId="3F94927D" w14:textId="77777777" w:rsidTr="000C3A10">
        <w:trPr>
          <w:trHeight w:val="227"/>
          <w:jc w:val="center"/>
        </w:trPr>
        <w:tc>
          <w:tcPr>
            <w:tcW w:w="704" w:type="dxa"/>
            <w:noWrap/>
            <w:vAlign w:val="center"/>
            <w:hideMark/>
          </w:tcPr>
          <w:p w14:paraId="05730449"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327</w:t>
            </w:r>
          </w:p>
          <w:p w14:paraId="28782615"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MD</w:t>
            </w:r>
          </w:p>
        </w:tc>
        <w:tc>
          <w:tcPr>
            <w:tcW w:w="1304" w:type="dxa"/>
            <w:noWrap/>
            <w:vAlign w:val="center"/>
            <w:hideMark/>
          </w:tcPr>
          <w:p w14:paraId="2459CAFF"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OSJD</w:t>
            </w:r>
          </w:p>
        </w:tc>
        <w:tc>
          <w:tcPr>
            <w:tcW w:w="1276" w:type="dxa"/>
            <w:noWrap/>
            <w:vAlign w:val="center"/>
            <w:hideMark/>
          </w:tcPr>
          <w:p w14:paraId="23CD6A89"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3 730 600</w:t>
            </w:r>
          </w:p>
        </w:tc>
        <w:tc>
          <w:tcPr>
            <w:tcW w:w="1417" w:type="dxa"/>
            <w:noWrap/>
            <w:vAlign w:val="center"/>
            <w:hideMark/>
          </w:tcPr>
          <w:p w14:paraId="1A7CD1B4"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2 174 991</w:t>
            </w:r>
          </w:p>
        </w:tc>
        <w:tc>
          <w:tcPr>
            <w:tcW w:w="4876" w:type="dxa"/>
            <w:noWrap/>
            <w:vAlign w:val="center"/>
            <w:hideMark/>
          </w:tcPr>
          <w:p w14:paraId="4185A841" w14:textId="7D3FAA69"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Platby měly být přeneseny na jiné organizace od roku 2015</w:t>
            </w:r>
            <w:r w:rsidR="00C61D35">
              <w:rPr>
                <w:rFonts w:ascii="Calibri" w:hAnsi="Calibri" w:cs="Calibri"/>
                <w:color w:val="000000"/>
                <w:sz w:val="20"/>
                <w:szCs w:val="20"/>
                <w:lang w:eastAsia="cs-CZ"/>
              </w:rPr>
              <w:t>.</w:t>
            </w:r>
          </w:p>
        </w:tc>
      </w:tr>
      <w:tr w:rsidR="00E35FC6" w:rsidRPr="009162B1" w14:paraId="02BE323B" w14:textId="77777777" w:rsidTr="000C3A10">
        <w:trPr>
          <w:trHeight w:val="227"/>
          <w:jc w:val="center"/>
        </w:trPr>
        <w:tc>
          <w:tcPr>
            <w:tcW w:w="704" w:type="dxa"/>
            <w:vMerge w:val="restart"/>
            <w:noWrap/>
            <w:vAlign w:val="center"/>
            <w:hideMark/>
          </w:tcPr>
          <w:p w14:paraId="41C4AD30"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329</w:t>
            </w:r>
          </w:p>
          <w:p w14:paraId="3134D3DE" w14:textId="77777777" w:rsidR="00E35FC6" w:rsidRPr="009162B1" w:rsidRDefault="00E35FC6" w:rsidP="009162B1">
            <w:pPr>
              <w:spacing w:after="0" w:line="240" w:lineRule="auto"/>
              <w:rPr>
                <w:rFonts w:ascii="Calibri" w:hAnsi="Calibri" w:cs="Calibri"/>
                <w:color w:val="000000"/>
                <w:sz w:val="20"/>
                <w:szCs w:val="20"/>
                <w:lang w:eastAsia="cs-CZ"/>
              </w:rPr>
            </w:pPr>
            <w:proofErr w:type="spellStart"/>
            <w:r w:rsidRPr="009162B1">
              <w:rPr>
                <w:rFonts w:ascii="Calibri" w:hAnsi="Calibri" w:cs="Calibri"/>
                <w:color w:val="000000"/>
                <w:sz w:val="20"/>
                <w:szCs w:val="20"/>
                <w:lang w:eastAsia="cs-CZ"/>
              </w:rPr>
              <w:t>MZe</w:t>
            </w:r>
            <w:proofErr w:type="spellEnd"/>
          </w:p>
        </w:tc>
        <w:tc>
          <w:tcPr>
            <w:tcW w:w="1304" w:type="dxa"/>
            <w:noWrap/>
            <w:vAlign w:val="center"/>
            <w:hideMark/>
          </w:tcPr>
          <w:p w14:paraId="52B0C5C9"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EPO</w:t>
            </w:r>
          </w:p>
        </w:tc>
        <w:tc>
          <w:tcPr>
            <w:tcW w:w="1276" w:type="dxa"/>
            <w:vMerge w:val="restart"/>
            <w:noWrap/>
            <w:vAlign w:val="center"/>
            <w:hideMark/>
          </w:tcPr>
          <w:p w14:paraId="62A09D90"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22 063</w:t>
            </w:r>
          </w:p>
        </w:tc>
        <w:tc>
          <w:tcPr>
            <w:tcW w:w="1417" w:type="dxa"/>
            <w:noWrap/>
            <w:vAlign w:val="center"/>
            <w:hideMark/>
          </w:tcPr>
          <w:p w14:paraId="46C98C95"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0</w:t>
            </w:r>
          </w:p>
        </w:tc>
        <w:tc>
          <w:tcPr>
            <w:tcW w:w="4876" w:type="dxa"/>
            <w:noWrap/>
            <w:vAlign w:val="center"/>
            <w:hideMark/>
          </w:tcPr>
          <w:p w14:paraId="3D22FFDA" w14:textId="2B7F3332"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 xml:space="preserve">Platby ukončeny od </w:t>
            </w:r>
            <w:r w:rsidR="00C61D35">
              <w:rPr>
                <w:rFonts w:ascii="Calibri" w:hAnsi="Calibri" w:cs="Calibri"/>
                <w:color w:val="000000"/>
                <w:sz w:val="20"/>
                <w:szCs w:val="20"/>
                <w:lang w:eastAsia="cs-CZ"/>
              </w:rPr>
              <w:t xml:space="preserve">roku </w:t>
            </w:r>
            <w:r w:rsidRPr="009162B1">
              <w:rPr>
                <w:rFonts w:ascii="Calibri" w:hAnsi="Calibri" w:cs="Calibri"/>
                <w:color w:val="000000"/>
                <w:sz w:val="20"/>
                <w:szCs w:val="20"/>
                <w:lang w:eastAsia="cs-CZ"/>
              </w:rPr>
              <w:t>2014 (platby hradí 344 UPV)</w:t>
            </w:r>
            <w:r w:rsidR="00C61D35">
              <w:rPr>
                <w:rFonts w:ascii="Calibri" w:hAnsi="Calibri" w:cs="Calibri"/>
                <w:color w:val="000000"/>
                <w:sz w:val="20"/>
                <w:szCs w:val="20"/>
                <w:lang w:eastAsia="cs-CZ"/>
              </w:rPr>
              <w:t>.</w:t>
            </w:r>
          </w:p>
        </w:tc>
      </w:tr>
      <w:tr w:rsidR="00E35FC6" w:rsidRPr="009162B1" w14:paraId="4495FCAD" w14:textId="77777777" w:rsidTr="000C3A10">
        <w:trPr>
          <w:trHeight w:val="227"/>
          <w:jc w:val="center"/>
        </w:trPr>
        <w:tc>
          <w:tcPr>
            <w:tcW w:w="704" w:type="dxa"/>
            <w:vMerge/>
            <w:vAlign w:val="center"/>
            <w:hideMark/>
          </w:tcPr>
          <w:p w14:paraId="5599A15A" w14:textId="77777777" w:rsidR="00E35FC6" w:rsidRPr="009162B1" w:rsidRDefault="00E35FC6" w:rsidP="009162B1">
            <w:pPr>
              <w:spacing w:after="0" w:line="240" w:lineRule="auto"/>
              <w:rPr>
                <w:rFonts w:ascii="Calibri" w:hAnsi="Calibri" w:cs="Calibri"/>
                <w:color w:val="000000"/>
                <w:sz w:val="20"/>
                <w:szCs w:val="20"/>
                <w:lang w:eastAsia="cs-CZ"/>
              </w:rPr>
            </w:pPr>
          </w:p>
        </w:tc>
        <w:tc>
          <w:tcPr>
            <w:tcW w:w="1304" w:type="dxa"/>
            <w:noWrap/>
            <w:vAlign w:val="center"/>
            <w:hideMark/>
          </w:tcPr>
          <w:p w14:paraId="01CFE214"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VDLUFA</w:t>
            </w:r>
          </w:p>
        </w:tc>
        <w:tc>
          <w:tcPr>
            <w:tcW w:w="1276" w:type="dxa"/>
            <w:vMerge/>
            <w:vAlign w:val="center"/>
            <w:hideMark/>
          </w:tcPr>
          <w:p w14:paraId="1F20BE5C"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p>
        </w:tc>
        <w:tc>
          <w:tcPr>
            <w:tcW w:w="1417" w:type="dxa"/>
            <w:noWrap/>
            <w:vAlign w:val="center"/>
            <w:hideMark/>
          </w:tcPr>
          <w:p w14:paraId="46337F87"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64 434</w:t>
            </w:r>
          </w:p>
        </w:tc>
        <w:tc>
          <w:tcPr>
            <w:tcW w:w="4876" w:type="dxa"/>
            <w:noWrap/>
            <w:vAlign w:val="center"/>
            <w:hideMark/>
          </w:tcPr>
          <w:p w14:paraId="40B0400D" w14:textId="49ADF946"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 xml:space="preserve">Platby měly být ukončeny od </w:t>
            </w:r>
            <w:r w:rsidR="00C61D35">
              <w:rPr>
                <w:rFonts w:ascii="Calibri" w:hAnsi="Calibri" w:cs="Calibri"/>
                <w:color w:val="000000"/>
                <w:sz w:val="20"/>
                <w:szCs w:val="20"/>
                <w:lang w:eastAsia="cs-CZ"/>
              </w:rPr>
              <w:t xml:space="preserve">roku </w:t>
            </w:r>
            <w:r w:rsidRPr="009162B1">
              <w:rPr>
                <w:rFonts w:ascii="Calibri" w:hAnsi="Calibri" w:cs="Calibri"/>
                <w:color w:val="000000"/>
                <w:sz w:val="20"/>
                <w:szCs w:val="20"/>
                <w:lang w:eastAsia="cs-CZ"/>
              </w:rPr>
              <w:t>2014</w:t>
            </w:r>
            <w:r w:rsidR="00C61D35">
              <w:rPr>
                <w:rFonts w:ascii="Calibri" w:hAnsi="Calibri" w:cs="Calibri"/>
                <w:color w:val="000000"/>
                <w:sz w:val="20"/>
                <w:szCs w:val="20"/>
                <w:lang w:eastAsia="cs-CZ"/>
              </w:rPr>
              <w:t>.</w:t>
            </w:r>
          </w:p>
        </w:tc>
      </w:tr>
      <w:tr w:rsidR="00E35FC6" w:rsidRPr="009162B1" w14:paraId="77247184" w14:textId="77777777" w:rsidTr="000C3A10">
        <w:trPr>
          <w:trHeight w:val="227"/>
          <w:jc w:val="center"/>
        </w:trPr>
        <w:tc>
          <w:tcPr>
            <w:tcW w:w="704" w:type="dxa"/>
            <w:vMerge w:val="restart"/>
            <w:noWrap/>
            <w:vAlign w:val="center"/>
            <w:hideMark/>
          </w:tcPr>
          <w:p w14:paraId="490B5D67"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335</w:t>
            </w:r>
          </w:p>
          <w:p w14:paraId="540B091D" w14:textId="77777777" w:rsidR="00E35FC6" w:rsidRPr="009162B1" w:rsidRDefault="00E35FC6" w:rsidP="009162B1">
            <w:pPr>
              <w:spacing w:after="0" w:line="240" w:lineRule="auto"/>
              <w:rPr>
                <w:rFonts w:ascii="Calibri" w:hAnsi="Calibri" w:cs="Calibri"/>
                <w:color w:val="000000"/>
                <w:sz w:val="20"/>
                <w:szCs w:val="20"/>
                <w:lang w:eastAsia="cs-CZ"/>
              </w:rPr>
            </w:pPr>
            <w:proofErr w:type="spellStart"/>
            <w:r w:rsidRPr="009162B1">
              <w:rPr>
                <w:rFonts w:ascii="Calibri" w:hAnsi="Calibri" w:cs="Calibri"/>
                <w:color w:val="000000"/>
                <w:sz w:val="20"/>
                <w:szCs w:val="20"/>
                <w:lang w:eastAsia="cs-CZ"/>
              </w:rPr>
              <w:t>MZd</w:t>
            </w:r>
            <w:proofErr w:type="spellEnd"/>
          </w:p>
        </w:tc>
        <w:tc>
          <w:tcPr>
            <w:tcW w:w="1304" w:type="dxa"/>
            <w:noWrap/>
            <w:vAlign w:val="center"/>
            <w:hideMark/>
          </w:tcPr>
          <w:p w14:paraId="46698F6D"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ESIP/MEDEV</w:t>
            </w:r>
          </w:p>
        </w:tc>
        <w:tc>
          <w:tcPr>
            <w:tcW w:w="1276" w:type="dxa"/>
            <w:vMerge w:val="restart"/>
            <w:noWrap/>
            <w:vAlign w:val="center"/>
            <w:hideMark/>
          </w:tcPr>
          <w:p w14:paraId="5AB02608"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475 000</w:t>
            </w:r>
          </w:p>
        </w:tc>
        <w:tc>
          <w:tcPr>
            <w:tcW w:w="1417" w:type="dxa"/>
            <w:noWrap/>
            <w:vAlign w:val="center"/>
            <w:hideMark/>
          </w:tcPr>
          <w:p w14:paraId="32AFEE27"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113 077</w:t>
            </w:r>
          </w:p>
        </w:tc>
        <w:tc>
          <w:tcPr>
            <w:tcW w:w="4876" w:type="dxa"/>
            <w:vMerge w:val="restart"/>
            <w:noWrap/>
            <w:vAlign w:val="center"/>
            <w:hideMark/>
          </w:tcPr>
          <w:p w14:paraId="22502191" w14:textId="1990FEA8"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Platby hradí SUKL</w:t>
            </w:r>
            <w:r w:rsidR="00C61D35">
              <w:rPr>
                <w:rFonts w:ascii="Calibri" w:hAnsi="Calibri" w:cs="Calibri"/>
                <w:color w:val="000000"/>
                <w:sz w:val="20"/>
                <w:szCs w:val="20"/>
                <w:lang w:eastAsia="cs-CZ"/>
              </w:rPr>
              <w:t>.</w:t>
            </w:r>
          </w:p>
        </w:tc>
      </w:tr>
      <w:tr w:rsidR="00E35FC6" w:rsidRPr="009162B1" w14:paraId="0938D38E" w14:textId="77777777" w:rsidTr="000C3A10">
        <w:trPr>
          <w:trHeight w:val="227"/>
          <w:jc w:val="center"/>
        </w:trPr>
        <w:tc>
          <w:tcPr>
            <w:tcW w:w="704" w:type="dxa"/>
            <w:vMerge/>
            <w:vAlign w:val="center"/>
            <w:hideMark/>
          </w:tcPr>
          <w:p w14:paraId="4C23DDD9" w14:textId="77777777" w:rsidR="00E35FC6" w:rsidRPr="009162B1" w:rsidRDefault="00E35FC6" w:rsidP="009162B1">
            <w:pPr>
              <w:spacing w:after="0" w:line="240" w:lineRule="auto"/>
              <w:rPr>
                <w:rFonts w:ascii="Calibri" w:hAnsi="Calibri" w:cs="Calibri"/>
                <w:color w:val="000000"/>
                <w:sz w:val="20"/>
                <w:szCs w:val="20"/>
                <w:lang w:eastAsia="cs-CZ"/>
              </w:rPr>
            </w:pPr>
          </w:p>
        </w:tc>
        <w:tc>
          <w:tcPr>
            <w:tcW w:w="1304" w:type="dxa"/>
            <w:noWrap/>
            <w:vAlign w:val="center"/>
            <w:hideMark/>
          </w:tcPr>
          <w:p w14:paraId="1702A247"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PIC/S</w:t>
            </w:r>
          </w:p>
        </w:tc>
        <w:tc>
          <w:tcPr>
            <w:tcW w:w="1276" w:type="dxa"/>
            <w:vMerge/>
            <w:vAlign w:val="center"/>
            <w:hideMark/>
          </w:tcPr>
          <w:p w14:paraId="5B184C77"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p>
        </w:tc>
        <w:tc>
          <w:tcPr>
            <w:tcW w:w="1417" w:type="dxa"/>
            <w:noWrap/>
            <w:vAlign w:val="center"/>
            <w:hideMark/>
          </w:tcPr>
          <w:p w14:paraId="4E3A66CB"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185 879</w:t>
            </w:r>
          </w:p>
        </w:tc>
        <w:tc>
          <w:tcPr>
            <w:tcW w:w="4876" w:type="dxa"/>
            <w:vMerge/>
            <w:vAlign w:val="center"/>
            <w:hideMark/>
          </w:tcPr>
          <w:p w14:paraId="3186535D" w14:textId="77777777" w:rsidR="00E35FC6" w:rsidRPr="009162B1" w:rsidRDefault="00E35FC6" w:rsidP="009162B1">
            <w:pPr>
              <w:spacing w:after="0" w:line="240" w:lineRule="auto"/>
              <w:rPr>
                <w:rFonts w:ascii="Calibri" w:hAnsi="Calibri" w:cs="Calibri"/>
                <w:color w:val="000000"/>
                <w:sz w:val="20"/>
                <w:szCs w:val="20"/>
                <w:lang w:eastAsia="cs-CZ"/>
              </w:rPr>
            </w:pPr>
          </w:p>
        </w:tc>
      </w:tr>
      <w:tr w:rsidR="00E35FC6" w:rsidRPr="009162B1" w14:paraId="5A1B345E" w14:textId="77777777" w:rsidTr="000C3A10">
        <w:trPr>
          <w:trHeight w:val="227"/>
          <w:jc w:val="center"/>
        </w:trPr>
        <w:tc>
          <w:tcPr>
            <w:tcW w:w="704" w:type="dxa"/>
            <w:vMerge w:val="restart"/>
            <w:noWrap/>
            <w:vAlign w:val="center"/>
            <w:hideMark/>
          </w:tcPr>
          <w:p w14:paraId="6418ADF9"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336</w:t>
            </w:r>
          </w:p>
          <w:p w14:paraId="21D71CEC"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MSP</w:t>
            </w:r>
          </w:p>
        </w:tc>
        <w:tc>
          <w:tcPr>
            <w:tcW w:w="1304" w:type="dxa"/>
            <w:noWrap/>
            <w:vAlign w:val="center"/>
            <w:hideMark/>
          </w:tcPr>
          <w:p w14:paraId="547D600D"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AHJUCAF</w:t>
            </w:r>
          </w:p>
        </w:tc>
        <w:tc>
          <w:tcPr>
            <w:tcW w:w="1276" w:type="dxa"/>
            <w:vMerge w:val="restart"/>
            <w:noWrap/>
            <w:vAlign w:val="center"/>
            <w:hideMark/>
          </w:tcPr>
          <w:p w14:paraId="68DAB626"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238 000</w:t>
            </w:r>
          </w:p>
        </w:tc>
        <w:tc>
          <w:tcPr>
            <w:tcW w:w="1417" w:type="dxa"/>
            <w:noWrap/>
            <w:vAlign w:val="center"/>
            <w:hideMark/>
          </w:tcPr>
          <w:p w14:paraId="298AD16F"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0</w:t>
            </w:r>
          </w:p>
        </w:tc>
        <w:tc>
          <w:tcPr>
            <w:tcW w:w="4876" w:type="dxa"/>
            <w:noWrap/>
            <w:vAlign w:val="center"/>
            <w:hideMark/>
          </w:tcPr>
          <w:p w14:paraId="4D914BF1" w14:textId="77777777"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 -</w:t>
            </w:r>
          </w:p>
        </w:tc>
      </w:tr>
      <w:tr w:rsidR="00E35FC6" w:rsidRPr="009162B1" w14:paraId="0B7053D8" w14:textId="77777777" w:rsidTr="000C3A10">
        <w:trPr>
          <w:trHeight w:val="227"/>
          <w:jc w:val="center"/>
        </w:trPr>
        <w:tc>
          <w:tcPr>
            <w:tcW w:w="704" w:type="dxa"/>
            <w:vMerge/>
            <w:vAlign w:val="center"/>
            <w:hideMark/>
          </w:tcPr>
          <w:p w14:paraId="60B4CF7D" w14:textId="77777777" w:rsidR="00E35FC6" w:rsidRPr="009162B1" w:rsidRDefault="00E35FC6" w:rsidP="009162B1">
            <w:pPr>
              <w:spacing w:after="0" w:line="240" w:lineRule="auto"/>
              <w:rPr>
                <w:rFonts w:ascii="Calibri" w:hAnsi="Calibri" w:cs="Calibri"/>
                <w:color w:val="000000"/>
                <w:sz w:val="20"/>
                <w:szCs w:val="20"/>
                <w:lang w:eastAsia="cs-CZ"/>
              </w:rPr>
            </w:pPr>
          </w:p>
        </w:tc>
        <w:tc>
          <w:tcPr>
            <w:tcW w:w="1304" w:type="dxa"/>
            <w:noWrap/>
            <w:vAlign w:val="center"/>
            <w:hideMark/>
          </w:tcPr>
          <w:p w14:paraId="1388EA58" w14:textId="77777777" w:rsidR="00E35FC6" w:rsidRPr="009162B1" w:rsidRDefault="00E35FC6" w:rsidP="009162B1">
            <w:pPr>
              <w:spacing w:after="0" w:line="240" w:lineRule="auto"/>
              <w:rPr>
                <w:rFonts w:ascii="Calibri" w:hAnsi="Calibri" w:cs="Calibri"/>
                <w:color w:val="000000"/>
                <w:sz w:val="20"/>
                <w:szCs w:val="20"/>
                <w:lang w:eastAsia="cs-CZ"/>
              </w:rPr>
            </w:pPr>
            <w:proofErr w:type="spellStart"/>
            <w:r w:rsidRPr="009162B1">
              <w:rPr>
                <w:rFonts w:ascii="Calibri" w:hAnsi="Calibri" w:cs="Calibri"/>
                <w:color w:val="000000"/>
                <w:sz w:val="20"/>
                <w:szCs w:val="20"/>
                <w:lang w:eastAsia="cs-CZ"/>
              </w:rPr>
              <w:t>EuroPris</w:t>
            </w:r>
            <w:proofErr w:type="spellEnd"/>
          </w:p>
        </w:tc>
        <w:tc>
          <w:tcPr>
            <w:tcW w:w="1276" w:type="dxa"/>
            <w:vMerge/>
            <w:vAlign w:val="center"/>
            <w:hideMark/>
          </w:tcPr>
          <w:p w14:paraId="0692F615"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p>
        </w:tc>
        <w:tc>
          <w:tcPr>
            <w:tcW w:w="1417" w:type="dxa"/>
            <w:noWrap/>
            <w:vAlign w:val="center"/>
            <w:hideMark/>
          </w:tcPr>
          <w:p w14:paraId="4EF73B60" w14:textId="77777777" w:rsidR="00E35FC6" w:rsidRPr="009162B1" w:rsidRDefault="00E35FC6" w:rsidP="009162B1">
            <w:pPr>
              <w:spacing w:after="0" w:line="240" w:lineRule="auto"/>
              <w:ind w:right="70"/>
              <w:jc w:val="right"/>
              <w:rPr>
                <w:rFonts w:ascii="Calibri" w:hAnsi="Calibri" w:cs="Calibri"/>
                <w:color w:val="000000"/>
                <w:sz w:val="20"/>
                <w:szCs w:val="20"/>
                <w:lang w:eastAsia="cs-CZ"/>
              </w:rPr>
            </w:pPr>
            <w:r w:rsidRPr="009162B1">
              <w:rPr>
                <w:rFonts w:ascii="Calibri" w:hAnsi="Calibri" w:cs="Calibri"/>
                <w:color w:val="000000"/>
                <w:sz w:val="20"/>
                <w:szCs w:val="20"/>
                <w:lang w:eastAsia="cs-CZ"/>
              </w:rPr>
              <w:t>156 999</w:t>
            </w:r>
          </w:p>
        </w:tc>
        <w:tc>
          <w:tcPr>
            <w:tcW w:w="4876" w:type="dxa"/>
            <w:noWrap/>
            <w:vAlign w:val="center"/>
            <w:hideMark/>
          </w:tcPr>
          <w:p w14:paraId="7DADB11B" w14:textId="32D588D2" w:rsidR="00E35FC6" w:rsidRPr="009162B1" w:rsidRDefault="00E35FC6" w:rsidP="009162B1">
            <w:pPr>
              <w:spacing w:after="0" w:line="240" w:lineRule="auto"/>
              <w:rPr>
                <w:rFonts w:ascii="Calibri" w:hAnsi="Calibri" w:cs="Calibri"/>
                <w:color w:val="000000"/>
                <w:sz w:val="20"/>
                <w:szCs w:val="20"/>
                <w:lang w:eastAsia="cs-CZ"/>
              </w:rPr>
            </w:pPr>
            <w:r w:rsidRPr="009162B1">
              <w:rPr>
                <w:rFonts w:ascii="Calibri" w:hAnsi="Calibri" w:cs="Calibri"/>
                <w:color w:val="000000"/>
                <w:sz w:val="20"/>
                <w:szCs w:val="20"/>
                <w:lang w:eastAsia="cs-CZ"/>
              </w:rPr>
              <w:t>Platby neměly být hrazeny již od roku 2013</w:t>
            </w:r>
            <w:r w:rsidR="00C61D35">
              <w:rPr>
                <w:rFonts w:ascii="Calibri" w:hAnsi="Calibri" w:cs="Calibri"/>
                <w:color w:val="000000"/>
                <w:sz w:val="20"/>
                <w:szCs w:val="20"/>
                <w:lang w:eastAsia="cs-CZ"/>
              </w:rPr>
              <w:t>.</w:t>
            </w:r>
          </w:p>
        </w:tc>
      </w:tr>
    </w:tbl>
    <w:p w14:paraId="6F4D42D5" w14:textId="09F905AE" w:rsidR="00E35FC6" w:rsidRPr="00F364BD" w:rsidRDefault="00E35FC6" w:rsidP="00C61D35">
      <w:pPr>
        <w:tabs>
          <w:tab w:val="left" w:pos="851"/>
        </w:tabs>
        <w:spacing w:before="40" w:after="0"/>
        <w:ind w:left="567" w:hanging="567"/>
        <w:rPr>
          <w:rFonts w:cstheme="minorHAnsi"/>
          <w:sz w:val="20"/>
          <w:szCs w:val="20"/>
        </w:rPr>
      </w:pPr>
      <w:r w:rsidRPr="00F973B8">
        <w:rPr>
          <w:rFonts w:cstheme="minorHAnsi"/>
          <w:b/>
          <w:sz w:val="20"/>
          <w:szCs w:val="20"/>
          <w:lang w:eastAsia="cs-CZ"/>
        </w:rPr>
        <w:t>Zdroj:</w:t>
      </w:r>
      <w:r w:rsidRPr="00F364BD">
        <w:rPr>
          <w:rFonts w:cstheme="minorHAnsi"/>
          <w:sz w:val="20"/>
          <w:szCs w:val="20"/>
          <w:lang w:eastAsia="cs-CZ"/>
        </w:rPr>
        <w:t xml:space="preserve"> *</w:t>
      </w:r>
      <w:r w:rsidR="00C61D35">
        <w:rPr>
          <w:rFonts w:cstheme="minorHAnsi"/>
          <w:sz w:val="20"/>
          <w:szCs w:val="20"/>
          <w:lang w:eastAsia="cs-CZ"/>
        </w:rPr>
        <w:t xml:space="preserve"> </w:t>
      </w:r>
      <w:r w:rsidR="00C61D35">
        <w:rPr>
          <w:rFonts w:cstheme="minorHAnsi"/>
          <w:sz w:val="20"/>
          <w:szCs w:val="20"/>
          <w:lang w:eastAsia="cs-CZ"/>
        </w:rPr>
        <w:tab/>
      </w:r>
      <w:r w:rsidRPr="00F364BD">
        <w:rPr>
          <w:rFonts w:cstheme="minorHAnsi"/>
          <w:i/>
          <w:sz w:val="20"/>
          <w:szCs w:val="20"/>
          <w:lang w:eastAsia="cs-CZ"/>
        </w:rPr>
        <w:t>Informace o členství České republiky v mezinárodních organizacích – očekávané úspory od roku 2014</w:t>
      </w:r>
      <w:r w:rsidRPr="00F364BD">
        <w:rPr>
          <w:rFonts w:cstheme="minorHAnsi"/>
          <w:sz w:val="20"/>
          <w:szCs w:val="20"/>
          <w:lang w:eastAsia="cs-CZ"/>
        </w:rPr>
        <w:t xml:space="preserve">, </w:t>
      </w:r>
      <w:r w:rsidR="00C61D35">
        <w:rPr>
          <w:rFonts w:cstheme="minorHAnsi"/>
          <w:sz w:val="20"/>
          <w:szCs w:val="20"/>
          <w:lang w:eastAsia="cs-CZ"/>
        </w:rPr>
        <w:br/>
      </w:r>
      <w:r w:rsidRPr="00F364BD">
        <w:rPr>
          <w:rFonts w:cstheme="minorHAnsi"/>
          <w:sz w:val="20"/>
          <w:szCs w:val="20"/>
          <w:lang w:eastAsia="cs-CZ"/>
        </w:rPr>
        <w:t>**</w:t>
      </w:r>
      <w:r w:rsidR="00C61D35">
        <w:rPr>
          <w:rFonts w:cstheme="minorHAnsi"/>
          <w:sz w:val="20"/>
          <w:szCs w:val="20"/>
          <w:lang w:eastAsia="cs-CZ"/>
        </w:rPr>
        <w:t xml:space="preserve"> </w:t>
      </w:r>
      <w:r w:rsidR="00C61D35">
        <w:rPr>
          <w:rFonts w:cstheme="minorHAnsi"/>
          <w:sz w:val="20"/>
          <w:szCs w:val="20"/>
          <w:lang w:eastAsia="cs-CZ"/>
        </w:rPr>
        <w:tab/>
      </w:r>
      <w:r w:rsidRPr="00F364BD">
        <w:rPr>
          <w:rFonts w:cstheme="minorHAnsi"/>
          <w:sz w:val="20"/>
          <w:szCs w:val="20"/>
          <w:lang w:eastAsia="cs-CZ"/>
        </w:rPr>
        <w:t>Informace získané dotazníkovým šetřením NKÚ</w:t>
      </w:r>
      <w:r w:rsidR="00C106C6">
        <w:rPr>
          <w:rFonts w:cstheme="minorHAnsi"/>
          <w:sz w:val="20"/>
          <w:szCs w:val="20"/>
          <w:lang w:eastAsia="cs-CZ"/>
        </w:rPr>
        <w:t>;</w:t>
      </w:r>
      <w:r w:rsidRPr="00F364BD">
        <w:rPr>
          <w:rFonts w:cstheme="minorHAnsi"/>
          <w:sz w:val="20"/>
          <w:szCs w:val="20"/>
          <w:lang w:eastAsia="cs-CZ"/>
        </w:rPr>
        <w:t xml:space="preserve"> </w:t>
      </w:r>
      <w:r w:rsidR="00C61D35">
        <w:rPr>
          <w:rFonts w:cstheme="minorHAnsi"/>
          <w:sz w:val="20"/>
          <w:szCs w:val="20"/>
        </w:rPr>
        <w:t>vypracoval NKÚ</w:t>
      </w:r>
      <w:r>
        <w:rPr>
          <w:rFonts w:cstheme="minorHAnsi"/>
          <w:sz w:val="20"/>
          <w:szCs w:val="20"/>
        </w:rPr>
        <w:t>.</w:t>
      </w:r>
    </w:p>
    <w:p w14:paraId="0209DC85" w14:textId="77777777" w:rsidR="009162B1" w:rsidRPr="009162B1" w:rsidRDefault="009162B1" w:rsidP="009162B1">
      <w:pPr>
        <w:spacing w:after="0" w:line="240" w:lineRule="auto"/>
        <w:jc w:val="both"/>
        <w:rPr>
          <w:rFonts w:ascii="Calibri" w:hAnsi="Calibri" w:cs="Calibri"/>
          <w:sz w:val="24"/>
          <w:szCs w:val="24"/>
        </w:rPr>
      </w:pPr>
    </w:p>
    <w:p w14:paraId="4F5D8699" w14:textId="40AA2888" w:rsidR="00E35FC6" w:rsidRDefault="00E35FC6" w:rsidP="009162B1">
      <w:pPr>
        <w:spacing w:after="0" w:line="240" w:lineRule="auto"/>
        <w:jc w:val="both"/>
        <w:rPr>
          <w:rFonts w:ascii="Calibri" w:eastAsia="Calibri" w:hAnsi="Calibri" w:cs="Calibri"/>
          <w:sz w:val="24"/>
          <w:szCs w:val="24"/>
          <w:lang w:eastAsia="cs-CZ"/>
        </w:rPr>
      </w:pPr>
      <w:r w:rsidRPr="009162B1">
        <w:rPr>
          <w:rFonts w:ascii="Calibri" w:hAnsi="Calibri" w:cs="Calibri"/>
          <w:sz w:val="24"/>
          <w:szCs w:val="24"/>
        </w:rPr>
        <w:t>Z výše uvedené tabulky vyplývá, že třem MEO (</w:t>
      </w:r>
      <w:proofErr w:type="spellStart"/>
      <w:r w:rsidRPr="009162B1">
        <w:rPr>
          <w:rFonts w:ascii="Calibri" w:hAnsi="Calibri" w:cs="Calibri"/>
          <w:sz w:val="24"/>
          <w:szCs w:val="24"/>
        </w:rPr>
        <w:t>EuroPris</w:t>
      </w:r>
      <w:proofErr w:type="spellEnd"/>
      <w:r w:rsidRPr="009162B1">
        <w:rPr>
          <w:rFonts w:ascii="Calibri" w:hAnsi="Calibri" w:cs="Calibri"/>
          <w:sz w:val="24"/>
          <w:szCs w:val="24"/>
        </w:rPr>
        <w:t>, VDLUFA, OSJD)</w:t>
      </w:r>
      <w:r w:rsidR="00C61D35">
        <w:rPr>
          <w:rFonts w:ascii="Calibri" w:hAnsi="Calibri" w:cs="Calibri"/>
          <w:sz w:val="24"/>
          <w:szCs w:val="24"/>
        </w:rPr>
        <w:t>,</w:t>
      </w:r>
      <w:r w:rsidRPr="009162B1">
        <w:rPr>
          <w:rFonts w:ascii="Calibri" w:hAnsi="Calibri" w:cs="Calibri"/>
          <w:sz w:val="24"/>
          <w:szCs w:val="24"/>
        </w:rPr>
        <w:t xml:space="preserve"> u </w:t>
      </w:r>
      <w:r w:rsidR="00C61D35">
        <w:rPr>
          <w:rFonts w:ascii="Calibri" w:hAnsi="Calibri" w:cs="Calibri"/>
          <w:sz w:val="24"/>
          <w:szCs w:val="24"/>
        </w:rPr>
        <w:t>nichž</w:t>
      </w:r>
      <w:r w:rsidRPr="009162B1">
        <w:rPr>
          <w:rFonts w:ascii="Calibri" w:hAnsi="Calibri" w:cs="Calibri"/>
          <w:sz w:val="24"/>
          <w:szCs w:val="24"/>
        </w:rPr>
        <w:t xml:space="preserve"> bylo</w:t>
      </w:r>
      <w:r w:rsidRPr="009162B1">
        <w:rPr>
          <w:rFonts w:ascii="Calibri" w:hAnsi="Calibri" w:cs="Calibri"/>
          <w:i/>
          <w:sz w:val="24"/>
          <w:szCs w:val="24"/>
          <w:lang w:eastAsia="cs-CZ"/>
        </w:rPr>
        <w:t xml:space="preserve"> </w:t>
      </w:r>
      <w:r w:rsidRPr="009162B1">
        <w:rPr>
          <w:rFonts w:ascii="Calibri" w:hAnsi="Calibri" w:cs="Calibri"/>
          <w:sz w:val="24"/>
          <w:szCs w:val="24"/>
        </w:rPr>
        <w:t>rozhodnuto o definitivním ukončení spolupráce či plateb ze státního rozpočtu, byly v roce 2018 nadále poskytovány peněžní příspěvky, a to v celkové výši téměř 2,5 mil. Kč. Další úspory navrhlo MZV u</w:t>
      </w:r>
      <w:r w:rsidR="000C3A10">
        <w:rPr>
          <w:rFonts w:ascii="Calibri" w:hAnsi="Calibri" w:cs="Calibri"/>
          <w:sz w:val="24"/>
          <w:szCs w:val="24"/>
        </w:rPr>
        <w:t> </w:t>
      </w:r>
      <w:r w:rsidRPr="009162B1">
        <w:rPr>
          <w:rFonts w:ascii="Calibri" w:hAnsi="Calibri" w:cs="Calibri"/>
          <w:sz w:val="24"/>
          <w:szCs w:val="24"/>
        </w:rPr>
        <w:t>4</w:t>
      </w:r>
      <w:r w:rsidR="000C3A10">
        <w:rPr>
          <w:rFonts w:ascii="Calibri" w:hAnsi="Calibri" w:cs="Calibri"/>
          <w:sz w:val="24"/>
          <w:szCs w:val="24"/>
        </w:rPr>
        <w:t> </w:t>
      </w:r>
      <w:r w:rsidRPr="009162B1">
        <w:rPr>
          <w:rFonts w:ascii="Calibri" w:hAnsi="Calibri" w:cs="Calibri"/>
          <w:sz w:val="24"/>
          <w:szCs w:val="24"/>
        </w:rPr>
        <w:t xml:space="preserve">MEO ve své gesci. Těmto MEO však v roce 2018 uhradilo prostředky ve výši 8 mil. Kč (viz část </w:t>
      </w:r>
      <w:proofErr w:type="gramStart"/>
      <w:r w:rsidRPr="009162B1">
        <w:rPr>
          <w:rFonts w:ascii="Calibri" w:hAnsi="Calibri" w:cs="Calibri"/>
          <w:sz w:val="24"/>
          <w:szCs w:val="24"/>
        </w:rPr>
        <w:t>IV.6</w:t>
      </w:r>
      <w:r w:rsidR="00C61D35">
        <w:rPr>
          <w:rFonts w:ascii="Calibri" w:hAnsi="Calibri" w:cs="Calibri"/>
          <w:sz w:val="24"/>
          <w:szCs w:val="24"/>
        </w:rPr>
        <w:t xml:space="preserve"> tohoto</w:t>
      </w:r>
      <w:proofErr w:type="gramEnd"/>
      <w:r w:rsidR="00C61D35">
        <w:rPr>
          <w:rFonts w:ascii="Calibri" w:hAnsi="Calibri" w:cs="Calibri"/>
          <w:sz w:val="24"/>
          <w:szCs w:val="24"/>
        </w:rPr>
        <w:t xml:space="preserve"> kontrolního závěru</w:t>
      </w:r>
      <w:r w:rsidRPr="009162B1">
        <w:rPr>
          <w:rFonts w:ascii="Calibri" w:hAnsi="Calibri" w:cs="Calibri"/>
          <w:sz w:val="24"/>
          <w:szCs w:val="24"/>
        </w:rPr>
        <w:t xml:space="preserve">). </w:t>
      </w:r>
      <w:r w:rsidRPr="009162B1">
        <w:rPr>
          <w:rFonts w:ascii="Calibri" w:eastAsia="Calibri" w:hAnsi="Calibri" w:cs="Calibri"/>
          <w:sz w:val="24"/>
          <w:szCs w:val="24"/>
          <w:lang w:eastAsia="cs-CZ"/>
        </w:rPr>
        <w:t xml:space="preserve">Přestože MZV uvedlo, že úkol identifikovat úspory a zvýšit efektivnost </w:t>
      </w:r>
      <w:r w:rsidRPr="009162B1">
        <w:rPr>
          <w:rFonts w:ascii="Calibri" w:hAnsi="Calibri" w:cs="Calibri"/>
          <w:sz w:val="24"/>
          <w:szCs w:val="24"/>
        </w:rPr>
        <w:t>členství, resp. spolupráce,</w:t>
      </w:r>
      <w:r w:rsidRPr="009162B1">
        <w:rPr>
          <w:rFonts w:ascii="Calibri" w:eastAsia="Calibri" w:hAnsi="Calibri" w:cs="Calibri"/>
          <w:sz w:val="24"/>
          <w:szCs w:val="24"/>
          <w:lang w:eastAsia="cs-CZ"/>
        </w:rPr>
        <w:t xml:space="preserve"> v</w:t>
      </w:r>
      <w:r w:rsidR="000C3A10">
        <w:rPr>
          <w:rFonts w:ascii="Calibri" w:eastAsia="Calibri" w:hAnsi="Calibri" w:cs="Calibri"/>
          <w:sz w:val="24"/>
          <w:szCs w:val="24"/>
          <w:lang w:eastAsia="cs-CZ"/>
        </w:rPr>
        <w:t> </w:t>
      </w:r>
      <w:r w:rsidRPr="009162B1">
        <w:rPr>
          <w:rFonts w:ascii="Calibri" w:eastAsia="Calibri" w:hAnsi="Calibri" w:cs="Calibri"/>
          <w:sz w:val="24"/>
          <w:szCs w:val="24"/>
          <w:lang w:eastAsia="cs-CZ"/>
        </w:rPr>
        <w:t xml:space="preserve">MEO je trvalý a bude průběžně vyhodnocován, plnění úkolu dále nesledovalo. </w:t>
      </w:r>
    </w:p>
    <w:p w14:paraId="520182D6" w14:textId="77777777" w:rsidR="000C3A10" w:rsidRPr="009162B1" w:rsidRDefault="000C3A10" w:rsidP="009162B1">
      <w:pPr>
        <w:spacing w:after="0" w:line="240" w:lineRule="auto"/>
        <w:jc w:val="both"/>
        <w:rPr>
          <w:rFonts w:ascii="Calibri" w:hAnsi="Calibri" w:cs="Calibri"/>
          <w:sz w:val="24"/>
          <w:szCs w:val="24"/>
        </w:rPr>
      </w:pPr>
    </w:p>
    <w:p w14:paraId="1F0521C3" w14:textId="77777777" w:rsidR="00E35FC6" w:rsidRPr="009162B1" w:rsidRDefault="00E35FC6" w:rsidP="009162B1">
      <w:pPr>
        <w:spacing w:after="0" w:line="240" w:lineRule="auto"/>
        <w:jc w:val="both"/>
        <w:rPr>
          <w:rFonts w:ascii="Calibri" w:hAnsi="Calibri" w:cs="Calibri"/>
          <w:i/>
          <w:sz w:val="24"/>
          <w:szCs w:val="24"/>
          <w:lang w:eastAsia="cs-CZ"/>
        </w:rPr>
      </w:pPr>
      <w:r w:rsidRPr="009162B1">
        <w:rPr>
          <w:rFonts w:ascii="Calibri" w:hAnsi="Calibri" w:cs="Calibri"/>
          <w:sz w:val="24"/>
          <w:szCs w:val="24"/>
          <w:lang w:eastAsia="cs-CZ"/>
        </w:rPr>
        <w:lastRenderedPageBreak/>
        <w:t xml:space="preserve">Dále MZV </w:t>
      </w:r>
      <w:r w:rsidRPr="009162B1">
        <w:rPr>
          <w:rFonts w:ascii="Calibri" w:eastAsia="Calibri" w:hAnsi="Calibri" w:cs="Calibri"/>
          <w:sz w:val="24"/>
          <w:szCs w:val="24"/>
          <w:lang w:eastAsia="cs-CZ"/>
        </w:rPr>
        <w:t xml:space="preserve">v materiálu </w:t>
      </w:r>
      <w:r w:rsidRPr="009162B1">
        <w:rPr>
          <w:rFonts w:ascii="Calibri" w:eastAsia="Calibri" w:hAnsi="Calibri" w:cs="Calibri"/>
          <w:i/>
          <w:sz w:val="24"/>
          <w:szCs w:val="24"/>
          <w:lang w:eastAsia="cs-CZ"/>
        </w:rPr>
        <w:t xml:space="preserve">Informace o členství České republiky v mezinárodních organizacích – očekávané úspory od roku 2014 </w:t>
      </w:r>
      <w:r w:rsidRPr="009162B1">
        <w:rPr>
          <w:rFonts w:ascii="Calibri" w:hAnsi="Calibri" w:cs="Calibri"/>
          <w:sz w:val="24"/>
          <w:szCs w:val="24"/>
          <w:lang w:eastAsia="cs-CZ"/>
        </w:rPr>
        <w:t>upozornilo na problém kurzových rozdílů při platbách MEO.</w:t>
      </w:r>
    </w:p>
    <w:p w14:paraId="22ECFD66" w14:textId="77777777" w:rsidR="009162B1" w:rsidRDefault="009162B1" w:rsidP="009162B1">
      <w:pPr>
        <w:spacing w:after="0" w:line="240" w:lineRule="auto"/>
        <w:jc w:val="both"/>
        <w:rPr>
          <w:rFonts w:ascii="Calibri" w:hAnsi="Calibri" w:cs="Calibri"/>
          <w:sz w:val="24"/>
          <w:szCs w:val="24"/>
        </w:rPr>
      </w:pPr>
    </w:p>
    <w:p w14:paraId="78C1F76F" w14:textId="0C45F9E5" w:rsidR="00E35FC6" w:rsidRDefault="00E35FC6" w:rsidP="009162B1">
      <w:pPr>
        <w:spacing w:after="0" w:line="240" w:lineRule="auto"/>
        <w:jc w:val="both"/>
        <w:rPr>
          <w:rFonts w:ascii="Calibri" w:hAnsi="Calibri" w:cs="Calibri"/>
          <w:sz w:val="24"/>
          <w:szCs w:val="24"/>
        </w:rPr>
      </w:pPr>
      <w:r w:rsidRPr="009162B1">
        <w:rPr>
          <w:rFonts w:ascii="Calibri" w:hAnsi="Calibri" w:cs="Calibri"/>
          <w:sz w:val="24"/>
          <w:szCs w:val="24"/>
        </w:rPr>
        <w:t>V březnu 2013</w:t>
      </w:r>
      <w:r w:rsidRPr="009162B1">
        <w:rPr>
          <w:rFonts w:ascii="Calibri" w:hAnsi="Calibri" w:cs="Calibri"/>
          <w:sz w:val="24"/>
          <w:szCs w:val="24"/>
          <w:lang w:bidi="cs-CZ"/>
        </w:rPr>
        <w:t xml:space="preserve"> adresovalo MF žádost o povolení změny platebního režimu při úhradách členských příspěvků MEO v </w:t>
      </w:r>
      <w:r w:rsidR="00EA55FB">
        <w:rPr>
          <w:rFonts w:ascii="Calibri" w:hAnsi="Calibri" w:cs="Calibri"/>
          <w:sz w:val="24"/>
          <w:szCs w:val="24"/>
          <w:lang w:bidi="cs-CZ"/>
        </w:rPr>
        <w:t>eurech</w:t>
      </w:r>
      <w:r w:rsidRPr="009162B1">
        <w:rPr>
          <w:rFonts w:ascii="Calibri" w:hAnsi="Calibri" w:cs="Calibri"/>
          <w:sz w:val="24"/>
          <w:szCs w:val="24"/>
          <w:lang w:bidi="cs-CZ"/>
        </w:rPr>
        <w:t xml:space="preserve">, které MF následně vyhovělo. </w:t>
      </w:r>
      <w:r w:rsidRPr="009162B1">
        <w:rPr>
          <w:rFonts w:ascii="Calibri" w:hAnsi="Calibri" w:cs="Calibri"/>
          <w:sz w:val="24"/>
          <w:szCs w:val="24"/>
        </w:rPr>
        <w:t>MZV v souvislosti s úhradou těchto plateb vytvořilo mj. vnitřní předpis, který spolupráci s MF při platbách příspěvků MEO v gesci MZV v </w:t>
      </w:r>
      <w:r w:rsidR="00EA55FB">
        <w:rPr>
          <w:rFonts w:ascii="Calibri" w:hAnsi="Calibri" w:cs="Calibri"/>
          <w:sz w:val="24"/>
          <w:szCs w:val="24"/>
        </w:rPr>
        <w:t>eurech</w:t>
      </w:r>
      <w:r w:rsidRPr="009162B1">
        <w:rPr>
          <w:rFonts w:ascii="Calibri" w:hAnsi="Calibri" w:cs="Calibri"/>
          <w:sz w:val="24"/>
          <w:szCs w:val="24"/>
        </w:rPr>
        <w:t xml:space="preserve"> dále upravoval. MZV ve spolupráci s MF v období let 2014</w:t>
      </w:r>
      <w:r w:rsidRPr="009162B1">
        <w:rPr>
          <w:rFonts w:ascii="Calibri" w:eastAsia="Calibri" w:hAnsi="Calibri" w:cs="Calibri"/>
          <w:sz w:val="24"/>
          <w:szCs w:val="24"/>
        </w:rPr>
        <w:t>–</w:t>
      </w:r>
      <w:r w:rsidRPr="009162B1">
        <w:rPr>
          <w:rFonts w:ascii="Calibri" w:hAnsi="Calibri" w:cs="Calibri"/>
          <w:sz w:val="24"/>
          <w:szCs w:val="24"/>
        </w:rPr>
        <w:t>2018 provedlo celkem 42 dávkových plateb ve výši 2,8 mld. Kč a dosáhlo úspor ve výši 14,1 mil. Kč</w:t>
      </w:r>
      <w:r w:rsidRPr="009162B1">
        <w:rPr>
          <w:rStyle w:val="Znakapoznpodarou"/>
          <w:rFonts w:ascii="Calibri" w:hAnsi="Calibri" w:cs="Calibri"/>
          <w:sz w:val="24"/>
          <w:szCs w:val="24"/>
        </w:rPr>
        <w:footnoteReference w:id="26"/>
      </w:r>
      <w:r w:rsidRPr="009162B1">
        <w:rPr>
          <w:rFonts w:ascii="Calibri" w:hAnsi="Calibri" w:cs="Calibri"/>
          <w:sz w:val="24"/>
          <w:szCs w:val="24"/>
        </w:rPr>
        <w:t xml:space="preserve">. </w:t>
      </w:r>
    </w:p>
    <w:p w14:paraId="443E652B" w14:textId="77777777" w:rsidR="009162B1" w:rsidRPr="009162B1" w:rsidRDefault="009162B1" w:rsidP="009162B1">
      <w:pPr>
        <w:spacing w:after="0" w:line="240" w:lineRule="auto"/>
        <w:jc w:val="both"/>
        <w:rPr>
          <w:rFonts w:ascii="Calibri" w:hAnsi="Calibri" w:cs="Calibri"/>
          <w:sz w:val="24"/>
          <w:szCs w:val="24"/>
        </w:rPr>
      </w:pPr>
    </w:p>
    <w:p w14:paraId="28BC089A" w14:textId="3CB6B838" w:rsidR="00E35FC6" w:rsidRDefault="00E35FC6" w:rsidP="009162B1">
      <w:pPr>
        <w:spacing w:after="0" w:line="240" w:lineRule="auto"/>
        <w:jc w:val="both"/>
        <w:rPr>
          <w:rFonts w:ascii="Calibri" w:hAnsi="Calibri" w:cs="Calibri"/>
          <w:sz w:val="24"/>
          <w:szCs w:val="24"/>
        </w:rPr>
      </w:pPr>
      <w:r w:rsidRPr="009162B1">
        <w:rPr>
          <w:rFonts w:ascii="Calibri" w:hAnsi="Calibri" w:cs="Calibri"/>
          <w:sz w:val="24"/>
          <w:szCs w:val="24"/>
        </w:rPr>
        <w:t>Některé platby však MZV realizovalo přímo (bez spolupráce s MF), čímž ale nedosáhlo úspor prostřednictvím kursových rozdílů. V případě 14 plateb členských příspěvků MEO ve výši 74 mil. Kč NKÚ vyhodnotil, že MZV porušilo interní předpis. Zároveň MZV přímou realizací plateb v </w:t>
      </w:r>
      <w:r w:rsidR="00EA55FB">
        <w:rPr>
          <w:rFonts w:ascii="Calibri" w:hAnsi="Calibri" w:cs="Calibri"/>
          <w:sz w:val="24"/>
          <w:szCs w:val="24"/>
        </w:rPr>
        <w:t>korunách</w:t>
      </w:r>
      <w:r w:rsidRPr="009162B1">
        <w:rPr>
          <w:rFonts w:ascii="Calibri" w:hAnsi="Calibri" w:cs="Calibri"/>
          <w:sz w:val="24"/>
          <w:szCs w:val="24"/>
        </w:rPr>
        <w:t xml:space="preserve"> nepřispělo ani k plnění úkolu zvyšovat efektivnost členství, resp. spolupráce v MEO. </w:t>
      </w:r>
    </w:p>
    <w:p w14:paraId="50A2B796" w14:textId="77777777" w:rsidR="009162B1" w:rsidRPr="009162B1" w:rsidRDefault="009162B1" w:rsidP="009162B1">
      <w:pPr>
        <w:spacing w:after="0" w:line="240" w:lineRule="auto"/>
        <w:jc w:val="both"/>
        <w:rPr>
          <w:rFonts w:ascii="Calibri" w:hAnsi="Calibri" w:cs="Calibri"/>
          <w:sz w:val="24"/>
          <w:szCs w:val="24"/>
        </w:rPr>
      </w:pPr>
    </w:p>
    <w:p w14:paraId="0D69E5D0" w14:textId="6287808C" w:rsidR="00E35FC6" w:rsidRDefault="00E35FC6" w:rsidP="009162B1">
      <w:pPr>
        <w:spacing w:after="0" w:line="240" w:lineRule="auto"/>
        <w:jc w:val="both"/>
        <w:rPr>
          <w:rFonts w:ascii="Calibri" w:hAnsi="Calibri" w:cs="Calibri"/>
          <w:sz w:val="24"/>
          <w:szCs w:val="24"/>
        </w:rPr>
      </w:pPr>
      <w:r w:rsidRPr="009162B1">
        <w:rPr>
          <w:rFonts w:ascii="Calibri" w:hAnsi="Calibri" w:cs="Calibri"/>
          <w:sz w:val="24"/>
          <w:szCs w:val="24"/>
        </w:rPr>
        <w:t xml:space="preserve">Další </w:t>
      </w:r>
      <w:proofErr w:type="spellStart"/>
      <w:r w:rsidRPr="009162B1">
        <w:rPr>
          <w:rFonts w:ascii="Calibri" w:hAnsi="Calibri" w:cs="Calibri"/>
          <w:sz w:val="24"/>
          <w:szCs w:val="24"/>
        </w:rPr>
        <w:t>cizoměnové</w:t>
      </w:r>
      <w:proofErr w:type="spellEnd"/>
      <w:r w:rsidRPr="009162B1">
        <w:rPr>
          <w:rFonts w:ascii="Calibri" w:hAnsi="Calibri" w:cs="Calibri"/>
          <w:sz w:val="24"/>
          <w:szCs w:val="24"/>
        </w:rPr>
        <w:t xml:space="preserve"> platby jako např. peněžní dary do zahraničí v </w:t>
      </w:r>
      <w:r w:rsidR="00EA55FB">
        <w:rPr>
          <w:rFonts w:ascii="Calibri" w:hAnsi="Calibri" w:cs="Calibri"/>
          <w:sz w:val="24"/>
          <w:szCs w:val="24"/>
        </w:rPr>
        <w:t>eurech</w:t>
      </w:r>
      <w:r w:rsidRPr="009162B1">
        <w:rPr>
          <w:rFonts w:ascii="Calibri" w:hAnsi="Calibri" w:cs="Calibri"/>
          <w:sz w:val="24"/>
          <w:szCs w:val="24"/>
        </w:rPr>
        <w:t xml:space="preserve"> či členské příspěvky MEO předepsané v jiných měnách (</w:t>
      </w:r>
      <w:r w:rsidR="00EA55FB">
        <w:rPr>
          <w:rFonts w:ascii="Calibri" w:hAnsi="Calibri" w:cs="Calibri"/>
          <w:sz w:val="24"/>
          <w:szCs w:val="24"/>
        </w:rPr>
        <w:t>na</w:t>
      </w:r>
      <w:r w:rsidRPr="009162B1">
        <w:rPr>
          <w:rFonts w:ascii="Calibri" w:hAnsi="Calibri" w:cs="Calibri"/>
          <w:sz w:val="24"/>
          <w:szCs w:val="24"/>
        </w:rPr>
        <w:t xml:space="preserve">př. USD, CHF) hradilo MZV v kontrolovaném období přímo. Rozšíření spolupráce s MF i na tyto platby tak představuje další nástroj pro potenciální úsporu na základě kursových rozdílů. </w:t>
      </w:r>
    </w:p>
    <w:p w14:paraId="32A21AC1" w14:textId="77777777" w:rsidR="009162B1" w:rsidRPr="009162B1" w:rsidRDefault="009162B1" w:rsidP="009162B1">
      <w:pPr>
        <w:spacing w:after="0" w:line="240" w:lineRule="auto"/>
        <w:jc w:val="both"/>
        <w:rPr>
          <w:rFonts w:ascii="Calibri" w:hAnsi="Calibri" w:cs="Calibri"/>
          <w:sz w:val="24"/>
          <w:szCs w:val="24"/>
        </w:rPr>
      </w:pPr>
    </w:p>
    <w:p w14:paraId="0FE92ED0" w14:textId="06B60DCC" w:rsidR="00E35FC6" w:rsidRPr="009162B1" w:rsidRDefault="00E35FC6" w:rsidP="009162B1">
      <w:pPr>
        <w:spacing w:after="0" w:line="240" w:lineRule="auto"/>
        <w:jc w:val="both"/>
        <w:rPr>
          <w:rFonts w:ascii="Calibri" w:hAnsi="Calibri" w:cs="Calibri"/>
          <w:sz w:val="24"/>
          <w:szCs w:val="24"/>
        </w:rPr>
      </w:pPr>
      <w:r w:rsidRPr="009162B1">
        <w:rPr>
          <w:rFonts w:ascii="Calibri" w:hAnsi="Calibri" w:cs="Calibri"/>
          <w:sz w:val="24"/>
          <w:szCs w:val="24"/>
        </w:rPr>
        <w:t>MŠMT možnost úhrady některých příspěvků MEO v </w:t>
      </w:r>
      <w:r w:rsidR="00EA55FB">
        <w:rPr>
          <w:rFonts w:ascii="Calibri" w:hAnsi="Calibri" w:cs="Calibri"/>
          <w:sz w:val="24"/>
          <w:szCs w:val="24"/>
        </w:rPr>
        <w:t>eurech</w:t>
      </w:r>
      <w:r w:rsidRPr="009162B1">
        <w:rPr>
          <w:rFonts w:ascii="Calibri" w:hAnsi="Calibri" w:cs="Calibri"/>
          <w:sz w:val="24"/>
          <w:szCs w:val="24"/>
        </w:rPr>
        <w:t xml:space="preserve"> z euro účtu a jejich následné refundace v korunovém ekvivalentu s MF ani neprojednávalo. Svou nečinností v této oblasti tak rovněž nepřispívalo k plnění úkolu z UV </w:t>
      </w:r>
      <w:r w:rsidR="00EA55FB">
        <w:rPr>
          <w:rFonts w:ascii="Calibri" w:hAnsi="Calibri" w:cs="Calibri"/>
          <w:sz w:val="24"/>
          <w:szCs w:val="24"/>
        </w:rPr>
        <w:t>č. </w:t>
      </w:r>
      <w:r w:rsidRPr="009162B1">
        <w:rPr>
          <w:rFonts w:ascii="Calibri" w:hAnsi="Calibri" w:cs="Calibri"/>
          <w:sz w:val="24"/>
          <w:szCs w:val="24"/>
        </w:rPr>
        <w:t>317/2013.</w:t>
      </w:r>
    </w:p>
    <w:p w14:paraId="7FB5AD16" w14:textId="77777777" w:rsidR="00A8109C" w:rsidRPr="009162B1" w:rsidRDefault="00A8109C" w:rsidP="009162B1">
      <w:pPr>
        <w:spacing w:after="0" w:line="240" w:lineRule="auto"/>
        <w:jc w:val="both"/>
        <w:rPr>
          <w:rFonts w:ascii="Calibri" w:hAnsi="Calibri" w:cs="Calibri"/>
          <w:sz w:val="24"/>
          <w:szCs w:val="24"/>
        </w:rPr>
      </w:pPr>
    </w:p>
    <w:p w14:paraId="77BE28CA" w14:textId="77777777" w:rsidR="00E35FC6" w:rsidRPr="00A8109C" w:rsidRDefault="00A8109C" w:rsidP="00A8109C">
      <w:pPr>
        <w:spacing w:after="0" w:line="240" w:lineRule="auto"/>
        <w:jc w:val="both"/>
        <w:rPr>
          <w:rFonts w:ascii="Calibri" w:hAnsi="Calibri" w:cs="Calibri"/>
          <w:b/>
          <w:sz w:val="24"/>
          <w:szCs w:val="24"/>
        </w:rPr>
      </w:pPr>
      <w:r w:rsidRPr="00A8109C">
        <w:rPr>
          <w:rFonts w:ascii="Calibri" w:hAnsi="Calibri" w:cs="Calibri"/>
          <w:b/>
          <w:sz w:val="24"/>
          <w:szCs w:val="24"/>
        </w:rPr>
        <w:t xml:space="preserve">4. </w:t>
      </w:r>
      <w:r w:rsidR="00E35FC6" w:rsidRPr="00A8109C">
        <w:rPr>
          <w:rFonts w:ascii="Calibri" w:hAnsi="Calibri" w:cs="Calibri"/>
          <w:b/>
          <w:sz w:val="24"/>
          <w:szCs w:val="24"/>
        </w:rPr>
        <w:t>Meziresortní koordinace</w:t>
      </w:r>
    </w:p>
    <w:p w14:paraId="552FBAB4" w14:textId="77777777" w:rsidR="00A8109C" w:rsidRDefault="00A8109C" w:rsidP="00A8109C">
      <w:pPr>
        <w:spacing w:after="0" w:line="240" w:lineRule="auto"/>
        <w:jc w:val="both"/>
        <w:rPr>
          <w:rFonts w:ascii="Calibri" w:hAnsi="Calibri" w:cs="Calibri"/>
          <w:sz w:val="24"/>
          <w:szCs w:val="24"/>
          <w:lang w:eastAsia="cs-CZ"/>
        </w:rPr>
      </w:pPr>
    </w:p>
    <w:p w14:paraId="231A65D5" w14:textId="6583C6AE" w:rsidR="00E35FC6" w:rsidRDefault="00E35FC6" w:rsidP="00A8109C">
      <w:pPr>
        <w:spacing w:after="0" w:line="240" w:lineRule="auto"/>
        <w:jc w:val="both"/>
        <w:rPr>
          <w:rFonts w:ascii="Calibri" w:hAnsi="Calibri" w:cs="Calibri"/>
          <w:iCs/>
          <w:sz w:val="24"/>
          <w:szCs w:val="24"/>
        </w:rPr>
      </w:pPr>
      <w:r w:rsidRPr="00A8109C">
        <w:rPr>
          <w:rFonts w:ascii="Calibri" w:hAnsi="Calibri" w:cs="Calibri"/>
          <w:sz w:val="24"/>
          <w:szCs w:val="24"/>
          <w:lang w:eastAsia="cs-CZ"/>
        </w:rPr>
        <w:t xml:space="preserve">Záměrem UV </w:t>
      </w:r>
      <w:r w:rsidR="00EA55FB">
        <w:rPr>
          <w:rFonts w:ascii="Calibri" w:hAnsi="Calibri" w:cs="Calibri"/>
          <w:sz w:val="24"/>
          <w:szCs w:val="24"/>
          <w:lang w:eastAsia="cs-CZ"/>
        </w:rPr>
        <w:t>č. </w:t>
      </w:r>
      <w:r w:rsidRPr="00A8109C">
        <w:rPr>
          <w:rFonts w:ascii="Calibri" w:hAnsi="Calibri" w:cs="Calibri"/>
          <w:sz w:val="24"/>
          <w:szCs w:val="24"/>
          <w:lang w:eastAsia="cs-CZ"/>
        </w:rPr>
        <w:t xml:space="preserve">317/2013 bylo </w:t>
      </w:r>
      <w:r w:rsidRPr="005048A8">
        <w:rPr>
          <w:rFonts w:ascii="Calibri" w:hAnsi="Calibri" w:cs="Calibri"/>
          <w:sz w:val="24"/>
          <w:szCs w:val="24"/>
          <w:lang w:eastAsia="cs-CZ"/>
        </w:rPr>
        <w:t>„</w:t>
      </w:r>
      <w:r w:rsidRPr="00A8109C">
        <w:rPr>
          <w:rFonts w:ascii="Calibri" w:hAnsi="Calibri" w:cs="Calibri"/>
          <w:i/>
          <w:iCs/>
          <w:sz w:val="24"/>
          <w:szCs w:val="24"/>
        </w:rPr>
        <w:t>učinit v průběhu roku 2013 ve spolupráci s věcně příslušnými a odpovědnými gestory nutné konkrétní kroky ke zvýšení efektivity členství ČR v MEO, včetně posílení meziresortní koordinace. To by mělo vést nejen k větším přínosů</w:t>
      </w:r>
      <w:r w:rsidR="00A8109C">
        <w:rPr>
          <w:rFonts w:ascii="Calibri" w:hAnsi="Calibri" w:cs="Calibri"/>
          <w:i/>
          <w:iCs/>
          <w:sz w:val="24"/>
          <w:szCs w:val="24"/>
        </w:rPr>
        <w:t>m z našeho členství, ale také k </w:t>
      </w:r>
      <w:r w:rsidRPr="00A8109C">
        <w:rPr>
          <w:rFonts w:ascii="Calibri" w:hAnsi="Calibri" w:cs="Calibri"/>
          <w:i/>
          <w:iCs/>
          <w:sz w:val="24"/>
          <w:szCs w:val="24"/>
        </w:rPr>
        <w:t>pozitivním dopadům na státní rozpočet počínaje rokem 2014</w:t>
      </w:r>
      <w:r w:rsidR="00EA55FB">
        <w:rPr>
          <w:rFonts w:ascii="Calibri" w:hAnsi="Calibri" w:cs="Calibri"/>
          <w:i/>
          <w:iCs/>
          <w:sz w:val="24"/>
          <w:szCs w:val="24"/>
        </w:rPr>
        <w:t>.</w:t>
      </w:r>
      <w:r w:rsidRPr="005048A8">
        <w:rPr>
          <w:rFonts w:ascii="Calibri" w:hAnsi="Calibri" w:cs="Calibri"/>
          <w:iCs/>
          <w:sz w:val="24"/>
          <w:szCs w:val="24"/>
        </w:rPr>
        <w:t>“</w:t>
      </w:r>
      <w:r w:rsidRPr="00A8109C">
        <w:rPr>
          <w:rStyle w:val="Znakapoznpodarou"/>
          <w:rFonts w:ascii="Calibri" w:hAnsi="Calibri" w:cs="Calibri"/>
          <w:iCs/>
          <w:sz w:val="24"/>
          <w:szCs w:val="24"/>
        </w:rPr>
        <w:footnoteReference w:id="27"/>
      </w:r>
      <w:r w:rsidRPr="00A8109C">
        <w:rPr>
          <w:rFonts w:ascii="Calibri" w:hAnsi="Calibri" w:cs="Calibri"/>
          <w:iCs/>
          <w:sz w:val="24"/>
          <w:szCs w:val="24"/>
        </w:rPr>
        <w:t xml:space="preserve"> Na základě</w:t>
      </w:r>
      <w:r w:rsidR="00EA55FB">
        <w:rPr>
          <w:rFonts w:ascii="Calibri" w:hAnsi="Calibri" w:cs="Calibri"/>
          <w:iCs/>
          <w:sz w:val="24"/>
          <w:szCs w:val="24"/>
        </w:rPr>
        <w:t xml:space="preserve"> </w:t>
      </w:r>
      <w:r w:rsidRPr="00A8109C">
        <w:rPr>
          <w:rFonts w:ascii="Calibri" w:hAnsi="Calibri" w:cs="Calibri"/>
          <w:iCs/>
          <w:sz w:val="24"/>
          <w:szCs w:val="24"/>
        </w:rPr>
        <w:t>dotazníkového šetření týkajícího se hodnocení přínosů a efektivity působení ČR ve vybraných MEO realizovaného MZV v roce 2015 byla identifikována potřeba vytvoření meziresortní pracovní skupiny, která by představovala platformu pro vzájemnou výměnu informací a pro diskuse o žádoucích postupech ČR v MEO, dále informace o doporučeních a rozhodnutích MZV týkajících se účasti ČR v MEO apod.</w:t>
      </w:r>
    </w:p>
    <w:p w14:paraId="46C15912" w14:textId="77777777" w:rsidR="00A8109C" w:rsidRPr="00A8109C" w:rsidRDefault="00A8109C" w:rsidP="00A8109C">
      <w:pPr>
        <w:spacing w:after="0" w:line="240" w:lineRule="auto"/>
        <w:jc w:val="both"/>
        <w:rPr>
          <w:rFonts w:ascii="Calibri" w:hAnsi="Calibri" w:cs="Calibri"/>
          <w:iCs/>
          <w:sz w:val="24"/>
          <w:szCs w:val="24"/>
        </w:rPr>
      </w:pPr>
    </w:p>
    <w:p w14:paraId="0282E654" w14:textId="77777777" w:rsidR="00E35FC6" w:rsidRDefault="00E35FC6" w:rsidP="00A8109C">
      <w:pPr>
        <w:spacing w:after="0" w:line="240" w:lineRule="auto"/>
        <w:jc w:val="both"/>
        <w:rPr>
          <w:rFonts w:ascii="Calibri" w:hAnsi="Calibri" w:cs="Calibri"/>
          <w:sz w:val="24"/>
          <w:szCs w:val="24"/>
        </w:rPr>
      </w:pPr>
      <w:r w:rsidRPr="00A8109C">
        <w:rPr>
          <w:rFonts w:ascii="Calibri" w:hAnsi="Calibri" w:cs="Calibri"/>
          <w:iCs/>
          <w:sz w:val="24"/>
          <w:szCs w:val="24"/>
        </w:rPr>
        <w:t>Dne 30. 6. 2015 proběhlo první jednání navrhované meziresortní pr</w:t>
      </w:r>
      <w:r w:rsidR="00A8109C">
        <w:rPr>
          <w:rFonts w:ascii="Calibri" w:hAnsi="Calibri" w:cs="Calibri"/>
          <w:iCs/>
          <w:sz w:val="24"/>
          <w:szCs w:val="24"/>
        </w:rPr>
        <w:t>acovní skupiny, které svolalo a </w:t>
      </w:r>
      <w:r w:rsidRPr="00A8109C">
        <w:rPr>
          <w:rFonts w:ascii="Calibri" w:hAnsi="Calibri" w:cs="Calibri"/>
          <w:iCs/>
          <w:sz w:val="24"/>
          <w:szCs w:val="24"/>
        </w:rPr>
        <w:t>řídilo MZV s cílem ustanovení této pracovní skupiny. Jednání se účastnili zástupci jednotlivých resortů a dalších institucí. Dle záznamu z tohoto jednání na jednání vzešly podněty pro další práci této skupiny:</w:t>
      </w:r>
      <w:r w:rsidRPr="00A8109C">
        <w:rPr>
          <w:rFonts w:ascii="Calibri" w:hAnsi="Calibri" w:cs="Calibri"/>
          <w:sz w:val="24"/>
          <w:szCs w:val="24"/>
        </w:rPr>
        <w:t xml:space="preserve"> Ministerstvo životního prostředí (dále také „MŽP“) mj. požádalo MZV, zda by mohlo vydat příručku či metodiku ve vazbě na zvýšení transparentnosti tendrů v MEO a problematiku hodnocení efektivity spolupráce s MEO. MF navrhlo mj. předložit v</w:t>
      </w:r>
      <w:r w:rsidR="00A8109C">
        <w:rPr>
          <w:rFonts w:ascii="Calibri" w:hAnsi="Calibri" w:cs="Calibri"/>
          <w:sz w:val="24"/>
          <w:szCs w:val="24"/>
        </w:rPr>
        <w:t>ýsledky dotazníkového šetření z </w:t>
      </w:r>
      <w:r w:rsidRPr="00A8109C">
        <w:rPr>
          <w:rFonts w:ascii="Calibri" w:hAnsi="Calibri" w:cs="Calibri"/>
          <w:sz w:val="24"/>
          <w:szCs w:val="24"/>
        </w:rPr>
        <w:t xml:space="preserve">roku 2015 vládě a podpořilo návrh vytvořit skupinu pro rozpočtování uvnitř MEO a vytvořit přehled, jak rozpočet jednotlivých MEO vzniká. Energetický regulační úřad otevřel problematiku vícenákladů, které by se měla pracovní skupina věnovat a zkoumat vztah mezi členskými příspěvky </w:t>
      </w:r>
      <w:r w:rsidRPr="00A8109C">
        <w:rPr>
          <w:rFonts w:ascii="Calibri" w:hAnsi="Calibri" w:cs="Calibri"/>
          <w:sz w:val="24"/>
          <w:szCs w:val="24"/>
        </w:rPr>
        <w:lastRenderedPageBreak/>
        <w:t>a vícenáklady. Ministerstvo zdravotnictví souhlasilo s potřebou dis</w:t>
      </w:r>
      <w:r w:rsidR="00A8109C">
        <w:rPr>
          <w:rFonts w:ascii="Calibri" w:hAnsi="Calibri" w:cs="Calibri"/>
          <w:sz w:val="24"/>
          <w:szCs w:val="24"/>
        </w:rPr>
        <w:t>kutovat efektivitu spolupráce s </w:t>
      </w:r>
      <w:r w:rsidRPr="00A8109C">
        <w:rPr>
          <w:rFonts w:ascii="Calibri" w:hAnsi="Calibri" w:cs="Calibri"/>
          <w:sz w:val="24"/>
          <w:szCs w:val="24"/>
        </w:rPr>
        <w:t xml:space="preserve">MEO a uvítalo by lepší sdílení informací. Ministerstvo obrany podpořilo záměr pořádat setkání meziresortní pracovní skupiny pravidelně a předložit výsledky dotazníkového šetření vládě. </w:t>
      </w:r>
    </w:p>
    <w:p w14:paraId="72CACF5F" w14:textId="77777777" w:rsidR="00A8109C" w:rsidRPr="00A8109C" w:rsidRDefault="00A8109C" w:rsidP="00A8109C">
      <w:pPr>
        <w:spacing w:after="0" w:line="240" w:lineRule="auto"/>
        <w:jc w:val="both"/>
        <w:rPr>
          <w:rFonts w:ascii="Calibri" w:hAnsi="Calibri" w:cs="Calibri"/>
          <w:sz w:val="24"/>
          <w:szCs w:val="24"/>
        </w:rPr>
      </w:pPr>
    </w:p>
    <w:p w14:paraId="69826BD1" w14:textId="77777777" w:rsidR="00E35FC6" w:rsidRDefault="00E35FC6" w:rsidP="00A8109C">
      <w:pPr>
        <w:spacing w:after="0" w:line="240" w:lineRule="auto"/>
        <w:jc w:val="both"/>
        <w:rPr>
          <w:rFonts w:ascii="Calibri" w:hAnsi="Calibri" w:cs="Calibri"/>
          <w:bCs/>
          <w:sz w:val="24"/>
          <w:szCs w:val="24"/>
        </w:rPr>
      </w:pPr>
      <w:r w:rsidRPr="00A8109C">
        <w:rPr>
          <w:rFonts w:ascii="Calibri" w:hAnsi="Calibri" w:cs="Calibri"/>
          <w:sz w:val="24"/>
          <w:szCs w:val="24"/>
        </w:rPr>
        <w:t xml:space="preserve">První schůzka ukázala přínos meziresortní pracovní skupiny ke zvyšování efektivnosti ČR v MEO, </w:t>
      </w:r>
      <w:r w:rsidRPr="00A8109C">
        <w:rPr>
          <w:rFonts w:ascii="Calibri" w:hAnsi="Calibri" w:cs="Calibri"/>
          <w:iCs/>
          <w:sz w:val="24"/>
          <w:szCs w:val="24"/>
        </w:rPr>
        <w:t xml:space="preserve">účastníci považovali jednání za přínosné a souhlasili s pokračováním její další činnosti. </w:t>
      </w:r>
      <w:r w:rsidRPr="00A8109C">
        <w:rPr>
          <w:rFonts w:ascii="Calibri" w:hAnsi="Calibri" w:cs="Calibri"/>
          <w:sz w:val="24"/>
          <w:szCs w:val="24"/>
        </w:rPr>
        <w:t xml:space="preserve">Do konce června 2019 však MZV meziresortní pracovní skupinu znovu nesvolalo a jednání ve věci zvyšování efektivnosti napříč resorty nepokračovala. </w:t>
      </w:r>
      <w:r w:rsidRPr="00A8109C">
        <w:rPr>
          <w:rFonts w:ascii="Calibri" w:hAnsi="Calibri" w:cs="Calibri"/>
          <w:iCs/>
          <w:sz w:val="24"/>
          <w:szCs w:val="24"/>
        </w:rPr>
        <w:t xml:space="preserve">Dle vyjádření MZV se meziresortní pracovní skupina již znovu nesešla na základě interního vyhodnocení tehdejšího vedení MZV, které proběhlo ústně. Podněty vzešlými z jejího prvního jednání se MZV dále nezabývalo s odůvodněním jejich specifičnosti. </w:t>
      </w:r>
      <w:r w:rsidRPr="00A8109C">
        <w:rPr>
          <w:rFonts w:ascii="Calibri" w:hAnsi="Calibri" w:cs="Calibri"/>
          <w:sz w:val="24"/>
          <w:szCs w:val="24"/>
        </w:rPr>
        <w:t xml:space="preserve">MZV nereagovalo ani na </w:t>
      </w:r>
      <w:r w:rsidRPr="00A8109C">
        <w:rPr>
          <w:rFonts w:ascii="Calibri" w:hAnsi="Calibri" w:cs="Calibri"/>
          <w:bCs/>
          <w:sz w:val="24"/>
          <w:szCs w:val="24"/>
        </w:rPr>
        <w:t>žádost MŽP o obnovení diskuse mezi resorty z března 2019.</w:t>
      </w:r>
    </w:p>
    <w:p w14:paraId="4B6F2EE1" w14:textId="77777777" w:rsidR="00A8109C" w:rsidRPr="00A8109C" w:rsidRDefault="00A8109C" w:rsidP="00A8109C">
      <w:pPr>
        <w:spacing w:after="0" w:line="240" w:lineRule="auto"/>
        <w:jc w:val="both"/>
        <w:rPr>
          <w:rFonts w:ascii="Calibri" w:hAnsi="Calibri" w:cs="Calibri"/>
          <w:bCs/>
          <w:sz w:val="24"/>
          <w:szCs w:val="24"/>
        </w:rPr>
      </w:pPr>
    </w:p>
    <w:p w14:paraId="0366548B" w14:textId="77777777" w:rsidR="00E35FC6" w:rsidRPr="009C7D5D" w:rsidRDefault="00D73C4A" w:rsidP="00D73C4A">
      <w:pPr>
        <w:spacing w:after="0" w:line="240" w:lineRule="auto"/>
        <w:jc w:val="both"/>
        <w:rPr>
          <w:rFonts w:ascii="Calibri" w:hAnsi="Calibri" w:cs="Calibri"/>
          <w:b/>
          <w:sz w:val="24"/>
          <w:szCs w:val="24"/>
        </w:rPr>
      </w:pPr>
      <w:r w:rsidRPr="009C7D5D">
        <w:rPr>
          <w:rFonts w:ascii="Calibri" w:hAnsi="Calibri" w:cs="Calibri"/>
          <w:b/>
          <w:sz w:val="24"/>
          <w:szCs w:val="24"/>
        </w:rPr>
        <w:t xml:space="preserve">5. </w:t>
      </w:r>
      <w:r w:rsidR="00E35FC6" w:rsidRPr="009C7D5D">
        <w:rPr>
          <w:rFonts w:ascii="Calibri" w:hAnsi="Calibri" w:cs="Calibri"/>
          <w:b/>
          <w:sz w:val="24"/>
          <w:szCs w:val="24"/>
        </w:rPr>
        <w:t>Uplatňování českých občanů v MEO</w:t>
      </w:r>
    </w:p>
    <w:p w14:paraId="07C61411" w14:textId="77777777" w:rsidR="009C7D5D" w:rsidRPr="00D73C4A" w:rsidRDefault="009C7D5D" w:rsidP="00D73C4A">
      <w:pPr>
        <w:spacing w:after="0" w:line="240" w:lineRule="auto"/>
        <w:jc w:val="both"/>
        <w:rPr>
          <w:rFonts w:ascii="Calibri" w:hAnsi="Calibri" w:cs="Calibri"/>
          <w:sz w:val="24"/>
          <w:szCs w:val="24"/>
        </w:rPr>
      </w:pPr>
    </w:p>
    <w:p w14:paraId="54FC9329" w14:textId="266005F2" w:rsidR="00E35FC6" w:rsidRDefault="00E35FC6" w:rsidP="00D73C4A">
      <w:pPr>
        <w:spacing w:after="0" w:line="240" w:lineRule="auto"/>
        <w:jc w:val="both"/>
        <w:rPr>
          <w:rFonts w:ascii="Calibri" w:hAnsi="Calibri" w:cs="Calibri"/>
          <w:sz w:val="24"/>
          <w:szCs w:val="24"/>
        </w:rPr>
      </w:pPr>
      <w:r w:rsidRPr="00D73C4A">
        <w:rPr>
          <w:rFonts w:ascii="Calibri" w:hAnsi="Calibri" w:cs="Calibri"/>
          <w:i/>
          <w:iCs/>
          <w:sz w:val="24"/>
          <w:szCs w:val="24"/>
        </w:rPr>
        <w:t xml:space="preserve">Strategie pro uplatňování českých občanů v mezinárodních organizacích </w:t>
      </w:r>
      <w:r w:rsidR="009C7D5D">
        <w:rPr>
          <w:rFonts w:ascii="Calibri" w:hAnsi="Calibri" w:cs="Calibri"/>
          <w:sz w:val="24"/>
          <w:szCs w:val="24"/>
        </w:rPr>
        <w:t>byla schválena UV</w:t>
      </w:r>
      <w:r w:rsidR="00EA55FB">
        <w:rPr>
          <w:rFonts w:ascii="Calibri" w:hAnsi="Calibri" w:cs="Calibri"/>
          <w:sz w:val="24"/>
          <w:szCs w:val="24"/>
        </w:rPr>
        <w:t> č.</w:t>
      </w:r>
      <w:r w:rsidR="009C7D5D">
        <w:rPr>
          <w:rFonts w:ascii="Calibri" w:hAnsi="Calibri" w:cs="Calibri"/>
          <w:sz w:val="24"/>
          <w:szCs w:val="24"/>
        </w:rPr>
        <w:t> </w:t>
      </w:r>
      <w:r w:rsidRPr="00D73C4A">
        <w:rPr>
          <w:rFonts w:ascii="Calibri" w:hAnsi="Calibri" w:cs="Calibri"/>
          <w:sz w:val="24"/>
          <w:szCs w:val="24"/>
        </w:rPr>
        <w:t xml:space="preserve">578/2017. Zajistit její naplňování uložila vláda ČR ministru zahraničních věcí a vedoucím ostatních ÚOSS uložila poskytnout MZV potřebnou součinnost. </w:t>
      </w:r>
    </w:p>
    <w:p w14:paraId="78A67491" w14:textId="77777777" w:rsidR="009C7D5D" w:rsidRPr="00D73C4A" w:rsidRDefault="009C7D5D" w:rsidP="00D73C4A">
      <w:pPr>
        <w:spacing w:after="0" w:line="240" w:lineRule="auto"/>
        <w:jc w:val="both"/>
        <w:rPr>
          <w:rFonts w:ascii="Calibri" w:hAnsi="Calibri" w:cs="Calibri"/>
          <w:sz w:val="24"/>
          <w:szCs w:val="24"/>
        </w:rPr>
      </w:pPr>
    </w:p>
    <w:p w14:paraId="24D2D55D" w14:textId="1ACA7155" w:rsidR="00E35FC6" w:rsidRPr="00D73C4A" w:rsidRDefault="00E35FC6" w:rsidP="00D73C4A">
      <w:pPr>
        <w:spacing w:after="0" w:line="240" w:lineRule="auto"/>
        <w:jc w:val="both"/>
        <w:rPr>
          <w:rFonts w:ascii="Calibri" w:hAnsi="Calibri" w:cs="Calibri"/>
          <w:bCs/>
          <w:sz w:val="24"/>
          <w:szCs w:val="24"/>
        </w:rPr>
      </w:pPr>
      <w:r w:rsidRPr="00D73C4A">
        <w:rPr>
          <w:rFonts w:ascii="Calibri" w:hAnsi="Calibri" w:cs="Calibri"/>
          <w:sz w:val="24"/>
          <w:szCs w:val="24"/>
        </w:rPr>
        <w:t>Strategie ČMEO se zaměřuje na podporu českých občanů ve vybraných 21 prioritních MEO.</w:t>
      </w:r>
      <w:r w:rsidRPr="00D73C4A">
        <w:rPr>
          <w:rStyle w:val="Znakapoznpodarou"/>
          <w:rFonts w:ascii="Calibri" w:hAnsi="Calibri" w:cs="Calibri"/>
          <w:sz w:val="24"/>
          <w:szCs w:val="24"/>
        </w:rPr>
        <w:footnoteReference w:id="28"/>
      </w:r>
      <w:r w:rsidRPr="00D73C4A">
        <w:rPr>
          <w:rFonts w:ascii="Calibri" w:hAnsi="Calibri" w:cs="Calibri"/>
          <w:sz w:val="24"/>
          <w:szCs w:val="24"/>
        </w:rPr>
        <w:t xml:space="preserve"> </w:t>
      </w:r>
      <w:r w:rsidRPr="00D73C4A">
        <w:rPr>
          <w:rFonts w:ascii="Calibri" w:hAnsi="Calibri" w:cs="Calibri"/>
          <w:bCs/>
          <w:sz w:val="24"/>
          <w:szCs w:val="24"/>
        </w:rPr>
        <w:t xml:space="preserve">MZV stanovilo ve Strategii ČMEO hlavní dlouhodobý cíl </w:t>
      </w:r>
      <w:r w:rsidRPr="005048A8">
        <w:rPr>
          <w:rFonts w:ascii="Calibri" w:hAnsi="Calibri" w:cs="Calibri"/>
          <w:sz w:val="24"/>
          <w:szCs w:val="24"/>
        </w:rPr>
        <w:t>„</w:t>
      </w:r>
      <w:r w:rsidR="00C106C6">
        <w:rPr>
          <w:rFonts w:ascii="Calibri" w:hAnsi="Calibri" w:cs="Calibri"/>
          <w:i/>
          <w:sz w:val="24"/>
          <w:szCs w:val="24"/>
        </w:rPr>
        <w:t>n</w:t>
      </w:r>
      <w:r w:rsidRPr="00D73C4A">
        <w:rPr>
          <w:rFonts w:ascii="Calibri" w:hAnsi="Calibri" w:cs="Calibri"/>
          <w:i/>
          <w:sz w:val="24"/>
          <w:szCs w:val="24"/>
        </w:rPr>
        <w:t>avýšit celkový počet českých občanů působících v MEO na relevantních referentských, odborných či řídících pozicí</w:t>
      </w:r>
      <w:r w:rsidR="00D73C4A">
        <w:rPr>
          <w:rFonts w:ascii="Calibri" w:hAnsi="Calibri" w:cs="Calibri"/>
          <w:i/>
          <w:sz w:val="24"/>
          <w:szCs w:val="24"/>
        </w:rPr>
        <w:t>ch nebo zajistit formou stáží a </w:t>
      </w:r>
      <w:r w:rsidRPr="00D73C4A">
        <w:rPr>
          <w:rFonts w:ascii="Calibri" w:hAnsi="Calibri" w:cs="Calibri"/>
          <w:i/>
          <w:sz w:val="24"/>
          <w:szCs w:val="24"/>
        </w:rPr>
        <w:t>atypických vyslání navýšení počtu českých občanů působících v MEO</w:t>
      </w:r>
      <w:r w:rsidRPr="005048A8">
        <w:rPr>
          <w:rFonts w:ascii="Calibri" w:hAnsi="Calibri" w:cs="Calibri"/>
          <w:sz w:val="24"/>
          <w:szCs w:val="24"/>
        </w:rPr>
        <w:t>“</w:t>
      </w:r>
      <w:r w:rsidRPr="00D73C4A">
        <w:rPr>
          <w:rFonts w:ascii="Calibri" w:hAnsi="Calibri" w:cs="Calibri"/>
          <w:bCs/>
          <w:sz w:val="24"/>
          <w:szCs w:val="24"/>
        </w:rPr>
        <w:t>, přičemž k jeho naplnění mělo dojít naplněním dvou střednědobých cílů a jednoho krátkodobého cíle:</w:t>
      </w:r>
    </w:p>
    <w:p w14:paraId="47501FD6" w14:textId="77777777" w:rsidR="00E35FC6" w:rsidRPr="009C7D5D" w:rsidRDefault="00E35FC6" w:rsidP="009C7D5D">
      <w:pPr>
        <w:pStyle w:val="Odstavecseseznamem"/>
        <w:numPr>
          <w:ilvl w:val="0"/>
          <w:numId w:val="28"/>
        </w:numPr>
        <w:spacing w:after="0" w:line="240" w:lineRule="auto"/>
        <w:ind w:left="284" w:hanging="284"/>
        <w:jc w:val="both"/>
        <w:rPr>
          <w:rFonts w:ascii="Calibri" w:hAnsi="Calibri" w:cs="Calibri"/>
          <w:bCs/>
          <w:sz w:val="24"/>
          <w:szCs w:val="24"/>
        </w:rPr>
      </w:pPr>
      <w:r w:rsidRPr="009C7D5D">
        <w:rPr>
          <w:rFonts w:ascii="Calibri" w:hAnsi="Calibri" w:cs="Calibri"/>
          <w:bCs/>
          <w:sz w:val="24"/>
          <w:szCs w:val="24"/>
        </w:rPr>
        <w:t>vytvořit rámec pro systematickou přípravu a podporu uchazečů z</w:t>
      </w:r>
      <w:r w:rsidR="00D73C4A" w:rsidRPr="009C7D5D">
        <w:rPr>
          <w:rFonts w:ascii="Calibri" w:hAnsi="Calibri" w:cs="Calibri"/>
          <w:bCs/>
          <w:sz w:val="24"/>
          <w:szCs w:val="24"/>
        </w:rPr>
        <w:t> řad českých občanů se zájmem o </w:t>
      </w:r>
      <w:r w:rsidRPr="009C7D5D">
        <w:rPr>
          <w:rFonts w:ascii="Calibri" w:hAnsi="Calibri" w:cs="Calibri"/>
          <w:bCs/>
          <w:sz w:val="24"/>
          <w:szCs w:val="24"/>
        </w:rPr>
        <w:t xml:space="preserve">práci v MEO </w:t>
      </w:r>
      <w:r w:rsidRPr="009C7D5D">
        <w:rPr>
          <w:rFonts w:ascii="Calibri" w:hAnsi="Calibri" w:cs="Calibri"/>
          <w:sz w:val="24"/>
          <w:szCs w:val="24"/>
        </w:rPr>
        <w:t>(střednědobý cíl)</w:t>
      </w:r>
      <w:r w:rsidRPr="009C7D5D">
        <w:rPr>
          <w:rFonts w:ascii="Calibri" w:hAnsi="Calibri" w:cs="Calibri"/>
          <w:bCs/>
          <w:sz w:val="24"/>
          <w:szCs w:val="24"/>
        </w:rPr>
        <w:t xml:space="preserve">, </w:t>
      </w:r>
    </w:p>
    <w:p w14:paraId="67E2206B" w14:textId="77777777" w:rsidR="00E35FC6" w:rsidRPr="009C7D5D" w:rsidRDefault="00E35FC6" w:rsidP="009C7D5D">
      <w:pPr>
        <w:pStyle w:val="Odstavecseseznamem"/>
        <w:numPr>
          <w:ilvl w:val="0"/>
          <w:numId w:val="28"/>
        </w:numPr>
        <w:spacing w:after="0" w:line="240" w:lineRule="auto"/>
        <w:ind w:left="284" w:hanging="284"/>
        <w:jc w:val="both"/>
        <w:rPr>
          <w:rFonts w:ascii="Calibri" w:hAnsi="Calibri" w:cs="Calibri"/>
          <w:bCs/>
          <w:sz w:val="24"/>
          <w:szCs w:val="24"/>
        </w:rPr>
      </w:pPr>
      <w:r w:rsidRPr="009C7D5D">
        <w:rPr>
          <w:rFonts w:ascii="Calibri" w:hAnsi="Calibri" w:cs="Calibri"/>
          <w:bCs/>
          <w:sz w:val="24"/>
          <w:szCs w:val="24"/>
        </w:rPr>
        <w:t xml:space="preserve">zajistit podporu českých občanům se zkušenostmi s prací v MEO při uplatňování v orgánech státní správy </w:t>
      </w:r>
      <w:r w:rsidRPr="009C7D5D">
        <w:rPr>
          <w:rFonts w:ascii="Calibri" w:hAnsi="Calibri" w:cs="Calibri"/>
          <w:sz w:val="24"/>
          <w:szCs w:val="24"/>
        </w:rPr>
        <w:t>(střednědobý cíl),</w:t>
      </w:r>
    </w:p>
    <w:p w14:paraId="6902943E" w14:textId="77777777" w:rsidR="00E35FC6" w:rsidRPr="009C7D5D" w:rsidRDefault="00E35FC6" w:rsidP="009C7D5D">
      <w:pPr>
        <w:pStyle w:val="Odstavecseseznamem"/>
        <w:numPr>
          <w:ilvl w:val="0"/>
          <w:numId w:val="28"/>
        </w:numPr>
        <w:spacing w:after="0" w:line="240" w:lineRule="auto"/>
        <w:ind w:left="284" w:hanging="284"/>
        <w:jc w:val="both"/>
        <w:rPr>
          <w:rFonts w:ascii="Calibri" w:hAnsi="Calibri" w:cs="Calibri"/>
          <w:bCs/>
          <w:sz w:val="24"/>
          <w:szCs w:val="24"/>
        </w:rPr>
      </w:pPr>
      <w:r w:rsidRPr="009C7D5D">
        <w:rPr>
          <w:rFonts w:ascii="Calibri" w:hAnsi="Calibri" w:cs="Calibri"/>
          <w:bCs/>
          <w:sz w:val="24"/>
          <w:szCs w:val="24"/>
        </w:rPr>
        <w:t>vytvořit jednotnou platformu pro koordinaci činností a efektivní komunikaci mezi jednotlivými orgány státní správy, příslušnými zastupitelskými úřady, uchazeči o práci v MEO z řad českých občanů, zaměstnanci MEO, českými občany se zkušenostmi s prací v MEO, univerzitami a dalšími institucemi, které se věcně zabývají činnostmi spojenými s MEO</w:t>
      </w:r>
      <w:r w:rsidRPr="009C7D5D">
        <w:rPr>
          <w:rFonts w:ascii="Calibri" w:hAnsi="Calibri" w:cs="Calibri"/>
          <w:sz w:val="24"/>
          <w:szCs w:val="24"/>
        </w:rPr>
        <w:t xml:space="preserve"> (krátkodobý cíl)</w:t>
      </w:r>
      <w:r w:rsidRPr="009C7D5D">
        <w:rPr>
          <w:rFonts w:ascii="Calibri" w:hAnsi="Calibri" w:cs="Calibri"/>
          <w:bCs/>
          <w:sz w:val="24"/>
          <w:szCs w:val="24"/>
        </w:rPr>
        <w:t xml:space="preserve">. </w:t>
      </w:r>
    </w:p>
    <w:p w14:paraId="22FDF387" w14:textId="77777777" w:rsidR="00D73C4A" w:rsidRPr="00D73C4A" w:rsidRDefault="00D73C4A" w:rsidP="00D73C4A">
      <w:pPr>
        <w:spacing w:after="0" w:line="240" w:lineRule="auto"/>
        <w:jc w:val="both"/>
        <w:rPr>
          <w:rFonts w:ascii="Calibri" w:hAnsi="Calibri" w:cs="Calibri"/>
          <w:bCs/>
          <w:sz w:val="24"/>
          <w:szCs w:val="24"/>
        </w:rPr>
      </w:pPr>
    </w:p>
    <w:p w14:paraId="03745631" w14:textId="77777777" w:rsidR="00E35FC6" w:rsidRDefault="00E35FC6" w:rsidP="00D73C4A">
      <w:pPr>
        <w:spacing w:after="0" w:line="240" w:lineRule="auto"/>
        <w:jc w:val="both"/>
        <w:rPr>
          <w:rFonts w:ascii="Calibri" w:hAnsi="Calibri" w:cs="Calibri"/>
          <w:bCs/>
          <w:sz w:val="24"/>
          <w:szCs w:val="24"/>
        </w:rPr>
      </w:pPr>
      <w:r w:rsidRPr="00D73C4A">
        <w:rPr>
          <w:rFonts w:ascii="Calibri" w:hAnsi="Calibri" w:cs="Calibri"/>
          <w:bCs/>
          <w:sz w:val="24"/>
          <w:szCs w:val="24"/>
        </w:rPr>
        <w:t xml:space="preserve">Tyto cíle měly být plněny prostřednictvím 14 nástrojů, resp. opatření, přičemž ale MZV nestanovilo termíny pro jejich splnění. </w:t>
      </w:r>
    </w:p>
    <w:p w14:paraId="211B489B" w14:textId="77777777" w:rsidR="00D73C4A" w:rsidRPr="00D73C4A" w:rsidRDefault="00D73C4A" w:rsidP="00D73C4A">
      <w:pPr>
        <w:spacing w:after="0" w:line="240" w:lineRule="auto"/>
        <w:jc w:val="both"/>
        <w:rPr>
          <w:rFonts w:ascii="Calibri" w:hAnsi="Calibri" w:cs="Calibri"/>
          <w:bCs/>
          <w:sz w:val="24"/>
          <w:szCs w:val="24"/>
        </w:rPr>
      </w:pPr>
    </w:p>
    <w:p w14:paraId="2EBD1BA1" w14:textId="39968A32" w:rsidR="00E35FC6" w:rsidRDefault="00E35FC6" w:rsidP="00D73C4A">
      <w:pPr>
        <w:spacing w:after="0" w:line="240" w:lineRule="auto"/>
        <w:jc w:val="both"/>
        <w:rPr>
          <w:rFonts w:ascii="Calibri" w:hAnsi="Calibri" w:cs="Calibri"/>
          <w:bCs/>
          <w:sz w:val="24"/>
          <w:szCs w:val="24"/>
        </w:rPr>
      </w:pPr>
      <w:r w:rsidRPr="00D73C4A">
        <w:rPr>
          <w:rFonts w:ascii="Calibri" w:hAnsi="Calibri" w:cs="Calibri"/>
          <w:bCs/>
          <w:sz w:val="24"/>
          <w:szCs w:val="24"/>
        </w:rPr>
        <w:t xml:space="preserve">Koordinaci naplňování cílů a využívání nástrojů Strategie ČMEO zajišťoval v rozsahu stanoveném Strategií ČMEO vládní zmocněnec pro MEO. Tato funkce byla zřízena UV </w:t>
      </w:r>
      <w:r w:rsidR="00C106C6">
        <w:rPr>
          <w:rFonts w:ascii="Calibri" w:hAnsi="Calibri" w:cs="Calibri"/>
          <w:bCs/>
          <w:sz w:val="24"/>
          <w:szCs w:val="24"/>
        </w:rPr>
        <w:t>č. </w:t>
      </w:r>
      <w:r w:rsidRPr="00D73C4A">
        <w:rPr>
          <w:rFonts w:ascii="Calibri" w:hAnsi="Calibri" w:cs="Calibri"/>
          <w:bCs/>
          <w:sz w:val="24"/>
          <w:szCs w:val="24"/>
        </w:rPr>
        <w:t xml:space="preserve">578/2017 </w:t>
      </w:r>
      <w:r w:rsidR="00D73C4A">
        <w:rPr>
          <w:rFonts w:ascii="Calibri" w:hAnsi="Calibri" w:cs="Calibri"/>
          <w:sz w:val="24"/>
          <w:szCs w:val="24"/>
        </w:rPr>
        <w:t>s účinností od 1. </w:t>
      </w:r>
      <w:r w:rsidRPr="00D73C4A">
        <w:rPr>
          <w:rFonts w:ascii="Calibri" w:hAnsi="Calibri" w:cs="Calibri"/>
          <w:sz w:val="24"/>
          <w:szCs w:val="24"/>
        </w:rPr>
        <w:t>10.</w:t>
      </w:r>
      <w:r w:rsidR="00D73C4A">
        <w:rPr>
          <w:rFonts w:ascii="Calibri" w:hAnsi="Calibri" w:cs="Calibri"/>
          <w:sz w:val="24"/>
          <w:szCs w:val="24"/>
        </w:rPr>
        <w:t> </w:t>
      </w:r>
      <w:r w:rsidRPr="00D73C4A">
        <w:rPr>
          <w:rFonts w:ascii="Calibri" w:hAnsi="Calibri" w:cs="Calibri"/>
          <w:sz w:val="24"/>
          <w:szCs w:val="24"/>
        </w:rPr>
        <w:t>2017.</w:t>
      </w:r>
      <w:r w:rsidRPr="00D73C4A">
        <w:rPr>
          <w:rFonts w:ascii="Calibri" w:hAnsi="Calibri" w:cs="Calibri"/>
          <w:bCs/>
          <w:sz w:val="24"/>
          <w:szCs w:val="24"/>
        </w:rPr>
        <w:t xml:space="preserve"> Poradním orgánem vládního zmocněnce pro MEO měla být dle Strategie ČMEO</w:t>
      </w:r>
      <w:r w:rsidR="00C106C6">
        <w:rPr>
          <w:rFonts w:ascii="Calibri" w:hAnsi="Calibri" w:cs="Calibri"/>
          <w:bCs/>
          <w:sz w:val="24"/>
          <w:szCs w:val="24"/>
        </w:rPr>
        <w:t xml:space="preserve"> m</w:t>
      </w:r>
      <w:r w:rsidRPr="00D73C4A">
        <w:rPr>
          <w:rFonts w:ascii="Calibri" w:hAnsi="Calibri" w:cs="Calibri"/>
          <w:bCs/>
          <w:sz w:val="24"/>
          <w:szCs w:val="24"/>
        </w:rPr>
        <w:t xml:space="preserve">eziresortní koordinační komise (dále také „MKK“) složená ze </w:t>
      </w:r>
      <w:r w:rsidRPr="00D73C4A">
        <w:rPr>
          <w:rFonts w:ascii="Calibri" w:hAnsi="Calibri" w:cs="Calibri"/>
          <w:sz w:val="24"/>
          <w:szCs w:val="24"/>
        </w:rPr>
        <w:t>zástupců jednotlivých ÚOSS, které mají gesci k některé z prioritních MEO, a Úřadu vlády ČR</w:t>
      </w:r>
      <w:r w:rsidRPr="00D73C4A">
        <w:rPr>
          <w:rFonts w:ascii="Calibri" w:hAnsi="Calibri" w:cs="Calibri"/>
          <w:bCs/>
          <w:sz w:val="24"/>
          <w:szCs w:val="24"/>
        </w:rPr>
        <w:t>. MKK se do konce roku 2018 sešla dvakrát, nicméně MZV na tato jednání nepřizvalo zástupce některých resortů, které mají v gesci prioritní MEO stanovené ve Strategii ČMEO. Tyto resorty tak nemoh</w:t>
      </w:r>
      <w:r w:rsidR="00D73C4A">
        <w:rPr>
          <w:rFonts w:ascii="Calibri" w:hAnsi="Calibri" w:cs="Calibri"/>
          <w:bCs/>
          <w:sz w:val="24"/>
          <w:szCs w:val="24"/>
        </w:rPr>
        <w:t>ly prostřednictvím své účasti v </w:t>
      </w:r>
      <w:r w:rsidRPr="00D73C4A">
        <w:rPr>
          <w:rFonts w:ascii="Calibri" w:hAnsi="Calibri" w:cs="Calibri"/>
          <w:bCs/>
          <w:sz w:val="24"/>
          <w:szCs w:val="24"/>
        </w:rPr>
        <w:t>MKK ovlivňovat plnění Strategie ČMEO. MZV tedy MKK nezřídilo v s</w:t>
      </w:r>
      <w:r w:rsidR="00D73C4A">
        <w:rPr>
          <w:rFonts w:ascii="Calibri" w:hAnsi="Calibri" w:cs="Calibri"/>
          <w:bCs/>
          <w:sz w:val="24"/>
          <w:szCs w:val="24"/>
        </w:rPr>
        <w:t>ouladu se Strategií ČMEO. V </w:t>
      </w:r>
      <w:r w:rsidRPr="00D73C4A">
        <w:rPr>
          <w:rFonts w:ascii="Calibri" w:hAnsi="Calibri" w:cs="Calibri"/>
          <w:bCs/>
          <w:sz w:val="24"/>
          <w:szCs w:val="24"/>
        </w:rPr>
        <w:t xml:space="preserve">průběhu kontroly NKÚ však MZV provedlo nápravná opatření a vyzvalo zástupce chybějících resortů MŽP </w:t>
      </w:r>
      <w:r w:rsidRPr="00D73C4A">
        <w:rPr>
          <w:rFonts w:ascii="Calibri" w:hAnsi="Calibri" w:cs="Calibri"/>
          <w:bCs/>
          <w:sz w:val="24"/>
          <w:szCs w:val="24"/>
        </w:rPr>
        <w:lastRenderedPageBreak/>
        <w:t>a</w:t>
      </w:r>
      <w:r w:rsidR="002B0F3D">
        <w:rPr>
          <w:rFonts w:ascii="Calibri" w:hAnsi="Calibri" w:cs="Calibri"/>
          <w:bCs/>
          <w:sz w:val="24"/>
          <w:szCs w:val="24"/>
        </w:rPr>
        <w:t> </w:t>
      </w:r>
      <w:r w:rsidRPr="00D73C4A">
        <w:rPr>
          <w:rFonts w:ascii="Calibri" w:hAnsi="Calibri" w:cs="Calibri"/>
          <w:bCs/>
          <w:sz w:val="24"/>
          <w:szCs w:val="24"/>
        </w:rPr>
        <w:t xml:space="preserve">Ministerstva pro místní rozvoj a dále Státní úřad pro jadernou bezpečnost k účasti na jednáních MKK v souvislosti s plánováním dalšího jednání na podzim 2019. </w:t>
      </w:r>
    </w:p>
    <w:p w14:paraId="27D9C79B" w14:textId="77777777" w:rsidR="00D73C4A" w:rsidRPr="00D73C4A" w:rsidRDefault="00D73C4A" w:rsidP="00D73C4A">
      <w:pPr>
        <w:spacing w:after="0" w:line="240" w:lineRule="auto"/>
        <w:jc w:val="both"/>
        <w:rPr>
          <w:rFonts w:ascii="Calibri" w:hAnsi="Calibri" w:cs="Calibri"/>
          <w:bCs/>
          <w:sz w:val="24"/>
          <w:szCs w:val="24"/>
        </w:rPr>
      </w:pPr>
    </w:p>
    <w:p w14:paraId="68CB5029" w14:textId="77777777" w:rsidR="00E35FC6" w:rsidRDefault="00E35FC6" w:rsidP="00D73C4A">
      <w:pPr>
        <w:spacing w:after="0" w:line="240" w:lineRule="auto"/>
        <w:jc w:val="both"/>
        <w:rPr>
          <w:rFonts w:ascii="Calibri" w:hAnsi="Calibri" w:cs="Calibri"/>
          <w:bCs/>
          <w:sz w:val="24"/>
          <w:szCs w:val="24"/>
        </w:rPr>
      </w:pPr>
      <w:r w:rsidRPr="00D73C4A">
        <w:rPr>
          <w:rFonts w:ascii="Calibri" w:hAnsi="Calibri" w:cs="Calibri"/>
          <w:bCs/>
          <w:sz w:val="24"/>
          <w:szCs w:val="24"/>
        </w:rPr>
        <w:t>MZV realizovalo většinu opatření Strategie ČMEO, čímž naplnilo krátkodobý cíl a jeden ze střednědobých cílů týkající se vytvoření rámce pro systematickou přípravu uchazečů z řad českých občanů se zájmem o práci v MEO. Ve vztahu k naplňování druhého střednědobého cíle učinilo kroky, které by měly podpořit zájem zaměstnanců MZV o práci v MEO a dá</w:t>
      </w:r>
      <w:r w:rsidR="00D73C4A">
        <w:rPr>
          <w:rFonts w:ascii="Calibri" w:hAnsi="Calibri" w:cs="Calibri"/>
          <w:bCs/>
          <w:sz w:val="24"/>
          <w:szCs w:val="24"/>
        </w:rPr>
        <w:t>le jejich snadnější uplatnění v </w:t>
      </w:r>
      <w:r w:rsidRPr="00D73C4A">
        <w:rPr>
          <w:rFonts w:ascii="Calibri" w:hAnsi="Calibri" w:cs="Calibri"/>
          <w:bCs/>
          <w:sz w:val="24"/>
          <w:szCs w:val="24"/>
        </w:rPr>
        <w:t>orgánech státní správy po jejich návratu. Nicméně vzhledem ke krátké účinnosti Strategie ČMEO nelze naplnění tohoto cíle hodnotit.</w:t>
      </w:r>
    </w:p>
    <w:p w14:paraId="5ACF2057" w14:textId="77777777" w:rsidR="00D73C4A" w:rsidRPr="00D73C4A" w:rsidRDefault="00D73C4A" w:rsidP="00D73C4A">
      <w:pPr>
        <w:spacing w:after="0" w:line="240" w:lineRule="auto"/>
        <w:jc w:val="both"/>
        <w:rPr>
          <w:rFonts w:ascii="Calibri" w:hAnsi="Calibri" w:cs="Calibri"/>
          <w:bCs/>
          <w:sz w:val="24"/>
          <w:szCs w:val="24"/>
        </w:rPr>
      </w:pPr>
    </w:p>
    <w:p w14:paraId="57189593" w14:textId="27FBF7A0" w:rsidR="00E35FC6" w:rsidRDefault="00E35FC6" w:rsidP="00D73C4A">
      <w:pPr>
        <w:spacing w:after="0" w:line="240" w:lineRule="auto"/>
        <w:jc w:val="both"/>
        <w:rPr>
          <w:rFonts w:ascii="Calibri" w:hAnsi="Calibri" w:cs="Calibri"/>
          <w:sz w:val="24"/>
          <w:szCs w:val="24"/>
        </w:rPr>
      </w:pPr>
      <w:r w:rsidRPr="00D73C4A">
        <w:rPr>
          <w:rFonts w:ascii="Calibri" w:hAnsi="Calibri" w:cs="Calibri"/>
          <w:bCs/>
          <w:sz w:val="24"/>
          <w:szCs w:val="24"/>
        </w:rPr>
        <w:t xml:space="preserve">Vzhledem ke krátké době účinnosti Strategie ČMEO lze obtížně hodnotit i naplňování jejího dlouhodobého cíle </w:t>
      </w:r>
      <w:r w:rsidR="00C106C6">
        <w:rPr>
          <w:rFonts w:ascii="Calibri" w:hAnsi="Calibri" w:cs="Calibri"/>
          <w:bCs/>
          <w:sz w:val="24"/>
          <w:szCs w:val="24"/>
        </w:rPr>
        <w:t>–</w:t>
      </w:r>
      <w:r w:rsidRPr="00D73C4A">
        <w:rPr>
          <w:rFonts w:ascii="Calibri" w:hAnsi="Calibri" w:cs="Calibri"/>
          <w:bCs/>
          <w:sz w:val="24"/>
          <w:szCs w:val="24"/>
        </w:rPr>
        <w:t xml:space="preserve"> navýšit celkový počet českých občanů působících v MEO. </w:t>
      </w:r>
      <w:r w:rsidRPr="00D73C4A">
        <w:rPr>
          <w:rFonts w:ascii="Calibri" w:hAnsi="Calibri" w:cs="Calibri"/>
          <w:sz w:val="24"/>
          <w:szCs w:val="24"/>
        </w:rPr>
        <w:t xml:space="preserve">Dle Strategie ČMEO byla ČR dlouhodobě v MEO </w:t>
      </w:r>
      <w:proofErr w:type="spellStart"/>
      <w:r w:rsidRPr="00D73C4A">
        <w:rPr>
          <w:rFonts w:ascii="Calibri" w:hAnsi="Calibri" w:cs="Calibri"/>
          <w:sz w:val="24"/>
          <w:szCs w:val="24"/>
        </w:rPr>
        <w:t>podzastoupena</w:t>
      </w:r>
      <w:proofErr w:type="spellEnd"/>
      <w:r w:rsidRPr="00D73C4A">
        <w:rPr>
          <w:rFonts w:ascii="Calibri" w:hAnsi="Calibri" w:cs="Calibri"/>
          <w:sz w:val="24"/>
          <w:szCs w:val="24"/>
        </w:rPr>
        <w:t xml:space="preserve"> a v oblasti uplatňování českých občanů v MEO se ČR nedaří využít daného potenciálu. MZV vycházelo z podílu českých občanů v MEO na celkovém počtu zaměstnanců MEO v porovnání s podílem finančních příspěvků ČR na celkovém rozpočtu dané MEO za rok 2016. Z porovnání těchto dvou podílů je u většiny MEO zřejmý nesoulad mezi tím, kolik ČR přispívala a jaké má zastoupení. Další otázkou je kvalitativní stránka zastoupení českých občanů v MEO. </w:t>
      </w:r>
      <w:r w:rsidRPr="00D73C4A">
        <w:rPr>
          <w:rFonts w:ascii="Calibri" w:hAnsi="Calibri" w:cs="Calibri"/>
          <w:bCs/>
          <w:sz w:val="24"/>
          <w:szCs w:val="24"/>
        </w:rPr>
        <w:t>Z monitoringu zastoupení českých občanů v MEO vyplývá, že v případě pěti MEO</w:t>
      </w:r>
      <w:r w:rsidR="00D73C4A">
        <w:rPr>
          <w:rFonts w:ascii="Calibri" w:hAnsi="Calibri" w:cs="Calibri"/>
          <w:bCs/>
          <w:sz w:val="24"/>
          <w:szCs w:val="24"/>
        </w:rPr>
        <w:t xml:space="preserve"> došlo k </w:t>
      </w:r>
      <w:r w:rsidRPr="00D73C4A">
        <w:rPr>
          <w:rFonts w:ascii="Calibri" w:hAnsi="Calibri" w:cs="Calibri"/>
          <w:bCs/>
          <w:sz w:val="24"/>
          <w:szCs w:val="24"/>
        </w:rPr>
        <w:t>navýšení zastoupení, v osmi případech nedošlo ke změně, ve třech případech zastoupení pokleslo a</w:t>
      </w:r>
      <w:r w:rsidR="00D73C4A">
        <w:rPr>
          <w:rFonts w:ascii="Calibri" w:hAnsi="Calibri" w:cs="Calibri"/>
          <w:bCs/>
          <w:sz w:val="24"/>
          <w:szCs w:val="24"/>
        </w:rPr>
        <w:t> </w:t>
      </w:r>
      <w:r w:rsidRPr="00D73C4A">
        <w:rPr>
          <w:rFonts w:ascii="Calibri" w:hAnsi="Calibri" w:cs="Calibri"/>
          <w:bCs/>
          <w:sz w:val="24"/>
          <w:szCs w:val="24"/>
        </w:rPr>
        <w:t>v</w:t>
      </w:r>
      <w:r w:rsidR="00D73C4A">
        <w:rPr>
          <w:rFonts w:ascii="Calibri" w:hAnsi="Calibri" w:cs="Calibri"/>
          <w:bCs/>
          <w:sz w:val="24"/>
          <w:szCs w:val="24"/>
        </w:rPr>
        <w:t> </w:t>
      </w:r>
      <w:r w:rsidRPr="00D73C4A">
        <w:rPr>
          <w:rFonts w:ascii="Calibri" w:hAnsi="Calibri" w:cs="Calibri"/>
          <w:bCs/>
          <w:sz w:val="24"/>
          <w:szCs w:val="24"/>
        </w:rPr>
        <w:t xml:space="preserve">pěti případech nelze na základě zprávy určit kvantitativní změnu. Konkrétní počty mezi roky 2017 a 2018 jsou uvedeny v tabulce č. 3. Vzhledem k minimální změně počtu českých občanů v roce 2016 a v roce 2018 NKÚ vyhodnotil, že ČR však zůstává v počtu českých občanů působících v MEO stále </w:t>
      </w:r>
      <w:proofErr w:type="spellStart"/>
      <w:r w:rsidRPr="00D73C4A">
        <w:rPr>
          <w:rFonts w:ascii="Calibri" w:hAnsi="Calibri" w:cs="Calibri"/>
          <w:bCs/>
          <w:sz w:val="24"/>
          <w:szCs w:val="24"/>
        </w:rPr>
        <w:t>podzastoupena</w:t>
      </w:r>
      <w:proofErr w:type="spellEnd"/>
      <w:r w:rsidRPr="00D73C4A">
        <w:rPr>
          <w:rFonts w:ascii="Calibri" w:hAnsi="Calibri" w:cs="Calibri"/>
          <w:bCs/>
          <w:sz w:val="24"/>
          <w:szCs w:val="24"/>
        </w:rPr>
        <w:t xml:space="preserve">. </w:t>
      </w:r>
      <w:r w:rsidRPr="00D73C4A">
        <w:rPr>
          <w:rFonts w:ascii="Calibri" w:hAnsi="Calibri" w:cs="Calibri"/>
          <w:sz w:val="24"/>
          <w:szCs w:val="24"/>
        </w:rPr>
        <w:t>Vzhledem ke změně definování manažerské</w:t>
      </w:r>
      <w:r w:rsidRPr="00D73C4A">
        <w:rPr>
          <w:rStyle w:val="Znakapoznpodarou"/>
          <w:rFonts w:ascii="Calibri" w:hAnsi="Calibri" w:cs="Calibri"/>
          <w:sz w:val="24"/>
          <w:szCs w:val="24"/>
        </w:rPr>
        <w:footnoteReference w:id="29"/>
      </w:r>
      <w:r w:rsidRPr="00D73C4A">
        <w:rPr>
          <w:rFonts w:ascii="Calibri" w:hAnsi="Calibri" w:cs="Calibri"/>
          <w:sz w:val="24"/>
          <w:szCs w:val="24"/>
        </w:rPr>
        <w:t xml:space="preserve"> pozice však NKÚ nemohl porovnat vývoj v zastoupení českých občanů působících na vyšších pozicích v MEO.</w:t>
      </w:r>
    </w:p>
    <w:p w14:paraId="652F1EC9" w14:textId="77777777" w:rsidR="00D73C4A" w:rsidRPr="00D73C4A" w:rsidRDefault="00D73C4A" w:rsidP="00D73C4A">
      <w:pPr>
        <w:spacing w:after="0" w:line="240" w:lineRule="auto"/>
        <w:jc w:val="both"/>
        <w:rPr>
          <w:rFonts w:ascii="Calibri" w:hAnsi="Calibri" w:cs="Calibri"/>
          <w:bCs/>
          <w:sz w:val="24"/>
          <w:szCs w:val="24"/>
        </w:rPr>
      </w:pPr>
    </w:p>
    <w:p w14:paraId="5BBD04EC" w14:textId="77777777" w:rsidR="00E35FC6" w:rsidRPr="00F364BD" w:rsidRDefault="00E35FC6" w:rsidP="00D73C4A">
      <w:pPr>
        <w:pStyle w:val="Titulek"/>
        <w:keepNext/>
        <w:spacing w:after="40"/>
        <w:rPr>
          <w:rFonts w:cstheme="minorHAnsi"/>
          <w:b/>
          <w:i w:val="0"/>
          <w:color w:val="auto"/>
          <w:sz w:val="24"/>
          <w:szCs w:val="24"/>
          <w:lang w:val="cs-CZ"/>
        </w:rPr>
      </w:pPr>
      <w:r w:rsidRPr="00F364BD">
        <w:rPr>
          <w:rFonts w:cstheme="minorHAnsi"/>
          <w:b/>
          <w:i w:val="0"/>
          <w:color w:val="auto"/>
          <w:sz w:val="24"/>
          <w:szCs w:val="24"/>
          <w:lang w:val="cs-CZ"/>
        </w:rPr>
        <w:t>Tabulka č. 3: Počty českých občanů v prioritních MEO v letech 201</w:t>
      </w:r>
      <w:r>
        <w:rPr>
          <w:rFonts w:cstheme="minorHAnsi"/>
          <w:b/>
          <w:i w:val="0"/>
          <w:color w:val="auto"/>
          <w:sz w:val="24"/>
          <w:szCs w:val="24"/>
          <w:lang w:val="cs-CZ"/>
        </w:rPr>
        <w:t>6</w:t>
      </w:r>
      <w:r w:rsidRPr="00F364BD">
        <w:rPr>
          <w:rFonts w:cstheme="minorHAnsi"/>
          <w:b/>
          <w:i w:val="0"/>
          <w:color w:val="auto"/>
          <w:sz w:val="24"/>
          <w:szCs w:val="24"/>
          <w:lang w:val="cs-CZ"/>
        </w:rPr>
        <w:t xml:space="preserve"> a</w:t>
      </w:r>
      <w:r>
        <w:rPr>
          <w:rFonts w:cstheme="minorHAnsi"/>
          <w:b/>
          <w:i w:val="0"/>
          <w:color w:val="auto"/>
          <w:sz w:val="24"/>
          <w:szCs w:val="24"/>
          <w:lang w:val="cs-CZ"/>
        </w:rPr>
        <w:t>ž</w:t>
      </w:r>
      <w:r w:rsidRPr="00F364BD">
        <w:rPr>
          <w:rFonts w:cstheme="minorHAnsi"/>
          <w:b/>
          <w:i w:val="0"/>
          <w:color w:val="auto"/>
          <w:sz w:val="24"/>
          <w:szCs w:val="24"/>
          <w:lang w:val="cs-CZ"/>
        </w:rPr>
        <w:t xml:space="preserve"> 2018</w:t>
      </w:r>
    </w:p>
    <w:tbl>
      <w:tblPr>
        <w:tblW w:w="4967"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70" w:type="dxa"/>
          <w:right w:w="70" w:type="dxa"/>
        </w:tblCellMar>
        <w:tblLook w:val="04A0" w:firstRow="1" w:lastRow="0" w:firstColumn="1" w:lastColumn="0" w:noHBand="0" w:noVBand="1"/>
      </w:tblPr>
      <w:tblGrid>
        <w:gridCol w:w="1135"/>
        <w:gridCol w:w="1364"/>
        <w:gridCol w:w="1814"/>
        <w:gridCol w:w="1305"/>
        <w:gridCol w:w="1979"/>
        <w:gridCol w:w="1971"/>
      </w:tblGrid>
      <w:tr w:rsidR="00D73C4A" w:rsidRPr="00D73C4A" w14:paraId="4CF055E8" w14:textId="77777777" w:rsidTr="006C222E">
        <w:trPr>
          <w:trHeight w:val="1134"/>
          <w:tblHeader/>
          <w:jc w:val="center"/>
        </w:trPr>
        <w:tc>
          <w:tcPr>
            <w:tcW w:w="593" w:type="pct"/>
            <w:vAlign w:val="center"/>
            <w:hideMark/>
          </w:tcPr>
          <w:p w14:paraId="7D72ADE5" w14:textId="77777777" w:rsidR="00E35FC6" w:rsidRPr="00D73C4A" w:rsidRDefault="00E35FC6" w:rsidP="00D73C4A">
            <w:pPr>
              <w:spacing w:after="0" w:line="240" w:lineRule="auto"/>
              <w:jc w:val="center"/>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Název MEO</w:t>
            </w:r>
          </w:p>
        </w:tc>
        <w:tc>
          <w:tcPr>
            <w:tcW w:w="713" w:type="pct"/>
            <w:vAlign w:val="center"/>
          </w:tcPr>
          <w:p w14:paraId="33861411" w14:textId="77777777" w:rsidR="00E35FC6" w:rsidRPr="00D73C4A" w:rsidRDefault="00E35FC6" w:rsidP="00D73C4A">
            <w:pPr>
              <w:spacing w:after="0" w:line="240" w:lineRule="auto"/>
              <w:jc w:val="center"/>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Počet českých občanů v MEO (2016)</w:t>
            </w:r>
          </w:p>
        </w:tc>
        <w:tc>
          <w:tcPr>
            <w:tcW w:w="948" w:type="pct"/>
            <w:vAlign w:val="center"/>
            <w:hideMark/>
          </w:tcPr>
          <w:p w14:paraId="39BC9CFA" w14:textId="77777777" w:rsidR="00E35FC6" w:rsidRPr="00D73C4A" w:rsidRDefault="00E35FC6" w:rsidP="00D73C4A">
            <w:pPr>
              <w:spacing w:after="0" w:line="240" w:lineRule="auto"/>
              <w:jc w:val="center"/>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Počet českých občanů v MEO (2017)</w:t>
            </w:r>
          </w:p>
        </w:tc>
        <w:tc>
          <w:tcPr>
            <w:tcW w:w="682" w:type="pct"/>
            <w:vAlign w:val="center"/>
            <w:hideMark/>
          </w:tcPr>
          <w:p w14:paraId="13DF03A1" w14:textId="77777777" w:rsidR="00E35FC6" w:rsidRPr="00D73C4A" w:rsidRDefault="00E35FC6" w:rsidP="00D73C4A">
            <w:pPr>
              <w:spacing w:after="0" w:line="240" w:lineRule="auto"/>
              <w:jc w:val="center"/>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Počet českých občanů v MEO (2018)</w:t>
            </w:r>
          </w:p>
        </w:tc>
        <w:tc>
          <w:tcPr>
            <w:tcW w:w="1034" w:type="pct"/>
            <w:vAlign w:val="center"/>
          </w:tcPr>
          <w:p w14:paraId="6D9B0509" w14:textId="77777777" w:rsidR="00E35FC6" w:rsidRPr="00D73C4A" w:rsidRDefault="00E35FC6" w:rsidP="00D73C4A">
            <w:pPr>
              <w:spacing w:after="0" w:line="240" w:lineRule="auto"/>
              <w:jc w:val="center"/>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Počet českých občanů působících v MEO na vyšších manažerských pozicích (2016)</w:t>
            </w:r>
          </w:p>
        </w:tc>
        <w:tc>
          <w:tcPr>
            <w:tcW w:w="1031" w:type="pct"/>
            <w:vAlign w:val="center"/>
          </w:tcPr>
          <w:p w14:paraId="6F1D2A65" w14:textId="77777777" w:rsidR="00E35FC6" w:rsidRPr="00D73C4A" w:rsidRDefault="00E35FC6" w:rsidP="00D73C4A">
            <w:pPr>
              <w:spacing w:after="0" w:line="240" w:lineRule="auto"/>
              <w:jc w:val="center"/>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Počet českých občanů působících v MEO na vyšších manažerských pozicích (2018)</w:t>
            </w:r>
          </w:p>
        </w:tc>
      </w:tr>
      <w:tr w:rsidR="00D73C4A" w:rsidRPr="00D73C4A" w14:paraId="4F20C6B9" w14:textId="77777777" w:rsidTr="006C222E">
        <w:trPr>
          <w:trHeight w:val="283"/>
          <w:jc w:val="center"/>
        </w:trPr>
        <w:tc>
          <w:tcPr>
            <w:tcW w:w="593" w:type="pct"/>
            <w:vAlign w:val="center"/>
            <w:hideMark/>
          </w:tcPr>
          <w:p w14:paraId="3B1C90CE"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OSN</w:t>
            </w:r>
          </w:p>
        </w:tc>
        <w:tc>
          <w:tcPr>
            <w:tcW w:w="713" w:type="pct"/>
            <w:vAlign w:val="center"/>
          </w:tcPr>
          <w:p w14:paraId="51EBFB69"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51</w:t>
            </w:r>
          </w:p>
        </w:tc>
        <w:tc>
          <w:tcPr>
            <w:tcW w:w="948" w:type="pct"/>
            <w:vAlign w:val="center"/>
            <w:hideMark/>
          </w:tcPr>
          <w:p w14:paraId="6518DD69"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55</w:t>
            </w:r>
          </w:p>
        </w:tc>
        <w:tc>
          <w:tcPr>
            <w:tcW w:w="682" w:type="pct"/>
            <w:vAlign w:val="center"/>
            <w:hideMark/>
          </w:tcPr>
          <w:p w14:paraId="05F2DF10"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53</w:t>
            </w:r>
          </w:p>
        </w:tc>
        <w:tc>
          <w:tcPr>
            <w:tcW w:w="1034" w:type="pct"/>
            <w:vAlign w:val="center"/>
          </w:tcPr>
          <w:p w14:paraId="51641B17"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c>
          <w:tcPr>
            <w:tcW w:w="1031" w:type="pct"/>
            <w:vAlign w:val="center"/>
          </w:tcPr>
          <w:p w14:paraId="087016A1"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5</w:t>
            </w:r>
          </w:p>
        </w:tc>
      </w:tr>
      <w:tr w:rsidR="00D73C4A" w:rsidRPr="00D73C4A" w14:paraId="07BD4D35" w14:textId="77777777" w:rsidTr="006C222E">
        <w:trPr>
          <w:trHeight w:val="283"/>
          <w:jc w:val="center"/>
        </w:trPr>
        <w:tc>
          <w:tcPr>
            <w:tcW w:w="593" w:type="pct"/>
            <w:vAlign w:val="center"/>
            <w:hideMark/>
          </w:tcPr>
          <w:p w14:paraId="377495CD"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NATO</w:t>
            </w:r>
          </w:p>
        </w:tc>
        <w:tc>
          <w:tcPr>
            <w:tcW w:w="713" w:type="pct"/>
            <w:vAlign w:val="center"/>
          </w:tcPr>
          <w:p w14:paraId="0EA3B736"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10</w:t>
            </w:r>
          </w:p>
        </w:tc>
        <w:tc>
          <w:tcPr>
            <w:tcW w:w="948" w:type="pct"/>
            <w:vAlign w:val="center"/>
            <w:hideMark/>
          </w:tcPr>
          <w:p w14:paraId="39B84F03"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29</w:t>
            </w:r>
          </w:p>
        </w:tc>
        <w:tc>
          <w:tcPr>
            <w:tcW w:w="682" w:type="pct"/>
            <w:vAlign w:val="center"/>
            <w:hideMark/>
          </w:tcPr>
          <w:p w14:paraId="6EBBE900"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29</w:t>
            </w:r>
          </w:p>
        </w:tc>
        <w:tc>
          <w:tcPr>
            <w:tcW w:w="1034" w:type="pct"/>
            <w:vAlign w:val="center"/>
          </w:tcPr>
          <w:p w14:paraId="39E686B5"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c>
          <w:tcPr>
            <w:tcW w:w="1031" w:type="pct"/>
            <w:vAlign w:val="center"/>
          </w:tcPr>
          <w:p w14:paraId="5BCAA232"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w:t>
            </w:r>
          </w:p>
        </w:tc>
      </w:tr>
      <w:tr w:rsidR="00D73C4A" w:rsidRPr="00D73C4A" w14:paraId="779DC992" w14:textId="77777777" w:rsidTr="006C222E">
        <w:trPr>
          <w:trHeight w:val="283"/>
          <w:jc w:val="center"/>
        </w:trPr>
        <w:tc>
          <w:tcPr>
            <w:tcW w:w="593" w:type="pct"/>
            <w:vAlign w:val="center"/>
            <w:hideMark/>
          </w:tcPr>
          <w:p w14:paraId="04479318"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RE</w:t>
            </w:r>
          </w:p>
        </w:tc>
        <w:tc>
          <w:tcPr>
            <w:tcW w:w="713" w:type="pct"/>
            <w:vAlign w:val="center"/>
          </w:tcPr>
          <w:p w14:paraId="48E2B2F8"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17</w:t>
            </w:r>
          </w:p>
        </w:tc>
        <w:tc>
          <w:tcPr>
            <w:tcW w:w="948" w:type="pct"/>
            <w:vAlign w:val="center"/>
            <w:hideMark/>
          </w:tcPr>
          <w:p w14:paraId="3BF8B739"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20</w:t>
            </w:r>
          </w:p>
        </w:tc>
        <w:tc>
          <w:tcPr>
            <w:tcW w:w="682" w:type="pct"/>
            <w:vAlign w:val="center"/>
            <w:hideMark/>
          </w:tcPr>
          <w:p w14:paraId="4F99EB76"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18</w:t>
            </w:r>
          </w:p>
        </w:tc>
        <w:tc>
          <w:tcPr>
            <w:tcW w:w="1034" w:type="pct"/>
            <w:vAlign w:val="center"/>
          </w:tcPr>
          <w:p w14:paraId="5EEADAF8"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3</w:t>
            </w:r>
          </w:p>
        </w:tc>
        <w:tc>
          <w:tcPr>
            <w:tcW w:w="1031" w:type="pct"/>
            <w:vAlign w:val="center"/>
          </w:tcPr>
          <w:p w14:paraId="72DF3269"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4</w:t>
            </w:r>
          </w:p>
        </w:tc>
      </w:tr>
      <w:tr w:rsidR="00D73C4A" w:rsidRPr="00D73C4A" w14:paraId="041201AB" w14:textId="77777777" w:rsidTr="006C222E">
        <w:trPr>
          <w:trHeight w:val="283"/>
          <w:jc w:val="center"/>
        </w:trPr>
        <w:tc>
          <w:tcPr>
            <w:tcW w:w="593" w:type="pct"/>
            <w:vAlign w:val="center"/>
            <w:hideMark/>
          </w:tcPr>
          <w:p w14:paraId="7B4AE7BD"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OECD</w:t>
            </w:r>
          </w:p>
        </w:tc>
        <w:tc>
          <w:tcPr>
            <w:tcW w:w="713" w:type="pct"/>
            <w:vAlign w:val="center"/>
          </w:tcPr>
          <w:p w14:paraId="03A927B0"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12</w:t>
            </w:r>
          </w:p>
        </w:tc>
        <w:tc>
          <w:tcPr>
            <w:tcW w:w="948" w:type="pct"/>
            <w:vAlign w:val="center"/>
            <w:hideMark/>
          </w:tcPr>
          <w:p w14:paraId="0B643F51"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14</w:t>
            </w:r>
          </w:p>
        </w:tc>
        <w:tc>
          <w:tcPr>
            <w:tcW w:w="682" w:type="pct"/>
            <w:vAlign w:val="center"/>
            <w:hideMark/>
          </w:tcPr>
          <w:p w14:paraId="1FDDB8A1"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15</w:t>
            </w:r>
          </w:p>
        </w:tc>
        <w:tc>
          <w:tcPr>
            <w:tcW w:w="1034" w:type="pct"/>
            <w:vAlign w:val="center"/>
          </w:tcPr>
          <w:p w14:paraId="1800C6CB"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c>
          <w:tcPr>
            <w:tcW w:w="1031" w:type="pct"/>
            <w:vAlign w:val="center"/>
          </w:tcPr>
          <w:p w14:paraId="70D7061A"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w:t>
            </w:r>
          </w:p>
        </w:tc>
      </w:tr>
      <w:tr w:rsidR="00D73C4A" w:rsidRPr="00D73C4A" w14:paraId="48DEA6A2" w14:textId="77777777" w:rsidTr="006C222E">
        <w:trPr>
          <w:trHeight w:val="283"/>
          <w:jc w:val="center"/>
        </w:trPr>
        <w:tc>
          <w:tcPr>
            <w:tcW w:w="593" w:type="pct"/>
            <w:vAlign w:val="center"/>
            <w:hideMark/>
          </w:tcPr>
          <w:p w14:paraId="41D6B817"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FAO</w:t>
            </w:r>
          </w:p>
        </w:tc>
        <w:tc>
          <w:tcPr>
            <w:tcW w:w="713" w:type="pct"/>
            <w:vAlign w:val="center"/>
          </w:tcPr>
          <w:p w14:paraId="65612252"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6</w:t>
            </w:r>
          </w:p>
        </w:tc>
        <w:tc>
          <w:tcPr>
            <w:tcW w:w="948" w:type="pct"/>
            <w:vAlign w:val="center"/>
            <w:hideMark/>
          </w:tcPr>
          <w:p w14:paraId="5A6E8711"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6</w:t>
            </w:r>
          </w:p>
        </w:tc>
        <w:tc>
          <w:tcPr>
            <w:tcW w:w="682" w:type="pct"/>
            <w:vAlign w:val="center"/>
            <w:hideMark/>
          </w:tcPr>
          <w:p w14:paraId="5D408ADD"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7</w:t>
            </w:r>
          </w:p>
        </w:tc>
        <w:tc>
          <w:tcPr>
            <w:tcW w:w="1034" w:type="pct"/>
            <w:vAlign w:val="center"/>
          </w:tcPr>
          <w:p w14:paraId="101C2B83"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c>
          <w:tcPr>
            <w:tcW w:w="1031" w:type="pct"/>
            <w:vAlign w:val="center"/>
          </w:tcPr>
          <w:p w14:paraId="23BDF14C"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r>
      <w:tr w:rsidR="00D73C4A" w:rsidRPr="00D73C4A" w14:paraId="18840501" w14:textId="77777777" w:rsidTr="006C222E">
        <w:trPr>
          <w:trHeight w:val="283"/>
          <w:jc w:val="center"/>
        </w:trPr>
        <w:tc>
          <w:tcPr>
            <w:tcW w:w="593" w:type="pct"/>
            <w:vAlign w:val="center"/>
            <w:hideMark/>
          </w:tcPr>
          <w:p w14:paraId="20AB6D45"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WHO</w:t>
            </w:r>
          </w:p>
        </w:tc>
        <w:tc>
          <w:tcPr>
            <w:tcW w:w="713" w:type="pct"/>
            <w:vAlign w:val="center"/>
          </w:tcPr>
          <w:p w14:paraId="6B8BB06D"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4</w:t>
            </w:r>
          </w:p>
        </w:tc>
        <w:tc>
          <w:tcPr>
            <w:tcW w:w="948" w:type="pct"/>
            <w:vAlign w:val="center"/>
            <w:hideMark/>
          </w:tcPr>
          <w:p w14:paraId="68FC46EC"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8</w:t>
            </w:r>
          </w:p>
        </w:tc>
        <w:tc>
          <w:tcPr>
            <w:tcW w:w="682" w:type="pct"/>
            <w:vAlign w:val="center"/>
            <w:hideMark/>
          </w:tcPr>
          <w:p w14:paraId="3139B95B"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7</w:t>
            </w:r>
          </w:p>
        </w:tc>
        <w:tc>
          <w:tcPr>
            <w:tcW w:w="1034" w:type="pct"/>
            <w:vAlign w:val="center"/>
          </w:tcPr>
          <w:p w14:paraId="0E88A7EF"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c>
          <w:tcPr>
            <w:tcW w:w="1031" w:type="pct"/>
            <w:vAlign w:val="center"/>
          </w:tcPr>
          <w:p w14:paraId="2B9F476E"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2</w:t>
            </w:r>
          </w:p>
        </w:tc>
      </w:tr>
      <w:tr w:rsidR="00D73C4A" w:rsidRPr="00D73C4A" w14:paraId="16AE86C1" w14:textId="77777777" w:rsidTr="006C222E">
        <w:trPr>
          <w:trHeight w:val="283"/>
          <w:jc w:val="center"/>
        </w:trPr>
        <w:tc>
          <w:tcPr>
            <w:tcW w:w="593" w:type="pct"/>
            <w:vAlign w:val="center"/>
            <w:hideMark/>
          </w:tcPr>
          <w:p w14:paraId="1BC0BA20"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ILO</w:t>
            </w:r>
          </w:p>
        </w:tc>
        <w:tc>
          <w:tcPr>
            <w:tcW w:w="713" w:type="pct"/>
            <w:vAlign w:val="center"/>
          </w:tcPr>
          <w:p w14:paraId="4BB13165"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w:t>
            </w:r>
          </w:p>
        </w:tc>
        <w:tc>
          <w:tcPr>
            <w:tcW w:w="948" w:type="pct"/>
            <w:vAlign w:val="center"/>
            <w:hideMark/>
          </w:tcPr>
          <w:p w14:paraId="67C0CC60"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w:t>
            </w:r>
          </w:p>
        </w:tc>
        <w:tc>
          <w:tcPr>
            <w:tcW w:w="682" w:type="pct"/>
            <w:vAlign w:val="center"/>
            <w:hideMark/>
          </w:tcPr>
          <w:p w14:paraId="6A6D7329"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w:t>
            </w:r>
          </w:p>
        </w:tc>
        <w:tc>
          <w:tcPr>
            <w:tcW w:w="1034" w:type="pct"/>
            <w:vAlign w:val="center"/>
          </w:tcPr>
          <w:p w14:paraId="03E7E881"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w:t>
            </w:r>
          </w:p>
        </w:tc>
        <w:tc>
          <w:tcPr>
            <w:tcW w:w="1031" w:type="pct"/>
            <w:vAlign w:val="center"/>
          </w:tcPr>
          <w:p w14:paraId="72CF52F5"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w:t>
            </w:r>
          </w:p>
        </w:tc>
      </w:tr>
      <w:tr w:rsidR="00D73C4A" w:rsidRPr="00D73C4A" w14:paraId="31C9C901" w14:textId="77777777" w:rsidTr="006C222E">
        <w:trPr>
          <w:trHeight w:val="283"/>
          <w:jc w:val="center"/>
        </w:trPr>
        <w:tc>
          <w:tcPr>
            <w:tcW w:w="593" w:type="pct"/>
            <w:vAlign w:val="center"/>
            <w:hideMark/>
          </w:tcPr>
          <w:p w14:paraId="4074566E"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WTO</w:t>
            </w:r>
          </w:p>
        </w:tc>
        <w:tc>
          <w:tcPr>
            <w:tcW w:w="713" w:type="pct"/>
            <w:vAlign w:val="center"/>
          </w:tcPr>
          <w:p w14:paraId="4A249C44"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w:t>
            </w:r>
          </w:p>
        </w:tc>
        <w:tc>
          <w:tcPr>
            <w:tcW w:w="948" w:type="pct"/>
            <w:vAlign w:val="center"/>
            <w:hideMark/>
          </w:tcPr>
          <w:p w14:paraId="798BC287"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w:t>
            </w:r>
          </w:p>
        </w:tc>
        <w:tc>
          <w:tcPr>
            <w:tcW w:w="682" w:type="pct"/>
            <w:vAlign w:val="center"/>
            <w:hideMark/>
          </w:tcPr>
          <w:p w14:paraId="01B2AF7B"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w:t>
            </w:r>
          </w:p>
        </w:tc>
        <w:tc>
          <w:tcPr>
            <w:tcW w:w="1034" w:type="pct"/>
            <w:vAlign w:val="center"/>
          </w:tcPr>
          <w:p w14:paraId="3F02ADAB"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c>
          <w:tcPr>
            <w:tcW w:w="1031" w:type="pct"/>
            <w:vAlign w:val="center"/>
          </w:tcPr>
          <w:p w14:paraId="64CD4480"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r>
      <w:tr w:rsidR="00D73C4A" w:rsidRPr="00D73C4A" w14:paraId="5874A18C" w14:textId="77777777" w:rsidTr="006C222E">
        <w:trPr>
          <w:trHeight w:val="283"/>
          <w:jc w:val="center"/>
        </w:trPr>
        <w:tc>
          <w:tcPr>
            <w:tcW w:w="593" w:type="pct"/>
            <w:vAlign w:val="center"/>
            <w:hideMark/>
          </w:tcPr>
          <w:p w14:paraId="2530F16C"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UNESCO</w:t>
            </w:r>
          </w:p>
        </w:tc>
        <w:tc>
          <w:tcPr>
            <w:tcW w:w="713" w:type="pct"/>
            <w:vAlign w:val="center"/>
          </w:tcPr>
          <w:p w14:paraId="61AA8FB4"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3</w:t>
            </w:r>
          </w:p>
        </w:tc>
        <w:tc>
          <w:tcPr>
            <w:tcW w:w="948" w:type="pct"/>
            <w:vAlign w:val="center"/>
            <w:hideMark/>
          </w:tcPr>
          <w:p w14:paraId="6757D391"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4</w:t>
            </w:r>
          </w:p>
        </w:tc>
        <w:tc>
          <w:tcPr>
            <w:tcW w:w="682" w:type="pct"/>
            <w:vAlign w:val="center"/>
            <w:hideMark/>
          </w:tcPr>
          <w:p w14:paraId="2F5C4016"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4</w:t>
            </w:r>
          </w:p>
        </w:tc>
        <w:tc>
          <w:tcPr>
            <w:tcW w:w="1034" w:type="pct"/>
            <w:vAlign w:val="center"/>
          </w:tcPr>
          <w:p w14:paraId="011360BE"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w:t>
            </w:r>
          </w:p>
        </w:tc>
        <w:tc>
          <w:tcPr>
            <w:tcW w:w="1031" w:type="pct"/>
            <w:vAlign w:val="center"/>
          </w:tcPr>
          <w:p w14:paraId="5F72F6D8"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r>
      <w:tr w:rsidR="00D73C4A" w:rsidRPr="00D73C4A" w14:paraId="6EFBECED" w14:textId="77777777" w:rsidTr="006C222E">
        <w:trPr>
          <w:trHeight w:val="283"/>
          <w:jc w:val="center"/>
        </w:trPr>
        <w:tc>
          <w:tcPr>
            <w:tcW w:w="593" w:type="pct"/>
            <w:vAlign w:val="center"/>
            <w:hideMark/>
          </w:tcPr>
          <w:p w14:paraId="0D665E71"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OBSE</w:t>
            </w:r>
          </w:p>
        </w:tc>
        <w:tc>
          <w:tcPr>
            <w:tcW w:w="713" w:type="pct"/>
            <w:vAlign w:val="center"/>
          </w:tcPr>
          <w:p w14:paraId="2B41BBB7"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23</w:t>
            </w:r>
          </w:p>
        </w:tc>
        <w:tc>
          <w:tcPr>
            <w:tcW w:w="948" w:type="pct"/>
            <w:vAlign w:val="center"/>
            <w:hideMark/>
          </w:tcPr>
          <w:p w14:paraId="13CB2AD5" w14:textId="0E350DCE"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Údaj není dostupný</w:t>
            </w:r>
            <w:r w:rsidR="006C222E">
              <w:rPr>
                <w:rFonts w:ascii="Calibri" w:hAnsi="Calibri" w:cs="Calibri"/>
                <w:color w:val="000000"/>
                <w:sz w:val="20"/>
                <w:szCs w:val="20"/>
                <w:lang w:eastAsia="cs-CZ"/>
              </w:rPr>
              <w:t>.</w:t>
            </w:r>
          </w:p>
        </w:tc>
        <w:tc>
          <w:tcPr>
            <w:tcW w:w="682" w:type="pct"/>
            <w:vAlign w:val="center"/>
            <w:hideMark/>
          </w:tcPr>
          <w:p w14:paraId="7436EE90"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11</w:t>
            </w:r>
          </w:p>
        </w:tc>
        <w:tc>
          <w:tcPr>
            <w:tcW w:w="1034" w:type="pct"/>
            <w:vAlign w:val="center"/>
          </w:tcPr>
          <w:p w14:paraId="7A6B0B90"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w:t>
            </w:r>
          </w:p>
        </w:tc>
        <w:tc>
          <w:tcPr>
            <w:tcW w:w="1031" w:type="pct"/>
            <w:vAlign w:val="center"/>
          </w:tcPr>
          <w:p w14:paraId="77A779E3"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2</w:t>
            </w:r>
          </w:p>
        </w:tc>
      </w:tr>
      <w:tr w:rsidR="00D73C4A" w:rsidRPr="00D73C4A" w14:paraId="5A399B91" w14:textId="77777777" w:rsidTr="006C222E">
        <w:trPr>
          <w:trHeight w:val="283"/>
          <w:jc w:val="center"/>
        </w:trPr>
        <w:tc>
          <w:tcPr>
            <w:tcW w:w="593" w:type="pct"/>
            <w:vAlign w:val="center"/>
            <w:hideMark/>
          </w:tcPr>
          <w:p w14:paraId="51BD3CDA"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IOM</w:t>
            </w:r>
          </w:p>
        </w:tc>
        <w:tc>
          <w:tcPr>
            <w:tcW w:w="713" w:type="pct"/>
            <w:vAlign w:val="center"/>
          </w:tcPr>
          <w:p w14:paraId="63D461AB"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8</w:t>
            </w:r>
          </w:p>
        </w:tc>
        <w:tc>
          <w:tcPr>
            <w:tcW w:w="948" w:type="pct"/>
            <w:vAlign w:val="center"/>
            <w:hideMark/>
          </w:tcPr>
          <w:p w14:paraId="65B3BB3B"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6</w:t>
            </w:r>
          </w:p>
        </w:tc>
        <w:tc>
          <w:tcPr>
            <w:tcW w:w="682" w:type="pct"/>
            <w:vAlign w:val="center"/>
            <w:hideMark/>
          </w:tcPr>
          <w:p w14:paraId="3B22A5AB"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8</w:t>
            </w:r>
          </w:p>
        </w:tc>
        <w:tc>
          <w:tcPr>
            <w:tcW w:w="1034" w:type="pct"/>
            <w:vAlign w:val="center"/>
          </w:tcPr>
          <w:p w14:paraId="3B3A65CA"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c>
          <w:tcPr>
            <w:tcW w:w="1031" w:type="pct"/>
            <w:vAlign w:val="center"/>
          </w:tcPr>
          <w:p w14:paraId="4A5FD9F6"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w:t>
            </w:r>
          </w:p>
        </w:tc>
      </w:tr>
      <w:tr w:rsidR="00D73C4A" w:rsidRPr="00D73C4A" w14:paraId="433C30BA" w14:textId="77777777" w:rsidTr="006C222E">
        <w:trPr>
          <w:trHeight w:val="283"/>
          <w:jc w:val="center"/>
        </w:trPr>
        <w:tc>
          <w:tcPr>
            <w:tcW w:w="593" w:type="pct"/>
            <w:vAlign w:val="center"/>
            <w:hideMark/>
          </w:tcPr>
          <w:p w14:paraId="6F11E469"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ICMPD</w:t>
            </w:r>
          </w:p>
        </w:tc>
        <w:tc>
          <w:tcPr>
            <w:tcW w:w="713" w:type="pct"/>
            <w:vAlign w:val="center"/>
          </w:tcPr>
          <w:p w14:paraId="1C748F13"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3</w:t>
            </w:r>
          </w:p>
        </w:tc>
        <w:tc>
          <w:tcPr>
            <w:tcW w:w="948" w:type="pct"/>
            <w:vAlign w:val="center"/>
            <w:hideMark/>
          </w:tcPr>
          <w:p w14:paraId="3EA19A5A" w14:textId="078975B9"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Údaj není dostupný</w:t>
            </w:r>
            <w:r w:rsidR="006C222E">
              <w:rPr>
                <w:rFonts w:ascii="Calibri" w:hAnsi="Calibri" w:cs="Calibri"/>
                <w:color w:val="000000"/>
                <w:sz w:val="20"/>
                <w:szCs w:val="20"/>
                <w:lang w:eastAsia="cs-CZ"/>
              </w:rPr>
              <w:t>.</w:t>
            </w:r>
          </w:p>
        </w:tc>
        <w:tc>
          <w:tcPr>
            <w:tcW w:w="682" w:type="pct"/>
            <w:vAlign w:val="center"/>
            <w:hideMark/>
          </w:tcPr>
          <w:p w14:paraId="58AB4F5A"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3</w:t>
            </w:r>
          </w:p>
        </w:tc>
        <w:tc>
          <w:tcPr>
            <w:tcW w:w="1034" w:type="pct"/>
            <w:vAlign w:val="center"/>
          </w:tcPr>
          <w:p w14:paraId="3F1015AC" w14:textId="2784175D"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Údaj není dostupný</w:t>
            </w:r>
            <w:r w:rsidR="006C222E">
              <w:rPr>
                <w:rFonts w:ascii="Calibri" w:hAnsi="Calibri" w:cs="Calibri"/>
                <w:color w:val="000000"/>
                <w:sz w:val="20"/>
                <w:szCs w:val="20"/>
                <w:lang w:eastAsia="cs-CZ"/>
              </w:rPr>
              <w:t>.</w:t>
            </w:r>
          </w:p>
        </w:tc>
        <w:tc>
          <w:tcPr>
            <w:tcW w:w="1031" w:type="pct"/>
            <w:vAlign w:val="center"/>
          </w:tcPr>
          <w:p w14:paraId="671C497D"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w:t>
            </w:r>
          </w:p>
        </w:tc>
      </w:tr>
      <w:tr w:rsidR="00D73C4A" w:rsidRPr="00D73C4A" w14:paraId="46F790F5" w14:textId="77777777" w:rsidTr="006C222E">
        <w:trPr>
          <w:trHeight w:val="283"/>
          <w:jc w:val="center"/>
        </w:trPr>
        <w:tc>
          <w:tcPr>
            <w:tcW w:w="593" w:type="pct"/>
            <w:vAlign w:val="center"/>
            <w:hideMark/>
          </w:tcPr>
          <w:p w14:paraId="7726341F"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UNHCR</w:t>
            </w:r>
          </w:p>
        </w:tc>
        <w:tc>
          <w:tcPr>
            <w:tcW w:w="713" w:type="pct"/>
            <w:vAlign w:val="center"/>
          </w:tcPr>
          <w:p w14:paraId="0FAA8053"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c>
          <w:tcPr>
            <w:tcW w:w="948" w:type="pct"/>
            <w:vAlign w:val="center"/>
            <w:hideMark/>
          </w:tcPr>
          <w:p w14:paraId="1B09BBC2"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12</w:t>
            </w:r>
          </w:p>
        </w:tc>
        <w:tc>
          <w:tcPr>
            <w:tcW w:w="682" w:type="pct"/>
            <w:vAlign w:val="center"/>
            <w:hideMark/>
          </w:tcPr>
          <w:p w14:paraId="5F74BF84"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12</w:t>
            </w:r>
          </w:p>
        </w:tc>
        <w:tc>
          <w:tcPr>
            <w:tcW w:w="1034" w:type="pct"/>
            <w:vAlign w:val="center"/>
          </w:tcPr>
          <w:p w14:paraId="1CE41414" w14:textId="4D4552DE"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Údaj není dostupný</w:t>
            </w:r>
            <w:r w:rsidR="006C222E">
              <w:rPr>
                <w:rFonts w:ascii="Calibri" w:hAnsi="Calibri" w:cs="Calibri"/>
                <w:color w:val="000000"/>
                <w:sz w:val="20"/>
                <w:szCs w:val="20"/>
                <w:lang w:eastAsia="cs-CZ"/>
              </w:rPr>
              <w:t>.</w:t>
            </w:r>
          </w:p>
        </w:tc>
        <w:tc>
          <w:tcPr>
            <w:tcW w:w="1031" w:type="pct"/>
            <w:vAlign w:val="center"/>
          </w:tcPr>
          <w:p w14:paraId="74E31708"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w:t>
            </w:r>
          </w:p>
        </w:tc>
      </w:tr>
      <w:tr w:rsidR="00D73C4A" w:rsidRPr="00D73C4A" w14:paraId="170EB8B8" w14:textId="77777777" w:rsidTr="006C222E">
        <w:trPr>
          <w:trHeight w:val="283"/>
          <w:jc w:val="center"/>
        </w:trPr>
        <w:tc>
          <w:tcPr>
            <w:tcW w:w="593" w:type="pct"/>
            <w:vAlign w:val="center"/>
            <w:hideMark/>
          </w:tcPr>
          <w:p w14:paraId="2280D502"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lastRenderedPageBreak/>
              <w:t>EIB</w:t>
            </w:r>
          </w:p>
        </w:tc>
        <w:tc>
          <w:tcPr>
            <w:tcW w:w="713" w:type="pct"/>
            <w:vAlign w:val="center"/>
          </w:tcPr>
          <w:p w14:paraId="43786493"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32</w:t>
            </w:r>
          </w:p>
        </w:tc>
        <w:tc>
          <w:tcPr>
            <w:tcW w:w="948" w:type="pct"/>
            <w:vAlign w:val="center"/>
            <w:hideMark/>
          </w:tcPr>
          <w:p w14:paraId="7CB733BD"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41</w:t>
            </w:r>
          </w:p>
        </w:tc>
        <w:tc>
          <w:tcPr>
            <w:tcW w:w="682" w:type="pct"/>
            <w:vAlign w:val="center"/>
            <w:hideMark/>
          </w:tcPr>
          <w:p w14:paraId="1B48DFC9"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44</w:t>
            </w:r>
          </w:p>
        </w:tc>
        <w:tc>
          <w:tcPr>
            <w:tcW w:w="1034" w:type="pct"/>
            <w:vAlign w:val="center"/>
          </w:tcPr>
          <w:p w14:paraId="55BDDAE4"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4</w:t>
            </w:r>
          </w:p>
        </w:tc>
        <w:tc>
          <w:tcPr>
            <w:tcW w:w="1031" w:type="pct"/>
            <w:vAlign w:val="center"/>
          </w:tcPr>
          <w:p w14:paraId="6F83317F" w14:textId="55ED7A3F"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Údaj není k</w:t>
            </w:r>
            <w:r w:rsidR="006C222E">
              <w:rPr>
                <w:rFonts w:ascii="Calibri" w:hAnsi="Calibri" w:cs="Calibri"/>
                <w:color w:val="000000"/>
                <w:sz w:val="20"/>
                <w:szCs w:val="20"/>
                <w:lang w:eastAsia="cs-CZ"/>
              </w:rPr>
              <w:t> </w:t>
            </w:r>
            <w:r w:rsidRPr="00D73C4A">
              <w:rPr>
                <w:rFonts w:ascii="Calibri" w:hAnsi="Calibri" w:cs="Calibri"/>
                <w:color w:val="000000"/>
                <w:sz w:val="20"/>
                <w:szCs w:val="20"/>
                <w:lang w:eastAsia="cs-CZ"/>
              </w:rPr>
              <w:t>dispozici</w:t>
            </w:r>
            <w:r w:rsidR="006C222E">
              <w:rPr>
                <w:rFonts w:ascii="Calibri" w:hAnsi="Calibri" w:cs="Calibri"/>
                <w:color w:val="000000"/>
                <w:sz w:val="20"/>
                <w:szCs w:val="20"/>
                <w:lang w:eastAsia="cs-CZ"/>
              </w:rPr>
              <w:t>.</w:t>
            </w:r>
          </w:p>
        </w:tc>
      </w:tr>
      <w:tr w:rsidR="00D73C4A" w:rsidRPr="00D73C4A" w14:paraId="662E3E12" w14:textId="77777777" w:rsidTr="006C222E">
        <w:trPr>
          <w:trHeight w:val="283"/>
          <w:jc w:val="center"/>
        </w:trPr>
        <w:tc>
          <w:tcPr>
            <w:tcW w:w="593" w:type="pct"/>
            <w:vAlign w:val="center"/>
            <w:hideMark/>
          </w:tcPr>
          <w:p w14:paraId="2AD12DC2"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IMF</w:t>
            </w:r>
          </w:p>
        </w:tc>
        <w:tc>
          <w:tcPr>
            <w:tcW w:w="713" w:type="pct"/>
            <w:vAlign w:val="center"/>
          </w:tcPr>
          <w:p w14:paraId="35D526D2"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2</w:t>
            </w:r>
          </w:p>
        </w:tc>
        <w:tc>
          <w:tcPr>
            <w:tcW w:w="948" w:type="pct"/>
            <w:vAlign w:val="center"/>
            <w:hideMark/>
          </w:tcPr>
          <w:p w14:paraId="4D3F1ABC"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2</w:t>
            </w:r>
          </w:p>
        </w:tc>
        <w:tc>
          <w:tcPr>
            <w:tcW w:w="682" w:type="pct"/>
            <w:vAlign w:val="center"/>
            <w:hideMark/>
          </w:tcPr>
          <w:p w14:paraId="08F16CFA"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2</w:t>
            </w:r>
          </w:p>
        </w:tc>
        <w:tc>
          <w:tcPr>
            <w:tcW w:w="1034" w:type="pct"/>
            <w:vAlign w:val="center"/>
          </w:tcPr>
          <w:p w14:paraId="30EE5BA8" w14:textId="2E3EB084"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Údaj není dostupný</w:t>
            </w:r>
            <w:r w:rsidR="006C222E">
              <w:rPr>
                <w:rFonts w:ascii="Calibri" w:hAnsi="Calibri" w:cs="Calibri"/>
                <w:color w:val="000000"/>
                <w:sz w:val="20"/>
                <w:szCs w:val="20"/>
                <w:lang w:eastAsia="cs-CZ"/>
              </w:rPr>
              <w:t>.</w:t>
            </w:r>
          </w:p>
        </w:tc>
        <w:tc>
          <w:tcPr>
            <w:tcW w:w="1031" w:type="pct"/>
            <w:vAlign w:val="center"/>
          </w:tcPr>
          <w:p w14:paraId="433F15A5"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2</w:t>
            </w:r>
          </w:p>
        </w:tc>
      </w:tr>
      <w:tr w:rsidR="00D73C4A" w:rsidRPr="00D73C4A" w14:paraId="459BFC47" w14:textId="77777777" w:rsidTr="006C222E">
        <w:trPr>
          <w:trHeight w:val="283"/>
          <w:jc w:val="center"/>
        </w:trPr>
        <w:tc>
          <w:tcPr>
            <w:tcW w:w="593" w:type="pct"/>
            <w:vAlign w:val="center"/>
            <w:hideMark/>
          </w:tcPr>
          <w:p w14:paraId="17101E4B"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ICC</w:t>
            </w:r>
          </w:p>
        </w:tc>
        <w:tc>
          <w:tcPr>
            <w:tcW w:w="713" w:type="pct"/>
            <w:vAlign w:val="center"/>
          </w:tcPr>
          <w:p w14:paraId="6066F058"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c>
          <w:tcPr>
            <w:tcW w:w="948" w:type="pct"/>
            <w:vAlign w:val="center"/>
            <w:hideMark/>
          </w:tcPr>
          <w:p w14:paraId="681F5CA6"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c>
          <w:tcPr>
            <w:tcW w:w="682" w:type="pct"/>
            <w:vAlign w:val="center"/>
            <w:hideMark/>
          </w:tcPr>
          <w:p w14:paraId="16322FBD"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c>
          <w:tcPr>
            <w:tcW w:w="1034" w:type="pct"/>
            <w:vAlign w:val="center"/>
          </w:tcPr>
          <w:p w14:paraId="1E5E1A90" w14:textId="23BB3D9B"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Údaj není dostupný</w:t>
            </w:r>
            <w:r w:rsidR="006C222E">
              <w:rPr>
                <w:rFonts w:ascii="Calibri" w:hAnsi="Calibri" w:cs="Calibri"/>
                <w:color w:val="000000"/>
                <w:sz w:val="20"/>
                <w:szCs w:val="20"/>
                <w:lang w:eastAsia="cs-CZ"/>
              </w:rPr>
              <w:t>.</w:t>
            </w:r>
          </w:p>
        </w:tc>
        <w:tc>
          <w:tcPr>
            <w:tcW w:w="1031" w:type="pct"/>
            <w:vAlign w:val="center"/>
          </w:tcPr>
          <w:p w14:paraId="1B2DC2EF"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r>
      <w:tr w:rsidR="00D73C4A" w:rsidRPr="00D73C4A" w14:paraId="440E8FCC" w14:textId="77777777" w:rsidTr="006C222E">
        <w:trPr>
          <w:trHeight w:val="283"/>
          <w:jc w:val="center"/>
        </w:trPr>
        <w:tc>
          <w:tcPr>
            <w:tcW w:w="593" w:type="pct"/>
            <w:vAlign w:val="center"/>
            <w:hideMark/>
          </w:tcPr>
          <w:p w14:paraId="0C2A0524"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WB Group</w:t>
            </w:r>
          </w:p>
        </w:tc>
        <w:tc>
          <w:tcPr>
            <w:tcW w:w="713" w:type="pct"/>
            <w:vAlign w:val="center"/>
          </w:tcPr>
          <w:p w14:paraId="4313E548"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64</w:t>
            </w:r>
          </w:p>
        </w:tc>
        <w:tc>
          <w:tcPr>
            <w:tcW w:w="948" w:type="pct"/>
            <w:vAlign w:val="center"/>
            <w:hideMark/>
          </w:tcPr>
          <w:p w14:paraId="6D4FE5A0" w14:textId="04599549"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Údaj není dostupný</w:t>
            </w:r>
            <w:r w:rsidR="006C222E">
              <w:rPr>
                <w:rFonts w:ascii="Calibri" w:hAnsi="Calibri" w:cs="Calibri"/>
                <w:color w:val="000000"/>
                <w:sz w:val="20"/>
                <w:szCs w:val="20"/>
                <w:lang w:eastAsia="cs-CZ"/>
              </w:rPr>
              <w:t>.</w:t>
            </w:r>
          </w:p>
        </w:tc>
        <w:tc>
          <w:tcPr>
            <w:tcW w:w="682" w:type="pct"/>
            <w:vAlign w:val="center"/>
            <w:hideMark/>
          </w:tcPr>
          <w:p w14:paraId="2D292F9A" w14:textId="77777777" w:rsidR="00E35FC6" w:rsidRPr="00D73C4A" w:rsidRDefault="00E35FC6" w:rsidP="00D73C4A">
            <w:pPr>
              <w:spacing w:after="0" w:line="240" w:lineRule="auto"/>
              <w:jc w:val="center"/>
              <w:rPr>
                <w:rFonts w:ascii="Calibri" w:hAnsi="Calibri" w:cs="Calibri"/>
                <w:sz w:val="20"/>
                <w:szCs w:val="20"/>
                <w:lang w:eastAsia="cs-CZ"/>
              </w:rPr>
            </w:pPr>
            <w:bookmarkStart w:id="4" w:name="RANGE!H18"/>
            <w:r w:rsidRPr="00D73C4A">
              <w:rPr>
                <w:rFonts w:ascii="Calibri" w:hAnsi="Calibri" w:cs="Calibri"/>
                <w:sz w:val="20"/>
                <w:szCs w:val="20"/>
                <w:lang w:eastAsia="cs-CZ"/>
              </w:rPr>
              <w:t>35</w:t>
            </w:r>
            <w:bookmarkEnd w:id="4"/>
          </w:p>
        </w:tc>
        <w:tc>
          <w:tcPr>
            <w:tcW w:w="1034" w:type="pct"/>
            <w:vAlign w:val="center"/>
          </w:tcPr>
          <w:p w14:paraId="2013DFD1" w14:textId="56F5DCBA" w:rsidR="00E35FC6" w:rsidRPr="00D73C4A" w:rsidRDefault="00E35FC6" w:rsidP="00D73C4A">
            <w:pPr>
              <w:spacing w:after="0" w:line="240" w:lineRule="auto"/>
              <w:jc w:val="center"/>
              <w:rPr>
                <w:rFonts w:ascii="Calibri" w:hAnsi="Calibri" w:cs="Calibri"/>
                <w:sz w:val="20"/>
                <w:szCs w:val="20"/>
                <w:lang w:eastAsia="cs-CZ"/>
              </w:rPr>
            </w:pPr>
            <w:r w:rsidRPr="00D73C4A">
              <w:rPr>
                <w:rFonts w:ascii="Calibri" w:hAnsi="Calibri" w:cs="Calibri"/>
                <w:color w:val="000000"/>
                <w:sz w:val="20"/>
                <w:szCs w:val="20"/>
                <w:lang w:eastAsia="cs-CZ"/>
              </w:rPr>
              <w:t>Údaj není dostupný</w:t>
            </w:r>
            <w:r w:rsidR="006C222E">
              <w:rPr>
                <w:rFonts w:ascii="Calibri" w:hAnsi="Calibri" w:cs="Calibri"/>
                <w:color w:val="000000"/>
                <w:sz w:val="20"/>
                <w:szCs w:val="20"/>
                <w:lang w:eastAsia="cs-CZ"/>
              </w:rPr>
              <w:t>.</w:t>
            </w:r>
          </w:p>
        </w:tc>
        <w:tc>
          <w:tcPr>
            <w:tcW w:w="1031" w:type="pct"/>
            <w:vAlign w:val="center"/>
          </w:tcPr>
          <w:p w14:paraId="357E2999"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w:t>
            </w:r>
          </w:p>
        </w:tc>
      </w:tr>
      <w:tr w:rsidR="00D73C4A" w:rsidRPr="00D73C4A" w14:paraId="7D967501" w14:textId="77777777" w:rsidTr="006C222E">
        <w:trPr>
          <w:trHeight w:val="283"/>
          <w:jc w:val="center"/>
        </w:trPr>
        <w:tc>
          <w:tcPr>
            <w:tcW w:w="593" w:type="pct"/>
            <w:vAlign w:val="center"/>
            <w:hideMark/>
          </w:tcPr>
          <w:p w14:paraId="7DAF6E4E"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MAAE</w:t>
            </w:r>
          </w:p>
        </w:tc>
        <w:tc>
          <w:tcPr>
            <w:tcW w:w="713" w:type="pct"/>
            <w:vAlign w:val="center"/>
          </w:tcPr>
          <w:p w14:paraId="4E27A770"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11</w:t>
            </w:r>
          </w:p>
        </w:tc>
        <w:tc>
          <w:tcPr>
            <w:tcW w:w="948" w:type="pct"/>
            <w:vAlign w:val="center"/>
            <w:hideMark/>
          </w:tcPr>
          <w:p w14:paraId="624F4C53" w14:textId="775A644D"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Údaj není dostupný</w:t>
            </w:r>
            <w:r w:rsidR="006C222E">
              <w:rPr>
                <w:rFonts w:ascii="Calibri" w:hAnsi="Calibri" w:cs="Calibri"/>
                <w:color w:val="000000"/>
                <w:sz w:val="20"/>
                <w:szCs w:val="20"/>
                <w:lang w:eastAsia="cs-CZ"/>
              </w:rPr>
              <w:t>.</w:t>
            </w:r>
          </w:p>
        </w:tc>
        <w:tc>
          <w:tcPr>
            <w:tcW w:w="682" w:type="pct"/>
            <w:vAlign w:val="center"/>
            <w:hideMark/>
          </w:tcPr>
          <w:p w14:paraId="173007C9" w14:textId="77777777" w:rsidR="00E35FC6" w:rsidRPr="00D73C4A" w:rsidRDefault="00E35FC6" w:rsidP="00D73C4A">
            <w:pPr>
              <w:spacing w:after="0" w:line="240" w:lineRule="auto"/>
              <w:jc w:val="center"/>
              <w:rPr>
                <w:rFonts w:ascii="Calibri" w:hAnsi="Calibri" w:cs="Calibri"/>
                <w:sz w:val="20"/>
                <w:szCs w:val="20"/>
                <w:lang w:eastAsia="cs-CZ"/>
              </w:rPr>
            </w:pPr>
            <w:r w:rsidRPr="00D73C4A">
              <w:rPr>
                <w:rFonts w:ascii="Calibri" w:hAnsi="Calibri" w:cs="Calibri"/>
                <w:sz w:val="20"/>
                <w:szCs w:val="20"/>
                <w:lang w:eastAsia="cs-CZ"/>
              </w:rPr>
              <w:t>10</w:t>
            </w:r>
          </w:p>
        </w:tc>
        <w:tc>
          <w:tcPr>
            <w:tcW w:w="1034" w:type="pct"/>
            <w:vAlign w:val="center"/>
          </w:tcPr>
          <w:p w14:paraId="28A7789F" w14:textId="71734DC7" w:rsidR="00E35FC6" w:rsidRPr="00D73C4A" w:rsidRDefault="00E35FC6" w:rsidP="00D73C4A">
            <w:pPr>
              <w:spacing w:after="0" w:line="240" w:lineRule="auto"/>
              <w:jc w:val="center"/>
              <w:rPr>
                <w:rFonts w:ascii="Calibri" w:hAnsi="Calibri" w:cs="Calibri"/>
                <w:sz w:val="20"/>
                <w:szCs w:val="20"/>
                <w:lang w:eastAsia="cs-CZ"/>
              </w:rPr>
            </w:pPr>
            <w:r w:rsidRPr="00D73C4A">
              <w:rPr>
                <w:rFonts w:ascii="Calibri" w:hAnsi="Calibri" w:cs="Calibri"/>
                <w:color w:val="000000"/>
                <w:sz w:val="20"/>
                <w:szCs w:val="20"/>
                <w:lang w:eastAsia="cs-CZ"/>
              </w:rPr>
              <w:t>Údaj není dostupný</w:t>
            </w:r>
            <w:r w:rsidR="006C222E">
              <w:rPr>
                <w:rFonts w:ascii="Calibri" w:hAnsi="Calibri" w:cs="Calibri"/>
                <w:color w:val="000000"/>
                <w:sz w:val="20"/>
                <w:szCs w:val="20"/>
                <w:lang w:eastAsia="cs-CZ"/>
              </w:rPr>
              <w:t>.</w:t>
            </w:r>
          </w:p>
        </w:tc>
        <w:tc>
          <w:tcPr>
            <w:tcW w:w="1031" w:type="pct"/>
            <w:vAlign w:val="center"/>
          </w:tcPr>
          <w:p w14:paraId="3BCB33FE"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2</w:t>
            </w:r>
          </w:p>
        </w:tc>
      </w:tr>
      <w:tr w:rsidR="00D73C4A" w:rsidRPr="00D73C4A" w14:paraId="17AB0D9A" w14:textId="77777777" w:rsidTr="006C222E">
        <w:trPr>
          <w:trHeight w:val="283"/>
          <w:jc w:val="center"/>
        </w:trPr>
        <w:tc>
          <w:tcPr>
            <w:tcW w:w="593" w:type="pct"/>
            <w:vAlign w:val="center"/>
            <w:hideMark/>
          </w:tcPr>
          <w:p w14:paraId="1013B07C"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UNWTO</w:t>
            </w:r>
          </w:p>
        </w:tc>
        <w:tc>
          <w:tcPr>
            <w:tcW w:w="713" w:type="pct"/>
            <w:vAlign w:val="center"/>
          </w:tcPr>
          <w:p w14:paraId="5E66481B"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c>
          <w:tcPr>
            <w:tcW w:w="948" w:type="pct"/>
            <w:vAlign w:val="center"/>
            <w:hideMark/>
          </w:tcPr>
          <w:p w14:paraId="14E92374"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c>
          <w:tcPr>
            <w:tcW w:w="682" w:type="pct"/>
            <w:vAlign w:val="center"/>
            <w:hideMark/>
          </w:tcPr>
          <w:p w14:paraId="4F01E558"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c>
          <w:tcPr>
            <w:tcW w:w="1034" w:type="pct"/>
            <w:vAlign w:val="center"/>
          </w:tcPr>
          <w:p w14:paraId="16C83065" w14:textId="1F4AFC2D"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Údaj není dostupný</w:t>
            </w:r>
            <w:r w:rsidR="006C222E">
              <w:rPr>
                <w:rFonts w:ascii="Calibri" w:hAnsi="Calibri" w:cs="Calibri"/>
                <w:color w:val="000000"/>
                <w:sz w:val="20"/>
                <w:szCs w:val="20"/>
                <w:lang w:eastAsia="cs-CZ"/>
              </w:rPr>
              <w:t>.</w:t>
            </w:r>
          </w:p>
        </w:tc>
        <w:tc>
          <w:tcPr>
            <w:tcW w:w="1031" w:type="pct"/>
            <w:vAlign w:val="center"/>
          </w:tcPr>
          <w:p w14:paraId="18F55ADA"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0</w:t>
            </w:r>
          </w:p>
        </w:tc>
      </w:tr>
      <w:tr w:rsidR="00D73C4A" w:rsidRPr="00D73C4A" w14:paraId="719AEDAA" w14:textId="77777777" w:rsidTr="006C222E">
        <w:trPr>
          <w:trHeight w:val="283"/>
          <w:jc w:val="center"/>
        </w:trPr>
        <w:tc>
          <w:tcPr>
            <w:tcW w:w="593" w:type="pct"/>
            <w:vAlign w:val="center"/>
            <w:hideMark/>
          </w:tcPr>
          <w:p w14:paraId="18358D76"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UNEP</w:t>
            </w:r>
          </w:p>
        </w:tc>
        <w:tc>
          <w:tcPr>
            <w:tcW w:w="713" w:type="pct"/>
            <w:vAlign w:val="center"/>
          </w:tcPr>
          <w:p w14:paraId="5980AA67"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2</w:t>
            </w:r>
          </w:p>
        </w:tc>
        <w:tc>
          <w:tcPr>
            <w:tcW w:w="948" w:type="pct"/>
            <w:vAlign w:val="center"/>
            <w:hideMark/>
          </w:tcPr>
          <w:p w14:paraId="381616A6" w14:textId="11BA4302"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Údaj není dostupný</w:t>
            </w:r>
            <w:r w:rsidR="006C222E">
              <w:rPr>
                <w:rFonts w:ascii="Calibri" w:hAnsi="Calibri" w:cs="Calibri"/>
                <w:color w:val="000000"/>
                <w:sz w:val="20"/>
                <w:szCs w:val="20"/>
                <w:lang w:eastAsia="cs-CZ"/>
              </w:rPr>
              <w:t>.</w:t>
            </w:r>
          </w:p>
        </w:tc>
        <w:tc>
          <w:tcPr>
            <w:tcW w:w="682" w:type="pct"/>
            <w:vAlign w:val="center"/>
            <w:hideMark/>
          </w:tcPr>
          <w:p w14:paraId="426FA0FE"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2</w:t>
            </w:r>
          </w:p>
        </w:tc>
        <w:tc>
          <w:tcPr>
            <w:tcW w:w="1034" w:type="pct"/>
            <w:vAlign w:val="center"/>
          </w:tcPr>
          <w:p w14:paraId="4F7FFD13"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w:t>
            </w:r>
          </w:p>
        </w:tc>
        <w:tc>
          <w:tcPr>
            <w:tcW w:w="1031" w:type="pct"/>
            <w:vAlign w:val="center"/>
          </w:tcPr>
          <w:p w14:paraId="7C1CA2B5"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w:t>
            </w:r>
          </w:p>
        </w:tc>
      </w:tr>
      <w:tr w:rsidR="00D73C4A" w:rsidRPr="00D73C4A" w14:paraId="51FFEF11" w14:textId="77777777" w:rsidTr="006C222E">
        <w:trPr>
          <w:trHeight w:val="283"/>
          <w:jc w:val="center"/>
        </w:trPr>
        <w:tc>
          <w:tcPr>
            <w:tcW w:w="593" w:type="pct"/>
            <w:vAlign w:val="center"/>
            <w:hideMark/>
          </w:tcPr>
          <w:p w14:paraId="5F9C92F5"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EBRD</w:t>
            </w:r>
          </w:p>
        </w:tc>
        <w:tc>
          <w:tcPr>
            <w:tcW w:w="713" w:type="pct"/>
            <w:vAlign w:val="center"/>
          </w:tcPr>
          <w:p w14:paraId="14BEB91E"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12</w:t>
            </w:r>
          </w:p>
        </w:tc>
        <w:tc>
          <w:tcPr>
            <w:tcW w:w="948" w:type="pct"/>
            <w:vAlign w:val="center"/>
            <w:hideMark/>
          </w:tcPr>
          <w:p w14:paraId="73D06DE4"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15</w:t>
            </w:r>
          </w:p>
        </w:tc>
        <w:tc>
          <w:tcPr>
            <w:tcW w:w="682" w:type="pct"/>
            <w:vAlign w:val="center"/>
            <w:hideMark/>
          </w:tcPr>
          <w:p w14:paraId="1E14B44C"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16</w:t>
            </w:r>
          </w:p>
        </w:tc>
        <w:tc>
          <w:tcPr>
            <w:tcW w:w="1034" w:type="pct"/>
            <w:vAlign w:val="center"/>
          </w:tcPr>
          <w:p w14:paraId="1B5593D0" w14:textId="5C46F8DE"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Údaj není dostupný</w:t>
            </w:r>
            <w:r w:rsidR="006C222E">
              <w:rPr>
                <w:rFonts w:ascii="Calibri" w:hAnsi="Calibri" w:cs="Calibri"/>
                <w:color w:val="000000"/>
                <w:sz w:val="20"/>
                <w:szCs w:val="20"/>
                <w:lang w:eastAsia="cs-CZ"/>
              </w:rPr>
              <w:t>.</w:t>
            </w:r>
          </w:p>
        </w:tc>
        <w:tc>
          <w:tcPr>
            <w:tcW w:w="1031" w:type="pct"/>
            <w:vAlign w:val="center"/>
          </w:tcPr>
          <w:p w14:paraId="3D1461FD" w14:textId="77777777" w:rsidR="00E35FC6" w:rsidRPr="00D73C4A" w:rsidRDefault="00E35FC6" w:rsidP="00D73C4A">
            <w:pPr>
              <w:spacing w:after="0" w:line="240" w:lineRule="auto"/>
              <w:jc w:val="center"/>
              <w:rPr>
                <w:rFonts w:ascii="Calibri" w:hAnsi="Calibri" w:cs="Calibri"/>
                <w:color w:val="000000"/>
                <w:sz w:val="20"/>
                <w:szCs w:val="20"/>
                <w:lang w:eastAsia="cs-CZ"/>
              </w:rPr>
            </w:pPr>
            <w:r w:rsidRPr="00D73C4A">
              <w:rPr>
                <w:rFonts w:ascii="Calibri" w:hAnsi="Calibri" w:cs="Calibri"/>
                <w:color w:val="000000"/>
                <w:sz w:val="20"/>
                <w:szCs w:val="20"/>
                <w:lang w:eastAsia="cs-CZ"/>
              </w:rPr>
              <w:t>6</w:t>
            </w:r>
          </w:p>
        </w:tc>
      </w:tr>
      <w:tr w:rsidR="00D73C4A" w:rsidRPr="00D73C4A" w14:paraId="01BDD30D" w14:textId="77777777" w:rsidTr="006C222E">
        <w:trPr>
          <w:trHeight w:val="283"/>
          <w:jc w:val="center"/>
        </w:trPr>
        <w:tc>
          <w:tcPr>
            <w:tcW w:w="593" w:type="pct"/>
            <w:vAlign w:val="center"/>
          </w:tcPr>
          <w:p w14:paraId="628335F1" w14:textId="77777777" w:rsidR="00E35FC6" w:rsidRPr="00D73C4A" w:rsidRDefault="00E35FC6" w:rsidP="00D73C4A">
            <w:pPr>
              <w:spacing w:after="0" w:line="240" w:lineRule="auto"/>
              <w:rPr>
                <w:rFonts w:ascii="Calibri" w:hAnsi="Calibri" w:cs="Calibri"/>
                <w:b/>
                <w:bCs/>
                <w:color w:val="000000"/>
                <w:sz w:val="20"/>
                <w:szCs w:val="20"/>
                <w:lang w:eastAsia="cs-CZ"/>
              </w:rPr>
            </w:pPr>
            <w:r w:rsidRPr="00D73C4A">
              <w:rPr>
                <w:rFonts w:ascii="Calibri" w:hAnsi="Calibri" w:cs="Calibri"/>
                <w:b/>
                <w:bCs/>
                <w:color w:val="000000"/>
                <w:sz w:val="20"/>
                <w:szCs w:val="20"/>
                <w:lang w:eastAsia="cs-CZ"/>
              </w:rPr>
              <w:t>Celkem</w:t>
            </w:r>
          </w:p>
        </w:tc>
        <w:tc>
          <w:tcPr>
            <w:tcW w:w="713" w:type="pct"/>
            <w:vAlign w:val="center"/>
          </w:tcPr>
          <w:p w14:paraId="5EB9456D" w14:textId="77777777" w:rsidR="00E35FC6" w:rsidRPr="00D73C4A" w:rsidRDefault="00E35FC6" w:rsidP="00D73C4A">
            <w:pPr>
              <w:spacing w:after="0" w:line="240" w:lineRule="auto"/>
              <w:jc w:val="center"/>
              <w:rPr>
                <w:rFonts w:ascii="Calibri" w:hAnsi="Calibri" w:cs="Calibri"/>
                <w:b/>
                <w:color w:val="000000"/>
                <w:sz w:val="20"/>
                <w:szCs w:val="20"/>
                <w:lang w:eastAsia="cs-CZ"/>
              </w:rPr>
            </w:pPr>
            <w:r w:rsidRPr="00D73C4A">
              <w:rPr>
                <w:rFonts w:ascii="Calibri" w:hAnsi="Calibri" w:cs="Calibri"/>
                <w:b/>
                <w:color w:val="000000"/>
                <w:sz w:val="20"/>
                <w:szCs w:val="20"/>
                <w:lang w:eastAsia="cs-CZ"/>
              </w:rPr>
              <w:t>262</w:t>
            </w:r>
          </w:p>
        </w:tc>
        <w:tc>
          <w:tcPr>
            <w:tcW w:w="948" w:type="pct"/>
            <w:vAlign w:val="center"/>
          </w:tcPr>
          <w:p w14:paraId="04A94F80" w14:textId="77777777" w:rsidR="00E35FC6" w:rsidRPr="00D73C4A" w:rsidRDefault="00E35FC6" w:rsidP="00D73C4A">
            <w:pPr>
              <w:spacing w:after="0" w:line="240" w:lineRule="auto"/>
              <w:jc w:val="center"/>
              <w:rPr>
                <w:rFonts w:ascii="Calibri" w:hAnsi="Calibri" w:cs="Calibri"/>
                <w:b/>
                <w:color w:val="000000"/>
                <w:sz w:val="20"/>
                <w:szCs w:val="20"/>
                <w:lang w:eastAsia="cs-CZ"/>
              </w:rPr>
            </w:pPr>
            <w:r w:rsidRPr="00D73C4A">
              <w:rPr>
                <w:rFonts w:ascii="Calibri" w:hAnsi="Calibri" w:cs="Calibri"/>
                <w:b/>
                <w:color w:val="000000"/>
                <w:sz w:val="20"/>
                <w:szCs w:val="20"/>
                <w:lang w:eastAsia="cs-CZ"/>
              </w:rPr>
              <w:t>214</w:t>
            </w:r>
          </w:p>
        </w:tc>
        <w:tc>
          <w:tcPr>
            <w:tcW w:w="682" w:type="pct"/>
            <w:vAlign w:val="center"/>
          </w:tcPr>
          <w:p w14:paraId="6E5BA05D" w14:textId="77777777" w:rsidR="00E35FC6" w:rsidRPr="00D73C4A" w:rsidRDefault="00E35FC6" w:rsidP="00D73C4A">
            <w:pPr>
              <w:spacing w:after="0" w:line="240" w:lineRule="auto"/>
              <w:jc w:val="center"/>
              <w:rPr>
                <w:rFonts w:ascii="Calibri" w:hAnsi="Calibri" w:cs="Calibri"/>
                <w:b/>
                <w:color w:val="000000"/>
                <w:sz w:val="20"/>
                <w:szCs w:val="20"/>
                <w:lang w:eastAsia="cs-CZ"/>
              </w:rPr>
            </w:pPr>
            <w:r w:rsidRPr="00D73C4A">
              <w:rPr>
                <w:rFonts w:ascii="Calibri" w:hAnsi="Calibri" w:cs="Calibri"/>
                <w:b/>
                <w:color w:val="000000"/>
                <w:sz w:val="20"/>
                <w:szCs w:val="20"/>
                <w:lang w:eastAsia="cs-CZ"/>
              </w:rPr>
              <w:t>278</w:t>
            </w:r>
          </w:p>
        </w:tc>
        <w:tc>
          <w:tcPr>
            <w:tcW w:w="1034" w:type="pct"/>
            <w:vAlign w:val="center"/>
          </w:tcPr>
          <w:p w14:paraId="4C23F8D6" w14:textId="77777777" w:rsidR="00E35FC6" w:rsidRPr="00D73C4A" w:rsidRDefault="00E35FC6" w:rsidP="00D73C4A">
            <w:pPr>
              <w:spacing w:after="0" w:line="240" w:lineRule="auto"/>
              <w:jc w:val="center"/>
              <w:rPr>
                <w:rFonts w:ascii="Calibri" w:hAnsi="Calibri" w:cs="Calibri"/>
                <w:b/>
                <w:color w:val="000000"/>
                <w:sz w:val="20"/>
                <w:szCs w:val="20"/>
                <w:lang w:eastAsia="cs-CZ"/>
              </w:rPr>
            </w:pPr>
            <w:r w:rsidRPr="00D73C4A">
              <w:rPr>
                <w:rFonts w:ascii="Calibri" w:hAnsi="Calibri" w:cs="Calibri"/>
                <w:b/>
                <w:color w:val="000000"/>
                <w:sz w:val="20"/>
                <w:szCs w:val="20"/>
                <w:lang w:eastAsia="cs-CZ"/>
              </w:rPr>
              <w:t>11</w:t>
            </w:r>
          </w:p>
        </w:tc>
        <w:tc>
          <w:tcPr>
            <w:tcW w:w="1031" w:type="pct"/>
            <w:vAlign w:val="center"/>
          </w:tcPr>
          <w:p w14:paraId="1B0DF6B2" w14:textId="77777777" w:rsidR="00E35FC6" w:rsidRPr="00D73C4A" w:rsidRDefault="00E35FC6" w:rsidP="00D73C4A">
            <w:pPr>
              <w:spacing w:after="0" w:line="240" w:lineRule="auto"/>
              <w:jc w:val="center"/>
              <w:rPr>
                <w:rFonts w:ascii="Calibri" w:hAnsi="Calibri" w:cs="Calibri"/>
                <w:b/>
                <w:color w:val="000000"/>
                <w:sz w:val="20"/>
                <w:szCs w:val="20"/>
                <w:lang w:eastAsia="cs-CZ"/>
              </w:rPr>
            </w:pPr>
            <w:r w:rsidRPr="00D73C4A">
              <w:rPr>
                <w:rFonts w:ascii="Calibri" w:hAnsi="Calibri" w:cs="Calibri"/>
                <w:b/>
                <w:color w:val="000000"/>
                <w:sz w:val="20"/>
                <w:szCs w:val="20"/>
                <w:lang w:eastAsia="cs-CZ"/>
              </w:rPr>
              <w:t>31</w:t>
            </w:r>
          </w:p>
        </w:tc>
      </w:tr>
    </w:tbl>
    <w:p w14:paraId="6A5638AA" w14:textId="508F020D" w:rsidR="00E35FC6" w:rsidRPr="00F364BD" w:rsidRDefault="00E35FC6" w:rsidP="005B4089">
      <w:pPr>
        <w:autoSpaceDE w:val="0"/>
        <w:autoSpaceDN w:val="0"/>
        <w:adjustRightInd w:val="0"/>
        <w:spacing w:before="40" w:after="0" w:line="240" w:lineRule="auto"/>
        <w:rPr>
          <w:rFonts w:cstheme="minorHAnsi"/>
          <w:sz w:val="20"/>
          <w:szCs w:val="20"/>
        </w:rPr>
      </w:pPr>
      <w:r w:rsidRPr="00142907">
        <w:rPr>
          <w:rFonts w:cstheme="minorHAnsi"/>
          <w:b/>
          <w:sz w:val="20"/>
          <w:szCs w:val="20"/>
        </w:rPr>
        <w:t>Zdroj:</w:t>
      </w:r>
      <w:r w:rsidRPr="00F364BD">
        <w:rPr>
          <w:rFonts w:cstheme="minorHAnsi"/>
          <w:sz w:val="20"/>
          <w:szCs w:val="20"/>
        </w:rPr>
        <w:t xml:space="preserve"> </w:t>
      </w:r>
      <w:r w:rsidRPr="00F364BD">
        <w:rPr>
          <w:rFonts w:cstheme="minorHAnsi"/>
          <w:iCs/>
          <w:sz w:val="20"/>
          <w:szCs w:val="20"/>
        </w:rPr>
        <w:t>dokumentace MZV</w:t>
      </w:r>
      <w:r w:rsidRPr="00F364BD">
        <w:rPr>
          <w:rFonts w:cstheme="minorHAnsi"/>
          <w:sz w:val="20"/>
          <w:szCs w:val="20"/>
        </w:rPr>
        <w:t>; dotazníkové šetření NKÚ</w:t>
      </w:r>
      <w:r w:rsidR="00C106C6">
        <w:rPr>
          <w:rFonts w:cstheme="minorHAnsi"/>
          <w:sz w:val="20"/>
          <w:szCs w:val="20"/>
        </w:rPr>
        <w:t>;</w:t>
      </w:r>
      <w:r w:rsidRPr="00F364BD">
        <w:rPr>
          <w:rFonts w:cstheme="minorHAnsi"/>
          <w:sz w:val="20"/>
          <w:szCs w:val="20"/>
        </w:rPr>
        <w:t xml:space="preserve"> </w:t>
      </w:r>
      <w:r w:rsidR="00C106C6">
        <w:rPr>
          <w:rFonts w:cstheme="minorHAnsi"/>
          <w:sz w:val="20"/>
          <w:szCs w:val="20"/>
        </w:rPr>
        <w:t>vypracoval NKÚ</w:t>
      </w:r>
      <w:r>
        <w:rPr>
          <w:rFonts w:cstheme="minorHAnsi"/>
          <w:sz w:val="20"/>
          <w:szCs w:val="20"/>
        </w:rPr>
        <w:t>.</w:t>
      </w:r>
    </w:p>
    <w:p w14:paraId="08C8D2A4" w14:textId="77777777" w:rsidR="005B4089" w:rsidRPr="00172E68" w:rsidRDefault="005B4089" w:rsidP="005B4089">
      <w:pPr>
        <w:spacing w:after="0" w:line="240" w:lineRule="auto"/>
        <w:jc w:val="both"/>
        <w:rPr>
          <w:rFonts w:ascii="Calibri" w:hAnsi="Calibri" w:cs="Calibri"/>
          <w:sz w:val="24"/>
          <w:szCs w:val="24"/>
        </w:rPr>
      </w:pPr>
    </w:p>
    <w:p w14:paraId="1B4591E1" w14:textId="77777777" w:rsidR="00E35FC6" w:rsidRPr="002A1172" w:rsidRDefault="002A1172" w:rsidP="00172E68">
      <w:pPr>
        <w:pStyle w:val="Nadpis2"/>
        <w:numPr>
          <w:ilvl w:val="0"/>
          <w:numId w:val="0"/>
        </w:numPr>
        <w:autoSpaceDE w:val="0"/>
        <w:autoSpaceDN w:val="0"/>
        <w:adjustRightInd w:val="0"/>
        <w:spacing w:before="0" w:after="0"/>
        <w:jc w:val="left"/>
        <w:rPr>
          <w:rFonts w:ascii="Calibri" w:hAnsi="Calibri" w:cs="Calibri"/>
        </w:rPr>
      </w:pPr>
      <w:r w:rsidRPr="002A1172">
        <w:rPr>
          <w:rFonts w:ascii="Calibri" w:hAnsi="Calibri" w:cs="Calibri"/>
        </w:rPr>
        <w:t xml:space="preserve">6. </w:t>
      </w:r>
      <w:r w:rsidR="00E35FC6" w:rsidRPr="002A1172">
        <w:rPr>
          <w:rFonts w:ascii="Calibri" w:hAnsi="Calibri" w:cs="Calibri"/>
        </w:rPr>
        <w:t xml:space="preserve">Řízení spolupráce s MEO v rámci resortu MZV a MŠMT </w:t>
      </w:r>
    </w:p>
    <w:p w14:paraId="56FA3656" w14:textId="77777777" w:rsidR="00172E68" w:rsidRDefault="00172E68" w:rsidP="00172E68">
      <w:pPr>
        <w:keepNext/>
        <w:spacing w:after="0" w:line="240" w:lineRule="auto"/>
        <w:jc w:val="both"/>
        <w:rPr>
          <w:rFonts w:ascii="Calibri" w:hAnsi="Calibri" w:cs="Calibri"/>
          <w:sz w:val="24"/>
          <w:szCs w:val="24"/>
        </w:rPr>
      </w:pPr>
    </w:p>
    <w:p w14:paraId="580353AA" w14:textId="77777777" w:rsidR="00E35FC6" w:rsidRPr="002A1172" w:rsidRDefault="00E35FC6" w:rsidP="00172E68">
      <w:pPr>
        <w:pStyle w:val="Nadpis3"/>
        <w:spacing w:after="0"/>
        <w:rPr>
          <w:rFonts w:ascii="Calibri" w:hAnsi="Calibri" w:cs="Calibri"/>
          <w:b/>
          <w:u w:val="none"/>
        </w:rPr>
      </w:pPr>
      <w:r w:rsidRPr="002A1172">
        <w:rPr>
          <w:rFonts w:ascii="Calibri" w:hAnsi="Calibri" w:cs="Calibri"/>
          <w:b/>
          <w:u w:val="none"/>
        </w:rPr>
        <w:t>Vnitřní řízení</w:t>
      </w:r>
    </w:p>
    <w:p w14:paraId="12AD731B" w14:textId="77777777" w:rsidR="00172E68" w:rsidRDefault="00172E68" w:rsidP="00172E68">
      <w:pPr>
        <w:keepNext/>
        <w:spacing w:after="0" w:line="240" w:lineRule="auto"/>
        <w:jc w:val="both"/>
        <w:rPr>
          <w:rFonts w:ascii="Calibri" w:hAnsi="Calibri" w:cs="Calibri"/>
          <w:sz w:val="24"/>
          <w:szCs w:val="24"/>
        </w:rPr>
      </w:pPr>
    </w:p>
    <w:p w14:paraId="23259E30" w14:textId="77777777" w:rsidR="00E35FC6" w:rsidRDefault="00E35FC6" w:rsidP="00172E68">
      <w:pPr>
        <w:spacing w:after="0" w:line="240" w:lineRule="auto"/>
        <w:jc w:val="both"/>
        <w:rPr>
          <w:rFonts w:ascii="Calibri" w:hAnsi="Calibri" w:cs="Calibri"/>
          <w:sz w:val="24"/>
          <w:szCs w:val="24"/>
        </w:rPr>
      </w:pPr>
      <w:r w:rsidRPr="00172E68">
        <w:rPr>
          <w:rFonts w:ascii="Calibri" w:hAnsi="Calibri" w:cs="Calibri"/>
          <w:sz w:val="24"/>
          <w:szCs w:val="24"/>
        </w:rPr>
        <w:t>MZV neupravilo spolupráci s MEO v rámci své organizační struktury vnitřním předpisem a nesjednotilo postup útvarů MZV týkající se spolupráce s MEO. Každý organizační útvar MZV řešil problematiku MEO samostatně dle své věcné působnosti bez další koordinace. Jednotný postup pro všechny útvary MZV, které měly v gesci MEO, byl nastaven pouze ve vazbě na poskytování nepovinných příspěvků od roku 2019 a</w:t>
      </w:r>
      <w:r w:rsidR="002A1172" w:rsidRPr="00172E68">
        <w:rPr>
          <w:rFonts w:ascii="Calibri" w:hAnsi="Calibri" w:cs="Calibri"/>
          <w:sz w:val="24"/>
          <w:szCs w:val="24"/>
        </w:rPr>
        <w:t> </w:t>
      </w:r>
      <w:r w:rsidRPr="00172E68">
        <w:rPr>
          <w:rFonts w:ascii="Calibri" w:hAnsi="Calibri" w:cs="Calibri"/>
          <w:sz w:val="24"/>
          <w:szCs w:val="24"/>
        </w:rPr>
        <w:t>uplatňování zaměstnanců MZV v MEO. Dále byla stanovena náměstku pro řízení sekce bezpečností a</w:t>
      </w:r>
      <w:r w:rsidR="002A1172" w:rsidRPr="00172E68">
        <w:rPr>
          <w:rFonts w:ascii="Calibri" w:hAnsi="Calibri" w:cs="Calibri"/>
          <w:sz w:val="24"/>
          <w:szCs w:val="24"/>
        </w:rPr>
        <w:t> </w:t>
      </w:r>
      <w:r w:rsidRPr="00172E68">
        <w:rPr>
          <w:rFonts w:ascii="Calibri" w:hAnsi="Calibri" w:cs="Calibri"/>
          <w:sz w:val="24"/>
          <w:szCs w:val="24"/>
        </w:rPr>
        <w:t>multilaterální odpovědnost za koordinaci politiky v rámci mezinárodních politických a bezpečnostních MEO (zejména NATO, OSN, OBSE). Systém vnitřního řízení MZV v oblasti spolupráce s MEO byl roztříštěný a v řadě případů bez jednoznačně vymezených kompetencí a odpovědností příslušných organizačních útvarů.</w:t>
      </w:r>
    </w:p>
    <w:p w14:paraId="753266EF" w14:textId="77777777" w:rsidR="00172E68" w:rsidRPr="00172E68" w:rsidRDefault="00172E68" w:rsidP="00172E68">
      <w:pPr>
        <w:spacing w:after="0" w:line="240" w:lineRule="auto"/>
        <w:jc w:val="both"/>
        <w:rPr>
          <w:rFonts w:ascii="Calibri" w:hAnsi="Calibri" w:cs="Calibri"/>
          <w:sz w:val="24"/>
          <w:szCs w:val="24"/>
        </w:rPr>
      </w:pPr>
    </w:p>
    <w:p w14:paraId="29A3D450" w14:textId="2D795F78" w:rsidR="00E35FC6" w:rsidRDefault="00E35FC6" w:rsidP="00172E68">
      <w:pPr>
        <w:spacing w:after="0" w:line="240" w:lineRule="auto"/>
        <w:jc w:val="both"/>
        <w:rPr>
          <w:rFonts w:ascii="Calibri" w:hAnsi="Calibri" w:cs="Calibri"/>
          <w:sz w:val="24"/>
          <w:szCs w:val="24"/>
        </w:rPr>
      </w:pPr>
      <w:r w:rsidRPr="00172E68">
        <w:rPr>
          <w:rFonts w:ascii="Calibri" w:hAnsi="Calibri" w:cs="Calibri"/>
          <w:sz w:val="24"/>
          <w:szCs w:val="24"/>
        </w:rPr>
        <w:t xml:space="preserve">Roztříštěnost a nejasně stanovené kompetence a odpovědnosti útvarů MZV posilují riziko neefektivního a nekoncepčního řízení a fungování resortu MZV. Současně měl tento stav významný vliv i na schopnost MZV předávat doklady a informace v průběhu kontroly NKÚ včas a v požadované kvalitě a rozsahu. Informace musely být opakovaně upřesňovány a ověřovány. </w:t>
      </w:r>
    </w:p>
    <w:p w14:paraId="0D14D3B6" w14:textId="77777777" w:rsidR="00172E68" w:rsidRPr="00172E68" w:rsidRDefault="00172E68" w:rsidP="00172E68">
      <w:pPr>
        <w:spacing w:after="0" w:line="240" w:lineRule="auto"/>
        <w:jc w:val="both"/>
        <w:rPr>
          <w:rFonts w:ascii="Calibri" w:hAnsi="Calibri" w:cs="Calibri"/>
          <w:sz w:val="24"/>
          <w:szCs w:val="24"/>
        </w:rPr>
      </w:pPr>
    </w:p>
    <w:p w14:paraId="730AAE01" w14:textId="4757675A" w:rsidR="00E35FC6" w:rsidRDefault="00E35FC6" w:rsidP="00172E68">
      <w:pPr>
        <w:spacing w:after="0" w:line="240" w:lineRule="auto"/>
        <w:jc w:val="both"/>
        <w:rPr>
          <w:rFonts w:ascii="Calibri" w:hAnsi="Calibri" w:cs="Calibri"/>
          <w:sz w:val="24"/>
          <w:szCs w:val="24"/>
          <w:lang w:eastAsia="cs-CZ"/>
        </w:rPr>
      </w:pPr>
      <w:r w:rsidRPr="00172E68">
        <w:rPr>
          <w:rFonts w:ascii="Calibri" w:hAnsi="Calibri" w:cs="Calibri"/>
          <w:sz w:val="24"/>
          <w:szCs w:val="24"/>
          <w:lang w:eastAsia="cs-CZ"/>
        </w:rPr>
        <w:t xml:space="preserve">V roce 2013 byla na MŠMT zřízena </w:t>
      </w:r>
      <w:r w:rsidR="00FD3678">
        <w:rPr>
          <w:rFonts w:ascii="Calibri" w:hAnsi="Calibri" w:cs="Calibri"/>
          <w:sz w:val="24"/>
          <w:szCs w:val="24"/>
          <w:lang w:eastAsia="cs-CZ"/>
        </w:rPr>
        <w:t>r</w:t>
      </w:r>
      <w:r w:rsidRPr="00172E68">
        <w:rPr>
          <w:rFonts w:ascii="Calibri" w:hAnsi="Calibri" w:cs="Calibri"/>
          <w:sz w:val="24"/>
          <w:szCs w:val="24"/>
          <w:lang w:eastAsia="cs-CZ"/>
        </w:rPr>
        <w:t xml:space="preserve">esortní koordinační skupina pro koordinaci agend MŠMT v mezinárodních organizacích (dále také „RKS“). RKS se však od svého vzniku až do roku 2017 znovu nesešla a nerealizovala tak stanovené aktivity. Tato nefunkčnost RKS a potřeba jejího obnovení byla potvrzena </w:t>
      </w:r>
      <w:r w:rsidRPr="00172E68">
        <w:rPr>
          <w:rFonts w:ascii="Calibri" w:hAnsi="Calibri" w:cs="Calibri"/>
          <w:i/>
          <w:sz w:val="24"/>
          <w:szCs w:val="24"/>
          <w:lang w:eastAsia="cs-CZ"/>
        </w:rPr>
        <w:t xml:space="preserve">Strategií rozvoje </w:t>
      </w:r>
      <w:r w:rsidRPr="00172E68">
        <w:rPr>
          <w:rFonts w:ascii="Calibri" w:hAnsi="Calibri" w:cs="Calibri"/>
          <w:i/>
          <w:sz w:val="24"/>
          <w:szCs w:val="24"/>
        </w:rPr>
        <w:t>mezinárodní spolupráce ve vzdělávání do roku 2020</w:t>
      </w:r>
      <w:r w:rsidRPr="00172E68">
        <w:rPr>
          <w:rFonts w:ascii="Calibri" w:hAnsi="Calibri" w:cs="Calibri"/>
          <w:sz w:val="24"/>
          <w:szCs w:val="24"/>
        </w:rPr>
        <w:t>, která uvedla jako jednu ze slabých stránek právě nedostatečně koordinované a roz</w:t>
      </w:r>
      <w:r w:rsidR="00172E68">
        <w:rPr>
          <w:rFonts w:ascii="Calibri" w:hAnsi="Calibri" w:cs="Calibri"/>
          <w:sz w:val="24"/>
          <w:szCs w:val="24"/>
        </w:rPr>
        <w:t>tříštěné zastupování zájmů ČR v </w:t>
      </w:r>
      <w:r w:rsidRPr="00172E68">
        <w:rPr>
          <w:rFonts w:ascii="Calibri" w:hAnsi="Calibri" w:cs="Calibri"/>
          <w:sz w:val="24"/>
          <w:szCs w:val="24"/>
        </w:rPr>
        <w:t>MEO</w:t>
      </w:r>
      <w:r w:rsidRPr="00172E68">
        <w:rPr>
          <w:rFonts w:ascii="Calibri" w:hAnsi="Calibri" w:cs="Calibri"/>
          <w:sz w:val="24"/>
          <w:szCs w:val="24"/>
          <w:lang w:eastAsia="cs-CZ"/>
        </w:rPr>
        <w:t>. Obnovená RKS pak začala vykonávat svoji činnost v souladu s jejím nastavením od roku 2017.</w:t>
      </w:r>
    </w:p>
    <w:p w14:paraId="7BC241BD" w14:textId="77777777" w:rsidR="00172E68" w:rsidRPr="00172E68" w:rsidRDefault="00172E68" w:rsidP="00172E68">
      <w:pPr>
        <w:spacing w:after="0" w:line="240" w:lineRule="auto"/>
        <w:jc w:val="both"/>
        <w:rPr>
          <w:rFonts w:ascii="Calibri" w:hAnsi="Calibri" w:cs="Calibri"/>
          <w:sz w:val="24"/>
          <w:szCs w:val="24"/>
          <w:lang w:eastAsia="cs-CZ"/>
        </w:rPr>
      </w:pPr>
    </w:p>
    <w:p w14:paraId="6660E6B8" w14:textId="77777777" w:rsidR="00E35FC6" w:rsidRPr="00172E68" w:rsidRDefault="00E35FC6" w:rsidP="00172E68">
      <w:pPr>
        <w:spacing w:after="0" w:line="240" w:lineRule="auto"/>
        <w:jc w:val="both"/>
        <w:rPr>
          <w:rFonts w:ascii="Calibri" w:hAnsi="Calibri" w:cs="Calibri"/>
          <w:b/>
          <w:sz w:val="24"/>
          <w:szCs w:val="24"/>
        </w:rPr>
      </w:pPr>
      <w:r w:rsidRPr="00172E68">
        <w:rPr>
          <w:rFonts w:ascii="Calibri" w:hAnsi="Calibri" w:cs="Calibri"/>
          <w:b/>
          <w:sz w:val="24"/>
          <w:szCs w:val="24"/>
        </w:rPr>
        <w:t>Stanovení cílů spolupráce s MEO</w:t>
      </w:r>
    </w:p>
    <w:p w14:paraId="2E8012D0" w14:textId="77777777" w:rsidR="00172E68" w:rsidRDefault="00172E68" w:rsidP="00172E68">
      <w:pPr>
        <w:spacing w:after="0" w:line="240" w:lineRule="auto"/>
        <w:jc w:val="both"/>
        <w:rPr>
          <w:rFonts w:ascii="Calibri" w:hAnsi="Calibri" w:cs="Calibri"/>
          <w:sz w:val="24"/>
          <w:szCs w:val="24"/>
        </w:rPr>
      </w:pPr>
    </w:p>
    <w:p w14:paraId="025E739B" w14:textId="657EAE7D" w:rsidR="00E35FC6" w:rsidRDefault="00E35FC6" w:rsidP="00172E68">
      <w:pPr>
        <w:spacing w:after="0" w:line="240" w:lineRule="auto"/>
        <w:jc w:val="both"/>
        <w:rPr>
          <w:rFonts w:ascii="Calibri" w:hAnsi="Calibri" w:cs="Calibri"/>
          <w:sz w:val="24"/>
          <w:szCs w:val="24"/>
        </w:rPr>
      </w:pPr>
      <w:r w:rsidRPr="00172E68">
        <w:rPr>
          <w:rFonts w:ascii="Calibri" w:hAnsi="Calibri" w:cs="Calibri"/>
          <w:sz w:val="24"/>
          <w:szCs w:val="24"/>
        </w:rPr>
        <w:t xml:space="preserve">Stanovení strategie působení v dané MEO a cílů spolupráce s ní považuje NKÚ za základní předpoklad pro efektivní řízení spolupráce s MEO. Strategie a cíle jsou klíčové také z hlediska naplňování úkolů uložených vládou ČR v UV </w:t>
      </w:r>
      <w:r w:rsidR="00FD3678">
        <w:rPr>
          <w:rFonts w:ascii="Calibri" w:hAnsi="Calibri" w:cs="Calibri"/>
          <w:sz w:val="24"/>
          <w:szCs w:val="24"/>
        </w:rPr>
        <w:t>č. </w:t>
      </w:r>
      <w:r w:rsidRPr="00172E68">
        <w:rPr>
          <w:rFonts w:ascii="Calibri" w:hAnsi="Calibri" w:cs="Calibri"/>
          <w:sz w:val="24"/>
          <w:szCs w:val="24"/>
        </w:rPr>
        <w:t>317/2013: trvale usilovat o maximální efektivitu výkonu členství, resp. spolupráce, ve všech MEO a každoročně zpracovávat informace o působení a</w:t>
      </w:r>
      <w:r w:rsidR="002A1172" w:rsidRPr="00172E68">
        <w:rPr>
          <w:rFonts w:ascii="Calibri" w:hAnsi="Calibri" w:cs="Calibri"/>
          <w:sz w:val="24"/>
          <w:szCs w:val="24"/>
        </w:rPr>
        <w:t> </w:t>
      </w:r>
      <w:r w:rsidRPr="00172E68">
        <w:rPr>
          <w:rFonts w:ascii="Calibri" w:hAnsi="Calibri" w:cs="Calibri"/>
          <w:sz w:val="24"/>
          <w:szCs w:val="24"/>
        </w:rPr>
        <w:t>přínosech členství, resp. spolupráce, v každé MEO.</w:t>
      </w:r>
    </w:p>
    <w:p w14:paraId="32BFBA50" w14:textId="77777777" w:rsidR="00E35FC6" w:rsidRDefault="00E35FC6" w:rsidP="00172E68">
      <w:pPr>
        <w:spacing w:after="0" w:line="240" w:lineRule="auto"/>
        <w:jc w:val="both"/>
        <w:rPr>
          <w:rFonts w:ascii="Calibri" w:hAnsi="Calibri" w:cs="Calibri"/>
          <w:sz w:val="24"/>
          <w:szCs w:val="24"/>
        </w:rPr>
      </w:pPr>
      <w:bookmarkStart w:id="5" w:name="_GoBack"/>
      <w:bookmarkEnd w:id="5"/>
      <w:r w:rsidRPr="00172E68">
        <w:rPr>
          <w:rFonts w:ascii="Calibri" w:hAnsi="Calibri" w:cs="Calibri"/>
          <w:sz w:val="24"/>
          <w:szCs w:val="24"/>
        </w:rPr>
        <w:lastRenderedPageBreak/>
        <w:t xml:space="preserve">Základní rámec pro uskutečňování zahraničněpolitických zájmů ČR tvoří </w:t>
      </w:r>
      <w:r w:rsidRPr="00172E68">
        <w:rPr>
          <w:rFonts w:ascii="Calibri" w:hAnsi="Calibri" w:cs="Calibri"/>
          <w:i/>
          <w:sz w:val="24"/>
          <w:szCs w:val="24"/>
        </w:rPr>
        <w:t xml:space="preserve">Koncepce zahraniční politiky České republiky </w:t>
      </w:r>
      <w:r w:rsidRPr="00172E68">
        <w:rPr>
          <w:rFonts w:ascii="Calibri" w:hAnsi="Calibri" w:cs="Calibri"/>
          <w:sz w:val="24"/>
          <w:szCs w:val="24"/>
        </w:rPr>
        <w:t>(dále také „Koncepce ZP“), která stanovuje obecné cíle zahraniční politiky ČR a pro MEO zásadního zahraničněpolitického významu (např. NATO, RE, OECD, OBSE, OSN) uvádí priority, resp. aktivity. Jednotlivé tematické oblasti uvedené v koncepci</w:t>
      </w:r>
      <w:r w:rsidRPr="00172E68">
        <w:rPr>
          <w:rFonts w:ascii="Calibri" w:hAnsi="Calibri" w:cs="Calibri"/>
          <w:i/>
          <w:sz w:val="24"/>
          <w:szCs w:val="24"/>
        </w:rPr>
        <w:t xml:space="preserve"> </w:t>
      </w:r>
      <w:r w:rsidRPr="00172E68">
        <w:rPr>
          <w:rFonts w:ascii="Calibri" w:hAnsi="Calibri" w:cs="Calibri"/>
          <w:sz w:val="24"/>
          <w:szCs w:val="24"/>
        </w:rPr>
        <w:t>pak rozpracovávají navazující strategické dokumenty, které se spolupráci s MEO věnují většinou jen okrajově. Stanovení konkrétních cílů a priorit ve vztahu ke spolupráci s MEO mají provádět jednotlivé gesční resorty.</w:t>
      </w:r>
    </w:p>
    <w:p w14:paraId="005B5C78" w14:textId="77777777" w:rsidR="00172E68" w:rsidRPr="00172E68" w:rsidRDefault="00172E68" w:rsidP="00172E68">
      <w:pPr>
        <w:spacing w:after="0" w:line="240" w:lineRule="auto"/>
        <w:jc w:val="both"/>
        <w:rPr>
          <w:rFonts w:ascii="Calibri" w:hAnsi="Calibri" w:cs="Calibri"/>
          <w:sz w:val="24"/>
          <w:szCs w:val="24"/>
        </w:rPr>
      </w:pPr>
    </w:p>
    <w:p w14:paraId="4BF70D0F" w14:textId="77777777" w:rsidR="00E35FC6" w:rsidRDefault="00E35FC6" w:rsidP="00172E68">
      <w:pPr>
        <w:spacing w:after="0" w:line="240" w:lineRule="auto"/>
        <w:jc w:val="both"/>
        <w:rPr>
          <w:rFonts w:ascii="Calibri" w:hAnsi="Calibri" w:cs="Calibri"/>
          <w:sz w:val="24"/>
          <w:szCs w:val="24"/>
          <w:lang w:eastAsia="cs-CZ"/>
        </w:rPr>
      </w:pPr>
      <w:r w:rsidRPr="00172E68">
        <w:rPr>
          <w:rFonts w:ascii="Calibri" w:hAnsi="Calibri" w:cs="Calibri"/>
          <w:sz w:val="24"/>
          <w:szCs w:val="24"/>
        </w:rPr>
        <w:t>MZV na základě Koncepce ZP zpracovalo také interní priority/plány na období let 2016–2019, které se působením ČR v MEO zabývají okrajově. Dále si jednotlivé organizační útvary MZV stanovují cíle pro MEO v jejich gesci např. v podobě instrukcí pro významná jednání MEO či v podobě materiálů pro jednání kolegia ministra, pro jednání vlády ČR, popř. průběžně na základě aktuální agendy. K řadě MEO v gesci MZV však MZV cíle nestanovilo.</w:t>
      </w:r>
      <w:r w:rsidRPr="00172E68">
        <w:rPr>
          <w:rFonts w:ascii="Calibri" w:hAnsi="Calibri" w:cs="Calibri"/>
          <w:sz w:val="24"/>
          <w:szCs w:val="24"/>
          <w:lang w:eastAsia="cs-CZ"/>
        </w:rPr>
        <w:t xml:space="preserve"> </w:t>
      </w:r>
    </w:p>
    <w:p w14:paraId="5FBCCB65" w14:textId="77777777" w:rsidR="00172E68" w:rsidRPr="00172E68" w:rsidRDefault="00172E68" w:rsidP="00172E68">
      <w:pPr>
        <w:spacing w:after="0" w:line="240" w:lineRule="auto"/>
        <w:jc w:val="both"/>
        <w:rPr>
          <w:rFonts w:ascii="Calibri" w:hAnsi="Calibri" w:cs="Calibri"/>
          <w:sz w:val="24"/>
          <w:szCs w:val="24"/>
        </w:rPr>
      </w:pPr>
    </w:p>
    <w:p w14:paraId="68D3CCD6" w14:textId="5E4CE86D" w:rsidR="00E35FC6" w:rsidRDefault="00E35FC6" w:rsidP="00172E68">
      <w:pPr>
        <w:spacing w:after="0" w:line="240" w:lineRule="auto"/>
        <w:jc w:val="both"/>
        <w:rPr>
          <w:rFonts w:ascii="Calibri" w:hAnsi="Calibri" w:cs="Calibri"/>
          <w:sz w:val="24"/>
          <w:szCs w:val="24"/>
        </w:rPr>
      </w:pPr>
      <w:r w:rsidRPr="00172E68">
        <w:rPr>
          <w:rFonts w:ascii="Calibri" w:hAnsi="Calibri" w:cs="Calibri"/>
          <w:sz w:val="24"/>
          <w:szCs w:val="24"/>
        </w:rPr>
        <w:t>MŠMT doložilo cíle působení u MEO spadajících pod Dům zahraniční spolupráce v tzv. plánech hlavních úkolů. MŠMT předložilo plány hlavních úkolů i pro Národn</w:t>
      </w:r>
      <w:r w:rsidR="00172E68">
        <w:rPr>
          <w:rFonts w:ascii="Calibri" w:hAnsi="Calibri" w:cs="Calibri"/>
          <w:sz w:val="24"/>
          <w:szCs w:val="24"/>
        </w:rPr>
        <w:t>í institut dalšího vzdělávání a </w:t>
      </w:r>
      <w:r w:rsidRPr="00172E68">
        <w:rPr>
          <w:rFonts w:ascii="Calibri" w:hAnsi="Calibri" w:cs="Calibri"/>
          <w:sz w:val="24"/>
          <w:szCs w:val="24"/>
        </w:rPr>
        <w:t>Národní technickou knihovnu, nicméně v těchto dokumentech jsou uvedeny pouze obecné informace o spolupráci s příslušnými MEO. V případě MEO spadajících pod Českou školní inspekci odkázalo MŠMT na strategické dokumenty oblasti vzdělávání, které však vymezují cíle obecného směřování těchto MEO, nikoliv konkrétní cíle působení v jednotlivých MEO. K ostatním MEO ve své gesci MŠMT jednoznačné cílů působení nenastavilo</w:t>
      </w:r>
      <w:r w:rsidR="0017146F">
        <w:rPr>
          <w:rFonts w:ascii="Calibri" w:hAnsi="Calibri" w:cs="Calibri"/>
          <w:sz w:val="24"/>
          <w:szCs w:val="24"/>
        </w:rPr>
        <w:t xml:space="preserve"> </w:t>
      </w:r>
      <w:r w:rsidRPr="00172E68">
        <w:rPr>
          <w:rFonts w:ascii="Calibri" w:hAnsi="Calibri" w:cs="Calibri"/>
          <w:sz w:val="24"/>
          <w:szCs w:val="24"/>
        </w:rPr>
        <w:t>s odůvodněním, že se v případě těchto MEO jedná o cíl podílet se na aktivitách, které vycházejí z obecných cílů dané MEO.</w:t>
      </w:r>
    </w:p>
    <w:p w14:paraId="20662435" w14:textId="77777777" w:rsidR="00172E68" w:rsidRPr="00172E68" w:rsidRDefault="00172E68" w:rsidP="00172E68">
      <w:pPr>
        <w:spacing w:after="0" w:line="240" w:lineRule="auto"/>
        <w:jc w:val="both"/>
        <w:rPr>
          <w:rFonts w:ascii="Calibri" w:hAnsi="Calibri" w:cs="Calibri"/>
          <w:sz w:val="24"/>
          <w:szCs w:val="24"/>
        </w:rPr>
      </w:pPr>
    </w:p>
    <w:p w14:paraId="0987BF67" w14:textId="0FBFA384" w:rsidR="00E35FC6" w:rsidRPr="00172E68" w:rsidRDefault="00E35FC6" w:rsidP="00172E68">
      <w:pPr>
        <w:spacing w:after="0" w:line="240" w:lineRule="auto"/>
        <w:jc w:val="both"/>
        <w:rPr>
          <w:rFonts w:ascii="Calibri" w:hAnsi="Calibri" w:cs="Calibri"/>
          <w:sz w:val="24"/>
          <w:szCs w:val="24"/>
        </w:rPr>
      </w:pPr>
      <w:r w:rsidRPr="00172E68">
        <w:rPr>
          <w:rFonts w:ascii="Calibri" w:hAnsi="Calibri" w:cs="Calibri"/>
          <w:sz w:val="24"/>
          <w:szCs w:val="24"/>
        </w:rPr>
        <w:t>Bez stanovení cílů spolupráce s MEO nemůže MZV a MŠMT sledovat a v návaznosti na to objektivně vyhodnocovat přínosy této spolupráce. MZV a MŠMT tak nezajistily základní předpoklady pro</w:t>
      </w:r>
      <w:r w:rsidR="0017146F">
        <w:rPr>
          <w:rFonts w:ascii="Calibri" w:hAnsi="Calibri" w:cs="Calibri"/>
          <w:sz w:val="24"/>
          <w:szCs w:val="24"/>
        </w:rPr>
        <w:t xml:space="preserve"> </w:t>
      </w:r>
      <w:r w:rsidRPr="00172E68">
        <w:rPr>
          <w:rFonts w:ascii="Calibri" w:hAnsi="Calibri" w:cs="Calibri"/>
          <w:sz w:val="24"/>
          <w:szCs w:val="24"/>
        </w:rPr>
        <w:t xml:space="preserve">plnění úkolu trvale usilovat o maximální efektivitu spolupráce se všemi MEO v jejich gesci dle UV </w:t>
      </w:r>
      <w:r w:rsidR="0017146F">
        <w:rPr>
          <w:rFonts w:ascii="Calibri" w:hAnsi="Calibri" w:cs="Calibri"/>
          <w:sz w:val="24"/>
          <w:szCs w:val="24"/>
        </w:rPr>
        <w:t>č. </w:t>
      </w:r>
      <w:r w:rsidRPr="00172E68">
        <w:rPr>
          <w:rFonts w:ascii="Calibri" w:hAnsi="Calibri" w:cs="Calibri"/>
          <w:sz w:val="24"/>
          <w:szCs w:val="24"/>
        </w:rPr>
        <w:t>317/2013.</w:t>
      </w:r>
    </w:p>
    <w:p w14:paraId="37C68419" w14:textId="77777777" w:rsidR="00172E68" w:rsidRDefault="00172E68" w:rsidP="00172E68">
      <w:pPr>
        <w:spacing w:after="0" w:line="240" w:lineRule="auto"/>
        <w:jc w:val="both"/>
        <w:rPr>
          <w:rFonts w:ascii="Calibri" w:hAnsi="Calibri" w:cs="Calibri"/>
          <w:sz w:val="24"/>
          <w:szCs w:val="24"/>
        </w:rPr>
      </w:pPr>
    </w:p>
    <w:p w14:paraId="55C676F7" w14:textId="77777777" w:rsidR="00E35FC6" w:rsidRPr="00172E68" w:rsidRDefault="00E35FC6" w:rsidP="00172E68">
      <w:pPr>
        <w:keepNext/>
        <w:spacing w:after="0" w:line="240" w:lineRule="auto"/>
        <w:jc w:val="both"/>
        <w:rPr>
          <w:rFonts w:ascii="Calibri" w:hAnsi="Calibri" w:cs="Calibri"/>
          <w:b/>
          <w:sz w:val="24"/>
          <w:szCs w:val="24"/>
        </w:rPr>
      </w:pPr>
      <w:r w:rsidRPr="00172E68">
        <w:rPr>
          <w:rFonts w:ascii="Calibri" w:hAnsi="Calibri" w:cs="Calibri"/>
          <w:b/>
          <w:sz w:val="24"/>
          <w:szCs w:val="24"/>
        </w:rPr>
        <w:t>Hodnocení přínosů</w:t>
      </w:r>
    </w:p>
    <w:p w14:paraId="39CED14D" w14:textId="77777777" w:rsidR="00172E68" w:rsidRDefault="00172E68" w:rsidP="00172E68">
      <w:pPr>
        <w:keepNext/>
        <w:spacing w:after="0" w:line="240" w:lineRule="auto"/>
        <w:jc w:val="both"/>
        <w:rPr>
          <w:rFonts w:ascii="Calibri" w:hAnsi="Calibri" w:cs="Calibri"/>
          <w:sz w:val="24"/>
          <w:szCs w:val="24"/>
        </w:rPr>
      </w:pPr>
    </w:p>
    <w:p w14:paraId="4E403C35" w14:textId="2816B75F" w:rsidR="00E35FC6" w:rsidRDefault="00E35FC6" w:rsidP="00172E68">
      <w:pPr>
        <w:spacing w:after="0" w:line="240" w:lineRule="auto"/>
        <w:jc w:val="both"/>
        <w:rPr>
          <w:rFonts w:ascii="Calibri" w:hAnsi="Calibri" w:cs="Calibri"/>
          <w:sz w:val="24"/>
          <w:szCs w:val="24"/>
        </w:rPr>
      </w:pPr>
      <w:r w:rsidRPr="00172E68">
        <w:rPr>
          <w:rFonts w:ascii="Calibri" w:hAnsi="Calibri" w:cs="Calibri"/>
          <w:sz w:val="24"/>
          <w:szCs w:val="24"/>
        </w:rPr>
        <w:t xml:space="preserve">MZV na začátku roku 2015 realizovalo dotazníkového šetření týkající se vybraných MEO. MZV k tomuto šetření zpracovalo metodický materiál s názvem </w:t>
      </w:r>
      <w:r w:rsidRPr="00172E68">
        <w:rPr>
          <w:rFonts w:ascii="Calibri" w:hAnsi="Calibri" w:cs="Calibri"/>
          <w:i/>
          <w:sz w:val="24"/>
          <w:szCs w:val="24"/>
        </w:rPr>
        <w:t>Návrh metodiky k hodnocení členství České republiky v mezinárodních organizacích</w:t>
      </w:r>
      <w:r w:rsidRPr="00172E68">
        <w:rPr>
          <w:rFonts w:ascii="Calibri" w:hAnsi="Calibri" w:cs="Calibri"/>
          <w:sz w:val="24"/>
          <w:szCs w:val="24"/>
        </w:rPr>
        <w:t>, který však po skončení šetření znovu nevyužilo. Na základě výstupů šetření identifikovalo jako jednu z klíčových možností pro zvyšování efektivity pravidelné a kritické hodnocení působení v MEO, relevantnosti a </w:t>
      </w:r>
      <w:r w:rsidR="00172E68">
        <w:rPr>
          <w:rFonts w:ascii="Calibri" w:hAnsi="Calibri" w:cs="Calibri"/>
          <w:sz w:val="24"/>
          <w:szCs w:val="24"/>
        </w:rPr>
        <w:t>efektivnosti MEO pro ČR a </w:t>
      </w:r>
      <w:r w:rsidRPr="00172E68">
        <w:rPr>
          <w:rFonts w:ascii="Calibri" w:hAnsi="Calibri" w:cs="Calibri"/>
          <w:sz w:val="24"/>
          <w:szCs w:val="24"/>
        </w:rPr>
        <w:t>využívání výsledků působení v MEO. MZV však nezpracovalo a nestanovilo kritéria pro hodnocení působení a přínosů spolupráce s MEO</w:t>
      </w:r>
      <w:r w:rsidR="0017146F">
        <w:rPr>
          <w:rFonts w:ascii="Calibri" w:hAnsi="Calibri" w:cs="Calibri"/>
          <w:sz w:val="24"/>
          <w:szCs w:val="24"/>
        </w:rPr>
        <w:t>.</w:t>
      </w:r>
      <w:r w:rsidRPr="00172E68">
        <w:rPr>
          <w:rFonts w:ascii="Calibri" w:hAnsi="Calibri" w:cs="Calibri"/>
          <w:sz w:val="24"/>
          <w:szCs w:val="24"/>
        </w:rPr>
        <w:t xml:space="preserve"> MZV tak nemělo nastaven pravidelný a funkční systém hodnocení působení a přínosů spolupráce s MEO, které mělo v gesci. </w:t>
      </w:r>
    </w:p>
    <w:p w14:paraId="115290CD" w14:textId="77777777" w:rsidR="00172E68" w:rsidRPr="00172E68" w:rsidRDefault="00172E68" w:rsidP="00172E68">
      <w:pPr>
        <w:spacing w:after="0" w:line="240" w:lineRule="auto"/>
        <w:jc w:val="both"/>
        <w:rPr>
          <w:rFonts w:ascii="Calibri" w:hAnsi="Calibri" w:cs="Calibri"/>
          <w:sz w:val="24"/>
          <w:szCs w:val="24"/>
        </w:rPr>
      </w:pPr>
    </w:p>
    <w:p w14:paraId="2789D041" w14:textId="3C32D779" w:rsidR="00E35FC6" w:rsidRDefault="00E35FC6" w:rsidP="00172E68">
      <w:pPr>
        <w:spacing w:after="0" w:line="240" w:lineRule="auto"/>
        <w:jc w:val="both"/>
        <w:rPr>
          <w:rFonts w:ascii="Calibri" w:hAnsi="Calibri" w:cs="Calibri"/>
          <w:sz w:val="24"/>
          <w:szCs w:val="24"/>
        </w:rPr>
      </w:pPr>
      <w:r w:rsidRPr="00172E68">
        <w:rPr>
          <w:rStyle w:val="NzevChar"/>
          <w:rFonts w:ascii="Calibri" w:eastAsiaTheme="minorHAnsi" w:hAnsi="Calibri" w:cs="Calibri"/>
        </w:rPr>
        <w:t>NKÚ vyhodnotil, že</w:t>
      </w:r>
      <w:r w:rsidRPr="00172E68">
        <w:rPr>
          <w:rFonts w:ascii="Calibri" w:hAnsi="Calibri" w:cs="Calibri"/>
          <w:sz w:val="24"/>
          <w:szCs w:val="24"/>
        </w:rPr>
        <w:t xml:space="preserve"> MZV přistupovalo k hodnocení působení a přínosů spolupráce s MEO různě, a to např. z důvodu chybějících kritérií pro takové hodnocení. Každý gesční útvar MZV prováděl hodnocení samostatně (např. formou materiálů pro jednání vlády, kolegium ministra, na neformální úrovni v rámci interních porad či vůbec). MZV doložilo materiály zejména k MEO zásadního zahraničněpolitického významu, které měly ve většině případů c</w:t>
      </w:r>
      <w:r w:rsidR="00172E68">
        <w:rPr>
          <w:rFonts w:ascii="Calibri" w:hAnsi="Calibri" w:cs="Calibri"/>
          <w:sz w:val="24"/>
          <w:szCs w:val="24"/>
        </w:rPr>
        <w:t>harakter informace o činnosti v </w:t>
      </w:r>
      <w:r w:rsidRPr="00172E68">
        <w:rPr>
          <w:rFonts w:ascii="Calibri" w:hAnsi="Calibri" w:cs="Calibri"/>
          <w:sz w:val="24"/>
          <w:szCs w:val="24"/>
        </w:rPr>
        <w:t>dané MEO, popř. informace o působení v této MEO</w:t>
      </w:r>
      <w:r w:rsidR="0017146F">
        <w:rPr>
          <w:rFonts w:ascii="Calibri" w:hAnsi="Calibri" w:cs="Calibri"/>
          <w:sz w:val="24"/>
          <w:szCs w:val="24"/>
        </w:rPr>
        <w:t>,</w:t>
      </w:r>
      <w:r w:rsidRPr="00172E68">
        <w:rPr>
          <w:rFonts w:ascii="Calibri" w:hAnsi="Calibri" w:cs="Calibri"/>
          <w:sz w:val="24"/>
          <w:szCs w:val="24"/>
        </w:rPr>
        <w:t xml:space="preserve"> a nebyly primárně zpracovávány za účelem podat pravidelnou informaci dle UV </w:t>
      </w:r>
      <w:r w:rsidR="0017146F">
        <w:rPr>
          <w:rFonts w:ascii="Calibri" w:hAnsi="Calibri" w:cs="Calibri"/>
          <w:sz w:val="24"/>
          <w:szCs w:val="24"/>
        </w:rPr>
        <w:t>č. </w:t>
      </w:r>
      <w:r w:rsidRPr="00172E68">
        <w:rPr>
          <w:rFonts w:ascii="Calibri" w:hAnsi="Calibri" w:cs="Calibri"/>
          <w:sz w:val="24"/>
          <w:szCs w:val="24"/>
        </w:rPr>
        <w:t xml:space="preserve">317/2013. MZV také v případě 24 z 54 MEO, které mělo v roce 2018 v gesci, žádnou dokumentaci nepředložilo. V rámci pravidelného monitoringu na základě UV </w:t>
      </w:r>
      <w:r w:rsidR="0017146F">
        <w:rPr>
          <w:rFonts w:ascii="Calibri" w:hAnsi="Calibri" w:cs="Calibri"/>
          <w:sz w:val="24"/>
          <w:szCs w:val="24"/>
        </w:rPr>
        <w:lastRenderedPageBreak/>
        <w:t>č. </w:t>
      </w:r>
      <w:r w:rsidRPr="00172E68">
        <w:rPr>
          <w:rFonts w:ascii="Calibri" w:hAnsi="Calibri" w:cs="Calibri"/>
          <w:sz w:val="24"/>
          <w:szCs w:val="24"/>
        </w:rPr>
        <w:t xml:space="preserve">317/2013 MZV předložilo dokumentaci za MEO v jeho gesci pouze za rok 2019, přičemž MZV po jednotlivých útvarech požadovalo pouze informace o povinných příspěvcích za rok 2018 a aktualizaci seznamu. Předložené materiály hodnocení působení a přínosů neobsahovaly. MZV tedy zpracovávalo pouze informace o působení v MEO v jeho gesci, ovšem nepravidelně a zejména v případě MEO zásadního zahraničněpolitického významu, nikoli u všech, jak mělo dle UV </w:t>
      </w:r>
      <w:r w:rsidR="00A40B43">
        <w:rPr>
          <w:rFonts w:ascii="Calibri" w:hAnsi="Calibri" w:cs="Calibri"/>
          <w:sz w:val="24"/>
          <w:szCs w:val="24"/>
        </w:rPr>
        <w:t>č. </w:t>
      </w:r>
      <w:r w:rsidRPr="00172E68">
        <w:rPr>
          <w:rFonts w:ascii="Calibri" w:hAnsi="Calibri" w:cs="Calibri"/>
          <w:sz w:val="24"/>
          <w:szCs w:val="24"/>
        </w:rPr>
        <w:t>317/2013 každoročně činit.</w:t>
      </w:r>
    </w:p>
    <w:p w14:paraId="6D0727E6" w14:textId="77777777" w:rsidR="00172E68" w:rsidRPr="00172E68" w:rsidRDefault="00172E68" w:rsidP="00172E68">
      <w:pPr>
        <w:spacing w:after="0" w:line="240" w:lineRule="auto"/>
        <w:jc w:val="both"/>
        <w:rPr>
          <w:rFonts w:ascii="Calibri" w:hAnsi="Calibri" w:cs="Calibri"/>
          <w:sz w:val="24"/>
          <w:szCs w:val="24"/>
        </w:rPr>
      </w:pPr>
    </w:p>
    <w:p w14:paraId="46929E09" w14:textId="77777777" w:rsidR="00E35FC6" w:rsidRDefault="00E35FC6" w:rsidP="00172E68">
      <w:pPr>
        <w:spacing w:after="0" w:line="240" w:lineRule="auto"/>
        <w:jc w:val="both"/>
        <w:rPr>
          <w:rFonts w:ascii="Calibri" w:hAnsi="Calibri" w:cs="Calibri"/>
          <w:sz w:val="24"/>
          <w:szCs w:val="24"/>
        </w:rPr>
      </w:pPr>
      <w:r w:rsidRPr="00172E68">
        <w:rPr>
          <w:rFonts w:ascii="Calibri" w:hAnsi="Calibri" w:cs="Calibri"/>
          <w:sz w:val="24"/>
          <w:szCs w:val="24"/>
        </w:rPr>
        <w:t xml:space="preserve">V rámci dotazníkového šetření z roku 2015 týkajícího se hodnocení přínosů a efektivity působení ČR ve vybraných MEO zapojilo MZV i své organizační útvary. Přínosy spolupráce s MEO však MZV hodnotilo pouze na obecné úrovni (nejednalo se o hodnocení přínosu MEO pro ČR z hlediska efektivity – vynakládané peněžní prostředky/dosažený efekt, resp. adekvátnosti vynakládaných peněžních prostředků oproti získávanému efektu). Stejné nebo podobné dotazníkové šetření MZV v kontrolovaném období nerealizovalo. </w:t>
      </w:r>
    </w:p>
    <w:p w14:paraId="01C5A64D" w14:textId="77777777" w:rsidR="00172E68" w:rsidRPr="00172E68" w:rsidRDefault="00172E68" w:rsidP="00172E68">
      <w:pPr>
        <w:spacing w:after="0" w:line="240" w:lineRule="auto"/>
        <w:jc w:val="both"/>
        <w:rPr>
          <w:rFonts w:ascii="Calibri" w:hAnsi="Calibri" w:cs="Calibri"/>
          <w:sz w:val="24"/>
          <w:szCs w:val="24"/>
        </w:rPr>
      </w:pPr>
    </w:p>
    <w:p w14:paraId="16898216" w14:textId="491E2A27" w:rsidR="00E35FC6" w:rsidRDefault="00E35FC6" w:rsidP="00172E68">
      <w:pPr>
        <w:spacing w:after="0" w:line="240" w:lineRule="auto"/>
        <w:jc w:val="both"/>
        <w:rPr>
          <w:rFonts w:ascii="Calibri" w:hAnsi="Calibri" w:cs="Calibri"/>
          <w:sz w:val="24"/>
          <w:szCs w:val="24"/>
        </w:rPr>
      </w:pPr>
      <w:r w:rsidRPr="00172E68">
        <w:rPr>
          <w:rFonts w:ascii="Calibri" w:hAnsi="Calibri" w:cs="Calibri"/>
          <w:sz w:val="24"/>
          <w:szCs w:val="24"/>
        </w:rPr>
        <w:t xml:space="preserve">MŠMT každoročně zpracovávalo informace o působení a přínosech v návaznosti na úkol z UV </w:t>
      </w:r>
      <w:r w:rsidR="00A40B43">
        <w:rPr>
          <w:rFonts w:ascii="Calibri" w:hAnsi="Calibri" w:cs="Calibri"/>
          <w:sz w:val="24"/>
          <w:szCs w:val="24"/>
        </w:rPr>
        <w:t>č. </w:t>
      </w:r>
      <w:r w:rsidRPr="00172E68">
        <w:rPr>
          <w:rFonts w:ascii="Calibri" w:hAnsi="Calibri" w:cs="Calibri"/>
          <w:sz w:val="24"/>
          <w:szCs w:val="24"/>
        </w:rPr>
        <w:t>317/2013 a předkládalo je MZV, nicméně NKÚ zjistil nedostatky v jeho plnění. MŠMT předávalo v letech 2014, 2018 a 2019 nekompletní vyhodnocení přínosů MEO, tzn., že do tohoto vyhodnocení nezahrnovalo všechny MEO ve své</w:t>
      </w:r>
      <w:r w:rsidR="00A40B43">
        <w:rPr>
          <w:rFonts w:ascii="Calibri" w:hAnsi="Calibri" w:cs="Calibri"/>
          <w:sz w:val="24"/>
          <w:szCs w:val="24"/>
        </w:rPr>
        <w:t xml:space="preserve"> </w:t>
      </w:r>
      <w:r w:rsidRPr="00172E68">
        <w:rPr>
          <w:rFonts w:ascii="Calibri" w:hAnsi="Calibri" w:cs="Calibri"/>
          <w:sz w:val="24"/>
          <w:szCs w:val="24"/>
        </w:rPr>
        <w:t xml:space="preserve">gesci, v roce 2016 toto vyhodnocení nepředalo vůbec. </w:t>
      </w:r>
      <w:r w:rsidRPr="00172E68">
        <w:rPr>
          <w:rFonts w:ascii="Calibri" w:hAnsi="Calibri" w:cs="Calibri"/>
          <w:sz w:val="24"/>
          <w:szCs w:val="24"/>
          <w:lang w:eastAsia="cs-CZ"/>
        </w:rPr>
        <w:t xml:space="preserve">Z posouzení kvalitativní stránky způsobu hodnocení přínosů u sedmi vybraných MEO vyplývá, že </w:t>
      </w:r>
      <w:r w:rsidRPr="00172E68">
        <w:rPr>
          <w:rFonts w:ascii="Calibri" w:hAnsi="Calibri" w:cs="Calibri"/>
          <w:sz w:val="24"/>
          <w:szCs w:val="24"/>
        </w:rPr>
        <w:t xml:space="preserve">hodnocení přínosů MŠMT bylo zpravidla obecné (o možnostech, které spolupráce s MEO nabízí), nikoliv o skutečných přínosech pro ČR v daném roce. </w:t>
      </w:r>
    </w:p>
    <w:p w14:paraId="34503C9E" w14:textId="77777777" w:rsidR="00172E68" w:rsidRPr="00172E68" w:rsidRDefault="00172E68" w:rsidP="00172E68">
      <w:pPr>
        <w:spacing w:after="0" w:line="240" w:lineRule="auto"/>
        <w:jc w:val="both"/>
        <w:rPr>
          <w:rFonts w:ascii="Calibri" w:hAnsi="Calibri" w:cs="Calibri"/>
          <w:sz w:val="24"/>
          <w:szCs w:val="24"/>
        </w:rPr>
      </w:pPr>
    </w:p>
    <w:p w14:paraId="053253D7" w14:textId="675F6A7D" w:rsidR="00E35FC6" w:rsidRDefault="00E35FC6" w:rsidP="00172E68">
      <w:pPr>
        <w:spacing w:after="0" w:line="240" w:lineRule="auto"/>
        <w:jc w:val="both"/>
        <w:rPr>
          <w:rFonts w:ascii="Calibri" w:hAnsi="Calibri" w:cs="Calibri"/>
          <w:sz w:val="24"/>
          <w:szCs w:val="24"/>
        </w:rPr>
      </w:pPr>
      <w:r w:rsidRPr="00172E68">
        <w:rPr>
          <w:rFonts w:ascii="Calibri" w:hAnsi="Calibri" w:cs="Calibri"/>
          <w:sz w:val="24"/>
          <w:szCs w:val="24"/>
        </w:rPr>
        <w:t>Rovněž MŠMT předávané přehledy povinných příspěvků v lete</w:t>
      </w:r>
      <w:r w:rsidR="00172E68">
        <w:rPr>
          <w:rFonts w:ascii="Calibri" w:hAnsi="Calibri" w:cs="Calibri"/>
          <w:sz w:val="24"/>
          <w:szCs w:val="24"/>
        </w:rPr>
        <w:t>ch 2015–2019 byly nekompletní a </w:t>
      </w:r>
      <w:r w:rsidRPr="00172E68">
        <w:rPr>
          <w:rFonts w:ascii="Calibri" w:hAnsi="Calibri" w:cs="Calibri"/>
          <w:sz w:val="24"/>
          <w:szCs w:val="24"/>
        </w:rPr>
        <w:t xml:space="preserve">nepřesné. V roce 2017 předalo informaci o výši povinných příspěvků MEO pouze v souhrnné podobě, nikoliv v členění po jednotlivých MEO. Vzhledem ke zjištěným nedostatkům je zřejmé, že MŠMT předávané informace byly v kontrolovaném období nekvalitní a nespolehlivé pro jejich další využití na úrovni státu zejména pro vyhodnocování efektivity výkonu členství v MEO, jak ukládalo UV </w:t>
      </w:r>
      <w:r w:rsidR="00A40B43">
        <w:rPr>
          <w:rFonts w:ascii="Calibri" w:hAnsi="Calibri" w:cs="Calibri"/>
          <w:sz w:val="24"/>
          <w:szCs w:val="24"/>
        </w:rPr>
        <w:t>č. </w:t>
      </w:r>
      <w:r w:rsidRPr="00172E68">
        <w:rPr>
          <w:rFonts w:ascii="Calibri" w:hAnsi="Calibri" w:cs="Calibri"/>
          <w:sz w:val="24"/>
          <w:szCs w:val="24"/>
        </w:rPr>
        <w:t>317/2013.</w:t>
      </w:r>
    </w:p>
    <w:p w14:paraId="76C71BCB" w14:textId="77777777" w:rsidR="005B4089" w:rsidRPr="00172E68" w:rsidRDefault="005B4089" w:rsidP="00172E68">
      <w:pPr>
        <w:spacing w:after="0" w:line="240" w:lineRule="auto"/>
        <w:jc w:val="both"/>
        <w:rPr>
          <w:rFonts w:ascii="Calibri" w:hAnsi="Calibri" w:cs="Calibri"/>
          <w:sz w:val="24"/>
          <w:szCs w:val="24"/>
        </w:rPr>
      </w:pPr>
    </w:p>
    <w:p w14:paraId="4F823FE5" w14:textId="70C9FEC9" w:rsidR="00E35FC6" w:rsidRDefault="00E35FC6" w:rsidP="00172E68">
      <w:pPr>
        <w:spacing w:after="0" w:line="240" w:lineRule="auto"/>
        <w:jc w:val="both"/>
        <w:rPr>
          <w:rFonts w:ascii="Calibri" w:hAnsi="Calibri" w:cs="Calibri"/>
          <w:sz w:val="24"/>
          <w:szCs w:val="24"/>
        </w:rPr>
      </w:pPr>
      <w:r w:rsidRPr="00172E68">
        <w:rPr>
          <w:rFonts w:ascii="Calibri" w:hAnsi="Calibri" w:cs="Calibri"/>
          <w:sz w:val="24"/>
          <w:szCs w:val="24"/>
        </w:rPr>
        <w:t xml:space="preserve">Na základě výše uvedených nedostatků NKÚ vyhodnotil, že MZV a MŠMT neplnily úkol uložený vládou ČR v UV </w:t>
      </w:r>
      <w:r w:rsidR="00A40B43">
        <w:rPr>
          <w:rFonts w:ascii="Calibri" w:hAnsi="Calibri" w:cs="Calibri"/>
          <w:sz w:val="24"/>
          <w:szCs w:val="24"/>
        </w:rPr>
        <w:t>č. </w:t>
      </w:r>
      <w:r w:rsidRPr="00172E68">
        <w:rPr>
          <w:rFonts w:ascii="Calibri" w:hAnsi="Calibri" w:cs="Calibri"/>
          <w:sz w:val="24"/>
          <w:szCs w:val="24"/>
        </w:rPr>
        <w:t>317/2013, ačkoli závaznost UV pro ministerstva a ÚOSS jednoznačně vyplývá z kompetenčního zákona.</w:t>
      </w:r>
    </w:p>
    <w:p w14:paraId="52DA057D" w14:textId="77777777" w:rsidR="00172E68" w:rsidRPr="00172E68" w:rsidRDefault="00172E68" w:rsidP="00172E68">
      <w:pPr>
        <w:spacing w:after="0" w:line="240" w:lineRule="auto"/>
        <w:jc w:val="both"/>
        <w:rPr>
          <w:rFonts w:ascii="Calibri" w:hAnsi="Calibri" w:cs="Calibri"/>
          <w:sz w:val="24"/>
          <w:szCs w:val="24"/>
        </w:rPr>
      </w:pPr>
    </w:p>
    <w:p w14:paraId="11116953" w14:textId="77777777" w:rsidR="00E35FC6" w:rsidRPr="00172E68" w:rsidRDefault="00E35FC6" w:rsidP="00172E68">
      <w:pPr>
        <w:keepNext/>
        <w:spacing w:after="0" w:line="240" w:lineRule="auto"/>
        <w:jc w:val="both"/>
        <w:rPr>
          <w:rFonts w:ascii="Calibri" w:hAnsi="Calibri" w:cs="Calibri"/>
          <w:b/>
          <w:sz w:val="24"/>
          <w:szCs w:val="24"/>
        </w:rPr>
      </w:pPr>
      <w:r w:rsidRPr="00172E68">
        <w:rPr>
          <w:rFonts w:ascii="Calibri" w:hAnsi="Calibri" w:cs="Calibri"/>
          <w:b/>
          <w:sz w:val="24"/>
          <w:szCs w:val="24"/>
        </w:rPr>
        <w:t>Úspory</w:t>
      </w:r>
    </w:p>
    <w:p w14:paraId="6402519E" w14:textId="77777777" w:rsidR="00172E68" w:rsidRDefault="00172E68" w:rsidP="00172E68">
      <w:pPr>
        <w:keepNext/>
        <w:spacing w:after="0" w:line="240" w:lineRule="auto"/>
        <w:jc w:val="both"/>
        <w:rPr>
          <w:rFonts w:ascii="Calibri" w:hAnsi="Calibri" w:cs="Calibri"/>
          <w:sz w:val="24"/>
          <w:szCs w:val="24"/>
          <w:lang w:eastAsia="cs-CZ"/>
        </w:rPr>
      </w:pPr>
    </w:p>
    <w:p w14:paraId="48020AA4" w14:textId="60D6977F" w:rsidR="00E35FC6" w:rsidRPr="00172E68" w:rsidRDefault="00E35FC6" w:rsidP="00172E68">
      <w:pPr>
        <w:spacing w:after="0" w:line="240" w:lineRule="auto"/>
        <w:jc w:val="both"/>
        <w:rPr>
          <w:rFonts w:ascii="Calibri" w:hAnsi="Calibri" w:cs="Calibri"/>
          <w:sz w:val="24"/>
          <w:szCs w:val="24"/>
          <w:lang w:eastAsia="cs-CZ"/>
        </w:rPr>
      </w:pPr>
      <w:r w:rsidRPr="00172E68">
        <w:rPr>
          <w:rFonts w:ascii="Calibri" w:hAnsi="Calibri" w:cs="Calibri"/>
          <w:sz w:val="24"/>
          <w:szCs w:val="24"/>
          <w:lang w:eastAsia="cs-CZ"/>
        </w:rPr>
        <w:t>MZV nevypracovalo analýzu nákladů a přínosů spolupráce s MEO ve své gesci ani</w:t>
      </w:r>
      <w:r w:rsidRPr="00172E68">
        <w:rPr>
          <w:rFonts w:ascii="Calibri" w:hAnsi="Calibri" w:cs="Calibri"/>
          <w:sz w:val="24"/>
          <w:szCs w:val="24"/>
        </w:rPr>
        <w:t xml:space="preserve"> strategii působení v těchto MEO s cílem najít úspory. Předložilo pouze souhrnný materiál za všechny resorty</w:t>
      </w:r>
      <w:r w:rsidR="00A40B43">
        <w:rPr>
          <w:rFonts w:ascii="Calibri" w:hAnsi="Calibri" w:cs="Calibri"/>
          <w:sz w:val="24"/>
          <w:szCs w:val="24"/>
        </w:rPr>
        <w:t xml:space="preserve"> s názvem</w:t>
      </w:r>
      <w:r w:rsidRPr="00172E68">
        <w:rPr>
          <w:rFonts w:ascii="Calibri" w:hAnsi="Calibri" w:cs="Calibri"/>
          <w:i/>
          <w:sz w:val="24"/>
          <w:szCs w:val="24"/>
        </w:rPr>
        <w:t xml:space="preserve"> Informace o členství České republiky v mezinárodních organizacích – očekávané</w:t>
      </w:r>
      <w:r w:rsidRPr="00172E68">
        <w:rPr>
          <w:rFonts w:ascii="Calibri" w:hAnsi="Calibri" w:cs="Calibri"/>
          <w:sz w:val="24"/>
          <w:szCs w:val="24"/>
        </w:rPr>
        <w:t xml:space="preserve">, který obsahoval informace pouze ke čtyřem MEO v gesci MZV. V případě těchto čtyř MEO </w:t>
      </w:r>
      <w:r w:rsidRPr="00172E68">
        <w:rPr>
          <w:rFonts w:ascii="Calibri" w:hAnsi="Calibri" w:cs="Calibri"/>
          <w:sz w:val="24"/>
          <w:szCs w:val="24"/>
          <w:lang w:eastAsia="cs-CZ"/>
        </w:rPr>
        <w:t>navrhlo MZV ukončit členství či platby od roku 2015, přesto v případě dvou MEO pokračovalo v platbách a za období let 2015–2018 jim na povinných příspěvcích a darech uhradilo téměř 44 mil. Kč. Např. v případě organizace ALF, ve které MZV navrhlo ukončit platby od roku 2014, MZV v roce 2015 opět navrhlo pokračování plateb. V případě dalších dvou MEO se o reálnou úsporu nejednalo, neboť jedna MEO ukončila činnost a u druhé převzala platby Evropská komise. MZV v kontrolovaném období další opatření vedoucí k úsporám ve formě ukončení členství či plateb nerealizovalo.</w:t>
      </w:r>
    </w:p>
    <w:p w14:paraId="115F132B" w14:textId="77777777" w:rsidR="002A1172" w:rsidRPr="00172E68" w:rsidRDefault="002A1172" w:rsidP="00172E68">
      <w:pPr>
        <w:spacing w:after="0" w:line="240" w:lineRule="auto"/>
        <w:jc w:val="both"/>
        <w:rPr>
          <w:rFonts w:ascii="Calibri" w:hAnsi="Calibri" w:cs="Calibri"/>
          <w:sz w:val="24"/>
          <w:szCs w:val="24"/>
          <w:lang w:eastAsia="cs-CZ"/>
        </w:rPr>
      </w:pPr>
    </w:p>
    <w:p w14:paraId="076F0715" w14:textId="23F793AF" w:rsidR="00E35FC6" w:rsidRPr="00172E68" w:rsidRDefault="00E35FC6" w:rsidP="00172E68">
      <w:pPr>
        <w:spacing w:after="0" w:line="240" w:lineRule="auto"/>
        <w:jc w:val="both"/>
        <w:rPr>
          <w:rFonts w:ascii="Calibri" w:hAnsi="Calibri" w:cs="Calibri"/>
          <w:sz w:val="24"/>
          <w:szCs w:val="24"/>
        </w:rPr>
      </w:pPr>
      <w:r w:rsidRPr="00172E68">
        <w:rPr>
          <w:rFonts w:ascii="Calibri" w:hAnsi="Calibri" w:cs="Calibri"/>
          <w:sz w:val="24"/>
          <w:szCs w:val="24"/>
        </w:rPr>
        <w:lastRenderedPageBreak/>
        <w:t xml:space="preserve">MŠMT vypracovalo analýzu týkající se přínosů spolupráce s MEO, nicméně tato analýza neobsahuje žádný rozbor nákladů, </w:t>
      </w:r>
      <w:r w:rsidR="008E0491">
        <w:rPr>
          <w:rFonts w:ascii="Calibri" w:hAnsi="Calibri" w:cs="Calibri"/>
          <w:sz w:val="24"/>
          <w:szCs w:val="24"/>
        </w:rPr>
        <w:t>který by byl podkladem pro</w:t>
      </w:r>
      <w:r w:rsidRPr="00172E68">
        <w:rPr>
          <w:rFonts w:ascii="Calibri" w:hAnsi="Calibri" w:cs="Calibri"/>
          <w:sz w:val="24"/>
          <w:szCs w:val="24"/>
        </w:rPr>
        <w:t xml:space="preserve"> následný závěr týkající se identifikace úspor. Rovněž materiál projednávaný na poradě vedení (strategie působení v MEO s cílem najít rezervy) rozbor nákladů neobsahuje. Vzhledem k absenci těchto základních informací tak MŠMT následně neidentifikovalo konkrétní finanční rezervy a nezavázalo se k jejich naplnění.</w:t>
      </w:r>
    </w:p>
    <w:p w14:paraId="496F556B" w14:textId="77777777" w:rsidR="002A1172" w:rsidRPr="00172E68" w:rsidRDefault="002A1172" w:rsidP="00172E68">
      <w:pPr>
        <w:spacing w:after="0" w:line="240" w:lineRule="auto"/>
        <w:jc w:val="both"/>
        <w:rPr>
          <w:rFonts w:ascii="Calibri" w:hAnsi="Calibri" w:cs="Calibri"/>
          <w:sz w:val="24"/>
          <w:szCs w:val="24"/>
        </w:rPr>
      </w:pPr>
    </w:p>
    <w:p w14:paraId="4F2CCAD4" w14:textId="64CD8636" w:rsidR="00E35FC6" w:rsidRPr="00172E68" w:rsidRDefault="00E35FC6" w:rsidP="00172E68">
      <w:pPr>
        <w:spacing w:after="0" w:line="240" w:lineRule="auto"/>
        <w:jc w:val="both"/>
        <w:rPr>
          <w:rFonts w:ascii="Calibri" w:hAnsi="Calibri" w:cs="Calibri"/>
          <w:sz w:val="24"/>
          <w:szCs w:val="24"/>
        </w:rPr>
      </w:pPr>
      <w:r w:rsidRPr="00172E68">
        <w:rPr>
          <w:rFonts w:ascii="Calibri" w:hAnsi="Calibri" w:cs="Calibri"/>
          <w:sz w:val="24"/>
          <w:szCs w:val="24"/>
        </w:rPr>
        <w:t xml:space="preserve">MZV a MŠMT nesplnily úkol dle UV </w:t>
      </w:r>
      <w:r w:rsidR="00A40B43">
        <w:rPr>
          <w:rFonts w:ascii="Calibri" w:hAnsi="Calibri" w:cs="Calibri"/>
          <w:sz w:val="24"/>
          <w:szCs w:val="24"/>
        </w:rPr>
        <w:t>č. </w:t>
      </w:r>
      <w:r w:rsidRPr="00172E68">
        <w:rPr>
          <w:rFonts w:ascii="Calibri" w:hAnsi="Calibri" w:cs="Calibri"/>
          <w:sz w:val="24"/>
          <w:szCs w:val="24"/>
        </w:rPr>
        <w:t>317/2013, ačkoli závaznost UV pro ministerstva a ÚOSS jednoznačně vyplývá z kompetenčního zákona.</w:t>
      </w:r>
    </w:p>
    <w:p w14:paraId="046E0282" w14:textId="77777777" w:rsidR="002A1172" w:rsidRPr="00172E68" w:rsidRDefault="002A1172" w:rsidP="00172E68">
      <w:pPr>
        <w:spacing w:after="0" w:line="240" w:lineRule="auto"/>
        <w:jc w:val="both"/>
        <w:rPr>
          <w:rFonts w:ascii="Calibri" w:hAnsi="Calibri" w:cs="Calibri"/>
          <w:sz w:val="24"/>
          <w:szCs w:val="24"/>
        </w:rPr>
      </w:pPr>
    </w:p>
    <w:p w14:paraId="0B62E064" w14:textId="77777777" w:rsidR="00E35FC6" w:rsidRPr="002A1172" w:rsidRDefault="00E35FC6" w:rsidP="002A1172">
      <w:pPr>
        <w:pStyle w:val="Nadpis3"/>
        <w:spacing w:after="0"/>
        <w:ind w:left="0" w:firstLine="0"/>
        <w:rPr>
          <w:rFonts w:ascii="Calibri" w:eastAsiaTheme="minorHAnsi" w:hAnsi="Calibri" w:cs="Calibri"/>
          <w:b/>
          <w:u w:val="none"/>
        </w:rPr>
      </w:pPr>
      <w:r w:rsidRPr="002A1172">
        <w:rPr>
          <w:rFonts w:ascii="Calibri" w:eastAsiaTheme="minorHAnsi" w:hAnsi="Calibri" w:cs="Calibri"/>
          <w:b/>
          <w:u w:val="none"/>
        </w:rPr>
        <w:t>Vykazování poskytnutých peněžních prostředků</w:t>
      </w:r>
    </w:p>
    <w:p w14:paraId="6B47016A" w14:textId="77777777" w:rsidR="002A1172" w:rsidRDefault="002A1172" w:rsidP="002A1172">
      <w:pPr>
        <w:pStyle w:val="Nzev"/>
        <w:keepNext/>
        <w:spacing w:after="0"/>
        <w:rPr>
          <w:rFonts w:ascii="Calibri" w:hAnsi="Calibri" w:cs="Calibri"/>
        </w:rPr>
      </w:pPr>
    </w:p>
    <w:p w14:paraId="1E0E3C57" w14:textId="302931B7" w:rsidR="00E35FC6" w:rsidRDefault="00E35FC6" w:rsidP="005B4089">
      <w:pPr>
        <w:pStyle w:val="Nzev"/>
        <w:spacing w:after="0"/>
        <w:rPr>
          <w:rFonts w:ascii="Calibri" w:hAnsi="Calibri" w:cs="Calibri"/>
        </w:rPr>
      </w:pPr>
      <w:r w:rsidRPr="002A1172">
        <w:rPr>
          <w:rFonts w:ascii="Calibri" w:hAnsi="Calibri" w:cs="Calibri"/>
        </w:rPr>
        <w:t>Od roku 2017 došlo ke změně v náplni rozpočtových položek. MZV však nepostupovalo v letech 2017–2018 v souladu s vyhláškou č. 323/2002 Sb.</w:t>
      </w:r>
      <w:r w:rsidRPr="00A40B43">
        <w:rPr>
          <w:rFonts w:ascii="Calibri" w:hAnsi="Calibri" w:cs="Calibri"/>
        </w:rPr>
        <w:t xml:space="preserve">, </w:t>
      </w:r>
      <w:r w:rsidRPr="007F5A00">
        <w:rPr>
          <w:rFonts w:ascii="Calibri" w:hAnsi="Calibri" w:cs="Calibri"/>
        </w:rPr>
        <w:t>o rozpočtové skladbě</w:t>
      </w:r>
      <w:r w:rsidRPr="00A40B43">
        <w:rPr>
          <w:rFonts w:ascii="Calibri" w:hAnsi="Calibri" w:cs="Calibri"/>
        </w:rPr>
        <w:t xml:space="preserve">, </w:t>
      </w:r>
      <w:r w:rsidR="00A40B43">
        <w:rPr>
          <w:rFonts w:ascii="Calibri" w:hAnsi="Calibri" w:cs="Calibri"/>
        </w:rPr>
        <w:t>když</w:t>
      </w:r>
      <w:r w:rsidRPr="002A1172">
        <w:rPr>
          <w:rFonts w:ascii="Calibri" w:hAnsi="Calibri" w:cs="Calibri"/>
        </w:rPr>
        <w:t xml:space="preserve"> vykazovalo v těchto letech peněžní prostředky vynaložené na povinné příspěvky MEO v celkové výši 2,787 mld.</w:t>
      </w:r>
      <w:r w:rsidR="00A40B43">
        <w:rPr>
          <w:rFonts w:ascii="Calibri" w:hAnsi="Calibri" w:cs="Calibri"/>
        </w:rPr>
        <w:t> </w:t>
      </w:r>
      <w:r w:rsidRPr="002A1172">
        <w:rPr>
          <w:rFonts w:ascii="Calibri" w:hAnsi="Calibri" w:cs="Calibri"/>
        </w:rPr>
        <w:t xml:space="preserve">Kč na položce 5511 – </w:t>
      </w:r>
      <w:r w:rsidRPr="002A1172">
        <w:rPr>
          <w:rFonts w:ascii="Calibri" w:hAnsi="Calibri" w:cs="Calibri"/>
          <w:i/>
        </w:rPr>
        <w:t xml:space="preserve">Neinvestiční transfery mezinárodním vládním organizacím </w:t>
      </w:r>
      <w:r w:rsidRPr="002A1172">
        <w:rPr>
          <w:rFonts w:ascii="Calibri" w:hAnsi="Calibri" w:cs="Calibri"/>
        </w:rPr>
        <w:t xml:space="preserve">místo toho, aby vykazovalo tyto peněžní prostředky na položkách 5541 </w:t>
      </w:r>
      <w:r w:rsidRPr="002A1172">
        <w:rPr>
          <w:rFonts w:ascii="Calibri" w:eastAsia="Calibri" w:hAnsi="Calibri" w:cs="Calibri"/>
        </w:rPr>
        <w:t>–</w:t>
      </w:r>
      <w:r w:rsidRPr="002A1172">
        <w:rPr>
          <w:rFonts w:ascii="Calibri" w:hAnsi="Calibri" w:cs="Calibri"/>
        </w:rPr>
        <w:t xml:space="preserve"> </w:t>
      </w:r>
      <w:r w:rsidRPr="002A1172">
        <w:rPr>
          <w:rFonts w:ascii="Calibri" w:eastAsia="Calibri" w:hAnsi="Calibri" w:cs="Calibri"/>
          <w:i/>
        </w:rPr>
        <w:t>Členské příspěvky mezinárodním vládním organizacím</w:t>
      </w:r>
      <w:r w:rsidRPr="002A1172">
        <w:rPr>
          <w:rFonts w:ascii="Calibri" w:hAnsi="Calibri" w:cs="Calibri"/>
        </w:rPr>
        <w:t xml:space="preserve"> a 5542 </w:t>
      </w:r>
      <w:r w:rsidRPr="002A1172">
        <w:rPr>
          <w:rFonts w:ascii="Calibri" w:eastAsia="Calibri" w:hAnsi="Calibri" w:cs="Calibri"/>
        </w:rPr>
        <w:t xml:space="preserve">– </w:t>
      </w:r>
      <w:r w:rsidRPr="002A1172">
        <w:rPr>
          <w:rFonts w:ascii="Calibri" w:eastAsia="Calibri" w:hAnsi="Calibri" w:cs="Calibri"/>
          <w:i/>
        </w:rPr>
        <w:t>Členské příspěvky mezinárodním nevládním organizacím</w:t>
      </w:r>
      <w:r w:rsidRPr="002A1172">
        <w:rPr>
          <w:rFonts w:ascii="Calibri" w:hAnsi="Calibri" w:cs="Calibri"/>
        </w:rPr>
        <w:t xml:space="preserve">. MZV tento stav odůvodnilo mj. nedostatečnou rozpočtovou klasifikací MEO z hlediska jejich statutu (členění MEO na vládní a nevládní) a dále uvedlo, že nejasnosti řeší s MF. Vyjádření MZV ohledně nutnosti dořešení rozpočtové klasifikace MEO z hlediska jejich statutu však není přesné, neboť již v rámci vypořádání připomínek k materiálu schváleném UV </w:t>
      </w:r>
      <w:r w:rsidR="00A40B43">
        <w:rPr>
          <w:rFonts w:ascii="Calibri" w:hAnsi="Calibri" w:cs="Calibri"/>
        </w:rPr>
        <w:t>č. </w:t>
      </w:r>
      <w:r w:rsidRPr="002A1172">
        <w:rPr>
          <w:rFonts w:ascii="Calibri" w:hAnsi="Calibri" w:cs="Calibri"/>
        </w:rPr>
        <w:t>581/</w:t>
      </w:r>
      <w:r w:rsidRPr="002A1172">
        <w:rPr>
          <w:rFonts w:ascii="Calibri" w:eastAsiaTheme="minorHAnsi" w:hAnsi="Calibri" w:cs="Calibri"/>
        </w:rPr>
        <w:t>2012</w:t>
      </w:r>
      <w:r w:rsidRPr="002A1172">
        <w:rPr>
          <w:rFonts w:ascii="Calibri" w:hAnsi="Calibri" w:cs="Calibri"/>
        </w:rPr>
        <w:t xml:space="preserve"> uvedlo, že: „</w:t>
      </w:r>
      <w:r w:rsidRPr="002A1172">
        <w:rPr>
          <w:rFonts w:ascii="Calibri" w:hAnsi="Calibri" w:cs="Calibri"/>
          <w:i/>
        </w:rPr>
        <w:t>počítá, že provede kategorizaci spolupráce s MEO, ve které se odrazí mimo jiné i právě rozlišení na vládní, nevládní a</w:t>
      </w:r>
      <w:r w:rsidR="00A40B43">
        <w:rPr>
          <w:rFonts w:ascii="Calibri" w:hAnsi="Calibri" w:cs="Calibri"/>
          <w:i/>
        </w:rPr>
        <w:t> </w:t>
      </w:r>
      <w:r w:rsidRPr="002A1172">
        <w:rPr>
          <w:rFonts w:ascii="Calibri" w:hAnsi="Calibri" w:cs="Calibri"/>
          <w:i/>
        </w:rPr>
        <w:t>jiné.</w:t>
      </w:r>
      <w:r w:rsidRPr="007F5A00">
        <w:rPr>
          <w:rFonts w:ascii="Calibri" w:hAnsi="Calibri" w:cs="Calibri"/>
        </w:rPr>
        <w:t>“</w:t>
      </w:r>
      <w:r w:rsidRPr="002A1172">
        <w:rPr>
          <w:rFonts w:ascii="Calibri" w:hAnsi="Calibri" w:cs="Calibri"/>
          <w:i/>
        </w:rPr>
        <w:t xml:space="preserve"> </w:t>
      </w:r>
      <w:r w:rsidRPr="002A1172">
        <w:rPr>
          <w:rFonts w:ascii="Calibri" w:hAnsi="Calibri" w:cs="Calibri"/>
        </w:rPr>
        <w:t>MZV pak rozlišení jednotlivých typů MEO uvádělo jak v </w:t>
      </w:r>
      <w:r w:rsidRPr="002A1172">
        <w:rPr>
          <w:rFonts w:ascii="Calibri" w:hAnsi="Calibri" w:cs="Calibri"/>
          <w:i/>
          <w:lang w:eastAsia="cs-CZ"/>
        </w:rPr>
        <w:t>Úplném kategorizovaném seznamu členství České republiky v mezinárodních organizacích na úrovni státu nebo resortu</w:t>
      </w:r>
      <w:r w:rsidRPr="002A1172">
        <w:rPr>
          <w:rFonts w:ascii="Calibri" w:hAnsi="Calibri" w:cs="Calibri"/>
          <w:lang w:eastAsia="cs-CZ"/>
        </w:rPr>
        <w:t xml:space="preserve"> ke dni 30.</w:t>
      </w:r>
      <w:r w:rsidR="00A40B43">
        <w:rPr>
          <w:rFonts w:ascii="Calibri" w:hAnsi="Calibri" w:cs="Calibri"/>
          <w:lang w:eastAsia="cs-CZ"/>
        </w:rPr>
        <w:t> </w:t>
      </w:r>
      <w:r w:rsidRPr="002A1172">
        <w:rPr>
          <w:rFonts w:ascii="Calibri" w:hAnsi="Calibri" w:cs="Calibri"/>
          <w:lang w:eastAsia="cs-CZ"/>
        </w:rPr>
        <w:t>9.</w:t>
      </w:r>
      <w:r w:rsidR="00A40B43">
        <w:rPr>
          <w:rFonts w:ascii="Calibri" w:hAnsi="Calibri" w:cs="Calibri"/>
          <w:lang w:eastAsia="cs-CZ"/>
        </w:rPr>
        <w:t> </w:t>
      </w:r>
      <w:r w:rsidRPr="002A1172">
        <w:rPr>
          <w:rFonts w:ascii="Calibri" w:hAnsi="Calibri" w:cs="Calibri"/>
          <w:lang w:eastAsia="cs-CZ"/>
        </w:rPr>
        <w:t xml:space="preserve">2012, </w:t>
      </w:r>
      <w:r w:rsidRPr="002A1172">
        <w:rPr>
          <w:rFonts w:ascii="Calibri" w:hAnsi="Calibri" w:cs="Calibri"/>
        </w:rPr>
        <w:t>tak v rámci dotazníku NKÚ. Vyhláška č. 323/2002 Sb. navíc ke kategorizaci MEO uvádí, že vládní MEO jsou sdružení státu a nevládní všechny ostatní, přičemž nerozhoduje, zda je ČR členem MEO. MZV dále uvedlo, že zvažuje návrh zjednodušení vykazování pouze na dvě po</w:t>
      </w:r>
      <w:r w:rsidR="002A1172">
        <w:rPr>
          <w:rFonts w:ascii="Calibri" w:hAnsi="Calibri" w:cs="Calibri"/>
        </w:rPr>
        <w:t>ložky, a to povinné příspěvky a </w:t>
      </w:r>
      <w:r w:rsidRPr="002A1172">
        <w:rPr>
          <w:rFonts w:ascii="Calibri" w:hAnsi="Calibri" w:cs="Calibri"/>
        </w:rPr>
        <w:t>dobrovolné dary, které jsou pro MZV klíčové.</w:t>
      </w:r>
    </w:p>
    <w:p w14:paraId="232DA0C3" w14:textId="77777777" w:rsidR="002A1172" w:rsidRPr="002A1172" w:rsidRDefault="002A1172" w:rsidP="005B4089">
      <w:pPr>
        <w:spacing w:after="0" w:line="240" w:lineRule="auto"/>
      </w:pPr>
    </w:p>
    <w:p w14:paraId="287D136F" w14:textId="7E6D5EAB" w:rsidR="00E35FC6" w:rsidRDefault="00E35FC6" w:rsidP="009243EA">
      <w:pPr>
        <w:pStyle w:val="Nzev"/>
        <w:spacing w:after="0"/>
        <w:rPr>
          <w:rFonts w:ascii="Calibri" w:hAnsi="Calibri" w:cs="Calibri"/>
        </w:rPr>
      </w:pPr>
      <w:r w:rsidRPr="002A1172">
        <w:rPr>
          <w:rFonts w:ascii="Calibri" w:hAnsi="Calibri" w:cs="Calibri"/>
        </w:rPr>
        <w:t xml:space="preserve">MZV dále nepostupovalo v roce 2016 v souladu s vyhláškou o rozpočtové skladbě tím, že vykazovalo vynaložené peněžní prostředky ve výši téměř 5 mil. Kč na rozpočtové položce 5511, přestože se jednalo o peněžní dar do zahraničí, který podle náplně definované rozpočtovou skladbou patří na rozpočtovou položku 5531 – </w:t>
      </w:r>
      <w:r w:rsidRPr="002A1172">
        <w:rPr>
          <w:rFonts w:ascii="Calibri" w:hAnsi="Calibri" w:cs="Calibri"/>
          <w:i/>
        </w:rPr>
        <w:t>Peněžní dary do zahraničí</w:t>
      </w:r>
      <w:r w:rsidRPr="002A1172">
        <w:rPr>
          <w:rFonts w:ascii="Calibri" w:hAnsi="Calibri" w:cs="Calibri"/>
        </w:rPr>
        <w:t>. MZV tí</w:t>
      </w:r>
      <w:r w:rsidR="002A1172">
        <w:rPr>
          <w:rFonts w:ascii="Calibri" w:hAnsi="Calibri" w:cs="Calibri"/>
        </w:rPr>
        <w:t>m, že nepostupovalo v souladu s </w:t>
      </w:r>
      <w:r w:rsidRPr="002A1172">
        <w:rPr>
          <w:rFonts w:ascii="Calibri" w:hAnsi="Calibri" w:cs="Calibri"/>
        </w:rPr>
        <w:t>vyhláškou o rozpočtové skladbě, porušilo § 2 odst. 4 zákona č. 218/2000 Sb.</w:t>
      </w:r>
      <w:r w:rsidRPr="009243EA">
        <w:rPr>
          <w:rFonts w:ascii="Calibri" w:hAnsi="Calibri" w:cs="Calibri"/>
        </w:rPr>
        <w:t xml:space="preserve">, </w:t>
      </w:r>
      <w:r w:rsidRPr="007F5A00">
        <w:rPr>
          <w:rFonts w:ascii="Calibri" w:hAnsi="Calibri" w:cs="Calibri"/>
        </w:rPr>
        <w:t>o rozpočtových pravidlech</w:t>
      </w:r>
      <w:r w:rsidR="009243EA">
        <w:rPr>
          <w:rFonts w:ascii="Calibri" w:hAnsi="Calibri" w:cs="Calibri"/>
        </w:rPr>
        <w:t xml:space="preserve"> a </w:t>
      </w:r>
      <w:r w:rsidR="009243EA" w:rsidRPr="009243EA">
        <w:rPr>
          <w:rFonts w:ascii="Calibri" w:hAnsi="Calibri" w:cs="Calibri"/>
        </w:rPr>
        <w:t>o</w:t>
      </w:r>
      <w:r w:rsidR="009243EA">
        <w:rPr>
          <w:rFonts w:ascii="Calibri" w:hAnsi="Calibri" w:cs="Calibri"/>
        </w:rPr>
        <w:t> </w:t>
      </w:r>
      <w:r w:rsidR="009243EA" w:rsidRPr="009243EA">
        <w:rPr>
          <w:rFonts w:ascii="Calibri" w:hAnsi="Calibri" w:cs="Calibri"/>
        </w:rPr>
        <w:t>změně některých souvisejících zákonů</w:t>
      </w:r>
      <w:r w:rsidR="009243EA">
        <w:rPr>
          <w:rFonts w:ascii="Calibri" w:hAnsi="Calibri" w:cs="Calibri"/>
        </w:rPr>
        <w:t xml:space="preserve"> </w:t>
      </w:r>
      <w:r w:rsidR="009243EA" w:rsidRPr="009243EA">
        <w:rPr>
          <w:rFonts w:ascii="Calibri" w:hAnsi="Calibri" w:cs="Calibri"/>
        </w:rPr>
        <w:t>(rozpočtová pravidla)</w:t>
      </w:r>
      <w:r w:rsidRPr="002A1172">
        <w:rPr>
          <w:rFonts w:ascii="Calibri" w:hAnsi="Calibri" w:cs="Calibri"/>
        </w:rPr>
        <w:t>.</w:t>
      </w:r>
    </w:p>
    <w:p w14:paraId="615F64CF" w14:textId="77777777" w:rsidR="002A1172" w:rsidRPr="002A1172" w:rsidRDefault="002A1172" w:rsidP="005B4089">
      <w:pPr>
        <w:spacing w:after="0" w:line="240" w:lineRule="auto"/>
      </w:pPr>
    </w:p>
    <w:p w14:paraId="23AB5116" w14:textId="332853EB" w:rsidR="00E35FC6" w:rsidRDefault="00E35FC6" w:rsidP="005B4089">
      <w:pPr>
        <w:spacing w:after="0" w:line="240" w:lineRule="auto"/>
        <w:jc w:val="both"/>
        <w:rPr>
          <w:rFonts w:ascii="Calibri" w:hAnsi="Calibri" w:cs="Calibri"/>
          <w:sz w:val="24"/>
          <w:szCs w:val="24"/>
        </w:rPr>
      </w:pPr>
      <w:r w:rsidRPr="002A1172">
        <w:rPr>
          <w:rFonts w:ascii="Calibri" w:hAnsi="Calibri" w:cs="Calibri"/>
          <w:sz w:val="24"/>
          <w:szCs w:val="24"/>
        </w:rPr>
        <w:t>MŠMT</w:t>
      </w:r>
      <w:r w:rsidRPr="002A1172">
        <w:rPr>
          <w:rFonts w:ascii="Calibri" w:eastAsia="Calibri" w:hAnsi="Calibri" w:cs="Calibri"/>
          <w:sz w:val="24"/>
          <w:szCs w:val="24"/>
        </w:rPr>
        <w:t xml:space="preserve"> od roku 2017 také nepostupovalo </w:t>
      </w:r>
      <w:r w:rsidRPr="002A1172">
        <w:rPr>
          <w:rFonts w:ascii="Calibri" w:hAnsi="Calibri" w:cs="Calibri"/>
          <w:sz w:val="24"/>
          <w:szCs w:val="24"/>
        </w:rPr>
        <w:t xml:space="preserve">v souladu s vyhláškou č. 323/2002 Sb., když </w:t>
      </w:r>
      <w:r w:rsidRPr="002A1172">
        <w:rPr>
          <w:rFonts w:ascii="Calibri" w:eastAsia="Calibri" w:hAnsi="Calibri" w:cs="Calibri"/>
          <w:sz w:val="24"/>
          <w:szCs w:val="24"/>
        </w:rPr>
        <w:t xml:space="preserve">vykazovalo výdaje spojené s členskými příspěvky </w:t>
      </w:r>
      <w:r w:rsidR="009243EA">
        <w:rPr>
          <w:rFonts w:ascii="Calibri" w:eastAsia="Calibri" w:hAnsi="Calibri" w:cs="Calibri"/>
          <w:sz w:val="24"/>
          <w:szCs w:val="24"/>
        </w:rPr>
        <w:t>k</w:t>
      </w:r>
      <w:r w:rsidRPr="002A1172">
        <w:rPr>
          <w:rFonts w:ascii="Calibri" w:eastAsia="Calibri" w:hAnsi="Calibri" w:cs="Calibri"/>
          <w:sz w:val="24"/>
          <w:szCs w:val="24"/>
        </w:rPr>
        <w:t xml:space="preserve">onsorciu evropské výzkumné infrastruktury ERIC na rozpočtovou položku 5532 – </w:t>
      </w:r>
      <w:r w:rsidRPr="002A1172">
        <w:rPr>
          <w:rFonts w:ascii="Calibri" w:eastAsia="Calibri" w:hAnsi="Calibri" w:cs="Calibri"/>
          <w:i/>
          <w:sz w:val="24"/>
          <w:szCs w:val="24"/>
        </w:rPr>
        <w:t>Ostatní neinvestiční transfery do zahraničí</w:t>
      </w:r>
      <w:r w:rsidRPr="002A1172">
        <w:rPr>
          <w:rFonts w:ascii="Calibri" w:eastAsia="Calibri" w:hAnsi="Calibri" w:cs="Calibri"/>
          <w:sz w:val="24"/>
          <w:szCs w:val="24"/>
        </w:rPr>
        <w:t xml:space="preserve"> místo na rozpočtovou položku 5541 – </w:t>
      </w:r>
      <w:r w:rsidRPr="002A1172">
        <w:rPr>
          <w:rFonts w:ascii="Calibri" w:eastAsia="Calibri" w:hAnsi="Calibri" w:cs="Calibri"/>
          <w:i/>
          <w:sz w:val="24"/>
          <w:szCs w:val="24"/>
        </w:rPr>
        <w:t>Členské příspěvky mezinárodním vládním organizacím</w:t>
      </w:r>
      <w:r w:rsidRPr="002A1172">
        <w:rPr>
          <w:rFonts w:ascii="Calibri" w:hAnsi="Calibri" w:cs="Calibri"/>
          <w:sz w:val="24"/>
          <w:szCs w:val="24"/>
        </w:rPr>
        <w:t>, a porušilo tak ustanovení § 2 odst. 4 rozpočtových pravid</w:t>
      </w:r>
      <w:r w:rsidR="009243EA">
        <w:rPr>
          <w:rFonts w:ascii="Calibri" w:hAnsi="Calibri" w:cs="Calibri"/>
          <w:sz w:val="24"/>
          <w:szCs w:val="24"/>
        </w:rPr>
        <w:t>e</w:t>
      </w:r>
      <w:r w:rsidRPr="002A1172">
        <w:rPr>
          <w:rFonts w:ascii="Calibri" w:hAnsi="Calibri" w:cs="Calibri"/>
          <w:sz w:val="24"/>
          <w:szCs w:val="24"/>
        </w:rPr>
        <w:t>l.</w:t>
      </w:r>
    </w:p>
    <w:p w14:paraId="7E528471" w14:textId="77777777" w:rsidR="002A1172" w:rsidRPr="002A1172" w:rsidRDefault="002A1172" w:rsidP="005B4089">
      <w:pPr>
        <w:spacing w:after="0" w:line="240" w:lineRule="auto"/>
        <w:jc w:val="both"/>
        <w:rPr>
          <w:rFonts w:ascii="Calibri" w:hAnsi="Calibri" w:cs="Calibri"/>
          <w:sz w:val="24"/>
          <w:szCs w:val="24"/>
        </w:rPr>
      </w:pPr>
    </w:p>
    <w:p w14:paraId="3EAFDFE2" w14:textId="77777777" w:rsidR="00E35FC6" w:rsidRDefault="00E35FC6" w:rsidP="005B4089">
      <w:pPr>
        <w:pStyle w:val="Nzev"/>
        <w:spacing w:after="0"/>
        <w:rPr>
          <w:rFonts w:ascii="Calibri" w:hAnsi="Calibri" w:cs="Calibri"/>
        </w:rPr>
      </w:pPr>
      <w:r w:rsidRPr="002A1172">
        <w:rPr>
          <w:rFonts w:ascii="Calibri" w:hAnsi="Calibri" w:cs="Calibri"/>
        </w:rPr>
        <w:t xml:space="preserve">MZV a MŠMT vykazovaly peněžní prostředky vynaložené na příspěvky MEO v rozporu s rozpočtovou skladbou, čímž negativně ovlivnily spolehlivost údajů v IISSP o výši peněžních prostředků vynaložených na příspěvky MEO. </w:t>
      </w:r>
    </w:p>
    <w:p w14:paraId="7C2CAC40" w14:textId="77777777" w:rsidR="002A1172" w:rsidRPr="002A1172" w:rsidRDefault="002A1172" w:rsidP="005B4089">
      <w:pPr>
        <w:spacing w:after="0" w:line="240" w:lineRule="auto"/>
      </w:pPr>
    </w:p>
    <w:p w14:paraId="58D91A92" w14:textId="07293939" w:rsidR="00E35FC6" w:rsidRDefault="00E35FC6" w:rsidP="005B4089">
      <w:pPr>
        <w:spacing w:after="0" w:line="240" w:lineRule="auto"/>
        <w:jc w:val="both"/>
        <w:rPr>
          <w:rFonts w:ascii="Calibri" w:hAnsi="Calibri" w:cs="Calibri"/>
          <w:sz w:val="24"/>
          <w:szCs w:val="24"/>
        </w:rPr>
      </w:pPr>
      <w:r w:rsidRPr="002A1172">
        <w:rPr>
          <w:rFonts w:ascii="Calibri" w:hAnsi="Calibri" w:cs="Calibri"/>
          <w:sz w:val="24"/>
          <w:szCs w:val="24"/>
        </w:rPr>
        <w:t>NKÚ dále zjistil, že vyhláška č. 419/2001 Sb.</w:t>
      </w:r>
      <w:r w:rsidRPr="009243EA">
        <w:rPr>
          <w:rFonts w:ascii="Calibri" w:hAnsi="Calibri" w:cs="Calibri"/>
          <w:sz w:val="24"/>
          <w:szCs w:val="24"/>
        </w:rPr>
        <w:t xml:space="preserve">, </w:t>
      </w:r>
      <w:r w:rsidRPr="007F5A00">
        <w:rPr>
          <w:rFonts w:ascii="Calibri" w:hAnsi="Calibri" w:cs="Calibri"/>
          <w:sz w:val="24"/>
          <w:szCs w:val="24"/>
        </w:rPr>
        <w:t xml:space="preserve">o rozsahu, struktuře a termínech údajů předkládaných pro vypracování návrhu státního závěrečného účtu a o rozsahu a termínech sestavení návrhů </w:t>
      </w:r>
      <w:r w:rsidRPr="007F5A00">
        <w:rPr>
          <w:rFonts w:ascii="Calibri" w:hAnsi="Calibri" w:cs="Calibri"/>
          <w:sz w:val="24"/>
          <w:szCs w:val="24"/>
        </w:rPr>
        <w:lastRenderedPageBreak/>
        <w:t>závěrečných účtů kapitol státního rozpočtu</w:t>
      </w:r>
      <w:r w:rsidRPr="009243EA">
        <w:rPr>
          <w:rFonts w:ascii="Calibri" w:hAnsi="Calibri" w:cs="Calibri"/>
          <w:sz w:val="24"/>
          <w:szCs w:val="24"/>
        </w:rPr>
        <w:t>,</w:t>
      </w:r>
      <w:r w:rsidRPr="002A1172">
        <w:rPr>
          <w:rFonts w:ascii="Calibri" w:hAnsi="Calibri" w:cs="Calibri"/>
          <w:sz w:val="24"/>
          <w:szCs w:val="24"/>
        </w:rPr>
        <w:t xml:space="preserve"> stanovuje mj. </w:t>
      </w:r>
      <w:r w:rsidRPr="002A1172">
        <w:rPr>
          <w:rFonts w:ascii="Calibri" w:hAnsi="Calibri" w:cs="Calibri"/>
          <w:color w:val="000000"/>
          <w:sz w:val="24"/>
          <w:szCs w:val="24"/>
          <w:shd w:val="clear" w:color="auto" w:fill="FFFFFF"/>
        </w:rPr>
        <w:t xml:space="preserve">36 bodů popisujících, co vše by měl správce kapitoly státního rozpočtu v závěrečném účtu hodnotit, a vzory 12 povinných tabulek závěrečného účtu kapitol státního rozpočtu. Ve vyhlášce není stanoven </w:t>
      </w:r>
      <w:r w:rsidRPr="002A1172">
        <w:rPr>
          <w:rFonts w:ascii="Calibri" w:hAnsi="Calibri" w:cs="Calibri"/>
          <w:sz w:val="24"/>
          <w:szCs w:val="24"/>
        </w:rPr>
        <w:t xml:space="preserve">požadavek vykazování souhrnné částky vynaložených peněžních prostředků na příspěvky MEO ani povinnost uvádět konkrétní výši prostředků dle MEO, se kterými gesční resorty spolupracují. Ve státním závěrečném účtu České republiky za jednotlivé roky tak neexistuje přehled související se spoluprací kapitol státního rozpočtu s MEO. </w:t>
      </w:r>
    </w:p>
    <w:p w14:paraId="1BDD2EAE" w14:textId="77777777" w:rsidR="002A1172" w:rsidRPr="002A1172" w:rsidRDefault="002A1172" w:rsidP="002A1172">
      <w:pPr>
        <w:spacing w:after="0" w:line="240" w:lineRule="auto"/>
        <w:jc w:val="both"/>
        <w:rPr>
          <w:rFonts w:ascii="Calibri" w:hAnsi="Calibri" w:cs="Calibri"/>
          <w:sz w:val="24"/>
          <w:szCs w:val="24"/>
        </w:rPr>
      </w:pPr>
    </w:p>
    <w:p w14:paraId="0F54824F" w14:textId="77777777" w:rsidR="00E35FC6" w:rsidRDefault="00E35FC6" w:rsidP="002A1172">
      <w:pPr>
        <w:spacing w:after="0" w:line="240" w:lineRule="auto"/>
        <w:jc w:val="both"/>
        <w:rPr>
          <w:rFonts w:ascii="Calibri" w:hAnsi="Calibri" w:cs="Calibri"/>
          <w:sz w:val="24"/>
          <w:szCs w:val="24"/>
        </w:rPr>
      </w:pPr>
      <w:r w:rsidRPr="002A1172">
        <w:rPr>
          <w:rFonts w:ascii="Calibri" w:hAnsi="Calibri" w:cs="Calibri"/>
          <w:sz w:val="24"/>
          <w:szCs w:val="24"/>
        </w:rPr>
        <w:t>Z dostupných zdrojů (závěrečné účty kapitol, IISSP, monitoring prováděný MZV) tak nelze získat spolehlivé informace o tom, s kolika MEO jednotlivé gesční resorty spolupracují a jaká celková výše peněžních prostředků státu byla MEO poskytnuta.</w:t>
      </w:r>
    </w:p>
    <w:p w14:paraId="3817D3E9" w14:textId="77777777" w:rsidR="002A1172" w:rsidRPr="002A1172" w:rsidRDefault="002A1172" w:rsidP="002A1172">
      <w:pPr>
        <w:spacing w:after="0" w:line="240" w:lineRule="auto"/>
        <w:jc w:val="both"/>
        <w:rPr>
          <w:rFonts w:ascii="Calibri" w:hAnsi="Calibri" w:cs="Calibri"/>
          <w:sz w:val="24"/>
          <w:szCs w:val="24"/>
        </w:rPr>
      </w:pPr>
    </w:p>
    <w:p w14:paraId="052968DD" w14:textId="094803DC" w:rsidR="00E35FC6" w:rsidRPr="002A1172" w:rsidRDefault="00E35FC6" w:rsidP="002A1172">
      <w:pPr>
        <w:pStyle w:val="Nzev"/>
        <w:spacing w:after="0"/>
        <w:rPr>
          <w:rFonts w:ascii="Calibri" w:hAnsi="Calibri" w:cs="Calibri"/>
        </w:rPr>
      </w:pPr>
      <w:r w:rsidRPr="002A1172">
        <w:rPr>
          <w:rFonts w:ascii="Calibri" w:hAnsi="Calibri" w:cs="Calibri"/>
        </w:rPr>
        <w:t xml:space="preserve">Vzhledem k nekompletnosti a nespolehlivosti údajů v monitoringu prováděném MZV </w:t>
      </w:r>
      <w:r w:rsidR="002A1172">
        <w:rPr>
          <w:rFonts w:ascii="Calibri" w:hAnsi="Calibri" w:cs="Calibri"/>
        </w:rPr>
        <w:t>(viz část</w:t>
      </w:r>
      <w:r w:rsidR="008E0491">
        <w:rPr>
          <w:rFonts w:ascii="Calibri" w:hAnsi="Calibri" w:cs="Calibri"/>
        </w:rPr>
        <w:t>i</w:t>
      </w:r>
      <w:r w:rsidR="002A1172">
        <w:rPr>
          <w:rFonts w:ascii="Calibri" w:hAnsi="Calibri" w:cs="Calibri"/>
        </w:rPr>
        <w:t xml:space="preserve"> I.2 a </w:t>
      </w:r>
      <w:proofErr w:type="gramStart"/>
      <w:r w:rsidRPr="002A1172">
        <w:rPr>
          <w:rFonts w:ascii="Calibri" w:hAnsi="Calibri" w:cs="Calibri"/>
        </w:rPr>
        <w:t>IV.2</w:t>
      </w:r>
      <w:r w:rsidR="00B2341E">
        <w:rPr>
          <w:rFonts w:ascii="Calibri" w:hAnsi="Calibri" w:cs="Calibri"/>
        </w:rPr>
        <w:t xml:space="preserve"> tohoto</w:t>
      </w:r>
      <w:proofErr w:type="gramEnd"/>
      <w:r w:rsidR="00B2341E">
        <w:rPr>
          <w:rFonts w:ascii="Calibri" w:hAnsi="Calibri" w:cs="Calibri"/>
        </w:rPr>
        <w:t xml:space="preserve"> kontrolního závěru</w:t>
      </w:r>
      <w:r w:rsidRPr="002A1172">
        <w:rPr>
          <w:rFonts w:ascii="Calibri" w:hAnsi="Calibri" w:cs="Calibri"/>
        </w:rPr>
        <w:t>)</w:t>
      </w:r>
      <w:r w:rsidR="007F5A00">
        <w:rPr>
          <w:rFonts w:ascii="Calibri" w:hAnsi="Calibri" w:cs="Calibri"/>
        </w:rPr>
        <w:t xml:space="preserve">, </w:t>
      </w:r>
      <w:r w:rsidRPr="002A1172">
        <w:rPr>
          <w:rFonts w:ascii="Calibri" w:hAnsi="Calibri" w:cs="Calibri"/>
        </w:rPr>
        <w:t>chybnému vykazování a jeho vlivu na data v IISSP a</w:t>
      </w:r>
      <w:r w:rsidR="00B2341E">
        <w:rPr>
          <w:rFonts w:ascii="Calibri" w:hAnsi="Calibri" w:cs="Calibri"/>
        </w:rPr>
        <w:t> dále vzhledem</w:t>
      </w:r>
      <w:r w:rsidRPr="002A1172">
        <w:rPr>
          <w:rFonts w:ascii="Calibri" w:hAnsi="Calibri" w:cs="Calibri"/>
        </w:rPr>
        <w:t xml:space="preserve"> </w:t>
      </w:r>
      <w:r w:rsidR="00B2341E">
        <w:rPr>
          <w:rFonts w:ascii="Calibri" w:hAnsi="Calibri" w:cs="Calibri"/>
        </w:rPr>
        <w:t>k </w:t>
      </w:r>
      <w:r w:rsidRPr="002A1172">
        <w:rPr>
          <w:rFonts w:ascii="Calibri" w:hAnsi="Calibri" w:cs="Calibri"/>
        </w:rPr>
        <w:t>absenci relevantních údajů v závěrečných účtech jednotlivých kapitol státního rozpočtu, provedl NKÚ dotazníkové šetření, kterým mj. zjišťoval výši peněžních prostředků poskytnutých MEO v roce 2018 (blíže viz část III</w:t>
      </w:r>
      <w:r w:rsidR="00631B9E">
        <w:rPr>
          <w:rFonts w:ascii="Calibri" w:hAnsi="Calibri" w:cs="Calibri"/>
        </w:rPr>
        <w:t>.</w:t>
      </w:r>
      <w:r w:rsidR="00B2341E">
        <w:rPr>
          <w:rFonts w:ascii="Calibri" w:hAnsi="Calibri" w:cs="Calibri"/>
        </w:rPr>
        <w:t xml:space="preserve"> tohoto kontrolního závěru</w:t>
      </w:r>
      <w:r w:rsidRPr="002A1172">
        <w:rPr>
          <w:rFonts w:ascii="Calibri" w:hAnsi="Calibri" w:cs="Calibri"/>
        </w:rPr>
        <w:t>). NKÚ prostřednictvím dotazníkového šetření ověřil, že výše peněžních prostředků na povinné příspěvky MEO za rok 2018 neodpovídá údajům uvedeným v IISSP.</w:t>
      </w:r>
    </w:p>
    <w:p w14:paraId="20A8AA3F" w14:textId="77777777" w:rsidR="002A1172" w:rsidRPr="002A1172" w:rsidRDefault="002A1172" w:rsidP="002A1172">
      <w:pPr>
        <w:spacing w:after="0" w:line="240" w:lineRule="auto"/>
        <w:rPr>
          <w:rFonts w:ascii="Calibri" w:hAnsi="Calibri" w:cs="Calibri"/>
          <w:sz w:val="24"/>
          <w:szCs w:val="24"/>
        </w:rPr>
      </w:pPr>
    </w:p>
    <w:p w14:paraId="01980310" w14:textId="77777777" w:rsidR="00E35FC6" w:rsidRPr="002A1172" w:rsidRDefault="00E35FC6" w:rsidP="002A1172">
      <w:pPr>
        <w:pStyle w:val="Nadpis3"/>
        <w:spacing w:after="0"/>
        <w:rPr>
          <w:rFonts w:ascii="Calibri" w:hAnsi="Calibri" w:cs="Calibri"/>
          <w:b/>
          <w:u w:val="none"/>
        </w:rPr>
      </w:pPr>
      <w:r w:rsidRPr="002A1172">
        <w:rPr>
          <w:rFonts w:ascii="Calibri" w:hAnsi="Calibri" w:cs="Calibri"/>
          <w:b/>
          <w:u w:val="none"/>
        </w:rPr>
        <w:t>Poskytování darů</w:t>
      </w:r>
    </w:p>
    <w:p w14:paraId="3FBA3DED" w14:textId="77777777" w:rsidR="002A1172" w:rsidRDefault="002A1172" w:rsidP="002A1172">
      <w:pPr>
        <w:pStyle w:val="Bezmezer"/>
        <w:rPr>
          <w:rFonts w:ascii="Calibri" w:hAnsi="Calibri" w:cs="Calibri"/>
          <w:szCs w:val="24"/>
        </w:rPr>
      </w:pPr>
    </w:p>
    <w:p w14:paraId="66E68104" w14:textId="24E99495" w:rsidR="00E35FC6" w:rsidRDefault="00E35FC6" w:rsidP="005B4089">
      <w:pPr>
        <w:pStyle w:val="Bezmezer"/>
        <w:rPr>
          <w:rStyle w:val="NzevChar"/>
          <w:rFonts w:ascii="Calibri" w:eastAsiaTheme="minorHAnsi" w:hAnsi="Calibri" w:cs="Calibri"/>
        </w:rPr>
      </w:pPr>
      <w:r w:rsidRPr="002A1172">
        <w:rPr>
          <w:rFonts w:ascii="Calibri" w:hAnsi="Calibri" w:cs="Calibri"/>
          <w:szCs w:val="24"/>
        </w:rPr>
        <w:t xml:space="preserve">Kromě povinných příspěvků poskytuje MZV i další příspěvky MEO formou peněžního daru. Přestože se jednalo o dary, byly tyto peněžní prostředky poskytovány na konkrétní účel. Zároveň musí být poskytování těchto darů v souladu se zahraničněpolitickými cíli a prioritami ČR a mít přidanou hodnotu pro ČR. MZV u kontrolovaného vzorku 15 peněžních darů MEO ve výši 224 mil. Kč prokázalo účelovost poskytnutí peněžních prostředků, avšak nepostupovalo v souladu s ustanovením § 39 odst. 3 rozpočtových </w:t>
      </w:r>
      <w:r w:rsidR="00B2341E">
        <w:rPr>
          <w:rFonts w:ascii="Calibri" w:hAnsi="Calibri" w:cs="Calibri"/>
          <w:szCs w:val="24"/>
        </w:rPr>
        <w:t>pravidel</w:t>
      </w:r>
      <w:r w:rsidRPr="002A1172">
        <w:rPr>
          <w:rFonts w:ascii="Calibri" w:hAnsi="Calibri" w:cs="Calibri"/>
          <w:szCs w:val="24"/>
        </w:rPr>
        <w:t xml:space="preserve"> tím, že nesledovalo a </w:t>
      </w:r>
      <w:r w:rsidR="00C01ACE" w:rsidRPr="002A1172">
        <w:rPr>
          <w:rFonts w:ascii="Calibri" w:hAnsi="Calibri" w:cs="Calibri"/>
          <w:szCs w:val="24"/>
        </w:rPr>
        <w:t>nevyhodnocovalo účelnost a </w:t>
      </w:r>
      <w:r w:rsidRPr="002A1172">
        <w:rPr>
          <w:rFonts w:ascii="Calibri" w:hAnsi="Calibri" w:cs="Calibri"/>
          <w:szCs w:val="24"/>
        </w:rPr>
        <w:t>efektivnost (tj.</w:t>
      </w:r>
      <w:r w:rsidR="00BE4AFA">
        <w:rPr>
          <w:rFonts w:ascii="Calibri" w:hAnsi="Calibri" w:cs="Calibri"/>
          <w:szCs w:val="24"/>
        </w:rPr>
        <w:t> </w:t>
      </w:r>
      <w:r w:rsidRPr="002A1172">
        <w:rPr>
          <w:rFonts w:ascii="Calibri" w:hAnsi="Calibri" w:cs="Calibri"/>
          <w:szCs w:val="24"/>
        </w:rPr>
        <w:t xml:space="preserve">přínos) poskytnutých peněžních darů do zahraničí. </w:t>
      </w:r>
      <w:r w:rsidRPr="002A1172">
        <w:rPr>
          <w:rStyle w:val="NzevChar"/>
          <w:rFonts w:ascii="Calibri" w:eastAsiaTheme="minorHAnsi" w:hAnsi="Calibri" w:cs="Calibri"/>
        </w:rPr>
        <w:t>MZV v průběhu kontroly NKÚ navrhlo nápravná opatření, jejich definitivní podoba nebyla do doby ukončení kontroly odsouhlasena</w:t>
      </w:r>
      <w:r w:rsidR="008E0491">
        <w:rPr>
          <w:rStyle w:val="NzevChar"/>
          <w:rFonts w:ascii="Calibri" w:eastAsiaTheme="minorHAnsi" w:hAnsi="Calibri" w:cs="Calibri"/>
        </w:rPr>
        <w:t>.</w:t>
      </w:r>
      <w:r w:rsidRPr="002A1172">
        <w:rPr>
          <w:rStyle w:val="NzevChar"/>
          <w:rFonts w:ascii="Calibri" w:eastAsiaTheme="minorHAnsi" w:hAnsi="Calibri" w:cs="Calibri"/>
        </w:rPr>
        <w:t xml:space="preserve"> (</w:t>
      </w:r>
      <w:r w:rsidR="008E0491">
        <w:rPr>
          <w:rStyle w:val="NzevChar"/>
          <w:rFonts w:ascii="Calibri" w:eastAsiaTheme="minorHAnsi" w:hAnsi="Calibri" w:cs="Calibri"/>
        </w:rPr>
        <w:t>N</w:t>
      </w:r>
      <w:r w:rsidRPr="002A1172">
        <w:rPr>
          <w:rStyle w:val="NzevChar"/>
          <w:rFonts w:ascii="Calibri" w:eastAsiaTheme="minorHAnsi" w:hAnsi="Calibri" w:cs="Calibri"/>
        </w:rPr>
        <w:t>ový</w:t>
      </w:r>
      <w:r w:rsidR="00BE4AFA">
        <w:rPr>
          <w:rStyle w:val="NzevChar"/>
          <w:rFonts w:ascii="Calibri" w:eastAsiaTheme="minorHAnsi" w:hAnsi="Calibri" w:cs="Calibri"/>
        </w:rPr>
        <w:t> </w:t>
      </w:r>
      <w:r w:rsidRPr="002A1172">
        <w:rPr>
          <w:rStyle w:val="NzevChar"/>
          <w:rFonts w:ascii="Calibri" w:eastAsiaTheme="minorHAnsi" w:hAnsi="Calibri" w:cs="Calibri"/>
        </w:rPr>
        <w:t>systém má být dle vyjádření MZV finalizován po obdržení kontrolního závěru NKÚ</w:t>
      </w:r>
      <w:r w:rsidR="008E0491">
        <w:rPr>
          <w:rStyle w:val="NzevChar"/>
          <w:rFonts w:ascii="Calibri" w:eastAsiaTheme="minorHAnsi" w:hAnsi="Calibri" w:cs="Calibri"/>
        </w:rPr>
        <w:t>.</w:t>
      </w:r>
      <w:r w:rsidRPr="002A1172">
        <w:rPr>
          <w:rStyle w:val="NzevChar"/>
          <w:rFonts w:ascii="Calibri" w:eastAsiaTheme="minorHAnsi" w:hAnsi="Calibri" w:cs="Calibri"/>
        </w:rPr>
        <w:t>)</w:t>
      </w:r>
    </w:p>
    <w:p w14:paraId="33F06C8B" w14:textId="77777777" w:rsidR="002A1172" w:rsidRPr="002A1172" w:rsidRDefault="002A1172" w:rsidP="005B4089">
      <w:pPr>
        <w:pStyle w:val="Bezmezer"/>
        <w:rPr>
          <w:rFonts w:ascii="Calibri" w:hAnsi="Calibri" w:cs="Calibri"/>
          <w:szCs w:val="24"/>
        </w:rPr>
      </w:pPr>
    </w:p>
    <w:p w14:paraId="2980CE2A" w14:textId="44A5C8B8" w:rsidR="00E35FC6" w:rsidRDefault="00E35FC6" w:rsidP="005B4089">
      <w:pPr>
        <w:pStyle w:val="Nzev"/>
        <w:spacing w:after="0"/>
        <w:rPr>
          <w:rFonts w:ascii="Calibri" w:hAnsi="Calibri" w:cs="Calibri"/>
        </w:rPr>
      </w:pPr>
      <w:r w:rsidRPr="002A1172">
        <w:rPr>
          <w:rFonts w:ascii="Calibri" w:hAnsi="Calibri" w:cs="Calibri"/>
          <w:bCs/>
        </w:rPr>
        <w:t xml:space="preserve">MZV dále v některých případech (2013 – Fond Hillary Clinton </w:t>
      </w:r>
      <w:proofErr w:type="spellStart"/>
      <w:r w:rsidRPr="002A1172">
        <w:rPr>
          <w:rFonts w:ascii="Calibri" w:hAnsi="Calibri" w:cs="Calibri"/>
          <w:bCs/>
        </w:rPr>
        <w:t>Lifeline</w:t>
      </w:r>
      <w:proofErr w:type="spellEnd"/>
      <w:r w:rsidRPr="002A1172">
        <w:rPr>
          <w:rFonts w:ascii="Calibri" w:hAnsi="Calibri" w:cs="Calibri"/>
          <w:bCs/>
        </w:rPr>
        <w:t xml:space="preserve">, 2014 – Fond </w:t>
      </w:r>
      <w:proofErr w:type="spellStart"/>
      <w:r w:rsidRPr="002A1172">
        <w:rPr>
          <w:rFonts w:ascii="Calibri" w:hAnsi="Calibri" w:cs="Calibri"/>
          <w:bCs/>
        </w:rPr>
        <w:t>Lifeline</w:t>
      </w:r>
      <w:proofErr w:type="spellEnd"/>
      <w:r w:rsidRPr="002A1172">
        <w:rPr>
          <w:rFonts w:ascii="Calibri" w:hAnsi="Calibri" w:cs="Calibri"/>
          <w:bCs/>
        </w:rPr>
        <w:t xml:space="preserve">, 2018 – UFM, ALF a KAIPTC) neuhradilo peněžní dary do zahraničí tak, jak ukládala předmětná UV. MZV </w:t>
      </w:r>
      <w:r w:rsidR="00B2341E">
        <w:rPr>
          <w:rFonts w:ascii="Calibri" w:hAnsi="Calibri" w:cs="Calibri"/>
          <w:bCs/>
        </w:rPr>
        <w:t>tedy</w:t>
      </w:r>
      <w:r w:rsidRPr="002A1172">
        <w:rPr>
          <w:rFonts w:ascii="Calibri" w:hAnsi="Calibri" w:cs="Calibri"/>
          <w:bCs/>
        </w:rPr>
        <w:t xml:space="preserve"> v případě nesplnění úkolu stanoveného UV </w:t>
      </w:r>
      <w:r w:rsidR="009243EA">
        <w:rPr>
          <w:rFonts w:ascii="Calibri" w:hAnsi="Calibri" w:cs="Calibri"/>
          <w:bCs/>
        </w:rPr>
        <w:t>č. </w:t>
      </w:r>
      <w:r w:rsidRPr="002A1172">
        <w:rPr>
          <w:rFonts w:ascii="Calibri" w:hAnsi="Calibri" w:cs="Calibri"/>
          <w:bCs/>
        </w:rPr>
        <w:t>912/2013</w:t>
      </w:r>
      <w:r w:rsidRPr="002A1172">
        <w:rPr>
          <w:rStyle w:val="Znakapoznpodarou"/>
          <w:rFonts w:ascii="Calibri" w:hAnsi="Calibri" w:cs="Calibri"/>
        </w:rPr>
        <w:footnoteReference w:id="30"/>
      </w:r>
      <w:r w:rsidRPr="002A1172">
        <w:rPr>
          <w:rFonts w:ascii="Calibri" w:hAnsi="Calibri" w:cs="Calibri"/>
          <w:bCs/>
        </w:rPr>
        <w:t xml:space="preserve">, UV </w:t>
      </w:r>
      <w:r w:rsidR="009243EA">
        <w:rPr>
          <w:rFonts w:ascii="Calibri" w:hAnsi="Calibri" w:cs="Calibri"/>
          <w:bCs/>
        </w:rPr>
        <w:t>č. </w:t>
      </w:r>
      <w:r w:rsidRPr="002A1172">
        <w:rPr>
          <w:rFonts w:ascii="Calibri" w:hAnsi="Calibri" w:cs="Calibri"/>
          <w:bCs/>
        </w:rPr>
        <w:t>1039/2014</w:t>
      </w:r>
      <w:r w:rsidRPr="002A1172">
        <w:rPr>
          <w:rStyle w:val="Znakapoznpodarou"/>
          <w:rFonts w:ascii="Calibri" w:hAnsi="Calibri" w:cs="Calibri"/>
        </w:rPr>
        <w:footnoteReference w:id="31"/>
      </w:r>
      <w:r w:rsidRPr="002A1172">
        <w:rPr>
          <w:rFonts w:ascii="Calibri" w:hAnsi="Calibri" w:cs="Calibri"/>
          <w:bCs/>
        </w:rPr>
        <w:t xml:space="preserve"> a UV</w:t>
      </w:r>
      <w:r w:rsidR="009243EA">
        <w:rPr>
          <w:rFonts w:ascii="Calibri" w:hAnsi="Calibri" w:cs="Calibri"/>
          <w:bCs/>
        </w:rPr>
        <w:t xml:space="preserve"> č.</w:t>
      </w:r>
      <w:r w:rsidRPr="002A1172">
        <w:rPr>
          <w:rFonts w:ascii="Calibri" w:hAnsi="Calibri" w:cs="Calibri"/>
          <w:bCs/>
        </w:rPr>
        <w:t> 786/2018</w:t>
      </w:r>
      <w:r w:rsidRPr="002A1172">
        <w:rPr>
          <w:rStyle w:val="Znakapoznpodarou"/>
          <w:rFonts w:ascii="Calibri" w:hAnsi="Calibri" w:cs="Calibri"/>
        </w:rPr>
        <w:footnoteReference w:id="32"/>
      </w:r>
      <w:r w:rsidRPr="002A1172">
        <w:rPr>
          <w:rFonts w:ascii="Calibri" w:hAnsi="Calibri" w:cs="Calibri"/>
          <w:bCs/>
        </w:rPr>
        <w:t xml:space="preserve"> </w:t>
      </w:r>
      <w:r w:rsidRPr="002A1172">
        <w:rPr>
          <w:rFonts w:ascii="Calibri" w:hAnsi="Calibri" w:cs="Calibri"/>
        </w:rPr>
        <w:t>nepostupovalo v souladu s UV, jejichž závaznost pro ministerstva a ÚOSS vyplývá z kompetenčního zákona.</w:t>
      </w:r>
    </w:p>
    <w:p w14:paraId="4D71E78A" w14:textId="77777777" w:rsidR="002A1172" w:rsidRPr="002A1172" w:rsidRDefault="002A1172" w:rsidP="005B4089">
      <w:pPr>
        <w:spacing w:after="0" w:line="240" w:lineRule="auto"/>
      </w:pPr>
    </w:p>
    <w:p w14:paraId="25CC8183" w14:textId="77777777" w:rsidR="00E35FC6" w:rsidRDefault="00E35FC6" w:rsidP="005B4089">
      <w:pPr>
        <w:spacing w:after="0" w:line="240" w:lineRule="auto"/>
        <w:rPr>
          <w:rFonts w:ascii="Calibri" w:hAnsi="Calibri" w:cs="Calibri"/>
          <w:sz w:val="24"/>
          <w:szCs w:val="24"/>
        </w:rPr>
      </w:pPr>
      <w:r w:rsidRPr="002A1172">
        <w:rPr>
          <w:rFonts w:ascii="Calibri" w:hAnsi="Calibri" w:cs="Calibri"/>
          <w:sz w:val="24"/>
          <w:szCs w:val="24"/>
        </w:rPr>
        <w:t>MŠMT v kontrolovaném období finanční dary MEO neposkytovalo.</w:t>
      </w:r>
    </w:p>
    <w:p w14:paraId="3191330A" w14:textId="77777777" w:rsidR="002A1172" w:rsidRPr="002A1172" w:rsidRDefault="002A1172" w:rsidP="005B4089">
      <w:pPr>
        <w:spacing w:after="0" w:line="240" w:lineRule="auto"/>
        <w:rPr>
          <w:rFonts w:ascii="Calibri" w:hAnsi="Calibri" w:cs="Calibri"/>
          <w:sz w:val="24"/>
          <w:szCs w:val="24"/>
        </w:rPr>
      </w:pPr>
    </w:p>
    <w:p w14:paraId="2A5FE62B" w14:textId="77777777" w:rsidR="00E35FC6" w:rsidRPr="002A1172" w:rsidRDefault="00E35FC6" w:rsidP="005B4089">
      <w:pPr>
        <w:pStyle w:val="Nadpis3"/>
        <w:spacing w:after="0"/>
        <w:rPr>
          <w:rFonts w:ascii="Calibri" w:hAnsi="Calibri" w:cs="Calibri"/>
          <w:b/>
          <w:u w:val="none"/>
        </w:rPr>
      </w:pPr>
      <w:r w:rsidRPr="002A1172">
        <w:rPr>
          <w:rFonts w:ascii="Calibri" w:hAnsi="Calibri" w:cs="Calibri"/>
          <w:b/>
          <w:u w:val="none"/>
        </w:rPr>
        <w:lastRenderedPageBreak/>
        <w:t>Předávání zkušeností z působení v MEO</w:t>
      </w:r>
    </w:p>
    <w:p w14:paraId="3C0DC9CD" w14:textId="77777777" w:rsidR="002A1172" w:rsidRDefault="002A1172" w:rsidP="005B4089">
      <w:pPr>
        <w:pStyle w:val="Nzev"/>
        <w:keepNext/>
        <w:spacing w:after="0"/>
        <w:rPr>
          <w:rFonts w:ascii="Calibri" w:eastAsia="Georgia,BoldItalic" w:hAnsi="Calibri" w:cs="Calibri"/>
          <w:lang w:eastAsia="cs-CZ"/>
        </w:rPr>
      </w:pPr>
    </w:p>
    <w:p w14:paraId="78039091" w14:textId="5FD7D3F7" w:rsidR="00E35FC6" w:rsidRPr="002A1172" w:rsidRDefault="00E35FC6" w:rsidP="005B4089">
      <w:pPr>
        <w:pStyle w:val="Nzev"/>
        <w:spacing w:after="0"/>
        <w:rPr>
          <w:rFonts w:ascii="Calibri" w:eastAsia="Georgia,BoldItalic" w:hAnsi="Calibri" w:cs="Calibri"/>
          <w:lang w:eastAsia="cs-CZ"/>
        </w:rPr>
      </w:pPr>
      <w:r w:rsidRPr="002A1172">
        <w:rPr>
          <w:rFonts w:ascii="Calibri" w:eastAsia="Georgia,BoldItalic" w:hAnsi="Calibri" w:cs="Calibri"/>
          <w:lang w:eastAsia="cs-CZ"/>
        </w:rPr>
        <w:t>Zaměstnanci MZV, kteří byli vysláni do MEO (</w:t>
      </w:r>
      <w:r w:rsidR="00DE2078">
        <w:rPr>
          <w:rFonts w:ascii="Calibri" w:eastAsia="Georgia,BoldItalic" w:hAnsi="Calibri" w:cs="Calibri"/>
          <w:lang w:eastAsia="cs-CZ"/>
        </w:rPr>
        <w:t xml:space="preserve">tzv. </w:t>
      </w:r>
      <w:proofErr w:type="spellStart"/>
      <w:r w:rsidRPr="002A1172">
        <w:rPr>
          <w:rFonts w:ascii="Calibri" w:eastAsia="Georgia,BoldItalic" w:hAnsi="Calibri" w:cs="Calibri"/>
          <w:lang w:eastAsia="cs-CZ"/>
        </w:rPr>
        <w:t>sekondované</w:t>
      </w:r>
      <w:proofErr w:type="spellEnd"/>
      <w:r w:rsidRPr="002A1172">
        <w:rPr>
          <w:rFonts w:ascii="Calibri" w:eastAsia="Georgia,BoldItalic" w:hAnsi="Calibri" w:cs="Calibri"/>
          <w:lang w:eastAsia="cs-CZ"/>
        </w:rPr>
        <w:t xml:space="preserve"> pozice</w:t>
      </w:r>
      <w:r w:rsidRPr="002A1172">
        <w:rPr>
          <w:rStyle w:val="Znakapoznpodarou"/>
          <w:rFonts w:ascii="Calibri" w:eastAsia="Georgia,BoldItalic" w:hAnsi="Calibri" w:cs="Calibri"/>
          <w:lang w:eastAsia="cs-CZ"/>
        </w:rPr>
        <w:footnoteReference w:id="33"/>
      </w:r>
      <w:r w:rsidRPr="002A1172">
        <w:rPr>
          <w:rFonts w:ascii="Calibri" w:eastAsia="Georgia,BoldItalic" w:hAnsi="Calibri" w:cs="Calibri"/>
          <w:lang w:eastAsia="cs-CZ"/>
        </w:rPr>
        <w:t>), měli dle interních předpisů MZV povinnost sdílet zkušenosti a poznatky z výkonu své činnosti s MZV. K využívání nabytých zkušeností vyslaných expertů pak mělo docházet nejen během jejich působení v MEO, ale také po jejich návratu. V případě, že expert podepsal povinnost mlčenlivosti vůči konkrétní MEO, mělo MZV značně omezenou možnost pro další využití zkušeností a poznatků vyslaných expertů z jejich působení v MEO. Nicméně tato mlčenlivost se vztahovala většinou k neveřejným informacím získaným po dobu působení v MEO, nikoli na informace o obecných principech fungování a</w:t>
      </w:r>
      <w:r w:rsidR="009A0C25" w:rsidRPr="002A1172">
        <w:rPr>
          <w:rFonts w:ascii="Calibri" w:eastAsia="Georgia,BoldItalic" w:hAnsi="Calibri" w:cs="Calibri"/>
          <w:lang w:eastAsia="cs-CZ"/>
        </w:rPr>
        <w:t> </w:t>
      </w:r>
      <w:r w:rsidRPr="002A1172">
        <w:rPr>
          <w:rFonts w:ascii="Calibri" w:eastAsia="Georgia,BoldItalic" w:hAnsi="Calibri" w:cs="Calibri"/>
          <w:lang w:eastAsia="cs-CZ"/>
        </w:rPr>
        <w:t xml:space="preserve">činnostech vykonávaných v rámci působení v MEO. </w:t>
      </w:r>
      <w:r w:rsidRPr="002A1172">
        <w:rPr>
          <w:rFonts w:ascii="Calibri" w:eastAsia="Georgia,BoldItalic" w:hAnsi="Calibri" w:cs="Calibri"/>
          <w:bCs/>
          <w:iCs/>
          <w:lang w:eastAsia="cs-CZ"/>
        </w:rPr>
        <w:t>NKÚ zjistil, že v případě vybraných MEO (IVF, NATO, OBSE, RE, UNDP) vyslalo</w:t>
      </w:r>
      <w:r w:rsidR="00DE2078" w:rsidRPr="00DE2078">
        <w:rPr>
          <w:rFonts w:ascii="Calibri" w:eastAsia="Georgia,BoldItalic" w:hAnsi="Calibri" w:cs="Calibri"/>
          <w:bCs/>
          <w:iCs/>
          <w:lang w:eastAsia="cs-CZ"/>
        </w:rPr>
        <w:t xml:space="preserve"> </w:t>
      </w:r>
      <w:r w:rsidR="00DE2078" w:rsidRPr="002A1172">
        <w:rPr>
          <w:rFonts w:ascii="Calibri" w:eastAsia="Georgia,BoldItalic" w:hAnsi="Calibri" w:cs="Calibri"/>
          <w:bCs/>
          <w:iCs/>
          <w:lang w:eastAsia="cs-CZ"/>
        </w:rPr>
        <w:t>MZV</w:t>
      </w:r>
      <w:r w:rsidRPr="002A1172">
        <w:rPr>
          <w:rFonts w:ascii="Calibri" w:eastAsia="Georgia,BoldItalic" w:hAnsi="Calibri" w:cs="Calibri"/>
          <w:bCs/>
          <w:iCs/>
          <w:lang w:eastAsia="cs-CZ"/>
        </w:rPr>
        <w:t xml:space="preserve"> celkem 16 expertů, z toho 12 </w:t>
      </w:r>
      <w:proofErr w:type="spellStart"/>
      <w:r w:rsidRPr="002A1172">
        <w:rPr>
          <w:rFonts w:ascii="Calibri" w:eastAsia="Georgia,BoldItalic" w:hAnsi="Calibri" w:cs="Calibri"/>
          <w:bCs/>
          <w:iCs/>
          <w:lang w:eastAsia="cs-CZ"/>
        </w:rPr>
        <w:t>sekondmentů</w:t>
      </w:r>
      <w:proofErr w:type="spellEnd"/>
      <w:r w:rsidRPr="002A1172">
        <w:rPr>
          <w:rFonts w:ascii="Calibri" w:eastAsia="Georgia,BoldItalic" w:hAnsi="Calibri" w:cs="Calibri"/>
          <w:bCs/>
          <w:iCs/>
          <w:lang w:eastAsia="cs-CZ"/>
        </w:rPr>
        <w:t xml:space="preserve"> bylo do doby ukončení kontroly ukončeno, přičemž 10 expertů bylo po svém návratu zařazeno v rámci organizační struktury na MZV. Pouze dva z vyslaných expertů předávali své znalosti a zkušenosti, a to formou přednáškové činnosti.</w:t>
      </w:r>
      <w:r w:rsidRPr="002A1172">
        <w:rPr>
          <w:rFonts w:ascii="Calibri" w:eastAsia="Georgia,BoldItalic" w:hAnsi="Calibri" w:cs="Calibri"/>
          <w:lang w:eastAsia="cs-CZ"/>
        </w:rPr>
        <w:t xml:space="preserve"> </w:t>
      </w:r>
    </w:p>
    <w:p w14:paraId="3BCDF560" w14:textId="77777777" w:rsidR="00E35FC6" w:rsidRPr="002A1172" w:rsidRDefault="00E35FC6" w:rsidP="005B4089">
      <w:pPr>
        <w:spacing w:after="0" w:line="240" w:lineRule="auto"/>
        <w:rPr>
          <w:rFonts w:ascii="Calibri" w:hAnsi="Calibri" w:cs="Calibri"/>
          <w:sz w:val="24"/>
          <w:szCs w:val="24"/>
          <w:lang w:eastAsia="cs-CZ"/>
        </w:rPr>
      </w:pPr>
    </w:p>
    <w:p w14:paraId="674B3086" w14:textId="77777777" w:rsidR="00E35FC6" w:rsidRPr="002A1172" w:rsidRDefault="00E35FC6" w:rsidP="002A1172">
      <w:pPr>
        <w:spacing w:after="0" w:line="240" w:lineRule="auto"/>
        <w:rPr>
          <w:rFonts w:ascii="Calibri" w:hAnsi="Calibri" w:cs="Calibri"/>
          <w:sz w:val="24"/>
          <w:szCs w:val="24"/>
          <w:lang w:eastAsia="cs-CZ"/>
        </w:rPr>
      </w:pPr>
    </w:p>
    <w:p w14:paraId="4A917DEA" w14:textId="77777777" w:rsidR="00E35FC6" w:rsidRPr="00F364BD" w:rsidRDefault="00E35FC6" w:rsidP="0017146F">
      <w:pPr>
        <w:keepNext/>
        <w:spacing w:after="0"/>
        <w:rPr>
          <w:rFonts w:cstheme="minorHAnsi"/>
          <w:b/>
          <w:szCs w:val="24"/>
        </w:rPr>
      </w:pPr>
      <w:r w:rsidRPr="00F364BD">
        <w:rPr>
          <w:rFonts w:cstheme="minorHAnsi"/>
          <w:b/>
          <w:szCs w:val="24"/>
        </w:rPr>
        <w:t>Seznam zkratek</w:t>
      </w:r>
    </w:p>
    <w:p w14:paraId="503A447D" w14:textId="77777777" w:rsidR="00E35FC6" w:rsidRPr="00F364BD" w:rsidRDefault="00E35FC6" w:rsidP="0017146F">
      <w:pPr>
        <w:keepNext/>
        <w:spacing w:after="0"/>
        <w:ind w:left="1701" w:hanging="1701"/>
        <w:rPr>
          <w:rFonts w:cstheme="minorHAnsi"/>
          <w:szCs w:val="24"/>
        </w:rPr>
      </w:pPr>
      <w:r>
        <w:rPr>
          <w:rFonts w:cstheme="minorHAnsi"/>
          <w:szCs w:val="24"/>
        </w:rPr>
        <w:t>ČNB</w:t>
      </w:r>
      <w:r>
        <w:rPr>
          <w:rFonts w:cstheme="minorHAnsi"/>
          <w:szCs w:val="24"/>
        </w:rPr>
        <w:tab/>
        <w:t>Česká národní banka</w:t>
      </w:r>
    </w:p>
    <w:p w14:paraId="66624128" w14:textId="77777777" w:rsidR="00E35FC6" w:rsidRDefault="00E35FC6" w:rsidP="0017146F">
      <w:pPr>
        <w:keepNext/>
        <w:spacing w:after="0"/>
        <w:ind w:left="1701" w:hanging="1701"/>
        <w:rPr>
          <w:rFonts w:cstheme="minorHAnsi"/>
          <w:szCs w:val="24"/>
        </w:rPr>
      </w:pPr>
      <w:r w:rsidRPr="00F364BD">
        <w:rPr>
          <w:rFonts w:cstheme="minorHAnsi"/>
          <w:szCs w:val="24"/>
        </w:rPr>
        <w:t>ČR</w:t>
      </w:r>
      <w:r w:rsidRPr="00F364BD">
        <w:rPr>
          <w:rFonts w:cstheme="minorHAnsi"/>
          <w:szCs w:val="24"/>
        </w:rPr>
        <w:tab/>
        <w:t>Česká republika</w:t>
      </w:r>
    </w:p>
    <w:p w14:paraId="626A7BE3" w14:textId="550A5279" w:rsidR="00E35FC6" w:rsidRPr="00F364BD" w:rsidRDefault="000A0EB4" w:rsidP="0017146F">
      <w:pPr>
        <w:keepNext/>
        <w:spacing w:after="0"/>
        <w:ind w:left="1701" w:hanging="1701"/>
        <w:rPr>
          <w:rFonts w:eastAsia="Times New Roman" w:cstheme="minorHAnsi"/>
          <w:szCs w:val="24"/>
          <w:lang w:eastAsia="cs-CZ"/>
        </w:rPr>
      </w:pPr>
      <w:r>
        <w:rPr>
          <w:rFonts w:cstheme="minorHAnsi"/>
          <w:szCs w:val="24"/>
        </w:rPr>
        <w:t>g</w:t>
      </w:r>
      <w:r w:rsidR="00E35FC6" w:rsidRPr="00F364BD">
        <w:rPr>
          <w:rFonts w:cstheme="minorHAnsi"/>
          <w:szCs w:val="24"/>
        </w:rPr>
        <w:t>esční resorty</w:t>
      </w:r>
      <w:r w:rsidR="00E35FC6" w:rsidRPr="00F364BD">
        <w:rPr>
          <w:rFonts w:cstheme="minorHAnsi"/>
          <w:szCs w:val="24"/>
        </w:rPr>
        <w:tab/>
      </w:r>
      <w:r>
        <w:rPr>
          <w:rFonts w:eastAsia="Times New Roman" w:cstheme="minorHAnsi"/>
          <w:szCs w:val="24"/>
          <w:lang w:eastAsia="cs-CZ"/>
        </w:rPr>
        <w:t>s</w:t>
      </w:r>
      <w:r w:rsidR="00E35FC6" w:rsidRPr="00F364BD">
        <w:rPr>
          <w:rFonts w:eastAsia="Times New Roman" w:cstheme="minorHAnsi"/>
          <w:szCs w:val="24"/>
          <w:lang w:eastAsia="cs-CZ"/>
        </w:rPr>
        <w:t xml:space="preserve">právci jednotlivých </w:t>
      </w:r>
      <w:r w:rsidR="00E35FC6">
        <w:rPr>
          <w:rFonts w:eastAsia="Times New Roman" w:cstheme="minorHAnsi"/>
          <w:szCs w:val="24"/>
          <w:lang w:eastAsia="cs-CZ"/>
        </w:rPr>
        <w:t>kapitol státního rozpočtu</w:t>
      </w:r>
    </w:p>
    <w:p w14:paraId="2A1FA3EF" w14:textId="77777777" w:rsidR="00E35FC6" w:rsidRPr="00F364BD" w:rsidRDefault="00E35FC6" w:rsidP="0017146F">
      <w:pPr>
        <w:keepNext/>
        <w:spacing w:after="0"/>
        <w:ind w:left="1701" w:hanging="1701"/>
        <w:rPr>
          <w:rFonts w:cstheme="minorHAnsi"/>
          <w:szCs w:val="24"/>
        </w:rPr>
      </w:pPr>
      <w:r w:rsidRPr="00F364BD">
        <w:rPr>
          <w:rFonts w:cstheme="minorHAnsi"/>
          <w:szCs w:val="24"/>
        </w:rPr>
        <w:t>IISSP</w:t>
      </w:r>
      <w:r w:rsidRPr="00F364BD">
        <w:rPr>
          <w:rFonts w:cstheme="minorHAnsi"/>
          <w:szCs w:val="24"/>
        </w:rPr>
        <w:tab/>
      </w:r>
      <w:r w:rsidRPr="007F5A00">
        <w:rPr>
          <w:rFonts w:cstheme="minorHAnsi"/>
          <w:i/>
          <w:szCs w:val="24"/>
        </w:rPr>
        <w:t>Integrovaný informační systém Státní pokladny</w:t>
      </w:r>
    </w:p>
    <w:p w14:paraId="1AE0D3F4" w14:textId="77777777" w:rsidR="00E35FC6" w:rsidRDefault="00E35FC6" w:rsidP="0017146F">
      <w:pPr>
        <w:keepNext/>
        <w:spacing w:after="0"/>
        <w:ind w:left="1701" w:hanging="1701"/>
        <w:rPr>
          <w:rFonts w:cstheme="minorHAnsi"/>
          <w:szCs w:val="24"/>
        </w:rPr>
      </w:pPr>
      <w:r w:rsidRPr="00F364BD">
        <w:rPr>
          <w:rFonts w:cstheme="minorHAnsi"/>
          <w:szCs w:val="24"/>
          <w:lang w:eastAsia="cs-CZ"/>
        </w:rPr>
        <w:t>Koncepce ZP</w:t>
      </w:r>
      <w:r w:rsidRPr="00F364BD">
        <w:rPr>
          <w:rFonts w:cstheme="minorHAnsi"/>
          <w:szCs w:val="24"/>
          <w:lang w:eastAsia="cs-CZ"/>
        </w:rPr>
        <w:tab/>
      </w:r>
      <w:r w:rsidRPr="007F5A00">
        <w:rPr>
          <w:rFonts w:cstheme="minorHAnsi"/>
          <w:i/>
          <w:szCs w:val="24"/>
        </w:rPr>
        <w:t>Koncepce zahraniční politiky České republiky</w:t>
      </w:r>
    </w:p>
    <w:p w14:paraId="3E300019" w14:textId="77777777" w:rsidR="00E35FC6" w:rsidRPr="00F364BD" w:rsidRDefault="00E35FC6" w:rsidP="0017146F">
      <w:pPr>
        <w:keepNext/>
        <w:spacing w:after="0"/>
        <w:ind w:left="1701" w:hanging="1701"/>
        <w:rPr>
          <w:rFonts w:cstheme="minorHAnsi"/>
          <w:szCs w:val="24"/>
        </w:rPr>
      </w:pPr>
      <w:r>
        <w:rPr>
          <w:rFonts w:cstheme="minorHAnsi"/>
          <w:szCs w:val="24"/>
        </w:rPr>
        <w:t>MD</w:t>
      </w:r>
      <w:r>
        <w:rPr>
          <w:rFonts w:cstheme="minorHAnsi"/>
          <w:szCs w:val="24"/>
        </w:rPr>
        <w:tab/>
        <w:t>Ministerstvo dopravy</w:t>
      </w:r>
    </w:p>
    <w:p w14:paraId="52808B5C" w14:textId="05272022" w:rsidR="00E35FC6" w:rsidRPr="00F364BD" w:rsidRDefault="00E35FC6" w:rsidP="0017146F">
      <w:pPr>
        <w:keepNext/>
        <w:spacing w:after="0"/>
        <w:ind w:left="1701" w:hanging="1701"/>
        <w:rPr>
          <w:rFonts w:cstheme="minorHAnsi"/>
          <w:szCs w:val="24"/>
        </w:rPr>
      </w:pPr>
      <w:r w:rsidRPr="00F364BD">
        <w:rPr>
          <w:rFonts w:cstheme="minorHAnsi"/>
          <w:szCs w:val="24"/>
        </w:rPr>
        <w:t>MEO</w:t>
      </w:r>
      <w:r w:rsidRPr="00F364BD">
        <w:rPr>
          <w:rFonts w:cstheme="minorHAnsi"/>
          <w:szCs w:val="24"/>
        </w:rPr>
        <w:tab/>
      </w:r>
      <w:r w:rsidR="000A0EB4">
        <w:rPr>
          <w:rFonts w:cstheme="minorHAnsi"/>
          <w:szCs w:val="24"/>
        </w:rPr>
        <w:t>m</w:t>
      </w:r>
      <w:r w:rsidRPr="00F364BD">
        <w:rPr>
          <w:rFonts w:cstheme="minorHAnsi"/>
          <w:szCs w:val="24"/>
        </w:rPr>
        <w:t>ezinárodní organizace</w:t>
      </w:r>
    </w:p>
    <w:p w14:paraId="286F1ED1" w14:textId="77777777" w:rsidR="00E35FC6" w:rsidRPr="00F364BD" w:rsidRDefault="00E35FC6" w:rsidP="0017146F">
      <w:pPr>
        <w:keepNext/>
        <w:spacing w:after="0"/>
        <w:ind w:left="1701" w:hanging="1701"/>
        <w:rPr>
          <w:rFonts w:eastAsia="Calibri" w:cstheme="minorHAnsi"/>
          <w:szCs w:val="24"/>
        </w:rPr>
      </w:pPr>
      <w:r w:rsidRPr="00F364BD">
        <w:rPr>
          <w:rFonts w:eastAsia="Calibri" w:cstheme="minorHAnsi"/>
          <w:szCs w:val="24"/>
        </w:rPr>
        <w:t>MF</w:t>
      </w:r>
      <w:r w:rsidRPr="00F364BD">
        <w:rPr>
          <w:rFonts w:eastAsia="Calibri" w:cstheme="minorHAnsi"/>
          <w:szCs w:val="24"/>
        </w:rPr>
        <w:tab/>
        <w:t>Ministerstvo financí</w:t>
      </w:r>
    </w:p>
    <w:p w14:paraId="49FDFBF6" w14:textId="77777777" w:rsidR="00E35FC6" w:rsidRPr="00F364BD" w:rsidRDefault="00E35FC6" w:rsidP="0017146F">
      <w:pPr>
        <w:keepNext/>
        <w:spacing w:after="0"/>
        <w:ind w:left="1701" w:hanging="1701"/>
        <w:rPr>
          <w:rFonts w:cstheme="minorHAnsi"/>
          <w:szCs w:val="24"/>
        </w:rPr>
      </w:pPr>
      <w:r w:rsidRPr="00F364BD">
        <w:rPr>
          <w:rFonts w:cstheme="minorHAnsi"/>
          <w:szCs w:val="24"/>
        </w:rPr>
        <w:t>MŠMT</w:t>
      </w:r>
      <w:r w:rsidRPr="00F364BD">
        <w:rPr>
          <w:rFonts w:cstheme="minorHAnsi"/>
          <w:szCs w:val="24"/>
        </w:rPr>
        <w:tab/>
        <w:t>Ministerstvo školství, mládeže a tělovýchovy</w:t>
      </w:r>
    </w:p>
    <w:p w14:paraId="2FB7E383" w14:textId="4392A776" w:rsidR="00E35FC6" w:rsidRDefault="00E35FC6" w:rsidP="0017146F">
      <w:pPr>
        <w:keepNext/>
        <w:spacing w:after="0"/>
        <w:ind w:left="1701" w:hanging="1701"/>
        <w:rPr>
          <w:rFonts w:cstheme="minorHAnsi"/>
          <w:bCs/>
          <w:szCs w:val="24"/>
        </w:rPr>
      </w:pPr>
      <w:r w:rsidRPr="00F364BD">
        <w:rPr>
          <w:rFonts w:cstheme="minorHAnsi"/>
          <w:bCs/>
          <w:szCs w:val="24"/>
        </w:rPr>
        <w:t>MKK</w:t>
      </w:r>
      <w:r w:rsidRPr="00F364BD">
        <w:rPr>
          <w:rFonts w:cstheme="minorHAnsi"/>
          <w:bCs/>
          <w:szCs w:val="24"/>
        </w:rPr>
        <w:tab/>
      </w:r>
      <w:r w:rsidR="000A0EB4">
        <w:rPr>
          <w:rFonts w:cstheme="minorHAnsi"/>
          <w:bCs/>
          <w:szCs w:val="24"/>
        </w:rPr>
        <w:t>m</w:t>
      </w:r>
      <w:r w:rsidRPr="00F364BD">
        <w:rPr>
          <w:rFonts w:cstheme="minorHAnsi"/>
          <w:bCs/>
          <w:szCs w:val="24"/>
        </w:rPr>
        <w:t>eziresortní koordinační komise</w:t>
      </w:r>
    </w:p>
    <w:p w14:paraId="3C9FD595" w14:textId="77777777" w:rsidR="00E35FC6" w:rsidRDefault="00E35FC6" w:rsidP="0017146F">
      <w:pPr>
        <w:keepNext/>
        <w:spacing w:after="0"/>
        <w:ind w:left="1701" w:hanging="1701"/>
        <w:rPr>
          <w:rFonts w:cstheme="minorHAnsi"/>
          <w:bCs/>
          <w:szCs w:val="24"/>
        </w:rPr>
      </w:pPr>
      <w:r>
        <w:rPr>
          <w:rFonts w:cstheme="minorHAnsi"/>
          <w:bCs/>
          <w:szCs w:val="24"/>
        </w:rPr>
        <w:t>MPO</w:t>
      </w:r>
      <w:r>
        <w:rPr>
          <w:rFonts w:cstheme="minorHAnsi"/>
          <w:bCs/>
          <w:szCs w:val="24"/>
        </w:rPr>
        <w:tab/>
        <w:t>Ministerstvo průmyslu a obchodu</w:t>
      </w:r>
    </w:p>
    <w:p w14:paraId="5AD1896C" w14:textId="77777777" w:rsidR="00E35FC6" w:rsidRDefault="00E35FC6" w:rsidP="0017146F">
      <w:pPr>
        <w:keepNext/>
        <w:spacing w:after="0"/>
        <w:ind w:left="1701" w:hanging="1701"/>
        <w:rPr>
          <w:rFonts w:cstheme="minorHAnsi"/>
          <w:bCs/>
          <w:szCs w:val="24"/>
        </w:rPr>
      </w:pPr>
      <w:r>
        <w:rPr>
          <w:rFonts w:cstheme="minorHAnsi"/>
          <w:bCs/>
          <w:szCs w:val="24"/>
        </w:rPr>
        <w:t>MPSV</w:t>
      </w:r>
      <w:r>
        <w:rPr>
          <w:rFonts w:cstheme="minorHAnsi"/>
          <w:bCs/>
          <w:szCs w:val="24"/>
        </w:rPr>
        <w:tab/>
        <w:t xml:space="preserve">Ministerstvo práce a sociálních věcí </w:t>
      </w:r>
    </w:p>
    <w:p w14:paraId="3391DB56" w14:textId="77777777" w:rsidR="00E35FC6" w:rsidRDefault="00E35FC6" w:rsidP="0017146F">
      <w:pPr>
        <w:keepNext/>
        <w:spacing w:after="0"/>
        <w:ind w:left="1701" w:hanging="1701"/>
        <w:rPr>
          <w:rFonts w:cstheme="minorHAnsi"/>
          <w:bCs/>
          <w:szCs w:val="24"/>
        </w:rPr>
      </w:pPr>
      <w:r>
        <w:rPr>
          <w:rFonts w:cstheme="minorHAnsi"/>
          <w:bCs/>
          <w:szCs w:val="24"/>
        </w:rPr>
        <w:t>MSP</w:t>
      </w:r>
      <w:r>
        <w:rPr>
          <w:rFonts w:cstheme="minorHAnsi"/>
          <w:bCs/>
          <w:szCs w:val="24"/>
        </w:rPr>
        <w:tab/>
        <w:t>Ministerstvo spravedlnosti</w:t>
      </w:r>
    </w:p>
    <w:p w14:paraId="7D9849AE" w14:textId="77777777" w:rsidR="00E35FC6" w:rsidRDefault="00E35FC6" w:rsidP="0017146F">
      <w:pPr>
        <w:keepNext/>
        <w:spacing w:after="0"/>
        <w:ind w:left="1701" w:hanging="1701"/>
        <w:rPr>
          <w:rFonts w:cstheme="minorHAnsi"/>
          <w:bCs/>
          <w:szCs w:val="24"/>
        </w:rPr>
      </w:pPr>
      <w:proofErr w:type="spellStart"/>
      <w:r>
        <w:rPr>
          <w:rFonts w:cstheme="minorHAnsi"/>
          <w:bCs/>
          <w:szCs w:val="24"/>
        </w:rPr>
        <w:t>MZd</w:t>
      </w:r>
      <w:proofErr w:type="spellEnd"/>
      <w:r>
        <w:rPr>
          <w:rFonts w:cstheme="minorHAnsi"/>
          <w:bCs/>
          <w:szCs w:val="24"/>
        </w:rPr>
        <w:tab/>
        <w:t>Ministerstvo zdravotnictví</w:t>
      </w:r>
    </w:p>
    <w:p w14:paraId="564F9770" w14:textId="77777777" w:rsidR="00E35FC6" w:rsidRPr="00F364BD" w:rsidRDefault="00E35FC6" w:rsidP="0017146F">
      <w:pPr>
        <w:keepNext/>
        <w:spacing w:after="0"/>
        <w:ind w:left="1701" w:hanging="1701"/>
        <w:rPr>
          <w:rFonts w:cstheme="minorHAnsi"/>
          <w:bCs/>
          <w:szCs w:val="24"/>
        </w:rPr>
      </w:pPr>
      <w:proofErr w:type="spellStart"/>
      <w:r>
        <w:rPr>
          <w:rFonts w:cstheme="minorHAnsi"/>
          <w:bCs/>
          <w:szCs w:val="24"/>
        </w:rPr>
        <w:t>MZe</w:t>
      </w:r>
      <w:proofErr w:type="spellEnd"/>
      <w:r>
        <w:rPr>
          <w:rFonts w:cstheme="minorHAnsi"/>
          <w:bCs/>
          <w:szCs w:val="24"/>
        </w:rPr>
        <w:tab/>
        <w:t>Ministerstvo zemědělství</w:t>
      </w:r>
    </w:p>
    <w:p w14:paraId="46718E03" w14:textId="2C555FC7" w:rsidR="00E35FC6" w:rsidRPr="00F364BD" w:rsidRDefault="00E35FC6" w:rsidP="0017146F">
      <w:pPr>
        <w:keepNext/>
        <w:spacing w:after="0"/>
        <w:ind w:left="1701" w:hanging="1701"/>
        <w:rPr>
          <w:rFonts w:cstheme="minorHAnsi"/>
          <w:szCs w:val="24"/>
        </w:rPr>
      </w:pPr>
      <w:r w:rsidRPr="00F364BD">
        <w:rPr>
          <w:rFonts w:cstheme="minorHAnsi"/>
          <w:szCs w:val="24"/>
        </w:rPr>
        <w:t>MZV</w:t>
      </w:r>
      <w:r w:rsidRPr="00F364BD">
        <w:rPr>
          <w:rFonts w:cstheme="minorHAnsi"/>
          <w:szCs w:val="24"/>
        </w:rPr>
        <w:tab/>
        <w:t>Ministerstvo zahraničních věcí</w:t>
      </w:r>
    </w:p>
    <w:p w14:paraId="0D61D944" w14:textId="77777777" w:rsidR="00E35FC6" w:rsidRPr="00F364BD" w:rsidRDefault="00E35FC6" w:rsidP="0017146F">
      <w:pPr>
        <w:keepNext/>
        <w:spacing w:after="0"/>
        <w:ind w:left="1701" w:hanging="1701"/>
        <w:rPr>
          <w:rFonts w:cstheme="minorHAnsi"/>
          <w:szCs w:val="24"/>
        </w:rPr>
      </w:pPr>
      <w:r w:rsidRPr="00F364BD">
        <w:rPr>
          <w:rFonts w:cstheme="minorHAnsi"/>
          <w:szCs w:val="24"/>
        </w:rPr>
        <w:t>MŽP</w:t>
      </w:r>
      <w:r w:rsidRPr="00F364BD">
        <w:rPr>
          <w:rFonts w:cstheme="minorHAnsi"/>
          <w:szCs w:val="24"/>
        </w:rPr>
        <w:tab/>
        <w:t>Ministerstvo životního prostředí</w:t>
      </w:r>
    </w:p>
    <w:p w14:paraId="7DD8C6D0" w14:textId="6BFCFEE9" w:rsidR="00E35FC6" w:rsidRPr="00F364BD" w:rsidRDefault="00E35FC6" w:rsidP="0017146F">
      <w:pPr>
        <w:keepNext/>
        <w:spacing w:after="0"/>
        <w:ind w:left="1701" w:hanging="1701"/>
        <w:rPr>
          <w:rFonts w:cstheme="minorHAnsi"/>
          <w:szCs w:val="24"/>
        </w:rPr>
      </w:pPr>
      <w:r w:rsidRPr="00F364BD">
        <w:rPr>
          <w:rFonts w:cstheme="minorHAnsi"/>
          <w:szCs w:val="24"/>
        </w:rPr>
        <w:t>NKÚ</w:t>
      </w:r>
      <w:r w:rsidRPr="00F364BD">
        <w:rPr>
          <w:rFonts w:cstheme="minorHAnsi"/>
          <w:szCs w:val="24"/>
        </w:rPr>
        <w:tab/>
        <w:t>Nejvyšší kontrolní úřad</w:t>
      </w:r>
    </w:p>
    <w:p w14:paraId="005013DA" w14:textId="67EFCC95" w:rsidR="00E35FC6" w:rsidRPr="00F364BD" w:rsidRDefault="00E35FC6" w:rsidP="0017146F">
      <w:pPr>
        <w:keepNext/>
        <w:spacing w:after="0"/>
        <w:ind w:left="1701" w:hanging="1701"/>
        <w:rPr>
          <w:rFonts w:cstheme="minorHAnsi"/>
          <w:szCs w:val="24"/>
          <w:lang w:eastAsia="cs-CZ"/>
        </w:rPr>
      </w:pPr>
      <w:r w:rsidRPr="00F364BD">
        <w:rPr>
          <w:rFonts w:cstheme="minorHAnsi"/>
          <w:bCs/>
          <w:szCs w:val="24"/>
        </w:rPr>
        <w:t>RKS</w:t>
      </w:r>
      <w:r w:rsidRPr="00F364BD">
        <w:rPr>
          <w:rFonts w:cstheme="minorHAnsi"/>
          <w:bCs/>
          <w:szCs w:val="24"/>
        </w:rPr>
        <w:tab/>
      </w:r>
      <w:r w:rsidR="000A0EB4">
        <w:rPr>
          <w:rFonts w:cstheme="minorHAnsi"/>
          <w:szCs w:val="24"/>
          <w:lang w:eastAsia="cs-CZ"/>
        </w:rPr>
        <w:t>r</w:t>
      </w:r>
      <w:r w:rsidRPr="00F364BD">
        <w:rPr>
          <w:rFonts w:cstheme="minorHAnsi"/>
          <w:szCs w:val="24"/>
          <w:lang w:eastAsia="cs-CZ"/>
        </w:rPr>
        <w:t>esortní koordinační skupina pro koordinaci agend MŠMT v mezinárodních organizacích</w:t>
      </w:r>
    </w:p>
    <w:p w14:paraId="1E03399E" w14:textId="1C4E6CA5" w:rsidR="000A0EB4" w:rsidRDefault="000A0EB4" w:rsidP="0017146F">
      <w:pPr>
        <w:keepNext/>
        <w:spacing w:after="0"/>
        <w:ind w:left="1701" w:hanging="1701"/>
        <w:rPr>
          <w:rFonts w:cstheme="minorHAnsi"/>
          <w:szCs w:val="24"/>
        </w:rPr>
      </w:pPr>
      <w:r>
        <w:rPr>
          <w:rFonts w:cstheme="minorHAnsi"/>
          <w:szCs w:val="24"/>
        </w:rPr>
        <w:t>SAI</w:t>
      </w:r>
      <w:r>
        <w:rPr>
          <w:rFonts w:cstheme="minorHAnsi"/>
          <w:szCs w:val="24"/>
        </w:rPr>
        <w:tab/>
        <w:t>nejvyšší kontrolní instituce</w:t>
      </w:r>
    </w:p>
    <w:p w14:paraId="1B163018" w14:textId="19CE30E7" w:rsidR="00E35FC6" w:rsidRPr="00F364BD" w:rsidRDefault="00E35FC6" w:rsidP="0017146F">
      <w:pPr>
        <w:keepNext/>
        <w:spacing w:after="0"/>
        <w:ind w:left="1701" w:hanging="1701"/>
        <w:rPr>
          <w:rFonts w:cstheme="minorHAnsi"/>
          <w:szCs w:val="24"/>
        </w:rPr>
      </w:pPr>
      <w:r w:rsidRPr="00F364BD">
        <w:rPr>
          <w:rFonts w:cstheme="minorHAnsi"/>
          <w:szCs w:val="24"/>
        </w:rPr>
        <w:t>Směrnice</w:t>
      </w:r>
      <w:r w:rsidRPr="00F364BD">
        <w:rPr>
          <w:rFonts w:cstheme="minorHAnsi"/>
          <w:szCs w:val="24"/>
        </w:rPr>
        <w:tab/>
      </w:r>
      <w:proofErr w:type="spellStart"/>
      <w:r w:rsidR="000A0EB4">
        <w:rPr>
          <w:rFonts w:cstheme="minorHAnsi"/>
          <w:szCs w:val="24"/>
        </w:rPr>
        <w:t>s</w:t>
      </w:r>
      <w:r w:rsidRPr="00F364BD">
        <w:rPr>
          <w:rFonts w:cstheme="minorHAnsi"/>
          <w:szCs w:val="24"/>
        </w:rPr>
        <w:t>měrnice</w:t>
      </w:r>
      <w:proofErr w:type="spellEnd"/>
      <w:r w:rsidRPr="00F364BD">
        <w:rPr>
          <w:rFonts w:cstheme="minorHAnsi"/>
          <w:szCs w:val="24"/>
        </w:rPr>
        <w:t xml:space="preserve"> vlády pro sjednávání, vnitrostátní projednávání, provádění a</w:t>
      </w:r>
      <w:r w:rsidR="000A0EB4">
        <w:rPr>
          <w:rFonts w:cstheme="minorHAnsi"/>
          <w:szCs w:val="24"/>
        </w:rPr>
        <w:t> </w:t>
      </w:r>
      <w:r w:rsidRPr="00F364BD">
        <w:rPr>
          <w:rFonts w:cstheme="minorHAnsi"/>
          <w:szCs w:val="24"/>
        </w:rPr>
        <w:t>ukončování platnosti mezinárodních smluv</w:t>
      </w:r>
    </w:p>
    <w:p w14:paraId="3D3FCE67" w14:textId="3566A7C4" w:rsidR="00E35FC6" w:rsidRPr="00F364BD" w:rsidRDefault="00E35FC6" w:rsidP="0017146F">
      <w:pPr>
        <w:keepNext/>
        <w:spacing w:after="0"/>
        <w:ind w:left="1701" w:hanging="1701"/>
        <w:rPr>
          <w:rFonts w:cstheme="minorHAnsi"/>
          <w:szCs w:val="24"/>
        </w:rPr>
      </w:pPr>
      <w:r w:rsidRPr="00F364BD">
        <w:rPr>
          <w:rFonts w:cstheme="minorHAnsi"/>
          <w:szCs w:val="24"/>
        </w:rPr>
        <w:t>SR</w:t>
      </w:r>
      <w:r w:rsidRPr="00F364BD">
        <w:rPr>
          <w:rFonts w:cstheme="minorHAnsi"/>
          <w:szCs w:val="24"/>
        </w:rPr>
        <w:tab/>
      </w:r>
      <w:r w:rsidR="000A0EB4">
        <w:rPr>
          <w:rFonts w:cstheme="minorHAnsi"/>
          <w:szCs w:val="24"/>
        </w:rPr>
        <w:t>s</w:t>
      </w:r>
      <w:r w:rsidRPr="00F364BD">
        <w:rPr>
          <w:rFonts w:cstheme="minorHAnsi"/>
          <w:szCs w:val="24"/>
        </w:rPr>
        <w:t>tátní rozpočet</w:t>
      </w:r>
    </w:p>
    <w:p w14:paraId="7F6CF0B8" w14:textId="115BC931" w:rsidR="0011732D" w:rsidRPr="00F364BD" w:rsidRDefault="0011732D" w:rsidP="0017146F">
      <w:pPr>
        <w:keepNext/>
        <w:spacing w:after="0"/>
        <w:ind w:left="1701" w:hanging="1701"/>
        <w:rPr>
          <w:rFonts w:cstheme="minorHAnsi"/>
          <w:szCs w:val="24"/>
        </w:rPr>
      </w:pPr>
      <w:r>
        <w:rPr>
          <w:rFonts w:cstheme="minorHAnsi"/>
          <w:szCs w:val="24"/>
        </w:rPr>
        <w:t>Strategie</w:t>
      </w:r>
      <w:r w:rsidRPr="0011732D">
        <w:rPr>
          <w:rFonts w:cstheme="minorHAnsi"/>
          <w:szCs w:val="24"/>
        </w:rPr>
        <w:t xml:space="preserve"> </w:t>
      </w:r>
      <w:r w:rsidRPr="00F364BD">
        <w:rPr>
          <w:rFonts w:cstheme="minorHAnsi"/>
          <w:szCs w:val="24"/>
        </w:rPr>
        <w:t>ČMEO</w:t>
      </w:r>
      <w:r w:rsidRPr="00F364BD">
        <w:rPr>
          <w:rFonts w:cstheme="minorHAnsi"/>
          <w:szCs w:val="24"/>
        </w:rPr>
        <w:tab/>
      </w:r>
      <w:r w:rsidRPr="00FA52B0">
        <w:rPr>
          <w:rFonts w:cstheme="minorHAnsi"/>
          <w:i/>
          <w:szCs w:val="24"/>
        </w:rPr>
        <w:t>Strategie pro uplatňování českých občanů v mezinárodních organizacích</w:t>
      </w:r>
      <w:r w:rsidRPr="00F364BD">
        <w:rPr>
          <w:rFonts w:cstheme="minorHAnsi"/>
          <w:szCs w:val="24"/>
        </w:rPr>
        <w:t xml:space="preserve"> </w:t>
      </w:r>
    </w:p>
    <w:p w14:paraId="53DE2ACC" w14:textId="17014D42" w:rsidR="00E35FC6" w:rsidRPr="00F364BD" w:rsidRDefault="00E35FC6" w:rsidP="0017146F">
      <w:pPr>
        <w:keepNext/>
        <w:spacing w:after="0"/>
        <w:ind w:left="1701" w:hanging="1701"/>
        <w:rPr>
          <w:rFonts w:cstheme="minorHAnsi"/>
          <w:szCs w:val="24"/>
        </w:rPr>
      </w:pPr>
      <w:r w:rsidRPr="00F364BD">
        <w:rPr>
          <w:rFonts w:cstheme="minorHAnsi"/>
          <w:szCs w:val="24"/>
        </w:rPr>
        <w:t>ÚOSS</w:t>
      </w:r>
      <w:r w:rsidRPr="00F364BD">
        <w:rPr>
          <w:rFonts w:cstheme="minorHAnsi"/>
          <w:szCs w:val="24"/>
        </w:rPr>
        <w:tab/>
      </w:r>
      <w:r w:rsidR="000A0EB4">
        <w:rPr>
          <w:rFonts w:cstheme="minorHAnsi"/>
          <w:szCs w:val="24"/>
        </w:rPr>
        <w:t>ú</w:t>
      </w:r>
      <w:r w:rsidRPr="00F364BD">
        <w:rPr>
          <w:rFonts w:cstheme="minorHAnsi"/>
          <w:szCs w:val="24"/>
        </w:rPr>
        <w:t xml:space="preserve">střední orgány státní správy </w:t>
      </w:r>
    </w:p>
    <w:p w14:paraId="0D1CA4BC" w14:textId="0165B359" w:rsidR="00FC5768" w:rsidRDefault="00E35FC6" w:rsidP="0017146F">
      <w:pPr>
        <w:keepNext/>
        <w:spacing w:after="0"/>
        <w:ind w:left="1701" w:hanging="1701"/>
        <w:rPr>
          <w:rFonts w:eastAsia="Calibri" w:cstheme="minorHAnsi"/>
          <w:szCs w:val="24"/>
        </w:rPr>
      </w:pPr>
      <w:r w:rsidRPr="00F364BD">
        <w:rPr>
          <w:rFonts w:eastAsia="Calibri" w:cstheme="minorHAnsi"/>
          <w:szCs w:val="24"/>
        </w:rPr>
        <w:t>UV</w:t>
      </w:r>
      <w:r w:rsidRPr="00F364BD">
        <w:rPr>
          <w:rFonts w:eastAsia="Calibri" w:cstheme="minorHAnsi"/>
          <w:szCs w:val="24"/>
        </w:rPr>
        <w:tab/>
      </w:r>
      <w:r w:rsidR="00DE2078">
        <w:rPr>
          <w:rFonts w:eastAsia="Calibri" w:cstheme="minorHAnsi"/>
          <w:szCs w:val="24"/>
        </w:rPr>
        <w:t>u</w:t>
      </w:r>
      <w:r w:rsidRPr="00F364BD">
        <w:rPr>
          <w:rFonts w:eastAsia="Calibri" w:cstheme="minorHAnsi"/>
          <w:szCs w:val="24"/>
        </w:rPr>
        <w:t>snesení vlády České republiky</w:t>
      </w:r>
      <w:r w:rsidR="00FC5768">
        <w:rPr>
          <w:rFonts w:eastAsia="Calibri" w:cstheme="minorHAnsi"/>
          <w:szCs w:val="24"/>
        </w:rPr>
        <w:br w:type="page"/>
      </w:r>
    </w:p>
    <w:p w14:paraId="1EE884DC" w14:textId="77777777" w:rsidR="00FC5768" w:rsidRPr="00FC5768" w:rsidRDefault="00FC5768" w:rsidP="00FC5768">
      <w:pPr>
        <w:spacing w:after="120" w:line="240" w:lineRule="auto"/>
        <w:jc w:val="right"/>
        <w:rPr>
          <w:b/>
          <w:sz w:val="24"/>
          <w:szCs w:val="24"/>
        </w:rPr>
      </w:pPr>
      <w:r w:rsidRPr="00FC5768">
        <w:rPr>
          <w:b/>
          <w:sz w:val="24"/>
          <w:szCs w:val="24"/>
        </w:rPr>
        <w:lastRenderedPageBreak/>
        <w:t>Příloha č. 1</w:t>
      </w:r>
    </w:p>
    <w:p w14:paraId="593DA71D" w14:textId="77777777" w:rsidR="00FC5768" w:rsidRPr="00FC5768" w:rsidRDefault="00FC5768" w:rsidP="00FC5768">
      <w:pPr>
        <w:spacing w:after="120" w:line="240" w:lineRule="auto"/>
        <w:jc w:val="center"/>
        <w:rPr>
          <w:b/>
          <w:sz w:val="24"/>
          <w:szCs w:val="24"/>
        </w:rPr>
      </w:pPr>
    </w:p>
    <w:p w14:paraId="2D40F068" w14:textId="5CC2FEC2" w:rsidR="00FC5768" w:rsidRPr="007F5A00" w:rsidRDefault="00FC5768" w:rsidP="00FC5768">
      <w:pPr>
        <w:spacing w:after="120" w:line="240" w:lineRule="auto"/>
        <w:rPr>
          <w:color w:val="000000" w:themeColor="text1"/>
          <w:sz w:val="24"/>
          <w:szCs w:val="24"/>
        </w:rPr>
      </w:pPr>
      <w:r w:rsidRPr="00FC5768">
        <w:rPr>
          <w:sz w:val="24"/>
          <w:szCs w:val="24"/>
        </w:rPr>
        <w:t>Příloha č. 1 je dostupná na tomto odkazu</w:t>
      </w:r>
      <w:r w:rsidR="00DE2078">
        <w:rPr>
          <w:sz w:val="24"/>
          <w:szCs w:val="24"/>
        </w:rPr>
        <w:t>:</w:t>
      </w:r>
      <w:r w:rsidRPr="00FC5768">
        <w:rPr>
          <w:sz w:val="24"/>
          <w:szCs w:val="24"/>
        </w:rPr>
        <w:t xml:space="preserve"> </w:t>
      </w:r>
      <w:hyperlink r:id="rId14" w:history="1">
        <w:r w:rsidRPr="00DE2078">
          <w:rPr>
            <w:rStyle w:val="Hypertextovodkaz"/>
            <w:sz w:val="24"/>
            <w:szCs w:val="24"/>
            <w:u w:val="none"/>
          </w:rPr>
          <w:t>https://www.nku.cz/scripts/detail.php?id=11033</w:t>
        </w:r>
      </w:hyperlink>
      <w:r w:rsidR="00DE2078">
        <w:rPr>
          <w:rStyle w:val="Hypertextovodkaz"/>
          <w:color w:val="000000" w:themeColor="text1"/>
          <w:sz w:val="24"/>
          <w:szCs w:val="24"/>
          <w:u w:val="none"/>
        </w:rPr>
        <w:t>.</w:t>
      </w:r>
    </w:p>
    <w:p w14:paraId="2F539CB3" w14:textId="77777777" w:rsidR="00FC5768" w:rsidRPr="00FC5768" w:rsidRDefault="00FC5768" w:rsidP="00FC5768">
      <w:pPr>
        <w:spacing w:after="120" w:line="240" w:lineRule="auto"/>
        <w:rPr>
          <w:sz w:val="24"/>
          <w:szCs w:val="24"/>
        </w:rPr>
      </w:pPr>
    </w:p>
    <w:p w14:paraId="35AF4D7A" w14:textId="77777777" w:rsidR="00FC5768" w:rsidRPr="00FC5768" w:rsidRDefault="00FC5768" w:rsidP="00FC5768">
      <w:pPr>
        <w:spacing w:after="120" w:line="240" w:lineRule="auto"/>
        <w:rPr>
          <w:i/>
          <w:sz w:val="24"/>
          <w:szCs w:val="24"/>
        </w:rPr>
      </w:pPr>
      <w:r w:rsidRPr="00FC5768">
        <w:rPr>
          <w:i/>
          <w:sz w:val="24"/>
          <w:szCs w:val="24"/>
        </w:rPr>
        <w:br w:type="page"/>
      </w:r>
    </w:p>
    <w:p w14:paraId="213C21FB" w14:textId="77777777" w:rsidR="00FC5768" w:rsidRDefault="00FC5768" w:rsidP="00392CEE">
      <w:pPr>
        <w:spacing w:after="0" w:line="240" w:lineRule="auto"/>
        <w:jc w:val="right"/>
        <w:rPr>
          <w:b/>
          <w:sz w:val="24"/>
        </w:rPr>
      </w:pPr>
      <w:r w:rsidRPr="00FC5768">
        <w:rPr>
          <w:b/>
          <w:sz w:val="24"/>
        </w:rPr>
        <w:t>Příloha č. 2</w:t>
      </w:r>
    </w:p>
    <w:p w14:paraId="1AF059CD" w14:textId="77777777" w:rsidR="00392CEE" w:rsidRDefault="00392CEE" w:rsidP="00392CEE">
      <w:pPr>
        <w:spacing w:after="0" w:line="240" w:lineRule="auto"/>
        <w:jc w:val="both"/>
        <w:rPr>
          <w:sz w:val="24"/>
          <w:szCs w:val="24"/>
        </w:rPr>
      </w:pPr>
    </w:p>
    <w:p w14:paraId="11B1C91E" w14:textId="77777777" w:rsidR="00447254" w:rsidRPr="008B11E8" w:rsidRDefault="00447254" w:rsidP="00392CEE">
      <w:pPr>
        <w:spacing w:after="0" w:line="240" w:lineRule="auto"/>
        <w:jc w:val="center"/>
        <w:rPr>
          <w:b/>
          <w:sz w:val="24"/>
          <w:szCs w:val="24"/>
        </w:rPr>
      </w:pPr>
      <w:r w:rsidRPr="008B11E8">
        <w:rPr>
          <w:b/>
          <w:sz w:val="24"/>
          <w:szCs w:val="24"/>
        </w:rPr>
        <w:t>Mezinárodní srovnání přístupu ke spolupráci s mezinárodními organizacemi</w:t>
      </w:r>
    </w:p>
    <w:p w14:paraId="6C7D4DDA" w14:textId="77777777" w:rsidR="00392CEE" w:rsidRDefault="00392CEE" w:rsidP="00392CEE">
      <w:pPr>
        <w:spacing w:after="0" w:line="240" w:lineRule="auto"/>
        <w:jc w:val="both"/>
        <w:rPr>
          <w:sz w:val="24"/>
          <w:szCs w:val="24"/>
        </w:rPr>
      </w:pPr>
    </w:p>
    <w:p w14:paraId="1E2088C0" w14:textId="5C4EF689" w:rsidR="00447254" w:rsidRDefault="00447254" w:rsidP="00392CEE">
      <w:pPr>
        <w:spacing w:after="0" w:line="240" w:lineRule="auto"/>
        <w:jc w:val="both"/>
        <w:rPr>
          <w:sz w:val="24"/>
          <w:szCs w:val="24"/>
        </w:rPr>
      </w:pPr>
      <w:r w:rsidRPr="00336E60">
        <w:rPr>
          <w:sz w:val="24"/>
          <w:szCs w:val="24"/>
        </w:rPr>
        <w:t>V následující tabulce jsou uvedeny informace o přístupu ke spolupráci s </w:t>
      </w:r>
      <w:r>
        <w:rPr>
          <w:sz w:val="24"/>
          <w:szCs w:val="24"/>
        </w:rPr>
        <w:t>MEO</w:t>
      </w:r>
      <w:r w:rsidRPr="00336E60">
        <w:rPr>
          <w:sz w:val="24"/>
          <w:szCs w:val="24"/>
        </w:rPr>
        <w:t xml:space="preserve">. NKÚ získal tyto informace v rámci mezinárodní spolupráce (projekt BIEP), kdy oslovil nejvyšší kontrolní instituce EUROSAI. </w:t>
      </w:r>
      <w:r>
        <w:rPr>
          <w:sz w:val="24"/>
          <w:szCs w:val="24"/>
        </w:rPr>
        <w:t>Cílem bylo získat informace o přístupu jednotlivých států ke členství v MEO a jiným formám spolupráce s nimi a porovnat tyto přístupy a případně nalézt dobrou praxi. NKÚ obdržel informace od nejvyšších kontrolních institucí</w:t>
      </w:r>
      <w:r w:rsidR="00DE2078">
        <w:rPr>
          <w:sz w:val="24"/>
          <w:szCs w:val="24"/>
        </w:rPr>
        <w:t xml:space="preserve"> /SAI/</w:t>
      </w:r>
      <w:r>
        <w:rPr>
          <w:sz w:val="24"/>
          <w:szCs w:val="24"/>
        </w:rPr>
        <w:t xml:space="preserve"> Albánie, Estonska, Finska, Francie, Litvy a</w:t>
      </w:r>
      <w:r w:rsidR="00DE2078">
        <w:rPr>
          <w:sz w:val="24"/>
          <w:szCs w:val="24"/>
        </w:rPr>
        <w:t> </w:t>
      </w:r>
      <w:r>
        <w:rPr>
          <w:sz w:val="24"/>
          <w:szCs w:val="24"/>
        </w:rPr>
        <w:t xml:space="preserve">Německa. Informace k vybraným oblastem jsou uvedeny v tabulce </w:t>
      </w:r>
      <w:r w:rsidR="00670E9B">
        <w:rPr>
          <w:sz w:val="24"/>
          <w:szCs w:val="24"/>
        </w:rPr>
        <w:t>č. </w:t>
      </w:r>
      <w:r>
        <w:rPr>
          <w:sz w:val="24"/>
          <w:szCs w:val="24"/>
        </w:rPr>
        <w:t>1</w:t>
      </w:r>
      <w:r w:rsidR="00670E9B">
        <w:rPr>
          <w:sz w:val="24"/>
          <w:szCs w:val="24"/>
        </w:rPr>
        <w:t>:</w:t>
      </w:r>
    </w:p>
    <w:p w14:paraId="612AFE99" w14:textId="77777777" w:rsidR="00392CEE" w:rsidRPr="00336E60" w:rsidRDefault="00392CEE" w:rsidP="00392CEE">
      <w:pPr>
        <w:spacing w:after="0" w:line="240" w:lineRule="auto"/>
        <w:jc w:val="both"/>
        <w:rPr>
          <w:sz w:val="24"/>
          <w:szCs w:val="24"/>
        </w:rPr>
      </w:pPr>
    </w:p>
    <w:p w14:paraId="49760D0C" w14:textId="77777777" w:rsidR="00447254" w:rsidRPr="00392CEE" w:rsidRDefault="00447254" w:rsidP="00447254">
      <w:pPr>
        <w:pStyle w:val="Titulek"/>
        <w:keepNext/>
        <w:spacing w:after="40"/>
        <w:ind w:left="1276" w:hanging="1276"/>
        <w:rPr>
          <w:b/>
          <w:i w:val="0"/>
          <w:color w:val="auto"/>
          <w:sz w:val="24"/>
          <w:szCs w:val="24"/>
          <w:lang w:val="cs-CZ"/>
        </w:rPr>
      </w:pPr>
      <w:r w:rsidRPr="00392CEE">
        <w:rPr>
          <w:b/>
          <w:i w:val="0"/>
          <w:color w:val="auto"/>
          <w:sz w:val="24"/>
          <w:szCs w:val="24"/>
          <w:lang w:val="cs-CZ"/>
        </w:rPr>
        <w:t>Tabulka č. 1: Informace k vybraným oblastem spolupráce s MEO získané od nejvyšších kontrolních institucí EUROSAI</w:t>
      </w:r>
    </w:p>
    <w:tbl>
      <w:tblPr>
        <w:tblStyle w:val="Mkatabulky"/>
        <w:tblW w:w="0" w:type="auto"/>
        <w:jc w:val="center"/>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139"/>
        <w:gridCol w:w="1212"/>
        <w:gridCol w:w="1344"/>
        <w:gridCol w:w="1176"/>
        <w:gridCol w:w="1254"/>
        <w:gridCol w:w="1176"/>
        <w:gridCol w:w="1176"/>
        <w:gridCol w:w="1155"/>
      </w:tblGrid>
      <w:tr w:rsidR="00447254" w:rsidRPr="00447254" w14:paraId="2560543D" w14:textId="77777777" w:rsidTr="007B0D66">
        <w:trPr>
          <w:trHeight w:val="227"/>
          <w:jc w:val="center"/>
        </w:trPr>
        <w:tc>
          <w:tcPr>
            <w:tcW w:w="2082" w:type="dxa"/>
            <w:shd w:val="clear" w:color="auto" w:fill="auto"/>
            <w:vAlign w:val="center"/>
          </w:tcPr>
          <w:p w14:paraId="50DF5A8D" w14:textId="77777777" w:rsidR="00447254" w:rsidRPr="00447254" w:rsidRDefault="00447254" w:rsidP="00447254">
            <w:pPr>
              <w:ind w:left="-57" w:right="-57"/>
              <w:jc w:val="center"/>
              <w:rPr>
                <w:rFonts w:ascii="Calibri" w:hAnsi="Calibri" w:cs="Calibri"/>
                <w:b/>
              </w:rPr>
            </w:pPr>
            <w:r w:rsidRPr="00447254">
              <w:rPr>
                <w:rFonts w:ascii="Calibri" w:hAnsi="Calibri" w:cs="Calibri"/>
                <w:b/>
              </w:rPr>
              <w:t>Posuzovaná oblast</w:t>
            </w:r>
          </w:p>
        </w:tc>
        <w:tc>
          <w:tcPr>
            <w:tcW w:w="1689" w:type="dxa"/>
            <w:shd w:val="clear" w:color="auto" w:fill="auto"/>
            <w:vAlign w:val="center"/>
          </w:tcPr>
          <w:p w14:paraId="23A1C138" w14:textId="77777777" w:rsidR="00447254" w:rsidRPr="00447254" w:rsidRDefault="00447254" w:rsidP="00447254">
            <w:pPr>
              <w:jc w:val="center"/>
              <w:rPr>
                <w:rFonts w:ascii="Calibri" w:hAnsi="Calibri" w:cs="Calibri"/>
                <w:b/>
                <w:highlight w:val="yellow"/>
              </w:rPr>
            </w:pPr>
            <w:r w:rsidRPr="00447254">
              <w:rPr>
                <w:rFonts w:ascii="Calibri" w:hAnsi="Calibri" w:cs="Calibri"/>
                <w:b/>
              </w:rPr>
              <w:t>ČR</w:t>
            </w:r>
          </w:p>
        </w:tc>
        <w:tc>
          <w:tcPr>
            <w:tcW w:w="1721" w:type="dxa"/>
            <w:vAlign w:val="center"/>
          </w:tcPr>
          <w:p w14:paraId="0F7E4DB3" w14:textId="77777777" w:rsidR="00447254" w:rsidRPr="00447254" w:rsidRDefault="00447254" w:rsidP="00447254">
            <w:pPr>
              <w:jc w:val="center"/>
              <w:rPr>
                <w:rFonts w:ascii="Calibri" w:hAnsi="Calibri" w:cs="Calibri"/>
                <w:b/>
              </w:rPr>
            </w:pPr>
            <w:r w:rsidRPr="00447254">
              <w:rPr>
                <w:rFonts w:ascii="Calibri" w:hAnsi="Calibri" w:cs="Calibri"/>
                <w:b/>
              </w:rPr>
              <w:t>Albánie</w:t>
            </w:r>
          </w:p>
        </w:tc>
        <w:tc>
          <w:tcPr>
            <w:tcW w:w="1689" w:type="dxa"/>
            <w:vAlign w:val="center"/>
          </w:tcPr>
          <w:p w14:paraId="7B778305" w14:textId="77777777" w:rsidR="00447254" w:rsidRPr="00447254" w:rsidRDefault="00447254" w:rsidP="00447254">
            <w:pPr>
              <w:jc w:val="center"/>
              <w:rPr>
                <w:rFonts w:ascii="Calibri" w:hAnsi="Calibri" w:cs="Calibri"/>
                <w:b/>
              </w:rPr>
            </w:pPr>
            <w:r w:rsidRPr="00447254">
              <w:rPr>
                <w:rFonts w:ascii="Calibri" w:hAnsi="Calibri" w:cs="Calibri"/>
                <w:b/>
              </w:rPr>
              <w:t>Estonsko</w:t>
            </w:r>
          </w:p>
        </w:tc>
        <w:tc>
          <w:tcPr>
            <w:tcW w:w="1693" w:type="dxa"/>
            <w:vAlign w:val="center"/>
          </w:tcPr>
          <w:p w14:paraId="32EA6375" w14:textId="77777777" w:rsidR="00447254" w:rsidRPr="00447254" w:rsidRDefault="00447254" w:rsidP="00447254">
            <w:pPr>
              <w:jc w:val="center"/>
              <w:rPr>
                <w:rFonts w:ascii="Calibri" w:hAnsi="Calibri" w:cs="Calibri"/>
                <w:b/>
              </w:rPr>
            </w:pPr>
            <w:r w:rsidRPr="00447254">
              <w:rPr>
                <w:rFonts w:ascii="Calibri" w:hAnsi="Calibri" w:cs="Calibri"/>
                <w:b/>
              </w:rPr>
              <w:t>Finsko</w:t>
            </w:r>
          </w:p>
        </w:tc>
        <w:tc>
          <w:tcPr>
            <w:tcW w:w="1717" w:type="dxa"/>
            <w:vAlign w:val="center"/>
          </w:tcPr>
          <w:p w14:paraId="64F65718" w14:textId="77777777" w:rsidR="00447254" w:rsidRPr="00447254" w:rsidRDefault="00447254" w:rsidP="00447254">
            <w:pPr>
              <w:jc w:val="center"/>
              <w:rPr>
                <w:rFonts w:ascii="Calibri" w:hAnsi="Calibri" w:cs="Calibri"/>
                <w:b/>
              </w:rPr>
            </w:pPr>
            <w:r w:rsidRPr="00447254">
              <w:rPr>
                <w:rFonts w:ascii="Calibri" w:hAnsi="Calibri" w:cs="Calibri"/>
                <w:b/>
              </w:rPr>
              <w:t>Francie</w:t>
            </w:r>
          </w:p>
        </w:tc>
        <w:tc>
          <w:tcPr>
            <w:tcW w:w="1714" w:type="dxa"/>
            <w:vAlign w:val="center"/>
          </w:tcPr>
          <w:p w14:paraId="59781A85" w14:textId="77777777" w:rsidR="00447254" w:rsidRPr="00447254" w:rsidRDefault="00447254" w:rsidP="00447254">
            <w:pPr>
              <w:jc w:val="center"/>
              <w:rPr>
                <w:rFonts w:ascii="Calibri" w:hAnsi="Calibri" w:cs="Calibri"/>
                <w:b/>
              </w:rPr>
            </w:pPr>
            <w:r w:rsidRPr="00447254">
              <w:rPr>
                <w:rFonts w:ascii="Calibri" w:hAnsi="Calibri" w:cs="Calibri"/>
                <w:b/>
              </w:rPr>
              <w:t>Litva</w:t>
            </w:r>
          </w:p>
        </w:tc>
        <w:tc>
          <w:tcPr>
            <w:tcW w:w="1689" w:type="dxa"/>
            <w:vAlign w:val="center"/>
          </w:tcPr>
          <w:p w14:paraId="6F9E423F" w14:textId="77777777" w:rsidR="00447254" w:rsidRPr="00447254" w:rsidRDefault="00447254" w:rsidP="00447254">
            <w:pPr>
              <w:jc w:val="center"/>
              <w:rPr>
                <w:rFonts w:ascii="Calibri" w:hAnsi="Calibri" w:cs="Calibri"/>
                <w:b/>
              </w:rPr>
            </w:pPr>
            <w:r w:rsidRPr="00447254">
              <w:rPr>
                <w:rFonts w:ascii="Calibri" w:hAnsi="Calibri" w:cs="Calibri"/>
                <w:b/>
              </w:rPr>
              <w:t>Německo</w:t>
            </w:r>
          </w:p>
        </w:tc>
      </w:tr>
      <w:tr w:rsidR="00447254" w:rsidRPr="00447254" w14:paraId="2609F5F6" w14:textId="77777777" w:rsidTr="00392CEE">
        <w:trPr>
          <w:trHeight w:val="227"/>
          <w:jc w:val="center"/>
        </w:trPr>
        <w:tc>
          <w:tcPr>
            <w:tcW w:w="2082" w:type="dxa"/>
            <w:vAlign w:val="center"/>
          </w:tcPr>
          <w:p w14:paraId="7B8C6A9E" w14:textId="77777777" w:rsidR="00447254" w:rsidRPr="00447254" w:rsidRDefault="00447254" w:rsidP="00392CEE">
            <w:pPr>
              <w:ind w:left="-57" w:right="-57"/>
              <w:rPr>
                <w:rFonts w:ascii="Calibri" w:hAnsi="Calibri" w:cs="Calibri"/>
              </w:rPr>
            </w:pPr>
            <w:r w:rsidRPr="00447254">
              <w:rPr>
                <w:rFonts w:ascii="Calibri" w:hAnsi="Calibri" w:cs="Calibri"/>
              </w:rPr>
              <w:t>Nastavení cílů zahraniční politiky</w:t>
            </w:r>
          </w:p>
        </w:tc>
        <w:tc>
          <w:tcPr>
            <w:tcW w:w="1689" w:type="dxa"/>
            <w:vAlign w:val="center"/>
          </w:tcPr>
          <w:p w14:paraId="54E33405" w14:textId="77777777" w:rsidR="00447254" w:rsidRPr="00447254" w:rsidRDefault="00447254" w:rsidP="00447254">
            <w:pPr>
              <w:ind w:left="-57" w:right="-57"/>
              <w:jc w:val="center"/>
              <w:rPr>
                <w:rFonts w:ascii="Calibri" w:hAnsi="Calibri" w:cs="Calibri"/>
              </w:rPr>
            </w:pPr>
            <w:r w:rsidRPr="00447254">
              <w:rPr>
                <w:rFonts w:ascii="Calibri" w:hAnsi="Calibri" w:cs="Calibri"/>
              </w:rPr>
              <w:t>Ano</w:t>
            </w:r>
          </w:p>
        </w:tc>
        <w:tc>
          <w:tcPr>
            <w:tcW w:w="1721" w:type="dxa"/>
            <w:vAlign w:val="center"/>
          </w:tcPr>
          <w:p w14:paraId="2B4F9123" w14:textId="77777777" w:rsidR="00447254" w:rsidRPr="00447254" w:rsidRDefault="00447254" w:rsidP="00447254">
            <w:pPr>
              <w:ind w:left="-57" w:right="-57"/>
              <w:jc w:val="center"/>
              <w:rPr>
                <w:rFonts w:ascii="Calibri" w:hAnsi="Calibri" w:cs="Calibri"/>
              </w:rPr>
            </w:pPr>
            <w:r w:rsidRPr="00447254">
              <w:rPr>
                <w:rFonts w:ascii="Calibri" w:hAnsi="Calibri" w:cs="Calibri"/>
              </w:rPr>
              <w:t>Ano</w:t>
            </w:r>
          </w:p>
        </w:tc>
        <w:tc>
          <w:tcPr>
            <w:tcW w:w="1689" w:type="dxa"/>
            <w:vAlign w:val="center"/>
          </w:tcPr>
          <w:p w14:paraId="267FC615" w14:textId="77777777" w:rsidR="00447254" w:rsidRPr="00447254" w:rsidRDefault="00447254" w:rsidP="00447254">
            <w:pPr>
              <w:ind w:left="-57" w:right="-57"/>
              <w:jc w:val="center"/>
              <w:rPr>
                <w:rFonts w:ascii="Calibri" w:hAnsi="Calibri" w:cs="Calibri"/>
              </w:rPr>
            </w:pPr>
            <w:r w:rsidRPr="00447254">
              <w:rPr>
                <w:rFonts w:ascii="Calibri" w:hAnsi="Calibri" w:cs="Calibri"/>
              </w:rPr>
              <w:t>Ano</w:t>
            </w:r>
          </w:p>
        </w:tc>
        <w:tc>
          <w:tcPr>
            <w:tcW w:w="1693" w:type="dxa"/>
            <w:vAlign w:val="center"/>
          </w:tcPr>
          <w:p w14:paraId="0EDEC95B" w14:textId="77777777" w:rsidR="00447254" w:rsidRPr="00447254" w:rsidRDefault="00447254" w:rsidP="00447254">
            <w:pPr>
              <w:ind w:left="-57" w:right="-57"/>
              <w:jc w:val="center"/>
              <w:rPr>
                <w:rFonts w:ascii="Calibri" w:hAnsi="Calibri" w:cs="Calibri"/>
              </w:rPr>
            </w:pPr>
            <w:r w:rsidRPr="00447254">
              <w:rPr>
                <w:rFonts w:ascii="Calibri" w:hAnsi="Calibri" w:cs="Calibri"/>
              </w:rPr>
              <w:t>Ano</w:t>
            </w:r>
          </w:p>
        </w:tc>
        <w:tc>
          <w:tcPr>
            <w:tcW w:w="1717" w:type="dxa"/>
            <w:vAlign w:val="center"/>
          </w:tcPr>
          <w:p w14:paraId="13DF649B" w14:textId="77777777" w:rsidR="00447254" w:rsidRPr="00447254" w:rsidRDefault="00447254" w:rsidP="00447254">
            <w:pPr>
              <w:ind w:left="-57" w:right="-57"/>
              <w:jc w:val="center"/>
              <w:rPr>
                <w:rFonts w:ascii="Calibri" w:hAnsi="Calibri" w:cs="Calibri"/>
              </w:rPr>
            </w:pPr>
            <w:r w:rsidRPr="00447254">
              <w:rPr>
                <w:rFonts w:ascii="Calibri" w:hAnsi="Calibri" w:cs="Calibri"/>
              </w:rPr>
              <w:t>Ano</w:t>
            </w:r>
          </w:p>
        </w:tc>
        <w:tc>
          <w:tcPr>
            <w:tcW w:w="1714" w:type="dxa"/>
            <w:vAlign w:val="center"/>
          </w:tcPr>
          <w:p w14:paraId="7C2338CA" w14:textId="77777777" w:rsidR="00447254" w:rsidRPr="00447254" w:rsidRDefault="00447254" w:rsidP="00447254">
            <w:pPr>
              <w:ind w:left="-57" w:right="-57"/>
              <w:jc w:val="center"/>
              <w:rPr>
                <w:rFonts w:ascii="Calibri" w:hAnsi="Calibri" w:cs="Calibri"/>
              </w:rPr>
            </w:pPr>
            <w:r w:rsidRPr="00447254">
              <w:rPr>
                <w:rFonts w:ascii="Calibri" w:hAnsi="Calibri" w:cs="Calibri"/>
              </w:rPr>
              <w:t>Ano</w:t>
            </w:r>
          </w:p>
        </w:tc>
        <w:tc>
          <w:tcPr>
            <w:tcW w:w="1689" w:type="dxa"/>
            <w:vAlign w:val="center"/>
          </w:tcPr>
          <w:p w14:paraId="6E469D35" w14:textId="77777777" w:rsidR="00447254" w:rsidRPr="00447254" w:rsidRDefault="00447254" w:rsidP="00447254">
            <w:pPr>
              <w:ind w:left="-57" w:right="-57"/>
              <w:jc w:val="center"/>
              <w:rPr>
                <w:rFonts w:ascii="Calibri" w:hAnsi="Calibri" w:cs="Calibri"/>
              </w:rPr>
            </w:pPr>
            <w:r w:rsidRPr="00447254">
              <w:rPr>
                <w:rFonts w:ascii="Calibri" w:hAnsi="Calibri" w:cs="Calibri"/>
              </w:rPr>
              <w:t>Ano</w:t>
            </w:r>
          </w:p>
        </w:tc>
      </w:tr>
      <w:tr w:rsidR="00447254" w:rsidRPr="00447254" w14:paraId="06531115" w14:textId="77777777" w:rsidTr="00392CEE">
        <w:trPr>
          <w:trHeight w:val="227"/>
          <w:jc w:val="center"/>
        </w:trPr>
        <w:tc>
          <w:tcPr>
            <w:tcW w:w="2082" w:type="dxa"/>
            <w:vAlign w:val="center"/>
          </w:tcPr>
          <w:p w14:paraId="672DB402" w14:textId="77777777" w:rsidR="00447254" w:rsidRPr="00447254" w:rsidRDefault="00447254" w:rsidP="00392CEE">
            <w:pPr>
              <w:ind w:left="-57" w:right="-57"/>
              <w:rPr>
                <w:rFonts w:ascii="Calibri" w:hAnsi="Calibri" w:cs="Calibri"/>
              </w:rPr>
            </w:pPr>
            <w:r w:rsidRPr="00447254">
              <w:rPr>
                <w:rFonts w:ascii="Calibri" w:hAnsi="Calibri" w:cs="Calibri"/>
              </w:rPr>
              <w:t>Zajištění koordinace spolupráci s MEO</w:t>
            </w:r>
          </w:p>
        </w:tc>
        <w:tc>
          <w:tcPr>
            <w:tcW w:w="1689" w:type="dxa"/>
            <w:vAlign w:val="center"/>
          </w:tcPr>
          <w:p w14:paraId="5F5FA22B" w14:textId="77777777" w:rsidR="00447254" w:rsidRPr="00447254" w:rsidRDefault="00447254" w:rsidP="00447254">
            <w:pPr>
              <w:ind w:left="-57" w:right="-57"/>
              <w:jc w:val="center"/>
              <w:rPr>
                <w:rFonts w:ascii="Calibri" w:hAnsi="Calibri" w:cs="Calibri"/>
              </w:rPr>
            </w:pPr>
            <w:r w:rsidRPr="00447254">
              <w:rPr>
                <w:rFonts w:ascii="Calibri" w:hAnsi="Calibri" w:cs="Calibri"/>
              </w:rPr>
              <w:t>Ministerstvo zahraničních věcí</w:t>
            </w:r>
          </w:p>
        </w:tc>
        <w:tc>
          <w:tcPr>
            <w:tcW w:w="1721" w:type="dxa"/>
            <w:vAlign w:val="center"/>
          </w:tcPr>
          <w:p w14:paraId="72DD259B" w14:textId="77777777" w:rsidR="00447254" w:rsidRPr="00447254" w:rsidRDefault="00447254" w:rsidP="00447254">
            <w:pPr>
              <w:ind w:left="-57" w:right="-57"/>
              <w:jc w:val="center"/>
              <w:rPr>
                <w:rFonts w:ascii="Calibri" w:hAnsi="Calibri" w:cs="Calibri"/>
              </w:rPr>
            </w:pPr>
            <w:r w:rsidRPr="00447254">
              <w:rPr>
                <w:rFonts w:ascii="Calibri" w:hAnsi="Calibri" w:cs="Calibri"/>
              </w:rPr>
              <w:t>Ministerstvo financí a</w:t>
            </w:r>
            <w:r>
              <w:rPr>
                <w:rFonts w:ascii="Calibri" w:hAnsi="Calibri" w:cs="Calibri"/>
              </w:rPr>
              <w:t> </w:t>
            </w:r>
            <w:r w:rsidRPr="00447254">
              <w:rPr>
                <w:rFonts w:ascii="Calibri" w:hAnsi="Calibri" w:cs="Calibri"/>
              </w:rPr>
              <w:t>hospodářství</w:t>
            </w:r>
          </w:p>
        </w:tc>
        <w:tc>
          <w:tcPr>
            <w:tcW w:w="1689" w:type="dxa"/>
            <w:vAlign w:val="center"/>
          </w:tcPr>
          <w:p w14:paraId="28F8B148" w14:textId="77777777" w:rsidR="00447254" w:rsidRPr="00447254" w:rsidRDefault="00447254" w:rsidP="00447254">
            <w:pPr>
              <w:ind w:left="-57" w:right="-57"/>
              <w:jc w:val="center"/>
              <w:rPr>
                <w:rFonts w:ascii="Calibri" w:hAnsi="Calibri" w:cs="Calibri"/>
              </w:rPr>
            </w:pPr>
            <w:r w:rsidRPr="00447254">
              <w:rPr>
                <w:rFonts w:ascii="Calibri" w:hAnsi="Calibri" w:cs="Calibri"/>
              </w:rPr>
              <w:t>Ministerstvo zahraničních věcí, ostatní ministerstva a kancléř</w:t>
            </w:r>
          </w:p>
        </w:tc>
        <w:tc>
          <w:tcPr>
            <w:tcW w:w="1693" w:type="dxa"/>
            <w:vAlign w:val="center"/>
          </w:tcPr>
          <w:p w14:paraId="67B5E84D" w14:textId="77777777" w:rsidR="00447254" w:rsidRPr="00447254" w:rsidRDefault="00447254" w:rsidP="00447254">
            <w:pPr>
              <w:ind w:left="-57" w:right="-57"/>
              <w:jc w:val="center"/>
              <w:rPr>
                <w:rFonts w:ascii="Calibri" w:hAnsi="Calibri" w:cs="Calibri"/>
              </w:rPr>
            </w:pPr>
            <w:r w:rsidRPr="00447254">
              <w:rPr>
                <w:rFonts w:ascii="Calibri" w:hAnsi="Calibri" w:cs="Calibri"/>
              </w:rPr>
              <w:t>Věcně příslušná ministerstva</w:t>
            </w:r>
          </w:p>
        </w:tc>
        <w:tc>
          <w:tcPr>
            <w:tcW w:w="1717" w:type="dxa"/>
            <w:vAlign w:val="center"/>
          </w:tcPr>
          <w:p w14:paraId="489DC74F" w14:textId="77777777" w:rsidR="00447254" w:rsidRPr="00447254" w:rsidRDefault="00447254" w:rsidP="00447254">
            <w:pPr>
              <w:ind w:left="-57" w:right="-57"/>
              <w:jc w:val="center"/>
              <w:rPr>
                <w:rFonts w:ascii="Calibri" w:hAnsi="Calibri" w:cs="Calibri"/>
              </w:rPr>
            </w:pPr>
            <w:r w:rsidRPr="00447254">
              <w:rPr>
                <w:rFonts w:ascii="Calibri" w:hAnsi="Calibri" w:cs="Calibri"/>
              </w:rPr>
              <w:t>Ministerstvo pro Evropu a</w:t>
            </w:r>
            <w:r>
              <w:rPr>
                <w:rFonts w:ascii="Calibri" w:hAnsi="Calibri" w:cs="Calibri"/>
              </w:rPr>
              <w:t> </w:t>
            </w:r>
            <w:r w:rsidRPr="00447254">
              <w:rPr>
                <w:rFonts w:ascii="Calibri" w:hAnsi="Calibri" w:cs="Calibri"/>
              </w:rPr>
              <w:t>zahraniční věci</w:t>
            </w:r>
          </w:p>
        </w:tc>
        <w:tc>
          <w:tcPr>
            <w:tcW w:w="1714" w:type="dxa"/>
            <w:vAlign w:val="center"/>
          </w:tcPr>
          <w:p w14:paraId="67F40CC5" w14:textId="77777777" w:rsidR="00447254" w:rsidRPr="00447254" w:rsidRDefault="00447254" w:rsidP="00447254">
            <w:pPr>
              <w:ind w:left="-57" w:right="-57"/>
              <w:jc w:val="center"/>
              <w:rPr>
                <w:rFonts w:ascii="Calibri" w:hAnsi="Calibri" w:cs="Calibri"/>
              </w:rPr>
            </w:pPr>
            <w:r w:rsidRPr="00447254">
              <w:rPr>
                <w:rFonts w:ascii="Calibri" w:hAnsi="Calibri" w:cs="Calibri"/>
              </w:rPr>
              <w:t>Ministerstvo zahraničních věcí</w:t>
            </w:r>
          </w:p>
        </w:tc>
        <w:tc>
          <w:tcPr>
            <w:tcW w:w="1689" w:type="dxa"/>
            <w:vAlign w:val="center"/>
          </w:tcPr>
          <w:p w14:paraId="189AD110" w14:textId="77777777" w:rsidR="00447254" w:rsidRPr="00447254" w:rsidRDefault="00447254" w:rsidP="00447254">
            <w:pPr>
              <w:ind w:left="-57" w:right="-57"/>
              <w:jc w:val="center"/>
              <w:rPr>
                <w:rFonts w:ascii="Calibri" w:hAnsi="Calibri" w:cs="Calibri"/>
              </w:rPr>
            </w:pPr>
            <w:r w:rsidRPr="00447254">
              <w:rPr>
                <w:rFonts w:ascii="Calibri" w:hAnsi="Calibri" w:cs="Calibri"/>
              </w:rPr>
              <w:t>Federální úřad pro zahraniční věci</w:t>
            </w:r>
          </w:p>
        </w:tc>
      </w:tr>
      <w:tr w:rsidR="00447254" w:rsidRPr="00447254" w14:paraId="20FBC529" w14:textId="77777777" w:rsidTr="00392CEE">
        <w:trPr>
          <w:trHeight w:val="227"/>
          <w:jc w:val="center"/>
        </w:trPr>
        <w:tc>
          <w:tcPr>
            <w:tcW w:w="2082" w:type="dxa"/>
            <w:vAlign w:val="center"/>
          </w:tcPr>
          <w:p w14:paraId="3BC303EF" w14:textId="77777777" w:rsidR="00447254" w:rsidRPr="00447254" w:rsidRDefault="00447254" w:rsidP="00392CEE">
            <w:pPr>
              <w:ind w:left="-57" w:right="-57"/>
              <w:rPr>
                <w:rFonts w:ascii="Calibri" w:hAnsi="Calibri" w:cs="Calibri"/>
              </w:rPr>
            </w:pPr>
            <w:r w:rsidRPr="00447254">
              <w:rPr>
                <w:rFonts w:ascii="Calibri" w:hAnsi="Calibri" w:cs="Calibri"/>
              </w:rPr>
              <w:t>Rozhodnutí o vzniku spolupráce s MEO</w:t>
            </w:r>
          </w:p>
        </w:tc>
        <w:tc>
          <w:tcPr>
            <w:tcW w:w="1689" w:type="dxa"/>
            <w:shd w:val="clear" w:color="auto" w:fill="auto"/>
            <w:vAlign w:val="center"/>
          </w:tcPr>
          <w:p w14:paraId="437AAF3B" w14:textId="77777777" w:rsidR="00447254" w:rsidRPr="00447254" w:rsidRDefault="00447254" w:rsidP="00447254">
            <w:pPr>
              <w:ind w:left="-57" w:right="-57"/>
              <w:jc w:val="center"/>
              <w:rPr>
                <w:rFonts w:ascii="Calibri" w:hAnsi="Calibri" w:cs="Calibri"/>
              </w:rPr>
            </w:pPr>
            <w:r w:rsidRPr="00447254">
              <w:rPr>
                <w:rFonts w:ascii="Calibri" w:hAnsi="Calibri" w:cs="Calibri"/>
              </w:rPr>
              <w:t>Parlament (v</w:t>
            </w:r>
            <w:r>
              <w:rPr>
                <w:rFonts w:ascii="Calibri" w:hAnsi="Calibri" w:cs="Calibri"/>
              </w:rPr>
              <w:t> </w:t>
            </w:r>
            <w:r w:rsidRPr="00447254">
              <w:rPr>
                <w:rFonts w:ascii="Calibri" w:hAnsi="Calibri" w:cs="Calibri"/>
              </w:rPr>
              <w:t>případě členství ČR)</w:t>
            </w:r>
          </w:p>
        </w:tc>
        <w:tc>
          <w:tcPr>
            <w:tcW w:w="1721" w:type="dxa"/>
            <w:vAlign w:val="center"/>
          </w:tcPr>
          <w:p w14:paraId="54A1483E" w14:textId="77777777" w:rsidR="00447254" w:rsidRPr="00447254" w:rsidRDefault="00447254" w:rsidP="00447254">
            <w:pPr>
              <w:ind w:left="-57" w:right="-57"/>
              <w:jc w:val="center"/>
              <w:rPr>
                <w:rFonts w:ascii="Calibri" w:hAnsi="Calibri" w:cs="Calibri"/>
              </w:rPr>
            </w:pPr>
            <w:r w:rsidRPr="00447254">
              <w:rPr>
                <w:rFonts w:ascii="Calibri" w:hAnsi="Calibri" w:cs="Calibri"/>
              </w:rPr>
              <w:t>Rada ministrů</w:t>
            </w:r>
          </w:p>
        </w:tc>
        <w:tc>
          <w:tcPr>
            <w:tcW w:w="1689" w:type="dxa"/>
            <w:vAlign w:val="center"/>
          </w:tcPr>
          <w:p w14:paraId="4A5D5C3F" w14:textId="7AF8D4E4" w:rsidR="00447254" w:rsidRPr="00447254" w:rsidRDefault="00447254" w:rsidP="00DE2078">
            <w:pPr>
              <w:ind w:left="-57" w:right="-57"/>
              <w:jc w:val="center"/>
              <w:rPr>
                <w:rFonts w:ascii="Calibri" w:hAnsi="Calibri" w:cs="Calibri"/>
              </w:rPr>
            </w:pPr>
            <w:r w:rsidRPr="00447254">
              <w:rPr>
                <w:rFonts w:ascii="Calibri" w:hAnsi="Calibri" w:cs="Calibri"/>
              </w:rPr>
              <w:t>Vláda (</w:t>
            </w:r>
            <w:r w:rsidR="00DE2078">
              <w:rPr>
                <w:rFonts w:ascii="Calibri" w:hAnsi="Calibri" w:cs="Calibri"/>
              </w:rPr>
              <w:t>p</w:t>
            </w:r>
            <w:r w:rsidRPr="00447254">
              <w:rPr>
                <w:rFonts w:ascii="Calibri" w:hAnsi="Calibri" w:cs="Calibri"/>
              </w:rPr>
              <w:t>arlament)</w:t>
            </w:r>
          </w:p>
        </w:tc>
        <w:tc>
          <w:tcPr>
            <w:tcW w:w="1693" w:type="dxa"/>
            <w:vAlign w:val="center"/>
          </w:tcPr>
          <w:p w14:paraId="7AA8C209" w14:textId="0FE09957" w:rsidR="00447254" w:rsidRPr="00447254" w:rsidRDefault="004B4E31" w:rsidP="00447254">
            <w:pPr>
              <w:ind w:left="-57" w:right="-57"/>
              <w:jc w:val="center"/>
              <w:rPr>
                <w:rFonts w:ascii="Calibri" w:hAnsi="Calibri" w:cs="Calibri"/>
              </w:rPr>
            </w:pPr>
            <w:r w:rsidRPr="004B4E31">
              <w:rPr>
                <w:rFonts w:ascii="Calibri" w:hAnsi="Calibri" w:cs="Calibri"/>
              </w:rPr>
              <w:t xml:space="preserve">Parlament, </w:t>
            </w:r>
            <w:r w:rsidR="007B2EA9">
              <w:rPr>
                <w:rFonts w:ascii="Calibri" w:hAnsi="Calibri" w:cs="Calibri"/>
              </w:rPr>
              <w:br/>
            </w:r>
            <w:r w:rsidRPr="004B4E31">
              <w:rPr>
                <w:rFonts w:ascii="Calibri" w:hAnsi="Calibri" w:cs="Calibri"/>
              </w:rPr>
              <w:t xml:space="preserve">v některých případech prezident, vládní plenární zasedání, omezeně také jednotlivá ministerstva (v případě menších </w:t>
            </w:r>
            <w:proofErr w:type="spellStart"/>
            <w:r w:rsidRPr="004B4E31">
              <w:rPr>
                <w:rFonts w:ascii="Calibri" w:hAnsi="Calibri" w:cs="Calibri"/>
              </w:rPr>
              <w:t>MeO</w:t>
            </w:r>
            <w:proofErr w:type="spellEnd"/>
            <w:r w:rsidRPr="004B4E31">
              <w:rPr>
                <w:rFonts w:ascii="Calibri" w:hAnsi="Calibri" w:cs="Calibri"/>
              </w:rPr>
              <w:t xml:space="preserve"> nebo u </w:t>
            </w:r>
            <w:proofErr w:type="spellStart"/>
            <w:r w:rsidRPr="004B4E31">
              <w:rPr>
                <w:rFonts w:ascii="Calibri" w:hAnsi="Calibri" w:cs="Calibri"/>
              </w:rPr>
              <w:t>MeO</w:t>
            </w:r>
            <w:proofErr w:type="spellEnd"/>
            <w:r w:rsidRPr="004B4E31">
              <w:rPr>
                <w:rFonts w:ascii="Calibri" w:hAnsi="Calibri" w:cs="Calibri"/>
              </w:rPr>
              <w:t xml:space="preserve"> </w:t>
            </w:r>
            <w:r w:rsidR="007B2EA9">
              <w:rPr>
                <w:rFonts w:ascii="Calibri" w:hAnsi="Calibri" w:cs="Calibri"/>
              </w:rPr>
              <w:br/>
            </w:r>
            <w:r w:rsidRPr="004B4E31">
              <w:rPr>
                <w:rFonts w:ascii="Calibri" w:hAnsi="Calibri" w:cs="Calibri"/>
              </w:rPr>
              <w:t>s poměrně omezenými finančními závazky)</w:t>
            </w:r>
          </w:p>
        </w:tc>
        <w:tc>
          <w:tcPr>
            <w:tcW w:w="1717" w:type="dxa"/>
            <w:vAlign w:val="center"/>
          </w:tcPr>
          <w:p w14:paraId="3728DBB7" w14:textId="77777777" w:rsidR="00447254" w:rsidRPr="00447254" w:rsidRDefault="00447254" w:rsidP="00447254">
            <w:pPr>
              <w:ind w:left="-57" w:right="-57"/>
              <w:jc w:val="center"/>
              <w:rPr>
                <w:rFonts w:ascii="Calibri" w:hAnsi="Calibri" w:cs="Calibri"/>
              </w:rPr>
            </w:pPr>
            <w:r w:rsidRPr="00447254">
              <w:rPr>
                <w:rFonts w:ascii="Calibri" w:hAnsi="Calibri" w:cs="Calibri"/>
              </w:rPr>
              <w:t>Vláda</w:t>
            </w:r>
          </w:p>
        </w:tc>
        <w:tc>
          <w:tcPr>
            <w:tcW w:w="1714" w:type="dxa"/>
            <w:vAlign w:val="center"/>
          </w:tcPr>
          <w:p w14:paraId="3581CC7B" w14:textId="77777777" w:rsidR="00447254" w:rsidRPr="00447254" w:rsidRDefault="00447254" w:rsidP="00447254">
            <w:pPr>
              <w:ind w:left="-57" w:right="-57"/>
              <w:jc w:val="center"/>
              <w:rPr>
                <w:rFonts w:ascii="Calibri" w:hAnsi="Calibri" w:cs="Calibri"/>
              </w:rPr>
            </w:pPr>
            <w:r w:rsidRPr="00447254">
              <w:rPr>
                <w:rFonts w:ascii="Calibri" w:hAnsi="Calibri" w:cs="Calibri"/>
              </w:rPr>
              <w:t>Parlament</w:t>
            </w:r>
          </w:p>
        </w:tc>
        <w:tc>
          <w:tcPr>
            <w:tcW w:w="1689" w:type="dxa"/>
            <w:vAlign w:val="center"/>
          </w:tcPr>
          <w:p w14:paraId="4F8E4BB9" w14:textId="77777777" w:rsidR="00447254" w:rsidRPr="00447254" w:rsidRDefault="00447254" w:rsidP="00447254">
            <w:pPr>
              <w:ind w:left="-57" w:right="-57"/>
              <w:jc w:val="center"/>
              <w:rPr>
                <w:rFonts w:ascii="Calibri" w:hAnsi="Calibri" w:cs="Calibri"/>
              </w:rPr>
            </w:pPr>
            <w:r w:rsidRPr="00447254">
              <w:rPr>
                <w:rFonts w:ascii="Calibri" w:hAnsi="Calibri" w:cs="Calibri"/>
              </w:rPr>
              <w:t>Jednotlivá federální ministerstva</w:t>
            </w:r>
          </w:p>
        </w:tc>
      </w:tr>
      <w:tr w:rsidR="00447254" w:rsidRPr="00447254" w14:paraId="045A9906" w14:textId="77777777" w:rsidTr="00392CEE">
        <w:trPr>
          <w:trHeight w:val="227"/>
          <w:jc w:val="center"/>
        </w:trPr>
        <w:tc>
          <w:tcPr>
            <w:tcW w:w="2082" w:type="dxa"/>
            <w:vAlign w:val="center"/>
          </w:tcPr>
          <w:p w14:paraId="75C77E46" w14:textId="77777777" w:rsidR="00447254" w:rsidRPr="00447254" w:rsidRDefault="00447254" w:rsidP="00392CEE">
            <w:pPr>
              <w:ind w:left="-57" w:right="-57"/>
              <w:rPr>
                <w:rFonts w:ascii="Calibri" w:hAnsi="Calibri" w:cs="Calibri"/>
              </w:rPr>
            </w:pPr>
            <w:r w:rsidRPr="00447254">
              <w:rPr>
                <w:rFonts w:ascii="Calibri" w:hAnsi="Calibri" w:cs="Calibri"/>
              </w:rPr>
              <w:t>Monitoring spolupráce s</w:t>
            </w:r>
            <w:r w:rsidR="00392CEE">
              <w:rPr>
                <w:rFonts w:ascii="Calibri" w:hAnsi="Calibri" w:cs="Calibri"/>
              </w:rPr>
              <w:t> </w:t>
            </w:r>
            <w:r w:rsidRPr="00447254">
              <w:rPr>
                <w:rFonts w:ascii="Calibri" w:hAnsi="Calibri" w:cs="Calibri"/>
              </w:rPr>
              <w:t>MEO</w:t>
            </w:r>
          </w:p>
        </w:tc>
        <w:tc>
          <w:tcPr>
            <w:tcW w:w="1689" w:type="dxa"/>
            <w:vAlign w:val="center"/>
          </w:tcPr>
          <w:p w14:paraId="01442F1B" w14:textId="77777777" w:rsidR="00447254" w:rsidRPr="00447254" w:rsidRDefault="00447254" w:rsidP="00447254">
            <w:pPr>
              <w:ind w:left="-57" w:right="-57"/>
              <w:jc w:val="center"/>
              <w:rPr>
                <w:rFonts w:ascii="Calibri" w:hAnsi="Calibri" w:cs="Calibri"/>
              </w:rPr>
            </w:pPr>
            <w:r w:rsidRPr="00447254">
              <w:rPr>
                <w:rFonts w:ascii="Calibri" w:hAnsi="Calibri" w:cs="Calibri"/>
              </w:rPr>
              <w:t>Věcně příslušná ministerstva; následně informace shromažďuje MZV</w:t>
            </w:r>
          </w:p>
        </w:tc>
        <w:tc>
          <w:tcPr>
            <w:tcW w:w="1721" w:type="dxa"/>
            <w:vAlign w:val="center"/>
          </w:tcPr>
          <w:p w14:paraId="2FCFD309" w14:textId="77777777" w:rsidR="00447254" w:rsidRPr="00447254" w:rsidRDefault="00447254" w:rsidP="00447254">
            <w:pPr>
              <w:ind w:left="-57" w:right="-57"/>
              <w:jc w:val="center"/>
              <w:rPr>
                <w:rFonts w:ascii="Calibri" w:hAnsi="Calibri" w:cs="Calibri"/>
              </w:rPr>
            </w:pPr>
            <w:r w:rsidRPr="00447254">
              <w:rPr>
                <w:rFonts w:ascii="Calibri" w:hAnsi="Calibri" w:cs="Calibri"/>
              </w:rPr>
              <w:t>Informace o</w:t>
            </w:r>
            <w:r>
              <w:rPr>
                <w:rFonts w:ascii="Calibri" w:hAnsi="Calibri" w:cs="Calibri"/>
              </w:rPr>
              <w:t> </w:t>
            </w:r>
            <w:r w:rsidRPr="00447254">
              <w:rPr>
                <w:rFonts w:ascii="Calibri" w:hAnsi="Calibri" w:cs="Calibri"/>
              </w:rPr>
              <w:t>programech a</w:t>
            </w:r>
            <w:r>
              <w:rPr>
                <w:rFonts w:ascii="Calibri" w:hAnsi="Calibri" w:cs="Calibri"/>
              </w:rPr>
              <w:t> </w:t>
            </w:r>
            <w:r w:rsidRPr="00447254">
              <w:rPr>
                <w:rFonts w:ascii="Calibri" w:hAnsi="Calibri" w:cs="Calibri"/>
              </w:rPr>
              <w:t>projektech soustředěny pod úřadem předsedy vlády</w:t>
            </w:r>
          </w:p>
        </w:tc>
        <w:tc>
          <w:tcPr>
            <w:tcW w:w="1689" w:type="dxa"/>
            <w:vAlign w:val="center"/>
          </w:tcPr>
          <w:p w14:paraId="52DFCAE6" w14:textId="1FF53FD4" w:rsidR="00447254" w:rsidRPr="00447254" w:rsidRDefault="00447254" w:rsidP="00DE2078">
            <w:pPr>
              <w:ind w:left="-57" w:right="-57"/>
              <w:jc w:val="center"/>
              <w:rPr>
                <w:rFonts w:ascii="Calibri" w:hAnsi="Calibri" w:cs="Calibri"/>
              </w:rPr>
            </w:pPr>
            <w:r w:rsidRPr="00447254">
              <w:rPr>
                <w:rFonts w:ascii="Calibri" w:hAnsi="Calibri" w:cs="Calibri"/>
              </w:rPr>
              <w:t>Ministerstvo zahraničních věcí (cíle zahraniční politiky)</w:t>
            </w:r>
            <w:r w:rsidR="00DE2078">
              <w:rPr>
                <w:rFonts w:ascii="Calibri" w:hAnsi="Calibri" w:cs="Calibri"/>
              </w:rPr>
              <w:t>;</w:t>
            </w:r>
            <w:r w:rsidRPr="00447254">
              <w:rPr>
                <w:rFonts w:ascii="Calibri" w:hAnsi="Calibri" w:cs="Calibri"/>
              </w:rPr>
              <w:t xml:space="preserve"> </w:t>
            </w:r>
            <w:r w:rsidR="00DE2078">
              <w:rPr>
                <w:rFonts w:ascii="Calibri" w:hAnsi="Calibri" w:cs="Calibri"/>
              </w:rPr>
              <w:t>v</w:t>
            </w:r>
            <w:r w:rsidRPr="00447254">
              <w:rPr>
                <w:rFonts w:ascii="Calibri" w:hAnsi="Calibri" w:cs="Calibri"/>
              </w:rPr>
              <w:t>ěcně příslušná ministerstva</w:t>
            </w:r>
          </w:p>
        </w:tc>
        <w:tc>
          <w:tcPr>
            <w:tcW w:w="1693" w:type="dxa"/>
            <w:vAlign w:val="center"/>
          </w:tcPr>
          <w:p w14:paraId="6E77BB99" w14:textId="77777777" w:rsidR="00447254" w:rsidRPr="00447254" w:rsidRDefault="00447254" w:rsidP="00447254">
            <w:pPr>
              <w:ind w:left="-57" w:right="-57"/>
              <w:jc w:val="center"/>
              <w:rPr>
                <w:rFonts w:ascii="Calibri" w:hAnsi="Calibri" w:cs="Calibri"/>
              </w:rPr>
            </w:pPr>
            <w:r w:rsidRPr="00447254">
              <w:rPr>
                <w:rFonts w:ascii="Calibri" w:hAnsi="Calibri" w:cs="Calibri"/>
              </w:rPr>
              <w:t>Věcně příslušná ministerstva*</w:t>
            </w:r>
          </w:p>
        </w:tc>
        <w:tc>
          <w:tcPr>
            <w:tcW w:w="1717" w:type="dxa"/>
            <w:vAlign w:val="center"/>
          </w:tcPr>
          <w:p w14:paraId="0264BD3E" w14:textId="77777777" w:rsidR="00447254" w:rsidRPr="00447254" w:rsidRDefault="00447254" w:rsidP="00447254">
            <w:pPr>
              <w:ind w:left="-57" w:right="-57"/>
              <w:jc w:val="center"/>
              <w:rPr>
                <w:rFonts w:ascii="Calibri" w:hAnsi="Calibri" w:cs="Calibri"/>
              </w:rPr>
            </w:pPr>
            <w:r w:rsidRPr="00447254">
              <w:rPr>
                <w:rFonts w:ascii="Calibri" w:hAnsi="Calibri" w:cs="Calibri"/>
              </w:rPr>
              <w:t>Parlament</w:t>
            </w:r>
          </w:p>
        </w:tc>
        <w:tc>
          <w:tcPr>
            <w:tcW w:w="1714" w:type="dxa"/>
            <w:vAlign w:val="center"/>
          </w:tcPr>
          <w:p w14:paraId="6DBCB349" w14:textId="77777777" w:rsidR="00447254" w:rsidRPr="00447254" w:rsidRDefault="00447254" w:rsidP="00447254">
            <w:pPr>
              <w:ind w:left="-57" w:right="-57"/>
              <w:jc w:val="center"/>
              <w:rPr>
                <w:rFonts w:ascii="Calibri" w:hAnsi="Calibri" w:cs="Calibri"/>
              </w:rPr>
            </w:pPr>
            <w:r w:rsidRPr="00447254">
              <w:rPr>
                <w:rFonts w:ascii="Calibri" w:hAnsi="Calibri" w:cs="Calibri"/>
              </w:rPr>
              <w:t>Ministerstvo zahraničních věcí</w:t>
            </w:r>
          </w:p>
        </w:tc>
        <w:tc>
          <w:tcPr>
            <w:tcW w:w="1689" w:type="dxa"/>
            <w:vAlign w:val="center"/>
          </w:tcPr>
          <w:p w14:paraId="7B36E776" w14:textId="77777777" w:rsidR="00447254" w:rsidRPr="00447254" w:rsidRDefault="00447254" w:rsidP="00447254">
            <w:pPr>
              <w:ind w:left="-57" w:right="-57"/>
              <w:jc w:val="center"/>
              <w:rPr>
                <w:rFonts w:ascii="Calibri" w:hAnsi="Calibri" w:cs="Calibri"/>
              </w:rPr>
            </w:pPr>
            <w:r w:rsidRPr="00447254">
              <w:rPr>
                <w:rFonts w:ascii="Calibri" w:hAnsi="Calibri" w:cs="Calibri"/>
              </w:rPr>
              <w:t>Věcně příslušná ministerstva</w:t>
            </w:r>
          </w:p>
        </w:tc>
      </w:tr>
    </w:tbl>
    <w:p w14:paraId="22AD3819" w14:textId="77777777" w:rsidR="00447254" w:rsidRPr="00D258DD" w:rsidRDefault="00447254" w:rsidP="00447254">
      <w:pPr>
        <w:spacing w:before="40" w:after="0" w:line="240" w:lineRule="auto"/>
        <w:rPr>
          <w:rFonts w:cstheme="minorHAnsi"/>
          <w:sz w:val="20"/>
          <w:szCs w:val="20"/>
        </w:rPr>
      </w:pPr>
      <w:r w:rsidRPr="00BF13E1">
        <w:rPr>
          <w:rFonts w:cstheme="minorHAnsi"/>
          <w:b/>
          <w:sz w:val="20"/>
          <w:szCs w:val="20"/>
        </w:rPr>
        <w:t>Zdroj:</w:t>
      </w:r>
      <w:r w:rsidRPr="00D258DD">
        <w:rPr>
          <w:rFonts w:cstheme="minorHAnsi"/>
          <w:sz w:val="20"/>
          <w:szCs w:val="20"/>
        </w:rPr>
        <w:t xml:space="preserve"> projekt BIEP</w:t>
      </w:r>
      <w:r>
        <w:rPr>
          <w:rFonts w:cstheme="minorHAnsi"/>
          <w:sz w:val="20"/>
          <w:szCs w:val="20"/>
        </w:rPr>
        <w:t xml:space="preserve"> – vyjádření a dokumentace příslušných SAI.</w:t>
      </w:r>
    </w:p>
    <w:p w14:paraId="6A4DE468" w14:textId="77777777" w:rsidR="00447254" w:rsidRPr="00D258DD" w:rsidRDefault="00447254" w:rsidP="00A315B0">
      <w:pPr>
        <w:spacing w:after="0" w:line="240" w:lineRule="auto"/>
        <w:ind w:left="567" w:hanging="567"/>
        <w:rPr>
          <w:rFonts w:cstheme="minorHAnsi"/>
          <w:sz w:val="20"/>
          <w:szCs w:val="20"/>
        </w:rPr>
      </w:pPr>
      <w:r w:rsidRPr="00BF13E1">
        <w:rPr>
          <w:rFonts w:cstheme="minorHAnsi"/>
          <w:b/>
          <w:sz w:val="20"/>
          <w:szCs w:val="20"/>
        </w:rPr>
        <w:t>Pozn.:*</w:t>
      </w:r>
      <w:r w:rsidRPr="00D258DD">
        <w:rPr>
          <w:rFonts w:cstheme="minorHAnsi"/>
          <w:sz w:val="20"/>
          <w:szCs w:val="20"/>
        </w:rPr>
        <w:t xml:space="preserve"> Nejvyšší kontrolní úřad Finska v rámci auditu z roku 2018 doporučil, aby byly informace o spolupráci s MEO</w:t>
      </w:r>
      <w:r>
        <w:rPr>
          <w:rFonts w:cstheme="minorHAnsi"/>
          <w:sz w:val="20"/>
          <w:szCs w:val="20"/>
        </w:rPr>
        <w:t xml:space="preserve"> a </w:t>
      </w:r>
      <w:r w:rsidRPr="00D258DD">
        <w:rPr>
          <w:rFonts w:cstheme="minorHAnsi"/>
          <w:sz w:val="20"/>
          <w:szCs w:val="20"/>
        </w:rPr>
        <w:t>související finanční příspěvky a závazky shromažďovány centralizovaně a pravidelně aktualizovány.</w:t>
      </w:r>
    </w:p>
    <w:p w14:paraId="49405501" w14:textId="77777777" w:rsidR="00A315B0" w:rsidRDefault="00A315B0" w:rsidP="00A315B0">
      <w:pPr>
        <w:spacing w:after="0" w:line="240" w:lineRule="auto"/>
        <w:jc w:val="both"/>
        <w:rPr>
          <w:sz w:val="24"/>
          <w:szCs w:val="24"/>
        </w:rPr>
      </w:pPr>
    </w:p>
    <w:p w14:paraId="4409DE6E" w14:textId="77777777" w:rsidR="00447254" w:rsidRPr="00392CEE" w:rsidRDefault="00447254" w:rsidP="00392CEE">
      <w:pPr>
        <w:spacing w:after="0" w:line="240" w:lineRule="auto"/>
        <w:rPr>
          <w:rFonts w:ascii="Calibri" w:hAnsi="Calibri" w:cs="Calibri"/>
          <w:b/>
          <w:sz w:val="24"/>
          <w:szCs w:val="24"/>
        </w:rPr>
      </w:pPr>
      <w:r w:rsidRPr="00392CEE">
        <w:rPr>
          <w:rFonts w:ascii="Calibri" w:hAnsi="Calibri" w:cs="Calibri"/>
          <w:b/>
          <w:sz w:val="24"/>
          <w:szCs w:val="24"/>
        </w:rPr>
        <w:t>Hodnocení přínosů</w:t>
      </w:r>
    </w:p>
    <w:p w14:paraId="49A6FE59" w14:textId="77777777" w:rsidR="00A315B0" w:rsidRDefault="00A315B0" w:rsidP="00392CEE">
      <w:pPr>
        <w:spacing w:after="0" w:line="240" w:lineRule="auto"/>
        <w:jc w:val="both"/>
        <w:rPr>
          <w:rFonts w:ascii="Calibri" w:hAnsi="Calibri" w:cs="Calibri"/>
          <w:sz w:val="24"/>
          <w:szCs w:val="24"/>
        </w:rPr>
      </w:pPr>
    </w:p>
    <w:p w14:paraId="267874C0" w14:textId="210455EF" w:rsidR="00447254" w:rsidRPr="00392CEE" w:rsidRDefault="00447254" w:rsidP="00392CEE">
      <w:pPr>
        <w:spacing w:after="0" w:line="240" w:lineRule="auto"/>
        <w:jc w:val="both"/>
        <w:rPr>
          <w:rFonts w:ascii="Calibri" w:hAnsi="Calibri" w:cs="Calibri"/>
          <w:sz w:val="24"/>
          <w:szCs w:val="24"/>
        </w:rPr>
      </w:pPr>
      <w:r w:rsidRPr="00392CEE">
        <w:rPr>
          <w:rFonts w:ascii="Calibri" w:hAnsi="Calibri" w:cs="Calibri"/>
          <w:sz w:val="24"/>
          <w:szCs w:val="24"/>
        </w:rPr>
        <w:t xml:space="preserve">Ze získaných informací vyplývá, že přístup jednotlivých zemí k hodnocení přínosů spolupráce s MEO je v souladu s nastaveným způsobem sledování této spolupráce (centralizovaně/decentralizovaně). Přínosy jsou sledovány, avšak je obtížné posoudit relevantnost hodnocení přínosů, jak ve svém vyjádření uvedl např. nejvyšší kontrolní úřad Litvy. V případě České republiky NKÚ v kontrolní akci 19/05 zjistil, že není nastaven jednotný přístup k vyhodnocování přínosů spolupráce s MEO, způsob tohoto vyhodnocení si jednotlivá ministerstva nastavují sama. MZV pak následně tato vyhodnocení shromažďuje v rámci pravidelného monitoringu. V této oblasti – realizace monitoringu </w:t>
      </w:r>
      <w:r w:rsidRPr="00392CEE">
        <w:rPr>
          <w:rFonts w:ascii="Calibri" w:eastAsia="Calibri" w:hAnsi="Calibri" w:cs="Calibri"/>
          <w:sz w:val="24"/>
          <w:szCs w:val="24"/>
        </w:rPr>
        <w:t xml:space="preserve">– </w:t>
      </w:r>
      <w:r w:rsidRPr="00392CEE">
        <w:rPr>
          <w:rFonts w:ascii="Calibri" w:hAnsi="Calibri" w:cs="Calibri"/>
          <w:sz w:val="24"/>
          <w:szCs w:val="24"/>
        </w:rPr>
        <w:t>však NKÚ zjistil nedostatky.</w:t>
      </w:r>
    </w:p>
    <w:p w14:paraId="7623AA1C" w14:textId="77777777" w:rsidR="00392CEE" w:rsidRDefault="00392CEE" w:rsidP="00392CEE">
      <w:pPr>
        <w:spacing w:after="0" w:line="240" w:lineRule="auto"/>
        <w:jc w:val="both"/>
        <w:rPr>
          <w:rFonts w:ascii="Calibri" w:hAnsi="Calibri" w:cs="Calibri"/>
          <w:sz w:val="24"/>
          <w:szCs w:val="24"/>
        </w:rPr>
      </w:pPr>
    </w:p>
    <w:p w14:paraId="5141F57F" w14:textId="255D2887" w:rsidR="00447254" w:rsidRPr="00392CEE" w:rsidRDefault="00447254" w:rsidP="00392CEE">
      <w:pPr>
        <w:spacing w:after="0" w:line="240" w:lineRule="auto"/>
        <w:jc w:val="both"/>
        <w:rPr>
          <w:rFonts w:ascii="Calibri" w:hAnsi="Calibri" w:cs="Calibri"/>
          <w:sz w:val="24"/>
          <w:szCs w:val="24"/>
        </w:rPr>
      </w:pPr>
      <w:r w:rsidRPr="00392CEE">
        <w:rPr>
          <w:rFonts w:ascii="Calibri" w:hAnsi="Calibri" w:cs="Calibri"/>
          <w:sz w:val="24"/>
          <w:szCs w:val="24"/>
        </w:rPr>
        <w:t xml:space="preserve">Zjištění z auditů a návazná doporučení nejvyšších kontrolních institucí Litvy a Finska potvrzují potřebu jednotného a centralizovaného sběru informací o spolupráci s MEO a jeho pravidelné aktualizace. K tomuto stavu směřují rovněž opatření přijatá vládou ČR v UV </w:t>
      </w:r>
      <w:r w:rsidR="00670E9B">
        <w:rPr>
          <w:rFonts w:ascii="Calibri" w:hAnsi="Calibri" w:cs="Calibri"/>
          <w:sz w:val="24"/>
          <w:szCs w:val="24"/>
        </w:rPr>
        <w:t>č. </w:t>
      </w:r>
      <w:r w:rsidRPr="00392CEE">
        <w:rPr>
          <w:rFonts w:ascii="Calibri" w:hAnsi="Calibri" w:cs="Calibri"/>
          <w:sz w:val="24"/>
          <w:szCs w:val="24"/>
        </w:rPr>
        <w:t xml:space="preserve">317/2013. Nejvyšší kontrolní úřad Finska v této souvislosti v rámci auditu z roku 2018 doporučil, aby byly informace o spolupráci s MEO a souvisejícími finančními příspěvky a závazky shromažďovány centralizovaně a pravidelně. </w:t>
      </w:r>
    </w:p>
    <w:p w14:paraId="6A73F6C1" w14:textId="77777777" w:rsidR="00392CEE" w:rsidRDefault="00392CEE" w:rsidP="00392CEE">
      <w:pPr>
        <w:spacing w:after="0" w:line="240" w:lineRule="auto"/>
        <w:jc w:val="both"/>
        <w:rPr>
          <w:rFonts w:ascii="Calibri" w:hAnsi="Calibri" w:cs="Calibri"/>
          <w:sz w:val="24"/>
          <w:szCs w:val="24"/>
        </w:rPr>
      </w:pPr>
    </w:p>
    <w:p w14:paraId="7DCE4059" w14:textId="2E3D784A" w:rsidR="00447254" w:rsidRPr="00392CEE" w:rsidRDefault="00447254" w:rsidP="00392CEE">
      <w:pPr>
        <w:spacing w:after="0" w:line="240" w:lineRule="auto"/>
        <w:jc w:val="both"/>
        <w:rPr>
          <w:rFonts w:ascii="Calibri" w:hAnsi="Calibri" w:cs="Calibri"/>
          <w:sz w:val="24"/>
          <w:szCs w:val="24"/>
        </w:rPr>
      </w:pPr>
      <w:r w:rsidRPr="00392CEE">
        <w:rPr>
          <w:rFonts w:ascii="Calibri" w:hAnsi="Calibri" w:cs="Calibri"/>
          <w:sz w:val="24"/>
          <w:szCs w:val="24"/>
        </w:rPr>
        <w:t>Ze zjištění auditu (2013) nejvyššího kontrolního úřadu Litvy je zřejmá podobnost situace a stavu spolupráce s MEO s Českou republikou. MZV Litvy nemělo přesné a podrobné informace o spolupráci s MEO a o účelnosti této spolupráce, dále o stavu plnění finančních závazků vůči jednotlivým MEO. Jednotlivá ministerstva nepředávala informace o svých rozhodnutích týkajících se působení v prioritních MEO MZV Litvy, ani úřadu vlády. Audit mj.</w:t>
      </w:r>
      <w:r w:rsidR="00670E9B" w:rsidRPr="00670E9B">
        <w:rPr>
          <w:rFonts w:ascii="Calibri" w:hAnsi="Calibri" w:cs="Calibri"/>
          <w:sz w:val="24"/>
          <w:szCs w:val="24"/>
        </w:rPr>
        <w:t xml:space="preserve"> </w:t>
      </w:r>
      <w:r w:rsidR="00670E9B" w:rsidRPr="00392CEE">
        <w:rPr>
          <w:rFonts w:ascii="Calibri" w:hAnsi="Calibri" w:cs="Calibri"/>
          <w:sz w:val="24"/>
          <w:szCs w:val="24"/>
        </w:rPr>
        <w:t>zjistil</w:t>
      </w:r>
      <w:r w:rsidRPr="00392CEE">
        <w:rPr>
          <w:rFonts w:ascii="Calibri" w:hAnsi="Calibri" w:cs="Calibri"/>
          <w:sz w:val="24"/>
          <w:szCs w:val="24"/>
        </w:rPr>
        <w:t>, že v Litvě neexistuje regulace či nastavení toho, kdo, jak a jak často by měl hodnotit účelnost působení Litvy v MEO. Vláda Litvy přijala v reakci na tento audit opatření, mj.:</w:t>
      </w:r>
    </w:p>
    <w:p w14:paraId="6C87884C" w14:textId="25089E3C" w:rsidR="00447254" w:rsidRPr="00392CEE" w:rsidRDefault="008E6FA3" w:rsidP="00392CEE">
      <w:pPr>
        <w:pStyle w:val="Odstavecseseznamem"/>
        <w:numPr>
          <w:ilvl w:val="0"/>
          <w:numId w:val="27"/>
        </w:numPr>
        <w:spacing w:after="0" w:line="240" w:lineRule="auto"/>
        <w:ind w:left="284" w:hanging="284"/>
        <w:contextualSpacing w:val="0"/>
        <w:jc w:val="both"/>
        <w:rPr>
          <w:rFonts w:ascii="Calibri" w:hAnsi="Calibri" w:cs="Calibri"/>
          <w:sz w:val="24"/>
          <w:szCs w:val="24"/>
        </w:rPr>
      </w:pPr>
      <w:r>
        <w:rPr>
          <w:rFonts w:ascii="Calibri" w:hAnsi="Calibri" w:cs="Calibri"/>
          <w:sz w:val="24"/>
          <w:szCs w:val="24"/>
        </w:rPr>
        <w:t>B</w:t>
      </w:r>
      <w:r w:rsidR="00366C58">
        <w:rPr>
          <w:rFonts w:ascii="Calibri" w:hAnsi="Calibri" w:cs="Calibri"/>
          <w:sz w:val="24"/>
          <w:szCs w:val="24"/>
        </w:rPr>
        <w:t>yly</w:t>
      </w:r>
      <w:r w:rsidR="00670E9B">
        <w:rPr>
          <w:rFonts w:ascii="Calibri" w:hAnsi="Calibri" w:cs="Calibri"/>
          <w:sz w:val="24"/>
          <w:szCs w:val="24"/>
        </w:rPr>
        <w:t xml:space="preserve"> je</w:t>
      </w:r>
      <w:r w:rsidR="00447254" w:rsidRPr="00392CEE">
        <w:rPr>
          <w:rFonts w:ascii="Calibri" w:hAnsi="Calibri" w:cs="Calibri"/>
          <w:sz w:val="24"/>
          <w:szCs w:val="24"/>
        </w:rPr>
        <w:t>dnoznačn</w:t>
      </w:r>
      <w:r>
        <w:rPr>
          <w:rFonts w:ascii="Calibri" w:hAnsi="Calibri" w:cs="Calibri"/>
          <w:sz w:val="24"/>
          <w:szCs w:val="24"/>
        </w:rPr>
        <w:t>ě</w:t>
      </w:r>
      <w:r w:rsidR="00447254" w:rsidRPr="00392CEE">
        <w:rPr>
          <w:rFonts w:ascii="Calibri" w:hAnsi="Calibri" w:cs="Calibri"/>
          <w:sz w:val="24"/>
          <w:szCs w:val="24"/>
        </w:rPr>
        <w:t xml:space="preserve"> vymezen</w:t>
      </w:r>
      <w:r>
        <w:rPr>
          <w:rFonts w:ascii="Calibri" w:hAnsi="Calibri" w:cs="Calibri"/>
          <w:sz w:val="24"/>
          <w:szCs w:val="24"/>
        </w:rPr>
        <w:t>y</w:t>
      </w:r>
      <w:r w:rsidR="00447254" w:rsidRPr="00392CEE">
        <w:rPr>
          <w:rFonts w:ascii="Calibri" w:hAnsi="Calibri" w:cs="Calibri"/>
          <w:sz w:val="24"/>
          <w:szCs w:val="24"/>
        </w:rPr>
        <w:t xml:space="preserve"> odpovědnosti za shromažďování a správu strukturovaných informací o spolupráce s MEO.</w:t>
      </w:r>
    </w:p>
    <w:p w14:paraId="2684B017" w14:textId="77777777" w:rsidR="00447254" w:rsidRPr="00392CEE" w:rsidRDefault="00447254" w:rsidP="00392CEE">
      <w:pPr>
        <w:pStyle w:val="Odstavecseseznamem"/>
        <w:numPr>
          <w:ilvl w:val="0"/>
          <w:numId w:val="27"/>
        </w:numPr>
        <w:spacing w:after="0" w:line="240" w:lineRule="auto"/>
        <w:ind w:left="284" w:hanging="284"/>
        <w:contextualSpacing w:val="0"/>
        <w:jc w:val="both"/>
        <w:rPr>
          <w:rFonts w:ascii="Calibri" w:hAnsi="Calibri" w:cs="Calibri"/>
          <w:sz w:val="24"/>
          <w:szCs w:val="24"/>
        </w:rPr>
      </w:pPr>
      <w:r w:rsidRPr="00392CEE">
        <w:rPr>
          <w:rFonts w:ascii="Calibri" w:hAnsi="Calibri" w:cs="Calibri"/>
          <w:sz w:val="24"/>
          <w:szCs w:val="24"/>
        </w:rPr>
        <w:t>Státní instituce a subjekty každoročně do 15. února poskytnou MZV Litvy strukturované informace týkající se působení v MEO včetně výše placených členských příspěvků nebo dobrovolných příspěvků a přínosů spolupráce.</w:t>
      </w:r>
    </w:p>
    <w:p w14:paraId="4B642C29" w14:textId="77777777" w:rsidR="00447254" w:rsidRPr="00392CEE" w:rsidRDefault="00447254" w:rsidP="00392CEE">
      <w:pPr>
        <w:pStyle w:val="Odstavecseseznamem"/>
        <w:numPr>
          <w:ilvl w:val="0"/>
          <w:numId w:val="27"/>
        </w:numPr>
        <w:spacing w:after="0" w:line="240" w:lineRule="auto"/>
        <w:ind w:left="284" w:hanging="284"/>
        <w:contextualSpacing w:val="0"/>
        <w:jc w:val="both"/>
        <w:rPr>
          <w:rFonts w:ascii="Calibri" w:hAnsi="Calibri" w:cs="Calibri"/>
          <w:sz w:val="24"/>
          <w:szCs w:val="24"/>
        </w:rPr>
      </w:pPr>
      <w:r w:rsidRPr="00392CEE">
        <w:rPr>
          <w:rFonts w:ascii="Calibri" w:hAnsi="Calibri" w:cs="Calibri"/>
          <w:sz w:val="24"/>
          <w:szCs w:val="24"/>
        </w:rPr>
        <w:t>Na základě takto poskytnutých informací připravuje MZV Litvy přehled spolupráce Litvy s MEO. Tento přehled následně předává litevské vládě k projednání.</w:t>
      </w:r>
    </w:p>
    <w:p w14:paraId="5CFEF783" w14:textId="77777777" w:rsidR="00392CEE" w:rsidRDefault="00392CEE" w:rsidP="00392CEE">
      <w:pPr>
        <w:spacing w:after="0" w:line="240" w:lineRule="auto"/>
        <w:jc w:val="both"/>
        <w:rPr>
          <w:rFonts w:ascii="Calibri" w:hAnsi="Calibri" w:cs="Calibri"/>
          <w:sz w:val="24"/>
          <w:szCs w:val="24"/>
        </w:rPr>
      </w:pPr>
    </w:p>
    <w:p w14:paraId="3C6A3588" w14:textId="082FA02E" w:rsidR="00FC5768" w:rsidRPr="00392CEE" w:rsidRDefault="00447254" w:rsidP="00392CEE">
      <w:pPr>
        <w:spacing w:after="0" w:line="240" w:lineRule="auto"/>
        <w:jc w:val="both"/>
        <w:rPr>
          <w:rFonts w:ascii="Calibri" w:hAnsi="Calibri" w:cs="Calibri"/>
          <w:sz w:val="24"/>
          <w:szCs w:val="24"/>
        </w:rPr>
      </w:pPr>
      <w:r w:rsidRPr="00392CEE">
        <w:rPr>
          <w:rFonts w:ascii="Calibri" w:hAnsi="Calibri" w:cs="Calibri"/>
          <w:sz w:val="24"/>
          <w:szCs w:val="24"/>
        </w:rPr>
        <w:t>Některá výše uvedená opatření jsou v návaznosti na zjištění kontrolní akce</w:t>
      </w:r>
      <w:r w:rsidR="00670E9B">
        <w:rPr>
          <w:rFonts w:ascii="Calibri" w:hAnsi="Calibri" w:cs="Calibri"/>
          <w:sz w:val="24"/>
          <w:szCs w:val="24"/>
        </w:rPr>
        <w:t xml:space="preserve"> NKÚ</w:t>
      </w:r>
      <w:r w:rsidRPr="00392CEE">
        <w:rPr>
          <w:rFonts w:ascii="Calibri" w:hAnsi="Calibri" w:cs="Calibri"/>
          <w:sz w:val="24"/>
          <w:szCs w:val="24"/>
        </w:rPr>
        <w:t xml:space="preserve"> č. 19/05 aplikovatelná rovněž pro ČR jako příklad dobré praxe.</w:t>
      </w:r>
    </w:p>
    <w:sectPr w:rsidR="00FC5768" w:rsidRPr="00392CEE" w:rsidSect="00D33109">
      <w:headerReference w:type="even" r:id="rId15"/>
      <w:headerReference w:type="default" r:id="rId16"/>
      <w:footerReference w:type="even" r:id="rId17"/>
      <w:footerReference w:type="default" r:id="rId18"/>
      <w:headerReference w:type="first" r:id="rId19"/>
      <w:footerReference w:type="first" r:id="rId2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9F256" w14:textId="77777777" w:rsidR="00BE4AFA" w:rsidRDefault="00BE4AFA" w:rsidP="00E35FC6">
      <w:pPr>
        <w:spacing w:after="0" w:line="240" w:lineRule="auto"/>
      </w:pPr>
      <w:r>
        <w:separator/>
      </w:r>
    </w:p>
  </w:endnote>
  <w:endnote w:type="continuationSeparator" w:id="0">
    <w:p w14:paraId="72AB58C9" w14:textId="77777777" w:rsidR="00BE4AFA" w:rsidRDefault="00BE4AFA" w:rsidP="00E35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Bold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C816F" w14:textId="77777777" w:rsidR="00BE4AFA" w:rsidRDefault="00BE4A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87B20" w14:textId="17380D1C" w:rsidR="00BE4AFA" w:rsidRPr="00D33109" w:rsidRDefault="00BE4AFA" w:rsidP="00D33109">
    <w:pPr>
      <w:pStyle w:val="Zpat"/>
      <w:tabs>
        <w:tab w:val="clear" w:pos="4536"/>
        <w:tab w:val="clear" w:pos="9072"/>
      </w:tabs>
      <w:jc w:val="center"/>
      <w:rPr>
        <w:rFonts w:ascii="Calibri" w:hAnsi="Calibri" w:cs="Calibri"/>
        <w:color w:val="000000" w:themeColor="text1"/>
        <w:sz w:val="22"/>
      </w:rPr>
    </w:pPr>
    <w:r w:rsidRPr="00D33109">
      <w:rPr>
        <w:rStyle w:val="slostrnky"/>
        <w:rFonts w:ascii="Calibri" w:hAnsi="Calibri" w:cs="Calibri"/>
        <w:color w:val="000000" w:themeColor="text1"/>
      </w:rPr>
      <w:fldChar w:fldCharType="begin"/>
    </w:r>
    <w:r w:rsidRPr="00D33109">
      <w:rPr>
        <w:rStyle w:val="slostrnky"/>
        <w:rFonts w:ascii="Calibri" w:hAnsi="Calibri" w:cs="Calibri"/>
        <w:color w:val="000000" w:themeColor="text1"/>
      </w:rPr>
      <w:instrText xml:space="preserve"> PAGE </w:instrText>
    </w:r>
    <w:r w:rsidRPr="00D33109">
      <w:rPr>
        <w:rStyle w:val="slostrnky"/>
        <w:rFonts w:ascii="Calibri" w:hAnsi="Calibri" w:cs="Calibri"/>
        <w:color w:val="000000" w:themeColor="text1"/>
      </w:rPr>
      <w:fldChar w:fldCharType="separate"/>
    </w:r>
    <w:r w:rsidR="00F1481B">
      <w:rPr>
        <w:rStyle w:val="slostrnky"/>
        <w:rFonts w:ascii="Calibri" w:hAnsi="Calibri" w:cs="Calibri"/>
        <w:noProof/>
        <w:color w:val="000000" w:themeColor="text1"/>
      </w:rPr>
      <w:t>27</w:t>
    </w:r>
    <w:r w:rsidRPr="00D33109">
      <w:rPr>
        <w:rStyle w:val="slostrnky"/>
        <w:rFonts w:ascii="Calibri" w:hAnsi="Calibri" w:cs="Calibri"/>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6357" w14:textId="77777777" w:rsidR="00BE4AFA" w:rsidRDefault="00BE4A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42C70" w14:textId="77777777" w:rsidR="00BE4AFA" w:rsidRDefault="00BE4AFA" w:rsidP="00E35FC6">
      <w:pPr>
        <w:spacing w:after="0" w:line="240" w:lineRule="auto"/>
      </w:pPr>
      <w:r>
        <w:separator/>
      </w:r>
    </w:p>
  </w:footnote>
  <w:footnote w:type="continuationSeparator" w:id="0">
    <w:p w14:paraId="2FFCC49F" w14:textId="77777777" w:rsidR="00BE4AFA" w:rsidRDefault="00BE4AFA" w:rsidP="00E35FC6">
      <w:pPr>
        <w:spacing w:after="0" w:line="240" w:lineRule="auto"/>
      </w:pPr>
      <w:r>
        <w:continuationSeparator/>
      </w:r>
    </w:p>
  </w:footnote>
  <w:footnote w:id="1">
    <w:p w14:paraId="30AF4849" w14:textId="77777777" w:rsidR="00BE4AFA" w:rsidRDefault="00BE4AFA" w:rsidP="00ED30AC">
      <w:pPr>
        <w:pStyle w:val="Textpoznpodarou"/>
        <w:ind w:left="284" w:hanging="284"/>
      </w:pPr>
      <w:r>
        <w:rPr>
          <w:rStyle w:val="Znakapoznpodarou"/>
        </w:rPr>
        <w:footnoteRef/>
      </w:r>
      <w:r>
        <w:t xml:space="preserve"> </w:t>
      </w:r>
      <w:r>
        <w:tab/>
        <w:t>Dále také „MEO“.</w:t>
      </w:r>
    </w:p>
  </w:footnote>
  <w:footnote w:id="2">
    <w:p w14:paraId="4F74E638" w14:textId="1E96F97B" w:rsidR="00BE4AFA" w:rsidRDefault="00BE4AFA" w:rsidP="008C580D">
      <w:pPr>
        <w:pStyle w:val="Textpoznpodarou"/>
        <w:ind w:left="284" w:hanging="284"/>
      </w:pPr>
      <w:r>
        <w:rPr>
          <w:rStyle w:val="Znakapoznpodarou"/>
        </w:rPr>
        <w:footnoteRef/>
      </w:r>
      <w:r>
        <w:t> </w:t>
      </w:r>
      <w:r>
        <w:tab/>
        <w:t>MEO uvedené v</w:t>
      </w:r>
      <w:r w:rsidRPr="00E94C44">
        <w:rPr>
          <w:i/>
        </w:rPr>
        <w:t xml:space="preserve"> </w:t>
      </w:r>
      <w:r>
        <w:rPr>
          <w:i/>
        </w:rPr>
        <w:t>seznamu ME</w:t>
      </w:r>
      <w:r w:rsidRPr="0040367E">
        <w:rPr>
          <w:i/>
        </w:rPr>
        <w:t>O zásadního z</w:t>
      </w:r>
      <w:r>
        <w:rPr>
          <w:i/>
        </w:rPr>
        <w:t>ahraničně politického významu a </w:t>
      </w:r>
      <w:r w:rsidRPr="0040367E">
        <w:rPr>
          <w:i/>
        </w:rPr>
        <w:t>nadresortního charakteru</w:t>
      </w:r>
      <w:r>
        <w:t xml:space="preserve"> v příloze č. 1 k usnesení vlády ČR</w:t>
      </w:r>
      <w:r w:rsidRPr="00E94C44">
        <w:t xml:space="preserve"> </w:t>
      </w:r>
      <w:r>
        <w:t xml:space="preserve">z 2. května 2013 č. 317, </w:t>
      </w:r>
      <w:r w:rsidRPr="008C580D">
        <w:rPr>
          <w:i/>
        </w:rPr>
        <w:t>ke členství České republiky v</w:t>
      </w:r>
      <w:r>
        <w:rPr>
          <w:i/>
        </w:rPr>
        <w:t> </w:t>
      </w:r>
      <w:r w:rsidRPr="008C580D">
        <w:rPr>
          <w:i/>
        </w:rPr>
        <w:t>mezinárodních organizacích</w:t>
      </w:r>
      <w:r>
        <w:rPr>
          <w:i/>
        </w:rPr>
        <w:t>.</w:t>
      </w:r>
      <w:r>
        <w:t xml:space="preserve"> .</w:t>
      </w:r>
    </w:p>
  </w:footnote>
  <w:footnote w:id="3">
    <w:p w14:paraId="52B0DA0B" w14:textId="77777777" w:rsidR="00BE4AFA" w:rsidRPr="00587EC8" w:rsidRDefault="00BE4AFA" w:rsidP="008C580D">
      <w:pPr>
        <w:pStyle w:val="Textpoznpodarou"/>
        <w:ind w:left="284" w:hanging="284"/>
        <w:rPr>
          <w:rFonts w:cstheme="minorHAnsi"/>
        </w:rPr>
      </w:pPr>
      <w:r w:rsidRPr="006A37BB">
        <w:rPr>
          <w:rStyle w:val="Znakapoznpodarou"/>
          <w:rFonts w:cstheme="minorHAnsi"/>
        </w:rPr>
        <w:footnoteRef/>
      </w:r>
      <w:r w:rsidRPr="006A37BB">
        <w:rPr>
          <w:rFonts w:cstheme="minorHAnsi"/>
        </w:rPr>
        <w:t xml:space="preserve"> </w:t>
      </w:r>
      <w:r>
        <w:rPr>
          <w:rFonts w:cstheme="minorHAnsi"/>
        </w:rPr>
        <w:tab/>
      </w:r>
      <w:r w:rsidRPr="006A37BB">
        <w:rPr>
          <w:rFonts w:cstheme="minorHAnsi"/>
        </w:rPr>
        <w:t>Jedná se o platby související s </w:t>
      </w:r>
      <w:r w:rsidRPr="00D10E17">
        <w:rPr>
          <w:rFonts w:cstheme="minorHAnsi"/>
        </w:rPr>
        <w:t xml:space="preserve">MEO </w:t>
      </w:r>
      <w:r w:rsidRPr="007A4998">
        <w:rPr>
          <w:rFonts w:cstheme="minorHAnsi"/>
        </w:rPr>
        <w:t>jako např.</w:t>
      </w:r>
      <w:r>
        <w:rPr>
          <w:rFonts w:cstheme="minorHAnsi"/>
        </w:rPr>
        <w:t xml:space="preserve"> členské příspěvky a </w:t>
      </w:r>
      <w:r w:rsidRPr="00125FD6">
        <w:rPr>
          <w:rFonts w:cstheme="minorHAnsi"/>
        </w:rPr>
        <w:t>další povinné platby, k</w:t>
      </w:r>
      <w:r w:rsidRPr="00EE02C9">
        <w:rPr>
          <w:rFonts w:cstheme="minorHAnsi"/>
        </w:rPr>
        <w:t>teré vychází z uzavřené spolupráce např. na základě smlouvy, memoranda, úmluvy atd.</w:t>
      </w:r>
    </w:p>
  </w:footnote>
  <w:footnote w:id="4">
    <w:p w14:paraId="65A9C0D2" w14:textId="77777777" w:rsidR="00BE4AFA" w:rsidRPr="002044D4" w:rsidRDefault="00BE4AFA" w:rsidP="008E6FA3">
      <w:pPr>
        <w:autoSpaceDE w:val="0"/>
        <w:autoSpaceDN w:val="0"/>
        <w:spacing w:after="0"/>
        <w:ind w:left="284" w:hanging="284"/>
        <w:jc w:val="both"/>
        <w:rPr>
          <w:rFonts w:cstheme="minorHAnsi"/>
        </w:rPr>
      </w:pPr>
      <w:r w:rsidRPr="006A37BB">
        <w:rPr>
          <w:rStyle w:val="Znakapoznpodarou"/>
          <w:rFonts w:cstheme="minorHAnsi"/>
          <w:sz w:val="20"/>
          <w:szCs w:val="20"/>
        </w:rPr>
        <w:footnoteRef/>
      </w:r>
      <w:r w:rsidRPr="006A37BB">
        <w:rPr>
          <w:rFonts w:cstheme="minorHAnsi"/>
          <w:sz w:val="20"/>
          <w:szCs w:val="20"/>
        </w:rPr>
        <w:t xml:space="preserve"> </w:t>
      </w:r>
      <w:r>
        <w:rPr>
          <w:rFonts w:cstheme="minorHAnsi"/>
          <w:sz w:val="20"/>
          <w:szCs w:val="20"/>
        </w:rPr>
        <w:tab/>
        <w:t xml:space="preserve">Tj. platby, </w:t>
      </w:r>
      <w:r w:rsidRPr="0040367E">
        <w:rPr>
          <w:rFonts w:cstheme="minorHAnsi"/>
          <w:sz w:val="20"/>
          <w:szCs w:val="20"/>
        </w:rPr>
        <w:t xml:space="preserve">které definuje ustanovení § 7 odst. 1 písm. n) zákona č. 218/2000 Sb., </w:t>
      </w:r>
      <w:r w:rsidRPr="008C580D">
        <w:rPr>
          <w:rFonts w:cstheme="minorHAnsi"/>
          <w:iCs/>
          <w:sz w:val="20"/>
          <w:szCs w:val="20"/>
        </w:rPr>
        <w:t>o rozpo</w:t>
      </w:r>
      <w:r w:rsidRPr="008C580D">
        <w:rPr>
          <w:rFonts w:cstheme="minorHAnsi" w:hint="eastAsia"/>
          <w:iCs/>
          <w:sz w:val="20"/>
          <w:szCs w:val="20"/>
        </w:rPr>
        <w:t>č</w:t>
      </w:r>
      <w:r w:rsidRPr="008C580D">
        <w:rPr>
          <w:rFonts w:cstheme="minorHAnsi"/>
          <w:iCs/>
          <w:sz w:val="20"/>
          <w:szCs w:val="20"/>
        </w:rPr>
        <w:t>tov</w:t>
      </w:r>
      <w:r w:rsidRPr="008C580D">
        <w:rPr>
          <w:rFonts w:cstheme="minorHAnsi" w:hint="eastAsia"/>
          <w:iCs/>
          <w:sz w:val="20"/>
          <w:szCs w:val="20"/>
        </w:rPr>
        <w:t>ý</w:t>
      </w:r>
      <w:r w:rsidRPr="008C580D">
        <w:rPr>
          <w:rFonts w:cstheme="minorHAnsi"/>
          <w:iCs/>
          <w:sz w:val="20"/>
          <w:szCs w:val="20"/>
        </w:rPr>
        <w:t>ch</w:t>
      </w:r>
      <w:r w:rsidRPr="00742922">
        <w:rPr>
          <w:rFonts w:cstheme="minorHAnsi"/>
          <w:sz w:val="20"/>
          <w:szCs w:val="20"/>
        </w:rPr>
        <w:t xml:space="preserve"> </w:t>
      </w:r>
      <w:r w:rsidRPr="008C580D">
        <w:rPr>
          <w:rFonts w:cstheme="minorHAnsi"/>
          <w:iCs/>
          <w:sz w:val="20"/>
          <w:szCs w:val="20"/>
        </w:rPr>
        <w:t>pravidlech a o zm</w:t>
      </w:r>
      <w:r w:rsidRPr="008C580D">
        <w:rPr>
          <w:rFonts w:cstheme="minorHAnsi" w:hint="eastAsia"/>
          <w:iCs/>
          <w:sz w:val="20"/>
          <w:szCs w:val="20"/>
        </w:rPr>
        <w:t>ě</w:t>
      </w:r>
      <w:r w:rsidRPr="008C580D">
        <w:rPr>
          <w:rFonts w:cstheme="minorHAnsi"/>
          <w:iCs/>
          <w:sz w:val="20"/>
          <w:szCs w:val="20"/>
        </w:rPr>
        <w:t>n</w:t>
      </w:r>
      <w:r w:rsidRPr="008C580D">
        <w:rPr>
          <w:rFonts w:cstheme="minorHAnsi" w:hint="eastAsia"/>
          <w:iCs/>
          <w:sz w:val="20"/>
          <w:szCs w:val="20"/>
        </w:rPr>
        <w:t>ě</w:t>
      </w:r>
      <w:r w:rsidRPr="008C580D">
        <w:rPr>
          <w:rFonts w:cstheme="minorHAnsi"/>
          <w:iCs/>
          <w:sz w:val="20"/>
          <w:szCs w:val="20"/>
        </w:rPr>
        <w:t xml:space="preserve"> n</w:t>
      </w:r>
      <w:r w:rsidRPr="008C580D">
        <w:rPr>
          <w:rFonts w:cstheme="minorHAnsi" w:hint="eastAsia"/>
          <w:iCs/>
          <w:sz w:val="20"/>
          <w:szCs w:val="20"/>
        </w:rPr>
        <w:t>ě</w:t>
      </w:r>
      <w:r w:rsidRPr="008C580D">
        <w:rPr>
          <w:rFonts w:cstheme="minorHAnsi"/>
          <w:iCs/>
          <w:sz w:val="20"/>
          <w:szCs w:val="20"/>
        </w:rPr>
        <w:t>kter</w:t>
      </w:r>
      <w:r w:rsidRPr="008C580D">
        <w:rPr>
          <w:rFonts w:cstheme="minorHAnsi" w:hint="eastAsia"/>
          <w:iCs/>
          <w:sz w:val="20"/>
          <w:szCs w:val="20"/>
        </w:rPr>
        <w:t>ý</w:t>
      </w:r>
      <w:r w:rsidRPr="008C580D">
        <w:rPr>
          <w:rFonts w:cstheme="minorHAnsi"/>
          <w:iCs/>
          <w:sz w:val="20"/>
          <w:szCs w:val="20"/>
        </w:rPr>
        <w:t>ch souvisej</w:t>
      </w:r>
      <w:r w:rsidRPr="008C580D">
        <w:rPr>
          <w:rFonts w:cstheme="minorHAnsi" w:hint="eastAsia"/>
          <w:iCs/>
          <w:sz w:val="20"/>
          <w:szCs w:val="20"/>
        </w:rPr>
        <w:t>í</w:t>
      </w:r>
      <w:r w:rsidRPr="008C580D">
        <w:rPr>
          <w:rFonts w:cstheme="minorHAnsi"/>
          <w:iCs/>
          <w:sz w:val="20"/>
          <w:szCs w:val="20"/>
        </w:rPr>
        <w:t>c</w:t>
      </w:r>
      <w:r w:rsidRPr="008C580D">
        <w:rPr>
          <w:rFonts w:cstheme="minorHAnsi" w:hint="eastAsia"/>
          <w:iCs/>
          <w:sz w:val="20"/>
          <w:szCs w:val="20"/>
        </w:rPr>
        <w:t>í</w:t>
      </w:r>
      <w:r w:rsidRPr="008C580D">
        <w:rPr>
          <w:rFonts w:cstheme="minorHAnsi"/>
          <w:iCs/>
          <w:sz w:val="20"/>
          <w:szCs w:val="20"/>
        </w:rPr>
        <w:t>ch z</w:t>
      </w:r>
      <w:r w:rsidRPr="008C580D">
        <w:rPr>
          <w:rFonts w:cstheme="minorHAnsi" w:hint="eastAsia"/>
          <w:iCs/>
          <w:sz w:val="20"/>
          <w:szCs w:val="20"/>
        </w:rPr>
        <w:t>á</w:t>
      </w:r>
      <w:r w:rsidRPr="008C580D">
        <w:rPr>
          <w:rFonts w:cstheme="minorHAnsi"/>
          <w:iCs/>
          <w:sz w:val="20"/>
          <w:szCs w:val="20"/>
        </w:rPr>
        <w:t>kon</w:t>
      </w:r>
      <w:r w:rsidRPr="008C580D">
        <w:rPr>
          <w:rFonts w:cstheme="minorHAnsi" w:hint="eastAsia"/>
          <w:iCs/>
          <w:sz w:val="20"/>
          <w:szCs w:val="20"/>
        </w:rPr>
        <w:t>ů</w:t>
      </w:r>
      <w:r w:rsidRPr="008C580D">
        <w:rPr>
          <w:rFonts w:cstheme="minorHAnsi"/>
          <w:iCs/>
          <w:sz w:val="20"/>
          <w:szCs w:val="20"/>
        </w:rPr>
        <w:t xml:space="preserve"> (rozpo</w:t>
      </w:r>
      <w:r w:rsidRPr="008C580D">
        <w:rPr>
          <w:rFonts w:cstheme="minorHAnsi" w:hint="eastAsia"/>
          <w:iCs/>
          <w:sz w:val="20"/>
          <w:szCs w:val="20"/>
        </w:rPr>
        <w:t>č</w:t>
      </w:r>
      <w:r w:rsidRPr="008C580D">
        <w:rPr>
          <w:rFonts w:cstheme="minorHAnsi"/>
          <w:iCs/>
          <w:sz w:val="20"/>
          <w:szCs w:val="20"/>
        </w:rPr>
        <w:t>tov</w:t>
      </w:r>
      <w:r w:rsidRPr="008C580D">
        <w:rPr>
          <w:rFonts w:cstheme="minorHAnsi" w:hint="eastAsia"/>
          <w:iCs/>
          <w:sz w:val="20"/>
          <w:szCs w:val="20"/>
        </w:rPr>
        <w:t>á</w:t>
      </w:r>
      <w:r w:rsidRPr="008C580D">
        <w:rPr>
          <w:rFonts w:cstheme="minorHAnsi"/>
          <w:iCs/>
          <w:sz w:val="20"/>
          <w:szCs w:val="20"/>
        </w:rPr>
        <w:t xml:space="preserve"> pravidla)</w:t>
      </w:r>
      <w:r w:rsidRPr="00742922">
        <w:rPr>
          <w:rFonts w:cstheme="minorHAnsi"/>
          <w:sz w:val="20"/>
          <w:szCs w:val="20"/>
        </w:rPr>
        <w:t>,</w:t>
      </w:r>
      <w:r w:rsidRPr="0040367E">
        <w:rPr>
          <w:rFonts w:cstheme="minorHAnsi"/>
          <w:sz w:val="20"/>
          <w:szCs w:val="20"/>
        </w:rPr>
        <w:t xml:space="preserve"> dále projekty sou</w:t>
      </w:r>
      <w:r>
        <w:rPr>
          <w:rFonts w:cstheme="minorHAnsi"/>
          <w:sz w:val="20"/>
          <w:szCs w:val="20"/>
        </w:rPr>
        <w:t>visející s humanitární pomocí a </w:t>
      </w:r>
      <w:r w:rsidRPr="0040367E">
        <w:rPr>
          <w:rFonts w:cstheme="minorHAnsi"/>
          <w:sz w:val="20"/>
          <w:szCs w:val="20"/>
        </w:rPr>
        <w:t>zahraniční rozvojovou spoluprací</w:t>
      </w:r>
      <w:r>
        <w:rPr>
          <w:rFonts w:cstheme="minorHAnsi"/>
          <w:sz w:val="20"/>
          <w:szCs w:val="20"/>
        </w:rPr>
        <w:t>.</w:t>
      </w:r>
    </w:p>
  </w:footnote>
  <w:footnote w:id="5">
    <w:p w14:paraId="3C57168D" w14:textId="0C111CCA" w:rsidR="00BE4AFA" w:rsidRPr="00AF2801" w:rsidRDefault="00BE4AFA" w:rsidP="00AF2801">
      <w:pPr>
        <w:pStyle w:val="Textpoznpodarou"/>
        <w:ind w:left="284" w:hanging="284"/>
        <w:rPr>
          <w:rFonts w:ascii="Calibri" w:hAnsi="Calibri" w:cs="Calibri"/>
        </w:rPr>
      </w:pPr>
      <w:r w:rsidRPr="00AF2801">
        <w:rPr>
          <w:rStyle w:val="Znakapoznpodarou"/>
          <w:rFonts w:ascii="Calibri" w:hAnsi="Calibri" w:cs="Calibri"/>
        </w:rPr>
        <w:footnoteRef/>
      </w:r>
      <w:r w:rsidRPr="00AF2801">
        <w:rPr>
          <w:rFonts w:ascii="Calibri" w:hAnsi="Calibri" w:cs="Calibri"/>
        </w:rPr>
        <w:t> </w:t>
      </w:r>
      <w:r>
        <w:rPr>
          <w:rFonts w:ascii="Calibri" w:hAnsi="Calibri" w:cs="Calibri"/>
        </w:rPr>
        <w:tab/>
      </w:r>
      <w:r w:rsidRPr="00AF2801">
        <w:rPr>
          <w:rFonts w:ascii="Calibri" w:hAnsi="Calibri" w:cs="Calibri"/>
        </w:rPr>
        <w:t xml:space="preserve">Viz zejména kompetenční zákon, </w:t>
      </w:r>
      <w:r w:rsidRPr="008C580D">
        <w:rPr>
          <w:rFonts w:ascii="Calibri" w:hAnsi="Calibri" w:cs="Calibri"/>
        </w:rPr>
        <w:t>směrnice vlády pro sjednávání, vnitrostátní projednávání, provádění a ukončování platnosti mezinárodních smluv,</w:t>
      </w:r>
      <w:r w:rsidRPr="00AF2801">
        <w:rPr>
          <w:rFonts w:ascii="Calibri" w:hAnsi="Calibri" w:cs="Calibri"/>
          <w:i/>
        </w:rPr>
        <w:t xml:space="preserve"> </w:t>
      </w:r>
      <w:r w:rsidRPr="00AF2801">
        <w:rPr>
          <w:rFonts w:ascii="Calibri" w:hAnsi="Calibri" w:cs="Calibri"/>
        </w:rPr>
        <w:t xml:space="preserve">UV </w:t>
      </w:r>
      <w:r>
        <w:rPr>
          <w:rFonts w:ascii="Calibri" w:hAnsi="Calibri" w:cs="Calibri"/>
        </w:rPr>
        <w:t>č. </w:t>
      </w:r>
      <w:r w:rsidRPr="00AF2801">
        <w:rPr>
          <w:rFonts w:ascii="Calibri" w:hAnsi="Calibri" w:cs="Calibri"/>
        </w:rPr>
        <w:t xml:space="preserve">581/2012, UV </w:t>
      </w:r>
      <w:r>
        <w:rPr>
          <w:rFonts w:ascii="Calibri" w:hAnsi="Calibri" w:cs="Calibri"/>
        </w:rPr>
        <w:t>č. </w:t>
      </w:r>
      <w:r w:rsidRPr="00AF2801">
        <w:rPr>
          <w:rFonts w:ascii="Calibri" w:hAnsi="Calibri" w:cs="Calibri"/>
        </w:rPr>
        <w:t xml:space="preserve">317/2013, UV </w:t>
      </w:r>
      <w:r>
        <w:rPr>
          <w:rFonts w:ascii="Calibri" w:hAnsi="Calibri" w:cs="Calibri"/>
        </w:rPr>
        <w:t>č. </w:t>
      </w:r>
      <w:r w:rsidRPr="00AF2801">
        <w:rPr>
          <w:rFonts w:ascii="Calibri" w:hAnsi="Calibri" w:cs="Calibri"/>
        </w:rPr>
        <w:t xml:space="preserve">563/2015 a </w:t>
      </w:r>
      <w:r>
        <w:rPr>
          <w:rFonts w:ascii="Calibri" w:hAnsi="Calibri" w:cs="Calibri"/>
          <w:lang w:eastAsia="cs-CZ"/>
        </w:rPr>
        <w:t>zákon č. 151/2010 </w:t>
      </w:r>
      <w:r w:rsidRPr="00AF2801">
        <w:rPr>
          <w:rFonts w:ascii="Calibri" w:hAnsi="Calibri" w:cs="Calibri"/>
          <w:lang w:eastAsia="cs-CZ"/>
        </w:rPr>
        <w:t xml:space="preserve">Sb., </w:t>
      </w:r>
      <w:r w:rsidRPr="008C580D">
        <w:rPr>
          <w:rFonts w:ascii="Calibri" w:hAnsi="Calibri" w:cs="Calibri"/>
          <w:lang w:eastAsia="cs-CZ"/>
        </w:rPr>
        <w:t>o zahraniční rozvojové spolupráci a humanitární pomoci poskytované do zahraničí</w:t>
      </w:r>
      <w:r w:rsidRPr="00AF2801">
        <w:rPr>
          <w:rFonts w:ascii="Calibri" w:hAnsi="Calibri" w:cs="Calibri"/>
          <w:i/>
          <w:lang w:eastAsia="cs-CZ"/>
        </w:rPr>
        <w:t>.</w:t>
      </w:r>
    </w:p>
  </w:footnote>
  <w:footnote w:id="6">
    <w:p w14:paraId="7408E607" w14:textId="77777777" w:rsidR="00BE4AFA" w:rsidRPr="00AF2801" w:rsidRDefault="00BE4AFA" w:rsidP="00AF2801">
      <w:pPr>
        <w:pStyle w:val="poznmkapodarou"/>
        <w:ind w:left="284" w:hanging="284"/>
        <w:rPr>
          <w:rFonts w:ascii="Calibri" w:hAnsi="Calibri" w:cs="Calibri"/>
        </w:rPr>
      </w:pPr>
      <w:r w:rsidRPr="00AF2801">
        <w:rPr>
          <w:rStyle w:val="Znakapoznpodarou"/>
          <w:rFonts w:ascii="Calibri" w:hAnsi="Calibri" w:cs="Calibri"/>
        </w:rPr>
        <w:footnoteRef/>
      </w:r>
      <w:r w:rsidRPr="00AF2801">
        <w:rPr>
          <w:rFonts w:ascii="Calibri" w:hAnsi="Calibri" w:cs="Calibri"/>
        </w:rPr>
        <w:t xml:space="preserve"> </w:t>
      </w:r>
      <w:r>
        <w:rPr>
          <w:rFonts w:ascii="Calibri" w:hAnsi="Calibri" w:cs="Calibri"/>
        </w:rPr>
        <w:tab/>
      </w:r>
      <w:r w:rsidRPr="00AF2801">
        <w:rPr>
          <w:rFonts w:ascii="Calibri" w:hAnsi="Calibri" w:cs="Calibri"/>
        </w:rPr>
        <w:t>Usnesení vlády České republiky ze dne 25. července 2012 č. 581</w:t>
      </w:r>
      <w:r w:rsidRPr="00AF2801">
        <w:rPr>
          <w:rFonts w:ascii="Calibri" w:hAnsi="Calibri" w:cs="Calibri"/>
          <w:i/>
        </w:rPr>
        <w:t>, k vyhodnocení nákladů spojených s členstvím České republiky v mezinárodních organizacích</w:t>
      </w:r>
      <w:r w:rsidRPr="00AF2801">
        <w:rPr>
          <w:rFonts w:ascii="Calibri" w:hAnsi="Calibri" w:cs="Calibri"/>
        </w:rPr>
        <w:t>.</w:t>
      </w:r>
    </w:p>
  </w:footnote>
  <w:footnote w:id="7">
    <w:p w14:paraId="146D8D56" w14:textId="77777777" w:rsidR="00BE4AFA" w:rsidRPr="00AF2801" w:rsidRDefault="00BE4AFA" w:rsidP="00AF2801">
      <w:pPr>
        <w:pStyle w:val="poznmkapodarou"/>
        <w:ind w:left="284" w:hanging="284"/>
        <w:rPr>
          <w:rFonts w:ascii="Calibri" w:hAnsi="Calibri" w:cs="Calibri"/>
        </w:rPr>
      </w:pPr>
      <w:r w:rsidRPr="00AF2801">
        <w:rPr>
          <w:rStyle w:val="Znakapoznpodarou"/>
          <w:rFonts w:ascii="Calibri" w:hAnsi="Calibri" w:cs="Calibri"/>
        </w:rPr>
        <w:footnoteRef/>
      </w:r>
      <w:r w:rsidRPr="00AF2801">
        <w:rPr>
          <w:rFonts w:ascii="Calibri" w:hAnsi="Calibri" w:cs="Calibri"/>
        </w:rPr>
        <w:t xml:space="preserve"> </w:t>
      </w:r>
      <w:r>
        <w:rPr>
          <w:rFonts w:ascii="Calibri" w:hAnsi="Calibri" w:cs="Calibri"/>
        </w:rPr>
        <w:tab/>
      </w:r>
      <w:r w:rsidRPr="00AF2801">
        <w:rPr>
          <w:rFonts w:ascii="Calibri" w:hAnsi="Calibri" w:cs="Calibri"/>
        </w:rPr>
        <w:t xml:space="preserve">Usnesení vlády České republiky ze dne 2. května 2013 č. 317, </w:t>
      </w:r>
      <w:r w:rsidRPr="00AF2801">
        <w:rPr>
          <w:rFonts w:ascii="Calibri" w:hAnsi="Calibri" w:cs="Calibri"/>
          <w:i/>
        </w:rPr>
        <w:t>ke členství České republiky v mezinárodních organizacích</w:t>
      </w:r>
      <w:r w:rsidRPr="00AF2801">
        <w:rPr>
          <w:rFonts w:ascii="Calibri" w:hAnsi="Calibri" w:cs="Calibri"/>
        </w:rPr>
        <w:t>.</w:t>
      </w:r>
    </w:p>
  </w:footnote>
  <w:footnote w:id="8">
    <w:p w14:paraId="49D3DA35" w14:textId="77777777" w:rsidR="00BE4AFA" w:rsidRPr="009213E8" w:rsidRDefault="00BE4AFA" w:rsidP="009213E8">
      <w:pPr>
        <w:pStyle w:val="Textpoznpodarou"/>
        <w:ind w:left="284" w:hanging="284"/>
        <w:rPr>
          <w:rFonts w:ascii="Calibri" w:hAnsi="Calibri" w:cs="Calibri"/>
        </w:rPr>
      </w:pPr>
      <w:r w:rsidRPr="009213E8">
        <w:rPr>
          <w:rStyle w:val="Znakapoznpodarou"/>
          <w:rFonts w:ascii="Calibri" w:hAnsi="Calibri" w:cs="Calibri"/>
        </w:rPr>
        <w:footnoteRef/>
      </w:r>
      <w:r w:rsidRPr="009213E8">
        <w:rPr>
          <w:rFonts w:ascii="Calibri" w:hAnsi="Calibri" w:cs="Calibri"/>
        </w:rPr>
        <w:t xml:space="preserve"> </w:t>
      </w:r>
      <w:r>
        <w:rPr>
          <w:rFonts w:ascii="Calibri" w:hAnsi="Calibri" w:cs="Calibri"/>
        </w:rPr>
        <w:tab/>
      </w:r>
      <w:r w:rsidRPr="009213E8">
        <w:rPr>
          <w:rFonts w:ascii="Calibri" w:hAnsi="Calibri" w:cs="Calibri"/>
        </w:rPr>
        <w:t xml:space="preserve">Zdroj: </w:t>
      </w:r>
      <w:r w:rsidRPr="009213E8">
        <w:rPr>
          <w:rFonts w:ascii="Calibri" w:eastAsia="Times New Roman" w:hAnsi="Calibri" w:cs="Calibri"/>
          <w:i/>
          <w:lang w:eastAsia="cs-CZ"/>
        </w:rPr>
        <w:t>Úplný kategorizovaný seznam členství České republiky v mezinárodních organizacích na úrovni státu nebo resortu</w:t>
      </w:r>
      <w:r w:rsidRPr="009213E8">
        <w:rPr>
          <w:rFonts w:ascii="Calibri" w:eastAsia="Times New Roman" w:hAnsi="Calibri" w:cs="Calibri"/>
          <w:lang w:eastAsia="cs-CZ"/>
        </w:rPr>
        <w:t xml:space="preserve"> ke dni 30. 9. 2012.</w:t>
      </w:r>
    </w:p>
  </w:footnote>
  <w:footnote w:id="9">
    <w:p w14:paraId="5F670569" w14:textId="67A9BFBF" w:rsidR="00BE4AFA" w:rsidRPr="009213E8" w:rsidRDefault="00BE4AFA" w:rsidP="009213E8">
      <w:pPr>
        <w:pStyle w:val="Textpoznpodarou"/>
        <w:ind w:left="284" w:hanging="284"/>
        <w:rPr>
          <w:rFonts w:ascii="Calibri" w:hAnsi="Calibri" w:cs="Calibri"/>
        </w:rPr>
      </w:pPr>
      <w:r w:rsidRPr="009213E8">
        <w:rPr>
          <w:rStyle w:val="Znakapoznpodarou"/>
          <w:rFonts w:ascii="Calibri" w:hAnsi="Calibri" w:cs="Calibri"/>
        </w:rPr>
        <w:footnoteRef/>
      </w:r>
      <w:r w:rsidRPr="009213E8">
        <w:rPr>
          <w:rFonts w:ascii="Calibri" w:hAnsi="Calibri" w:cs="Calibri"/>
        </w:rPr>
        <w:t xml:space="preserve"> </w:t>
      </w:r>
      <w:r>
        <w:rPr>
          <w:rFonts w:ascii="Calibri" w:hAnsi="Calibri" w:cs="Calibri"/>
        </w:rPr>
        <w:tab/>
      </w:r>
      <w:r w:rsidRPr="009213E8">
        <w:rPr>
          <w:rFonts w:ascii="Calibri" w:hAnsi="Calibri" w:cs="Calibri"/>
        </w:rPr>
        <w:t xml:space="preserve">Jedná se MEO uvedené ve Strategii ČMEO. Některé z prioritních MEO jsou rovněž MEO zásadního zahraničněpolitického významu dle UV </w:t>
      </w:r>
      <w:r>
        <w:rPr>
          <w:rFonts w:ascii="Calibri" w:hAnsi="Calibri" w:cs="Calibri"/>
        </w:rPr>
        <w:t>č. </w:t>
      </w:r>
      <w:r w:rsidRPr="009213E8">
        <w:rPr>
          <w:rFonts w:ascii="Calibri" w:hAnsi="Calibri" w:cs="Calibri"/>
        </w:rPr>
        <w:t>317/2013. Přehled prioritních MEO a MEO zásadního zahraničněpolitického významu však není totožný.</w:t>
      </w:r>
    </w:p>
  </w:footnote>
  <w:footnote w:id="10">
    <w:p w14:paraId="0E47650A" w14:textId="77777777" w:rsidR="00BE4AFA" w:rsidRPr="001C34BC" w:rsidRDefault="00BE4AFA" w:rsidP="00245810">
      <w:pPr>
        <w:pStyle w:val="Textpoznpodarou"/>
        <w:ind w:left="284" w:hanging="284"/>
      </w:pPr>
      <w:r>
        <w:rPr>
          <w:rStyle w:val="Znakapoznpodarou"/>
        </w:rPr>
        <w:footnoteRef/>
      </w:r>
      <w:r>
        <w:t xml:space="preserve"> </w:t>
      </w:r>
      <w:r>
        <w:tab/>
        <w:t xml:space="preserve">Zákon č. 218/2000 Sb., </w:t>
      </w:r>
      <w:r w:rsidRPr="001C34BC">
        <w:t>o rozpočtových pravidlech a o změně některých souvisejících zákonů (rozpočtová pravidla).</w:t>
      </w:r>
    </w:p>
  </w:footnote>
  <w:footnote w:id="11">
    <w:p w14:paraId="63FBE694" w14:textId="21CD3376" w:rsidR="00BE4AFA" w:rsidRPr="00407163" w:rsidRDefault="00BE4AFA" w:rsidP="00F373B0">
      <w:pPr>
        <w:pStyle w:val="poznmkapodarou"/>
        <w:ind w:left="284" w:hanging="284"/>
        <w:rPr>
          <w:rFonts w:asciiTheme="minorHAnsi" w:hAnsiTheme="minorHAnsi"/>
        </w:rPr>
      </w:pPr>
      <w:r w:rsidRPr="00407163">
        <w:rPr>
          <w:rStyle w:val="Znakapoznpodarou"/>
          <w:rFonts w:asciiTheme="minorHAnsi" w:hAnsiTheme="minorHAnsi"/>
        </w:rPr>
        <w:footnoteRef/>
      </w:r>
      <w:r>
        <w:rPr>
          <w:rFonts w:asciiTheme="minorHAnsi" w:hAnsiTheme="minorHAnsi"/>
        </w:rPr>
        <w:t> </w:t>
      </w:r>
      <w:r>
        <w:rPr>
          <w:rFonts w:asciiTheme="minorHAnsi" w:hAnsiTheme="minorHAnsi"/>
        </w:rPr>
        <w:tab/>
      </w:r>
      <w:r w:rsidRPr="00407163">
        <w:rPr>
          <w:rFonts w:asciiTheme="minorHAnsi" w:hAnsiTheme="minorHAnsi"/>
        </w:rPr>
        <w:t xml:space="preserve">Viz </w:t>
      </w:r>
      <w:r w:rsidRPr="00407163">
        <w:rPr>
          <w:rFonts w:asciiTheme="minorHAnsi" w:eastAsiaTheme="minorHAnsi" w:hAnsiTheme="minorHAnsi"/>
          <w:color w:val="000000" w:themeColor="text1"/>
        </w:rPr>
        <w:t xml:space="preserve">čl. 2 písm. a) </w:t>
      </w:r>
      <w:r w:rsidRPr="00407163">
        <w:rPr>
          <w:rFonts w:asciiTheme="minorHAnsi" w:eastAsiaTheme="minorHAnsi" w:hAnsiTheme="minorHAnsi"/>
        </w:rPr>
        <w:t xml:space="preserve">článků </w:t>
      </w:r>
      <w:r w:rsidRPr="00407163">
        <w:rPr>
          <w:rFonts w:asciiTheme="minorHAnsi" w:eastAsiaTheme="minorHAnsi" w:hAnsiTheme="minorHAnsi"/>
          <w:i/>
          <w:color w:val="000000" w:themeColor="text1"/>
        </w:rPr>
        <w:t xml:space="preserve">O odpovědnosti mezinárodních organizací. </w:t>
      </w:r>
      <w:r w:rsidRPr="00407163">
        <w:rPr>
          <w:rFonts w:asciiTheme="minorHAnsi" w:eastAsiaTheme="minorHAnsi" w:hAnsiTheme="minorHAnsi"/>
          <w:color w:val="000000" w:themeColor="text1"/>
        </w:rPr>
        <w:t>Tyto články</w:t>
      </w:r>
      <w:r w:rsidRPr="00407163">
        <w:rPr>
          <w:rFonts w:asciiTheme="minorHAnsi" w:eastAsiaTheme="minorHAnsi" w:hAnsiTheme="minorHAnsi"/>
          <w:i/>
          <w:color w:val="000000" w:themeColor="text1"/>
        </w:rPr>
        <w:t xml:space="preserve"> </w:t>
      </w:r>
      <w:r w:rsidRPr="00407163">
        <w:rPr>
          <w:rFonts w:asciiTheme="minorHAnsi" w:eastAsiaTheme="minorHAnsi" w:hAnsiTheme="minorHAnsi"/>
        </w:rPr>
        <w:t>vzalo na vědomí Valné shromáždění OSN svojí rezolucí č. 66/100 ze dne 9. 12. 2011. Přestože není tato rezoluce právně z</w:t>
      </w:r>
      <w:r>
        <w:rPr>
          <w:rFonts w:asciiTheme="minorHAnsi" w:eastAsiaTheme="minorHAnsi" w:hAnsiTheme="minorHAnsi"/>
        </w:rPr>
        <w:t>ávazná, je široce respektována.</w:t>
      </w:r>
    </w:p>
  </w:footnote>
  <w:footnote w:id="12">
    <w:p w14:paraId="51C9B393" w14:textId="77777777" w:rsidR="00BE4AFA" w:rsidRDefault="00BE4AFA" w:rsidP="00F373B0">
      <w:pPr>
        <w:pStyle w:val="Textpoznpodarou"/>
        <w:ind w:left="284" w:hanging="284"/>
      </w:pPr>
      <w:r>
        <w:rPr>
          <w:rStyle w:val="Znakapoznpodarou"/>
        </w:rPr>
        <w:footnoteRef/>
      </w:r>
      <w:r>
        <w:t xml:space="preserve"> </w:t>
      </w:r>
      <w:r>
        <w:tab/>
        <w:t>Ústavní zákon č. 1/1993 Sb.,</w:t>
      </w:r>
      <w:r w:rsidRPr="00FF5621">
        <w:t xml:space="preserve"> </w:t>
      </w:r>
      <w:r w:rsidRPr="001C34BC">
        <w:t>Ústava České republiky</w:t>
      </w:r>
      <w:r>
        <w:t>.</w:t>
      </w:r>
    </w:p>
  </w:footnote>
  <w:footnote w:id="13">
    <w:p w14:paraId="41FAF940" w14:textId="77777777" w:rsidR="00BE4AFA" w:rsidRPr="00407163" w:rsidRDefault="00BE4AFA" w:rsidP="00F373B0">
      <w:pPr>
        <w:pStyle w:val="poznmkapodarou"/>
        <w:ind w:left="284" w:hanging="284"/>
        <w:rPr>
          <w:rFonts w:asciiTheme="minorHAnsi" w:hAnsiTheme="minorHAnsi"/>
        </w:rPr>
      </w:pPr>
      <w:r w:rsidRPr="00407163">
        <w:rPr>
          <w:rStyle w:val="Znakapoznpodarou"/>
          <w:rFonts w:asciiTheme="minorHAnsi" w:hAnsiTheme="minorHAnsi"/>
        </w:rPr>
        <w:footnoteRef/>
      </w:r>
      <w:r w:rsidRPr="00407163">
        <w:rPr>
          <w:rFonts w:asciiTheme="minorHAnsi" w:hAnsiTheme="minorHAnsi"/>
        </w:rPr>
        <w:t xml:space="preserve"> </w:t>
      </w:r>
      <w:r>
        <w:rPr>
          <w:rFonts w:asciiTheme="minorHAnsi" w:hAnsiTheme="minorHAnsi"/>
        </w:rPr>
        <w:tab/>
      </w:r>
      <w:r w:rsidRPr="00407163">
        <w:rPr>
          <w:rFonts w:asciiTheme="minorHAnsi" w:hAnsiTheme="minorHAnsi"/>
        </w:rPr>
        <w:t>ČR může figurovat např. jako člen, přidružený člen, pozorovatel, donor</w:t>
      </w:r>
      <w:r>
        <w:rPr>
          <w:rFonts w:asciiTheme="minorHAnsi" w:hAnsiTheme="minorHAnsi"/>
        </w:rPr>
        <w:t>.</w:t>
      </w:r>
    </w:p>
  </w:footnote>
  <w:footnote w:id="14">
    <w:p w14:paraId="5438E6D6" w14:textId="64B42619" w:rsidR="00BE4AFA" w:rsidRPr="00407163" w:rsidRDefault="00BE4AFA" w:rsidP="00F373B0">
      <w:pPr>
        <w:pStyle w:val="poznmkapodarou"/>
        <w:ind w:left="284" w:hanging="284"/>
        <w:rPr>
          <w:rFonts w:asciiTheme="minorHAnsi" w:hAnsiTheme="minorHAnsi"/>
        </w:rPr>
      </w:pPr>
      <w:r w:rsidRPr="00407163">
        <w:rPr>
          <w:rStyle w:val="Znakapoznpodarou"/>
          <w:rFonts w:asciiTheme="minorHAnsi" w:hAnsiTheme="minorHAnsi"/>
        </w:rPr>
        <w:footnoteRef/>
      </w:r>
      <w:r w:rsidRPr="00407163">
        <w:rPr>
          <w:rFonts w:asciiTheme="minorHAnsi" w:hAnsiTheme="minorHAnsi"/>
        </w:rPr>
        <w:t xml:space="preserve"> </w:t>
      </w:r>
      <w:r>
        <w:rPr>
          <w:rFonts w:asciiTheme="minorHAnsi" w:hAnsiTheme="minorHAnsi"/>
        </w:rPr>
        <w:tab/>
      </w:r>
      <w:r w:rsidRPr="00407163">
        <w:rPr>
          <w:rFonts w:asciiTheme="minorHAnsi" w:hAnsiTheme="minorHAnsi"/>
        </w:rPr>
        <w:t xml:space="preserve">V kontrole NKÚ aplikoval širší pojetí </w:t>
      </w:r>
      <w:r>
        <w:rPr>
          <w:rFonts w:asciiTheme="minorHAnsi" w:hAnsiTheme="minorHAnsi"/>
        </w:rPr>
        <w:t>MEO</w:t>
      </w:r>
      <w:r w:rsidRPr="00407163">
        <w:rPr>
          <w:rFonts w:asciiTheme="minorHAnsi" w:hAnsiTheme="minorHAnsi"/>
        </w:rPr>
        <w:t xml:space="preserve">, které překračuje definiční vymezení </w:t>
      </w:r>
      <w:r>
        <w:rPr>
          <w:rFonts w:asciiTheme="minorHAnsi" w:hAnsiTheme="minorHAnsi"/>
        </w:rPr>
        <w:t>MEO</w:t>
      </w:r>
      <w:r w:rsidRPr="00407163">
        <w:rPr>
          <w:rFonts w:asciiTheme="minorHAnsi" w:hAnsiTheme="minorHAnsi"/>
        </w:rPr>
        <w:t xml:space="preserve"> uváděné v </w:t>
      </w:r>
      <w:r w:rsidRPr="00407163">
        <w:rPr>
          <w:rFonts w:asciiTheme="minorHAnsi" w:eastAsiaTheme="minorHAnsi" w:hAnsiTheme="minorHAnsi"/>
        </w:rPr>
        <w:t>rezoluci OSN č. 66/100</w:t>
      </w:r>
      <w:r w:rsidRPr="00407163">
        <w:rPr>
          <w:rFonts w:asciiTheme="minorHAnsi" w:hAnsiTheme="minorHAnsi"/>
        </w:rPr>
        <w:t xml:space="preserve">. Důvodem je skutečnost, že </w:t>
      </w:r>
      <w:r w:rsidRPr="00407163">
        <w:rPr>
          <w:rFonts w:asciiTheme="minorHAnsi" w:hAnsiTheme="minorHAnsi"/>
          <w:lang w:eastAsia="cs-CZ"/>
        </w:rPr>
        <w:t xml:space="preserve">z materiálů k UV </w:t>
      </w:r>
      <w:r>
        <w:rPr>
          <w:rFonts w:asciiTheme="minorHAnsi" w:hAnsiTheme="minorHAnsi"/>
          <w:lang w:eastAsia="cs-CZ"/>
        </w:rPr>
        <w:t>č. </w:t>
      </w:r>
      <w:r w:rsidRPr="00407163">
        <w:rPr>
          <w:rFonts w:asciiTheme="minorHAnsi" w:hAnsiTheme="minorHAnsi"/>
          <w:lang w:eastAsia="cs-CZ"/>
        </w:rPr>
        <w:t xml:space="preserve">581/2012 i UV </w:t>
      </w:r>
      <w:r>
        <w:rPr>
          <w:rFonts w:asciiTheme="minorHAnsi" w:hAnsiTheme="minorHAnsi"/>
          <w:lang w:eastAsia="cs-CZ"/>
        </w:rPr>
        <w:t>č. </w:t>
      </w:r>
      <w:r w:rsidRPr="00407163">
        <w:rPr>
          <w:rFonts w:asciiTheme="minorHAnsi" w:hAnsiTheme="minorHAnsi"/>
          <w:lang w:eastAsia="cs-CZ"/>
        </w:rPr>
        <w:t>317/2013 vyplývá, že pojem mezinárodní organizace zde uváděný se týkal všech mezinárodních institucí, ke kterým má ČR závazek úhrady přísp</w:t>
      </w:r>
      <w:r>
        <w:rPr>
          <w:rFonts w:asciiTheme="minorHAnsi" w:hAnsiTheme="minorHAnsi"/>
          <w:lang w:eastAsia="cs-CZ"/>
        </w:rPr>
        <w:t>ěvků a </w:t>
      </w:r>
      <w:r w:rsidRPr="00407163">
        <w:rPr>
          <w:rFonts w:asciiTheme="minorHAnsi" w:hAnsiTheme="minorHAnsi"/>
          <w:lang w:eastAsia="cs-CZ"/>
        </w:rPr>
        <w:t xml:space="preserve">kterým poskytuje další peněžní prostředky. </w:t>
      </w:r>
      <w:r w:rsidRPr="00407163">
        <w:rPr>
          <w:rFonts w:asciiTheme="minorHAnsi" w:hAnsiTheme="minorHAnsi"/>
        </w:rPr>
        <w:t>Širší pojetí pojmu mezinárodní or</w:t>
      </w:r>
      <w:r>
        <w:rPr>
          <w:rFonts w:asciiTheme="minorHAnsi" w:hAnsiTheme="minorHAnsi"/>
        </w:rPr>
        <w:t>ganizace uvádí také vyhláška č. </w:t>
      </w:r>
      <w:r w:rsidRPr="00407163">
        <w:rPr>
          <w:rFonts w:asciiTheme="minorHAnsi" w:hAnsiTheme="minorHAnsi"/>
        </w:rPr>
        <w:t xml:space="preserve">323/2002 </w:t>
      </w:r>
      <w:r w:rsidRPr="00A906FB">
        <w:rPr>
          <w:rFonts w:asciiTheme="minorHAnsi" w:hAnsiTheme="minorHAnsi"/>
        </w:rPr>
        <w:t xml:space="preserve">Sb., </w:t>
      </w:r>
      <w:r w:rsidRPr="001C34BC">
        <w:rPr>
          <w:rFonts w:asciiTheme="minorHAnsi" w:hAnsiTheme="minorHAnsi"/>
        </w:rPr>
        <w:t>o rozpočtové skladbě</w:t>
      </w:r>
      <w:r w:rsidRPr="00A906FB">
        <w:rPr>
          <w:rFonts w:asciiTheme="minorHAnsi" w:hAnsiTheme="minorHAnsi"/>
        </w:rPr>
        <w:t>.</w:t>
      </w:r>
      <w:r w:rsidRPr="00407163">
        <w:rPr>
          <w:rFonts w:asciiTheme="minorHAnsi" w:hAnsiTheme="minorHAnsi"/>
        </w:rPr>
        <w:t xml:space="preserve"> Může se jednat jak o mezinár</w:t>
      </w:r>
      <w:r>
        <w:rPr>
          <w:rFonts w:asciiTheme="minorHAnsi" w:hAnsiTheme="minorHAnsi"/>
        </w:rPr>
        <w:t>odní vládní organizace, tak i o </w:t>
      </w:r>
      <w:r w:rsidRPr="00407163">
        <w:rPr>
          <w:rFonts w:asciiTheme="minorHAnsi" w:hAnsiTheme="minorHAnsi"/>
        </w:rPr>
        <w:t>mezinárodní organizace nevládní, mezinárodní orgány, mezinárodní dohody a úmluvy, hybridní mezinárodní org</w:t>
      </w:r>
      <w:r>
        <w:rPr>
          <w:rFonts w:asciiTheme="minorHAnsi" w:hAnsiTheme="minorHAnsi"/>
        </w:rPr>
        <w:t>anizace, mezinárodní projekty a </w:t>
      </w:r>
      <w:r w:rsidRPr="00407163">
        <w:rPr>
          <w:rFonts w:asciiTheme="minorHAnsi" w:hAnsiTheme="minorHAnsi"/>
        </w:rPr>
        <w:t>programy, mezinárodní fondy a nadace, mezi</w:t>
      </w:r>
      <w:r>
        <w:rPr>
          <w:rFonts w:asciiTheme="minorHAnsi" w:hAnsiTheme="minorHAnsi"/>
        </w:rPr>
        <w:t>národní fóra a </w:t>
      </w:r>
      <w:r w:rsidRPr="00407163">
        <w:rPr>
          <w:rFonts w:asciiTheme="minorHAnsi" w:hAnsiTheme="minorHAnsi"/>
        </w:rPr>
        <w:t>platformy, mezinárodní smluvní režimy, mezinárodní odborné asociace a profesní sdruže</w:t>
      </w:r>
      <w:r>
        <w:rPr>
          <w:rFonts w:asciiTheme="minorHAnsi" w:hAnsiTheme="minorHAnsi"/>
        </w:rPr>
        <w:t>ní, zahraniční národní entity a </w:t>
      </w:r>
      <w:r w:rsidRPr="00407163">
        <w:rPr>
          <w:rFonts w:asciiTheme="minorHAnsi" w:hAnsiTheme="minorHAnsi"/>
        </w:rPr>
        <w:t>případně i další subjekty.</w:t>
      </w:r>
    </w:p>
  </w:footnote>
  <w:footnote w:id="15">
    <w:p w14:paraId="25FC90BC" w14:textId="2AE061CA" w:rsidR="00BE4AFA" w:rsidRDefault="00BE4AFA" w:rsidP="00F373B0">
      <w:pPr>
        <w:pStyle w:val="Textpoznpodarou"/>
        <w:ind w:left="284" w:hanging="284"/>
      </w:pPr>
      <w:r>
        <w:rPr>
          <w:rStyle w:val="Znakapoznpodarou"/>
        </w:rPr>
        <w:footnoteRef/>
      </w:r>
      <w:r>
        <w:t xml:space="preserve"> </w:t>
      </w:r>
      <w:r>
        <w:tab/>
        <w:t xml:space="preserve">Viz </w:t>
      </w:r>
      <w:proofErr w:type="spellStart"/>
      <w:r>
        <w:t>Kořan</w:t>
      </w:r>
      <w:proofErr w:type="spellEnd"/>
      <w:r>
        <w:t xml:space="preserve"> M., Bílková V., </w:t>
      </w:r>
      <w:proofErr w:type="spellStart"/>
      <w:r>
        <w:t>Kolmaš</w:t>
      </w:r>
      <w:proofErr w:type="spellEnd"/>
      <w:r>
        <w:t xml:space="preserve"> M., </w:t>
      </w:r>
      <w:proofErr w:type="spellStart"/>
      <w:r>
        <w:t>Kolmašová</w:t>
      </w:r>
      <w:proofErr w:type="spellEnd"/>
      <w:r>
        <w:t xml:space="preserve"> Š.: </w:t>
      </w:r>
      <w:r w:rsidRPr="00BD63FE">
        <w:rPr>
          <w:i/>
        </w:rPr>
        <w:t>Česká republika v mezinárodn</w:t>
      </w:r>
      <w:r>
        <w:rPr>
          <w:i/>
        </w:rPr>
        <w:t>ích organizacích: mezi teorií a </w:t>
      </w:r>
      <w:r w:rsidRPr="00BD63FE">
        <w:rPr>
          <w:i/>
        </w:rPr>
        <w:t>praxí</w:t>
      </w:r>
      <w:r>
        <w:t>. Praha 2015.</w:t>
      </w:r>
    </w:p>
  </w:footnote>
  <w:footnote w:id="16">
    <w:p w14:paraId="654952D6" w14:textId="77777777" w:rsidR="00BE4AFA" w:rsidRPr="002044D4" w:rsidRDefault="00BE4AFA" w:rsidP="00F373B0">
      <w:pPr>
        <w:pStyle w:val="Textpoznpodarou"/>
        <w:ind w:left="284" w:hanging="284"/>
      </w:pPr>
      <w:r>
        <w:rPr>
          <w:rStyle w:val="Znakapoznpodarou"/>
        </w:rPr>
        <w:footnoteRef/>
      </w:r>
      <w:r>
        <w:t> </w:t>
      </w:r>
      <w:r>
        <w:tab/>
      </w:r>
      <w:r w:rsidRPr="002044D4">
        <w:t>Kontrolovaný objem finančních prostředků vycházel z poskytnutých peněžních prostředků na</w:t>
      </w:r>
      <w:r>
        <w:t xml:space="preserve"> povinné</w:t>
      </w:r>
      <w:r w:rsidRPr="002044D4">
        <w:t xml:space="preserve"> příspěvky </w:t>
      </w:r>
      <w:r>
        <w:t>MEO</w:t>
      </w:r>
      <w:r w:rsidRPr="002044D4">
        <w:t xml:space="preserve">, tj. peněžních prostředků </w:t>
      </w:r>
      <w:r>
        <w:t xml:space="preserve">MZV </w:t>
      </w:r>
      <w:r w:rsidRPr="002044D4">
        <w:t>vykázaných na rozpočtové položce 5511 ve výši 7</w:t>
      </w:r>
      <w:r>
        <w:t xml:space="preserve"> 221 671 984 Kč, a další</w:t>
      </w:r>
      <w:r w:rsidRPr="002044D4">
        <w:t xml:space="preserve"> příspěvky (peněžní dary a účelové platby) </w:t>
      </w:r>
      <w:r>
        <w:t>MEO</w:t>
      </w:r>
      <w:r w:rsidRPr="002044D4">
        <w:t xml:space="preserve"> vykázané na rozpočtové položce 5531 ve výši</w:t>
      </w:r>
      <w:r>
        <w:t xml:space="preserve"> </w:t>
      </w:r>
      <w:r w:rsidRPr="002044D4">
        <w:t>1 207 592 799 Kč.</w:t>
      </w:r>
    </w:p>
  </w:footnote>
  <w:footnote w:id="17">
    <w:p w14:paraId="48FBD414" w14:textId="0D50D1DB" w:rsidR="00BE4AFA" w:rsidRDefault="00BE4AFA" w:rsidP="00F373B0">
      <w:pPr>
        <w:pStyle w:val="Textpoznpodarou"/>
        <w:ind w:left="284" w:hanging="284"/>
      </w:pPr>
      <w:r>
        <w:rPr>
          <w:rStyle w:val="Znakapoznpodarou"/>
        </w:rPr>
        <w:footnoteRef/>
      </w:r>
      <w:r>
        <w:t xml:space="preserve"> </w:t>
      </w:r>
      <w:r>
        <w:tab/>
      </w:r>
      <w:r w:rsidRPr="002044D4">
        <w:t xml:space="preserve">Kontrolovaný objem finančních prostředků vycházel z poskytnutých </w:t>
      </w:r>
      <w:r>
        <w:t xml:space="preserve">peněžních prostředků vykázaných MŠMT </w:t>
      </w:r>
      <w:proofErr w:type="gramStart"/>
      <w:r>
        <w:t>na</w:t>
      </w:r>
      <w:proofErr w:type="gramEnd"/>
      <w:r>
        <w:t>: rozpočtové položce 5511 v období 2014–2016 ve výši 2 347 347 846 Kč, na rozpočtových položkách 5541 a 5542 v období 2017–2018 ve výši 1 609 930 624 Kč, na rozpočtové položce 5532 v období 2017–2018 ve výši 187 568 991 Kč, dále z peněžních prostředků vynaložených ostatními přímo řízenými organizacemi MŠMT na povinné příspěvky MEO ve výši 14 032 930 Kč.</w:t>
      </w:r>
    </w:p>
  </w:footnote>
  <w:footnote w:id="18">
    <w:p w14:paraId="0003D22B" w14:textId="77777777" w:rsidR="00BE4AFA" w:rsidRPr="00407163" w:rsidRDefault="00BE4AFA" w:rsidP="00F373B0">
      <w:pPr>
        <w:pStyle w:val="Textpoznpodarou"/>
        <w:ind w:left="284" w:hanging="284"/>
      </w:pPr>
      <w:r w:rsidRPr="00407163">
        <w:rPr>
          <w:rStyle w:val="Znakapoznpodarou"/>
        </w:rPr>
        <w:footnoteRef/>
      </w:r>
      <w:r w:rsidRPr="00407163">
        <w:t xml:space="preserve"> </w:t>
      </w:r>
      <w:r>
        <w:tab/>
      </w:r>
      <w:r w:rsidRPr="00407163">
        <w:rPr>
          <w:rFonts w:cstheme="minorHAnsi"/>
        </w:rPr>
        <w:t>Dle článku 1 Směrnice se mezinárodní smlouvou rozumí každé písemné ujednání, bez ohledu na jeho formu a</w:t>
      </w:r>
      <w:r>
        <w:rPr>
          <w:rFonts w:cstheme="minorHAnsi"/>
        </w:rPr>
        <w:t> </w:t>
      </w:r>
      <w:r w:rsidRPr="00407163">
        <w:rPr>
          <w:rFonts w:cstheme="minorHAnsi"/>
        </w:rPr>
        <w:t>název, které ČR sjednává s jedním nebo více státy, případně s jednou nebo více mezinárodními vládními organizacemi, a</w:t>
      </w:r>
      <w:r>
        <w:rPr>
          <w:rFonts w:cstheme="minorHAnsi"/>
        </w:rPr>
        <w:t> </w:t>
      </w:r>
      <w:r w:rsidRPr="00407163">
        <w:rPr>
          <w:rFonts w:cstheme="minorHAnsi"/>
        </w:rPr>
        <w:t>z</w:t>
      </w:r>
      <w:r>
        <w:rPr>
          <w:rFonts w:cstheme="minorHAnsi"/>
        </w:rPr>
        <w:t> </w:t>
      </w:r>
      <w:r w:rsidRPr="00407163">
        <w:rPr>
          <w:rFonts w:cstheme="minorHAnsi"/>
        </w:rPr>
        <w:t>něhož pro smluvní strany vznikají práva a závazky podle mezinárodního práva.</w:t>
      </w:r>
    </w:p>
  </w:footnote>
  <w:footnote w:id="19">
    <w:p w14:paraId="2DA2795D" w14:textId="4837FA79" w:rsidR="00BE4AFA" w:rsidRPr="00407163" w:rsidRDefault="00BE4AFA" w:rsidP="00F373B0">
      <w:pPr>
        <w:pStyle w:val="Textpoznpodarou"/>
        <w:ind w:left="284" w:hanging="284"/>
      </w:pPr>
      <w:r w:rsidRPr="00407163">
        <w:rPr>
          <w:rStyle w:val="Znakapoznpodarou"/>
        </w:rPr>
        <w:footnoteRef/>
      </w:r>
      <w:r>
        <w:t> </w:t>
      </w:r>
      <w:r>
        <w:tab/>
      </w:r>
      <w:r w:rsidRPr="00407163">
        <w:rPr>
          <w:rFonts w:cstheme="minorHAnsi"/>
        </w:rPr>
        <w:t>V</w:t>
      </w:r>
      <w:r>
        <w:rPr>
          <w:rFonts w:cstheme="minorHAnsi"/>
        </w:rPr>
        <w:t xml:space="preserve"> </w:t>
      </w:r>
      <w:r w:rsidRPr="0088043F">
        <w:rPr>
          <w:rFonts w:cstheme="minorHAnsi"/>
        </w:rPr>
        <w:t xml:space="preserve">podkladovém materiálu </w:t>
      </w:r>
      <w:r>
        <w:rPr>
          <w:rFonts w:cstheme="minorHAnsi"/>
        </w:rPr>
        <w:t>pro UV č. 581/</w:t>
      </w:r>
      <w:r w:rsidRPr="0088043F">
        <w:rPr>
          <w:rFonts w:cstheme="minorHAnsi"/>
        </w:rPr>
        <w:t>2012</w:t>
      </w:r>
      <w:r>
        <w:rPr>
          <w:rFonts w:cstheme="minorHAnsi"/>
        </w:rPr>
        <w:t xml:space="preserve"> </w:t>
      </w:r>
      <w:r w:rsidRPr="00407163">
        <w:rPr>
          <w:rFonts w:cstheme="minorHAnsi"/>
        </w:rPr>
        <w:t xml:space="preserve">č. j. 780/12 byl nový významný finanční závazek vymezen negativně: </w:t>
      </w:r>
      <w:r w:rsidRPr="00F73B87">
        <w:rPr>
          <w:rFonts w:cstheme="minorHAnsi"/>
        </w:rPr>
        <w:t>„</w:t>
      </w:r>
      <w:r w:rsidRPr="00407163">
        <w:rPr>
          <w:rFonts w:cstheme="minorHAnsi"/>
          <w:i/>
        </w:rPr>
        <w:t>Za nový významný závazek se v tomto případě nepovažuje automatická změna vyplývající ze základních dokumentů</w:t>
      </w:r>
      <w:r>
        <w:rPr>
          <w:rFonts w:cstheme="minorHAnsi"/>
          <w:i/>
        </w:rPr>
        <w:t> </w:t>
      </w:r>
      <w:r w:rsidRPr="00407163">
        <w:rPr>
          <w:rFonts w:cstheme="minorHAnsi"/>
          <w:i/>
        </w:rPr>
        <w:t>– růst podle daných koeficientů – ani změna částky v Kč v důsledku kursových změn p</w:t>
      </w:r>
      <w:r>
        <w:rPr>
          <w:rFonts w:cstheme="minorHAnsi"/>
          <w:i/>
        </w:rPr>
        <w:t>ři nezměněné nominální částce v </w:t>
      </w:r>
      <w:r w:rsidRPr="00407163">
        <w:rPr>
          <w:rFonts w:cstheme="minorHAnsi"/>
          <w:i/>
        </w:rPr>
        <w:t>originální měně</w:t>
      </w:r>
      <w:r>
        <w:rPr>
          <w:rFonts w:cstheme="minorHAnsi"/>
          <w:i/>
        </w:rPr>
        <w:t>.</w:t>
      </w:r>
      <w:r w:rsidRPr="00F73B87">
        <w:rPr>
          <w:rFonts w:cstheme="minorHAnsi"/>
        </w:rPr>
        <w:t>“</w:t>
      </w:r>
      <w:r w:rsidRPr="00407163">
        <w:rPr>
          <w:rFonts w:cstheme="minorHAnsi"/>
        </w:rPr>
        <w:t xml:space="preserve"> MZV k tomuto dále uvedlo:</w:t>
      </w:r>
      <w:r w:rsidRPr="00F73B87">
        <w:rPr>
          <w:rFonts w:cstheme="minorHAnsi"/>
        </w:rPr>
        <w:t xml:space="preserve"> „</w:t>
      </w:r>
      <w:r w:rsidRPr="00407163">
        <w:rPr>
          <w:rFonts w:cstheme="minorHAnsi"/>
          <w:i/>
        </w:rPr>
        <w:t>V předkládací zprávě jsou explicitně vyjmenovány případy, kdy závazek není považován za významný. Všechny ostatní případy proto představují významný finanční závazek</w:t>
      </w:r>
      <w:r>
        <w:rPr>
          <w:rFonts w:cstheme="minorHAnsi"/>
          <w:i/>
        </w:rPr>
        <w:t>.</w:t>
      </w:r>
      <w:r w:rsidRPr="00F73B87">
        <w:rPr>
          <w:rFonts w:cstheme="minorHAnsi"/>
        </w:rPr>
        <w:t>“</w:t>
      </w:r>
    </w:p>
  </w:footnote>
  <w:footnote w:id="20">
    <w:p w14:paraId="4D16B20A" w14:textId="08F18B97" w:rsidR="00BE4AFA" w:rsidRPr="00407163" w:rsidRDefault="00BE4AFA" w:rsidP="00F373B0">
      <w:pPr>
        <w:pStyle w:val="Textpoznpodarou"/>
        <w:ind w:left="284" w:hanging="284"/>
      </w:pPr>
      <w:r w:rsidRPr="00407163">
        <w:rPr>
          <w:rStyle w:val="Znakapoznpodarou"/>
        </w:rPr>
        <w:footnoteRef/>
      </w:r>
      <w:r w:rsidRPr="00407163">
        <w:t xml:space="preserve"> </w:t>
      </w:r>
      <w:r>
        <w:tab/>
      </w:r>
      <w:r w:rsidRPr="00407163">
        <w:t>Vzhledem k tomu, že MZV nemělo v průběhu kontroly k dispozici úplný a spolehlivý přehled o členství</w:t>
      </w:r>
      <w:r>
        <w:t xml:space="preserve"> ČR a </w:t>
      </w:r>
      <w:r w:rsidRPr="00407163">
        <w:t>jiných formách spolupráce s</w:t>
      </w:r>
      <w:r>
        <w:t> MEO,</w:t>
      </w:r>
      <w:r w:rsidRPr="00407163">
        <w:t xml:space="preserve"> nemusí se jednat o kompletní seznam.</w:t>
      </w:r>
    </w:p>
  </w:footnote>
  <w:footnote w:id="21">
    <w:p w14:paraId="7AB8F558" w14:textId="77777777" w:rsidR="00BE4AFA" w:rsidRDefault="00BE4AFA" w:rsidP="00F373B0">
      <w:pPr>
        <w:pStyle w:val="Textpoznpodarou"/>
        <w:ind w:left="284" w:hanging="284"/>
      </w:pPr>
      <w:r>
        <w:rPr>
          <w:rStyle w:val="Znakapoznpodarou"/>
        </w:rPr>
        <w:footnoteRef/>
      </w:r>
      <w:r>
        <w:t xml:space="preserve"> </w:t>
      </w:r>
      <w:r>
        <w:tab/>
        <w:t>Jedná se o počet MEO, kterým byl poskytnut příspěvek alespoň v jednom z roků 2016 (viz pracovní přehled MZV zpracovaný v roce 2017) nebo 2018 (viz dotazníkové šetření NKÚ). Pokud byl MEO poskytnut příspěvek v obou letech, byla MEO započítána pouze jednou. Údaje o spolupráci s MEO a poskytnutých prostředcích za další roky v kontrolovaném období nebyly k dispozici.</w:t>
      </w:r>
    </w:p>
  </w:footnote>
  <w:footnote w:id="22">
    <w:p w14:paraId="24A9330C" w14:textId="2C189316" w:rsidR="00BE4AFA" w:rsidRPr="00407163" w:rsidRDefault="00BE4AFA" w:rsidP="008E6FA3">
      <w:pPr>
        <w:autoSpaceDE w:val="0"/>
        <w:autoSpaceDN w:val="0"/>
        <w:adjustRightInd w:val="0"/>
        <w:spacing w:after="0"/>
        <w:ind w:left="284" w:hanging="284"/>
        <w:jc w:val="both"/>
        <w:rPr>
          <w:rFonts w:cstheme="minorHAnsi"/>
          <w:bCs/>
          <w:sz w:val="20"/>
          <w:szCs w:val="20"/>
        </w:rPr>
      </w:pPr>
      <w:r w:rsidRPr="00407163">
        <w:rPr>
          <w:rStyle w:val="Znakapoznpodarou"/>
          <w:sz w:val="20"/>
          <w:szCs w:val="20"/>
        </w:rPr>
        <w:footnoteRef/>
      </w:r>
      <w:r>
        <w:rPr>
          <w:sz w:val="20"/>
          <w:szCs w:val="20"/>
        </w:rPr>
        <w:t> </w:t>
      </w:r>
      <w:r>
        <w:rPr>
          <w:sz w:val="20"/>
          <w:szCs w:val="20"/>
        </w:rPr>
        <w:tab/>
      </w:r>
      <w:r w:rsidRPr="00E31F0D">
        <w:rPr>
          <w:rFonts w:cstheme="minorHAnsi"/>
          <w:bCs/>
          <w:i/>
          <w:sz w:val="20"/>
          <w:szCs w:val="20"/>
        </w:rPr>
        <w:t>Úplný kategorizovaný seznam členství České republiky v mezinárodních organizacích na úrovni státu nebo resortu</w:t>
      </w:r>
      <w:r>
        <w:rPr>
          <w:rFonts w:cstheme="minorHAnsi"/>
          <w:bCs/>
          <w:sz w:val="20"/>
          <w:szCs w:val="20"/>
        </w:rPr>
        <w:t> –</w:t>
      </w:r>
      <w:r w:rsidRPr="00407163">
        <w:rPr>
          <w:rFonts w:cstheme="minorHAnsi"/>
          <w:bCs/>
          <w:sz w:val="20"/>
          <w:szCs w:val="20"/>
        </w:rPr>
        <w:t xml:space="preserve"> </w:t>
      </w:r>
      <w:r>
        <w:rPr>
          <w:rFonts w:cstheme="minorHAnsi"/>
          <w:bCs/>
          <w:sz w:val="20"/>
          <w:szCs w:val="20"/>
        </w:rPr>
        <w:t>s</w:t>
      </w:r>
      <w:r w:rsidRPr="00407163">
        <w:rPr>
          <w:rFonts w:cstheme="minorHAnsi"/>
          <w:bCs/>
          <w:sz w:val="20"/>
          <w:szCs w:val="20"/>
        </w:rPr>
        <w:t>eznam zpracovalo MZV na základě podkladů od gestorů (resortů) ke dni 30. 09</w:t>
      </w:r>
      <w:r>
        <w:rPr>
          <w:rFonts w:cstheme="minorHAnsi"/>
          <w:bCs/>
          <w:sz w:val="20"/>
          <w:szCs w:val="20"/>
        </w:rPr>
        <w:t>. 2012, s výjimkou nezbytných a </w:t>
      </w:r>
      <w:r w:rsidRPr="00407163">
        <w:rPr>
          <w:rFonts w:cstheme="minorHAnsi"/>
          <w:bCs/>
          <w:sz w:val="20"/>
          <w:szCs w:val="20"/>
        </w:rPr>
        <w:t>jednoznačných úprav.</w:t>
      </w:r>
    </w:p>
  </w:footnote>
  <w:footnote w:id="23">
    <w:p w14:paraId="0A18136D" w14:textId="77777777" w:rsidR="00BE4AFA" w:rsidRPr="00AB3254" w:rsidRDefault="00BE4AFA" w:rsidP="00AB3254">
      <w:pPr>
        <w:pStyle w:val="Textpoznpodarou"/>
        <w:ind w:left="284" w:hanging="284"/>
        <w:rPr>
          <w:rFonts w:ascii="Calibri" w:hAnsi="Calibri" w:cs="Calibri"/>
        </w:rPr>
      </w:pPr>
      <w:r w:rsidRPr="00AB3254">
        <w:rPr>
          <w:rStyle w:val="Znakapoznpodarou"/>
          <w:rFonts w:ascii="Calibri" w:hAnsi="Calibri" w:cs="Calibri"/>
        </w:rPr>
        <w:footnoteRef/>
      </w:r>
      <w:r w:rsidRPr="00AB3254">
        <w:rPr>
          <w:rFonts w:ascii="Calibri" w:hAnsi="Calibri" w:cs="Calibri"/>
        </w:rPr>
        <w:t xml:space="preserve"> </w:t>
      </w:r>
      <w:r>
        <w:rPr>
          <w:rFonts w:ascii="Calibri" w:hAnsi="Calibri" w:cs="Calibri"/>
        </w:rPr>
        <w:tab/>
      </w:r>
      <w:r w:rsidRPr="00AB3254">
        <w:rPr>
          <w:rFonts w:ascii="Calibri" w:hAnsi="Calibri" w:cs="Calibri"/>
        </w:rPr>
        <w:t>Zákon č. 2/1969 Sb., o zřízení ministerstev a jiných ústředních orgánů státní správy České republiky.</w:t>
      </w:r>
    </w:p>
  </w:footnote>
  <w:footnote w:id="24">
    <w:p w14:paraId="58ADFBB0" w14:textId="50FE01B8" w:rsidR="00BE4AFA" w:rsidRPr="009162B1" w:rsidRDefault="00BE4AFA" w:rsidP="009162B1">
      <w:pPr>
        <w:pStyle w:val="poznmkapodarou"/>
        <w:ind w:left="284" w:hanging="284"/>
        <w:rPr>
          <w:rFonts w:ascii="Calibri" w:hAnsi="Calibri" w:cs="Calibri"/>
          <w:lang w:eastAsia="cs-CZ"/>
        </w:rPr>
      </w:pPr>
      <w:r w:rsidRPr="009162B1">
        <w:rPr>
          <w:rStyle w:val="Znakapoznpodarou"/>
          <w:rFonts w:ascii="Calibri" w:hAnsi="Calibri" w:cs="Calibri"/>
        </w:rPr>
        <w:footnoteRef/>
      </w:r>
      <w:r w:rsidRPr="009162B1">
        <w:rPr>
          <w:rFonts w:ascii="Calibri" w:hAnsi="Calibri" w:cs="Calibri"/>
        </w:rPr>
        <w:t> </w:t>
      </w:r>
      <w:r>
        <w:rPr>
          <w:rFonts w:ascii="Calibri" w:hAnsi="Calibri" w:cs="Calibri"/>
        </w:rPr>
        <w:tab/>
      </w:r>
      <w:r w:rsidRPr="009162B1">
        <w:rPr>
          <w:rFonts w:ascii="Calibri" w:hAnsi="Calibri" w:cs="Calibri"/>
          <w:lang w:eastAsia="cs-CZ"/>
        </w:rPr>
        <w:t xml:space="preserve">Vláda ČR vzala materiál s názvem </w:t>
      </w:r>
      <w:r w:rsidRPr="009162B1">
        <w:rPr>
          <w:rFonts w:ascii="Calibri" w:hAnsi="Calibri" w:cs="Calibri"/>
          <w:i/>
          <w:lang w:eastAsia="cs-CZ"/>
        </w:rPr>
        <w:t xml:space="preserve">Informace o členství České republiky v mezinárodních organizacích </w:t>
      </w:r>
      <w:r>
        <w:rPr>
          <w:rFonts w:ascii="Calibri" w:hAnsi="Calibri" w:cs="Calibri"/>
          <w:i/>
          <w:lang w:eastAsia="cs-CZ"/>
        </w:rPr>
        <w:t>–</w:t>
      </w:r>
      <w:r w:rsidRPr="009162B1">
        <w:rPr>
          <w:rFonts w:ascii="Calibri" w:hAnsi="Calibri" w:cs="Calibri"/>
          <w:i/>
          <w:lang w:eastAsia="cs-CZ"/>
        </w:rPr>
        <w:t xml:space="preserve"> očekávané úspory od roku 2014 </w:t>
      </w:r>
      <w:r w:rsidRPr="009162B1">
        <w:rPr>
          <w:rFonts w:ascii="Calibri" w:hAnsi="Calibri" w:cs="Calibri"/>
          <w:lang w:eastAsia="cs-CZ"/>
        </w:rPr>
        <w:t>na vědomí pod č. j. 732/13. K materiálu nebylo přijato usnesení vlády ČR.</w:t>
      </w:r>
    </w:p>
  </w:footnote>
  <w:footnote w:id="25">
    <w:p w14:paraId="259D6688" w14:textId="77777777" w:rsidR="00BE4AFA" w:rsidRPr="009162B1" w:rsidRDefault="00BE4AFA" w:rsidP="009162B1">
      <w:pPr>
        <w:pStyle w:val="Textpoznpodarou"/>
        <w:ind w:left="284" w:hanging="284"/>
        <w:rPr>
          <w:rFonts w:ascii="Calibri" w:hAnsi="Calibri" w:cs="Calibri"/>
        </w:rPr>
      </w:pPr>
      <w:r w:rsidRPr="009162B1">
        <w:rPr>
          <w:rStyle w:val="Znakapoznpodarou"/>
          <w:rFonts w:ascii="Calibri" w:hAnsi="Calibri" w:cs="Calibri"/>
        </w:rPr>
        <w:footnoteRef/>
      </w:r>
      <w:r w:rsidRPr="009162B1">
        <w:rPr>
          <w:rFonts w:ascii="Calibri" w:hAnsi="Calibri" w:cs="Calibri"/>
        </w:rPr>
        <w:t xml:space="preserve"> </w:t>
      </w:r>
      <w:r>
        <w:rPr>
          <w:rFonts w:ascii="Calibri" w:hAnsi="Calibri" w:cs="Calibri"/>
        </w:rPr>
        <w:tab/>
      </w:r>
      <w:r w:rsidRPr="000C3A10">
        <w:rPr>
          <w:rStyle w:val="NzevChar"/>
          <w:rFonts w:ascii="Calibri" w:eastAsiaTheme="majorEastAsia" w:hAnsi="Calibri" w:cs="Calibri"/>
          <w:sz w:val="20"/>
          <w:szCs w:val="20"/>
        </w:rPr>
        <w:t>„</w:t>
      </w:r>
      <w:r w:rsidRPr="009162B1">
        <w:rPr>
          <w:rStyle w:val="NzevChar"/>
          <w:rFonts w:ascii="Calibri" w:eastAsiaTheme="majorEastAsia" w:hAnsi="Calibri" w:cs="Calibri"/>
          <w:i/>
          <w:sz w:val="20"/>
          <w:szCs w:val="20"/>
        </w:rPr>
        <w:t>K dnešnímu dni je ČR členem přibližně 470 MEO (mimo EU a MEO v rámci EU). Náklady na členství a působení v MEO během posledních let rostou přibližně o 10 % ročně, v roce 2013 již celkově přesáhnou 3 mld. Kč. Jedním z cílů působení ČR v MEO musí být tento růst zastavit nebo alespoň zpomalit. Dalším cílem by mělo být zvýšit efektivnost využívání MEO k prosazování našich národních zájmů</w:t>
      </w:r>
      <w:r w:rsidRPr="009162B1">
        <w:rPr>
          <w:rFonts w:ascii="Calibri" w:hAnsi="Calibri" w:cs="Calibri"/>
          <w:i/>
        </w:rPr>
        <w:t>.</w:t>
      </w:r>
      <w:r w:rsidRPr="000C3A10">
        <w:rPr>
          <w:rFonts w:ascii="Calibri" w:hAnsi="Calibri" w:cs="Calibri"/>
        </w:rPr>
        <w:t>“</w:t>
      </w:r>
    </w:p>
  </w:footnote>
  <w:footnote w:id="26">
    <w:p w14:paraId="22732FD9" w14:textId="77777777" w:rsidR="00BE4AFA" w:rsidRPr="00407163" w:rsidRDefault="00BE4AFA" w:rsidP="00A8109C">
      <w:pPr>
        <w:pStyle w:val="Textpoznpodarou"/>
        <w:ind w:left="284" w:hanging="284"/>
      </w:pPr>
      <w:r w:rsidRPr="00407163">
        <w:rPr>
          <w:rStyle w:val="Znakapoznpodarou"/>
        </w:rPr>
        <w:footnoteRef/>
      </w:r>
      <w:r>
        <w:t> </w:t>
      </w:r>
      <w:r>
        <w:tab/>
      </w:r>
      <w:r w:rsidRPr="00407163">
        <w:t xml:space="preserve">Úspora představuje rozdíl </w:t>
      </w:r>
      <w:r w:rsidRPr="00407163">
        <w:rPr>
          <w:rFonts w:cstheme="minorHAnsi"/>
        </w:rPr>
        <w:t>kurzu ČNB deviza prodej</w:t>
      </w:r>
      <w:r w:rsidRPr="00407163">
        <w:t xml:space="preserve"> (tímto kurzem by realizovalo platby MZV) a </w:t>
      </w:r>
      <w:r w:rsidRPr="00407163">
        <w:rPr>
          <w:rFonts w:cstheme="minorHAnsi"/>
        </w:rPr>
        <w:t xml:space="preserve">kurzu devizového trhu ČNB </w:t>
      </w:r>
      <w:r w:rsidRPr="00407163">
        <w:t xml:space="preserve">násobený jmenovitou hodnotou provedené eurové platby ke konkrétnímu dni. </w:t>
      </w:r>
    </w:p>
  </w:footnote>
  <w:footnote w:id="27">
    <w:p w14:paraId="37FF5367" w14:textId="7ADD2227" w:rsidR="00BE4AFA" w:rsidRDefault="00BE4AFA" w:rsidP="00A8109C">
      <w:pPr>
        <w:pStyle w:val="Textpoznpodarou"/>
        <w:ind w:left="284" w:hanging="284"/>
      </w:pPr>
      <w:r>
        <w:rPr>
          <w:rStyle w:val="Znakapoznpodarou"/>
        </w:rPr>
        <w:footnoteRef/>
      </w:r>
      <w:r>
        <w:t xml:space="preserve"> </w:t>
      </w:r>
      <w:r>
        <w:tab/>
        <w:t xml:space="preserve">Viz předkládací zpráva </w:t>
      </w:r>
      <w:r>
        <w:rPr>
          <w:i/>
        </w:rPr>
        <w:t>Členství České republiky v mezinárodních organizacích</w:t>
      </w:r>
      <w:r>
        <w:t xml:space="preserve"> k UV č. 317/2013 (společný materiál MZV a MF č. j.: 100439/2013-KSAP).</w:t>
      </w:r>
    </w:p>
  </w:footnote>
  <w:footnote w:id="28">
    <w:p w14:paraId="592F5967" w14:textId="77777777" w:rsidR="00BE4AFA" w:rsidRPr="00D73C4A" w:rsidRDefault="00BE4AFA" w:rsidP="00D73C4A">
      <w:pPr>
        <w:autoSpaceDE w:val="0"/>
        <w:autoSpaceDN w:val="0"/>
        <w:adjustRightInd w:val="0"/>
        <w:spacing w:after="0"/>
        <w:ind w:left="284" w:hanging="284"/>
        <w:rPr>
          <w:rFonts w:ascii="Calibri" w:hAnsi="Calibri" w:cs="Calibri"/>
          <w:sz w:val="20"/>
          <w:szCs w:val="20"/>
        </w:rPr>
      </w:pPr>
      <w:r w:rsidRPr="00D73C4A">
        <w:rPr>
          <w:rStyle w:val="Znakapoznpodarou"/>
          <w:rFonts w:ascii="Calibri" w:hAnsi="Calibri" w:cs="Calibri"/>
          <w:sz w:val="20"/>
          <w:szCs w:val="20"/>
        </w:rPr>
        <w:footnoteRef/>
      </w:r>
      <w:r w:rsidRPr="00D73C4A">
        <w:rPr>
          <w:rFonts w:ascii="Calibri" w:hAnsi="Calibri" w:cs="Calibri"/>
          <w:sz w:val="20"/>
          <w:szCs w:val="20"/>
        </w:rPr>
        <w:t xml:space="preserve"> </w:t>
      </w:r>
      <w:r>
        <w:rPr>
          <w:rFonts w:ascii="Calibri" w:hAnsi="Calibri" w:cs="Calibri"/>
          <w:sz w:val="20"/>
          <w:szCs w:val="20"/>
        </w:rPr>
        <w:tab/>
      </w:r>
      <w:r w:rsidRPr="00D73C4A">
        <w:rPr>
          <w:rFonts w:ascii="Calibri" w:hAnsi="Calibri" w:cs="Calibri"/>
          <w:sz w:val="20"/>
          <w:szCs w:val="20"/>
        </w:rPr>
        <w:t xml:space="preserve">OSN, NATO, RE, OECD, FAO, WHO, ILO, WTO, UNESCO, OBSE, IOM, ICMPD, UNHCR, EIB, IMF, WB, ICC, MAAE, UNWTO, UNEP, EBRD. </w:t>
      </w:r>
    </w:p>
  </w:footnote>
  <w:footnote w:id="29">
    <w:p w14:paraId="0885AD19" w14:textId="58789385" w:rsidR="00BE4AFA" w:rsidRPr="00172E68" w:rsidRDefault="00BE4AFA" w:rsidP="00172E68">
      <w:pPr>
        <w:pStyle w:val="Textpoznpodarou"/>
        <w:ind w:left="284" w:hanging="284"/>
        <w:rPr>
          <w:rFonts w:ascii="Calibri" w:hAnsi="Calibri" w:cs="Calibri"/>
        </w:rPr>
      </w:pPr>
      <w:r w:rsidRPr="00172E68">
        <w:rPr>
          <w:rStyle w:val="Znakapoznpodarou"/>
          <w:rFonts w:ascii="Calibri" w:hAnsi="Calibri" w:cs="Calibri"/>
        </w:rPr>
        <w:footnoteRef/>
      </w:r>
      <w:r>
        <w:rPr>
          <w:rFonts w:ascii="Calibri" w:hAnsi="Calibri" w:cs="Calibri"/>
        </w:rPr>
        <w:t xml:space="preserve"> </w:t>
      </w:r>
      <w:r>
        <w:rPr>
          <w:rFonts w:ascii="Calibri" w:hAnsi="Calibri" w:cs="Calibri"/>
        </w:rPr>
        <w:tab/>
      </w:r>
      <w:r w:rsidRPr="00172E68">
        <w:rPr>
          <w:rFonts w:ascii="Calibri" w:hAnsi="Calibri" w:cs="Calibri"/>
        </w:rPr>
        <w:t xml:space="preserve">V roce 2016 byly za vyšší manažerské pozice označeny pozice D, v roce 2018 byli na vyšší manažerské pozice zařazeni zaměstnanci na pozici P5 a vyšší. Dle MZV je P5 </w:t>
      </w:r>
      <w:proofErr w:type="spellStart"/>
      <w:r w:rsidRPr="00172E68">
        <w:rPr>
          <w:rFonts w:ascii="Calibri" w:hAnsi="Calibri" w:cs="Calibri"/>
        </w:rPr>
        <w:t>seniorní</w:t>
      </w:r>
      <w:proofErr w:type="spellEnd"/>
      <w:r w:rsidRPr="00172E68">
        <w:rPr>
          <w:rFonts w:ascii="Calibri" w:hAnsi="Calibri" w:cs="Calibri"/>
        </w:rPr>
        <w:t xml:space="preserve"> pozice, která vyžaduje cca 10 let </w:t>
      </w:r>
      <w:r>
        <w:rPr>
          <w:rFonts w:ascii="Calibri" w:hAnsi="Calibri" w:cs="Calibri"/>
        </w:rPr>
        <w:t>praxe</w:t>
      </w:r>
      <w:r w:rsidRPr="00172E68">
        <w:rPr>
          <w:rFonts w:ascii="Calibri" w:hAnsi="Calibri" w:cs="Calibri"/>
        </w:rPr>
        <w:t xml:space="preserve"> a zkušenost s</w:t>
      </w:r>
      <w:r>
        <w:rPr>
          <w:rFonts w:ascii="Calibri" w:hAnsi="Calibri" w:cs="Calibri"/>
        </w:rPr>
        <w:t> </w:t>
      </w:r>
      <w:r w:rsidRPr="00172E68">
        <w:rPr>
          <w:rFonts w:ascii="Calibri" w:hAnsi="Calibri" w:cs="Calibri"/>
        </w:rPr>
        <w:t>řízením týmu zaměstnanců. V systému české státní správy tato pozice odpovídá zhruba řediteli odboru, pozice D je pak spíše pozice náměstka pro řízení sekce.</w:t>
      </w:r>
    </w:p>
  </w:footnote>
  <w:footnote w:id="30">
    <w:p w14:paraId="0B4E420C" w14:textId="246462E2" w:rsidR="00BE4AFA" w:rsidRPr="009A0C25" w:rsidRDefault="00BE4AFA" w:rsidP="009A0C25">
      <w:pPr>
        <w:pStyle w:val="poznmkapodarou"/>
        <w:ind w:left="284" w:hanging="284"/>
        <w:rPr>
          <w:rFonts w:ascii="Calibri" w:hAnsi="Calibri" w:cs="Calibri"/>
        </w:rPr>
      </w:pPr>
      <w:r w:rsidRPr="009A0C25">
        <w:rPr>
          <w:rStyle w:val="Znakapoznpodarou"/>
          <w:rFonts w:ascii="Calibri" w:hAnsi="Calibri" w:cs="Calibri"/>
        </w:rPr>
        <w:footnoteRef/>
      </w:r>
      <w:r w:rsidRPr="009A0C25">
        <w:rPr>
          <w:rFonts w:ascii="Calibri" w:hAnsi="Calibri" w:cs="Calibri"/>
          <w:vertAlign w:val="superscript"/>
        </w:rPr>
        <w:t> </w:t>
      </w:r>
      <w:r w:rsidRPr="009A0C25">
        <w:rPr>
          <w:rFonts w:ascii="Calibri" w:hAnsi="Calibri" w:cs="Calibri"/>
          <w:vertAlign w:val="superscript"/>
        </w:rPr>
        <w:tab/>
      </w:r>
      <w:r w:rsidRPr="009A0C25">
        <w:rPr>
          <w:rFonts w:ascii="Calibri" w:hAnsi="Calibri" w:cs="Calibri"/>
        </w:rPr>
        <w:t>Usnesení vlády ČR ze dne 27. listopadu 2013 č. 912</w:t>
      </w:r>
      <w:r>
        <w:rPr>
          <w:rFonts w:ascii="Calibri" w:hAnsi="Calibri" w:cs="Calibri"/>
        </w:rPr>
        <w:t>,</w:t>
      </w:r>
      <w:r w:rsidRPr="009A0C25">
        <w:rPr>
          <w:rFonts w:ascii="Calibri" w:hAnsi="Calibri" w:cs="Calibri"/>
        </w:rPr>
        <w:t xml:space="preserve"> </w:t>
      </w:r>
      <w:r w:rsidRPr="009A0C25">
        <w:rPr>
          <w:rFonts w:ascii="Calibri" w:hAnsi="Calibri" w:cs="Calibri"/>
          <w:i/>
        </w:rPr>
        <w:t>o poskytnutí příspěvků mezinárodním organizacím a vybraným institucím do zahraničí formou peněžních darů v roce 2013 z kapitoly Ministerstva zahraničních věcí</w:t>
      </w:r>
      <w:r w:rsidRPr="009A0C25">
        <w:rPr>
          <w:rFonts w:ascii="Calibri" w:hAnsi="Calibri" w:cs="Calibri"/>
        </w:rPr>
        <w:t xml:space="preserve">. </w:t>
      </w:r>
    </w:p>
  </w:footnote>
  <w:footnote w:id="31">
    <w:p w14:paraId="54486F0B" w14:textId="73EE81A5" w:rsidR="00BE4AFA" w:rsidRPr="009A0C25" w:rsidRDefault="00BE4AFA" w:rsidP="009A0C25">
      <w:pPr>
        <w:pStyle w:val="Textpoznpodarou"/>
        <w:ind w:left="284" w:hanging="284"/>
        <w:rPr>
          <w:rFonts w:ascii="Calibri" w:hAnsi="Calibri" w:cs="Calibri"/>
        </w:rPr>
      </w:pPr>
      <w:r w:rsidRPr="009A0C25">
        <w:rPr>
          <w:rStyle w:val="Znakapoznpodarou"/>
          <w:rFonts w:ascii="Calibri" w:hAnsi="Calibri" w:cs="Calibri"/>
        </w:rPr>
        <w:footnoteRef/>
      </w:r>
      <w:r w:rsidRPr="009A0C25">
        <w:rPr>
          <w:rFonts w:ascii="Calibri" w:hAnsi="Calibri" w:cs="Calibri"/>
        </w:rPr>
        <w:t> </w:t>
      </w:r>
      <w:r w:rsidRPr="009A0C25">
        <w:rPr>
          <w:rFonts w:ascii="Calibri" w:hAnsi="Calibri" w:cs="Calibri"/>
        </w:rPr>
        <w:tab/>
        <w:t>Usnesení vlády ČR ze dne 8. prosince 2014 č. 1039</w:t>
      </w:r>
      <w:r>
        <w:rPr>
          <w:rFonts w:ascii="Calibri" w:hAnsi="Calibri" w:cs="Calibri"/>
        </w:rPr>
        <w:t>,</w:t>
      </w:r>
      <w:r w:rsidRPr="009A0C25">
        <w:rPr>
          <w:rFonts w:ascii="Calibri" w:hAnsi="Calibri" w:cs="Calibri"/>
        </w:rPr>
        <w:t xml:space="preserve"> </w:t>
      </w:r>
      <w:r w:rsidRPr="009A0C25">
        <w:rPr>
          <w:rFonts w:ascii="Calibri" w:hAnsi="Calibri" w:cs="Calibri"/>
          <w:i/>
        </w:rPr>
        <w:t>o poskytnutí příspěvků mezinárodním organizacím a vybraným institucím do zahraničí formou peněžních darů v roce 2014 z kapitoly Ministerstva zahraničních věcí</w:t>
      </w:r>
      <w:r w:rsidRPr="009A0C25">
        <w:rPr>
          <w:rFonts w:ascii="Calibri" w:hAnsi="Calibri" w:cs="Calibri"/>
        </w:rPr>
        <w:t xml:space="preserve">. </w:t>
      </w:r>
    </w:p>
  </w:footnote>
  <w:footnote w:id="32">
    <w:p w14:paraId="79D8EB09" w14:textId="4FD86BB8" w:rsidR="00BE4AFA" w:rsidRPr="009A0C25" w:rsidRDefault="00BE4AFA" w:rsidP="009A0C25">
      <w:pPr>
        <w:pStyle w:val="Textpoznpodarou"/>
        <w:ind w:left="284" w:hanging="284"/>
        <w:rPr>
          <w:rFonts w:ascii="Calibri" w:hAnsi="Calibri" w:cs="Calibri"/>
        </w:rPr>
      </w:pPr>
      <w:r w:rsidRPr="009A0C25">
        <w:rPr>
          <w:rStyle w:val="Znakapoznpodarou"/>
          <w:rFonts w:ascii="Calibri" w:hAnsi="Calibri" w:cs="Calibri"/>
        </w:rPr>
        <w:footnoteRef/>
      </w:r>
      <w:r w:rsidRPr="009A0C25">
        <w:rPr>
          <w:rFonts w:ascii="Calibri" w:hAnsi="Calibri" w:cs="Calibri"/>
        </w:rPr>
        <w:t> </w:t>
      </w:r>
      <w:r w:rsidRPr="009A0C25">
        <w:rPr>
          <w:rFonts w:ascii="Calibri" w:hAnsi="Calibri" w:cs="Calibri"/>
        </w:rPr>
        <w:tab/>
        <w:t xml:space="preserve">Usnesení vlády České republiky ze dne 29. listopadu 2018 č. 786, </w:t>
      </w:r>
      <w:r w:rsidRPr="009A0C25">
        <w:rPr>
          <w:rFonts w:ascii="Calibri" w:hAnsi="Calibri" w:cs="Calibri"/>
          <w:i/>
        </w:rPr>
        <w:t xml:space="preserve">o poskytnutí peněžních darů do zahraničí mezinárodním organizacím a vybraným institucím v roce 2018 z kapitoly 306 </w:t>
      </w:r>
      <w:r>
        <w:rPr>
          <w:rFonts w:ascii="Calibri" w:hAnsi="Calibri" w:cs="Calibri"/>
          <w:i/>
        </w:rPr>
        <w:t>–</w:t>
      </w:r>
      <w:r w:rsidRPr="009A0C25">
        <w:rPr>
          <w:rFonts w:ascii="Calibri" w:hAnsi="Calibri" w:cs="Calibri"/>
          <w:i/>
        </w:rPr>
        <w:t xml:space="preserve"> Ministerstvo zahraničních věcí.</w:t>
      </w:r>
    </w:p>
  </w:footnote>
  <w:footnote w:id="33">
    <w:p w14:paraId="11BDA3A5" w14:textId="77777777" w:rsidR="00BE4AFA" w:rsidRPr="009A0C25" w:rsidRDefault="00BE4AFA" w:rsidP="009A0C25">
      <w:pPr>
        <w:pStyle w:val="Textpoznpodarou"/>
        <w:ind w:left="284" w:hanging="284"/>
        <w:rPr>
          <w:rFonts w:ascii="Calibri" w:hAnsi="Calibri" w:cs="Calibri"/>
        </w:rPr>
      </w:pPr>
      <w:r w:rsidRPr="009A0C25">
        <w:rPr>
          <w:rStyle w:val="Znakapoznpodarou"/>
          <w:rFonts w:ascii="Calibri" w:hAnsi="Calibri" w:cs="Calibri"/>
        </w:rPr>
        <w:footnoteRef/>
      </w:r>
      <w:r w:rsidRPr="009A0C25">
        <w:rPr>
          <w:rFonts w:ascii="Calibri" w:hAnsi="Calibri" w:cs="Calibri"/>
        </w:rPr>
        <w:t xml:space="preserve"> </w:t>
      </w:r>
      <w:r w:rsidRPr="009A0C25">
        <w:rPr>
          <w:rFonts w:ascii="Calibri" w:hAnsi="Calibri" w:cs="Calibri"/>
        </w:rPr>
        <w:tab/>
      </w:r>
      <w:r w:rsidRPr="009A0C25">
        <w:rPr>
          <w:rFonts w:ascii="Calibri" w:eastAsia="Georgia,BoldItalic" w:hAnsi="Calibri" w:cs="Calibri"/>
          <w:bCs/>
          <w:iCs/>
          <w:lang w:eastAsia="cs-CZ"/>
        </w:rPr>
        <w:t xml:space="preserve">Dočasné vyslání odborníka do jiné organizace sjednané dohodou dotčených subjektů. Na </w:t>
      </w:r>
      <w:proofErr w:type="spellStart"/>
      <w:r w:rsidRPr="009A0C25">
        <w:rPr>
          <w:rFonts w:ascii="Calibri" w:eastAsia="Georgia,BoldItalic" w:hAnsi="Calibri" w:cs="Calibri"/>
          <w:bCs/>
          <w:iCs/>
          <w:lang w:eastAsia="cs-CZ"/>
        </w:rPr>
        <w:t>sekondované</w:t>
      </w:r>
      <w:proofErr w:type="spellEnd"/>
      <w:r w:rsidRPr="009A0C25">
        <w:rPr>
          <w:rFonts w:ascii="Calibri" w:eastAsia="Georgia,BoldItalic" w:hAnsi="Calibri" w:cs="Calibri"/>
          <w:bCs/>
          <w:iCs/>
          <w:lang w:eastAsia="cs-CZ"/>
        </w:rPr>
        <w:t xml:space="preserve"> pozici je zaměstnanec po vyslání do MEO nadále v pracovněprávním vztahu k MZV a písemnou dohodu uzavírá MZV s příslušnou MEO. Na </w:t>
      </w:r>
      <w:proofErr w:type="spellStart"/>
      <w:r w:rsidRPr="009A0C25">
        <w:rPr>
          <w:rFonts w:ascii="Calibri" w:eastAsia="Georgia,BoldItalic" w:hAnsi="Calibri" w:cs="Calibri"/>
          <w:bCs/>
          <w:iCs/>
          <w:lang w:eastAsia="cs-CZ"/>
        </w:rPr>
        <w:t>sekondovaných</w:t>
      </w:r>
      <w:proofErr w:type="spellEnd"/>
      <w:r w:rsidRPr="009A0C25">
        <w:rPr>
          <w:rFonts w:ascii="Calibri" w:eastAsia="Georgia,BoldItalic" w:hAnsi="Calibri" w:cs="Calibri"/>
          <w:bCs/>
          <w:iCs/>
          <w:lang w:eastAsia="cs-CZ"/>
        </w:rPr>
        <w:t xml:space="preserve"> pozicích se na vyslané zaměstnance po dobu jejich působení v MEO vztahuje povinnost být v pravidelném kontaktu s ústředím MZV, resp. se ZÚ v místě působení MEO.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8C9E" w14:textId="77777777" w:rsidR="00BE4AFA" w:rsidRDefault="00BE4A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F0DC" w14:textId="77777777" w:rsidR="00BE4AFA" w:rsidRDefault="00BE4A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935CF" w14:textId="77777777" w:rsidR="00BE4AFA" w:rsidRDefault="00BE4A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535"/>
    <w:multiLevelType w:val="hybridMultilevel"/>
    <w:tmpl w:val="FA32ED50"/>
    <w:lvl w:ilvl="0" w:tplc="79C8758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372BA3"/>
    <w:multiLevelType w:val="hybridMultilevel"/>
    <w:tmpl w:val="B1A80F16"/>
    <w:lvl w:ilvl="0" w:tplc="79C8758C">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0BE34778"/>
    <w:multiLevelType w:val="hybridMultilevel"/>
    <w:tmpl w:val="3420F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2F0C80"/>
    <w:multiLevelType w:val="hybridMultilevel"/>
    <w:tmpl w:val="A18CFBAA"/>
    <w:lvl w:ilvl="0" w:tplc="79C8758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094411D"/>
    <w:multiLevelType w:val="hybridMultilevel"/>
    <w:tmpl w:val="64466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D5596C"/>
    <w:multiLevelType w:val="hybridMultilevel"/>
    <w:tmpl w:val="A3A20E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801553"/>
    <w:multiLevelType w:val="hybridMultilevel"/>
    <w:tmpl w:val="A3BAB036"/>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7" w15:restartNumberingAfterBreak="0">
    <w:nsid w:val="25B36E45"/>
    <w:multiLevelType w:val="hybridMultilevel"/>
    <w:tmpl w:val="12800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094D59"/>
    <w:multiLevelType w:val="hybridMultilevel"/>
    <w:tmpl w:val="16169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9B1A88"/>
    <w:multiLevelType w:val="hybridMultilevel"/>
    <w:tmpl w:val="887A1B24"/>
    <w:lvl w:ilvl="0" w:tplc="7E560AD2">
      <w:start w:val="1"/>
      <w:numFmt w:val="upperRoman"/>
      <w:lvlText w:val="%1."/>
      <w:lvlJc w:val="left"/>
      <w:pPr>
        <w:ind w:left="1060" w:hanging="72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0" w15:restartNumberingAfterBreak="0">
    <w:nsid w:val="2CFE4E29"/>
    <w:multiLevelType w:val="multilevel"/>
    <w:tmpl w:val="360484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0F13974"/>
    <w:multiLevelType w:val="multilevel"/>
    <w:tmpl w:val="BF968614"/>
    <w:lvl w:ilvl="0">
      <w:start w:val="1"/>
      <w:numFmt w:val="upperRoman"/>
      <w:lvlText w:val="%1."/>
      <w:lvlJc w:val="left"/>
      <w:pPr>
        <w:ind w:left="340" w:hanging="340"/>
      </w:pPr>
      <w:rPr>
        <w:rFonts w:hint="default"/>
      </w:rPr>
    </w:lvl>
    <w:lvl w:ilvl="1">
      <w:start w:val="1"/>
      <w:numFmt w:val="bullet"/>
      <w:lvlText w:val=""/>
      <w:lvlJc w:val="left"/>
      <w:pPr>
        <w:ind w:left="1702" w:firstLine="0"/>
      </w:pPr>
      <w:rPr>
        <w:rFonts w:ascii="Symbol" w:hAnsi="Symbol" w:hint="default"/>
      </w:rPr>
    </w:lvl>
    <w:lvl w:ilvl="2">
      <w:start w:val="1"/>
      <w:numFmt w:val="decimal"/>
      <w:lvlText w:val="%3."/>
      <w:lvlJc w:val="left"/>
      <w:pPr>
        <w:ind w:left="1440" w:firstLine="0"/>
      </w:pPr>
      <w:rPr>
        <w:rFonts w:asciiTheme="minorHAnsi" w:eastAsiaTheme="majorEastAsia" w:hAnsiTheme="minorHAnsi" w:cstheme="majorBidi"/>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31484ABA"/>
    <w:multiLevelType w:val="hybridMultilevel"/>
    <w:tmpl w:val="EFA09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1121E5"/>
    <w:multiLevelType w:val="hybridMultilevel"/>
    <w:tmpl w:val="29E6DB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AF76E0"/>
    <w:multiLevelType w:val="hybridMultilevel"/>
    <w:tmpl w:val="9D3A2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804FEB"/>
    <w:multiLevelType w:val="multilevel"/>
    <w:tmpl w:val="DD3E290C"/>
    <w:lvl w:ilvl="0">
      <w:start w:val="1"/>
      <w:numFmt w:val="upperRoman"/>
      <w:pStyle w:val="Nadpis1"/>
      <w:lvlText w:val="%1."/>
      <w:lvlJc w:val="left"/>
      <w:pPr>
        <w:ind w:left="340" w:hanging="340"/>
      </w:pPr>
      <w:rPr>
        <w:rFonts w:hint="default"/>
      </w:rPr>
    </w:lvl>
    <w:lvl w:ilvl="1">
      <w:start w:val="1"/>
      <w:numFmt w:val="decimal"/>
      <w:pStyle w:val="Nadpis2"/>
      <w:lvlText w:val="%2."/>
      <w:lvlJc w:val="left"/>
      <w:pPr>
        <w:ind w:left="568" w:firstLine="0"/>
      </w:pPr>
      <w:rPr>
        <w:rFonts w:hint="default"/>
      </w:rPr>
    </w:lvl>
    <w:lvl w:ilvl="2">
      <w:start w:val="1"/>
      <w:numFmt w:val="decimal"/>
      <w:lvlText w:val="%3."/>
      <w:lvlJc w:val="left"/>
      <w:pPr>
        <w:ind w:left="1440" w:firstLine="0"/>
      </w:pPr>
      <w:rPr>
        <w:rFonts w:asciiTheme="minorHAnsi" w:eastAsiaTheme="majorEastAsia" w:hAnsiTheme="minorHAnsi" w:cstheme="majorBidi"/>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16" w15:restartNumberingAfterBreak="0">
    <w:nsid w:val="507B3779"/>
    <w:multiLevelType w:val="hybridMultilevel"/>
    <w:tmpl w:val="BE1256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2665BF"/>
    <w:multiLevelType w:val="hybridMultilevel"/>
    <w:tmpl w:val="1C1251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5F3F60"/>
    <w:multiLevelType w:val="hybridMultilevel"/>
    <w:tmpl w:val="1B18BB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CF0B25"/>
    <w:multiLevelType w:val="hybridMultilevel"/>
    <w:tmpl w:val="9552E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D94191"/>
    <w:multiLevelType w:val="hybridMultilevel"/>
    <w:tmpl w:val="1C2C2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256588A"/>
    <w:multiLevelType w:val="hybridMultilevel"/>
    <w:tmpl w:val="11BA85D2"/>
    <w:lvl w:ilvl="0" w:tplc="AA6C730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3D22B45"/>
    <w:multiLevelType w:val="hybridMultilevel"/>
    <w:tmpl w:val="56D00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4E2D53"/>
    <w:multiLevelType w:val="hybridMultilevel"/>
    <w:tmpl w:val="2214B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C170AB0"/>
    <w:multiLevelType w:val="hybridMultilevel"/>
    <w:tmpl w:val="64B86E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CB63DCD"/>
    <w:multiLevelType w:val="hybridMultilevel"/>
    <w:tmpl w:val="511E4C84"/>
    <w:lvl w:ilvl="0" w:tplc="DB3E8BC4">
      <w:start w:val="2019"/>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70F5457C"/>
    <w:multiLevelType w:val="hybridMultilevel"/>
    <w:tmpl w:val="F5A66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562809"/>
    <w:multiLevelType w:val="hybridMultilevel"/>
    <w:tmpl w:val="18DE5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216EC4"/>
    <w:multiLevelType w:val="hybridMultilevel"/>
    <w:tmpl w:val="51FE0C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79B51EA"/>
    <w:multiLevelType w:val="hybridMultilevel"/>
    <w:tmpl w:val="AF68DCCA"/>
    <w:lvl w:ilvl="0" w:tplc="50B6B786">
      <w:start w:val="1"/>
      <w:numFmt w:val="bullet"/>
      <w:lvlText w:val=""/>
      <w:lvlJc w:val="left"/>
      <w:pPr>
        <w:ind w:left="720" w:hanging="360"/>
      </w:pPr>
      <w:rPr>
        <w:rFonts w:ascii="Symbol" w:hAnsi="Symbol" w:hint="default"/>
      </w:rPr>
    </w:lvl>
    <w:lvl w:ilvl="1" w:tplc="01789E46">
      <w:start w:val="1"/>
      <w:numFmt w:val="bullet"/>
      <w:lvlText w:val="o"/>
      <w:lvlJc w:val="left"/>
      <w:pPr>
        <w:ind w:left="1440" w:hanging="360"/>
      </w:pPr>
      <w:rPr>
        <w:rFonts w:ascii="Courier New" w:hAnsi="Courier New" w:cs="Courier New" w:hint="default"/>
      </w:rPr>
    </w:lvl>
    <w:lvl w:ilvl="2" w:tplc="5F3299EC">
      <w:start w:val="1"/>
      <w:numFmt w:val="bullet"/>
      <w:lvlText w:val=""/>
      <w:lvlJc w:val="left"/>
      <w:pPr>
        <w:ind w:left="2160" w:hanging="360"/>
      </w:pPr>
      <w:rPr>
        <w:rFonts w:ascii="Wingdings" w:hAnsi="Wingdings" w:hint="default"/>
      </w:rPr>
    </w:lvl>
    <w:lvl w:ilvl="3" w:tplc="61741FAE">
      <w:start w:val="1"/>
      <w:numFmt w:val="bullet"/>
      <w:lvlText w:val=""/>
      <w:lvlJc w:val="left"/>
      <w:pPr>
        <w:ind w:left="2880" w:hanging="360"/>
      </w:pPr>
      <w:rPr>
        <w:rFonts w:ascii="Symbol" w:hAnsi="Symbol" w:hint="default"/>
      </w:rPr>
    </w:lvl>
    <w:lvl w:ilvl="4" w:tplc="C7C8D902">
      <w:start w:val="1"/>
      <w:numFmt w:val="bullet"/>
      <w:lvlText w:val="o"/>
      <w:lvlJc w:val="left"/>
      <w:pPr>
        <w:ind w:left="3600" w:hanging="360"/>
      </w:pPr>
      <w:rPr>
        <w:rFonts w:ascii="Courier New" w:hAnsi="Courier New" w:cs="Courier New" w:hint="default"/>
      </w:rPr>
    </w:lvl>
    <w:lvl w:ilvl="5" w:tplc="A9D034A4">
      <w:start w:val="1"/>
      <w:numFmt w:val="bullet"/>
      <w:lvlText w:val=""/>
      <w:lvlJc w:val="left"/>
      <w:pPr>
        <w:ind w:left="4320" w:hanging="360"/>
      </w:pPr>
      <w:rPr>
        <w:rFonts w:ascii="Wingdings" w:hAnsi="Wingdings" w:hint="default"/>
      </w:rPr>
    </w:lvl>
    <w:lvl w:ilvl="6" w:tplc="07686AB2">
      <w:start w:val="1"/>
      <w:numFmt w:val="bullet"/>
      <w:lvlText w:val=""/>
      <w:lvlJc w:val="left"/>
      <w:pPr>
        <w:ind w:left="5040" w:hanging="360"/>
      </w:pPr>
      <w:rPr>
        <w:rFonts w:ascii="Symbol" w:hAnsi="Symbol" w:hint="default"/>
      </w:rPr>
    </w:lvl>
    <w:lvl w:ilvl="7" w:tplc="C3926958">
      <w:start w:val="1"/>
      <w:numFmt w:val="bullet"/>
      <w:lvlText w:val="o"/>
      <w:lvlJc w:val="left"/>
      <w:pPr>
        <w:ind w:left="5760" w:hanging="360"/>
      </w:pPr>
      <w:rPr>
        <w:rFonts w:ascii="Courier New" w:hAnsi="Courier New" w:cs="Courier New" w:hint="default"/>
      </w:rPr>
    </w:lvl>
    <w:lvl w:ilvl="8" w:tplc="C59C8F52">
      <w:start w:val="1"/>
      <w:numFmt w:val="bullet"/>
      <w:lvlText w:val=""/>
      <w:lvlJc w:val="left"/>
      <w:pPr>
        <w:ind w:left="6480" w:hanging="360"/>
      </w:pPr>
      <w:rPr>
        <w:rFonts w:ascii="Wingdings" w:hAnsi="Wingdings" w:hint="default"/>
      </w:rPr>
    </w:lvl>
  </w:abstractNum>
  <w:abstractNum w:abstractNumId="30" w15:restartNumberingAfterBreak="0">
    <w:nsid w:val="77D8607C"/>
    <w:multiLevelType w:val="hybridMultilevel"/>
    <w:tmpl w:val="895AA1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A1B3009"/>
    <w:multiLevelType w:val="multilevel"/>
    <w:tmpl w:val="2E002784"/>
    <w:lvl w:ilvl="0">
      <w:start w:val="1"/>
      <w:numFmt w:val="bullet"/>
      <w:lvlText w:val=""/>
      <w:lvlJc w:val="left"/>
      <w:pPr>
        <w:ind w:left="340" w:hanging="340"/>
      </w:pPr>
      <w:rPr>
        <w:rFonts w:ascii="Symbol" w:hAnsi="Symbol" w:hint="default"/>
      </w:rPr>
    </w:lvl>
    <w:lvl w:ilvl="1">
      <w:start w:val="1"/>
      <w:numFmt w:val="decimal"/>
      <w:lvlText w:val="%2."/>
      <w:lvlJc w:val="left"/>
      <w:pPr>
        <w:ind w:left="1702" w:firstLine="0"/>
      </w:pPr>
      <w:rPr>
        <w:rFonts w:hint="default"/>
      </w:rPr>
    </w:lvl>
    <w:lvl w:ilvl="2">
      <w:start w:val="1"/>
      <w:numFmt w:val="decimal"/>
      <w:lvlText w:val="%3."/>
      <w:lvlJc w:val="left"/>
      <w:pPr>
        <w:ind w:left="1440" w:firstLine="0"/>
      </w:pPr>
      <w:rPr>
        <w:rFonts w:asciiTheme="minorHAnsi" w:eastAsiaTheme="majorEastAsia" w:hAnsiTheme="minorHAnsi" w:cstheme="majorBidi"/>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7D296140"/>
    <w:multiLevelType w:val="hybridMultilevel"/>
    <w:tmpl w:val="D2ACC4FE"/>
    <w:lvl w:ilvl="0" w:tplc="07CC9F0E">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num w:numId="1">
    <w:abstractNumId w:val="4"/>
  </w:num>
  <w:num w:numId="2">
    <w:abstractNumId w:val="16"/>
  </w:num>
  <w:num w:numId="3">
    <w:abstractNumId w:val="15"/>
  </w:num>
  <w:num w:numId="4">
    <w:abstractNumId w:val="9"/>
  </w:num>
  <w:num w:numId="5">
    <w:abstractNumId w:val="0"/>
  </w:num>
  <w:num w:numId="6">
    <w:abstractNumId w:val="3"/>
  </w:num>
  <w:num w:numId="7">
    <w:abstractNumId w:val="1"/>
  </w:num>
  <w:num w:numId="8">
    <w:abstractNumId w:val="12"/>
  </w:num>
  <w:num w:numId="9">
    <w:abstractNumId w:val="29"/>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0"/>
  </w:num>
  <w:num w:numId="13">
    <w:abstractNumId w:val="23"/>
  </w:num>
  <w:num w:numId="14">
    <w:abstractNumId w:val="2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4"/>
  </w:num>
  <w:num w:numId="18">
    <w:abstractNumId w:val="7"/>
  </w:num>
  <w:num w:numId="19">
    <w:abstractNumId w:val="30"/>
  </w:num>
  <w:num w:numId="20">
    <w:abstractNumId w:val="17"/>
  </w:num>
  <w:num w:numId="21">
    <w:abstractNumId w:val="6"/>
  </w:num>
  <w:num w:numId="22">
    <w:abstractNumId w:val="27"/>
  </w:num>
  <w:num w:numId="23">
    <w:abstractNumId w:val="11"/>
  </w:num>
  <w:num w:numId="24">
    <w:abstractNumId w:val="31"/>
  </w:num>
  <w:num w:numId="25">
    <w:abstractNumId w:val="5"/>
  </w:num>
  <w:num w:numId="26">
    <w:abstractNumId w:val="19"/>
  </w:num>
  <w:num w:numId="27">
    <w:abstractNumId w:val="28"/>
  </w:num>
  <w:num w:numId="28">
    <w:abstractNumId w:val="20"/>
  </w:num>
  <w:num w:numId="29">
    <w:abstractNumId w:val="2"/>
  </w:num>
  <w:num w:numId="30">
    <w:abstractNumId w:val="14"/>
  </w:num>
  <w:num w:numId="31">
    <w:abstractNumId w:val="22"/>
  </w:num>
  <w:num w:numId="32">
    <w:abstractNumId w:val="8"/>
  </w:num>
  <w:num w:numId="33">
    <w:abstractNumId w:val="1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5B"/>
    <w:rsid w:val="000A0EB4"/>
    <w:rsid w:val="000C3A10"/>
    <w:rsid w:val="00115826"/>
    <w:rsid w:val="00116A5D"/>
    <w:rsid w:val="0011732D"/>
    <w:rsid w:val="0014063E"/>
    <w:rsid w:val="00150928"/>
    <w:rsid w:val="0015203D"/>
    <w:rsid w:val="0017146F"/>
    <w:rsid w:val="00172E68"/>
    <w:rsid w:val="0019515B"/>
    <w:rsid w:val="001C34BC"/>
    <w:rsid w:val="00210E26"/>
    <w:rsid w:val="0023090E"/>
    <w:rsid w:val="00245810"/>
    <w:rsid w:val="00295CC2"/>
    <w:rsid w:val="002A1172"/>
    <w:rsid w:val="002B0F3D"/>
    <w:rsid w:val="00303EF0"/>
    <w:rsid w:val="0030558F"/>
    <w:rsid w:val="00366C58"/>
    <w:rsid w:val="00383401"/>
    <w:rsid w:val="00385FA9"/>
    <w:rsid w:val="00392CEE"/>
    <w:rsid w:val="003A58E9"/>
    <w:rsid w:val="003C7F93"/>
    <w:rsid w:val="003E69D4"/>
    <w:rsid w:val="00447254"/>
    <w:rsid w:val="00454050"/>
    <w:rsid w:val="004B4E31"/>
    <w:rsid w:val="004D1573"/>
    <w:rsid w:val="004F0877"/>
    <w:rsid w:val="005048A8"/>
    <w:rsid w:val="0052721C"/>
    <w:rsid w:val="00593483"/>
    <w:rsid w:val="005B4089"/>
    <w:rsid w:val="005C49DB"/>
    <w:rsid w:val="005D131E"/>
    <w:rsid w:val="005E7F24"/>
    <w:rsid w:val="00631B9E"/>
    <w:rsid w:val="00644500"/>
    <w:rsid w:val="00670E9B"/>
    <w:rsid w:val="006C222E"/>
    <w:rsid w:val="006C57A7"/>
    <w:rsid w:val="0072652B"/>
    <w:rsid w:val="00742922"/>
    <w:rsid w:val="007948AB"/>
    <w:rsid w:val="007B0D66"/>
    <w:rsid w:val="007B2EA9"/>
    <w:rsid w:val="007F4549"/>
    <w:rsid w:val="007F57B6"/>
    <w:rsid w:val="007F5A00"/>
    <w:rsid w:val="00834574"/>
    <w:rsid w:val="00853089"/>
    <w:rsid w:val="00884A1D"/>
    <w:rsid w:val="008A6F41"/>
    <w:rsid w:val="008C580D"/>
    <w:rsid w:val="008E0491"/>
    <w:rsid w:val="008E6FA3"/>
    <w:rsid w:val="009047F6"/>
    <w:rsid w:val="0091479D"/>
    <w:rsid w:val="00915834"/>
    <w:rsid w:val="009162B1"/>
    <w:rsid w:val="009213E8"/>
    <w:rsid w:val="009243EA"/>
    <w:rsid w:val="009A0C25"/>
    <w:rsid w:val="009C7D5D"/>
    <w:rsid w:val="00A315B0"/>
    <w:rsid w:val="00A40B43"/>
    <w:rsid w:val="00A8109C"/>
    <w:rsid w:val="00A82985"/>
    <w:rsid w:val="00AB3254"/>
    <w:rsid w:val="00AE0E56"/>
    <w:rsid w:val="00AF2801"/>
    <w:rsid w:val="00B2341E"/>
    <w:rsid w:val="00B95AD4"/>
    <w:rsid w:val="00BA0F84"/>
    <w:rsid w:val="00BC20D3"/>
    <w:rsid w:val="00BD79D0"/>
    <w:rsid w:val="00BE4AFA"/>
    <w:rsid w:val="00C01ACE"/>
    <w:rsid w:val="00C106C6"/>
    <w:rsid w:val="00C16930"/>
    <w:rsid w:val="00C61D35"/>
    <w:rsid w:val="00CA0C74"/>
    <w:rsid w:val="00CA7F42"/>
    <w:rsid w:val="00CE7E98"/>
    <w:rsid w:val="00D33109"/>
    <w:rsid w:val="00D3485C"/>
    <w:rsid w:val="00D5780F"/>
    <w:rsid w:val="00D73C4A"/>
    <w:rsid w:val="00DB2AB2"/>
    <w:rsid w:val="00DB5D3D"/>
    <w:rsid w:val="00DE2078"/>
    <w:rsid w:val="00E31F0D"/>
    <w:rsid w:val="00E34E53"/>
    <w:rsid w:val="00E35FC6"/>
    <w:rsid w:val="00E87499"/>
    <w:rsid w:val="00E94C44"/>
    <w:rsid w:val="00EA109A"/>
    <w:rsid w:val="00EA55FB"/>
    <w:rsid w:val="00EA56A9"/>
    <w:rsid w:val="00ED30AC"/>
    <w:rsid w:val="00EE35B8"/>
    <w:rsid w:val="00EF3771"/>
    <w:rsid w:val="00F017B0"/>
    <w:rsid w:val="00F107F7"/>
    <w:rsid w:val="00F1481B"/>
    <w:rsid w:val="00F25566"/>
    <w:rsid w:val="00F270F1"/>
    <w:rsid w:val="00F373B0"/>
    <w:rsid w:val="00F45CFF"/>
    <w:rsid w:val="00F73B87"/>
    <w:rsid w:val="00FC5768"/>
    <w:rsid w:val="00FD3678"/>
    <w:rsid w:val="00FF56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6E8E1"/>
  <w15:chartTrackingRefBased/>
  <w15:docId w15:val="{646ECEFA-DD13-42BC-AAED-CDF9CB06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35FC6"/>
    <w:pPr>
      <w:keepNext/>
      <w:numPr>
        <w:numId w:val="3"/>
      </w:numPr>
      <w:overflowPunct w:val="0"/>
      <w:autoSpaceDE w:val="0"/>
      <w:autoSpaceDN w:val="0"/>
      <w:adjustRightInd w:val="0"/>
      <w:spacing w:after="480" w:line="240" w:lineRule="auto"/>
      <w:jc w:val="center"/>
      <w:textAlignment w:val="baseline"/>
      <w:outlineLvl w:val="0"/>
    </w:pPr>
    <w:rPr>
      <w:rFonts w:eastAsia="Times New Roman" w:cstheme="minorHAnsi"/>
      <w:b/>
      <w:color w:val="000000"/>
      <w:sz w:val="24"/>
      <w:szCs w:val="20"/>
      <w:lang w:eastAsia="cs-CZ"/>
    </w:rPr>
  </w:style>
  <w:style w:type="paragraph" w:styleId="Nadpis2">
    <w:name w:val="heading 2"/>
    <w:basedOn w:val="Normln"/>
    <w:next w:val="Normln"/>
    <w:link w:val="Nadpis2Char"/>
    <w:uiPriority w:val="9"/>
    <w:qFormat/>
    <w:rsid w:val="00E35FC6"/>
    <w:pPr>
      <w:keepNext/>
      <w:numPr>
        <w:ilvl w:val="1"/>
        <w:numId w:val="3"/>
      </w:numPr>
      <w:spacing w:before="240" w:after="120" w:line="240" w:lineRule="auto"/>
      <w:ind w:left="1702"/>
      <w:jc w:val="both"/>
      <w:outlineLvl w:val="1"/>
    </w:pPr>
    <w:rPr>
      <w:rFonts w:eastAsia="Times New Roman" w:cs="Arial"/>
      <w:b/>
      <w:bCs/>
      <w:color w:val="000000"/>
      <w:sz w:val="24"/>
      <w:szCs w:val="24"/>
    </w:rPr>
  </w:style>
  <w:style w:type="paragraph" w:styleId="Nadpis3">
    <w:name w:val="heading 3"/>
    <w:basedOn w:val="Normln"/>
    <w:next w:val="Normln"/>
    <w:link w:val="Nadpis3Char"/>
    <w:uiPriority w:val="9"/>
    <w:unhideWhenUsed/>
    <w:qFormat/>
    <w:rsid w:val="00E35FC6"/>
    <w:pPr>
      <w:keepNext/>
      <w:keepLines/>
      <w:spacing w:after="120" w:line="240" w:lineRule="auto"/>
      <w:ind w:left="720" w:hanging="720"/>
      <w:jc w:val="both"/>
      <w:outlineLvl w:val="2"/>
    </w:pPr>
    <w:rPr>
      <w:rFonts w:eastAsiaTheme="majorEastAsia" w:cstheme="majorBidi"/>
      <w:bCs/>
      <w:color w:val="000000"/>
      <w:sz w:val="24"/>
      <w:szCs w:val="24"/>
      <w:u w:val="single"/>
    </w:rPr>
  </w:style>
  <w:style w:type="paragraph" w:styleId="Nadpis4">
    <w:name w:val="heading 4"/>
    <w:basedOn w:val="Normln"/>
    <w:next w:val="Normln"/>
    <w:link w:val="Nadpis4Char"/>
    <w:uiPriority w:val="9"/>
    <w:unhideWhenUsed/>
    <w:qFormat/>
    <w:rsid w:val="00E35FC6"/>
    <w:pPr>
      <w:keepNext/>
      <w:keepLines/>
      <w:numPr>
        <w:ilvl w:val="3"/>
        <w:numId w:val="3"/>
      </w:numPr>
      <w:spacing w:before="40" w:after="0" w:line="240" w:lineRule="auto"/>
      <w:jc w:val="both"/>
      <w:outlineLvl w:val="3"/>
    </w:pPr>
    <w:rPr>
      <w:rFonts w:asciiTheme="majorHAnsi" w:eastAsiaTheme="majorEastAsia" w:hAnsiTheme="majorHAnsi" w:cstheme="majorBidi"/>
      <w:i/>
      <w:iCs/>
      <w:color w:val="000000" w:themeColor="text1"/>
      <w:sz w:val="24"/>
      <w:szCs w:val="24"/>
    </w:rPr>
  </w:style>
  <w:style w:type="paragraph" w:styleId="Nadpis5">
    <w:name w:val="heading 5"/>
    <w:basedOn w:val="Normln"/>
    <w:next w:val="Normln"/>
    <w:link w:val="Nadpis5Char"/>
    <w:uiPriority w:val="9"/>
    <w:semiHidden/>
    <w:unhideWhenUsed/>
    <w:qFormat/>
    <w:rsid w:val="00E35FC6"/>
    <w:pPr>
      <w:keepNext/>
      <w:keepLines/>
      <w:numPr>
        <w:ilvl w:val="4"/>
        <w:numId w:val="3"/>
      </w:numPr>
      <w:spacing w:before="40" w:after="0" w:line="240" w:lineRule="auto"/>
      <w:jc w:val="both"/>
      <w:outlineLvl w:val="4"/>
    </w:pPr>
    <w:rPr>
      <w:rFonts w:asciiTheme="majorHAnsi" w:eastAsiaTheme="majorEastAsia" w:hAnsiTheme="majorHAnsi" w:cstheme="majorBidi"/>
      <w:color w:val="2E74B5" w:themeColor="accent1" w:themeShade="BF"/>
      <w:sz w:val="24"/>
      <w:szCs w:val="24"/>
    </w:rPr>
  </w:style>
  <w:style w:type="paragraph" w:styleId="Nadpis6">
    <w:name w:val="heading 6"/>
    <w:basedOn w:val="Normln"/>
    <w:next w:val="Normln"/>
    <w:link w:val="Nadpis6Char"/>
    <w:uiPriority w:val="9"/>
    <w:semiHidden/>
    <w:unhideWhenUsed/>
    <w:qFormat/>
    <w:rsid w:val="00E35FC6"/>
    <w:pPr>
      <w:keepNext/>
      <w:keepLines/>
      <w:numPr>
        <w:ilvl w:val="5"/>
        <w:numId w:val="3"/>
      </w:numPr>
      <w:spacing w:before="40" w:after="0" w:line="240" w:lineRule="auto"/>
      <w:jc w:val="both"/>
      <w:outlineLvl w:val="5"/>
    </w:pPr>
    <w:rPr>
      <w:rFonts w:asciiTheme="majorHAnsi" w:eastAsiaTheme="majorEastAsia" w:hAnsiTheme="majorHAnsi" w:cstheme="majorBidi"/>
      <w:color w:val="1F4D78" w:themeColor="accent1" w:themeShade="7F"/>
      <w:sz w:val="24"/>
      <w:szCs w:val="24"/>
    </w:rPr>
  </w:style>
  <w:style w:type="paragraph" w:styleId="Nadpis7">
    <w:name w:val="heading 7"/>
    <w:basedOn w:val="Normln"/>
    <w:next w:val="Normln"/>
    <w:link w:val="Nadpis7Char"/>
    <w:uiPriority w:val="9"/>
    <w:semiHidden/>
    <w:unhideWhenUsed/>
    <w:qFormat/>
    <w:rsid w:val="00E35FC6"/>
    <w:pPr>
      <w:keepNext/>
      <w:keepLines/>
      <w:numPr>
        <w:ilvl w:val="6"/>
        <w:numId w:val="3"/>
      </w:numPr>
      <w:spacing w:before="40" w:after="0" w:line="240" w:lineRule="auto"/>
      <w:jc w:val="both"/>
      <w:outlineLvl w:val="6"/>
    </w:pPr>
    <w:rPr>
      <w:rFonts w:asciiTheme="majorHAnsi" w:eastAsiaTheme="majorEastAsia" w:hAnsiTheme="majorHAnsi" w:cstheme="majorBidi"/>
      <w:i/>
      <w:iCs/>
      <w:color w:val="1F4D78" w:themeColor="accent1" w:themeShade="7F"/>
      <w:sz w:val="24"/>
      <w:szCs w:val="24"/>
    </w:rPr>
  </w:style>
  <w:style w:type="paragraph" w:styleId="Nadpis8">
    <w:name w:val="heading 8"/>
    <w:basedOn w:val="Normln"/>
    <w:next w:val="Normln"/>
    <w:link w:val="Nadpis8Char"/>
    <w:uiPriority w:val="9"/>
    <w:semiHidden/>
    <w:unhideWhenUsed/>
    <w:qFormat/>
    <w:rsid w:val="00E35FC6"/>
    <w:pPr>
      <w:keepNext/>
      <w:keepLines/>
      <w:numPr>
        <w:ilvl w:val="7"/>
        <w:numId w:val="3"/>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35FC6"/>
    <w:pPr>
      <w:keepNext/>
      <w:keepLines/>
      <w:numPr>
        <w:ilvl w:val="8"/>
        <w:numId w:val="3"/>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odrážky,Odstavec cíl se seznamem,Odstavec se seznamem1,Nadpis pro KZ,List Paragraph_0,List Paragraph1,List Paragraph2,Nad,Nad1,Nad2,Odstavec_muj1,Odstavec_muj10,Odstavec_muj2,Odstavec_muj3,Odstavec_muj4,Odstavec_muj5"/>
    <w:basedOn w:val="Normln"/>
    <w:link w:val="OdstavecseseznamemChar"/>
    <w:uiPriority w:val="34"/>
    <w:qFormat/>
    <w:rsid w:val="0019515B"/>
    <w:pPr>
      <w:ind w:left="720"/>
      <w:contextualSpacing/>
    </w:pPr>
  </w:style>
  <w:style w:type="paragraph" w:styleId="Textbubliny">
    <w:name w:val="Balloon Text"/>
    <w:basedOn w:val="Normln"/>
    <w:link w:val="TextbublinyChar"/>
    <w:uiPriority w:val="99"/>
    <w:semiHidden/>
    <w:unhideWhenUsed/>
    <w:rsid w:val="00D348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485C"/>
    <w:rPr>
      <w:rFonts w:ascii="Segoe UI" w:hAnsi="Segoe UI" w:cs="Segoe UI"/>
      <w:sz w:val="18"/>
      <w:szCs w:val="18"/>
    </w:rPr>
  </w:style>
  <w:style w:type="character" w:customStyle="1" w:styleId="Nadpis1Char">
    <w:name w:val="Nadpis 1 Char"/>
    <w:basedOn w:val="Standardnpsmoodstavce"/>
    <w:link w:val="Nadpis1"/>
    <w:uiPriority w:val="9"/>
    <w:rsid w:val="00E35FC6"/>
    <w:rPr>
      <w:rFonts w:eastAsia="Times New Roman" w:cstheme="minorHAnsi"/>
      <w:b/>
      <w:color w:val="000000"/>
      <w:sz w:val="24"/>
      <w:szCs w:val="20"/>
      <w:lang w:eastAsia="cs-CZ"/>
    </w:rPr>
  </w:style>
  <w:style w:type="character" w:customStyle="1" w:styleId="Nadpis2Char">
    <w:name w:val="Nadpis 2 Char"/>
    <w:basedOn w:val="Standardnpsmoodstavce"/>
    <w:link w:val="Nadpis2"/>
    <w:uiPriority w:val="9"/>
    <w:rsid w:val="00E35FC6"/>
    <w:rPr>
      <w:rFonts w:eastAsia="Times New Roman" w:cs="Arial"/>
      <w:b/>
      <w:bCs/>
      <w:color w:val="000000"/>
      <w:sz w:val="24"/>
      <w:szCs w:val="24"/>
    </w:rPr>
  </w:style>
  <w:style w:type="character" w:customStyle="1" w:styleId="Nadpis3Char">
    <w:name w:val="Nadpis 3 Char"/>
    <w:basedOn w:val="Standardnpsmoodstavce"/>
    <w:link w:val="Nadpis3"/>
    <w:uiPriority w:val="9"/>
    <w:rsid w:val="00E35FC6"/>
    <w:rPr>
      <w:rFonts w:eastAsiaTheme="majorEastAsia" w:cstheme="majorBidi"/>
      <w:bCs/>
      <w:color w:val="000000"/>
      <w:sz w:val="24"/>
      <w:szCs w:val="24"/>
      <w:u w:val="single"/>
    </w:rPr>
  </w:style>
  <w:style w:type="character" w:customStyle="1" w:styleId="Nadpis4Char">
    <w:name w:val="Nadpis 4 Char"/>
    <w:basedOn w:val="Standardnpsmoodstavce"/>
    <w:link w:val="Nadpis4"/>
    <w:uiPriority w:val="9"/>
    <w:rsid w:val="00E35FC6"/>
    <w:rPr>
      <w:rFonts w:asciiTheme="majorHAnsi" w:eastAsiaTheme="majorEastAsia" w:hAnsiTheme="majorHAnsi" w:cstheme="majorBidi"/>
      <w:i/>
      <w:iCs/>
      <w:color w:val="000000" w:themeColor="text1"/>
      <w:sz w:val="24"/>
      <w:szCs w:val="24"/>
    </w:rPr>
  </w:style>
  <w:style w:type="character" w:customStyle="1" w:styleId="Nadpis5Char">
    <w:name w:val="Nadpis 5 Char"/>
    <w:basedOn w:val="Standardnpsmoodstavce"/>
    <w:link w:val="Nadpis5"/>
    <w:uiPriority w:val="9"/>
    <w:semiHidden/>
    <w:rsid w:val="00E35FC6"/>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uiPriority w:val="9"/>
    <w:semiHidden/>
    <w:rsid w:val="00E35FC6"/>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
    <w:semiHidden/>
    <w:rsid w:val="00E35FC6"/>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E35FC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35FC6"/>
    <w:rPr>
      <w:rFonts w:asciiTheme="majorHAnsi" w:eastAsiaTheme="majorEastAsia" w:hAnsiTheme="majorHAnsi" w:cstheme="majorBidi"/>
      <w:i/>
      <w:iCs/>
      <w:color w:val="272727" w:themeColor="text1" w:themeTint="D8"/>
      <w:sz w:val="21"/>
      <w:szCs w:val="21"/>
    </w:rPr>
  </w:style>
  <w:style w:type="paragraph" w:customStyle="1" w:styleId="Zkladn">
    <w:name w:val="Základní"/>
    <w:basedOn w:val="Normln"/>
    <w:rsid w:val="00E35FC6"/>
    <w:pPr>
      <w:spacing w:before="120" w:after="0" w:line="240" w:lineRule="auto"/>
      <w:jc w:val="both"/>
    </w:pPr>
    <w:rPr>
      <w:rFonts w:ascii="Arial" w:eastAsia="Times New Roman" w:hAnsi="Arial" w:cs="Times New Roman"/>
      <w:sz w:val="24"/>
      <w:szCs w:val="24"/>
    </w:rPr>
  </w:style>
  <w:style w:type="paragraph" w:styleId="Zhlav">
    <w:name w:val="header"/>
    <w:basedOn w:val="Normln"/>
    <w:link w:val="ZhlavChar"/>
    <w:uiPriority w:val="99"/>
    <w:unhideWhenUsed/>
    <w:rsid w:val="00E35FC6"/>
    <w:pPr>
      <w:tabs>
        <w:tab w:val="center" w:pos="4536"/>
        <w:tab w:val="right" w:pos="9072"/>
      </w:tabs>
      <w:spacing w:after="0" w:line="240" w:lineRule="auto"/>
      <w:jc w:val="both"/>
    </w:pPr>
    <w:rPr>
      <w:sz w:val="24"/>
    </w:rPr>
  </w:style>
  <w:style w:type="character" w:customStyle="1" w:styleId="ZhlavChar">
    <w:name w:val="Záhlaví Char"/>
    <w:basedOn w:val="Standardnpsmoodstavce"/>
    <w:link w:val="Zhlav"/>
    <w:uiPriority w:val="99"/>
    <w:rsid w:val="00E35FC6"/>
    <w:rPr>
      <w:sz w:val="24"/>
    </w:rPr>
  </w:style>
  <w:style w:type="paragraph" w:styleId="Zpat">
    <w:name w:val="footer"/>
    <w:basedOn w:val="Normln"/>
    <w:link w:val="ZpatChar"/>
    <w:unhideWhenUsed/>
    <w:rsid w:val="00E35FC6"/>
    <w:pPr>
      <w:tabs>
        <w:tab w:val="center" w:pos="4536"/>
        <w:tab w:val="right" w:pos="9072"/>
      </w:tabs>
      <w:spacing w:after="0" w:line="240" w:lineRule="auto"/>
      <w:jc w:val="both"/>
    </w:pPr>
    <w:rPr>
      <w:sz w:val="24"/>
    </w:rPr>
  </w:style>
  <w:style w:type="character" w:customStyle="1" w:styleId="ZpatChar">
    <w:name w:val="Zápatí Char"/>
    <w:basedOn w:val="Standardnpsmoodstavce"/>
    <w:link w:val="Zpat"/>
    <w:rsid w:val="00E35FC6"/>
    <w:rPr>
      <w:sz w:val="24"/>
    </w:rPr>
  </w:style>
  <w:style w:type="paragraph" w:styleId="Bezmezer">
    <w:name w:val="No Spacing"/>
    <w:uiPriority w:val="1"/>
    <w:qFormat/>
    <w:rsid w:val="00E35FC6"/>
    <w:pPr>
      <w:spacing w:after="0" w:line="240" w:lineRule="auto"/>
      <w:jc w:val="both"/>
    </w:pPr>
    <w:rPr>
      <w:sz w:val="24"/>
    </w:rPr>
  </w:style>
  <w:style w:type="paragraph" w:styleId="Textpoznpodarou">
    <w:name w:val="footnote text"/>
    <w:aliases w:val="Schriftart: 9 pt,Schriftart: 10 pt,Schriftart: 8 pt,Char,Char Char Char Char,Boston 10,Font: Geneva 9,Fußnotentextf,Geneva 9,Podrozdzia3,Podrozdział,Text poznámky pod čiarou 007,f,pozn. pod čarou,Footnote Text Char"/>
    <w:basedOn w:val="Normln"/>
    <w:link w:val="TextpoznpodarouChar"/>
    <w:uiPriority w:val="99"/>
    <w:unhideWhenUsed/>
    <w:qFormat/>
    <w:rsid w:val="00E35FC6"/>
    <w:pPr>
      <w:spacing w:after="0" w:line="240" w:lineRule="auto"/>
      <w:jc w:val="both"/>
    </w:pPr>
    <w:rPr>
      <w:sz w:val="20"/>
      <w:szCs w:val="20"/>
    </w:rPr>
  </w:style>
  <w:style w:type="character" w:customStyle="1" w:styleId="TextpoznpodarouChar">
    <w:name w:val="Text pozn. pod čarou Char"/>
    <w:aliases w:val="Schriftart: 9 pt Char,Schriftart: 10 pt Char,Schriftart: 8 pt Char,Char Char,Char Char Char Char Char,Boston 10 Char,Font: Geneva 9 Char,Fußnotentextf Char,Geneva 9 Char,Podrozdzia3 Char,Podrozdział Char,f Char"/>
    <w:basedOn w:val="Standardnpsmoodstavce"/>
    <w:link w:val="Textpoznpodarou"/>
    <w:uiPriority w:val="99"/>
    <w:rsid w:val="00E35FC6"/>
    <w:rPr>
      <w:sz w:val="20"/>
      <w:szCs w:val="20"/>
    </w:rPr>
  </w:style>
  <w:style w:type="character" w:styleId="Znakapoznpodarou">
    <w:name w:val="footnote reference"/>
    <w:aliases w:val="Footnote,Footnote call,12 b.,PGI Fußnote Ziffer,PGI Fußnote Ziffer + Times New Roman,Zúžené o ...,Appel note de bas de p,Appel note de bas de page,BVI fnr,Char Car Car Car Car,Footnote Reference Superscript,Footnote symbol,Légende"/>
    <w:basedOn w:val="Standardnpsmoodstavce"/>
    <w:uiPriority w:val="99"/>
    <w:unhideWhenUsed/>
    <w:rsid w:val="00E35FC6"/>
    <w:rPr>
      <w:vertAlign w:val="superscript"/>
    </w:rPr>
  </w:style>
  <w:style w:type="character" w:customStyle="1" w:styleId="OdstavecseseznamemChar">
    <w:name w:val="Odstavec se seznamem Char"/>
    <w:aliases w:val="Odstavec_muj Char,odrážky Char,Odstavec cíl se seznamem Char,Odstavec se seznamem1 Char,Nadpis pro KZ Char,List Paragraph_0 Char,List Paragraph1 Char,List Paragraph2 Char,Nad Char,Nad1 Char,Nad2 Char,Odstavec_muj1 Char"/>
    <w:basedOn w:val="Standardnpsmoodstavce"/>
    <w:link w:val="Odstavecseseznamem"/>
    <w:uiPriority w:val="34"/>
    <w:qFormat/>
    <w:rsid w:val="00E35FC6"/>
  </w:style>
  <w:style w:type="paragraph" w:styleId="Nzev">
    <w:name w:val="Title"/>
    <w:aliases w:val="Kami"/>
    <w:basedOn w:val="Normln"/>
    <w:next w:val="Normln"/>
    <w:link w:val="NzevChar"/>
    <w:uiPriority w:val="10"/>
    <w:qFormat/>
    <w:rsid w:val="00E35FC6"/>
    <w:pPr>
      <w:spacing w:after="120" w:line="240" w:lineRule="auto"/>
      <w:jc w:val="both"/>
    </w:pPr>
    <w:rPr>
      <w:rFonts w:eastAsia="Times New Roman" w:cstheme="minorHAnsi"/>
      <w:sz w:val="24"/>
      <w:szCs w:val="24"/>
    </w:rPr>
  </w:style>
  <w:style w:type="character" w:customStyle="1" w:styleId="NzevChar">
    <w:name w:val="Název Char"/>
    <w:aliases w:val="Kami Char"/>
    <w:basedOn w:val="Standardnpsmoodstavce"/>
    <w:link w:val="Nzev"/>
    <w:uiPriority w:val="10"/>
    <w:rsid w:val="00E35FC6"/>
    <w:rPr>
      <w:rFonts w:eastAsia="Times New Roman" w:cstheme="minorHAnsi"/>
      <w:sz w:val="24"/>
      <w:szCs w:val="24"/>
    </w:rPr>
  </w:style>
  <w:style w:type="character" w:customStyle="1" w:styleId="poznmkapodarouChar">
    <w:name w:val="poznámka pod čarou Char"/>
    <w:basedOn w:val="Standardnpsmoodstavce"/>
    <w:link w:val="poznmkapodarou"/>
    <w:locked/>
    <w:rsid w:val="00E35FC6"/>
    <w:rPr>
      <w:rFonts w:ascii="Times New Roman" w:eastAsia="Times New Roman" w:hAnsi="Times New Roman" w:cstheme="minorHAnsi"/>
      <w:sz w:val="20"/>
      <w:szCs w:val="20"/>
    </w:rPr>
  </w:style>
  <w:style w:type="paragraph" w:customStyle="1" w:styleId="poznmkapodarou">
    <w:name w:val="poznámka pod čarou"/>
    <w:basedOn w:val="Textpoznpodarou"/>
    <w:link w:val="poznmkapodarouChar"/>
    <w:qFormat/>
    <w:rsid w:val="00E35FC6"/>
    <w:rPr>
      <w:rFonts w:ascii="Times New Roman" w:eastAsia="Times New Roman" w:hAnsi="Times New Roman" w:cstheme="minorHAnsi"/>
    </w:rPr>
  </w:style>
  <w:style w:type="character" w:styleId="Odkaznakoment">
    <w:name w:val="annotation reference"/>
    <w:basedOn w:val="Standardnpsmoodstavce"/>
    <w:uiPriority w:val="99"/>
    <w:semiHidden/>
    <w:unhideWhenUsed/>
    <w:rsid w:val="00E35FC6"/>
    <w:rPr>
      <w:sz w:val="16"/>
      <w:szCs w:val="16"/>
    </w:rPr>
  </w:style>
  <w:style w:type="paragraph" w:styleId="Textkomente">
    <w:name w:val="annotation text"/>
    <w:basedOn w:val="Normln"/>
    <w:link w:val="TextkomenteChar"/>
    <w:uiPriority w:val="99"/>
    <w:semiHidden/>
    <w:unhideWhenUsed/>
    <w:rsid w:val="00E35FC6"/>
    <w:pPr>
      <w:spacing w:after="120" w:line="240" w:lineRule="auto"/>
      <w:jc w:val="both"/>
    </w:pPr>
    <w:rPr>
      <w:sz w:val="20"/>
      <w:szCs w:val="20"/>
    </w:rPr>
  </w:style>
  <w:style w:type="character" w:customStyle="1" w:styleId="TextkomenteChar">
    <w:name w:val="Text komentáře Char"/>
    <w:basedOn w:val="Standardnpsmoodstavce"/>
    <w:link w:val="Textkomente"/>
    <w:uiPriority w:val="99"/>
    <w:semiHidden/>
    <w:rsid w:val="00E35FC6"/>
    <w:rPr>
      <w:sz w:val="20"/>
      <w:szCs w:val="20"/>
    </w:rPr>
  </w:style>
  <w:style w:type="paragraph" w:styleId="Pedmtkomente">
    <w:name w:val="annotation subject"/>
    <w:basedOn w:val="Textkomente"/>
    <w:next w:val="Textkomente"/>
    <w:link w:val="PedmtkomenteChar"/>
    <w:uiPriority w:val="99"/>
    <w:semiHidden/>
    <w:unhideWhenUsed/>
    <w:rsid w:val="00E35FC6"/>
    <w:rPr>
      <w:b/>
      <w:bCs/>
    </w:rPr>
  </w:style>
  <w:style w:type="character" w:customStyle="1" w:styleId="PedmtkomenteChar">
    <w:name w:val="Předmět komentáře Char"/>
    <w:basedOn w:val="TextkomenteChar"/>
    <w:link w:val="Pedmtkomente"/>
    <w:uiPriority w:val="99"/>
    <w:semiHidden/>
    <w:rsid w:val="00E35FC6"/>
    <w:rPr>
      <w:b/>
      <w:bCs/>
      <w:sz w:val="20"/>
      <w:szCs w:val="20"/>
    </w:rPr>
  </w:style>
  <w:style w:type="character" w:styleId="slostrnky">
    <w:name w:val="page number"/>
    <w:basedOn w:val="Standardnpsmoodstavce"/>
    <w:semiHidden/>
    <w:unhideWhenUsed/>
    <w:rsid w:val="00E35FC6"/>
  </w:style>
  <w:style w:type="paragraph" w:styleId="Titulek">
    <w:name w:val="caption"/>
    <w:basedOn w:val="Normln"/>
    <w:next w:val="Normln"/>
    <w:uiPriority w:val="35"/>
    <w:unhideWhenUsed/>
    <w:qFormat/>
    <w:rsid w:val="00E35FC6"/>
    <w:pPr>
      <w:spacing w:after="200" w:line="240" w:lineRule="auto"/>
      <w:jc w:val="both"/>
    </w:pPr>
    <w:rPr>
      <w:rFonts w:ascii="Calibri" w:eastAsia="Times New Roman" w:hAnsi="Calibri" w:cs="Times New Roman"/>
      <w:i/>
      <w:iCs/>
      <w:color w:val="44546A" w:themeColor="text2"/>
      <w:sz w:val="18"/>
      <w:szCs w:val="18"/>
      <w:lang w:val="en-US"/>
    </w:rPr>
  </w:style>
  <w:style w:type="table" w:styleId="Mkatabulky">
    <w:name w:val="Table Grid"/>
    <w:basedOn w:val="Normlntabulka"/>
    <w:uiPriority w:val="39"/>
    <w:rsid w:val="00E35FC6"/>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E35F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E35FC6"/>
    <w:rPr>
      <w:color w:val="000000"/>
      <w:sz w:val="28"/>
      <w:szCs w:val="28"/>
    </w:rPr>
  </w:style>
  <w:style w:type="character" w:customStyle="1" w:styleId="A5">
    <w:name w:val="A5"/>
    <w:uiPriority w:val="99"/>
    <w:rsid w:val="00E35FC6"/>
    <w:rPr>
      <w:b/>
      <w:bCs/>
      <w:color w:val="000000"/>
      <w:sz w:val="40"/>
      <w:szCs w:val="40"/>
    </w:rPr>
  </w:style>
  <w:style w:type="table" w:customStyle="1" w:styleId="Mkatabulky2">
    <w:name w:val="Mřížka tabulky2"/>
    <w:basedOn w:val="Normlntabulka"/>
    <w:next w:val="Mkatabulky"/>
    <w:uiPriority w:val="39"/>
    <w:rsid w:val="00E35F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35FC6"/>
    <w:rPr>
      <w:color w:val="0563C1" w:themeColor="hyperlink"/>
      <w:u w:val="single"/>
    </w:rPr>
  </w:style>
  <w:style w:type="character" w:styleId="Sledovanodkaz">
    <w:name w:val="FollowedHyperlink"/>
    <w:basedOn w:val="Standardnpsmoodstavce"/>
    <w:uiPriority w:val="99"/>
    <w:semiHidden/>
    <w:unhideWhenUsed/>
    <w:rsid w:val="00E35F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nku.cz/scripts/detail.php?id=1103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nku.cz/scripts/detail.php?id=1103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ku.cz/scripts/detail.php?id=1103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ku.cz/scripts/detail.php?id=11033" TargetMode="External"/><Relationship Id="rId14" Type="http://schemas.openxmlformats.org/officeDocument/2006/relationships/hyperlink" Target="https://www.nku.cz/scripts/detail.php?id=11033"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1\LEHOVEC\Plocha\Graf%203%20v%20aplikaci%20Microsoft%20Wor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38601147078837367"/>
          <c:y val="8.8572297106929446E-2"/>
          <c:w val="0.57259196767070786"/>
          <c:h val="0.70584434360959114"/>
        </c:manualLayout>
      </c:layout>
      <c:barChart>
        <c:barDir val="bar"/>
        <c:grouping val="clustered"/>
        <c:varyColors val="0"/>
        <c:ser>
          <c:idx val="0"/>
          <c:order val="0"/>
          <c:tx>
            <c:strRef>
              <c:f>List1!$A$19</c:f>
              <c:strCache>
                <c:ptCount val="1"/>
                <c:pt idx="0">
                  <c:v>Mandatorní výdaje (v %) – celkem 2, 980 mld. Kč</c:v>
                </c:pt>
              </c:strCache>
            </c:strRef>
          </c:tx>
          <c:spPr>
            <a:solidFill>
              <a:schemeClr val="accent1"/>
            </a:solidFill>
            <a:ln>
              <a:noFill/>
            </a:ln>
            <a:effectLst/>
          </c:spPr>
          <c:invertIfNegative val="0"/>
          <c:dLbls>
            <c:dLbl>
              <c:idx val="0"/>
              <c:layout>
                <c:manualLayout>
                  <c:x val="1.701584600659364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49E-41DE-9E6E-F691C7B49402}"/>
                </c:ext>
              </c:extLst>
            </c:dLbl>
            <c:numFmt formatCode="0.00_I%" sourceLinked="0"/>
            <c:spPr>
              <a:noFill/>
              <a:ln>
                <a:noFill/>
              </a:ln>
              <a:effectLst/>
            </c:spPr>
            <c:txPr>
              <a:bodyPr rot="0" spcFirstLastPara="1" vertOverflow="ellipsis" vert="horz" wrap="square" lIns="38100" tIns="19050" rIns="38100" bIns="19050" anchor="ctr" anchorCtr="0">
                <a:spAutoFit/>
              </a:bodyPr>
              <a:lstStyle/>
              <a:p>
                <a:pPr algn="l">
                  <a:defRPr sz="8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List1!$B$18:$J$18</c:f>
              <c:strCache>
                <c:ptCount val="9"/>
                <c:pt idx="0">
                  <c:v>Mezinárodní vládní organizace (117)</c:v>
                </c:pt>
                <c:pt idx="1">
                  <c:v>Ostatní (52)</c:v>
                </c:pt>
                <c:pt idx="2">
                  <c:v>Mezinárodní projekty a programy (40)</c:v>
                </c:pt>
                <c:pt idx="3">
                  <c:v>Mezinárodní fondy a nadace (11)</c:v>
                </c:pt>
                <c:pt idx="4">
                  <c:v>Mezinárodní dohody a úmluvy (60)</c:v>
                </c:pt>
                <c:pt idx="5">
                  <c:v>Mezinárodní nevládní organizace (134)</c:v>
                </c:pt>
                <c:pt idx="6">
                  <c:v>Hybridní (14)</c:v>
                </c:pt>
                <c:pt idx="7">
                  <c:v>Mezinárodní orgány (28)</c:v>
                </c:pt>
                <c:pt idx="8">
                  <c:v>Mezinárodní fóra a platformy (21)</c:v>
                </c:pt>
              </c:strCache>
            </c:strRef>
          </c:cat>
          <c:val>
            <c:numRef>
              <c:f>List1!$B$19:$J$19</c:f>
              <c:numCache>
                <c:formatCode>General</c:formatCode>
                <c:ptCount val="9"/>
                <c:pt idx="0">
                  <c:v>0.84099396569230067</c:v>
                </c:pt>
                <c:pt idx="1">
                  <c:v>5.7920707735224876E-2</c:v>
                </c:pt>
                <c:pt idx="2">
                  <c:v>3.494633837502744E-2</c:v>
                </c:pt>
                <c:pt idx="3">
                  <c:v>2.54429523972435E-2</c:v>
                </c:pt>
                <c:pt idx="4">
                  <c:v>1.5816128222499962E-2</c:v>
                </c:pt>
                <c:pt idx="5">
                  <c:v>9.5954224390869258E-3</c:v>
                </c:pt>
                <c:pt idx="6">
                  <c:v>7.8370665540939445E-3</c:v>
                </c:pt>
                <c:pt idx="7">
                  <c:v>6.6191201855440637E-3</c:v>
                </c:pt>
                <c:pt idx="8">
                  <c:v>8.2829839897852241E-4</c:v>
                </c:pt>
              </c:numCache>
            </c:numRef>
          </c:val>
          <c:extLst>
            <c:ext xmlns:c16="http://schemas.microsoft.com/office/drawing/2014/chart" uri="{C3380CC4-5D6E-409C-BE32-E72D297353CC}">
              <c16:uniqueId val="{00000001-449E-41DE-9E6E-F691C7B49402}"/>
            </c:ext>
          </c:extLst>
        </c:ser>
        <c:ser>
          <c:idx val="1"/>
          <c:order val="1"/>
          <c:tx>
            <c:strRef>
              <c:f>List1!$A$20</c:f>
              <c:strCache>
                <c:ptCount val="1"/>
                <c:pt idx="0">
                  <c:v>Podíl organizací (v %) – celkem 477</c:v>
                </c:pt>
              </c:strCache>
            </c:strRef>
          </c:tx>
          <c:spPr>
            <a:solidFill>
              <a:schemeClr val="accent1">
                <a:lumMod val="50000"/>
              </a:schemeClr>
            </a:solidFill>
            <a:ln>
              <a:noFill/>
            </a:ln>
            <a:effectLst/>
          </c:spPr>
          <c:invertIfNegative val="0"/>
          <c:dLbls>
            <c:dLbl>
              <c:idx val="0"/>
              <c:layout>
                <c:manualLayout>
                  <c:x val="2.1269807508242051E-2"/>
                  <c:y val="-1.4811651421974381E-16"/>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49E-41DE-9E6E-F691C7B49402}"/>
                </c:ext>
              </c:extLst>
            </c:dLbl>
            <c:dLbl>
              <c:idx val="1"/>
              <c:layout>
                <c:manualLayout>
                  <c:x val="1.9142826757417845E-2"/>
                  <c:y val="-7.4058257109871904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49E-41DE-9E6E-F691C7B49402}"/>
                </c:ext>
              </c:extLst>
            </c:dLbl>
            <c:dLbl>
              <c:idx val="2"/>
              <c:layout>
                <c:manualLayout>
                  <c:x val="2.5523769009890462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49E-41DE-9E6E-F691C7B49402}"/>
                </c:ext>
              </c:extLst>
            </c:dLbl>
            <c:dLbl>
              <c:idx val="3"/>
              <c:layout>
                <c:manualLayout>
                  <c:x val="1.9142826757417845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49E-41DE-9E6E-F691C7B49402}"/>
                </c:ext>
              </c:extLst>
            </c:dLbl>
            <c:dLbl>
              <c:idx val="4"/>
              <c:layout>
                <c:manualLayout>
                  <c:x val="2.1269807508242051E-2"/>
                  <c:y val="-7.4058257109871904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49E-41DE-9E6E-F691C7B49402}"/>
                </c:ext>
              </c:extLst>
            </c:dLbl>
            <c:dLbl>
              <c:idx val="5"/>
              <c:layout>
                <c:manualLayout>
                  <c:x val="1.701584600659372E-2"/>
                  <c:y val="-3.7029128554935952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49E-41DE-9E6E-F691C7B49402}"/>
                </c:ext>
              </c:extLst>
            </c:dLbl>
            <c:dLbl>
              <c:idx val="6"/>
              <c:layout>
                <c:manualLayout>
                  <c:x val="1.9142826757417845E-2"/>
                  <c:y val="-3.7029128554935952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49E-41DE-9E6E-F691C7B49402}"/>
                </c:ext>
              </c:extLst>
            </c:dLbl>
            <c:dLbl>
              <c:idx val="7"/>
              <c:layout>
                <c:manualLayout>
                  <c:x val="2.1269807508241971E-2"/>
                  <c:y val="1.8514564277467976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49E-41DE-9E6E-F691C7B49402}"/>
                </c:ext>
              </c:extLst>
            </c:dLbl>
            <c:dLbl>
              <c:idx val="8"/>
              <c:layout>
                <c:manualLayout>
                  <c:x val="1.2761884504945231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449E-41DE-9E6E-F691C7B49402}"/>
                </c:ext>
              </c:extLst>
            </c:dLbl>
            <c:numFmt formatCode="0.00_I%" sourceLinked="0"/>
            <c:spPr>
              <a:noFill/>
              <a:ln>
                <a:noFill/>
              </a:ln>
              <a:effectLst/>
            </c:spPr>
            <c:txPr>
              <a:bodyPr rot="0" spcFirstLastPara="1" vertOverflow="ellipsis" vert="horz" wrap="square" lIns="38100" tIns="19050" rIns="38100" bIns="19050" anchor="ctr" anchorCtr="0">
                <a:spAutoFit/>
              </a:bodyPr>
              <a:lstStyle/>
              <a:p>
                <a:pPr algn="l">
                  <a:defRPr sz="800" b="0" i="0" u="none" strike="noStrike" kern="1200" baseline="0">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List1!$B$18:$J$18</c:f>
              <c:strCache>
                <c:ptCount val="9"/>
                <c:pt idx="0">
                  <c:v>Mezinárodní vládní organizace (117)</c:v>
                </c:pt>
                <c:pt idx="1">
                  <c:v>Ostatní (52)</c:v>
                </c:pt>
                <c:pt idx="2">
                  <c:v>Mezinárodní projekty a programy (40)</c:v>
                </c:pt>
                <c:pt idx="3">
                  <c:v>Mezinárodní fondy a nadace (11)</c:v>
                </c:pt>
                <c:pt idx="4">
                  <c:v>Mezinárodní dohody a úmluvy (60)</c:v>
                </c:pt>
                <c:pt idx="5">
                  <c:v>Mezinárodní nevládní organizace (134)</c:v>
                </c:pt>
                <c:pt idx="6">
                  <c:v>Hybridní (14)</c:v>
                </c:pt>
                <c:pt idx="7">
                  <c:v>Mezinárodní orgány (28)</c:v>
                </c:pt>
                <c:pt idx="8">
                  <c:v>Mezinárodní fóra a platformy (21)</c:v>
                </c:pt>
              </c:strCache>
            </c:strRef>
          </c:cat>
          <c:val>
            <c:numRef>
              <c:f>List1!$B$20:$J$20</c:f>
              <c:numCache>
                <c:formatCode>General</c:formatCode>
                <c:ptCount val="9"/>
                <c:pt idx="0">
                  <c:v>0.24528301886792453</c:v>
                </c:pt>
                <c:pt idx="1">
                  <c:v>0.1090146750524109</c:v>
                </c:pt>
                <c:pt idx="2">
                  <c:v>8.385744234800839E-2</c:v>
                </c:pt>
                <c:pt idx="3">
                  <c:v>2.3060796645702306E-2</c:v>
                </c:pt>
                <c:pt idx="4">
                  <c:v>0.12578616352201258</c:v>
                </c:pt>
                <c:pt idx="5">
                  <c:v>0.2809224318658281</c:v>
                </c:pt>
                <c:pt idx="6">
                  <c:v>2.9350104821802937E-2</c:v>
                </c:pt>
                <c:pt idx="7">
                  <c:v>5.8700209643605873E-2</c:v>
                </c:pt>
                <c:pt idx="8">
                  <c:v>4.40251572327044E-2</c:v>
                </c:pt>
              </c:numCache>
            </c:numRef>
          </c:val>
          <c:extLst>
            <c:ext xmlns:c16="http://schemas.microsoft.com/office/drawing/2014/chart" uri="{C3380CC4-5D6E-409C-BE32-E72D297353CC}">
              <c16:uniqueId val="{0000000B-449E-41DE-9E6E-F691C7B49402}"/>
            </c:ext>
          </c:extLst>
        </c:ser>
        <c:dLbls>
          <c:dLblPos val="outEnd"/>
          <c:showLegendKey val="0"/>
          <c:showVal val="1"/>
          <c:showCatName val="0"/>
          <c:showSerName val="0"/>
          <c:showPercent val="0"/>
          <c:showBubbleSize val="0"/>
        </c:dLbls>
        <c:gapWidth val="80"/>
        <c:axId val="708807935"/>
        <c:axId val="708808351"/>
      </c:barChart>
      <c:catAx>
        <c:axId val="708807935"/>
        <c:scaling>
          <c:orientation val="minMax"/>
        </c:scaling>
        <c:delete val="0"/>
        <c:axPos val="l"/>
        <c:title>
          <c:tx>
            <c:rich>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r>
                  <a:rPr lang="cs-CZ" sz="800" b="1" i="0">
                    <a:solidFill>
                      <a:sysClr val="windowText" lastClr="000000"/>
                    </a:solidFill>
                  </a:rPr>
                  <a:t>Typ </a:t>
                </a:r>
                <a:r>
                  <a:rPr lang="cs-CZ" sz="800" b="1" i="0" u="none" strike="noStrike" kern="1200" baseline="0">
                    <a:solidFill>
                      <a:sysClr val="windowText" lastClr="000000"/>
                    </a:solidFill>
                    <a:latin typeface="+mn-lt"/>
                    <a:ea typeface="+mn-ea"/>
                    <a:cs typeface="+mn-cs"/>
                  </a:rPr>
                  <a:t>MEO</a:t>
                </a:r>
                <a:r>
                  <a:rPr lang="cs-CZ" sz="800" b="1" i="0">
                    <a:solidFill>
                      <a:sysClr val="windowText" lastClr="000000"/>
                    </a:solidFill>
                  </a:rPr>
                  <a:t> (počet)</a:t>
                </a:r>
              </a:p>
            </c:rich>
          </c:tx>
          <c:layout>
            <c:manualLayout>
              <c:xMode val="edge"/>
              <c:yMode val="edge"/>
              <c:x val="0.24972987158938231"/>
              <c:y val="2.0745332086392908E-2"/>
            </c:manualLayout>
          </c:layout>
          <c:overlay val="0"/>
          <c:spPr>
            <a:noFill/>
            <a:ln>
              <a:noFill/>
            </a:ln>
            <a:effectLst/>
          </c:spPr>
          <c:txPr>
            <a:bodyPr rot="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08808351"/>
        <c:crosses val="autoZero"/>
        <c:auto val="1"/>
        <c:lblAlgn val="ctr"/>
        <c:lblOffset val="100"/>
        <c:noMultiLvlLbl val="0"/>
      </c:catAx>
      <c:valAx>
        <c:axId val="708808351"/>
        <c:scaling>
          <c:orientation val="minMax"/>
        </c:scaling>
        <c:delete val="0"/>
        <c:axPos val="b"/>
        <c:majorGridlines>
          <c:spPr>
            <a:ln w="9525" cap="flat" cmpd="sng" algn="ctr">
              <a:solidFill>
                <a:schemeClr val="tx1">
                  <a:lumMod val="15000"/>
                  <a:lumOff val="85000"/>
                </a:schemeClr>
              </a:solidFill>
              <a:round/>
            </a:ln>
            <a:effectLst/>
          </c:spPr>
        </c:majorGridlines>
        <c:numFmt formatCode="0_I%"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08807935"/>
        <c:crosses val="autoZero"/>
        <c:crossBetween val="between"/>
      </c:valAx>
      <c:spPr>
        <a:noFill/>
        <a:ln>
          <a:noFill/>
        </a:ln>
        <a:effectLst/>
      </c:spPr>
    </c:plotArea>
    <c:legend>
      <c:legendPos val="b"/>
      <c:layout>
        <c:manualLayout>
          <c:xMode val="edge"/>
          <c:yMode val="edge"/>
          <c:x val="0.14998450313841635"/>
          <c:y val="0.88884480016993006"/>
          <c:w val="0.6918518709340864"/>
          <c:h val="5.870109716989759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List1!$B$1</c:f>
              <c:strCache>
                <c:ptCount val="1"/>
                <c:pt idx="0">
                  <c:v>Prodej</c:v>
                </c:pt>
              </c:strCache>
            </c:strRef>
          </c:tx>
          <c:dPt>
            <c:idx val="0"/>
            <c:bubble3D val="0"/>
            <c:spPr>
              <a:solidFill>
                <a:srgbClr val="004595"/>
              </a:solidFill>
              <a:ln w="19050">
                <a:solidFill>
                  <a:schemeClr val="lt1"/>
                </a:solidFill>
              </a:ln>
              <a:effectLst/>
            </c:spPr>
            <c:extLst>
              <c:ext xmlns:c16="http://schemas.microsoft.com/office/drawing/2014/chart" uri="{C3380CC4-5D6E-409C-BE32-E72D297353CC}">
                <c16:uniqueId val="{00000001-C52B-4C33-9325-770E0CCE438B}"/>
              </c:ext>
            </c:extLst>
          </c:dPt>
          <c:dPt>
            <c:idx val="1"/>
            <c:bubble3D val="0"/>
            <c:spPr>
              <a:solidFill>
                <a:srgbClr val="004595">
                  <a:alpha val="80000"/>
                </a:srgbClr>
              </a:solidFill>
              <a:ln w="19050">
                <a:solidFill>
                  <a:schemeClr val="lt1"/>
                </a:solidFill>
              </a:ln>
              <a:effectLst/>
            </c:spPr>
            <c:extLst>
              <c:ext xmlns:c16="http://schemas.microsoft.com/office/drawing/2014/chart" uri="{C3380CC4-5D6E-409C-BE32-E72D297353CC}">
                <c16:uniqueId val="{00000003-C52B-4C33-9325-770E0CCE438B}"/>
              </c:ext>
            </c:extLst>
          </c:dPt>
          <c:dPt>
            <c:idx val="2"/>
            <c:bubble3D val="0"/>
            <c:spPr>
              <a:solidFill>
                <a:srgbClr val="004595">
                  <a:alpha val="60000"/>
                </a:srgbClr>
              </a:solidFill>
              <a:ln w="19050">
                <a:solidFill>
                  <a:schemeClr val="lt1"/>
                </a:solidFill>
              </a:ln>
              <a:effectLst/>
            </c:spPr>
            <c:extLst>
              <c:ext xmlns:c16="http://schemas.microsoft.com/office/drawing/2014/chart" uri="{C3380CC4-5D6E-409C-BE32-E72D297353CC}">
                <c16:uniqueId val="{00000005-C52B-4C33-9325-770E0CCE438B}"/>
              </c:ext>
            </c:extLst>
          </c:dPt>
          <c:dPt>
            <c:idx val="3"/>
            <c:bubble3D val="0"/>
            <c:spPr>
              <a:solidFill>
                <a:srgbClr val="004595">
                  <a:alpha val="40000"/>
                </a:srgbClr>
              </a:solidFill>
              <a:ln w="19050">
                <a:solidFill>
                  <a:schemeClr val="lt1"/>
                </a:solidFill>
              </a:ln>
              <a:effectLst/>
            </c:spPr>
            <c:extLst>
              <c:ext xmlns:c16="http://schemas.microsoft.com/office/drawing/2014/chart" uri="{C3380CC4-5D6E-409C-BE32-E72D297353CC}">
                <c16:uniqueId val="{00000007-C52B-4C33-9325-770E0CCE438B}"/>
              </c:ext>
            </c:extLst>
          </c:dPt>
          <c:dPt>
            <c:idx val="4"/>
            <c:bubble3D val="0"/>
            <c:spPr>
              <a:solidFill>
                <a:srgbClr val="004595">
                  <a:alpha val="20000"/>
                </a:srgbClr>
              </a:solidFill>
              <a:ln w="19050">
                <a:solidFill>
                  <a:schemeClr val="lt1"/>
                </a:solidFill>
              </a:ln>
              <a:effectLst/>
            </c:spPr>
            <c:extLst>
              <c:ext xmlns:c16="http://schemas.microsoft.com/office/drawing/2014/chart" uri="{C3380CC4-5D6E-409C-BE32-E72D297353CC}">
                <c16:uniqueId val="{00000009-C52B-4C33-9325-770E0CCE438B}"/>
              </c:ext>
            </c:extLst>
          </c:dPt>
          <c:dPt>
            <c:idx val="5"/>
            <c:bubble3D val="0"/>
            <c:spPr>
              <a:solidFill>
                <a:srgbClr val="B3B3B3"/>
              </a:solidFill>
              <a:ln w="19050">
                <a:solidFill>
                  <a:schemeClr val="lt1"/>
                </a:solidFill>
              </a:ln>
              <a:effectLst/>
            </c:spPr>
            <c:extLst>
              <c:ext xmlns:c16="http://schemas.microsoft.com/office/drawing/2014/chart" uri="{C3380CC4-5D6E-409C-BE32-E72D297353CC}">
                <c16:uniqueId val="{0000000B-C52B-4C33-9325-770E0CCE438B}"/>
              </c:ext>
            </c:extLst>
          </c:dPt>
          <c:dLbls>
            <c:dLbl>
              <c:idx val="0"/>
              <c:layout>
                <c:manualLayout>
                  <c:x val="-0.31526762602950492"/>
                  <c:y val="-5.1079919357906352E-2"/>
                </c:manualLayout>
              </c:layout>
              <c:tx>
                <c:rich>
                  <a:bodyPr/>
                  <a:lstStyle/>
                  <a:p>
                    <a:fld id="{4846E5CC-4693-4956-9668-C3C945BD545D}" type="CATEGORYNAME">
                      <a:rPr lang="en-US" sz="1000" b="1" i="0" u="none" strike="noStrike" kern="1200" baseline="0">
                        <a:solidFill>
                          <a:sysClr val="windowText" lastClr="000000"/>
                        </a:solidFill>
                      </a:rPr>
                      <a:pPr/>
                      <a:t>[NÁZEV KATEGORIE]</a:t>
                    </a:fld>
                    <a:endParaRPr lang="en-US" sz="1000" b="1" i="0" u="none" strike="noStrike" kern="1200" baseline="0">
                      <a:solidFill>
                        <a:sysClr val="windowText" lastClr="000000"/>
                      </a:solidFill>
                    </a:endParaRPr>
                  </a:p>
                  <a:p>
                    <a:fld id="{8709C378-A46F-44DD-A037-B7F68FEB269B}" type="CELLRANGE">
                      <a:rPr lang="en-US">
                        <a:solidFill>
                          <a:sysClr val="windowText" lastClr="000000"/>
                        </a:solidFill>
                      </a:rPr>
                      <a:pPr/>
                      <a:t>[OBLAST BUNĚK]</a:t>
                    </a:fld>
                    <a:r>
                      <a:rPr lang="en-US">
                        <a:solidFill>
                          <a:sysClr val="windowText" lastClr="000000"/>
                        </a:solidFill>
                      </a:rPr>
                      <a:t> mil. Kč</a:t>
                    </a:r>
                    <a:endParaRPr lang="en-US" baseline="0">
                      <a:solidFill>
                        <a:sysClr val="windowText" lastClr="000000"/>
                      </a:solidFill>
                    </a:endParaRPr>
                  </a:p>
                  <a:p>
                    <a:fld id="{93319081-96A0-4C74-9750-A0DEC7732B50}" type="PERCENTAGE">
                      <a:rPr lang="en-US" sz="1100" b="1">
                        <a:solidFill>
                          <a:sysClr val="windowText" lastClr="000000"/>
                        </a:solidFill>
                      </a:rPr>
                      <a:pPr/>
                      <a:t>[PROCENTO]</a:t>
                    </a:fld>
                    <a:endParaRPr lang="cs-CZ"/>
                  </a:p>
                </c:rich>
              </c:tx>
              <c:showLegendKey val="0"/>
              <c:showVal val="0"/>
              <c:showCatName val="1"/>
              <c:showSerName val="0"/>
              <c:showPercent val="1"/>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1-C52B-4C33-9325-770E0CCE438B}"/>
                </c:ext>
              </c:extLst>
            </c:dLbl>
            <c:dLbl>
              <c:idx val="1"/>
              <c:layout>
                <c:manualLayout>
                  <c:x val="0.12338653385572947"/>
                  <c:y val="-0.25645708465546285"/>
                </c:manualLayout>
              </c:layout>
              <c:tx>
                <c:rich>
                  <a:bodyPr/>
                  <a:lstStyle/>
                  <a:p>
                    <a:fld id="{4846E5CC-4693-4956-9668-C3C945BD545D}" type="CATEGORYNAME">
                      <a:rPr lang="en-US" sz="1000" b="1" i="0" u="none" strike="noStrike" kern="1200" baseline="0">
                        <a:solidFill>
                          <a:sysClr val="windowText" lastClr="000000"/>
                        </a:solidFill>
                      </a:rPr>
                      <a:pPr/>
                      <a:t>[NÁZEV KATEGORIE]</a:t>
                    </a:fld>
                    <a:endParaRPr lang="en-US" sz="1000" b="1" i="0" u="none" strike="noStrike" kern="1200" baseline="0">
                      <a:solidFill>
                        <a:sysClr val="windowText" lastClr="000000"/>
                      </a:solidFill>
                    </a:endParaRPr>
                  </a:p>
                  <a:p>
                    <a:fld id="{8709C378-A46F-44DD-A037-B7F68FEB269B}" type="CELLRANGE">
                      <a:rPr lang="en-US">
                        <a:solidFill>
                          <a:sysClr val="windowText" lastClr="000000"/>
                        </a:solidFill>
                      </a:rPr>
                      <a:pPr/>
                      <a:t>[OBLAST BUNĚK]</a:t>
                    </a:fld>
                    <a:r>
                      <a:rPr lang="en-US">
                        <a:solidFill>
                          <a:sysClr val="windowText" lastClr="000000"/>
                        </a:solidFill>
                      </a:rPr>
                      <a:t> mil. Kč</a:t>
                    </a:r>
                    <a:endParaRPr lang="en-US" baseline="0">
                      <a:solidFill>
                        <a:sysClr val="windowText" lastClr="000000"/>
                      </a:solidFill>
                    </a:endParaRPr>
                  </a:p>
                  <a:p>
                    <a:fld id="{93319081-96A0-4C74-9750-A0DEC7732B50}" type="PERCENTAGE">
                      <a:rPr lang="en-US" sz="1100" b="1">
                        <a:solidFill>
                          <a:sysClr val="windowText" lastClr="000000"/>
                        </a:solidFill>
                      </a:rPr>
                      <a:pPr/>
                      <a:t>[PROCENTO]</a:t>
                    </a:fld>
                    <a:endParaRPr lang="cs-CZ"/>
                  </a:p>
                </c:rich>
              </c:tx>
              <c:showLegendKey val="0"/>
              <c:showVal val="0"/>
              <c:showCatName val="1"/>
              <c:showSerName val="0"/>
              <c:showPercent val="1"/>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3-C52B-4C33-9325-770E0CCE438B}"/>
                </c:ext>
              </c:extLst>
            </c:dLbl>
            <c:dLbl>
              <c:idx val="2"/>
              <c:layout>
                <c:manualLayout>
                  <c:x val="0.26781951588310271"/>
                  <c:y val="-0.20222352802914564"/>
                </c:manualLayout>
              </c:layout>
              <c:tx>
                <c:rich>
                  <a:bodyPr/>
                  <a:lstStyle/>
                  <a:p>
                    <a:fld id="{4846E5CC-4693-4956-9668-C3C945BD545D}" type="CATEGORYNAME">
                      <a:rPr lang="en-US" sz="1000" b="1" i="0" u="none" strike="noStrike" kern="1200" baseline="0">
                        <a:solidFill>
                          <a:sysClr val="windowText" lastClr="000000"/>
                        </a:solidFill>
                      </a:rPr>
                      <a:pPr/>
                      <a:t>[NÁZEV KATEGORIE]</a:t>
                    </a:fld>
                    <a:endParaRPr lang="en-US" sz="1000" b="1" i="0" u="none" strike="noStrike" kern="1200" baseline="0">
                      <a:solidFill>
                        <a:sysClr val="windowText" lastClr="000000"/>
                      </a:solidFill>
                    </a:endParaRPr>
                  </a:p>
                  <a:p>
                    <a:fld id="{8709C378-A46F-44DD-A037-B7F68FEB269B}" type="CELLRANGE">
                      <a:rPr lang="en-US">
                        <a:solidFill>
                          <a:sysClr val="windowText" lastClr="000000"/>
                        </a:solidFill>
                      </a:rPr>
                      <a:pPr/>
                      <a:t>[OBLAST BUNĚK]</a:t>
                    </a:fld>
                    <a:r>
                      <a:rPr lang="en-US">
                        <a:solidFill>
                          <a:sysClr val="windowText" lastClr="000000"/>
                        </a:solidFill>
                      </a:rPr>
                      <a:t> mil. Kč</a:t>
                    </a:r>
                    <a:endParaRPr lang="en-US" baseline="0">
                      <a:solidFill>
                        <a:sysClr val="windowText" lastClr="000000"/>
                      </a:solidFill>
                    </a:endParaRPr>
                  </a:p>
                  <a:p>
                    <a:fld id="{93319081-96A0-4C74-9750-A0DEC7732B50}" type="PERCENTAGE">
                      <a:rPr lang="en-US" sz="1100" b="1">
                        <a:solidFill>
                          <a:sysClr val="windowText" lastClr="000000"/>
                        </a:solidFill>
                      </a:rPr>
                      <a:pPr/>
                      <a:t>[PROCENTO]</a:t>
                    </a:fld>
                    <a:endParaRPr lang="cs-CZ"/>
                  </a:p>
                </c:rich>
              </c:tx>
              <c:showLegendKey val="0"/>
              <c:showVal val="0"/>
              <c:showCatName val="1"/>
              <c:showSerName val="0"/>
              <c:showPercent val="1"/>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5-C52B-4C33-9325-770E0CCE438B}"/>
                </c:ext>
              </c:extLst>
            </c:dLbl>
            <c:dLbl>
              <c:idx val="3"/>
              <c:layout>
                <c:manualLayout>
                  <c:x val="0.24799378491227608"/>
                  <c:y val="7.3716848826732476E-2"/>
                </c:manualLayout>
              </c:layout>
              <c:tx>
                <c:rich>
                  <a:bodyPr/>
                  <a:lstStyle/>
                  <a:p>
                    <a:fld id="{4846E5CC-4693-4956-9668-C3C945BD545D}" type="CATEGORYNAME">
                      <a:rPr lang="en-US" sz="1000" b="1" i="0" u="none" strike="noStrike" kern="1200" baseline="0">
                        <a:solidFill>
                          <a:sysClr val="windowText" lastClr="000000"/>
                        </a:solidFill>
                      </a:rPr>
                      <a:pPr/>
                      <a:t>[NÁZEV KATEGORIE]</a:t>
                    </a:fld>
                    <a:endParaRPr lang="en-US" sz="1000" b="1" i="0" u="none" strike="noStrike" kern="1200" baseline="0">
                      <a:solidFill>
                        <a:sysClr val="windowText" lastClr="000000"/>
                      </a:solidFill>
                    </a:endParaRPr>
                  </a:p>
                  <a:p>
                    <a:fld id="{8709C378-A46F-44DD-A037-B7F68FEB269B}" type="CELLRANGE">
                      <a:rPr lang="en-US">
                        <a:solidFill>
                          <a:sysClr val="windowText" lastClr="000000"/>
                        </a:solidFill>
                      </a:rPr>
                      <a:pPr/>
                      <a:t>[OBLAST BUNĚK]</a:t>
                    </a:fld>
                    <a:r>
                      <a:rPr lang="en-US">
                        <a:solidFill>
                          <a:sysClr val="windowText" lastClr="000000"/>
                        </a:solidFill>
                      </a:rPr>
                      <a:t> mil. Kč</a:t>
                    </a:r>
                    <a:endParaRPr lang="en-US" baseline="0">
                      <a:solidFill>
                        <a:sysClr val="windowText" lastClr="000000"/>
                      </a:solidFill>
                    </a:endParaRPr>
                  </a:p>
                  <a:p>
                    <a:fld id="{93319081-96A0-4C74-9750-A0DEC7732B50}" type="PERCENTAGE">
                      <a:rPr lang="en-US" sz="1100" b="1">
                        <a:solidFill>
                          <a:sysClr val="windowText" lastClr="000000"/>
                        </a:solidFill>
                      </a:rPr>
                      <a:pPr/>
                      <a:t>[PROCENTO]</a:t>
                    </a:fld>
                    <a:endParaRPr lang="cs-CZ"/>
                  </a:p>
                </c:rich>
              </c:tx>
              <c:showLegendKey val="0"/>
              <c:showVal val="0"/>
              <c:showCatName val="1"/>
              <c:showSerName val="0"/>
              <c:showPercent val="1"/>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7-C52B-4C33-9325-770E0CCE438B}"/>
                </c:ext>
              </c:extLst>
            </c:dLbl>
            <c:dLbl>
              <c:idx val="4"/>
              <c:layout>
                <c:manualLayout>
                  <c:x val="-0.40328178649799923"/>
                  <c:y val="-2.2332156756267537E-2"/>
                </c:manualLayout>
              </c:layout>
              <c:tx>
                <c:rich>
                  <a:bodyPr/>
                  <a:lstStyle/>
                  <a:p>
                    <a:fld id="{4846E5CC-4693-4956-9668-C3C945BD545D}" type="CATEGORYNAME">
                      <a:rPr lang="en-US" sz="1000" b="1" i="0" u="none" strike="noStrike" kern="1200" baseline="0">
                        <a:solidFill>
                          <a:sysClr val="windowText" lastClr="000000"/>
                        </a:solidFill>
                      </a:rPr>
                      <a:pPr/>
                      <a:t>[NÁZEV KATEGORIE]</a:t>
                    </a:fld>
                    <a:endParaRPr lang="en-US" sz="1000" b="1" i="0" u="none" strike="noStrike" kern="1200" baseline="0">
                      <a:solidFill>
                        <a:sysClr val="windowText" lastClr="000000"/>
                      </a:solidFill>
                    </a:endParaRPr>
                  </a:p>
                  <a:p>
                    <a:fld id="{8709C378-A46F-44DD-A037-B7F68FEB269B}" type="CELLRANGE">
                      <a:rPr lang="en-US">
                        <a:solidFill>
                          <a:sysClr val="windowText" lastClr="000000"/>
                        </a:solidFill>
                      </a:rPr>
                      <a:pPr/>
                      <a:t>[OBLAST BUNĚK]</a:t>
                    </a:fld>
                    <a:r>
                      <a:rPr lang="en-US">
                        <a:solidFill>
                          <a:sysClr val="windowText" lastClr="000000"/>
                        </a:solidFill>
                      </a:rPr>
                      <a:t> mil. Kč</a:t>
                    </a:r>
                    <a:endParaRPr lang="en-US" baseline="0">
                      <a:solidFill>
                        <a:sysClr val="windowText" lastClr="000000"/>
                      </a:solidFill>
                    </a:endParaRPr>
                  </a:p>
                  <a:p>
                    <a:fld id="{93319081-96A0-4C74-9750-A0DEC7732B50}" type="PERCENTAGE">
                      <a:rPr lang="en-US" sz="1100" b="1">
                        <a:solidFill>
                          <a:sysClr val="windowText" lastClr="000000"/>
                        </a:solidFill>
                      </a:rPr>
                      <a:pPr/>
                      <a:t>[PROCENTO]</a:t>
                    </a:fld>
                    <a:endParaRPr lang="cs-CZ"/>
                  </a:p>
                </c:rich>
              </c:tx>
              <c:showLegendKey val="0"/>
              <c:showVal val="0"/>
              <c:showCatName val="1"/>
              <c:showSerName val="0"/>
              <c:showPercent val="1"/>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9-C52B-4C33-9325-770E0CCE438B}"/>
                </c:ext>
              </c:extLst>
            </c:dLbl>
            <c:dLbl>
              <c:idx val="5"/>
              <c:layout>
                <c:manualLayout>
                  <c:x val="-0.20591334279936319"/>
                  <c:y val="-7.9444655624943475E-2"/>
                </c:manualLayout>
              </c:layout>
              <c:tx>
                <c:rich>
                  <a:bodyPr/>
                  <a:lstStyle/>
                  <a:p>
                    <a:fld id="{4846E5CC-4693-4956-9668-C3C945BD545D}" type="CATEGORYNAME">
                      <a:rPr lang="en-US" sz="1000" b="1" i="0" u="none" strike="noStrike" kern="1200" baseline="0">
                        <a:solidFill>
                          <a:sysClr val="windowText" lastClr="000000"/>
                        </a:solidFill>
                      </a:rPr>
                      <a:pPr/>
                      <a:t>[NÁZEV KATEGORIE]</a:t>
                    </a:fld>
                    <a:endParaRPr lang="en-US" sz="1000" b="1" i="0" u="none" strike="noStrike" kern="1200" baseline="0">
                      <a:solidFill>
                        <a:sysClr val="windowText" lastClr="000000"/>
                      </a:solidFill>
                    </a:endParaRPr>
                  </a:p>
                  <a:p>
                    <a:fld id="{8709C378-A46F-44DD-A037-B7F68FEB269B}" type="CELLRANGE">
                      <a:rPr lang="en-US">
                        <a:solidFill>
                          <a:sysClr val="windowText" lastClr="000000"/>
                        </a:solidFill>
                      </a:rPr>
                      <a:pPr/>
                      <a:t>[OBLAST BUNĚK]</a:t>
                    </a:fld>
                    <a:r>
                      <a:rPr lang="en-US">
                        <a:solidFill>
                          <a:sysClr val="windowText" lastClr="000000"/>
                        </a:solidFill>
                      </a:rPr>
                      <a:t> mil. Kč</a:t>
                    </a:r>
                    <a:endParaRPr lang="en-US" baseline="0">
                      <a:solidFill>
                        <a:sysClr val="windowText" lastClr="000000"/>
                      </a:solidFill>
                    </a:endParaRPr>
                  </a:p>
                  <a:p>
                    <a:fld id="{93319081-96A0-4C74-9750-A0DEC7732B50}" type="PERCENTAGE">
                      <a:rPr lang="en-US" sz="1100" b="1">
                        <a:solidFill>
                          <a:sysClr val="windowText" lastClr="000000"/>
                        </a:solidFill>
                      </a:rPr>
                      <a:pPr/>
                      <a:t>[PROCENTO]</a:t>
                    </a:fld>
                    <a:endParaRPr lang="cs-CZ"/>
                  </a:p>
                </c:rich>
              </c:tx>
              <c:showLegendKey val="0"/>
              <c:showVal val="0"/>
              <c:showCatName val="1"/>
              <c:showSerName val="0"/>
              <c:showPercent val="1"/>
              <c:showBubbleSize val="0"/>
              <c:separator>
</c:separator>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B-C52B-4C33-9325-770E0CCE438B}"/>
                </c:ext>
              </c:extLst>
            </c:dLbl>
            <c:numFmt formatCode="0\ %"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cs-CZ"/>
              </a:p>
            </c:txPr>
            <c:showLegendKey val="0"/>
            <c:showVal val="0"/>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ext>
            </c:extLst>
          </c:dLbls>
          <c:cat>
            <c:strRef>
              <c:f>List1!$A$2:$A$7</c:f>
              <c:strCache>
                <c:ptCount val="6"/>
                <c:pt idx="0">
                  <c:v>Organizace spojených národů</c:v>
                </c:pt>
                <c:pt idx="1">
                  <c:v>Vojenský rozpočet NATO</c:v>
                </c:pt>
                <c:pt idx="2">
                  <c:v>Evropská organizace pro jaderný výzkum</c:v>
                </c:pt>
                <c:pt idx="3">
                  <c:v>Evropská kosmická agentura</c:v>
                </c:pt>
                <c:pt idx="4">
                  <c:v>Program bezpečnostních investic NATO</c:v>
                </c:pt>
                <c:pt idx="5">
                  <c:v>Ostatní MeO</c:v>
                </c:pt>
              </c:strCache>
            </c:strRef>
          </c:cat>
          <c:val>
            <c:numRef>
              <c:f>List1!$B$2:$B$7</c:f>
              <c:numCache>
                <c:formatCode>_("Kč"* #,##0.00_);_("Kč"* \(#,##0.00\);_("Kč"* "-"??_);_(@_)</c:formatCode>
                <c:ptCount val="6"/>
                <c:pt idx="0">
                  <c:v>461726143.48999995</c:v>
                </c:pt>
                <c:pt idx="1">
                  <c:v>361696728</c:v>
                </c:pt>
                <c:pt idx="2">
                  <c:v>232475624.80000001</c:v>
                </c:pt>
                <c:pt idx="3">
                  <c:v>198167667.19999999</c:v>
                </c:pt>
                <c:pt idx="4">
                  <c:v>158399322</c:v>
                </c:pt>
                <c:pt idx="5">
                  <c:v>1567763394.6385105</c:v>
                </c:pt>
              </c:numCache>
            </c:numRef>
          </c:val>
          <c:extLst>
            <c:ext xmlns:c15="http://schemas.microsoft.com/office/drawing/2012/chart" uri="{02D57815-91ED-43cb-92C2-25804820EDAC}">
              <c15:datalabelsRange>
                <c15:f>List1!$D$2:$D$7</c15:f>
                <c15:dlblRangeCache>
                  <c:ptCount val="6"/>
                  <c:pt idx="0">
                    <c:v>462</c:v>
                  </c:pt>
                  <c:pt idx="1">
                    <c:v>362</c:v>
                  </c:pt>
                  <c:pt idx="2">
                    <c:v>232</c:v>
                  </c:pt>
                  <c:pt idx="3">
                    <c:v>198</c:v>
                  </c:pt>
                  <c:pt idx="4">
                    <c:v>158</c:v>
                  </c:pt>
                  <c:pt idx="5">
                    <c:v>1 568</c:v>
                  </c:pt>
                </c15:dlblRangeCache>
              </c15:datalabelsRange>
            </c:ext>
            <c:ext xmlns:c16="http://schemas.microsoft.com/office/drawing/2014/chart" uri="{C3380CC4-5D6E-409C-BE32-E72D297353CC}">
              <c16:uniqueId val="{0000000C-C52B-4C33-9325-770E0CCE438B}"/>
            </c:ext>
          </c:extLst>
        </c:ser>
        <c:dLbls>
          <c:showLegendKey val="0"/>
          <c:showVal val="0"/>
          <c:showCatName val="0"/>
          <c:showSerName val="0"/>
          <c:showPercent val="0"/>
          <c:showBubbleSize val="0"/>
          <c:showLeaderLines val="0"/>
        </c:dLbls>
        <c:firstSliceAng val="0"/>
        <c:holeSize val="5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C6E1CC2E.dotm</Template>
  <TotalTime>32</TotalTime>
  <Pages>27</Pages>
  <Words>10143</Words>
  <Characters>59849</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Kontrolní závěr z kontrolní akce NKÚ č. 19/05 - Peněžní prostředky státu poskytované mezinárodním organizacím a další související výdaje</vt:lpstr>
    </vt:vector>
  </TitlesOfParts>
  <Company>NKU</Company>
  <LinksUpToDate>false</LinksUpToDate>
  <CharactersWithSpaces>69853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19/05 - Peněžní prostředky státu poskytované mezinárodním organizacím a další související výdaje</dc:title>
  <dc:subject/>
  <dc:creator>Nejvyšší kontrolní úřad</dc:creator>
  <cp:keywords>kontrolní závěr; mezinárodní organizace</cp:keywords>
  <dc:description/>
  <cp:lastModifiedBy>KOKRDA Daniel</cp:lastModifiedBy>
  <cp:revision>6</cp:revision>
  <cp:lastPrinted>2020-05-26T05:54:00Z</cp:lastPrinted>
  <dcterms:created xsi:type="dcterms:W3CDTF">2020-05-26T05:23:00Z</dcterms:created>
  <dcterms:modified xsi:type="dcterms:W3CDTF">2020-05-26T05:55:00Z</dcterms:modified>
</cp:coreProperties>
</file>