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drawings/drawing2.xml" ContentType="application/vnd.openxmlformats-officedocument.drawingml.chartshapes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FE99D" w14:textId="77777777" w:rsidR="00902074" w:rsidRDefault="00E620F7" w:rsidP="00C52E7E">
      <w:pPr>
        <w:widowControl/>
        <w:jc w:val="center"/>
        <w:rPr>
          <w:rFonts w:cs="Calibri"/>
          <w:b/>
          <w:szCs w:val="24"/>
        </w:rPr>
      </w:pPr>
      <w:r>
        <w:rPr>
          <w:rFonts w:cs="Calibri"/>
          <w:b/>
          <w:noProof/>
          <w:szCs w:val="24"/>
        </w:rPr>
        <w:drawing>
          <wp:anchor distT="0" distB="0" distL="114300" distR="114300" simplePos="0" relativeHeight="251651072" behindDoc="0" locked="0" layoutInCell="1" allowOverlap="1" wp14:anchorId="08BC0A20" wp14:editId="0795C0B4">
            <wp:simplePos x="0" y="0"/>
            <wp:positionH relativeFrom="margin">
              <wp:align>center</wp:align>
            </wp:positionH>
            <wp:positionV relativeFrom="paragraph">
              <wp:posOffset>11734</wp:posOffset>
            </wp:positionV>
            <wp:extent cx="787400" cy="564515"/>
            <wp:effectExtent l="0" t="0" r="0" b="698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09345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41D34C" w14:textId="77777777" w:rsidR="00FE5C8F" w:rsidRDefault="00FE5C8F" w:rsidP="00C52E7E">
      <w:pPr>
        <w:widowControl/>
        <w:jc w:val="center"/>
        <w:rPr>
          <w:rFonts w:cs="Calibri"/>
          <w:b/>
          <w:szCs w:val="24"/>
        </w:rPr>
      </w:pPr>
    </w:p>
    <w:p w14:paraId="2953EB58" w14:textId="77777777" w:rsidR="00902074" w:rsidRPr="006921D7" w:rsidRDefault="00902074" w:rsidP="00C52E7E">
      <w:pPr>
        <w:widowControl/>
        <w:jc w:val="center"/>
        <w:rPr>
          <w:rFonts w:cs="Calibri"/>
          <w:b/>
          <w:szCs w:val="24"/>
        </w:rPr>
      </w:pPr>
    </w:p>
    <w:p w14:paraId="1378558E" w14:textId="77777777" w:rsidR="00FE5C8F" w:rsidRPr="006921D7" w:rsidRDefault="00E620F7" w:rsidP="00C52E7E">
      <w:pPr>
        <w:widowControl/>
        <w:jc w:val="center"/>
        <w:rPr>
          <w:rFonts w:cs="Calibri"/>
          <w:b/>
          <w:bCs/>
          <w:color w:val="000000"/>
          <w:sz w:val="28"/>
          <w:szCs w:val="24"/>
        </w:rPr>
      </w:pPr>
      <w:r w:rsidRPr="006921D7">
        <w:rPr>
          <w:rFonts w:cs="Calibri"/>
          <w:b/>
          <w:bCs/>
          <w:color w:val="000000"/>
          <w:sz w:val="28"/>
          <w:szCs w:val="24"/>
        </w:rPr>
        <w:t>Kontrolní závěr z kontrolní akce</w:t>
      </w:r>
    </w:p>
    <w:p w14:paraId="0A76E01D" w14:textId="77777777" w:rsidR="00902074" w:rsidRDefault="00902074" w:rsidP="00C52E7E">
      <w:pPr>
        <w:widowControl/>
        <w:jc w:val="center"/>
        <w:rPr>
          <w:rFonts w:cs="Calibri"/>
          <w:b/>
          <w:szCs w:val="24"/>
        </w:rPr>
      </w:pPr>
    </w:p>
    <w:p w14:paraId="0D805C81" w14:textId="77777777" w:rsidR="00FE5C8F" w:rsidRPr="006921D7" w:rsidRDefault="00E620F7" w:rsidP="00C52E7E">
      <w:pPr>
        <w:widowControl/>
        <w:jc w:val="center"/>
        <w:rPr>
          <w:rFonts w:cs="Calibri"/>
          <w:b/>
          <w:bCs/>
          <w:color w:val="000000"/>
          <w:sz w:val="28"/>
          <w:szCs w:val="24"/>
        </w:rPr>
      </w:pPr>
      <w:r>
        <w:rPr>
          <w:rFonts w:cs="Calibri"/>
          <w:b/>
          <w:bCs/>
          <w:color w:val="000000"/>
          <w:sz w:val="28"/>
          <w:szCs w:val="24"/>
        </w:rPr>
        <w:t>1</w:t>
      </w:r>
      <w:r w:rsidR="00DD6BB4">
        <w:rPr>
          <w:rFonts w:cs="Calibri"/>
          <w:b/>
          <w:bCs/>
          <w:color w:val="000000"/>
          <w:sz w:val="28"/>
          <w:szCs w:val="24"/>
        </w:rPr>
        <w:t>9</w:t>
      </w:r>
      <w:r w:rsidRPr="006921D7">
        <w:rPr>
          <w:rFonts w:cs="Calibri"/>
          <w:b/>
          <w:bCs/>
          <w:color w:val="000000"/>
          <w:sz w:val="28"/>
          <w:szCs w:val="24"/>
        </w:rPr>
        <w:t>/</w:t>
      </w:r>
      <w:r w:rsidR="00DD6BB4">
        <w:rPr>
          <w:rFonts w:cs="Calibri"/>
          <w:b/>
          <w:bCs/>
          <w:color w:val="000000"/>
          <w:sz w:val="28"/>
          <w:szCs w:val="24"/>
        </w:rPr>
        <w:t>06</w:t>
      </w:r>
    </w:p>
    <w:p w14:paraId="10697B89" w14:textId="77777777" w:rsidR="00902074" w:rsidRDefault="00902074" w:rsidP="00C52E7E">
      <w:pPr>
        <w:widowControl/>
        <w:jc w:val="center"/>
        <w:rPr>
          <w:rFonts w:cs="Calibri"/>
          <w:b/>
          <w:szCs w:val="24"/>
        </w:rPr>
      </w:pPr>
    </w:p>
    <w:p w14:paraId="39B4F2DD" w14:textId="77777777" w:rsidR="00FE5C8F" w:rsidRPr="006921D7" w:rsidRDefault="00E07563" w:rsidP="00C52E7E">
      <w:pPr>
        <w:widowControl/>
        <w:jc w:val="center"/>
        <w:rPr>
          <w:rFonts w:cs="Calibri"/>
          <w:b/>
          <w:bCs/>
          <w:color w:val="000000"/>
          <w:sz w:val="28"/>
          <w:szCs w:val="24"/>
        </w:rPr>
      </w:pPr>
      <w:r w:rsidRPr="00E07563">
        <w:rPr>
          <w:rFonts w:cs="Calibri"/>
          <w:b/>
          <w:bCs/>
          <w:color w:val="000000"/>
          <w:sz w:val="28"/>
          <w:szCs w:val="24"/>
        </w:rPr>
        <w:t xml:space="preserve">Peněžní prostředky poskytované k </w:t>
      </w:r>
      <w:r>
        <w:rPr>
          <w:rFonts w:cs="Calibri"/>
          <w:b/>
          <w:bCs/>
          <w:color w:val="000000"/>
          <w:sz w:val="28"/>
          <w:szCs w:val="24"/>
        </w:rPr>
        <w:t xml:space="preserve">zajištění vzdělávání pracovníků </w:t>
      </w:r>
      <w:r w:rsidRPr="00E07563">
        <w:rPr>
          <w:rFonts w:cs="Calibri"/>
          <w:b/>
          <w:bCs/>
          <w:color w:val="000000"/>
          <w:sz w:val="28"/>
          <w:szCs w:val="24"/>
        </w:rPr>
        <w:t>ve</w:t>
      </w:r>
      <w:r>
        <w:rPr>
          <w:rFonts w:cs="Calibri"/>
          <w:b/>
          <w:bCs/>
          <w:color w:val="000000"/>
          <w:sz w:val="28"/>
          <w:szCs w:val="24"/>
        </w:rPr>
        <w:t> </w:t>
      </w:r>
      <w:r w:rsidRPr="00E07563">
        <w:rPr>
          <w:rFonts w:cs="Calibri"/>
          <w:b/>
          <w:bCs/>
          <w:color w:val="000000"/>
          <w:sz w:val="28"/>
          <w:szCs w:val="24"/>
        </w:rPr>
        <w:t>zdravotnictví</w:t>
      </w:r>
    </w:p>
    <w:p w14:paraId="6DD5D5AF" w14:textId="77777777" w:rsidR="00FE5C8F" w:rsidRPr="00902074" w:rsidRDefault="00FE5C8F" w:rsidP="00C52E7E">
      <w:pPr>
        <w:widowControl/>
        <w:rPr>
          <w:rFonts w:cs="Calibri"/>
          <w:szCs w:val="24"/>
        </w:rPr>
      </w:pPr>
    </w:p>
    <w:p w14:paraId="3F738CC4" w14:textId="77777777" w:rsidR="00902074" w:rsidRPr="00902074" w:rsidRDefault="00902074" w:rsidP="00C52E7E">
      <w:pPr>
        <w:widowControl/>
        <w:rPr>
          <w:rFonts w:cs="Calibri"/>
          <w:szCs w:val="24"/>
        </w:rPr>
      </w:pPr>
    </w:p>
    <w:p w14:paraId="4EEC0E26" w14:textId="77777777" w:rsidR="00FE5C8F" w:rsidRDefault="00E620F7" w:rsidP="00C52E7E">
      <w:pPr>
        <w:widowControl/>
        <w:rPr>
          <w:rFonts w:cs="Calibri"/>
          <w:szCs w:val="24"/>
        </w:rPr>
      </w:pPr>
      <w:r w:rsidRPr="000B4501">
        <w:rPr>
          <w:rFonts w:cs="Calibri"/>
          <w:szCs w:val="24"/>
        </w:rPr>
        <w:t>Kontrolní akce byla zařazena do plánu kontrolní činnosti Nejvyššího kontrolního úřadu (dále jen „NKÚ“) na rok 201</w:t>
      </w:r>
      <w:r w:rsidR="00E07563">
        <w:rPr>
          <w:rFonts w:cs="Calibri"/>
          <w:szCs w:val="24"/>
        </w:rPr>
        <w:t>9</w:t>
      </w:r>
      <w:r w:rsidRPr="000B4501">
        <w:rPr>
          <w:rFonts w:cs="Calibri"/>
          <w:szCs w:val="24"/>
        </w:rPr>
        <w:t xml:space="preserve"> pod číslem 1</w:t>
      </w:r>
      <w:r w:rsidR="00E07563">
        <w:rPr>
          <w:rFonts w:cs="Calibri"/>
          <w:szCs w:val="24"/>
        </w:rPr>
        <w:t>9</w:t>
      </w:r>
      <w:r w:rsidRPr="000B4501">
        <w:rPr>
          <w:rFonts w:cs="Calibri"/>
          <w:szCs w:val="24"/>
        </w:rPr>
        <w:t>/</w:t>
      </w:r>
      <w:r w:rsidR="00E07563">
        <w:rPr>
          <w:rFonts w:cs="Calibri"/>
          <w:szCs w:val="24"/>
        </w:rPr>
        <w:t>06</w:t>
      </w:r>
      <w:r w:rsidRPr="000B4501">
        <w:rPr>
          <w:rFonts w:cs="Calibri"/>
          <w:szCs w:val="24"/>
        </w:rPr>
        <w:t>. Kontrolní akci řídil a kontrolní závěr vypracoval člen NKÚ Ing. </w:t>
      </w:r>
      <w:r w:rsidR="00E07563">
        <w:rPr>
          <w:rFonts w:cs="Calibri"/>
          <w:szCs w:val="24"/>
        </w:rPr>
        <w:t>Adolf Beznoska</w:t>
      </w:r>
      <w:r w:rsidRPr="000B4501">
        <w:rPr>
          <w:rFonts w:cs="Calibri"/>
          <w:szCs w:val="24"/>
        </w:rPr>
        <w:t>.</w:t>
      </w:r>
    </w:p>
    <w:p w14:paraId="50E7A491" w14:textId="77777777" w:rsidR="00FE5C8F" w:rsidRPr="00CC4145" w:rsidRDefault="00FE5C8F" w:rsidP="00C52E7E">
      <w:pPr>
        <w:widowControl/>
        <w:rPr>
          <w:rFonts w:cs="Calibri"/>
          <w:sz w:val="22"/>
          <w:szCs w:val="24"/>
        </w:rPr>
      </w:pPr>
    </w:p>
    <w:p w14:paraId="61A12391" w14:textId="4059B3D9" w:rsidR="00591FDD" w:rsidRDefault="00E620F7" w:rsidP="00C52E7E">
      <w:pPr>
        <w:widowControl/>
        <w:rPr>
          <w:rFonts w:cs="Calibri"/>
          <w:szCs w:val="24"/>
        </w:rPr>
      </w:pPr>
      <w:r>
        <w:rPr>
          <w:rFonts w:cs="Calibri"/>
          <w:szCs w:val="24"/>
        </w:rPr>
        <w:t xml:space="preserve">Cílem kontroly bylo </w:t>
      </w:r>
      <w:r w:rsidR="00E07563">
        <w:rPr>
          <w:rFonts w:cs="Calibri"/>
          <w:szCs w:val="24"/>
        </w:rPr>
        <w:t>p</w:t>
      </w:r>
      <w:r w:rsidR="00E07563" w:rsidRPr="00E07563">
        <w:rPr>
          <w:rFonts w:cs="Calibri"/>
          <w:szCs w:val="24"/>
        </w:rPr>
        <w:t>rověřit poskytování a užití peněžní</w:t>
      </w:r>
      <w:r w:rsidR="00E07563">
        <w:rPr>
          <w:rFonts w:cs="Calibri"/>
          <w:szCs w:val="24"/>
        </w:rPr>
        <w:t>ch prostředků státu určených na</w:t>
      </w:r>
      <w:r w:rsidR="00603587">
        <w:rPr>
          <w:rFonts w:cs="Calibri"/>
          <w:szCs w:val="24"/>
        </w:rPr>
        <w:t xml:space="preserve"> </w:t>
      </w:r>
      <w:r w:rsidR="00E07563" w:rsidRPr="00E07563">
        <w:rPr>
          <w:rFonts w:cs="Calibri"/>
          <w:szCs w:val="24"/>
        </w:rPr>
        <w:t>vzdělávání pracovníků ve zdravotnictví z hlediska hospo</w:t>
      </w:r>
      <w:r w:rsidR="00E07563">
        <w:rPr>
          <w:rFonts w:cs="Calibri"/>
          <w:szCs w:val="24"/>
        </w:rPr>
        <w:t>dárnosti, účelnosti a souladu s </w:t>
      </w:r>
      <w:r w:rsidR="00E07563" w:rsidRPr="00E07563">
        <w:rPr>
          <w:rFonts w:cs="Calibri"/>
          <w:szCs w:val="24"/>
        </w:rPr>
        <w:t>právními předpisy</w:t>
      </w:r>
      <w:r w:rsidR="006A7F36">
        <w:rPr>
          <w:rFonts w:cs="Calibri"/>
          <w:szCs w:val="24"/>
        </w:rPr>
        <w:t>.</w:t>
      </w:r>
    </w:p>
    <w:p w14:paraId="7DDE6A28" w14:textId="77777777" w:rsidR="00FE5C8F" w:rsidRPr="00CC4145" w:rsidRDefault="00FE5C8F" w:rsidP="00C52E7E">
      <w:pPr>
        <w:widowControl/>
        <w:rPr>
          <w:rFonts w:cs="Calibri"/>
          <w:sz w:val="22"/>
          <w:szCs w:val="24"/>
        </w:rPr>
      </w:pPr>
    </w:p>
    <w:p w14:paraId="589B83BB" w14:textId="77777777" w:rsidR="00FE5C8F" w:rsidRPr="004C031F" w:rsidRDefault="00E620F7" w:rsidP="00C52E7E">
      <w:pPr>
        <w:pStyle w:val="Zkladntextodsazen"/>
        <w:spacing w:after="0"/>
        <w:ind w:left="0"/>
        <w:rPr>
          <w:rFonts w:cs="Calibri"/>
        </w:rPr>
      </w:pPr>
      <w:r w:rsidRPr="004C031F">
        <w:rPr>
          <w:rFonts w:cs="Calibri"/>
        </w:rPr>
        <w:t>Kontrolováno bylo období</w:t>
      </w:r>
      <w:r>
        <w:rPr>
          <w:rFonts w:cs="Calibri"/>
        </w:rPr>
        <w:t xml:space="preserve"> let</w:t>
      </w:r>
      <w:r w:rsidRPr="004C031F">
        <w:rPr>
          <w:rFonts w:cs="Calibri"/>
        </w:rPr>
        <w:t xml:space="preserve"> 20</w:t>
      </w:r>
      <w:r>
        <w:rPr>
          <w:rFonts w:cs="Calibri"/>
        </w:rPr>
        <w:t>1</w:t>
      </w:r>
      <w:r w:rsidR="00E07563">
        <w:rPr>
          <w:rFonts w:cs="Calibri"/>
        </w:rPr>
        <w:t>5</w:t>
      </w:r>
      <w:r w:rsidR="001E7809">
        <w:rPr>
          <w:rFonts w:cs="Calibri"/>
        </w:rPr>
        <w:t>–</w:t>
      </w:r>
      <w:r>
        <w:rPr>
          <w:rFonts w:cs="Calibri"/>
        </w:rPr>
        <w:t>2</w:t>
      </w:r>
      <w:r w:rsidRPr="004C031F">
        <w:rPr>
          <w:rFonts w:cs="Calibri"/>
        </w:rPr>
        <w:t>01</w:t>
      </w:r>
      <w:r w:rsidR="00E07563">
        <w:rPr>
          <w:rFonts w:cs="Calibri"/>
        </w:rPr>
        <w:t>8</w:t>
      </w:r>
      <w:r w:rsidRPr="004C031F">
        <w:rPr>
          <w:rFonts w:cs="Calibri"/>
        </w:rPr>
        <w:t>,</w:t>
      </w:r>
      <w:r w:rsidRPr="004860A5">
        <w:rPr>
          <w:rFonts w:cs="Calibri"/>
          <w:sz w:val="22"/>
        </w:rPr>
        <w:t xml:space="preserve"> </w:t>
      </w:r>
      <w:r w:rsidRPr="004C031F">
        <w:rPr>
          <w:rFonts w:cs="Calibri"/>
        </w:rPr>
        <w:t xml:space="preserve">v případě věcných souvislostí i období </w:t>
      </w:r>
      <w:r>
        <w:rPr>
          <w:rFonts w:cs="Calibri"/>
        </w:rPr>
        <w:t>předcházející a </w:t>
      </w:r>
      <w:r w:rsidRPr="00D95701">
        <w:rPr>
          <w:rFonts w:cs="Calibri"/>
        </w:rPr>
        <w:t>následující</w:t>
      </w:r>
      <w:r w:rsidRPr="004C031F">
        <w:rPr>
          <w:rFonts w:cs="Calibri"/>
        </w:rPr>
        <w:t xml:space="preserve">. Kontrola byla prováděna u kontrolovaných osob od </w:t>
      </w:r>
      <w:r w:rsidR="006A7F36">
        <w:rPr>
          <w:rFonts w:cs="Calibri"/>
        </w:rPr>
        <w:t>dub</w:t>
      </w:r>
      <w:r w:rsidR="00591FDD">
        <w:rPr>
          <w:rFonts w:cs="Calibri"/>
        </w:rPr>
        <w:t>na 201</w:t>
      </w:r>
      <w:r w:rsidR="00E07563">
        <w:rPr>
          <w:rFonts w:cs="Calibri"/>
        </w:rPr>
        <w:t>9</w:t>
      </w:r>
      <w:r w:rsidRPr="004C031F">
        <w:rPr>
          <w:rFonts w:cs="Calibri"/>
        </w:rPr>
        <w:t xml:space="preserve"> do </w:t>
      </w:r>
      <w:r w:rsidR="00E07563">
        <w:rPr>
          <w:rFonts w:cs="Calibri"/>
        </w:rPr>
        <w:t>listopadu</w:t>
      </w:r>
      <w:r w:rsidR="00591FDD">
        <w:rPr>
          <w:rFonts w:cs="Calibri"/>
        </w:rPr>
        <w:t xml:space="preserve"> </w:t>
      </w:r>
      <w:r>
        <w:rPr>
          <w:rFonts w:cs="Calibri"/>
        </w:rPr>
        <w:t>201</w:t>
      </w:r>
      <w:r w:rsidR="00E07563">
        <w:rPr>
          <w:rFonts w:cs="Calibri"/>
        </w:rPr>
        <w:t>9</w:t>
      </w:r>
      <w:r w:rsidRPr="004C031F">
        <w:rPr>
          <w:rFonts w:cs="Calibri"/>
        </w:rPr>
        <w:t>.</w:t>
      </w:r>
    </w:p>
    <w:p w14:paraId="611978DE" w14:textId="77777777" w:rsidR="00FE5C8F" w:rsidRPr="00ED25F1" w:rsidRDefault="00FE5C8F" w:rsidP="00C52E7E">
      <w:pPr>
        <w:widowControl/>
        <w:rPr>
          <w:rFonts w:cs="Calibri"/>
          <w:sz w:val="20"/>
          <w:szCs w:val="24"/>
        </w:rPr>
      </w:pPr>
    </w:p>
    <w:p w14:paraId="293ED7FB" w14:textId="77777777" w:rsidR="00FE5C8F" w:rsidRDefault="00E620F7" w:rsidP="00C52E7E">
      <w:pPr>
        <w:widowControl/>
        <w:rPr>
          <w:rFonts w:cs="Calibri"/>
          <w:szCs w:val="24"/>
        </w:rPr>
      </w:pPr>
      <w:r w:rsidRPr="004E7726">
        <w:rPr>
          <w:rFonts w:cs="Calibri"/>
          <w:b/>
          <w:szCs w:val="24"/>
        </w:rPr>
        <w:t>Kontrolované osoby:</w:t>
      </w:r>
      <w:r w:rsidRPr="000B4501">
        <w:rPr>
          <w:rFonts w:cs="Calibri"/>
          <w:szCs w:val="24"/>
        </w:rPr>
        <w:t xml:space="preserve"> </w:t>
      </w:r>
    </w:p>
    <w:p w14:paraId="6AF09145" w14:textId="5D5B1F6A" w:rsidR="0069205A" w:rsidRPr="0069205A" w:rsidRDefault="00E620F7" w:rsidP="00C52E7E">
      <w:pPr>
        <w:widowControl/>
        <w:rPr>
          <w:rFonts w:cs="Calibri"/>
          <w:szCs w:val="24"/>
        </w:rPr>
      </w:pPr>
      <w:r w:rsidRPr="00DC0C53">
        <w:rPr>
          <w:rFonts w:cs="Calibri"/>
          <w:szCs w:val="24"/>
        </w:rPr>
        <w:t xml:space="preserve">Ministerstvo </w:t>
      </w:r>
      <w:r w:rsidR="006A7F36" w:rsidRPr="00DC0C53">
        <w:rPr>
          <w:rFonts w:cs="Calibri"/>
          <w:szCs w:val="24"/>
        </w:rPr>
        <w:t>zdravotnictví</w:t>
      </w:r>
      <w:r w:rsidR="00852461" w:rsidRPr="00DC0C53">
        <w:rPr>
          <w:rFonts w:cs="Calibri"/>
          <w:szCs w:val="24"/>
        </w:rPr>
        <w:t xml:space="preserve"> (dále také „</w:t>
      </w:r>
      <w:proofErr w:type="spellStart"/>
      <w:r w:rsidR="00852461" w:rsidRPr="00DC0C53">
        <w:rPr>
          <w:rFonts w:cs="Calibri"/>
          <w:szCs w:val="24"/>
        </w:rPr>
        <w:t>MZd</w:t>
      </w:r>
      <w:proofErr w:type="spellEnd"/>
      <w:r w:rsidR="00852461" w:rsidRPr="00DC0C53">
        <w:rPr>
          <w:rFonts w:cs="Calibri"/>
          <w:szCs w:val="24"/>
        </w:rPr>
        <w:t>“)</w:t>
      </w:r>
      <w:r w:rsidRPr="00DC0C53">
        <w:rPr>
          <w:rFonts w:cs="Calibri"/>
          <w:szCs w:val="24"/>
        </w:rPr>
        <w:t>;</w:t>
      </w:r>
      <w:r w:rsidR="006A7F36" w:rsidRPr="00DC0C53">
        <w:rPr>
          <w:rFonts w:cs="Calibri"/>
          <w:szCs w:val="24"/>
        </w:rPr>
        <w:t xml:space="preserve"> </w:t>
      </w:r>
      <w:r w:rsidR="00E07563" w:rsidRPr="00E07563">
        <w:rPr>
          <w:rFonts w:cs="Calibri"/>
          <w:szCs w:val="24"/>
        </w:rPr>
        <w:t xml:space="preserve">Ministerstvo školství, mládeže a tělovýchovy </w:t>
      </w:r>
      <w:r w:rsidR="0069205A">
        <w:rPr>
          <w:rFonts w:cs="Calibri"/>
          <w:szCs w:val="24"/>
        </w:rPr>
        <w:t xml:space="preserve">(dále také „MŠMT“); </w:t>
      </w:r>
      <w:r w:rsidR="00E07563" w:rsidRPr="00E07563">
        <w:rPr>
          <w:rFonts w:cs="Calibri"/>
          <w:szCs w:val="24"/>
        </w:rPr>
        <w:t>Institut postgraduálního vzdělávání ve zdravotnictví, Praha</w:t>
      </w:r>
      <w:r w:rsidR="00E07563">
        <w:rPr>
          <w:rFonts w:cs="Calibri"/>
          <w:szCs w:val="24"/>
        </w:rPr>
        <w:t xml:space="preserve"> </w:t>
      </w:r>
      <w:r w:rsidR="00E07563" w:rsidRPr="00DC0C53">
        <w:rPr>
          <w:rFonts w:cs="Calibri"/>
          <w:szCs w:val="24"/>
        </w:rPr>
        <w:t>(dále také „</w:t>
      </w:r>
      <w:r w:rsidR="00E07563">
        <w:rPr>
          <w:rFonts w:cs="Calibri"/>
          <w:szCs w:val="24"/>
        </w:rPr>
        <w:t>IPVZ</w:t>
      </w:r>
      <w:r w:rsidR="00E07563" w:rsidRPr="00DC0C53">
        <w:rPr>
          <w:rFonts w:cs="Calibri"/>
          <w:szCs w:val="24"/>
        </w:rPr>
        <w:t>“)</w:t>
      </w:r>
      <w:r w:rsidR="00E07563">
        <w:rPr>
          <w:rFonts w:cs="Calibri"/>
          <w:szCs w:val="24"/>
        </w:rPr>
        <w:t xml:space="preserve">; </w:t>
      </w:r>
      <w:r w:rsidR="0069205A" w:rsidRPr="0069205A">
        <w:rPr>
          <w:rFonts w:cs="Calibri"/>
          <w:szCs w:val="24"/>
        </w:rPr>
        <w:t>Národní centrum ošetřovatelství a nelékařských zdravotnických oborů, Brno</w:t>
      </w:r>
      <w:r w:rsidR="0069205A">
        <w:rPr>
          <w:rFonts w:cs="Calibri"/>
          <w:szCs w:val="24"/>
        </w:rPr>
        <w:t xml:space="preserve"> (dále také „NCONZO“); </w:t>
      </w:r>
      <w:r w:rsidR="0069205A" w:rsidRPr="0069205A">
        <w:rPr>
          <w:rFonts w:cs="Calibri"/>
          <w:szCs w:val="24"/>
        </w:rPr>
        <w:t>Nemocnice Jihlava, příspěvková organizace</w:t>
      </w:r>
      <w:r w:rsidR="0069205A">
        <w:rPr>
          <w:rFonts w:cs="Calibri"/>
          <w:szCs w:val="24"/>
        </w:rPr>
        <w:t xml:space="preserve"> (dále také „Nemocnice Jihlava“); </w:t>
      </w:r>
      <w:r w:rsidR="0069205A" w:rsidRPr="0069205A">
        <w:rPr>
          <w:rFonts w:cs="Calibri"/>
          <w:szCs w:val="24"/>
        </w:rPr>
        <w:t>Thomayerova nemocnice, příspěvková organizace, Praha</w:t>
      </w:r>
      <w:r w:rsidR="0069205A">
        <w:rPr>
          <w:rFonts w:cs="Calibri"/>
          <w:szCs w:val="24"/>
        </w:rPr>
        <w:t xml:space="preserve"> (dále také „Thomayerova nemocnice“); </w:t>
      </w:r>
      <w:r w:rsidR="0069205A" w:rsidRPr="0069205A">
        <w:rPr>
          <w:rFonts w:cs="Calibri"/>
          <w:szCs w:val="24"/>
        </w:rPr>
        <w:t>Univerzita Karlova, Praha</w:t>
      </w:r>
      <w:r w:rsidR="0069205A">
        <w:rPr>
          <w:rFonts w:cs="Calibri"/>
          <w:szCs w:val="24"/>
        </w:rPr>
        <w:t>.</w:t>
      </w:r>
    </w:p>
    <w:p w14:paraId="2A020325" w14:textId="77777777" w:rsidR="00FE5C8F" w:rsidRPr="005872C0" w:rsidRDefault="00FE5C8F" w:rsidP="00C52E7E">
      <w:pPr>
        <w:widowControl/>
        <w:rPr>
          <w:rFonts w:cs="Calibri"/>
          <w:szCs w:val="24"/>
        </w:rPr>
      </w:pPr>
    </w:p>
    <w:p w14:paraId="2A3F7EAE" w14:textId="5CC55E5D" w:rsidR="00FE5C8F" w:rsidRPr="0083556F" w:rsidRDefault="00E620F7" w:rsidP="00C52E7E">
      <w:pPr>
        <w:widowControl/>
        <w:spacing w:line="276" w:lineRule="auto"/>
        <w:rPr>
          <w:rFonts w:cs="Calibri"/>
          <w:szCs w:val="24"/>
        </w:rPr>
      </w:pPr>
      <w:r w:rsidRPr="000B4501">
        <w:rPr>
          <w:rFonts w:cs="Calibri"/>
          <w:b/>
          <w:bCs/>
          <w:i/>
          <w:iCs/>
          <w:szCs w:val="24"/>
        </w:rPr>
        <w:t xml:space="preserve">K o l e g i u m   N K </w:t>
      </w:r>
      <w:r w:rsidRPr="00773E95">
        <w:rPr>
          <w:rFonts w:cs="Calibri"/>
          <w:b/>
          <w:bCs/>
          <w:i/>
          <w:iCs/>
          <w:szCs w:val="24"/>
        </w:rPr>
        <w:t>Ú</w:t>
      </w:r>
      <w:r w:rsidRPr="00773E95">
        <w:rPr>
          <w:rFonts w:cs="Calibri"/>
          <w:b/>
          <w:bCs/>
          <w:iCs/>
          <w:szCs w:val="24"/>
        </w:rPr>
        <w:t xml:space="preserve">   </w:t>
      </w:r>
      <w:r w:rsidRPr="0083556F">
        <w:rPr>
          <w:rFonts w:cs="Calibri"/>
          <w:szCs w:val="24"/>
        </w:rPr>
        <w:t>na svém</w:t>
      </w:r>
      <w:r w:rsidR="00B50A6D" w:rsidRPr="0083556F">
        <w:rPr>
          <w:rFonts w:cs="Calibri"/>
          <w:szCs w:val="24"/>
        </w:rPr>
        <w:t xml:space="preserve"> </w:t>
      </w:r>
      <w:r w:rsidR="0083556F">
        <w:rPr>
          <w:rFonts w:cs="Calibri"/>
          <w:szCs w:val="24"/>
        </w:rPr>
        <w:t>III</w:t>
      </w:r>
      <w:r w:rsidRPr="0083556F">
        <w:rPr>
          <w:rFonts w:cs="Calibri"/>
          <w:szCs w:val="24"/>
        </w:rPr>
        <w:t xml:space="preserve">. jednání, které se konalo dne </w:t>
      </w:r>
      <w:r w:rsidR="0083556F">
        <w:rPr>
          <w:rFonts w:cs="Calibri"/>
          <w:szCs w:val="24"/>
        </w:rPr>
        <w:t>24</w:t>
      </w:r>
      <w:r w:rsidR="00B50A6D" w:rsidRPr="0083556F">
        <w:rPr>
          <w:rFonts w:cs="Calibri"/>
          <w:szCs w:val="24"/>
        </w:rPr>
        <w:t xml:space="preserve">. </w:t>
      </w:r>
      <w:r w:rsidR="00FF5858" w:rsidRPr="0083556F">
        <w:rPr>
          <w:rFonts w:cs="Calibri"/>
          <w:szCs w:val="24"/>
        </w:rPr>
        <w:t xml:space="preserve">února </w:t>
      </w:r>
      <w:r w:rsidR="005872C0" w:rsidRPr="0083556F">
        <w:rPr>
          <w:rFonts w:cs="Calibri"/>
          <w:szCs w:val="24"/>
        </w:rPr>
        <w:t>20</w:t>
      </w:r>
      <w:r w:rsidR="00E07563" w:rsidRPr="0083556F">
        <w:rPr>
          <w:rFonts w:cs="Calibri"/>
          <w:szCs w:val="24"/>
        </w:rPr>
        <w:t>20</w:t>
      </w:r>
      <w:r w:rsidRPr="0083556F">
        <w:rPr>
          <w:rFonts w:cs="Calibri"/>
          <w:szCs w:val="24"/>
        </w:rPr>
        <w:t>,</w:t>
      </w:r>
    </w:p>
    <w:p w14:paraId="60EBA3B0" w14:textId="13C73830" w:rsidR="00FE5C8F" w:rsidRPr="000B4501" w:rsidRDefault="00E620F7" w:rsidP="00C52E7E">
      <w:pPr>
        <w:widowControl/>
        <w:spacing w:line="276" w:lineRule="auto"/>
        <w:rPr>
          <w:rFonts w:cs="Calibri"/>
          <w:szCs w:val="24"/>
        </w:rPr>
      </w:pPr>
      <w:proofErr w:type="gramStart"/>
      <w:r w:rsidRPr="0083556F">
        <w:rPr>
          <w:rFonts w:cs="Calibri"/>
          <w:b/>
          <w:bCs/>
          <w:i/>
          <w:iCs/>
          <w:szCs w:val="24"/>
        </w:rPr>
        <w:t>s c h v á l i l o</w:t>
      </w:r>
      <w:r w:rsidRPr="0083556F">
        <w:rPr>
          <w:rFonts w:cs="Calibri"/>
          <w:b/>
          <w:bCs/>
          <w:iCs/>
          <w:szCs w:val="24"/>
        </w:rPr>
        <w:t xml:space="preserve">   </w:t>
      </w:r>
      <w:r w:rsidRPr="0083556F">
        <w:rPr>
          <w:rFonts w:cs="Calibri"/>
          <w:szCs w:val="24"/>
        </w:rPr>
        <w:t>usnesením č.</w:t>
      </w:r>
      <w:proofErr w:type="gramEnd"/>
      <w:r w:rsidRPr="0083556F">
        <w:rPr>
          <w:rFonts w:cs="Calibri"/>
          <w:szCs w:val="24"/>
        </w:rPr>
        <w:t xml:space="preserve"> </w:t>
      </w:r>
      <w:r w:rsidR="00B40DF0">
        <w:rPr>
          <w:rFonts w:cs="Calibri"/>
          <w:szCs w:val="24"/>
        </w:rPr>
        <w:t>8</w:t>
      </w:r>
      <w:r w:rsidRPr="0083556F">
        <w:rPr>
          <w:rFonts w:cs="Calibri"/>
          <w:szCs w:val="24"/>
        </w:rPr>
        <w:t>/</w:t>
      </w:r>
      <w:r w:rsidR="0083556F">
        <w:rPr>
          <w:rFonts w:cs="Calibri"/>
          <w:szCs w:val="24"/>
        </w:rPr>
        <w:t>III</w:t>
      </w:r>
      <w:r w:rsidRPr="0083556F">
        <w:rPr>
          <w:rFonts w:cs="Calibri"/>
          <w:szCs w:val="24"/>
        </w:rPr>
        <w:t>/20</w:t>
      </w:r>
      <w:r w:rsidR="00E07563" w:rsidRPr="0083556F">
        <w:rPr>
          <w:rFonts w:cs="Calibri"/>
          <w:szCs w:val="24"/>
        </w:rPr>
        <w:t>20</w:t>
      </w:r>
    </w:p>
    <w:p w14:paraId="4AF385E8" w14:textId="77777777" w:rsidR="00FE5C8F" w:rsidRDefault="00E620F7" w:rsidP="00C52E7E">
      <w:pPr>
        <w:widowControl/>
        <w:spacing w:line="276" w:lineRule="auto"/>
        <w:rPr>
          <w:rFonts w:cs="Calibri"/>
          <w:szCs w:val="24"/>
        </w:rPr>
      </w:pPr>
      <w:r w:rsidRPr="000B4501">
        <w:rPr>
          <w:rFonts w:cs="Calibri"/>
          <w:b/>
          <w:bCs/>
          <w:i/>
          <w:iCs/>
          <w:szCs w:val="24"/>
        </w:rPr>
        <w:t>k o n t r o l n í   z á v ě r</w:t>
      </w:r>
      <w:r w:rsidRPr="000B4501">
        <w:rPr>
          <w:rFonts w:cs="Calibri"/>
          <w:b/>
          <w:bCs/>
          <w:iCs/>
          <w:szCs w:val="24"/>
        </w:rPr>
        <w:t xml:space="preserve">   </w:t>
      </w:r>
      <w:r w:rsidRPr="000B4501">
        <w:rPr>
          <w:rFonts w:cs="Calibri"/>
          <w:szCs w:val="24"/>
        </w:rPr>
        <w:t>v tomto znění:</w:t>
      </w:r>
    </w:p>
    <w:p w14:paraId="7B64EF7E" w14:textId="77777777" w:rsidR="00F53B44" w:rsidRDefault="00F53B44" w:rsidP="00C52E7E">
      <w:pPr>
        <w:widowControl/>
        <w:rPr>
          <w:rFonts w:cs="Calibri"/>
          <w:szCs w:val="24"/>
        </w:rPr>
      </w:pPr>
    </w:p>
    <w:p w14:paraId="6A44A949" w14:textId="77777777" w:rsidR="00F53B44" w:rsidRPr="000B4501" w:rsidRDefault="00F53B44" w:rsidP="00C52E7E">
      <w:pPr>
        <w:widowControl/>
        <w:rPr>
          <w:rFonts w:cs="Calibri"/>
          <w:szCs w:val="24"/>
        </w:rPr>
      </w:pPr>
    </w:p>
    <w:p w14:paraId="671F40BD" w14:textId="77777777" w:rsidR="00FE5C8F" w:rsidRPr="00F53B44" w:rsidRDefault="00E620F7" w:rsidP="00C52E7E">
      <w:pPr>
        <w:pStyle w:val="Nadpis1"/>
        <w:widowControl/>
        <w:numPr>
          <w:ilvl w:val="0"/>
          <w:numId w:val="0"/>
        </w:numPr>
      </w:pPr>
      <w:r w:rsidRPr="000B4501">
        <w:rPr>
          <w:sz w:val="24"/>
          <w:szCs w:val="24"/>
        </w:rPr>
        <w:br w:type="page"/>
      </w:r>
    </w:p>
    <w:p w14:paraId="35039017" w14:textId="675D82E5" w:rsidR="0069205A" w:rsidRPr="001610F7" w:rsidRDefault="00F13760" w:rsidP="00C52E7E">
      <w:pPr>
        <w:pStyle w:val="Nadpis1"/>
        <w:widowControl/>
        <w:numPr>
          <w:ilvl w:val="0"/>
          <w:numId w:val="0"/>
        </w:numPr>
        <w:ind w:left="425"/>
        <w:rPr>
          <w:noProof/>
          <w:color w:val="004595"/>
          <w:lang w:eastAsia="en-GB"/>
        </w:rPr>
      </w:pPr>
      <w:r w:rsidRPr="001610F7">
        <w:rPr>
          <w:noProof/>
          <w:color w:val="004595"/>
          <w:lang w:eastAsia="en-GB"/>
        </w:rPr>
        <w:lastRenderedPageBreak/>
        <w:t>VZDĚLÁVÁNÍ ZDRAVOTNICKÝCH PROFESIONÁLŮ</w:t>
      </w:r>
    </w:p>
    <w:p w14:paraId="731E6585" w14:textId="576CEDCA" w:rsidR="004F064A" w:rsidRDefault="00B903D8" w:rsidP="00C52E7E">
      <w:pPr>
        <w:widowControl/>
        <w:jc w:val="center"/>
        <w:rPr>
          <w:b/>
          <w:color w:val="004595"/>
          <w:lang w:eastAsia="en-GB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258ACA02" wp14:editId="206FE3E9">
            <wp:simplePos x="0" y="0"/>
            <wp:positionH relativeFrom="column">
              <wp:posOffset>30480</wp:posOffset>
            </wp:positionH>
            <wp:positionV relativeFrom="paragraph">
              <wp:posOffset>58858</wp:posOffset>
            </wp:positionV>
            <wp:extent cx="5712270" cy="2962275"/>
            <wp:effectExtent l="0" t="0" r="0" b="0"/>
            <wp:wrapNone/>
            <wp:docPr id="27" name="Graf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4F064A" w:rsidRPr="004F064A">
        <w:rPr>
          <w:b/>
          <w:color w:val="004595"/>
          <w:lang w:eastAsia="en-GB"/>
        </w:rPr>
        <w:t>VÝDAJE MZD NA DALŠÍ VZDĚLÁVÁNÍ PRACOVNÍKŮ VE ZDRAVOTNICTVÍ SE ZVYŠOVALY</w:t>
      </w:r>
    </w:p>
    <w:p w14:paraId="34B3683E" w14:textId="5D19F514" w:rsidR="00B903D8" w:rsidRDefault="00B903D8" w:rsidP="00C52E7E">
      <w:pPr>
        <w:widowControl/>
        <w:jc w:val="center"/>
        <w:rPr>
          <w:b/>
          <w:color w:val="004595"/>
          <w:lang w:eastAsia="en-GB"/>
        </w:rPr>
      </w:pPr>
    </w:p>
    <w:p w14:paraId="3AE2697E" w14:textId="77777777" w:rsidR="00B903D8" w:rsidRDefault="00B903D8" w:rsidP="00C52E7E">
      <w:pPr>
        <w:widowControl/>
        <w:jc w:val="center"/>
        <w:rPr>
          <w:b/>
          <w:color w:val="004595"/>
          <w:lang w:eastAsia="en-GB"/>
        </w:rPr>
      </w:pPr>
    </w:p>
    <w:p w14:paraId="458247ED" w14:textId="56A4823F" w:rsidR="00B903D8" w:rsidRDefault="00B903D8" w:rsidP="00C52E7E">
      <w:pPr>
        <w:widowControl/>
        <w:jc w:val="center"/>
        <w:rPr>
          <w:b/>
          <w:color w:val="004595"/>
          <w:lang w:eastAsia="en-GB"/>
        </w:rPr>
      </w:pPr>
    </w:p>
    <w:p w14:paraId="6F708FFE" w14:textId="7E76310D" w:rsidR="00B903D8" w:rsidRDefault="00B903D8" w:rsidP="00C52E7E">
      <w:pPr>
        <w:widowControl/>
        <w:jc w:val="center"/>
        <w:rPr>
          <w:b/>
          <w:color w:val="004595"/>
          <w:lang w:eastAsia="en-GB"/>
        </w:rPr>
      </w:pPr>
    </w:p>
    <w:p w14:paraId="1744CB18" w14:textId="5ED07F69" w:rsidR="00B903D8" w:rsidRDefault="00B903D8" w:rsidP="00C52E7E">
      <w:pPr>
        <w:widowControl/>
        <w:jc w:val="center"/>
        <w:rPr>
          <w:b/>
          <w:color w:val="004595"/>
          <w:lang w:eastAsia="en-GB"/>
        </w:rPr>
      </w:pPr>
    </w:p>
    <w:p w14:paraId="7FB4CF9C" w14:textId="6041DDC4" w:rsidR="00B903D8" w:rsidRDefault="00B903D8" w:rsidP="00C52E7E">
      <w:pPr>
        <w:widowControl/>
        <w:jc w:val="center"/>
        <w:rPr>
          <w:b/>
          <w:color w:val="004595"/>
          <w:lang w:eastAsia="en-GB"/>
        </w:rPr>
      </w:pPr>
    </w:p>
    <w:p w14:paraId="5E2F9883" w14:textId="0042C9E7" w:rsidR="00B903D8" w:rsidRDefault="00B903D8" w:rsidP="00C52E7E">
      <w:pPr>
        <w:widowControl/>
        <w:jc w:val="center"/>
        <w:rPr>
          <w:b/>
          <w:color w:val="004595"/>
          <w:lang w:eastAsia="en-GB"/>
        </w:rPr>
      </w:pPr>
    </w:p>
    <w:p w14:paraId="4E85EEF3" w14:textId="200D9687" w:rsidR="00B903D8" w:rsidRDefault="00B903D8" w:rsidP="00C52E7E">
      <w:pPr>
        <w:widowControl/>
        <w:jc w:val="center"/>
        <w:rPr>
          <w:b/>
          <w:color w:val="004595"/>
          <w:lang w:eastAsia="en-GB"/>
        </w:rPr>
      </w:pPr>
    </w:p>
    <w:p w14:paraId="32382889" w14:textId="6ED8BC02" w:rsidR="00B903D8" w:rsidRDefault="00B903D8" w:rsidP="00C52E7E">
      <w:pPr>
        <w:widowControl/>
        <w:jc w:val="center"/>
        <w:rPr>
          <w:b/>
          <w:color w:val="004595"/>
          <w:lang w:eastAsia="en-GB"/>
        </w:rPr>
      </w:pPr>
    </w:p>
    <w:p w14:paraId="0BB18860" w14:textId="7F51A248" w:rsidR="00B903D8" w:rsidRDefault="00B903D8" w:rsidP="00C52E7E">
      <w:pPr>
        <w:widowControl/>
        <w:jc w:val="center"/>
        <w:rPr>
          <w:b/>
          <w:color w:val="004595"/>
          <w:lang w:eastAsia="en-GB"/>
        </w:rPr>
      </w:pPr>
    </w:p>
    <w:p w14:paraId="3AAD3CED" w14:textId="614DDDF2" w:rsidR="00B903D8" w:rsidRDefault="00B903D8" w:rsidP="00C52E7E">
      <w:pPr>
        <w:widowControl/>
        <w:jc w:val="center"/>
        <w:rPr>
          <w:b/>
          <w:color w:val="004595"/>
          <w:lang w:eastAsia="en-GB"/>
        </w:rPr>
      </w:pPr>
    </w:p>
    <w:p w14:paraId="7874C933" w14:textId="7A591410" w:rsidR="00B903D8" w:rsidRDefault="00B903D8" w:rsidP="00C52E7E">
      <w:pPr>
        <w:widowControl/>
        <w:jc w:val="center"/>
        <w:rPr>
          <w:b/>
          <w:color w:val="004595"/>
          <w:lang w:eastAsia="en-GB"/>
        </w:rPr>
      </w:pPr>
    </w:p>
    <w:p w14:paraId="48EE3E6C" w14:textId="39881611" w:rsidR="00B903D8" w:rsidRDefault="00B903D8" w:rsidP="00C52E7E">
      <w:pPr>
        <w:widowControl/>
        <w:jc w:val="center"/>
        <w:rPr>
          <w:b/>
          <w:color w:val="004595"/>
          <w:lang w:eastAsia="en-GB"/>
        </w:rPr>
      </w:pPr>
    </w:p>
    <w:p w14:paraId="34C351F5" w14:textId="2F70FBC2" w:rsidR="00B903D8" w:rsidRDefault="00B903D8" w:rsidP="00C52E7E">
      <w:pPr>
        <w:widowControl/>
        <w:jc w:val="center"/>
        <w:rPr>
          <w:b/>
          <w:color w:val="004595"/>
          <w:lang w:eastAsia="en-GB"/>
        </w:rPr>
      </w:pPr>
    </w:p>
    <w:p w14:paraId="762BD208" w14:textId="7615B322" w:rsidR="00B903D8" w:rsidRDefault="00B903D8" w:rsidP="00C52E7E">
      <w:pPr>
        <w:widowControl/>
        <w:jc w:val="center"/>
        <w:rPr>
          <w:b/>
          <w:color w:val="004595"/>
          <w:lang w:eastAsia="en-GB"/>
        </w:rPr>
      </w:pPr>
    </w:p>
    <w:p w14:paraId="39861F8E" w14:textId="56C33343" w:rsidR="00B903D8" w:rsidRDefault="00B903D8" w:rsidP="00C52E7E">
      <w:pPr>
        <w:widowControl/>
        <w:jc w:val="center"/>
        <w:rPr>
          <w:b/>
          <w:color w:val="004595"/>
          <w:lang w:eastAsia="en-GB"/>
        </w:rPr>
      </w:pPr>
    </w:p>
    <w:p w14:paraId="71546C94" w14:textId="08EB50F4" w:rsidR="00B903D8" w:rsidRPr="004F064A" w:rsidRDefault="00B903D8" w:rsidP="00C52E7E">
      <w:pPr>
        <w:widowControl/>
        <w:jc w:val="center"/>
        <w:rPr>
          <w:b/>
          <w:color w:val="004595"/>
          <w:lang w:eastAsia="en-GB"/>
        </w:rPr>
      </w:pPr>
      <w:r w:rsidRPr="004F064A">
        <w:rPr>
          <w:b/>
          <w:color w:val="004595"/>
          <w:lang w:eastAsia="en-GB"/>
        </w:rPr>
        <w:t>VÝŠE DOTACÍ NA ŠKOLICÍ MÍSTA LÉKAŘŮ MZD KAŽDOROČNĚ NESYSTÉMOVĚ MĚNILO</w:t>
      </w:r>
    </w:p>
    <w:p w14:paraId="3B7219A7" w14:textId="19559C5A" w:rsidR="00B903D8" w:rsidRDefault="00B903D8" w:rsidP="00C52E7E">
      <w:pPr>
        <w:widowControl/>
        <w:jc w:val="center"/>
        <w:rPr>
          <w:b/>
          <w:color w:val="004595"/>
          <w:lang w:eastAsia="en-GB"/>
        </w:rPr>
      </w:pPr>
      <w:r>
        <w:rPr>
          <w:b/>
          <w:noProof/>
          <w:color w:val="004595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CAFBDE9" wp14:editId="64AB366B">
                <wp:simplePos x="0" y="0"/>
                <wp:positionH relativeFrom="column">
                  <wp:posOffset>25820</wp:posOffset>
                </wp:positionH>
                <wp:positionV relativeFrom="paragraph">
                  <wp:posOffset>70073</wp:posOffset>
                </wp:positionV>
                <wp:extent cx="5679391" cy="2050225"/>
                <wp:effectExtent l="0" t="0" r="0" b="0"/>
                <wp:wrapNone/>
                <wp:docPr id="16" name="Skupina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9391" cy="2050225"/>
                          <a:chOff x="0" y="0"/>
                          <a:chExt cx="5679391" cy="2050225"/>
                        </a:xfrm>
                      </wpg:grpSpPr>
                      <wpg:graphicFrame>
                        <wpg:cNvPr id="24" name="Graf 24"/>
                        <wpg:cNvFrPr/>
                        <wpg:xfrm>
                          <a:off x="0" y="11875"/>
                          <a:ext cx="2809240" cy="203835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3"/>
                          </a:graphicData>
                        </a:graphic>
                      </wpg:graphicFrame>
                      <wpg:graphicFrame>
                        <wpg:cNvPr id="12" name="Graf 12"/>
                        <wpg:cNvFrPr/>
                        <wpg:xfrm>
                          <a:off x="2945081" y="0"/>
                          <a:ext cx="2734310" cy="203835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4"/>
                          </a:graphicData>
                        </a:graphic>
                      </wpg:graphicFrame>
                    </wpg:wgp>
                  </a:graphicData>
                </a:graphic>
              </wp:anchor>
            </w:drawing>
          </mc:Choice>
          <mc:Fallback>
            <w:pict>
              <v:group w14:anchorId="2A1287E5" id="Skupina 16" o:spid="_x0000_s1026" style="position:absolute;margin-left:2.05pt;margin-top:5.5pt;width:447.2pt;height:161.45pt;z-index:251689984" coordsize="56793,20502" o:gfxdata="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 24" o:spid="_x0000_s1027" type="#_x0000_t75" style="position:absolute;left:2743;top:1706;width:23835;height:178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">
                  <v:imagedata r:id="rId15" o:title=""/>
                  <o:lock v:ext="edit" aspectratio="f"/>
                </v:shape>
                <v:shape id="Graf 12" o:spid="_x0000_s1028" type="#_x0000_t75" style="position:absolute;left:30784;top:1402;width:25725;height:181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">
                  <v:imagedata r:id="rId16" o:title=""/>
                  <o:lock v:ext="edit" aspectratio="f"/>
                </v:shape>
              </v:group>
            </w:pict>
          </mc:Fallback>
        </mc:AlternateContent>
      </w:r>
    </w:p>
    <w:p w14:paraId="31F04FD7" w14:textId="3B968ABF" w:rsidR="00B903D8" w:rsidRDefault="00B903D8" w:rsidP="00C52E7E">
      <w:pPr>
        <w:widowControl/>
        <w:jc w:val="center"/>
        <w:rPr>
          <w:b/>
          <w:color w:val="004595"/>
          <w:lang w:eastAsia="en-GB"/>
        </w:rPr>
      </w:pPr>
    </w:p>
    <w:p w14:paraId="21FEDD95" w14:textId="26827C6D" w:rsidR="00B903D8" w:rsidRDefault="00B903D8" w:rsidP="00C52E7E">
      <w:pPr>
        <w:widowControl/>
        <w:jc w:val="center"/>
        <w:rPr>
          <w:b/>
          <w:color w:val="004595"/>
          <w:lang w:eastAsia="en-GB"/>
        </w:rPr>
      </w:pPr>
    </w:p>
    <w:p w14:paraId="08CCEB89" w14:textId="4BED77C1" w:rsidR="00B903D8" w:rsidRDefault="00B903D8" w:rsidP="00C52E7E">
      <w:pPr>
        <w:widowControl/>
        <w:jc w:val="center"/>
        <w:rPr>
          <w:b/>
          <w:color w:val="004595"/>
          <w:lang w:eastAsia="en-GB"/>
        </w:rPr>
      </w:pPr>
    </w:p>
    <w:p w14:paraId="218E8F34" w14:textId="0BA25E09" w:rsidR="00B903D8" w:rsidRDefault="00B903D8" w:rsidP="00C52E7E">
      <w:pPr>
        <w:widowControl/>
        <w:jc w:val="center"/>
        <w:rPr>
          <w:b/>
          <w:color w:val="004595"/>
          <w:lang w:eastAsia="en-GB"/>
        </w:rPr>
      </w:pPr>
    </w:p>
    <w:p w14:paraId="3F4AA2AE" w14:textId="274ED108" w:rsidR="00B903D8" w:rsidRDefault="00B903D8" w:rsidP="00C52E7E">
      <w:pPr>
        <w:widowControl/>
        <w:jc w:val="center"/>
        <w:rPr>
          <w:b/>
          <w:color w:val="004595"/>
          <w:lang w:eastAsia="en-GB"/>
        </w:rPr>
      </w:pPr>
    </w:p>
    <w:p w14:paraId="07447A0C" w14:textId="25CD8845" w:rsidR="00B903D8" w:rsidRDefault="00B903D8" w:rsidP="00C52E7E">
      <w:pPr>
        <w:widowControl/>
        <w:jc w:val="center"/>
        <w:rPr>
          <w:b/>
          <w:color w:val="004595"/>
          <w:lang w:eastAsia="en-GB"/>
        </w:rPr>
      </w:pPr>
    </w:p>
    <w:p w14:paraId="4A00A15F" w14:textId="74AEC5B3" w:rsidR="00B903D8" w:rsidRDefault="00B903D8" w:rsidP="00C52E7E">
      <w:pPr>
        <w:widowControl/>
        <w:jc w:val="center"/>
        <w:rPr>
          <w:b/>
          <w:color w:val="004595"/>
          <w:lang w:eastAsia="en-GB"/>
        </w:rPr>
      </w:pPr>
    </w:p>
    <w:p w14:paraId="6FE34954" w14:textId="5A0C798D" w:rsidR="00B903D8" w:rsidRDefault="00B903D8" w:rsidP="00C52E7E">
      <w:pPr>
        <w:widowControl/>
        <w:jc w:val="center"/>
        <w:rPr>
          <w:b/>
          <w:color w:val="004595"/>
          <w:lang w:eastAsia="en-GB"/>
        </w:rPr>
      </w:pPr>
    </w:p>
    <w:p w14:paraId="7397D678" w14:textId="7B9E8D9C" w:rsidR="00B903D8" w:rsidRDefault="00B903D8" w:rsidP="00C52E7E">
      <w:pPr>
        <w:widowControl/>
        <w:jc w:val="center"/>
        <w:rPr>
          <w:b/>
          <w:color w:val="004595"/>
          <w:lang w:eastAsia="en-GB"/>
        </w:rPr>
      </w:pPr>
    </w:p>
    <w:p w14:paraId="39DF83AC" w14:textId="406DA7E6" w:rsidR="00B903D8" w:rsidRDefault="00B903D8" w:rsidP="00C52E7E">
      <w:pPr>
        <w:widowControl/>
        <w:jc w:val="center"/>
        <w:rPr>
          <w:b/>
          <w:color w:val="004595"/>
          <w:lang w:eastAsia="en-GB"/>
        </w:rPr>
      </w:pPr>
    </w:p>
    <w:p w14:paraId="49CEF3DA" w14:textId="6564E864" w:rsidR="00B903D8" w:rsidRDefault="00B903D8" w:rsidP="00C52E7E">
      <w:pPr>
        <w:widowControl/>
        <w:jc w:val="center"/>
        <w:rPr>
          <w:b/>
          <w:color w:val="004595"/>
          <w:lang w:eastAsia="en-GB"/>
        </w:rPr>
      </w:pPr>
    </w:p>
    <w:p w14:paraId="314E8480" w14:textId="468D49B4" w:rsidR="00B903D8" w:rsidRPr="001610F7" w:rsidRDefault="00B903D8" w:rsidP="00C52E7E">
      <w:pPr>
        <w:widowControl/>
        <w:jc w:val="center"/>
        <w:rPr>
          <w:b/>
          <w:noProof/>
          <w:color w:val="004595"/>
          <w:lang w:eastAsia="en-GB"/>
        </w:rPr>
      </w:pPr>
      <w:r>
        <w:rPr>
          <w:b/>
          <w:noProof/>
          <w:color w:val="004595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EE573A9" wp14:editId="1C76B768">
                <wp:simplePos x="0" y="0"/>
                <wp:positionH relativeFrom="column">
                  <wp:posOffset>26480</wp:posOffset>
                </wp:positionH>
                <wp:positionV relativeFrom="paragraph">
                  <wp:posOffset>168473</wp:posOffset>
                </wp:positionV>
                <wp:extent cx="5675383" cy="2730063"/>
                <wp:effectExtent l="0" t="0" r="0" b="0"/>
                <wp:wrapNone/>
                <wp:docPr id="20" name="Skupin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5383" cy="2730063"/>
                          <a:chOff x="0" y="0"/>
                          <a:chExt cx="5675383" cy="2730063"/>
                        </a:xfrm>
                        <a:noFill/>
                      </wpg:grpSpPr>
                      <wpg:graphicFrame>
                        <wpg:cNvPr id="30" name="Diagram 30"/>
                        <wpg:cNvFrPr/>
                        <wpg:xfrm>
                          <a:off x="0" y="106878"/>
                          <a:ext cx="2932430" cy="2623185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7" r:lo="rId18" r:qs="rId19" r:cs="rId20"/>
                          </a:graphicData>
                        </a:graphic>
                      </wpg:graphicFrame>
                      <wpg:graphicFrame>
                        <wpg:cNvPr id="32" name="Diagram 32"/>
                        <wpg:cNvFrPr/>
                        <wpg:xfrm>
                          <a:off x="2838203" y="0"/>
                          <a:ext cx="2837180" cy="2625090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22" r:lo="rId23" r:qs="rId24" r:cs="rId25"/>
                          </a:graphicData>
                        </a:graphic>
                      </wpg:graphicFrame>
                    </wpg:wgp>
                  </a:graphicData>
                </a:graphic>
              </wp:anchor>
            </w:drawing>
          </mc:Choice>
          <mc:Fallback>
            <w:pict>
              <v:group w14:anchorId="52EC5074" id="Skupina 20" o:spid="_x0000_s1026" style="position:absolute;margin-left:2.1pt;margin-top:13.25pt;width:446.9pt;height:214.95pt;z-index:251685888" coordsize="56753,27300" o:gfxdata="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iagram 30" o:spid="_x0000_s1027" type="#_x0000_t75" style="position:absolute;left:2133;top:1158;width:24750;height:256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">
                  <v:imagedata r:id="rId31" o:title=""/>
                  <o:lock v:ext="edit" aspectratio="f"/>
                </v:shape>
                <v:shape id="Diagram 32" o:spid="_x0000_s1028" type="#_x0000_t75" style="position:absolute;left:30480;top:1219;width:24444;height:248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">
                  <v:imagedata r:id="rId32" o:title=""/>
                  <o:lock v:ext="edit" aspectratio="f"/>
                </v:shape>
              </v:group>
            </w:pict>
          </mc:Fallback>
        </mc:AlternateContent>
      </w:r>
      <w:r w:rsidRPr="001610F7">
        <w:rPr>
          <w:b/>
          <w:noProof/>
          <w:color w:val="004595"/>
          <w:lang w:eastAsia="en-GB"/>
        </w:rPr>
        <w:t>SYSTÉM SPECIALIZAČNÍHO VZDĚLÁVÁNÍ ZŮSTÁVÁ SLOŽITÝ</w:t>
      </w:r>
    </w:p>
    <w:p w14:paraId="64BC4D2D" w14:textId="6853776A" w:rsidR="00B903D8" w:rsidRDefault="00B903D8" w:rsidP="00C52E7E">
      <w:pPr>
        <w:widowControl/>
        <w:jc w:val="center"/>
        <w:rPr>
          <w:b/>
          <w:color w:val="004595"/>
          <w:lang w:eastAsia="en-GB"/>
        </w:rPr>
      </w:pPr>
    </w:p>
    <w:p w14:paraId="2083C588" w14:textId="7AC3A3C7" w:rsidR="00B903D8" w:rsidRDefault="00B903D8" w:rsidP="00C52E7E">
      <w:pPr>
        <w:widowControl/>
        <w:jc w:val="center"/>
        <w:rPr>
          <w:b/>
          <w:color w:val="004595"/>
          <w:lang w:eastAsia="en-GB"/>
        </w:rPr>
      </w:pPr>
    </w:p>
    <w:p w14:paraId="55424CEF" w14:textId="3D84555C" w:rsidR="00B903D8" w:rsidRDefault="00B903D8" w:rsidP="00C52E7E">
      <w:pPr>
        <w:widowControl/>
        <w:jc w:val="center"/>
        <w:rPr>
          <w:b/>
          <w:color w:val="004595"/>
          <w:lang w:eastAsia="en-GB"/>
        </w:rPr>
      </w:pPr>
    </w:p>
    <w:p w14:paraId="2E93089F" w14:textId="1EDF085A" w:rsidR="00B903D8" w:rsidRDefault="00B903D8" w:rsidP="00C52E7E">
      <w:pPr>
        <w:widowControl/>
        <w:jc w:val="center"/>
        <w:rPr>
          <w:b/>
          <w:color w:val="004595"/>
          <w:lang w:eastAsia="en-GB"/>
        </w:rPr>
      </w:pPr>
    </w:p>
    <w:p w14:paraId="65E94572" w14:textId="0D4D65CE" w:rsidR="00B903D8" w:rsidRDefault="00B903D8" w:rsidP="00C52E7E">
      <w:pPr>
        <w:widowControl/>
        <w:jc w:val="center"/>
        <w:rPr>
          <w:b/>
          <w:color w:val="004595"/>
          <w:lang w:eastAsia="en-GB"/>
        </w:rPr>
      </w:pPr>
    </w:p>
    <w:p w14:paraId="58E5B6AD" w14:textId="71587D80" w:rsidR="00B903D8" w:rsidRDefault="00B903D8" w:rsidP="00C52E7E">
      <w:pPr>
        <w:widowControl/>
        <w:jc w:val="center"/>
        <w:rPr>
          <w:b/>
          <w:color w:val="004595"/>
          <w:lang w:eastAsia="en-GB"/>
        </w:rPr>
      </w:pPr>
    </w:p>
    <w:p w14:paraId="29E1A461" w14:textId="1343BA38" w:rsidR="00B903D8" w:rsidRDefault="00B903D8" w:rsidP="00C52E7E">
      <w:pPr>
        <w:widowControl/>
        <w:jc w:val="center"/>
        <w:rPr>
          <w:b/>
          <w:color w:val="004595"/>
          <w:lang w:eastAsia="en-GB"/>
        </w:rPr>
      </w:pPr>
    </w:p>
    <w:p w14:paraId="284BAF5E" w14:textId="5135596E" w:rsidR="00B903D8" w:rsidRDefault="00B903D8" w:rsidP="00C52E7E">
      <w:pPr>
        <w:widowControl/>
        <w:jc w:val="center"/>
        <w:rPr>
          <w:b/>
          <w:color w:val="004595"/>
          <w:lang w:eastAsia="en-GB"/>
        </w:rPr>
      </w:pPr>
    </w:p>
    <w:p w14:paraId="0040AA64" w14:textId="3DAAABDF" w:rsidR="00B903D8" w:rsidRDefault="00B903D8" w:rsidP="00C52E7E">
      <w:pPr>
        <w:widowControl/>
        <w:jc w:val="center"/>
        <w:rPr>
          <w:b/>
          <w:color w:val="004595"/>
          <w:lang w:eastAsia="en-GB"/>
        </w:rPr>
      </w:pPr>
    </w:p>
    <w:p w14:paraId="4BBDE032" w14:textId="3BFFE697" w:rsidR="00B903D8" w:rsidRDefault="00B903D8" w:rsidP="00C52E7E">
      <w:pPr>
        <w:widowControl/>
        <w:jc w:val="center"/>
        <w:rPr>
          <w:b/>
          <w:color w:val="004595"/>
          <w:lang w:eastAsia="en-GB"/>
        </w:rPr>
      </w:pPr>
    </w:p>
    <w:p w14:paraId="6716212E" w14:textId="065688FD" w:rsidR="00B903D8" w:rsidRPr="001610F7" w:rsidRDefault="00B903D8" w:rsidP="00C52E7E">
      <w:pPr>
        <w:widowControl/>
        <w:jc w:val="center"/>
        <w:rPr>
          <w:b/>
          <w:color w:val="004595"/>
          <w:lang w:eastAsia="en-GB"/>
        </w:rPr>
      </w:pPr>
    </w:p>
    <w:p w14:paraId="071556A8" w14:textId="09A2B390" w:rsidR="00A50E75" w:rsidRPr="001610F7" w:rsidRDefault="00A50E75" w:rsidP="00C52E7E">
      <w:pPr>
        <w:widowControl/>
        <w:rPr>
          <w:noProof/>
          <w:lang w:eastAsia="en-GB"/>
        </w:rPr>
      </w:pPr>
    </w:p>
    <w:p w14:paraId="30509FBE" w14:textId="77777777" w:rsidR="009708D0" w:rsidRPr="001610F7" w:rsidRDefault="009708D0" w:rsidP="00C52E7E">
      <w:pPr>
        <w:widowControl/>
        <w:rPr>
          <w:noProof/>
          <w:lang w:eastAsia="en-GB"/>
        </w:rPr>
        <w:sectPr w:rsidR="009708D0" w:rsidRPr="001610F7" w:rsidSect="0020427E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1909" w:h="16838" w:code="9"/>
          <w:pgMar w:top="1417" w:right="1417" w:bottom="1417" w:left="1417" w:header="709" w:footer="709" w:gutter="0"/>
          <w:cols w:space="60"/>
          <w:noEndnote/>
          <w:titlePg/>
          <w:docGrid w:linePitch="326"/>
        </w:sectPr>
      </w:pPr>
    </w:p>
    <w:p w14:paraId="54D27712" w14:textId="77777777" w:rsidR="0081325C" w:rsidRDefault="0081325C" w:rsidP="00C52E7E">
      <w:pPr>
        <w:pStyle w:val="Nadpis1"/>
        <w:widowControl/>
        <w:sectPr w:rsidR="0081325C" w:rsidSect="009708D0">
          <w:type w:val="continuous"/>
          <w:pgSz w:w="11909" w:h="16838" w:code="9"/>
          <w:pgMar w:top="1417" w:right="1417" w:bottom="1417" w:left="1417" w:header="709" w:footer="709" w:gutter="0"/>
          <w:cols w:space="60"/>
          <w:noEndnote/>
          <w:titlePg/>
          <w:docGrid w:linePitch="326"/>
        </w:sectPr>
      </w:pPr>
    </w:p>
    <w:p w14:paraId="06EFA79B" w14:textId="5A7EFD91" w:rsidR="00FE5C8F" w:rsidRPr="006C54D7" w:rsidRDefault="00E620F7" w:rsidP="00C52E7E">
      <w:pPr>
        <w:pStyle w:val="Nadpis1"/>
        <w:widowControl/>
      </w:pPr>
      <w:r w:rsidRPr="006C54D7">
        <w:t>Shrnutí a vyhodnocení</w:t>
      </w:r>
    </w:p>
    <w:p w14:paraId="32FD8B4C" w14:textId="5479D526" w:rsidR="00592CD4" w:rsidRDefault="00E620F7" w:rsidP="00C52E7E">
      <w:pPr>
        <w:widowControl/>
      </w:pPr>
      <w:r>
        <w:t>Cílem kontroly bylo</w:t>
      </w:r>
      <w:r w:rsidR="001247C0">
        <w:t xml:space="preserve"> p</w:t>
      </w:r>
      <w:r w:rsidR="001247C0" w:rsidRPr="00E07563">
        <w:t>rověřit poskytování a užití peněžní</w:t>
      </w:r>
      <w:r w:rsidR="001247C0">
        <w:t>ch prostředků státu určených na</w:t>
      </w:r>
      <w:r w:rsidR="00E745AC">
        <w:t xml:space="preserve"> </w:t>
      </w:r>
      <w:r w:rsidR="001247C0" w:rsidRPr="00E07563">
        <w:t>vzdělávání pracovníků ve zdravotnictví z hlediska hospo</w:t>
      </w:r>
      <w:r w:rsidR="001247C0">
        <w:t>dárnosti, účelnosti a souladu s </w:t>
      </w:r>
      <w:r w:rsidR="001247C0" w:rsidRPr="00E07563">
        <w:t>právními předpisy</w:t>
      </w:r>
      <w:r w:rsidR="001247C0">
        <w:t xml:space="preserve">. Kontrola se zaměřila zejména na výdaje </w:t>
      </w:r>
      <w:r w:rsidR="005B4DF4">
        <w:t>z kapitoly státního rozpočtu 335 </w:t>
      </w:r>
      <w:r w:rsidR="00DA1335">
        <w:t>– </w:t>
      </w:r>
      <w:r w:rsidR="001247C0" w:rsidRPr="001247C0">
        <w:rPr>
          <w:i/>
        </w:rPr>
        <w:t>Ministerstvo zdravotnictví</w:t>
      </w:r>
      <w:r w:rsidR="001247C0">
        <w:t xml:space="preserve"> na </w:t>
      </w:r>
      <w:r w:rsidR="00143006">
        <w:t>d</w:t>
      </w:r>
      <w:r w:rsidR="001247C0" w:rsidRPr="000B6982">
        <w:t>alší vzdělávání pracovníků ve zdravotnictví</w:t>
      </w:r>
      <w:r w:rsidR="001247C0" w:rsidRPr="000B6982">
        <w:rPr>
          <w:rStyle w:val="Znakapoznpodarou"/>
          <w:szCs w:val="24"/>
        </w:rPr>
        <w:footnoteReference w:id="1"/>
      </w:r>
      <w:r w:rsidR="001247C0" w:rsidRPr="00143006">
        <w:t>,</w:t>
      </w:r>
      <w:r w:rsidR="001247C0">
        <w:t xml:space="preserve"> pomocí </w:t>
      </w:r>
      <w:r w:rsidR="00143006">
        <w:t xml:space="preserve">těchto výdajů </w:t>
      </w:r>
      <w:r w:rsidR="001247C0">
        <w:t xml:space="preserve">je spolufinancováno postgraduální </w:t>
      </w:r>
      <w:r w:rsidR="00B27358">
        <w:t xml:space="preserve">– </w:t>
      </w:r>
      <w:r w:rsidR="001247C0">
        <w:t xml:space="preserve">tj. specializační a </w:t>
      </w:r>
      <w:r w:rsidR="005B4DF4">
        <w:t>celoživotní</w:t>
      </w:r>
      <w:r w:rsidR="00B27358">
        <w:t xml:space="preserve"> –</w:t>
      </w:r>
      <w:r w:rsidR="005B4DF4">
        <w:t xml:space="preserve"> vzdělávání lékařů a</w:t>
      </w:r>
      <w:r w:rsidR="00197B8E">
        <w:t xml:space="preserve"> </w:t>
      </w:r>
      <w:r w:rsidR="001247C0">
        <w:t>nelékařských zdravotnických pracovníků.</w:t>
      </w:r>
    </w:p>
    <w:p w14:paraId="43D5BFF8" w14:textId="77777777" w:rsidR="00361CEA" w:rsidRDefault="00361CEA" w:rsidP="00C52E7E">
      <w:pPr>
        <w:widowControl/>
      </w:pPr>
    </w:p>
    <w:p w14:paraId="552B9678" w14:textId="406EC06F" w:rsidR="00291503" w:rsidRDefault="00291503" w:rsidP="00C52E7E">
      <w:pPr>
        <w:widowControl/>
        <w:rPr>
          <w:b/>
        </w:rPr>
      </w:pPr>
      <w:proofErr w:type="spellStart"/>
      <w:r w:rsidRPr="009F64B4">
        <w:rPr>
          <w:b/>
        </w:rPr>
        <w:t>MZd</w:t>
      </w:r>
      <w:proofErr w:type="spellEnd"/>
      <w:r w:rsidRPr="009F64B4">
        <w:rPr>
          <w:b/>
        </w:rPr>
        <w:t>, které</w:t>
      </w:r>
      <w:r>
        <w:rPr>
          <w:b/>
        </w:rPr>
        <w:t xml:space="preserve"> zastřešuje</w:t>
      </w:r>
      <w:r w:rsidRPr="009F64B4">
        <w:rPr>
          <w:b/>
        </w:rPr>
        <w:t xml:space="preserve"> celý systém specializačního vzdělávání pracovníků ve zdravotnictví, nevyhodnocovalo jeho fun</w:t>
      </w:r>
      <w:r w:rsidR="008E431F">
        <w:rPr>
          <w:b/>
        </w:rPr>
        <w:t>gování</w:t>
      </w:r>
      <w:r w:rsidRPr="009F64B4">
        <w:rPr>
          <w:b/>
        </w:rPr>
        <w:t xml:space="preserve">, přestože </w:t>
      </w:r>
      <w:r w:rsidR="005B000D">
        <w:rPr>
          <w:b/>
        </w:rPr>
        <w:t>na</w:t>
      </w:r>
      <w:r w:rsidRPr="009F64B4">
        <w:rPr>
          <w:b/>
        </w:rPr>
        <w:t xml:space="preserve"> něj každoročně </w:t>
      </w:r>
      <w:r w:rsidR="00A373DB">
        <w:rPr>
          <w:b/>
        </w:rPr>
        <w:t>vy</w:t>
      </w:r>
      <w:r w:rsidR="005B000D">
        <w:rPr>
          <w:b/>
        </w:rPr>
        <w:t>d</w:t>
      </w:r>
      <w:r w:rsidRPr="009F64B4">
        <w:rPr>
          <w:b/>
        </w:rPr>
        <w:t>á</w:t>
      </w:r>
      <w:r w:rsidR="00A373DB">
        <w:rPr>
          <w:b/>
        </w:rPr>
        <w:t>vá</w:t>
      </w:r>
      <w:r w:rsidRPr="009F64B4">
        <w:rPr>
          <w:b/>
        </w:rPr>
        <w:t xml:space="preserve"> stovky milionů korun. </w:t>
      </w:r>
      <w:r w:rsidR="00A373DB">
        <w:rPr>
          <w:b/>
        </w:rPr>
        <w:t>Poskytnuté prostředky sloužily k podpoře dalšího vzdělávání pracovníků ve</w:t>
      </w:r>
      <w:r w:rsidR="00E745AC">
        <w:rPr>
          <w:b/>
        </w:rPr>
        <w:t xml:space="preserve"> </w:t>
      </w:r>
      <w:r w:rsidR="00A373DB">
        <w:rPr>
          <w:b/>
        </w:rPr>
        <w:t xml:space="preserve">zdravotnictví. </w:t>
      </w:r>
      <w:r w:rsidRPr="009F64B4">
        <w:rPr>
          <w:b/>
        </w:rPr>
        <w:t>Při stanovení částek</w:t>
      </w:r>
      <w:r w:rsidR="005B000D" w:rsidRPr="005B000D">
        <w:rPr>
          <w:b/>
        </w:rPr>
        <w:t xml:space="preserve"> </w:t>
      </w:r>
      <w:r w:rsidR="005B000D" w:rsidRPr="009F64B4">
        <w:rPr>
          <w:b/>
        </w:rPr>
        <w:t>dotací</w:t>
      </w:r>
      <w:r w:rsidRPr="009F64B4">
        <w:rPr>
          <w:b/>
        </w:rPr>
        <w:t xml:space="preserve"> poskytovaných na spol</w:t>
      </w:r>
      <w:r>
        <w:rPr>
          <w:b/>
        </w:rPr>
        <w:t>ufinancování školicích míst pro</w:t>
      </w:r>
      <w:r w:rsidR="00E745AC">
        <w:rPr>
          <w:b/>
        </w:rPr>
        <w:t xml:space="preserve"> </w:t>
      </w:r>
      <w:r w:rsidR="00BB7484">
        <w:rPr>
          <w:b/>
        </w:rPr>
        <w:t>lékaře i </w:t>
      </w:r>
      <w:r w:rsidRPr="009F64B4">
        <w:rPr>
          <w:b/>
        </w:rPr>
        <w:t xml:space="preserve">nelékařské zdravotnické pracovníky </w:t>
      </w:r>
      <w:proofErr w:type="spellStart"/>
      <w:r w:rsidRPr="009F64B4">
        <w:rPr>
          <w:b/>
        </w:rPr>
        <w:t>MZd</w:t>
      </w:r>
      <w:proofErr w:type="spellEnd"/>
      <w:r w:rsidRPr="009F64B4">
        <w:rPr>
          <w:b/>
        </w:rPr>
        <w:t xml:space="preserve"> neposuzovalo hospodárnost takto </w:t>
      </w:r>
      <w:r w:rsidR="00B40DF0">
        <w:rPr>
          <w:b/>
        </w:rPr>
        <w:t xml:space="preserve">přidělovaných </w:t>
      </w:r>
      <w:r>
        <w:rPr>
          <w:b/>
        </w:rPr>
        <w:t>prostředků. V </w:t>
      </w:r>
      <w:r w:rsidRPr="009F64B4">
        <w:rPr>
          <w:b/>
        </w:rPr>
        <w:t>samotném procesu poskytování dotací byla zjištěna pochybení</w:t>
      </w:r>
      <w:r w:rsidR="008E431F">
        <w:rPr>
          <w:b/>
        </w:rPr>
        <w:t xml:space="preserve"> </w:t>
      </w:r>
      <w:r w:rsidRPr="009F64B4">
        <w:rPr>
          <w:b/>
        </w:rPr>
        <w:t>způsoben</w:t>
      </w:r>
      <w:r w:rsidR="008E431F">
        <w:rPr>
          <w:b/>
        </w:rPr>
        <w:t>á</w:t>
      </w:r>
      <w:r w:rsidRPr="009F64B4">
        <w:rPr>
          <w:b/>
        </w:rPr>
        <w:t xml:space="preserve"> </w:t>
      </w:r>
      <w:r w:rsidR="00BB7484">
        <w:rPr>
          <w:b/>
        </w:rPr>
        <w:t>mj.</w:t>
      </w:r>
      <w:r w:rsidR="00BB7484" w:rsidRPr="009F64B4">
        <w:rPr>
          <w:b/>
        </w:rPr>
        <w:t xml:space="preserve"> </w:t>
      </w:r>
      <w:r w:rsidRPr="009F64B4">
        <w:rPr>
          <w:b/>
        </w:rPr>
        <w:t>absencí</w:t>
      </w:r>
      <w:r>
        <w:rPr>
          <w:b/>
        </w:rPr>
        <w:t xml:space="preserve"> jasného </w:t>
      </w:r>
      <w:r w:rsidR="008E431F">
        <w:rPr>
          <w:b/>
        </w:rPr>
        <w:t>vymezení</w:t>
      </w:r>
      <w:r>
        <w:rPr>
          <w:b/>
        </w:rPr>
        <w:t xml:space="preserve"> kompetencí </w:t>
      </w:r>
      <w:r w:rsidR="003A034B">
        <w:rPr>
          <w:b/>
        </w:rPr>
        <w:t>určeného administrátora</w:t>
      </w:r>
      <w:r w:rsidR="00BB7484">
        <w:rPr>
          <w:b/>
        </w:rPr>
        <w:t xml:space="preserve"> a r</w:t>
      </w:r>
      <w:r w:rsidRPr="009F64B4">
        <w:rPr>
          <w:b/>
        </w:rPr>
        <w:t xml:space="preserve">ozhodování o přidělení dotací nebylo transparentní. </w:t>
      </w:r>
      <w:proofErr w:type="spellStart"/>
      <w:r w:rsidRPr="009F64B4">
        <w:rPr>
          <w:b/>
        </w:rPr>
        <w:t>MZd</w:t>
      </w:r>
      <w:proofErr w:type="spellEnd"/>
      <w:r w:rsidR="003A034B">
        <w:rPr>
          <w:b/>
        </w:rPr>
        <w:t xml:space="preserve"> univerzitám na</w:t>
      </w:r>
      <w:r w:rsidR="00E745AC">
        <w:rPr>
          <w:b/>
        </w:rPr>
        <w:t xml:space="preserve"> </w:t>
      </w:r>
      <w:r w:rsidRPr="009F64B4">
        <w:rPr>
          <w:b/>
        </w:rPr>
        <w:t>spe</w:t>
      </w:r>
      <w:r>
        <w:rPr>
          <w:b/>
        </w:rPr>
        <w:t>cializační vzdělávání lékařů každoročně vyplácelo dotace v řád</w:t>
      </w:r>
      <w:r w:rsidR="00810776">
        <w:rPr>
          <w:b/>
        </w:rPr>
        <w:t>u</w:t>
      </w:r>
      <w:r>
        <w:rPr>
          <w:b/>
        </w:rPr>
        <w:t xml:space="preserve"> desítek milionů korun bez</w:t>
      </w:r>
      <w:r w:rsidRPr="009F64B4">
        <w:rPr>
          <w:b/>
        </w:rPr>
        <w:t xml:space="preserve"> jak</w:t>
      </w:r>
      <w:r>
        <w:rPr>
          <w:b/>
        </w:rPr>
        <w:t>ékoliv analýzy reálné</w:t>
      </w:r>
      <w:r w:rsidRPr="009F64B4">
        <w:rPr>
          <w:b/>
        </w:rPr>
        <w:t xml:space="preserve"> ekonomické náročnosti </w:t>
      </w:r>
      <w:r>
        <w:rPr>
          <w:b/>
        </w:rPr>
        <w:t>poskytovaných služeb</w:t>
      </w:r>
      <w:r w:rsidR="00BB7484">
        <w:rPr>
          <w:b/>
        </w:rPr>
        <w:t xml:space="preserve"> a p</w:t>
      </w:r>
      <w:r w:rsidR="003A034B">
        <w:rPr>
          <w:b/>
        </w:rPr>
        <w:t>oužití těchto prostředků ani důsledně nekontrolovalo.</w:t>
      </w:r>
      <w:r w:rsidR="005B000D">
        <w:rPr>
          <w:b/>
        </w:rPr>
        <w:t xml:space="preserve"> </w:t>
      </w:r>
      <w:r w:rsidR="005B000D" w:rsidRPr="009F64B4">
        <w:rPr>
          <w:b/>
        </w:rPr>
        <w:t xml:space="preserve">Transformace systému specializačního vzdělávání </w:t>
      </w:r>
      <w:r w:rsidR="005B000D" w:rsidRPr="00AF644A">
        <w:rPr>
          <w:b/>
        </w:rPr>
        <w:t xml:space="preserve">lékařů </w:t>
      </w:r>
      <w:r w:rsidR="00AF644A" w:rsidRPr="00AF644A">
        <w:rPr>
          <w:b/>
        </w:rPr>
        <w:t>započatá</w:t>
      </w:r>
      <w:r w:rsidR="00053A95" w:rsidRPr="00AF644A">
        <w:rPr>
          <w:b/>
        </w:rPr>
        <w:t xml:space="preserve"> </w:t>
      </w:r>
      <w:r w:rsidR="00AF644A" w:rsidRPr="00AF644A">
        <w:rPr>
          <w:b/>
        </w:rPr>
        <w:t>vstupem</w:t>
      </w:r>
      <w:r w:rsidR="00053A95" w:rsidRPr="00AF644A">
        <w:rPr>
          <w:b/>
        </w:rPr>
        <w:t xml:space="preserve"> univerzit </w:t>
      </w:r>
      <w:r w:rsidR="005B000D">
        <w:rPr>
          <w:b/>
        </w:rPr>
        <w:t xml:space="preserve">navíc </w:t>
      </w:r>
      <w:r w:rsidR="005B000D" w:rsidRPr="009F64B4">
        <w:rPr>
          <w:b/>
        </w:rPr>
        <w:t>nebyla</w:t>
      </w:r>
      <w:r w:rsidR="005B000D">
        <w:rPr>
          <w:b/>
        </w:rPr>
        <w:t xml:space="preserve"> dokončena</w:t>
      </w:r>
      <w:r w:rsidR="005B000D" w:rsidRPr="009F64B4">
        <w:rPr>
          <w:b/>
        </w:rPr>
        <w:t>.</w:t>
      </w:r>
      <w:r w:rsidR="00E745AC">
        <w:rPr>
          <w:b/>
        </w:rPr>
        <w:t xml:space="preserve"> NKÚ v rámci </w:t>
      </w:r>
      <w:r>
        <w:rPr>
          <w:b/>
        </w:rPr>
        <w:t>kontroly zjistil také poru</w:t>
      </w:r>
      <w:r w:rsidR="003A034B">
        <w:rPr>
          <w:b/>
        </w:rPr>
        <w:t xml:space="preserve">šení právních předpisů, a to </w:t>
      </w:r>
      <w:r w:rsidR="004A6356">
        <w:rPr>
          <w:b/>
        </w:rPr>
        <w:t>u</w:t>
      </w:r>
      <w:r w:rsidR="00E745AC">
        <w:rPr>
          <w:b/>
        </w:rPr>
        <w:t xml:space="preserve"> </w:t>
      </w:r>
      <w:proofErr w:type="spellStart"/>
      <w:r>
        <w:rPr>
          <w:b/>
        </w:rPr>
        <w:t>MZd</w:t>
      </w:r>
      <w:proofErr w:type="spellEnd"/>
      <w:r>
        <w:rPr>
          <w:b/>
        </w:rPr>
        <w:t>, u</w:t>
      </w:r>
      <w:r w:rsidR="004A6356">
        <w:rPr>
          <w:b/>
        </w:rPr>
        <w:t> </w:t>
      </w:r>
      <w:r>
        <w:rPr>
          <w:b/>
        </w:rPr>
        <w:t>příjemců dotací na</w:t>
      </w:r>
      <w:r w:rsidR="00E745AC">
        <w:rPr>
          <w:b/>
        </w:rPr>
        <w:t xml:space="preserve"> </w:t>
      </w:r>
      <w:r>
        <w:rPr>
          <w:b/>
        </w:rPr>
        <w:t>spolufinancování školicích míst i u IPVZ a NCONZO.</w:t>
      </w:r>
    </w:p>
    <w:p w14:paraId="1A682F17" w14:textId="77777777" w:rsidR="00C116E6" w:rsidRDefault="00C116E6" w:rsidP="00C52E7E">
      <w:pPr>
        <w:widowControl/>
      </w:pPr>
    </w:p>
    <w:p w14:paraId="34930805" w14:textId="502F180A" w:rsidR="00EF74B7" w:rsidRDefault="0084275B" w:rsidP="00C52E7E">
      <w:pPr>
        <w:pStyle w:val="Nadpisshrnut"/>
        <w:widowControl/>
      </w:pPr>
      <w:proofErr w:type="spellStart"/>
      <w:r>
        <w:t>MZd</w:t>
      </w:r>
      <w:proofErr w:type="spellEnd"/>
      <w:r>
        <w:t xml:space="preserve"> nevyhodnocovalo s</w:t>
      </w:r>
      <w:r w:rsidR="00EF74B7">
        <w:t>ystém specializačního vzděláv</w:t>
      </w:r>
      <w:r w:rsidR="00216893">
        <w:t>ání pracovníků ve zdravotnictví</w:t>
      </w:r>
      <w:r w:rsidR="00EF74B7">
        <w:t xml:space="preserve"> </w:t>
      </w:r>
    </w:p>
    <w:p w14:paraId="0609CDA0" w14:textId="0F6892E0" w:rsidR="00877877" w:rsidRDefault="00877877" w:rsidP="00C52E7E">
      <w:pPr>
        <w:widowControl/>
      </w:pPr>
      <w:proofErr w:type="spellStart"/>
      <w:r w:rsidRPr="00491D55">
        <w:t>MZd</w:t>
      </w:r>
      <w:proofErr w:type="spellEnd"/>
      <w:r w:rsidRPr="00491D55">
        <w:t xml:space="preserve"> </w:t>
      </w:r>
      <w:r>
        <w:t>jako ústřední orgán státní správy zodpovědný za oblast zdravotnictví, do níž mj. spadá další vzdělávání zdravotnických profesionálů, v</w:t>
      </w:r>
      <w:r w:rsidRPr="00491D55">
        <w:t> k</w:t>
      </w:r>
      <w:r>
        <w:t>ontrolovaném období let 2015 až</w:t>
      </w:r>
      <w:r w:rsidR="00E745AC">
        <w:t xml:space="preserve"> </w:t>
      </w:r>
      <w:r w:rsidRPr="00491D55">
        <w:t xml:space="preserve">2018 neprovádělo vyhodnocování </w:t>
      </w:r>
      <w:r>
        <w:t>nastavení a</w:t>
      </w:r>
      <w:r w:rsidR="00E745AC">
        <w:t xml:space="preserve"> </w:t>
      </w:r>
      <w:r w:rsidRPr="00491D55">
        <w:t>fungování systému</w:t>
      </w:r>
      <w:r>
        <w:t xml:space="preserve"> specializačního vzdělávání pracovníků ve zdravotnictví</w:t>
      </w:r>
      <w:r w:rsidR="00EA339D">
        <w:t>. Nezkoumalo</w:t>
      </w:r>
      <w:r>
        <w:t xml:space="preserve"> jeho efektivnost, hospodárnost, dosahované výsledky po zapojení univerzit atp., přes</w:t>
      </w:r>
      <w:r w:rsidR="00810776">
        <w:t>tože</w:t>
      </w:r>
      <w:r w:rsidR="00E745AC">
        <w:t xml:space="preserve"> </w:t>
      </w:r>
      <w:r>
        <w:t>na</w:t>
      </w:r>
      <w:r w:rsidR="00E745AC">
        <w:t xml:space="preserve"> </w:t>
      </w:r>
      <w:r>
        <w:t>jeho podporu ročně vynakládalo stovky milionů korun.</w:t>
      </w:r>
    </w:p>
    <w:p w14:paraId="3D939952" w14:textId="77777777" w:rsidR="00EF74B7" w:rsidRDefault="00EF74B7" w:rsidP="00C52E7E">
      <w:pPr>
        <w:widowControl/>
      </w:pPr>
    </w:p>
    <w:p w14:paraId="626DA8D1" w14:textId="72F7B23D" w:rsidR="007D51F9" w:rsidRDefault="007D51F9" w:rsidP="00C52E7E">
      <w:pPr>
        <w:pStyle w:val="Nadpisshrnut"/>
        <w:widowControl/>
      </w:pPr>
      <w:r>
        <w:t>Nastavený systém administrace dotací</w:t>
      </w:r>
      <w:r w:rsidR="00DB2687">
        <w:t xml:space="preserve"> s </w:t>
      </w:r>
      <w:r>
        <w:t xml:space="preserve">nedostatečně vymezenými kompetencemi umožňoval chyby. </w:t>
      </w:r>
      <w:r w:rsidR="00DB2687">
        <w:t>Rozhodování o přidělení dotací bylo netransparentní</w:t>
      </w:r>
    </w:p>
    <w:p w14:paraId="23F24573" w14:textId="54D71F1F" w:rsidR="002A30CF" w:rsidRDefault="002A30CF" w:rsidP="00C52E7E">
      <w:pPr>
        <w:widowControl/>
      </w:pPr>
      <w:proofErr w:type="spellStart"/>
      <w:r w:rsidRPr="00DB5937">
        <w:rPr>
          <w:b/>
        </w:rPr>
        <w:t>MZd</w:t>
      </w:r>
      <w:proofErr w:type="spellEnd"/>
      <w:r w:rsidRPr="00DB5937">
        <w:rPr>
          <w:b/>
        </w:rPr>
        <w:t xml:space="preserve"> </w:t>
      </w:r>
      <w:r w:rsidR="0077725D" w:rsidRPr="00DB5937">
        <w:t>v</w:t>
      </w:r>
      <w:r w:rsidR="00BC41AF" w:rsidRPr="00DB5937">
        <w:t> metodikách</w:t>
      </w:r>
      <w:r w:rsidR="0001797C" w:rsidRPr="00DB5937">
        <w:t xml:space="preserve"> dota</w:t>
      </w:r>
      <w:r w:rsidR="00BC41AF" w:rsidRPr="00DB5937">
        <w:t>čního řízení</w:t>
      </w:r>
      <w:r w:rsidR="0001797C" w:rsidRPr="00DB5937">
        <w:t xml:space="preserve"> na spolufinancování specializačního vzdělávání </w:t>
      </w:r>
      <w:r w:rsidR="00AF644A" w:rsidRPr="00DB5937">
        <w:t>stanovilo</w:t>
      </w:r>
      <w:r w:rsidR="003A5D59" w:rsidRPr="00DB5937">
        <w:t xml:space="preserve"> podmínky a postup pro žadatele o dotace a </w:t>
      </w:r>
      <w:r w:rsidR="00AF644A" w:rsidRPr="00DB5937">
        <w:t>určilo</w:t>
      </w:r>
      <w:r w:rsidR="003A5D59" w:rsidRPr="00DB5937">
        <w:t xml:space="preserve"> administrátora (IPVZ)</w:t>
      </w:r>
      <w:r w:rsidR="00B2287B" w:rsidRPr="00DB5937">
        <w:t xml:space="preserve">. V žádném dokumentu však </w:t>
      </w:r>
      <w:r w:rsidR="00810776" w:rsidRPr="00DB5937">
        <w:rPr>
          <w:b/>
        </w:rPr>
        <w:t xml:space="preserve">nevymezilo </w:t>
      </w:r>
      <w:r w:rsidRPr="000B6982">
        <w:rPr>
          <w:b/>
        </w:rPr>
        <w:t>jednoznačně</w:t>
      </w:r>
      <w:r w:rsidR="00FD7BF0" w:rsidRPr="00DB5937">
        <w:rPr>
          <w:b/>
        </w:rPr>
        <w:t xml:space="preserve"> povinnosti a</w:t>
      </w:r>
      <w:r w:rsidR="001610F7">
        <w:rPr>
          <w:b/>
        </w:rPr>
        <w:t xml:space="preserve"> </w:t>
      </w:r>
      <w:r w:rsidR="0001797C" w:rsidRPr="00DB5937">
        <w:rPr>
          <w:b/>
        </w:rPr>
        <w:t>odpovědnost</w:t>
      </w:r>
      <w:r w:rsidR="00B2287B" w:rsidRPr="00DB5937">
        <w:rPr>
          <w:b/>
        </w:rPr>
        <w:t xml:space="preserve"> administrátora</w:t>
      </w:r>
      <w:r w:rsidR="0001797C" w:rsidRPr="00DB5937">
        <w:rPr>
          <w:b/>
        </w:rPr>
        <w:t xml:space="preserve"> za</w:t>
      </w:r>
      <w:r w:rsidR="001610F7">
        <w:rPr>
          <w:b/>
        </w:rPr>
        <w:t xml:space="preserve"> </w:t>
      </w:r>
      <w:r w:rsidRPr="00DB5937">
        <w:rPr>
          <w:b/>
        </w:rPr>
        <w:t>prováděné činnosti</w:t>
      </w:r>
      <w:r w:rsidR="0077725D" w:rsidRPr="00DB5937">
        <w:rPr>
          <w:b/>
        </w:rPr>
        <w:t xml:space="preserve">, </w:t>
      </w:r>
      <w:r w:rsidR="0077725D" w:rsidRPr="00DB5937">
        <w:t>zejména pak za kontrolu věcné správnosti dokladů předkládaných příjemci dotací</w:t>
      </w:r>
      <w:r w:rsidR="009C59B6" w:rsidRPr="00DB5937">
        <w:t xml:space="preserve">. </w:t>
      </w:r>
      <w:r w:rsidR="00B2287B" w:rsidRPr="00DB5937">
        <w:t>V</w:t>
      </w:r>
      <w:r w:rsidR="009C59B6" w:rsidRPr="00DB5937">
        <w:t> </w:t>
      </w:r>
      <w:r w:rsidR="00DB2687" w:rsidRPr="00DB5937">
        <w:t xml:space="preserve">administraci a samotném rozhodování </w:t>
      </w:r>
      <w:proofErr w:type="spellStart"/>
      <w:r w:rsidR="00810776" w:rsidRPr="00DB5937">
        <w:t>MZd</w:t>
      </w:r>
      <w:proofErr w:type="spellEnd"/>
      <w:r w:rsidR="00810776">
        <w:t xml:space="preserve"> </w:t>
      </w:r>
      <w:r w:rsidR="00DB2687" w:rsidRPr="00DB5937">
        <w:t xml:space="preserve">o poskytnutí dotací </w:t>
      </w:r>
      <w:r w:rsidR="00DB2687">
        <w:t>byly</w:t>
      </w:r>
      <w:r w:rsidR="00FD7BF0">
        <w:t xml:space="preserve"> navíc</w:t>
      </w:r>
      <w:r w:rsidR="00DB2687">
        <w:t xml:space="preserve"> </w:t>
      </w:r>
      <w:r w:rsidR="00DB2687" w:rsidRPr="00C20539">
        <w:rPr>
          <w:b/>
        </w:rPr>
        <w:t xml:space="preserve">zjištěny nedostatky, které měly vliv </w:t>
      </w:r>
      <w:r w:rsidR="00F218FA">
        <w:rPr>
          <w:b/>
        </w:rPr>
        <w:t xml:space="preserve">na </w:t>
      </w:r>
      <w:r w:rsidR="00DB2687" w:rsidRPr="00C20539">
        <w:rPr>
          <w:b/>
        </w:rPr>
        <w:t>transparentnost celého procesu a rovný přístup</w:t>
      </w:r>
      <w:r w:rsidR="00F218FA">
        <w:t xml:space="preserve"> ke</w:t>
      </w:r>
      <w:r w:rsidR="00E745AC">
        <w:t xml:space="preserve"> </w:t>
      </w:r>
      <w:r w:rsidR="00DB2687">
        <w:t>všem žadatelům, resp. příjemcům dotací.</w:t>
      </w:r>
    </w:p>
    <w:p w14:paraId="6890BE75" w14:textId="77777777" w:rsidR="00810776" w:rsidRDefault="00810776" w:rsidP="00C52E7E">
      <w:pPr>
        <w:widowControl/>
      </w:pPr>
    </w:p>
    <w:p w14:paraId="7B5C83F5" w14:textId="4696D262" w:rsidR="00FD7BF0" w:rsidRDefault="00FD7BF0" w:rsidP="00C52E7E">
      <w:pPr>
        <w:widowControl/>
      </w:pPr>
      <w:proofErr w:type="spellStart"/>
      <w:r w:rsidRPr="00FD7BF0">
        <w:t>MZd</w:t>
      </w:r>
      <w:proofErr w:type="spellEnd"/>
      <w:r w:rsidRPr="00FD7BF0">
        <w:t xml:space="preserve"> stanovovalo </w:t>
      </w:r>
      <w:r w:rsidR="00472A97" w:rsidRPr="00924392">
        <w:t>výš</w:t>
      </w:r>
      <w:r w:rsidR="00810776">
        <w:t>i</w:t>
      </w:r>
      <w:r w:rsidR="00472A97" w:rsidRPr="00924392">
        <w:t xml:space="preserve"> dotace na jedno</w:t>
      </w:r>
      <w:r w:rsidR="00924392" w:rsidRPr="00924392">
        <w:t xml:space="preserve"> </w:t>
      </w:r>
      <w:r w:rsidR="00472A97" w:rsidRPr="00924392">
        <w:t>škol</w:t>
      </w:r>
      <w:r w:rsidR="00924392" w:rsidRPr="00924392">
        <w:t>icí místo</w:t>
      </w:r>
      <w:r w:rsidR="00472A97" w:rsidRPr="00924392">
        <w:t xml:space="preserve"> v</w:t>
      </w:r>
      <w:r w:rsidR="001610F7">
        <w:t> </w:t>
      </w:r>
      <w:r w:rsidR="00472A97" w:rsidRPr="00924392">
        <w:t>konkrétním</w:t>
      </w:r>
      <w:r w:rsidR="001610F7">
        <w:t xml:space="preserve"> </w:t>
      </w:r>
      <w:r w:rsidR="00472A97" w:rsidRPr="00924392">
        <w:t>oboru</w:t>
      </w:r>
      <w:r w:rsidR="00472A97">
        <w:t xml:space="preserve"> </w:t>
      </w:r>
      <w:r w:rsidRPr="00FD7BF0">
        <w:t>specializačního vzdělávání lékařských a</w:t>
      </w:r>
      <w:r w:rsidR="001610F7">
        <w:t xml:space="preserve"> </w:t>
      </w:r>
      <w:r w:rsidRPr="00FD7BF0">
        <w:t>nelékař</w:t>
      </w:r>
      <w:r w:rsidR="00472A97">
        <w:t>ských pracovníků bez předchozí</w:t>
      </w:r>
      <w:r w:rsidRPr="00FD7BF0">
        <w:t xml:space="preserve"> analýz</w:t>
      </w:r>
      <w:r w:rsidR="00472A97">
        <w:t>y</w:t>
      </w:r>
      <w:r w:rsidRPr="00FD7BF0">
        <w:t xml:space="preserve"> jeho </w:t>
      </w:r>
      <w:r w:rsidR="00472A97">
        <w:t xml:space="preserve">reálné </w:t>
      </w:r>
      <w:r w:rsidRPr="00FD7BF0">
        <w:t>ekonomické náročnosti</w:t>
      </w:r>
      <w:r w:rsidR="00822E25">
        <w:t xml:space="preserve"> </w:t>
      </w:r>
      <w:r w:rsidR="00822E25" w:rsidRPr="00DB5937">
        <w:t>a neposuzovalo tak hospodárnost výdajů ve své kapitole</w:t>
      </w:r>
      <w:r>
        <w:t>.</w:t>
      </w:r>
    </w:p>
    <w:p w14:paraId="42AAF8CC" w14:textId="26931B5B" w:rsidR="007D51F9" w:rsidRDefault="002A269A" w:rsidP="00C52E7E">
      <w:pPr>
        <w:pStyle w:val="Nadpisshrnut"/>
        <w:widowControl/>
      </w:pPr>
      <w:r>
        <w:t>Zdravotnická zařízení chybovala při použití dotací na specializační vzdělávání</w:t>
      </w:r>
    </w:p>
    <w:p w14:paraId="34177F61" w14:textId="7BB79A94" w:rsidR="00536A2C" w:rsidRDefault="00C20539" w:rsidP="00C52E7E">
      <w:pPr>
        <w:widowControl/>
      </w:pPr>
      <w:r w:rsidRPr="00084E35">
        <w:t>K</w:t>
      </w:r>
      <w:r w:rsidR="00536A2C" w:rsidRPr="00084E35">
        <w:t xml:space="preserve">ontrolovaní příjemci podpory </w:t>
      </w:r>
      <w:r w:rsidR="00810776" w:rsidRPr="00084E35">
        <w:t xml:space="preserve">se </w:t>
      </w:r>
      <w:r w:rsidR="00536A2C" w:rsidRPr="00084E35">
        <w:t xml:space="preserve">v rámci praktické části </w:t>
      </w:r>
      <w:r w:rsidRPr="00084E35">
        <w:t>specializačního</w:t>
      </w:r>
      <w:r w:rsidR="00536A2C" w:rsidRPr="00084E35">
        <w:t xml:space="preserve"> vzdělávání dopustili řady pochybení</w:t>
      </w:r>
      <w:r w:rsidR="009735CE">
        <w:t xml:space="preserve">. U lékařských i nelékařských programů zjištěná porušení </w:t>
      </w:r>
      <w:r w:rsidR="009735CE" w:rsidRPr="00DB5937">
        <w:t>závazných metodik pro poskytování dotací</w:t>
      </w:r>
      <w:r w:rsidR="009735CE">
        <w:t xml:space="preserve"> spočívala</w:t>
      </w:r>
      <w:r w:rsidR="00567757">
        <w:t xml:space="preserve"> např.</w:t>
      </w:r>
      <w:r w:rsidR="00536A2C" w:rsidRPr="00536A2C">
        <w:t>:</w:t>
      </w:r>
    </w:p>
    <w:p w14:paraId="047E7AD8" w14:textId="77777777" w:rsidR="00620444" w:rsidRPr="00620444" w:rsidRDefault="00620444" w:rsidP="00C52E7E">
      <w:pPr>
        <w:pStyle w:val="Odstavecseseznamem"/>
        <w:numPr>
          <w:ilvl w:val="0"/>
          <w:numId w:val="8"/>
        </w:numPr>
        <w:ind w:left="357" w:hanging="357"/>
        <w:rPr>
          <w:rFonts w:asciiTheme="minorHAnsi" w:hAnsiTheme="minorHAnsi" w:cs="Arial"/>
          <w:szCs w:val="24"/>
          <w:lang w:eastAsia="cs-CZ"/>
        </w:rPr>
      </w:pPr>
      <w:r w:rsidRPr="00620444">
        <w:rPr>
          <w:rFonts w:asciiTheme="minorHAnsi" w:hAnsiTheme="minorHAnsi" w:cs="Arial"/>
          <w:szCs w:val="24"/>
          <w:lang w:eastAsia="cs-CZ"/>
        </w:rPr>
        <w:t>v chybějících povinných součást</w:t>
      </w:r>
      <w:r w:rsidR="00536A2C">
        <w:rPr>
          <w:rFonts w:asciiTheme="minorHAnsi" w:hAnsiTheme="minorHAnsi" w:cs="Arial"/>
          <w:szCs w:val="24"/>
          <w:lang w:eastAsia="cs-CZ"/>
        </w:rPr>
        <w:t>ech žádostí o poskytnutí dotace;</w:t>
      </w:r>
    </w:p>
    <w:p w14:paraId="15D28AFB" w14:textId="77777777" w:rsidR="0001797C" w:rsidRDefault="0001797C" w:rsidP="00C52E7E">
      <w:pPr>
        <w:pStyle w:val="Odstavecseseznamem"/>
        <w:numPr>
          <w:ilvl w:val="0"/>
          <w:numId w:val="8"/>
        </w:numPr>
        <w:spacing w:before="120"/>
        <w:ind w:left="360" w:hanging="360"/>
        <w:rPr>
          <w:rFonts w:asciiTheme="minorHAnsi" w:hAnsiTheme="minorHAnsi" w:cs="Arial"/>
          <w:szCs w:val="24"/>
          <w:lang w:eastAsia="cs-CZ"/>
        </w:rPr>
      </w:pPr>
      <w:r>
        <w:rPr>
          <w:rFonts w:asciiTheme="minorHAnsi" w:hAnsiTheme="minorHAnsi" w:cs="Arial"/>
          <w:szCs w:val="24"/>
          <w:lang w:eastAsia="cs-CZ"/>
        </w:rPr>
        <w:t>v</w:t>
      </w:r>
      <w:r w:rsidRPr="0001797C">
        <w:rPr>
          <w:rFonts w:asciiTheme="minorHAnsi" w:hAnsiTheme="minorHAnsi" w:cs="Arial"/>
          <w:szCs w:val="24"/>
          <w:lang w:eastAsia="cs-CZ"/>
        </w:rPr>
        <w:t xml:space="preserve"> </w:t>
      </w:r>
      <w:r w:rsidRPr="00620444">
        <w:rPr>
          <w:rFonts w:asciiTheme="minorHAnsi" w:hAnsiTheme="minorHAnsi" w:cs="Arial"/>
          <w:szCs w:val="24"/>
          <w:lang w:eastAsia="cs-CZ"/>
        </w:rPr>
        <w:t xml:space="preserve">chybách </w:t>
      </w:r>
      <w:r>
        <w:rPr>
          <w:rFonts w:asciiTheme="minorHAnsi" w:hAnsiTheme="minorHAnsi" w:cs="Arial"/>
          <w:szCs w:val="24"/>
          <w:lang w:eastAsia="cs-CZ"/>
        </w:rPr>
        <w:t>při zpracování finančních plánů;</w:t>
      </w:r>
    </w:p>
    <w:p w14:paraId="492A7B94" w14:textId="77777777" w:rsidR="00620444" w:rsidRPr="00620444" w:rsidRDefault="0001797C" w:rsidP="00C52E7E">
      <w:pPr>
        <w:pStyle w:val="Odstavecseseznamem"/>
        <w:numPr>
          <w:ilvl w:val="0"/>
          <w:numId w:val="8"/>
        </w:numPr>
        <w:spacing w:before="120"/>
        <w:ind w:left="360" w:hanging="360"/>
        <w:rPr>
          <w:rFonts w:asciiTheme="minorHAnsi" w:hAnsiTheme="minorHAnsi" w:cs="Arial"/>
          <w:szCs w:val="24"/>
          <w:lang w:eastAsia="cs-CZ"/>
        </w:rPr>
      </w:pPr>
      <w:r>
        <w:rPr>
          <w:rFonts w:asciiTheme="minorHAnsi" w:hAnsiTheme="minorHAnsi" w:cs="Arial"/>
          <w:szCs w:val="24"/>
          <w:lang w:eastAsia="cs-CZ"/>
        </w:rPr>
        <w:t>v neoznamování</w:t>
      </w:r>
      <w:r w:rsidR="00620444" w:rsidRPr="00620444">
        <w:rPr>
          <w:rFonts w:asciiTheme="minorHAnsi" w:hAnsiTheme="minorHAnsi" w:cs="Arial"/>
          <w:szCs w:val="24"/>
          <w:lang w:eastAsia="cs-CZ"/>
        </w:rPr>
        <w:t xml:space="preserve"> změn nebo nedodržování stanovených lhůt pro jejich nah</w:t>
      </w:r>
      <w:r w:rsidR="00536A2C">
        <w:rPr>
          <w:rFonts w:asciiTheme="minorHAnsi" w:hAnsiTheme="minorHAnsi" w:cs="Arial"/>
          <w:szCs w:val="24"/>
          <w:lang w:eastAsia="cs-CZ"/>
        </w:rPr>
        <w:t>lášení;</w:t>
      </w:r>
    </w:p>
    <w:p w14:paraId="120ED693" w14:textId="20A3FD1A" w:rsidR="00554C7E" w:rsidRDefault="00620444" w:rsidP="00C52E7E">
      <w:pPr>
        <w:pStyle w:val="Odstavecseseznamem"/>
        <w:numPr>
          <w:ilvl w:val="0"/>
          <w:numId w:val="8"/>
        </w:numPr>
        <w:spacing w:before="120"/>
        <w:ind w:left="360" w:hanging="360"/>
        <w:rPr>
          <w:rFonts w:asciiTheme="minorHAnsi" w:hAnsiTheme="minorHAnsi" w:cs="Arial"/>
          <w:szCs w:val="24"/>
          <w:lang w:eastAsia="cs-CZ"/>
        </w:rPr>
      </w:pPr>
      <w:r w:rsidRPr="00620444">
        <w:rPr>
          <w:rFonts w:asciiTheme="minorHAnsi" w:hAnsiTheme="minorHAnsi" w:cs="Arial"/>
          <w:szCs w:val="24"/>
          <w:lang w:eastAsia="cs-CZ"/>
        </w:rPr>
        <w:t>v nesprávně vyhotovených kontrolních zprávách</w:t>
      </w:r>
      <w:r w:rsidR="00554C7E">
        <w:rPr>
          <w:rFonts w:asciiTheme="minorHAnsi" w:hAnsiTheme="minorHAnsi" w:cs="Arial"/>
          <w:szCs w:val="24"/>
          <w:lang w:eastAsia="cs-CZ"/>
        </w:rPr>
        <w:t>.</w:t>
      </w:r>
    </w:p>
    <w:p w14:paraId="48F1144A" w14:textId="77777777" w:rsidR="00810776" w:rsidRDefault="00810776" w:rsidP="00C52E7E">
      <w:pPr>
        <w:widowControl/>
      </w:pPr>
    </w:p>
    <w:p w14:paraId="21CAC58A" w14:textId="4CEC559F" w:rsidR="00084E35" w:rsidRDefault="009735CE" w:rsidP="00C52E7E">
      <w:pPr>
        <w:widowControl/>
      </w:pPr>
      <w:r w:rsidRPr="00DB5937">
        <w:t>Příjemci také nedodržovali právní předpisy</w:t>
      </w:r>
      <w:r w:rsidR="000F5846" w:rsidRPr="00DB5937">
        <w:rPr>
          <w:rStyle w:val="Znakapoznpodarou"/>
        </w:rPr>
        <w:footnoteReference w:id="2"/>
      </w:r>
      <w:r w:rsidRPr="00DB5937">
        <w:t xml:space="preserve"> v oblasti výběrových řízení na místa školenců </w:t>
      </w:r>
      <w:r w:rsidR="003C003C">
        <w:br/>
      </w:r>
      <w:r w:rsidRPr="00DB5937">
        <w:t>a</w:t>
      </w:r>
      <w:r w:rsidR="003C003C">
        <w:t xml:space="preserve"> </w:t>
      </w:r>
      <w:r w:rsidR="00536A2C" w:rsidRPr="00DB5937">
        <w:rPr>
          <w:b/>
        </w:rPr>
        <w:t>v</w:t>
      </w:r>
      <w:r w:rsidR="003C003C">
        <w:rPr>
          <w:b/>
        </w:rPr>
        <w:t xml:space="preserve"> </w:t>
      </w:r>
      <w:r w:rsidR="00536A2C" w:rsidRPr="00554C7E">
        <w:rPr>
          <w:b/>
        </w:rPr>
        <w:t>několika případech čerpali dotaci na úhra</w:t>
      </w:r>
      <w:r w:rsidR="009650F1" w:rsidRPr="00554C7E">
        <w:rPr>
          <w:b/>
        </w:rPr>
        <w:t>du nákladů</w:t>
      </w:r>
      <w:r w:rsidR="00084E35" w:rsidRPr="00554C7E">
        <w:rPr>
          <w:b/>
        </w:rPr>
        <w:t xml:space="preserve"> </w:t>
      </w:r>
      <w:r w:rsidR="009650F1" w:rsidRPr="00554C7E">
        <w:rPr>
          <w:b/>
        </w:rPr>
        <w:t>v </w:t>
      </w:r>
      <w:r w:rsidR="00084E35" w:rsidRPr="00554C7E">
        <w:rPr>
          <w:b/>
        </w:rPr>
        <w:t>rozporu s </w:t>
      </w:r>
      <w:r w:rsidR="007B7B34">
        <w:rPr>
          <w:b/>
        </w:rPr>
        <w:t xml:space="preserve">rozhodnutím </w:t>
      </w:r>
      <w:r w:rsidR="003C003C">
        <w:rPr>
          <w:b/>
        </w:rPr>
        <w:br/>
      </w:r>
      <w:r w:rsidR="007B7B34">
        <w:rPr>
          <w:b/>
        </w:rPr>
        <w:t>o</w:t>
      </w:r>
      <w:r w:rsidR="003C003C">
        <w:rPr>
          <w:b/>
        </w:rPr>
        <w:t xml:space="preserve"> </w:t>
      </w:r>
      <w:r w:rsidR="00536A2C" w:rsidRPr="00554C7E">
        <w:rPr>
          <w:b/>
        </w:rPr>
        <w:t>poskytnutí dotace</w:t>
      </w:r>
      <w:r w:rsidR="00536A2C" w:rsidRPr="000E273C">
        <w:rPr>
          <w:b/>
        </w:rPr>
        <w:t>.</w:t>
      </w:r>
      <w:r w:rsidR="00084E35">
        <w:t xml:space="preserve"> Jeden z příjemců pak více než 3 měsíce </w:t>
      </w:r>
      <w:r w:rsidR="00423644">
        <w:t xml:space="preserve">vzdělával lékaře </w:t>
      </w:r>
      <w:r w:rsidR="00536A2C">
        <w:t>v</w:t>
      </w:r>
      <w:r w:rsidR="00084E35">
        <w:t> </w:t>
      </w:r>
      <w:r w:rsidR="00536A2C">
        <w:t>oboru</w:t>
      </w:r>
      <w:r w:rsidR="00084E35">
        <w:t>,</w:t>
      </w:r>
      <w:r w:rsidR="007B7B34">
        <w:t xml:space="preserve"> pro</w:t>
      </w:r>
      <w:r w:rsidR="001610F7">
        <w:t xml:space="preserve"> </w:t>
      </w:r>
      <w:r w:rsidR="00084E35">
        <w:t xml:space="preserve">který </w:t>
      </w:r>
      <w:r w:rsidR="00536A2C">
        <w:t>neměl</w:t>
      </w:r>
      <w:r w:rsidR="00084E35">
        <w:t xml:space="preserve"> platnou akreditaci.</w:t>
      </w:r>
    </w:p>
    <w:p w14:paraId="04EFC84D" w14:textId="77777777" w:rsidR="00810776" w:rsidRDefault="00810776" w:rsidP="00C52E7E">
      <w:pPr>
        <w:widowControl/>
      </w:pPr>
    </w:p>
    <w:p w14:paraId="36B90A89" w14:textId="5EEE6621" w:rsidR="000F5846" w:rsidRPr="00554C7E" w:rsidRDefault="000F5846" w:rsidP="00C52E7E">
      <w:pPr>
        <w:widowControl/>
        <w:rPr>
          <w:rFonts w:asciiTheme="minorHAnsi" w:hAnsiTheme="minorHAnsi"/>
          <w:szCs w:val="24"/>
        </w:rPr>
      </w:pPr>
      <w:r>
        <w:rPr>
          <w:rFonts w:cs="Calibri"/>
          <w:szCs w:val="24"/>
        </w:rPr>
        <w:t>Na</w:t>
      </w:r>
      <w:r w:rsidRPr="00412600">
        <w:rPr>
          <w:rFonts w:cs="Calibri"/>
          <w:szCs w:val="24"/>
        </w:rPr>
        <w:t xml:space="preserve"> základě zjištěných skutečností</w:t>
      </w:r>
      <w:r>
        <w:rPr>
          <w:rFonts w:cs="Calibri"/>
          <w:szCs w:val="24"/>
        </w:rPr>
        <w:t xml:space="preserve"> </w:t>
      </w:r>
      <w:r w:rsidRPr="00412600">
        <w:rPr>
          <w:rFonts w:cs="Calibri"/>
          <w:szCs w:val="24"/>
        </w:rPr>
        <w:t xml:space="preserve">podal </w:t>
      </w:r>
      <w:r w:rsidR="00810776">
        <w:rPr>
          <w:rFonts w:cs="Calibri"/>
          <w:szCs w:val="24"/>
        </w:rPr>
        <w:t>NKÚ</w:t>
      </w:r>
      <w:r w:rsidR="00810776" w:rsidRPr="00412600">
        <w:rPr>
          <w:rFonts w:cs="Calibri"/>
          <w:szCs w:val="24"/>
        </w:rPr>
        <w:t xml:space="preserve"> </w:t>
      </w:r>
      <w:r w:rsidRPr="00412600">
        <w:rPr>
          <w:rFonts w:cs="Calibri"/>
          <w:szCs w:val="24"/>
        </w:rPr>
        <w:t>správci daně oznámení</w:t>
      </w:r>
      <w:r>
        <w:rPr>
          <w:rFonts w:cs="Calibri"/>
          <w:szCs w:val="24"/>
        </w:rPr>
        <w:t xml:space="preserve"> o</w:t>
      </w:r>
      <w:r w:rsidRPr="00412600">
        <w:rPr>
          <w:rFonts w:cs="Calibri"/>
          <w:szCs w:val="24"/>
        </w:rPr>
        <w:t xml:space="preserve"> porušení rozpočtové kázně</w:t>
      </w:r>
      <w:r w:rsidR="007B7B34">
        <w:rPr>
          <w:rStyle w:val="Znakapoznpodarou"/>
          <w:szCs w:val="24"/>
        </w:rPr>
        <w:footnoteReference w:id="3"/>
      </w:r>
      <w:r w:rsidRPr="00412600">
        <w:rPr>
          <w:rFonts w:cs="Calibri"/>
          <w:szCs w:val="24"/>
        </w:rPr>
        <w:t xml:space="preserve"> v celkové výši </w:t>
      </w:r>
      <w:r w:rsidRPr="004B04E7">
        <w:rPr>
          <w:rFonts w:cs="Calibri"/>
          <w:szCs w:val="24"/>
        </w:rPr>
        <w:t>593 877</w:t>
      </w:r>
      <w:r w:rsidRPr="00412600">
        <w:rPr>
          <w:rFonts w:cs="Calibri"/>
          <w:szCs w:val="24"/>
        </w:rPr>
        <w:t xml:space="preserve"> Kč.</w:t>
      </w:r>
    </w:p>
    <w:p w14:paraId="7B0914B3" w14:textId="77777777" w:rsidR="007D51F9" w:rsidRDefault="007D51F9" w:rsidP="00C52E7E">
      <w:pPr>
        <w:widowControl/>
      </w:pPr>
    </w:p>
    <w:p w14:paraId="266C0181" w14:textId="0770835D" w:rsidR="00717713" w:rsidRDefault="00717713" w:rsidP="00C52E7E">
      <w:pPr>
        <w:pStyle w:val="Nadpisshrnut"/>
        <w:widowControl/>
      </w:pPr>
      <w:r>
        <w:t xml:space="preserve">Systém specializačního vzdělávání lékařů je </w:t>
      </w:r>
      <w:r w:rsidRPr="001857FE">
        <w:t>roztříštěný</w:t>
      </w:r>
      <w:r>
        <w:t xml:space="preserve"> </w:t>
      </w:r>
    </w:p>
    <w:p w14:paraId="188269B0" w14:textId="0D5A973F" w:rsidR="00717713" w:rsidRDefault="00717713" w:rsidP="00C52E7E">
      <w:pPr>
        <w:widowControl/>
      </w:pPr>
      <w:r w:rsidRPr="00531E8D">
        <w:t>V rámci systému specializačního vzdělávání lékařů působí celá řada subjektů. Transformace</w:t>
      </w:r>
      <w:r w:rsidRPr="00E80E40">
        <w:t xml:space="preserve"> systému specializačního vzdělávání </w:t>
      </w:r>
      <w:r w:rsidRPr="000B20D3">
        <w:rPr>
          <w:shd w:val="clear" w:color="auto" w:fill="FFFFFF" w:themeFill="background1"/>
        </w:rPr>
        <w:t>lékařů</w:t>
      </w:r>
      <w:r w:rsidR="003B110A">
        <w:t xml:space="preserve"> </w:t>
      </w:r>
      <w:r w:rsidR="003B110A" w:rsidRPr="00DB5937">
        <w:t>započatá v roce 2011 zapojením univerzit</w:t>
      </w:r>
      <w:r w:rsidR="003B110A">
        <w:t xml:space="preserve"> </w:t>
      </w:r>
      <w:r>
        <w:t>nebyla</w:t>
      </w:r>
      <w:r w:rsidRPr="00E80E40">
        <w:t xml:space="preserve"> dle</w:t>
      </w:r>
      <w:r w:rsidR="00E745AC">
        <w:t xml:space="preserve"> </w:t>
      </w:r>
      <w:r w:rsidRPr="00E80E40">
        <w:t xml:space="preserve">názoru NKÚ </w:t>
      </w:r>
      <w:r>
        <w:t>dokončena</w:t>
      </w:r>
      <w:r w:rsidRPr="00E80E40">
        <w:t>.</w:t>
      </w:r>
      <w:r>
        <w:t xml:space="preserve"> Po převedení většiny teoretické přípravy na univerzity ztratil IPVZ své klíčové postavení a</w:t>
      </w:r>
      <w:r w:rsidR="001610F7">
        <w:t xml:space="preserve"> </w:t>
      </w:r>
      <w:proofErr w:type="spellStart"/>
      <w:r>
        <w:t>MZd</w:t>
      </w:r>
      <w:proofErr w:type="spellEnd"/>
      <w:r>
        <w:t xml:space="preserve"> by mělo zvážit jeho budoucí roli v tomto systému.</w:t>
      </w:r>
    </w:p>
    <w:p w14:paraId="6769073A" w14:textId="77777777" w:rsidR="00810776" w:rsidRDefault="00810776" w:rsidP="00C52E7E">
      <w:pPr>
        <w:widowControl/>
      </w:pPr>
    </w:p>
    <w:p w14:paraId="5E1D44C6" w14:textId="03D0DD63" w:rsidR="00717713" w:rsidRDefault="00717713" w:rsidP="00C52E7E">
      <w:pPr>
        <w:widowControl/>
      </w:pPr>
      <w:r>
        <w:t xml:space="preserve">V roce 2017 </w:t>
      </w:r>
      <w:r w:rsidR="00E86C33">
        <w:t>byla přijata</w:t>
      </w:r>
      <w:r>
        <w:t xml:space="preserve"> významná novela zákona č. 95/2004 Sb</w:t>
      </w:r>
      <w:r w:rsidRPr="000B20D3">
        <w:t>.</w:t>
      </w:r>
      <w:r w:rsidRPr="000B20D3">
        <w:rPr>
          <w:rStyle w:val="Znakapoznpodarou"/>
        </w:rPr>
        <w:footnoteReference w:id="4"/>
      </w:r>
      <w:r w:rsidRPr="000B20D3">
        <w:t xml:space="preserve">, v jejímž důsledku bylo nezbytné mj. nově zpracovat programy specializačního </w:t>
      </w:r>
      <w:r w:rsidR="00531E8D">
        <w:t>vzdělávání pro jednotlivé obory nebo</w:t>
      </w:r>
      <w:r w:rsidR="00E745AC">
        <w:t xml:space="preserve"> </w:t>
      </w:r>
      <w:r w:rsidRPr="00531E8D">
        <w:t xml:space="preserve">nastavit podobu zkoušky po ukončení vzdělávání </w:t>
      </w:r>
      <w:r w:rsidR="009450D3">
        <w:t>lékařů</w:t>
      </w:r>
      <w:r w:rsidR="009450D3" w:rsidRPr="00531E8D">
        <w:t xml:space="preserve"> </w:t>
      </w:r>
      <w:r w:rsidRPr="00531E8D">
        <w:t>v základním kmeni. Nebyly však připraveny související prováděcí předpisy. Vyhláška</w:t>
      </w:r>
      <w:r w:rsidR="00F51098">
        <w:rPr>
          <w:rStyle w:val="Znakapoznpodarou"/>
        </w:rPr>
        <w:footnoteReference w:id="5"/>
      </w:r>
      <w:r w:rsidRPr="00531E8D">
        <w:t xml:space="preserve"> upravující zkoušku </w:t>
      </w:r>
      <w:r w:rsidR="00E86C33">
        <w:t>v</w:t>
      </w:r>
      <w:r w:rsidRPr="00531E8D">
        <w:t> základním kmeni byla vydána</w:t>
      </w:r>
      <w:r>
        <w:t xml:space="preserve"> až</w:t>
      </w:r>
      <w:r w:rsidR="006D493C">
        <w:t xml:space="preserve"> </w:t>
      </w:r>
      <w:r>
        <w:t>po</w:t>
      </w:r>
      <w:r w:rsidR="006D493C">
        <w:t xml:space="preserve"> více </w:t>
      </w:r>
      <w:r w:rsidR="00810776">
        <w:t>než</w:t>
      </w:r>
      <w:r>
        <w:t xml:space="preserve"> dvou letech. Nebyly připra</w:t>
      </w:r>
      <w:r w:rsidR="000918E2">
        <w:t xml:space="preserve">veny </w:t>
      </w:r>
      <w:r w:rsidR="00810776">
        <w:t xml:space="preserve">ani </w:t>
      </w:r>
      <w:r w:rsidR="000918E2">
        <w:t>nové vzdělávací programy</w:t>
      </w:r>
      <w:r w:rsidR="00810776">
        <w:t>, v důsledku čehož</w:t>
      </w:r>
      <w:r>
        <w:t xml:space="preserve"> došlo k prodlevě v udělování akreditací ke vzdělávání jednotlivým </w:t>
      </w:r>
      <w:r w:rsidR="00DC741A">
        <w:t>institucím</w:t>
      </w:r>
      <w:r>
        <w:t>.</w:t>
      </w:r>
    </w:p>
    <w:p w14:paraId="23E456D8" w14:textId="77777777" w:rsidR="00717713" w:rsidRDefault="00717713" w:rsidP="00C52E7E">
      <w:pPr>
        <w:widowControl/>
      </w:pPr>
    </w:p>
    <w:p w14:paraId="09E45A10" w14:textId="0C8E796F" w:rsidR="00717713" w:rsidRDefault="00F41D91" w:rsidP="00C52E7E">
      <w:pPr>
        <w:pStyle w:val="Nadpisshrnut"/>
        <w:widowControl/>
      </w:pPr>
      <w:r w:rsidRPr="00DB5937">
        <w:t xml:space="preserve">Při nastavení výše dotací univerzitám </w:t>
      </w:r>
      <w:proofErr w:type="spellStart"/>
      <w:r w:rsidRPr="00DB5937">
        <w:t>MZd</w:t>
      </w:r>
      <w:proofErr w:type="spellEnd"/>
      <w:r w:rsidRPr="00DB5937">
        <w:t xml:space="preserve"> neposuzovalo hospodárnost výdajů ve své kapitole</w:t>
      </w:r>
      <w:r w:rsidR="00717713" w:rsidRPr="00DB5937">
        <w:t>.</w:t>
      </w:r>
      <w:r w:rsidR="00717713">
        <w:t xml:space="preserve"> </w:t>
      </w:r>
      <w:proofErr w:type="spellStart"/>
      <w:r w:rsidR="00717713">
        <w:t>MZd</w:t>
      </w:r>
      <w:proofErr w:type="spellEnd"/>
      <w:r w:rsidR="00717713">
        <w:t xml:space="preserve"> neprovádělo řádnou kontrolu svých výdajů</w:t>
      </w:r>
    </w:p>
    <w:p w14:paraId="590D5EC3" w14:textId="027B9A08" w:rsidR="00A34C6C" w:rsidRDefault="00E40A0F" w:rsidP="00C52E7E">
      <w:pPr>
        <w:widowControl/>
      </w:pPr>
      <w:proofErr w:type="spellStart"/>
      <w:r w:rsidRPr="00DB5937">
        <w:rPr>
          <w:b/>
        </w:rPr>
        <w:t>MZd</w:t>
      </w:r>
      <w:proofErr w:type="spellEnd"/>
      <w:r w:rsidRPr="00DB5937">
        <w:rPr>
          <w:b/>
        </w:rPr>
        <w:t xml:space="preserve"> ne</w:t>
      </w:r>
      <w:r w:rsidR="00810776">
        <w:rPr>
          <w:b/>
        </w:rPr>
        <w:t>vy</w:t>
      </w:r>
      <w:r w:rsidRPr="00DB5937">
        <w:rPr>
          <w:b/>
        </w:rPr>
        <w:t xml:space="preserve">pracovalo </w:t>
      </w:r>
      <w:r w:rsidR="00810776">
        <w:rPr>
          <w:b/>
        </w:rPr>
        <w:t>žádné</w:t>
      </w:r>
      <w:r w:rsidR="00810776" w:rsidRPr="00DB5937">
        <w:rPr>
          <w:b/>
        </w:rPr>
        <w:t xml:space="preserve"> </w:t>
      </w:r>
      <w:r w:rsidRPr="00DB5937">
        <w:rPr>
          <w:b/>
        </w:rPr>
        <w:t xml:space="preserve">analýzy ani kalkulace, ze kterých by </w:t>
      </w:r>
      <w:r w:rsidR="00810776">
        <w:rPr>
          <w:b/>
        </w:rPr>
        <w:t xml:space="preserve">mohlo vyjít při </w:t>
      </w:r>
      <w:r w:rsidRPr="00DB5937">
        <w:rPr>
          <w:b/>
        </w:rPr>
        <w:t>nastavení výše úhrad za činnosti delegované na lékařské fakulty</w:t>
      </w:r>
      <w:r w:rsidRPr="00DB5937">
        <w:t xml:space="preserve"> univerzit v rámci specializačního vzdělávání lékařů.</w:t>
      </w:r>
      <w:r w:rsidRPr="00E40A0F">
        <w:t xml:space="preserve"> Nestalo se tak v roce 2011, kdy byly uzavřeny první smlouvy, ani v roce 2017, kdy došlo k významnému navýšení úhrad za činnosti.</w:t>
      </w:r>
      <w:r>
        <w:t xml:space="preserve"> </w:t>
      </w:r>
      <w:proofErr w:type="spellStart"/>
      <w:r w:rsidR="00717713">
        <w:t>MZd</w:t>
      </w:r>
      <w:proofErr w:type="spellEnd"/>
      <w:r w:rsidR="00717713">
        <w:t xml:space="preserve"> neposuzovalo hospodárnost </w:t>
      </w:r>
      <w:r w:rsidR="00B14D52">
        <w:t>výdajů</w:t>
      </w:r>
      <w:r w:rsidR="00717713">
        <w:t xml:space="preserve"> vynakládaných </w:t>
      </w:r>
      <w:r w:rsidR="00DB5C26">
        <w:t>ve</w:t>
      </w:r>
      <w:r w:rsidR="00717713">
        <w:t xml:space="preserve"> své kapitole, nebo</w:t>
      </w:r>
      <w:r w:rsidR="00B14D52">
        <w:t>ť</w:t>
      </w:r>
      <w:r w:rsidR="00717713">
        <w:t xml:space="preserve"> si nestanovilo </w:t>
      </w:r>
      <w:r w:rsidR="00717713" w:rsidRPr="00B97000">
        <w:t>objektivní kritéri</w:t>
      </w:r>
      <w:r w:rsidR="00717713">
        <w:t>a</w:t>
      </w:r>
      <w:r w:rsidR="00717713" w:rsidRPr="00B97000">
        <w:t xml:space="preserve"> k</w:t>
      </w:r>
      <w:r w:rsidR="00F42057">
        <w:t xml:space="preserve">e </w:t>
      </w:r>
      <w:r w:rsidR="00717713" w:rsidRPr="00B97000">
        <w:t xml:space="preserve">zhodnocení </w:t>
      </w:r>
      <w:r w:rsidR="00717713">
        <w:t>přiměřenosti výše</w:t>
      </w:r>
      <w:r w:rsidR="00D94BCC">
        <w:t xml:space="preserve"> </w:t>
      </w:r>
      <w:r w:rsidR="00A34C6C">
        <w:t xml:space="preserve">těchto </w:t>
      </w:r>
      <w:r w:rsidR="00A34C6C" w:rsidRPr="00A34C6C">
        <w:t>dotací</w:t>
      </w:r>
      <w:r w:rsidR="00717713">
        <w:t>.</w:t>
      </w:r>
      <w:r w:rsidR="00B14D52">
        <w:t xml:space="preserve"> </w:t>
      </w:r>
      <w:r w:rsidR="00A34C6C" w:rsidRPr="001857FE">
        <w:t xml:space="preserve">V důsledku způsobu nastavení úhrad získávala jedna z univerzit každoročně </w:t>
      </w:r>
      <w:r w:rsidR="009F6925" w:rsidRPr="001857FE">
        <w:t>v přepočtu na</w:t>
      </w:r>
      <w:r w:rsidR="00E745AC">
        <w:t xml:space="preserve"> </w:t>
      </w:r>
      <w:r w:rsidR="0035789B" w:rsidRPr="001857FE">
        <w:t xml:space="preserve">evidovaného </w:t>
      </w:r>
      <w:r w:rsidR="0035789B" w:rsidRPr="00DB5937">
        <w:t xml:space="preserve">školence </w:t>
      </w:r>
      <w:r w:rsidR="00532BF9" w:rsidRPr="00DB5937">
        <w:t>osminásobně</w:t>
      </w:r>
      <w:r w:rsidR="00A34C6C" w:rsidRPr="001857FE">
        <w:rPr>
          <w:shd w:val="clear" w:color="auto" w:fill="FFFFFF" w:themeFill="background1"/>
        </w:rPr>
        <w:t xml:space="preserve"> vyšší částku </w:t>
      </w:r>
      <w:r w:rsidR="009F6925" w:rsidRPr="001857FE">
        <w:rPr>
          <w:shd w:val="clear" w:color="auto" w:fill="FFFFFF" w:themeFill="background1"/>
        </w:rPr>
        <w:t xml:space="preserve">z dotace na lékařské fakulty </w:t>
      </w:r>
      <w:r w:rsidR="00A34C6C" w:rsidRPr="001857FE">
        <w:rPr>
          <w:shd w:val="clear" w:color="auto" w:fill="FFFFFF" w:themeFill="background1"/>
        </w:rPr>
        <w:t>než</w:t>
      </w:r>
      <w:r w:rsidR="00E745AC">
        <w:rPr>
          <w:shd w:val="clear" w:color="auto" w:fill="FFFFFF" w:themeFill="background1"/>
        </w:rPr>
        <w:t xml:space="preserve"> </w:t>
      </w:r>
      <w:r w:rsidR="00A34C6C" w:rsidRPr="001857FE">
        <w:rPr>
          <w:shd w:val="clear" w:color="auto" w:fill="FFFFFF" w:themeFill="background1"/>
        </w:rPr>
        <w:t>ostatní</w:t>
      </w:r>
      <w:r w:rsidR="00A34C6C" w:rsidRPr="001857FE">
        <w:t>.</w:t>
      </w:r>
    </w:p>
    <w:p w14:paraId="7804443B" w14:textId="77777777" w:rsidR="00F42057" w:rsidRDefault="00F42057" w:rsidP="00C52E7E">
      <w:pPr>
        <w:widowControl/>
      </w:pPr>
    </w:p>
    <w:p w14:paraId="2FCCD31F" w14:textId="3434C7E6" w:rsidR="00717713" w:rsidRDefault="00717713" w:rsidP="00C52E7E">
      <w:pPr>
        <w:widowControl/>
      </w:pPr>
      <w:proofErr w:type="spellStart"/>
      <w:r w:rsidRPr="00897897">
        <w:rPr>
          <w:b/>
        </w:rPr>
        <w:t>MZd</w:t>
      </w:r>
      <w:proofErr w:type="spellEnd"/>
      <w:r w:rsidRPr="00897897">
        <w:rPr>
          <w:b/>
        </w:rPr>
        <w:t xml:space="preserve"> neprovádělo důslednou kontrolu vyúčtování dotací</w:t>
      </w:r>
      <w:r>
        <w:rPr>
          <w:b/>
        </w:rPr>
        <w:t xml:space="preserve"> </w:t>
      </w:r>
      <w:r w:rsidRPr="00897897">
        <w:rPr>
          <w:b/>
        </w:rPr>
        <w:t xml:space="preserve">poskytnutých </w:t>
      </w:r>
      <w:r>
        <w:rPr>
          <w:b/>
        </w:rPr>
        <w:t>univerzitám</w:t>
      </w:r>
      <w:r w:rsidR="00F42057">
        <w:rPr>
          <w:b/>
        </w:rPr>
        <w:t>.</w:t>
      </w:r>
      <w:r w:rsidR="009735CE">
        <w:rPr>
          <w:rStyle w:val="Znakapoznpodarou"/>
          <w:b/>
        </w:rPr>
        <w:footnoteReference w:id="6"/>
      </w:r>
      <w:r>
        <w:t xml:space="preserve"> Z</w:t>
      </w:r>
      <w:r w:rsidR="00E745AC">
        <w:t> </w:t>
      </w:r>
      <w:r>
        <w:t>předložených</w:t>
      </w:r>
      <w:r w:rsidR="00E745AC">
        <w:t xml:space="preserve"> </w:t>
      </w:r>
      <w:r>
        <w:t xml:space="preserve">dokladů </w:t>
      </w:r>
      <w:r w:rsidR="00DD1FF5">
        <w:t>byly zřejmé</w:t>
      </w:r>
      <w:r>
        <w:t xml:space="preserve"> chyby, které </w:t>
      </w:r>
      <w:proofErr w:type="spellStart"/>
      <w:r>
        <w:t>MZd</w:t>
      </w:r>
      <w:proofErr w:type="spellEnd"/>
      <w:r>
        <w:t xml:space="preserve"> nerozporovalo. Vyúčtování v podobě, v jaké jej univerzity zpracovávají, navíc </w:t>
      </w:r>
      <w:proofErr w:type="spellStart"/>
      <w:r>
        <w:t>MZd</w:t>
      </w:r>
      <w:proofErr w:type="spellEnd"/>
      <w:r>
        <w:t xml:space="preserve"> ani neumožňuje provést kontrolu správnosti skutečného využití dotací</w:t>
      </w:r>
      <w:r w:rsidR="00B14D52">
        <w:t>.</w:t>
      </w:r>
    </w:p>
    <w:p w14:paraId="35F58415" w14:textId="77777777" w:rsidR="00717713" w:rsidRDefault="00717713" w:rsidP="00C52E7E">
      <w:pPr>
        <w:widowControl/>
      </w:pPr>
    </w:p>
    <w:p w14:paraId="26D8F86A" w14:textId="4E5DC896" w:rsidR="007D51F9" w:rsidRPr="001520E1" w:rsidRDefault="00554C7E" w:rsidP="00C52E7E">
      <w:pPr>
        <w:pStyle w:val="Nadpisshrnut"/>
        <w:widowControl/>
      </w:pPr>
      <w:r>
        <w:t>P</w:t>
      </w:r>
      <w:r w:rsidR="00620444" w:rsidRPr="001520E1">
        <w:t>říspěvkov</w:t>
      </w:r>
      <w:r>
        <w:t>é</w:t>
      </w:r>
      <w:r w:rsidR="00620444" w:rsidRPr="001520E1">
        <w:t xml:space="preserve"> organizac</w:t>
      </w:r>
      <w:r>
        <w:t>e</w:t>
      </w:r>
      <w:r w:rsidR="00620444" w:rsidRPr="001520E1">
        <w:t xml:space="preserve"> </w:t>
      </w:r>
      <w:proofErr w:type="spellStart"/>
      <w:r w:rsidR="00084E35" w:rsidRPr="001520E1">
        <w:t>MZd</w:t>
      </w:r>
      <w:proofErr w:type="spellEnd"/>
      <w:r w:rsidR="00084E35" w:rsidRPr="001520E1">
        <w:t xml:space="preserve"> </w:t>
      </w:r>
      <w:r w:rsidR="00620444" w:rsidRPr="001520E1">
        <w:t xml:space="preserve">působící v oblasti postgraduálního vzdělávání ve zdravotnictví </w:t>
      </w:r>
      <w:r>
        <w:t>porušovaly</w:t>
      </w:r>
      <w:r w:rsidR="00620444" w:rsidRPr="001520E1">
        <w:t xml:space="preserve"> zákon</w:t>
      </w:r>
      <w:r>
        <w:t>y a j</w:t>
      </w:r>
      <w:r w:rsidR="00620444" w:rsidRPr="001520E1">
        <w:t>ejich vnitřní kontrolní systém</w:t>
      </w:r>
      <w:r w:rsidR="00F42057">
        <w:t>y</w:t>
      </w:r>
      <w:r w:rsidR="00620444" w:rsidRPr="001520E1">
        <w:t xml:space="preserve"> nefungoval</w:t>
      </w:r>
      <w:r w:rsidR="00F42057">
        <w:t>y</w:t>
      </w:r>
      <w:r w:rsidR="00620444" w:rsidRPr="001520E1">
        <w:t xml:space="preserve">. IPVZ provozuje </w:t>
      </w:r>
      <w:r w:rsidR="00620444" w:rsidRPr="00E13CC9">
        <w:t>hotel,</w:t>
      </w:r>
      <w:r w:rsidR="00E13CC9" w:rsidRPr="00E13CC9">
        <w:t xml:space="preserve"> jehož ubytovací kapacity </w:t>
      </w:r>
      <w:r w:rsidR="007E43EE">
        <w:t xml:space="preserve">využívají </w:t>
      </w:r>
      <w:r w:rsidR="00E13CC9">
        <w:t>účastníci kurzů jen minimálně</w:t>
      </w:r>
    </w:p>
    <w:p w14:paraId="6CBECBBA" w14:textId="715462D5" w:rsidR="00536A2C" w:rsidRDefault="001520E1" w:rsidP="00C52E7E">
      <w:pPr>
        <w:widowControl/>
      </w:pPr>
      <w:r>
        <w:t>K</w:t>
      </w:r>
      <w:r w:rsidR="00536A2C">
        <w:t>ontrolované organizace neuveř</w:t>
      </w:r>
      <w:r>
        <w:t>ejnily některé předepsané dokumenty v registru smluv. V </w:t>
      </w:r>
      <w:r w:rsidR="00536A2C">
        <w:t>NCONZO byl</w:t>
      </w:r>
      <w:r w:rsidR="00531E8D">
        <w:t>y</w:t>
      </w:r>
      <w:r w:rsidR="00536A2C">
        <w:t xml:space="preserve"> kontrolou odhalen</w:t>
      </w:r>
      <w:r w:rsidR="00531E8D">
        <w:t>y</w:t>
      </w:r>
      <w:r w:rsidR="00536A2C">
        <w:t xml:space="preserve"> </w:t>
      </w:r>
      <w:r w:rsidR="00531E8D">
        <w:t>také</w:t>
      </w:r>
      <w:r w:rsidR="00536A2C">
        <w:t xml:space="preserve"> nedostatk</w:t>
      </w:r>
      <w:r w:rsidR="00531E8D">
        <w:t>y</w:t>
      </w:r>
      <w:r w:rsidR="00536A2C">
        <w:t xml:space="preserve"> v účetnictví</w:t>
      </w:r>
      <w:r w:rsidR="00F51098">
        <w:rPr>
          <w:rStyle w:val="Znakapoznpodarou"/>
        </w:rPr>
        <w:footnoteReference w:id="7"/>
      </w:r>
      <w:r w:rsidR="00536A2C">
        <w:t xml:space="preserve"> a porušení rozpočtových pravidel</w:t>
      </w:r>
      <w:r w:rsidR="00F51098">
        <w:rPr>
          <w:rStyle w:val="Znakapoznpodarou"/>
        </w:rPr>
        <w:footnoteReference w:id="8"/>
      </w:r>
      <w:r w:rsidR="00536A2C">
        <w:t xml:space="preserve">. </w:t>
      </w:r>
      <w:r w:rsidR="00536A2C" w:rsidRPr="00DB5937">
        <w:t xml:space="preserve">Vnitřní kontrolní </w:t>
      </w:r>
      <w:r w:rsidR="00504CAD" w:rsidRPr="00DB5937">
        <w:t>systém byl</w:t>
      </w:r>
      <w:r w:rsidR="006A0AA4" w:rsidRPr="00DB5937">
        <w:t xml:space="preserve"> u </w:t>
      </w:r>
      <w:r w:rsidR="00536A2C" w:rsidRPr="00DB5937">
        <w:t>organ</w:t>
      </w:r>
      <w:r w:rsidR="009B44A3" w:rsidRPr="00DB5937">
        <w:t>izací</w:t>
      </w:r>
      <w:r w:rsidR="00073931" w:rsidRPr="00DB5937">
        <w:t xml:space="preserve"> </w:t>
      </w:r>
      <w:r w:rsidR="00E40A0F" w:rsidRPr="00DB5937">
        <w:t>neúčinný</w:t>
      </w:r>
      <w:r w:rsidR="009B44A3">
        <w:t>.</w:t>
      </w:r>
    </w:p>
    <w:p w14:paraId="7B45DC16" w14:textId="77777777" w:rsidR="00F42057" w:rsidRDefault="00F42057" w:rsidP="00C52E7E">
      <w:pPr>
        <w:widowControl/>
      </w:pPr>
    </w:p>
    <w:p w14:paraId="6E9A9AE0" w14:textId="3DB72153" w:rsidR="00536A2C" w:rsidRPr="009B44A3" w:rsidRDefault="009B44A3" w:rsidP="00C52E7E">
      <w:pPr>
        <w:widowControl/>
      </w:pPr>
      <w:r>
        <w:t xml:space="preserve">IPVZ provozuje </w:t>
      </w:r>
      <w:r w:rsidRPr="00156013">
        <w:t>v </w:t>
      </w:r>
      <w:r w:rsidR="00D94BCC" w:rsidRPr="00156013">
        <w:t>Praze</w:t>
      </w:r>
      <w:r w:rsidRPr="00156013">
        <w:t xml:space="preserve"> hotel, </w:t>
      </w:r>
      <w:r w:rsidR="001520E1" w:rsidRPr="00156013">
        <w:t xml:space="preserve">avšak </w:t>
      </w:r>
      <w:r w:rsidR="006F54AB" w:rsidRPr="00156013">
        <w:t>účastníci postgraduálního vzdělávání</w:t>
      </w:r>
      <w:r w:rsidR="001520E1" w:rsidRPr="00156013">
        <w:t xml:space="preserve"> v současnosti využívají pouze 10 % jeho </w:t>
      </w:r>
      <w:r w:rsidR="00DB5C26" w:rsidRPr="00156013">
        <w:t xml:space="preserve">obsazené </w:t>
      </w:r>
      <w:r w:rsidR="001520E1" w:rsidRPr="00156013">
        <w:t>ubytovací kapacity.</w:t>
      </w:r>
      <w:r w:rsidR="0045712F">
        <w:t xml:space="preserve"> </w:t>
      </w:r>
      <w:r w:rsidR="0045712F" w:rsidRPr="00DB5937">
        <w:t>H</w:t>
      </w:r>
      <w:r w:rsidR="00232298" w:rsidRPr="00DB5937">
        <w:t xml:space="preserve">otel </w:t>
      </w:r>
      <w:r w:rsidR="0045712F" w:rsidRPr="00DB5937">
        <w:t xml:space="preserve">tedy již </w:t>
      </w:r>
      <w:r w:rsidR="00232298" w:rsidRPr="00DB5937">
        <w:t>ne</w:t>
      </w:r>
      <w:r w:rsidR="00863CF9" w:rsidRPr="00DB5937">
        <w:t>slouží k původním</w:t>
      </w:r>
      <w:r w:rsidR="00B40DF0">
        <w:t xml:space="preserve">u účelu, tj. </w:t>
      </w:r>
      <w:r w:rsidR="00F42057">
        <w:t xml:space="preserve">k </w:t>
      </w:r>
      <w:r w:rsidR="00B40DF0">
        <w:t>ubytování školenců</w:t>
      </w:r>
      <w:r w:rsidR="001520E1" w:rsidRPr="00DB5937">
        <w:t>.</w:t>
      </w:r>
    </w:p>
    <w:p w14:paraId="3C346A67" w14:textId="77777777" w:rsidR="00620444" w:rsidRDefault="00620444" w:rsidP="00C52E7E">
      <w:pPr>
        <w:widowControl/>
      </w:pPr>
    </w:p>
    <w:p w14:paraId="41E2C1F7" w14:textId="1003CB64" w:rsidR="007D51F9" w:rsidRDefault="007D51F9" w:rsidP="00C52E7E">
      <w:pPr>
        <w:pStyle w:val="Nadpisshrnut"/>
        <w:widowControl/>
      </w:pPr>
      <w:proofErr w:type="spellStart"/>
      <w:r>
        <w:t>MZd</w:t>
      </w:r>
      <w:proofErr w:type="spellEnd"/>
      <w:r>
        <w:t xml:space="preserve"> v posledních letech reaguje na výzvy k zabezpečení personální stability českého zdravotnictví</w:t>
      </w:r>
      <w:r w:rsidR="00232298">
        <w:t xml:space="preserve"> </w:t>
      </w:r>
      <w:r w:rsidR="00232298" w:rsidRPr="00156013">
        <w:t>a spolupracuje s MŠMT</w:t>
      </w:r>
    </w:p>
    <w:p w14:paraId="333804B0" w14:textId="5A3CC89B" w:rsidR="00536A2C" w:rsidRDefault="00E13CC9" w:rsidP="00C52E7E">
      <w:pPr>
        <w:widowControl/>
      </w:pPr>
      <w:r>
        <w:t>V</w:t>
      </w:r>
      <w:r w:rsidR="00536A2C">
        <w:t xml:space="preserve"> posledních letech </w:t>
      </w:r>
      <w:r>
        <w:t xml:space="preserve">byly </w:t>
      </w:r>
      <w:r w:rsidR="00536A2C" w:rsidRPr="00E03F8F">
        <w:t>učin</w:t>
      </w:r>
      <w:r>
        <w:t>ěny</w:t>
      </w:r>
      <w:r w:rsidR="00536A2C" w:rsidRPr="00E03F8F">
        <w:t xml:space="preserve"> dílčí kroky k řešení personální kapacity českého zdravotnictví.</w:t>
      </w:r>
      <w:r w:rsidR="00536A2C">
        <w:t xml:space="preserve"> Za nejzásadnější lze považovat zejména tzv.</w:t>
      </w:r>
      <w:r w:rsidR="00F247E7">
        <w:t xml:space="preserve"> dlouhodobé finanční opatření k </w:t>
      </w:r>
      <w:r w:rsidR="00536A2C">
        <w:t>navýšení kapacit lékařských fakult v ČR</w:t>
      </w:r>
      <w:r w:rsidR="00536A2C">
        <w:rPr>
          <w:rStyle w:val="Znakapoznpodarou"/>
          <w:rFonts w:eastAsiaTheme="majorEastAsia"/>
        </w:rPr>
        <w:footnoteReference w:id="9"/>
      </w:r>
      <w:r>
        <w:t xml:space="preserve"> připravené ve spolupráci s MŠMT</w:t>
      </w:r>
      <w:r w:rsidR="00536A2C">
        <w:t xml:space="preserve">, jež má za cíl finančně zabezpečit dlouhodobě udržitelné navýšení počtu </w:t>
      </w:r>
      <w:r w:rsidR="00DD5399">
        <w:t xml:space="preserve">jejich </w:t>
      </w:r>
      <w:r w:rsidR="00536A2C">
        <w:t>studentů</w:t>
      </w:r>
      <w:r w:rsidR="00DD5399">
        <w:t>, resp. absolventů.</w:t>
      </w:r>
    </w:p>
    <w:p w14:paraId="68E8BE3E" w14:textId="77777777" w:rsidR="00F42057" w:rsidRDefault="00F42057" w:rsidP="00C52E7E">
      <w:pPr>
        <w:widowControl/>
      </w:pPr>
    </w:p>
    <w:p w14:paraId="07189341" w14:textId="1864BF78" w:rsidR="00536A2C" w:rsidRDefault="00536A2C" w:rsidP="00C52E7E">
      <w:pPr>
        <w:widowControl/>
      </w:pPr>
      <w:proofErr w:type="spellStart"/>
      <w:r>
        <w:t>MZd</w:t>
      </w:r>
      <w:proofErr w:type="spellEnd"/>
      <w:r>
        <w:t xml:space="preserve"> </w:t>
      </w:r>
      <w:r w:rsidR="00357066">
        <w:t xml:space="preserve">také </w:t>
      </w:r>
      <w:r>
        <w:t>navyšuje objem dotací plynoucích na podporu praktické části specializačního vzd</w:t>
      </w:r>
      <w:r w:rsidR="00DD5399">
        <w:t>ělávání ve zdravotnictví.</w:t>
      </w:r>
      <w:r>
        <w:t xml:space="preserve"> </w:t>
      </w:r>
      <w:r w:rsidR="00FB7332">
        <w:t>Od roku</w:t>
      </w:r>
      <w:r>
        <w:t xml:space="preserve"> 2015 se suma </w:t>
      </w:r>
      <w:r w:rsidR="000C470A">
        <w:t>prostředků</w:t>
      </w:r>
      <w:r>
        <w:t xml:space="preserve"> vynakládaných </w:t>
      </w:r>
      <w:r w:rsidR="00FC02E2">
        <w:t>na</w:t>
      </w:r>
      <w:r w:rsidR="00E745AC">
        <w:t xml:space="preserve"> </w:t>
      </w:r>
      <w:r w:rsidR="000C470A">
        <w:t>specializační vzdělávání lékařů téměř ztrojnásobila</w:t>
      </w:r>
      <w:r w:rsidR="00496694">
        <w:t xml:space="preserve"> až na 423</w:t>
      </w:r>
      <w:r w:rsidR="00C53727">
        <w:t xml:space="preserve"> mil. Kč</w:t>
      </w:r>
      <w:r w:rsidR="00FB7332">
        <w:t xml:space="preserve"> vyplacených v roce 2018</w:t>
      </w:r>
      <w:r w:rsidR="000C470A">
        <w:t xml:space="preserve">. </w:t>
      </w:r>
      <w:r w:rsidR="00DD5399">
        <w:t>Velkou výzvou však nadále zůstává správné zacílení dotací, aby měly</w:t>
      </w:r>
      <w:r w:rsidR="00357066">
        <w:t xml:space="preserve"> skutečný</w:t>
      </w:r>
      <w:r>
        <w:t xml:space="preserve"> dopad na </w:t>
      </w:r>
      <w:r w:rsidR="000918E2">
        <w:t>udržení či</w:t>
      </w:r>
      <w:r w:rsidR="00E745AC">
        <w:t xml:space="preserve"> </w:t>
      </w:r>
      <w:r>
        <w:t>navýšení kapacit zdravotnického personálu v oborech a místech, které jsou nejvíce ohroženy nedostatkem kvalifikovaných pracovníků</w:t>
      </w:r>
      <w:r w:rsidR="0046259A">
        <w:t xml:space="preserve">, lékařů i </w:t>
      </w:r>
      <w:proofErr w:type="spellStart"/>
      <w:r w:rsidR="0046259A">
        <w:t>nelékařů</w:t>
      </w:r>
      <w:proofErr w:type="spellEnd"/>
      <w:r>
        <w:t>.</w:t>
      </w:r>
    </w:p>
    <w:p w14:paraId="54D5EABF" w14:textId="77777777" w:rsidR="000A26EA" w:rsidRDefault="000A26EA" w:rsidP="00C52E7E">
      <w:pPr>
        <w:widowControl/>
      </w:pPr>
    </w:p>
    <w:p w14:paraId="735B6E89" w14:textId="7D941A0D" w:rsidR="00804C37" w:rsidRPr="006C54D7" w:rsidRDefault="00E620F7" w:rsidP="000B6982">
      <w:pPr>
        <w:pStyle w:val="Nadpis1"/>
        <w:keepNext/>
        <w:widowControl/>
        <w:spacing w:before="240"/>
        <w:ind w:left="714" w:hanging="357"/>
      </w:pPr>
      <w:r w:rsidRPr="006C54D7">
        <w:t>Informace o kontrolované oblasti</w:t>
      </w:r>
    </w:p>
    <w:p w14:paraId="0369B8F5" w14:textId="349A379E" w:rsidR="00BC4760" w:rsidRDefault="00E620F7" w:rsidP="00C52E7E">
      <w:pPr>
        <w:widowControl/>
      </w:pPr>
      <w:r w:rsidRPr="008260EE">
        <w:rPr>
          <w:b/>
        </w:rPr>
        <w:t>Ministerstvo zdravotnictví</w:t>
      </w:r>
      <w:r>
        <w:t xml:space="preserve"> </w:t>
      </w:r>
      <w:r w:rsidRPr="003A112B">
        <w:rPr>
          <w:szCs w:val="22"/>
        </w:rPr>
        <w:t>je podle</w:t>
      </w:r>
      <w:r>
        <w:rPr>
          <w:szCs w:val="22"/>
        </w:rPr>
        <w:t xml:space="preserve"> ustanovení § 10 odst. 1 zákona č.</w:t>
      </w:r>
      <w:r w:rsidR="00E745AC">
        <w:rPr>
          <w:szCs w:val="22"/>
        </w:rPr>
        <w:t xml:space="preserve"> </w:t>
      </w:r>
      <w:r w:rsidRPr="003A112B">
        <w:rPr>
          <w:szCs w:val="22"/>
        </w:rPr>
        <w:t>2/1969 Sb.</w:t>
      </w:r>
      <w:r w:rsidR="00FC02E2">
        <w:rPr>
          <w:rStyle w:val="Znakapoznpodarou"/>
          <w:szCs w:val="22"/>
        </w:rPr>
        <w:footnoteReference w:id="10"/>
      </w:r>
      <w:r w:rsidRPr="003A112B">
        <w:rPr>
          <w:szCs w:val="22"/>
        </w:rPr>
        <w:t xml:space="preserve"> ústředním orgánem státní správy pro zdravotní služby</w:t>
      </w:r>
      <w:r w:rsidRPr="00C077E9">
        <w:rPr>
          <w:szCs w:val="22"/>
        </w:rPr>
        <w:t>, ochranu veřejného zdraví, zdravotnickou vědeckovýzkumnou činnost, poskytovatele zdravotních služeb v přímé řídící působnosti, zacházení s návykovými látkami, přípravky, prekursory a pomocnými látkami, vyhledávání, ochranu a využívání přírodních léčivých zdrojů, přírodních léčebných lázní a</w:t>
      </w:r>
      <w:r w:rsidR="00E745AC">
        <w:rPr>
          <w:szCs w:val="22"/>
        </w:rPr>
        <w:t xml:space="preserve"> </w:t>
      </w:r>
      <w:r w:rsidRPr="00C077E9">
        <w:rPr>
          <w:szCs w:val="22"/>
        </w:rPr>
        <w:t>zdrojů přírodních minerálních vod, léčiva a prostředky zdravotnické techniky pro prevenci, diagnostiku a léčení lidí, zdravotní pojištění a zdravotnický informační systém, pro používání biocidních přípravků a uvádění biocidních přípravků a účinných látek na trh</w:t>
      </w:r>
      <w:r w:rsidRPr="00A00787">
        <w:rPr>
          <w:szCs w:val="22"/>
        </w:rPr>
        <w:t>.</w:t>
      </w:r>
      <w:r w:rsidR="004F7D03">
        <w:rPr>
          <w:szCs w:val="22"/>
        </w:rPr>
        <w:t xml:space="preserve"> </w:t>
      </w:r>
      <w:r w:rsidR="003B304D">
        <w:t>Z kapitoly státního rozpočtu 335 </w:t>
      </w:r>
      <w:r w:rsidR="00DA1335">
        <w:t>– </w:t>
      </w:r>
      <w:r w:rsidR="00BC4760" w:rsidRPr="00935E93">
        <w:rPr>
          <w:i/>
        </w:rPr>
        <w:t>Ministerstvo zdravotnictví</w:t>
      </w:r>
      <w:r w:rsidR="00BC4760">
        <w:t xml:space="preserve"> je prostřednictvím výdajů zahrnutých pod paragrafem </w:t>
      </w:r>
      <w:r w:rsidR="00F42057">
        <w:t xml:space="preserve">rozpočtové skladby </w:t>
      </w:r>
      <w:r w:rsidR="00BC4760">
        <w:t>3592</w:t>
      </w:r>
      <w:r w:rsidR="00F42057">
        <w:t xml:space="preserve"> –</w:t>
      </w:r>
      <w:r w:rsidR="00BC4760">
        <w:t xml:space="preserve"> </w:t>
      </w:r>
      <w:r w:rsidR="004F7D03">
        <w:rPr>
          <w:i/>
        </w:rPr>
        <w:t>Další vzdělávání pracovníků ve</w:t>
      </w:r>
      <w:r w:rsidR="00E745AC">
        <w:rPr>
          <w:i/>
        </w:rPr>
        <w:t xml:space="preserve"> </w:t>
      </w:r>
      <w:r w:rsidR="00BC4760" w:rsidRPr="001B444D">
        <w:rPr>
          <w:i/>
        </w:rPr>
        <w:t>zdravotnictví</w:t>
      </w:r>
      <w:r w:rsidR="00BC4760">
        <w:t xml:space="preserve"> financováno zejména pos</w:t>
      </w:r>
      <w:r w:rsidR="007B7B34">
        <w:t xml:space="preserve">tgraduální </w:t>
      </w:r>
      <w:r w:rsidR="00F42057">
        <w:t>(</w:t>
      </w:r>
      <w:r w:rsidR="007B7B34">
        <w:t>tj.</w:t>
      </w:r>
      <w:r w:rsidR="00F42057">
        <w:t xml:space="preserve"> </w:t>
      </w:r>
      <w:r w:rsidR="007B7B34">
        <w:t>specializační a</w:t>
      </w:r>
      <w:r w:rsidR="00F42057">
        <w:t xml:space="preserve"> </w:t>
      </w:r>
      <w:r w:rsidR="003B304D">
        <w:t>celoživotní</w:t>
      </w:r>
      <w:r w:rsidR="00F42057">
        <w:t xml:space="preserve">) </w:t>
      </w:r>
      <w:r w:rsidR="003B304D">
        <w:t>vzdělávání lékařů a</w:t>
      </w:r>
      <w:r w:rsidR="00E745AC">
        <w:t xml:space="preserve"> </w:t>
      </w:r>
      <w:r w:rsidR="00BC4760">
        <w:t>nelékařských zdravotnických pracovníků.</w:t>
      </w:r>
    </w:p>
    <w:p w14:paraId="09E93226" w14:textId="77777777" w:rsidR="00BC4760" w:rsidRDefault="00BC4760" w:rsidP="00C52E7E">
      <w:pPr>
        <w:widowControl/>
      </w:pPr>
    </w:p>
    <w:p w14:paraId="6CB0DA35" w14:textId="04FA7CFA" w:rsidR="004F7D03" w:rsidRPr="004F7D03" w:rsidRDefault="004F7D03" w:rsidP="00C52E7E">
      <w:pPr>
        <w:widowControl/>
      </w:pPr>
      <w:r w:rsidRPr="008260EE">
        <w:rPr>
          <w:b/>
        </w:rPr>
        <w:t>Základní podmínky získávání způsobilosti k výkonu zdravotnického povolání lékaře, zubního lékaře a farmaceuta</w:t>
      </w:r>
      <w:r w:rsidRPr="004F7D03">
        <w:t xml:space="preserve"> v České republice upravuje zákon č. 95/2004 Sb. Vzdělávání vedoucí k získání specializované způsobilosti k výkonu zdravotnického povolání lékaře, které je </w:t>
      </w:r>
      <w:r w:rsidR="007B0A5B">
        <w:t>ze</w:t>
      </w:r>
      <w:r w:rsidR="00E745AC">
        <w:t xml:space="preserve"> </w:t>
      </w:r>
      <w:r w:rsidR="007B0A5B">
        <w:t xml:space="preserve">strany </w:t>
      </w:r>
      <w:proofErr w:type="spellStart"/>
      <w:r w:rsidR="007B0A5B">
        <w:t>MZd</w:t>
      </w:r>
      <w:proofErr w:type="spellEnd"/>
      <w:r w:rsidR="007B0A5B">
        <w:t xml:space="preserve"> podporováno</w:t>
      </w:r>
      <w:r w:rsidRPr="004F7D03">
        <w:t xml:space="preserve"> prostřednictvím výdajů na</w:t>
      </w:r>
      <w:r w:rsidR="007B0A5B">
        <w:t xml:space="preserve"> další vzdělávání pracovníků ve</w:t>
      </w:r>
      <w:r w:rsidR="00E745AC">
        <w:t xml:space="preserve"> </w:t>
      </w:r>
      <w:r w:rsidRPr="004F7D03">
        <w:t>zd</w:t>
      </w:r>
      <w:r w:rsidR="00E745AC">
        <w:t xml:space="preserve">ravotnictví, se uskutečňuje při </w:t>
      </w:r>
      <w:r w:rsidRPr="004F7D03">
        <w:t>výkonu lékařského povolání absolvováním jednotlivých součástí vzdělávacích programů stanovených pro dané specializační obory. Skládá se ze</w:t>
      </w:r>
      <w:r w:rsidR="00E745AC">
        <w:t xml:space="preserve"> </w:t>
      </w:r>
      <w:r w:rsidRPr="004F7D03">
        <w:t>základního kmene, na který navazuje vzdělávání ve</w:t>
      </w:r>
      <w:r w:rsidR="00E745AC">
        <w:t xml:space="preserve"> </w:t>
      </w:r>
      <w:r w:rsidRPr="004F7D03">
        <w:t>vlastním specializovaném výcviku. Vzdělávání v základním kmeni je podle současné právní úpra</w:t>
      </w:r>
      <w:r w:rsidR="007B0A5B">
        <w:t>vy ukončeno zkouškou, po</w:t>
      </w:r>
      <w:r w:rsidR="00E745AC">
        <w:t xml:space="preserve"> </w:t>
      </w:r>
      <w:r w:rsidR="007B0A5B">
        <w:t>jejímž</w:t>
      </w:r>
      <w:r w:rsidR="00E745AC">
        <w:t xml:space="preserve"> </w:t>
      </w:r>
      <w:r w:rsidRPr="004F7D03">
        <w:t>úspěšném absolvování má být lékaři vydán certifikát o absolvování základního kmene. Po dokončení specializovaného výcviku lékař absolvu</w:t>
      </w:r>
      <w:r w:rsidR="007B0A5B">
        <w:t>je atestační zkoušku, na</w:t>
      </w:r>
      <w:r w:rsidR="00E745AC">
        <w:t xml:space="preserve"> </w:t>
      </w:r>
      <w:r w:rsidR="007B0A5B">
        <w:t>jejímž</w:t>
      </w:r>
      <w:r w:rsidR="00E745AC">
        <w:t xml:space="preserve"> </w:t>
      </w:r>
      <w:r w:rsidRPr="004F7D03">
        <w:t xml:space="preserve">základě je lékaři vydán </w:t>
      </w:r>
      <w:proofErr w:type="spellStart"/>
      <w:r w:rsidRPr="004F7D03">
        <w:t>MZd</w:t>
      </w:r>
      <w:proofErr w:type="spellEnd"/>
      <w:r w:rsidRPr="004F7D03">
        <w:t xml:space="preserve"> diplom o</w:t>
      </w:r>
      <w:r w:rsidR="00E745AC">
        <w:t xml:space="preserve"> </w:t>
      </w:r>
      <w:r>
        <w:t>specializaci v </w:t>
      </w:r>
      <w:r w:rsidRPr="004F7D03">
        <w:t>příslušném specializačním oboru.</w:t>
      </w:r>
    </w:p>
    <w:p w14:paraId="57B00C27" w14:textId="77777777" w:rsidR="004F7D03" w:rsidRPr="004F7D03" w:rsidRDefault="004F7D03" w:rsidP="00C52E7E">
      <w:pPr>
        <w:widowControl/>
      </w:pPr>
    </w:p>
    <w:p w14:paraId="17CF1966" w14:textId="0FD8BE55" w:rsidR="004F7D03" w:rsidRPr="004F7D03" w:rsidRDefault="004F7D03" w:rsidP="00C52E7E">
      <w:pPr>
        <w:widowControl/>
      </w:pPr>
      <w:r w:rsidRPr="006E61F2">
        <w:rPr>
          <w:b/>
        </w:rPr>
        <w:t>Podmínky získávání způsobilosti k výkonu nelékařského zdravotnického povolání</w:t>
      </w:r>
      <w:r w:rsidRPr="004F7D03">
        <w:t xml:space="preserve"> a</w:t>
      </w:r>
      <w:r w:rsidR="00E745AC">
        <w:t xml:space="preserve"> </w:t>
      </w:r>
      <w:r w:rsidRPr="004F7D03">
        <w:t>k výkonu činností souvisejících s poskytováním zdravotní péče v České republice upravuje zákon č.</w:t>
      </w:r>
      <w:r>
        <w:t> </w:t>
      </w:r>
      <w:r w:rsidRPr="004F7D03">
        <w:t>96/2004 Sb. Vzdělávací program specializačního vzděláván</w:t>
      </w:r>
      <w:r w:rsidR="006E61F2">
        <w:t>í v nelékařských oborech, které</w:t>
      </w:r>
      <w:r w:rsidR="00E745AC">
        <w:t xml:space="preserve"> </w:t>
      </w:r>
      <w:r w:rsidRPr="004F7D03">
        <w:t xml:space="preserve">je podporováno výdaji </w:t>
      </w:r>
      <w:proofErr w:type="spellStart"/>
      <w:r w:rsidRPr="004F7D03">
        <w:t>MZd</w:t>
      </w:r>
      <w:proofErr w:type="spellEnd"/>
      <w:r w:rsidRPr="004F7D03">
        <w:t xml:space="preserve"> na další vzdělávání pracovníků ve zdravotnictví, se</w:t>
      </w:r>
      <w:r w:rsidR="006E61F2">
        <w:t xml:space="preserve"> skládá z </w:t>
      </w:r>
      <w:r w:rsidRPr="004F7D03">
        <w:t>modulů. Specializační vzdělávání zahrnuje, stejně jako u</w:t>
      </w:r>
      <w:r w:rsidR="001130AA">
        <w:t xml:space="preserve"> lékařů, získání teoretických </w:t>
      </w:r>
      <w:r w:rsidR="003C003C">
        <w:br/>
      </w:r>
      <w:r w:rsidR="001130AA">
        <w:t>i</w:t>
      </w:r>
      <w:r w:rsidR="003C003C">
        <w:t xml:space="preserve"> </w:t>
      </w:r>
      <w:r w:rsidRPr="004F7D03">
        <w:t xml:space="preserve">praktických dovedností a jejich následné ověření. Po úspěšném absolvování atestační zkoušky vydá </w:t>
      </w:r>
      <w:proofErr w:type="spellStart"/>
      <w:r w:rsidRPr="004F7D03">
        <w:t>MZd</w:t>
      </w:r>
      <w:proofErr w:type="spellEnd"/>
      <w:r w:rsidRPr="004F7D03">
        <w:t xml:space="preserve"> účastníkovi diplom o specializaci v příslušném oboru. </w:t>
      </w:r>
    </w:p>
    <w:p w14:paraId="1BE76D27" w14:textId="77777777" w:rsidR="004F7D03" w:rsidRDefault="004F7D03" w:rsidP="00C52E7E">
      <w:pPr>
        <w:widowControl/>
      </w:pPr>
    </w:p>
    <w:p w14:paraId="5235968C" w14:textId="76D9CB4D" w:rsidR="00BC4760" w:rsidRDefault="00BC4760" w:rsidP="00C52E7E">
      <w:pPr>
        <w:widowControl/>
      </w:pPr>
      <w:r w:rsidRPr="006E61F2">
        <w:rPr>
          <w:b/>
        </w:rPr>
        <w:t>Na systému postgraduálního vzdělávání</w:t>
      </w:r>
      <w:r w:rsidR="000C470A">
        <w:t xml:space="preserve"> </w:t>
      </w:r>
      <w:r>
        <w:t xml:space="preserve">se podílí řada subjektů. Patří k nim zejména </w:t>
      </w:r>
      <w:proofErr w:type="spellStart"/>
      <w:r>
        <w:t>MZd</w:t>
      </w:r>
      <w:proofErr w:type="spellEnd"/>
      <w:r>
        <w:t xml:space="preserve"> ja</w:t>
      </w:r>
      <w:r w:rsidR="003B304D">
        <w:t>ko</w:t>
      </w:r>
      <w:r w:rsidR="00E745AC">
        <w:t xml:space="preserve"> </w:t>
      </w:r>
      <w:r>
        <w:t>ústřední orgán státní správy České republiky pro oblast zdravotnictví, jeho příspěvkové organizace IPVZ a NCONZO, lékařské fakulty (dále také „LF“) českých univerzit a</w:t>
      </w:r>
      <w:r w:rsidR="00E745AC">
        <w:t xml:space="preserve"> </w:t>
      </w:r>
      <w:r>
        <w:t>poskytovatelé zdravotních služeb</w:t>
      </w:r>
      <w:r w:rsidR="000C470A">
        <w:t>.</w:t>
      </w:r>
    </w:p>
    <w:p w14:paraId="6CDD6248" w14:textId="77777777" w:rsidR="00BC4760" w:rsidRDefault="00BC4760" w:rsidP="00C52E7E">
      <w:pPr>
        <w:widowControl/>
      </w:pPr>
    </w:p>
    <w:p w14:paraId="49D4AC3E" w14:textId="77777777" w:rsidR="00DA1335" w:rsidRDefault="00DA1335">
      <w:pPr>
        <w:widowControl/>
        <w:autoSpaceDE/>
        <w:autoSpaceDN/>
        <w:adjustRightInd/>
        <w:spacing w:after="160" w:line="259" w:lineRule="auto"/>
        <w:jc w:val="left"/>
      </w:pPr>
      <w:r>
        <w:br w:type="page"/>
      </w:r>
    </w:p>
    <w:p w14:paraId="041053CE" w14:textId="4B77B12B" w:rsidR="00BC4760" w:rsidRDefault="008260EE" w:rsidP="00C52E7E">
      <w:pPr>
        <w:widowControl/>
      </w:pPr>
      <w:r>
        <w:t xml:space="preserve">Kontrola NKÚ byla zaměřena na kontrolu prostředků vydávaných </w:t>
      </w:r>
      <w:proofErr w:type="spellStart"/>
      <w:r>
        <w:t>MZd</w:t>
      </w:r>
      <w:proofErr w:type="spellEnd"/>
      <w:r>
        <w:t xml:space="preserve"> na další vzdělávání pracovníků ve zdravotnictví v letech 2015 až 2018. </w:t>
      </w:r>
      <w:r w:rsidR="00BC4760">
        <w:t xml:space="preserve">Finanční prostředky </w:t>
      </w:r>
      <w:proofErr w:type="spellStart"/>
      <w:r w:rsidR="00BC4760">
        <w:t>MZd</w:t>
      </w:r>
      <w:proofErr w:type="spellEnd"/>
      <w:r w:rsidR="00BC4760">
        <w:t xml:space="preserve"> poskytuje zejména prostřednictvím programů podporujících vznik rezidenčních míst</w:t>
      </w:r>
      <w:r w:rsidR="00BC4760">
        <w:rPr>
          <w:rStyle w:val="Znakapoznpodarou"/>
        </w:rPr>
        <w:footnoteReference w:id="11"/>
      </w:r>
      <w:r w:rsidR="00B83E17">
        <w:t>, tj. školicích míst</w:t>
      </w:r>
      <w:r w:rsidR="00BC4760">
        <w:t>, na zabezpečení vzdělávání univerzitami a</w:t>
      </w:r>
      <w:r w:rsidR="00E745AC">
        <w:t xml:space="preserve"> </w:t>
      </w:r>
      <w:r w:rsidR="00BC4760">
        <w:t>na</w:t>
      </w:r>
      <w:r w:rsidR="00E745AC">
        <w:t xml:space="preserve"> </w:t>
      </w:r>
      <w:r w:rsidR="00BC4760">
        <w:t xml:space="preserve">úhradu zkoušek ověřujících dosaženou úroveň znalostí. </w:t>
      </w:r>
      <w:proofErr w:type="spellStart"/>
      <w:r w:rsidR="00BC4760">
        <w:t>MZd</w:t>
      </w:r>
      <w:proofErr w:type="spellEnd"/>
      <w:r w:rsidR="00BC4760">
        <w:t xml:space="preserve"> poskytuje také příspěvek</w:t>
      </w:r>
      <w:r w:rsidR="00C077E9">
        <w:t xml:space="preserve"> na</w:t>
      </w:r>
      <w:r w:rsidR="00E745AC">
        <w:t xml:space="preserve"> </w:t>
      </w:r>
      <w:r w:rsidR="00C077E9">
        <w:t>provoz IPVZ a</w:t>
      </w:r>
      <w:r w:rsidR="00E745AC">
        <w:t xml:space="preserve"> </w:t>
      </w:r>
      <w:r w:rsidR="00C077E9">
        <w:t>NCONZO, které</w:t>
      </w:r>
      <w:r w:rsidR="00E745AC">
        <w:t xml:space="preserve"> </w:t>
      </w:r>
      <w:r w:rsidR="00BC4760">
        <w:t xml:space="preserve">pro resort plní řadu úkolů </w:t>
      </w:r>
      <w:r w:rsidR="00F55A9D">
        <w:t xml:space="preserve">mj. </w:t>
      </w:r>
      <w:r w:rsidR="00BC4760">
        <w:t xml:space="preserve">souvisejících s dalším vzděláváním. Zejména realizují vybrané části vzdělávacích programů. IPVZ </w:t>
      </w:r>
      <w:r w:rsidR="00F55A9D">
        <w:t xml:space="preserve">v této oblasti </w:t>
      </w:r>
      <w:r w:rsidR="00BC4760">
        <w:t xml:space="preserve">pro </w:t>
      </w:r>
      <w:proofErr w:type="spellStart"/>
      <w:r w:rsidR="00BC4760">
        <w:t>MZd</w:t>
      </w:r>
      <w:proofErr w:type="spellEnd"/>
      <w:r w:rsidR="00BC4760">
        <w:t xml:space="preserve"> </w:t>
      </w:r>
      <w:r w:rsidR="00C077E9">
        <w:t>z</w:t>
      </w:r>
      <w:r w:rsidR="00BC4760">
        <w:t>abezpečuje adm</w:t>
      </w:r>
      <w:r w:rsidR="00F91E58">
        <w:t>inistraci dotačních programů na</w:t>
      </w:r>
      <w:r w:rsidR="00E745AC">
        <w:t xml:space="preserve"> </w:t>
      </w:r>
      <w:r w:rsidR="00BC4760">
        <w:t xml:space="preserve">podporu </w:t>
      </w:r>
      <w:r w:rsidR="003439A7">
        <w:t>školicích</w:t>
      </w:r>
      <w:r w:rsidR="00BC4760">
        <w:t xml:space="preserve"> míst. Výdaje </w:t>
      </w:r>
      <w:proofErr w:type="spellStart"/>
      <w:r w:rsidR="00BC4760">
        <w:t>MZd</w:t>
      </w:r>
      <w:proofErr w:type="spellEnd"/>
      <w:r w:rsidR="00BC4760">
        <w:t xml:space="preserve"> na</w:t>
      </w:r>
      <w:r w:rsidR="00C077E9">
        <w:t xml:space="preserve"> další vzdělávání pracovníků ve</w:t>
      </w:r>
      <w:r w:rsidR="00E745AC">
        <w:t xml:space="preserve"> </w:t>
      </w:r>
      <w:r w:rsidR="00BC4760">
        <w:t xml:space="preserve">zdravotnictví </w:t>
      </w:r>
      <w:r w:rsidR="00B16601">
        <w:t xml:space="preserve">rozdělené podle jejich využití </w:t>
      </w:r>
      <w:r w:rsidR="00BC4760">
        <w:t>uvádí následující tabulka.</w:t>
      </w:r>
    </w:p>
    <w:p w14:paraId="4C52A43F" w14:textId="77777777" w:rsidR="0050693A" w:rsidRDefault="0050693A" w:rsidP="00C52E7E">
      <w:pPr>
        <w:widowControl/>
      </w:pPr>
    </w:p>
    <w:p w14:paraId="016BABD4" w14:textId="6FBE4672" w:rsidR="00BC4760" w:rsidRDefault="00BC4760" w:rsidP="000B6982">
      <w:pPr>
        <w:pStyle w:val="Nzevtabulky"/>
        <w:keepNext w:val="0"/>
        <w:numPr>
          <w:ilvl w:val="1"/>
          <w:numId w:val="6"/>
        </w:numPr>
        <w:tabs>
          <w:tab w:val="right" w:pos="9072"/>
        </w:tabs>
        <w:ind w:left="0" w:firstLine="0"/>
        <w:jc w:val="left"/>
        <w:rPr>
          <w:lang w:eastAsia="cs-CZ"/>
        </w:rPr>
      </w:pPr>
      <w:r>
        <w:rPr>
          <w:lang w:eastAsia="cs-CZ"/>
        </w:rPr>
        <w:t xml:space="preserve">Výdaje </w:t>
      </w:r>
      <w:proofErr w:type="spellStart"/>
      <w:r>
        <w:rPr>
          <w:lang w:eastAsia="cs-CZ"/>
        </w:rPr>
        <w:t>MZd</w:t>
      </w:r>
      <w:proofErr w:type="spellEnd"/>
      <w:r>
        <w:rPr>
          <w:lang w:eastAsia="cs-CZ"/>
        </w:rPr>
        <w:t xml:space="preserve"> </w:t>
      </w:r>
      <w:r w:rsidR="00DA1335">
        <w:rPr>
          <w:lang w:eastAsia="cs-CZ"/>
        </w:rPr>
        <w:t>na</w:t>
      </w:r>
      <w:r>
        <w:rPr>
          <w:lang w:eastAsia="cs-CZ"/>
        </w:rPr>
        <w:t xml:space="preserve"> </w:t>
      </w:r>
      <w:r w:rsidR="00DA1335">
        <w:rPr>
          <w:lang w:eastAsia="cs-CZ"/>
        </w:rPr>
        <w:t>d</w:t>
      </w:r>
      <w:r>
        <w:rPr>
          <w:lang w:eastAsia="cs-CZ"/>
        </w:rPr>
        <w:t xml:space="preserve">alší vzdělávání pracovníků ve zdravotnictví </w:t>
      </w:r>
      <w:r w:rsidR="006544CC">
        <w:rPr>
          <w:lang w:eastAsia="cs-CZ"/>
        </w:rPr>
        <w:tab/>
      </w:r>
      <w:r>
        <w:rPr>
          <w:lang w:eastAsia="cs-CZ"/>
        </w:rPr>
        <w:t>(v tis. Kč)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3"/>
        <w:gridCol w:w="1008"/>
        <w:gridCol w:w="1008"/>
        <w:gridCol w:w="1008"/>
        <w:gridCol w:w="1008"/>
        <w:gridCol w:w="1510"/>
      </w:tblGrid>
      <w:tr w:rsidR="00FE7085" w:rsidRPr="00953032" w14:paraId="1EBB75DA" w14:textId="77777777" w:rsidTr="00FE7085">
        <w:trPr>
          <w:trHeight w:val="170"/>
        </w:trPr>
        <w:tc>
          <w:tcPr>
            <w:tcW w:w="1750" w:type="pct"/>
            <w:shd w:val="clear" w:color="000000" w:fill="DDEBF7"/>
            <w:noWrap/>
            <w:vAlign w:val="center"/>
            <w:hideMark/>
          </w:tcPr>
          <w:p w14:paraId="1AAB9B04" w14:textId="77777777" w:rsidR="00BC4760" w:rsidRPr="00953032" w:rsidRDefault="00BC4760" w:rsidP="00C52E7E">
            <w:pPr>
              <w:pStyle w:val="tabulka"/>
              <w:keepNext w:val="0"/>
              <w:jc w:val="center"/>
              <w:rPr>
                <w:b/>
                <w:sz w:val="20"/>
              </w:rPr>
            </w:pPr>
            <w:r w:rsidRPr="00953032">
              <w:rPr>
                <w:b/>
                <w:sz w:val="20"/>
              </w:rPr>
              <w:t>Položka</w:t>
            </w:r>
          </w:p>
        </w:tc>
        <w:tc>
          <w:tcPr>
            <w:tcW w:w="500" w:type="pct"/>
            <w:shd w:val="clear" w:color="000000" w:fill="DDEBF7"/>
            <w:noWrap/>
            <w:vAlign w:val="center"/>
            <w:hideMark/>
          </w:tcPr>
          <w:p w14:paraId="4466A85E" w14:textId="77777777" w:rsidR="00BC4760" w:rsidRPr="00953032" w:rsidRDefault="00BC4760" w:rsidP="00C52E7E">
            <w:pPr>
              <w:pStyle w:val="tabulka"/>
              <w:keepNext w:val="0"/>
              <w:jc w:val="center"/>
              <w:rPr>
                <w:b/>
                <w:sz w:val="20"/>
              </w:rPr>
            </w:pPr>
            <w:r w:rsidRPr="00953032">
              <w:rPr>
                <w:b/>
                <w:sz w:val="20"/>
              </w:rPr>
              <w:t>2015</w:t>
            </w:r>
          </w:p>
        </w:tc>
        <w:tc>
          <w:tcPr>
            <w:tcW w:w="500" w:type="pct"/>
            <w:shd w:val="clear" w:color="000000" w:fill="DDEBF7"/>
            <w:noWrap/>
            <w:vAlign w:val="center"/>
            <w:hideMark/>
          </w:tcPr>
          <w:p w14:paraId="3156012B" w14:textId="77777777" w:rsidR="00BC4760" w:rsidRPr="00953032" w:rsidRDefault="00BC4760" w:rsidP="00C52E7E">
            <w:pPr>
              <w:pStyle w:val="tabulka"/>
              <w:keepNext w:val="0"/>
              <w:jc w:val="center"/>
              <w:rPr>
                <w:b/>
                <w:sz w:val="20"/>
              </w:rPr>
            </w:pPr>
            <w:r w:rsidRPr="00953032">
              <w:rPr>
                <w:b/>
                <w:sz w:val="20"/>
              </w:rPr>
              <w:t>2016</w:t>
            </w:r>
          </w:p>
        </w:tc>
        <w:tc>
          <w:tcPr>
            <w:tcW w:w="500" w:type="pct"/>
            <w:shd w:val="clear" w:color="000000" w:fill="DDEBF7"/>
            <w:noWrap/>
            <w:vAlign w:val="center"/>
            <w:hideMark/>
          </w:tcPr>
          <w:p w14:paraId="4B7796B4" w14:textId="77777777" w:rsidR="00BC4760" w:rsidRPr="00953032" w:rsidRDefault="00BC4760" w:rsidP="00C52E7E">
            <w:pPr>
              <w:pStyle w:val="tabulka"/>
              <w:keepNext w:val="0"/>
              <w:jc w:val="center"/>
              <w:rPr>
                <w:b/>
                <w:sz w:val="20"/>
              </w:rPr>
            </w:pPr>
            <w:r w:rsidRPr="00953032">
              <w:rPr>
                <w:b/>
                <w:sz w:val="20"/>
              </w:rPr>
              <w:t>2017</w:t>
            </w:r>
          </w:p>
        </w:tc>
        <w:tc>
          <w:tcPr>
            <w:tcW w:w="500" w:type="pct"/>
            <w:shd w:val="clear" w:color="000000" w:fill="DDEBF7"/>
            <w:noWrap/>
            <w:vAlign w:val="center"/>
            <w:hideMark/>
          </w:tcPr>
          <w:p w14:paraId="45DD4730" w14:textId="77777777" w:rsidR="00BC4760" w:rsidRPr="00953032" w:rsidRDefault="00BC4760" w:rsidP="00C52E7E">
            <w:pPr>
              <w:pStyle w:val="tabulka"/>
              <w:keepNext w:val="0"/>
              <w:jc w:val="center"/>
              <w:rPr>
                <w:b/>
                <w:sz w:val="20"/>
              </w:rPr>
            </w:pPr>
            <w:r w:rsidRPr="00953032">
              <w:rPr>
                <w:b/>
                <w:sz w:val="20"/>
              </w:rPr>
              <w:t>2018</w:t>
            </w:r>
          </w:p>
        </w:tc>
        <w:tc>
          <w:tcPr>
            <w:tcW w:w="750" w:type="pct"/>
            <w:shd w:val="clear" w:color="000000" w:fill="DDEBF7"/>
            <w:noWrap/>
            <w:vAlign w:val="center"/>
            <w:hideMark/>
          </w:tcPr>
          <w:p w14:paraId="5500E76F" w14:textId="77777777" w:rsidR="00BC4760" w:rsidRPr="00953032" w:rsidRDefault="00BC4760" w:rsidP="00C52E7E">
            <w:pPr>
              <w:pStyle w:val="tabulka"/>
              <w:keepNext w:val="0"/>
              <w:jc w:val="center"/>
              <w:rPr>
                <w:b/>
                <w:sz w:val="20"/>
              </w:rPr>
            </w:pPr>
            <w:r w:rsidRPr="00953032">
              <w:rPr>
                <w:b/>
                <w:sz w:val="20"/>
              </w:rPr>
              <w:t>Celkem</w:t>
            </w:r>
          </w:p>
        </w:tc>
      </w:tr>
      <w:tr w:rsidR="00FE7085" w:rsidRPr="00953032" w14:paraId="7B25FEC7" w14:textId="77777777" w:rsidTr="00FE7085">
        <w:trPr>
          <w:trHeight w:val="170"/>
        </w:trPr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18A4EE96" w14:textId="77777777" w:rsidR="00BC4760" w:rsidRPr="00953032" w:rsidRDefault="00BC4760" w:rsidP="00C52E7E">
            <w:pPr>
              <w:pStyle w:val="tabulka"/>
              <w:keepNext w:val="0"/>
              <w:jc w:val="left"/>
              <w:rPr>
                <w:sz w:val="20"/>
              </w:rPr>
            </w:pPr>
            <w:r w:rsidRPr="00953032">
              <w:rPr>
                <w:sz w:val="20"/>
              </w:rPr>
              <w:t>Příspěvek na činnost (IPVZ, NCONZO)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0A61A16D" w14:textId="77777777" w:rsidR="00BC4760" w:rsidRPr="00953032" w:rsidRDefault="00BC4760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953032">
              <w:rPr>
                <w:sz w:val="20"/>
              </w:rPr>
              <w:t>79 000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5E7A7729" w14:textId="77777777" w:rsidR="00BC4760" w:rsidRPr="00953032" w:rsidRDefault="00BC4760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953032">
              <w:rPr>
                <w:sz w:val="20"/>
              </w:rPr>
              <w:t>75 839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1B3A5250" w14:textId="77777777" w:rsidR="00BC4760" w:rsidRPr="00953032" w:rsidRDefault="00BC4760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953032">
              <w:rPr>
                <w:sz w:val="20"/>
              </w:rPr>
              <w:t>75 500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2774888D" w14:textId="77777777" w:rsidR="00BC4760" w:rsidRPr="00953032" w:rsidRDefault="00BC4760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953032">
              <w:rPr>
                <w:sz w:val="20"/>
              </w:rPr>
              <w:t>78 764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3CA7599F" w14:textId="77777777" w:rsidR="00BC4760" w:rsidRPr="00953032" w:rsidRDefault="00BC4760" w:rsidP="00C52E7E">
            <w:pPr>
              <w:pStyle w:val="tabulka"/>
              <w:keepNext w:val="0"/>
              <w:jc w:val="right"/>
              <w:rPr>
                <w:b/>
                <w:sz w:val="20"/>
              </w:rPr>
            </w:pPr>
            <w:r w:rsidRPr="00953032">
              <w:rPr>
                <w:b/>
                <w:sz w:val="20"/>
              </w:rPr>
              <w:t>309 103</w:t>
            </w:r>
          </w:p>
        </w:tc>
      </w:tr>
      <w:tr w:rsidR="00FE7085" w:rsidRPr="00953032" w14:paraId="00C3913D" w14:textId="77777777" w:rsidTr="00FE7085">
        <w:trPr>
          <w:trHeight w:val="170"/>
        </w:trPr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7BAC0636" w14:textId="77777777" w:rsidR="00BC4760" w:rsidRPr="00953032" w:rsidRDefault="00BC4760" w:rsidP="00C52E7E">
            <w:pPr>
              <w:pStyle w:val="tabulka"/>
              <w:keepNext w:val="0"/>
              <w:jc w:val="left"/>
              <w:rPr>
                <w:sz w:val="20"/>
              </w:rPr>
            </w:pPr>
            <w:r w:rsidRPr="00953032">
              <w:rPr>
                <w:sz w:val="20"/>
              </w:rPr>
              <w:t xml:space="preserve">Atestační zkoušky </w:t>
            </w:r>
            <w:proofErr w:type="spellStart"/>
            <w:r w:rsidRPr="00953032">
              <w:rPr>
                <w:sz w:val="20"/>
              </w:rPr>
              <w:t>nelékařů</w:t>
            </w:r>
            <w:proofErr w:type="spellEnd"/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11773171" w14:textId="77777777" w:rsidR="00BC4760" w:rsidRPr="00953032" w:rsidRDefault="00BC4760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953032">
              <w:rPr>
                <w:sz w:val="20"/>
              </w:rPr>
              <w:t>5 431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24B07E37" w14:textId="77777777" w:rsidR="00BC4760" w:rsidRPr="00953032" w:rsidRDefault="00BC4760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953032">
              <w:rPr>
                <w:sz w:val="20"/>
              </w:rPr>
              <w:t>4 834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21E6C65E" w14:textId="77777777" w:rsidR="00BC4760" w:rsidRPr="00953032" w:rsidRDefault="00BC4760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953032">
              <w:rPr>
                <w:sz w:val="20"/>
              </w:rPr>
              <w:t>4 290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2D54DB71" w14:textId="77777777" w:rsidR="00BC4760" w:rsidRPr="00953032" w:rsidRDefault="00BC4760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953032">
              <w:rPr>
                <w:sz w:val="20"/>
              </w:rPr>
              <w:t>3 618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2B7348FB" w14:textId="77777777" w:rsidR="00BC4760" w:rsidRPr="00953032" w:rsidRDefault="00BC4760" w:rsidP="00C52E7E">
            <w:pPr>
              <w:pStyle w:val="tabulka"/>
              <w:keepNext w:val="0"/>
              <w:jc w:val="right"/>
              <w:rPr>
                <w:b/>
                <w:sz w:val="20"/>
              </w:rPr>
            </w:pPr>
            <w:r w:rsidRPr="00953032">
              <w:rPr>
                <w:b/>
                <w:sz w:val="20"/>
              </w:rPr>
              <w:t>18 173</w:t>
            </w:r>
          </w:p>
        </w:tc>
      </w:tr>
      <w:tr w:rsidR="00FE7085" w:rsidRPr="00953032" w14:paraId="43EB8081" w14:textId="77777777" w:rsidTr="00FE7085">
        <w:trPr>
          <w:trHeight w:val="170"/>
        </w:trPr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69A792A5" w14:textId="54654A5D" w:rsidR="00BC4760" w:rsidRPr="00953032" w:rsidRDefault="005E284B" w:rsidP="00C52E7E">
            <w:pPr>
              <w:pStyle w:val="tabulka"/>
              <w:keepNext w:val="0"/>
              <w:jc w:val="left"/>
              <w:rPr>
                <w:sz w:val="20"/>
              </w:rPr>
            </w:pPr>
            <w:r>
              <w:rPr>
                <w:sz w:val="20"/>
              </w:rPr>
              <w:t>Školicí</w:t>
            </w:r>
            <w:r w:rsidR="00BC4760" w:rsidRPr="00953032">
              <w:rPr>
                <w:sz w:val="20"/>
              </w:rPr>
              <w:t xml:space="preserve"> místa ─ </w:t>
            </w:r>
            <w:proofErr w:type="spellStart"/>
            <w:r w:rsidR="00BC4760" w:rsidRPr="00953032">
              <w:rPr>
                <w:sz w:val="20"/>
              </w:rPr>
              <w:t>nelékaři</w:t>
            </w:r>
            <w:proofErr w:type="spellEnd"/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5CB1BAB4" w14:textId="77777777" w:rsidR="00BC4760" w:rsidRPr="00953032" w:rsidRDefault="00BC4760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953032">
              <w:rPr>
                <w:sz w:val="20"/>
              </w:rPr>
              <w:t>40 957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29546CE0" w14:textId="77777777" w:rsidR="00BC4760" w:rsidRPr="00953032" w:rsidRDefault="00BC4760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953032">
              <w:rPr>
                <w:sz w:val="20"/>
              </w:rPr>
              <w:t>33 071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26E18CEB" w14:textId="77777777" w:rsidR="00BC4760" w:rsidRPr="00953032" w:rsidRDefault="00BC4760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953032">
              <w:rPr>
                <w:sz w:val="20"/>
              </w:rPr>
              <w:t>32 686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35E7C80C" w14:textId="77777777" w:rsidR="00BC4760" w:rsidRPr="00953032" w:rsidRDefault="00BC4760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953032">
              <w:rPr>
                <w:sz w:val="20"/>
              </w:rPr>
              <w:t>36 439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17F24270" w14:textId="77777777" w:rsidR="00BC4760" w:rsidRPr="00953032" w:rsidRDefault="00BC4760" w:rsidP="00C52E7E">
            <w:pPr>
              <w:pStyle w:val="tabulka"/>
              <w:keepNext w:val="0"/>
              <w:jc w:val="right"/>
              <w:rPr>
                <w:b/>
                <w:sz w:val="20"/>
              </w:rPr>
            </w:pPr>
            <w:r w:rsidRPr="00953032">
              <w:rPr>
                <w:b/>
                <w:sz w:val="20"/>
              </w:rPr>
              <w:t>143 153</w:t>
            </w:r>
          </w:p>
        </w:tc>
      </w:tr>
      <w:tr w:rsidR="00FE7085" w:rsidRPr="00953032" w14:paraId="61C3ACA5" w14:textId="77777777" w:rsidTr="00FE7085">
        <w:trPr>
          <w:trHeight w:val="170"/>
        </w:trPr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3CADA915" w14:textId="3CC23B39" w:rsidR="00BC4760" w:rsidRPr="00953032" w:rsidRDefault="005E284B" w:rsidP="00C52E7E">
            <w:pPr>
              <w:pStyle w:val="tabulka"/>
              <w:keepNext w:val="0"/>
              <w:jc w:val="left"/>
              <w:rPr>
                <w:sz w:val="20"/>
              </w:rPr>
            </w:pPr>
            <w:r>
              <w:rPr>
                <w:sz w:val="20"/>
              </w:rPr>
              <w:t>Školicí</w:t>
            </w:r>
            <w:r w:rsidR="00BC4760" w:rsidRPr="00953032">
              <w:rPr>
                <w:sz w:val="20"/>
              </w:rPr>
              <w:t xml:space="preserve"> místa ─ lékaři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6D3C6AC2" w14:textId="77777777" w:rsidR="00BC4760" w:rsidRPr="00953032" w:rsidRDefault="00BC4760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953032">
              <w:rPr>
                <w:sz w:val="20"/>
              </w:rPr>
              <w:t>149 125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41D89667" w14:textId="77777777" w:rsidR="00BC4760" w:rsidRPr="00953032" w:rsidRDefault="00BC4760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953032">
              <w:rPr>
                <w:sz w:val="20"/>
              </w:rPr>
              <w:t>189 143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2D0EC60F" w14:textId="77777777" w:rsidR="00BC4760" w:rsidRPr="00953032" w:rsidRDefault="00BC4760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953032">
              <w:rPr>
                <w:sz w:val="20"/>
              </w:rPr>
              <w:t>320 028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2AD102B8" w14:textId="77777777" w:rsidR="00BC4760" w:rsidRPr="00953032" w:rsidRDefault="00BC4760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953032">
              <w:rPr>
                <w:sz w:val="20"/>
              </w:rPr>
              <w:t>423 303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2F621B72" w14:textId="77777777" w:rsidR="00BC4760" w:rsidRPr="00953032" w:rsidRDefault="00BC4760" w:rsidP="00C52E7E">
            <w:pPr>
              <w:pStyle w:val="tabulka"/>
              <w:keepNext w:val="0"/>
              <w:jc w:val="right"/>
              <w:rPr>
                <w:b/>
                <w:sz w:val="20"/>
              </w:rPr>
            </w:pPr>
            <w:r w:rsidRPr="00953032">
              <w:rPr>
                <w:b/>
                <w:sz w:val="20"/>
              </w:rPr>
              <w:t>1 081 599</w:t>
            </w:r>
          </w:p>
        </w:tc>
      </w:tr>
      <w:tr w:rsidR="00FE7085" w:rsidRPr="00953032" w14:paraId="6AF90220" w14:textId="77777777" w:rsidTr="00FE7085">
        <w:trPr>
          <w:trHeight w:val="170"/>
        </w:trPr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2AC313AE" w14:textId="272ACAB4" w:rsidR="00BC4760" w:rsidRPr="00953032" w:rsidRDefault="00BC4760" w:rsidP="00C52E7E">
            <w:pPr>
              <w:pStyle w:val="tabulka"/>
              <w:keepNext w:val="0"/>
              <w:jc w:val="left"/>
              <w:rPr>
                <w:sz w:val="20"/>
              </w:rPr>
            </w:pPr>
            <w:r w:rsidRPr="00953032">
              <w:rPr>
                <w:sz w:val="20"/>
              </w:rPr>
              <w:t>Zabezpečení specializačního vzdělávání lékařů (</w:t>
            </w:r>
            <w:r w:rsidR="00FE7085">
              <w:rPr>
                <w:sz w:val="20"/>
              </w:rPr>
              <w:t>univerzity,</w:t>
            </w:r>
            <w:r w:rsidRPr="00953032">
              <w:rPr>
                <w:sz w:val="20"/>
              </w:rPr>
              <w:t xml:space="preserve"> IPVZ)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18D6B69B" w14:textId="77777777" w:rsidR="00BC4760" w:rsidRPr="00953032" w:rsidRDefault="00BC4760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953032">
              <w:rPr>
                <w:sz w:val="20"/>
              </w:rPr>
              <w:t>38 372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00281B39" w14:textId="77777777" w:rsidR="00BC4760" w:rsidRPr="00953032" w:rsidRDefault="00BC4760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953032">
              <w:rPr>
                <w:sz w:val="20"/>
              </w:rPr>
              <w:t>44 917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1DA9150D" w14:textId="77777777" w:rsidR="00BC4760" w:rsidRPr="00953032" w:rsidRDefault="00BC4760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953032">
              <w:rPr>
                <w:sz w:val="20"/>
              </w:rPr>
              <w:t>51 516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7A99682A" w14:textId="77777777" w:rsidR="00BC4760" w:rsidRPr="00953032" w:rsidRDefault="00BC4760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953032">
              <w:rPr>
                <w:sz w:val="20"/>
              </w:rPr>
              <w:t>60 595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6A3E16AE" w14:textId="77777777" w:rsidR="00BC4760" w:rsidRPr="00953032" w:rsidRDefault="00BC4760" w:rsidP="00C52E7E">
            <w:pPr>
              <w:pStyle w:val="tabulka"/>
              <w:keepNext w:val="0"/>
              <w:jc w:val="right"/>
              <w:rPr>
                <w:b/>
                <w:sz w:val="20"/>
              </w:rPr>
            </w:pPr>
            <w:r w:rsidRPr="00953032">
              <w:rPr>
                <w:b/>
                <w:sz w:val="20"/>
              </w:rPr>
              <w:t>195 400</w:t>
            </w:r>
          </w:p>
        </w:tc>
      </w:tr>
      <w:tr w:rsidR="00FE7085" w:rsidRPr="00953032" w14:paraId="72ADE1F8" w14:textId="77777777" w:rsidTr="00FE7085">
        <w:trPr>
          <w:trHeight w:val="170"/>
        </w:trPr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6DD37B8F" w14:textId="77777777" w:rsidR="00BC4760" w:rsidRPr="00953032" w:rsidRDefault="00BC4760" w:rsidP="00C52E7E">
            <w:pPr>
              <w:pStyle w:val="tabulka"/>
              <w:keepNext w:val="0"/>
              <w:jc w:val="left"/>
              <w:rPr>
                <w:sz w:val="20"/>
              </w:rPr>
            </w:pPr>
            <w:r w:rsidRPr="00953032">
              <w:rPr>
                <w:sz w:val="20"/>
              </w:rPr>
              <w:t>Medik roku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6538198E" w14:textId="77777777" w:rsidR="00BC4760" w:rsidRPr="00953032" w:rsidRDefault="00BC4760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953032">
              <w:rPr>
                <w:sz w:val="20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34393920" w14:textId="77777777" w:rsidR="00BC4760" w:rsidRPr="00953032" w:rsidRDefault="00BC4760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953032">
              <w:rPr>
                <w:sz w:val="20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1251409E" w14:textId="77777777" w:rsidR="00BC4760" w:rsidRPr="00953032" w:rsidRDefault="00BC4760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953032">
              <w:rPr>
                <w:sz w:val="20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5228A585" w14:textId="77777777" w:rsidR="00BC4760" w:rsidRPr="00953032" w:rsidRDefault="00BC4760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953032">
              <w:rPr>
                <w:sz w:val="20"/>
              </w:rPr>
              <w:t>100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7C62BB06" w14:textId="77777777" w:rsidR="00BC4760" w:rsidRPr="00953032" w:rsidRDefault="00BC4760" w:rsidP="00C52E7E">
            <w:pPr>
              <w:pStyle w:val="tabulka"/>
              <w:keepNext w:val="0"/>
              <w:jc w:val="right"/>
              <w:rPr>
                <w:b/>
                <w:sz w:val="20"/>
              </w:rPr>
            </w:pPr>
            <w:r w:rsidRPr="00953032">
              <w:rPr>
                <w:b/>
                <w:sz w:val="20"/>
              </w:rPr>
              <w:t>100</w:t>
            </w:r>
          </w:p>
        </w:tc>
      </w:tr>
      <w:tr w:rsidR="00FE7085" w:rsidRPr="00953032" w14:paraId="3E16D47A" w14:textId="77777777" w:rsidTr="00FE7085">
        <w:trPr>
          <w:trHeight w:val="170"/>
        </w:trPr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13C2CCA0" w14:textId="77777777" w:rsidR="00BC4760" w:rsidRPr="00953032" w:rsidRDefault="00BC4760" w:rsidP="00C52E7E">
            <w:pPr>
              <w:pStyle w:val="tabulka"/>
              <w:keepNext w:val="0"/>
              <w:jc w:val="left"/>
              <w:rPr>
                <w:b/>
                <w:sz w:val="20"/>
              </w:rPr>
            </w:pPr>
            <w:r w:rsidRPr="00953032">
              <w:rPr>
                <w:b/>
                <w:sz w:val="20"/>
              </w:rPr>
              <w:t>Celkem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3330CE66" w14:textId="77777777" w:rsidR="00BC4760" w:rsidRPr="00953032" w:rsidRDefault="00BC4760" w:rsidP="00C52E7E">
            <w:pPr>
              <w:pStyle w:val="tabulka"/>
              <w:keepNext w:val="0"/>
              <w:jc w:val="right"/>
              <w:rPr>
                <w:b/>
                <w:sz w:val="20"/>
              </w:rPr>
            </w:pPr>
            <w:r w:rsidRPr="00953032">
              <w:rPr>
                <w:b/>
                <w:sz w:val="20"/>
              </w:rPr>
              <w:t>312 885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726AE256" w14:textId="77777777" w:rsidR="00BC4760" w:rsidRPr="00953032" w:rsidRDefault="00BC4760" w:rsidP="00C52E7E">
            <w:pPr>
              <w:pStyle w:val="tabulka"/>
              <w:keepNext w:val="0"/>
              <w:jc w:val="right"/>
              <w:rPr>
                <w:b/>
                <w:sz w:val="20"/>
              </w:rPr>
            </w:pPr>
            <w:r w:rsidRPr="00953032">
              <w:rPr>
                <w:b/>
                <w:sz w:val="20"/>
              </w:rPr>
              <w:t>347 804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097A01CB" w14:textId="77777777" w:rsidR="00BC4760" w:rsidRPr="00953032" w:rsidRDefault="00BC4760" w:rsidP="00C52E7E">
            <w:pPr>
              <w:pStyle w:val="tabulka"/>
              <w:keepNext w:val="0"/>
              <w:jc w:val="right"/>
              <w:rPr>
                <w:b/>
                <w:sz w:val="20"/>
              </w:rPr>
            </w:pPr>
            <w:r w:rsidRPr="00953032">
              <w:rPr>
                <w:b/>
                <w:sz w:val="20"/>
              </w:rPr>
              <w:t>484 020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28A388A9" w14:textId="77777777" w:rsidR="00BC4760" w:rsidRPr="00953032" w:rsidRDefault="00BC4760" w:rsidP="00C52E7E">
            <w:pPr>
              <w:pStyle w:val="tabulka"/>
              <w:keepNext w:val="0"/>
              <w:jc w:val="right"/>
              <w:rPr>
                <w:b/>
                <w:sz w:val="20"/>
              </w:rPr>
            </w:pPr>
            <w:r w:rsidRPr="00953032">
              <w:rPr>
                <w:b/>
                <w:sz w:val="20"/>
              </w:rPr>
              <w:t>602 819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24BE92EA" w14:textId="77777777" w:rsidR="00BC4760" w:rsidRPr="00953032" w:rsidRDefault="00BC4760" w:rsidP="00C52E7E">
            <w:pPr>
              <w:pStyle w:val="tabulka"/>
              <w:keepNext w:val="0"/>
              <w:jc w:val="right"/>
              <w:rPr>
                <w:b/>
                <w:sz w:val="20"/>
              </w:rPr>
            </w:pPr>
            <w:r w:rsidRPr="00953032">
              <w:rPr>
                <w:b/>
                <w:sz w:val="20"/>
              </w:rPr>
              <w:t>1 747 528</w:t>
            </w:r>
          </w:p>
        </w:tc>
      </w:tr>
    </w:tbl>
    <w:p w14:paraId="0CE23260" w14:textId="1FF4F499" w:rsidR="00BC4760" w:rsidRDefault="00BC4760" w:rsidP="003417FB">
      <w:pPr>
        <w:pStyle w:val="Poznmka"/>
      </w:pPr>
      <w:r w:rsidRPr="00F418B6">
        <w:rPr>
          <w:b/>
        </w:rPr>
        <w:t>Zdroj:</w:t>
      </w:r>
      <w:r w:rsidR="006544CC">
        <w:rPr>
          <w:b/>
        </w:rPr>
        <w:t xml:space="preserve"> </w:t>
      </w:r>
      <w:r w:rsidR="00DA1335">
        <w:t>z</w:t>
      </w:r>
      <w:r>
        <w:t xml:space="preserve">ávěrečné účty kapitoly 335 – </w:t>
      </w:r>
      <w:r w:rsidRPr="000B6982">
        <w:rPr>
          <w:i/>
        </w:rPr>
        <w:t>Ministerstvo zdravotnictví</w:t>
      </w:r>
      <w:r>
        <w:t xml:space="preserve"> za roky 2015─2018</w:t>
      </w:r>
      <w:r w:rsidR="00B16601">
        <w:t>.</w:t>
      </w:r>
    </w:p>
    <w:p w14:paraId="5CB34F7C" w14:textId="77777777" w:rsidR="00BC4760" w:rsidRDefault="00BC4760" w:rsidP="00C52E7E">
      <w:pPr>
        <w:widowControl/>
        <w:rPr>
          <w:b/>
        </w:rPr>
      </w:pPr>
    </w:p>
    <w:p w14:paraId="79180C11" w14:textId="67291736" w:rsidR="00B16601" w:rsidRDefault="00B16601" w:rsidP="00C52E7E">
      <w:pPr>
        <w:widowControl/>
      </w:pPr>
      <w:proofErr w:type="spellStart"/>
      <w:r w:rsidRPr="00BC4760">
        <w:t>MZd</w:t>
      </w:r>
      <w:proofErr w:type="spellEnd"/>
      <w:r w:rsidRPr="00BC4760">
        <w:t xml:space="preserve"> každoročně vypisuje dotační programy na </w:t>
      </w:r>
      <w:r w:rsidR="003439A7">
        <w:t>školicí</w:t>
      </w:r>
      <w:r w:rsidRPr="00BC4760">
        <w:t xml:space="preserve"> místa</w:t>
      </w:r>
      <w:r w:rsidR="00540B97">
        <w:t>, na něž bylo v kontrolovaném období vynaloženo více než 70 %</w:t>
      </w:r>
      <w:r>
        <w:t xml:space="preserve"> prostředků</w:t>
      </w:r>
      <w:r w:rsidR="00540B97">
        <w:t xml:space="preserve"> určených na </w:t>
      </w:r>
      <w:r w:rsidR="00270771">
        <w:t>d</w:t>
      </w:r>
      <w:r w:rsidR="00540B97" w:rsidRPr="00602D0E">
        <w:t>alší vzdělávání</w:t>
      </w:r>
      <w:r>
        <w:t>. V</w:t>
      </w:r>
      <w:r w:rsidR="00540B97">
        <w:t xml:space="preserve">yhlašován byl </w:t>
      </w:r>
      <w:r w:rsidR="003439A7">
        <w:t xml:space="preserve">vždy </w:t>
      </w:r>
      <w:r>
        <w:t>jeden program na celé specializační vzdělávání vybraných nelékařských oborů</w:t>
      </w:r>
      <w:r w:rsidR="00540B97">
        <w:t>. P</w:t>
      </w:r>
      <w:r>
        <w:t xml:space="preserve">ro </w:t>
      </w:r>
      <w:r w:rsidRPr="00D17A67">
        <w:t>lékařské obory</w:t>
      </w:r>
      <w:r w:rsidR="000C6AFE">
        <w:t xml:space="preserve"> byl</w:t>
      </w:r>
      <w:r>
        <w:t xml:space="preserve"> na roky 2015─2018 na</w:t>
      </w:r>
      <w:r w:rsidR="006544CC">
        <w:t xml:space="preserve"> </w:t>
      </w:r>
      <w:r w:rsidR="00237F35">
        <w:t>školicí</w:t>
      </w:r>
      <w:r>
        <w:t xml:space="preserve"> místa vždy </w:t>
      </w:r>
      <w:r w:rsidR="00540B97">
        <w:t>připrave</w:t>
      </w:r>
      <w:r>
        <w:t>n p</w:t>
      </w:r>
      <w:r w:rsidR="006E61F2">
        <w:t>rogram</w:t>
      </w:r>
      <w:r w:rsidRPr="00FD042E">
        <w:t xml:space="preserve"> na</w:t>
      </w:r>
      <w:r w:rsidR="006544CC">
        <w:t xml:space="preserve"> </w:t>
      </w:r>
      <w:r w:rsidR="006E61F2">
        <w:t>podporu</w:t>
      </w:r>
      <w:r w:rsidRPr="00FD042E">
        <w:t xml:space="preserve"> vzdě</w:t>
      </w:r>
      <w:r>
        <w:t>lávání lékařů v základním kmeni</w:t>
      </w:r>
      <w:r w:rsidR="00A377B1">
        <w:t xml:space="preserve">, tedy pouze první části specializačního </w:t>
      </w:r>
      <w:r w:rsidR="00A377B1" w:rsidRPr="00DB5937">
        <w:t>vzdělávání</w:t>
      </w:r>
      <w:r w:rsidR="00BC210F" w:rsidRPr="00DB5937">
        <w:t xml:space="preserve"> ve všech oborech a bez omezení počtu míst</w:t>
      </w:r>
      <w:r w:rsidR="00A377B1">
        <w:t>,</w:t>
      </w:r>
      <w:r>
        <w:t xml:space="preserve"> a </w:t>
      </w:r>
      <w:r w:rsidR="006E61F2">
        <w:t>dále</w:t>
      </w:r>
      <w:r w:rsidRPr="00FD042E">
        <w:t xml:space="preserve"> </w:t>
      </w:r>
      <w:r w:rsidR="00A377B1">
        <w:t>programy na podporu</w:t>
      </w:r>
      <w:r w:rsidRPr="00FD042E">
        <w:t xml:space="preserve"> </w:t>
      </w:r>
      <w:r w:rsidR="00237F35">
        <w:t>celé</w:t>
      </w:r>
      <w:r w:rsidR="00A377B1">
        <w:t>ho</w:t>
      </w:r>
      <w:r w:rsidR="00237F35">
        <w:t xml:space="preserve"> specializační</w:t>
      </w:r>
      <w:r w:rsidR="00A377B1">
        <w:t>ho</w:t>
      </w:r>
      <w:r w:rsidR="00237F35">
        <w:t xml:space="preserve"> vzdělávání </w:t>
      </w:r>
      <w:r w:rsidR="00A377B1">
        <w:t>ve</w:t>
      </w:r>
      <w:r w:rsidR="006544CC">
        <w:t xml:space="preserve"> </w:t>
      </w:r>
      <w:r w:rsidRPr="00FD042E">
        <w:t>vybraných obor</w:t>
      </w:r>
      <w:r w:rsidR="00A377B1">
        <w:t>ech</w:t>
      </w:r>
      <w:r>
        <w:t xml:space="preserve">. Mimo standardní režim vyhlašovaných programů dotací </w:t>
      </w:r>
      <w:r w:rsidR="003439A7">
        <w:t>školicích</w:t>
      </w:r>
      <w:r>
        <w:t xml:space="preserve"> míst vyhlásilo </w:t>
      </w:r>
      <w:proofErr w:type="spellStart"/>
      <w:r>
        <w:t>MZd</w:t>
      </w:r>
      <w:proofErr w:type="spellEnd"/>
      <w:r>
        <w:t xml:space="preserve"> v každém z roků 2017 a 2018 další dva mimořádné dotační programy podpory celého speci</w:t>
      </w:r>
      <w:r w:rsidR="000C6AFE">
        <w:t>alizačního vzdělávání lékařů ve</w:t>
      </w:r>
      <w:r w:rsidR="003C003C">
        <w:t xml:space="preserve"> </w:t>
      </w:r>
      <w:r>
        <w:t>vybraných oborech.</w:t>
      </w:r>
    </w:p>
    <w:p w14:paraId="368B5350" w14:textId="7702F969" w:rsidR="002F36F4" w:rsidRDefault="002F36F4" w:rsidP="00C52E7E">
      <w:pPr>
        <w:widowControl/>
      </w:pPr>
    </w:p>
    <w:p w14:paraId="4E147D1A" w14:textId="05C4D5FF" w:rsidR="005E606F" w:rsidRDefault="00BD2BDE" w:rsidP="00C52E7E">
      <w:pPr>
        <w:widowControl/>
      </w:pPr>
      <w:r>
        <w:t>V roce 2011 došlo ke</w:t>
      </w:r>
      <w:r w:rsidR="003831DC">
        <w:t xml:space="preserve"> změně v systému specializačního vzdělávání </w:t>
      </w:r>
      <w:r>
        <w:t>lékařů</w:t>
      </w:r>
      <w:r w:rsidR="00F40648">
        <w:t>. Teoretická část s</w:t>
      </w:r>
      <w:r w:rsidR="003831DC">
        <w:t>pecializační</w:t>
      </w:r>
      <w:r w:rsidR="00F40648">
        <w:t>ho</w:t>
      </w:r>
      <w:r w:rsidR="003831DC">
        <w:t xml:space="preserve"> vzdělávání lékařů a zubních lékařů v základních oborech byl</w:t>
      </w:r>
      <w:r w:rsidR="00F40648">
        <w:t>a</w:t>
      </w:r>
      <w:r w:rsidR="003831DC">
        <w:t xml:space="preserve"> převeden</w:t>
      </w:r>
      <w:r w:rsidR="00F40648">
        <w:t>a</w:t>
      </w:r>
      <w:r>
        <w:t xml:space="preserve"> z IPVZ na univerzity a</w:t>
      </w:r>
      <w:r w:rsidR="006544CC">
        <w:t xml:space="preserve"> </w:t>
      </w:r>
      <w:r>
        <w:t>jejich lékařské fakulty</w:t>
      </w:r>
      <w:r w:rsidR="003831DC">
        <w:t>. Výjimku tvoří</w:t>
      </w:r>
      <w:r w:rsidR="006544CC">
        <w:t xml:space="preserve"> </w:t>
      </w:r>
      <w:r w:rsidR="003831DC">
        <w:t>základní obory všeobecné praktické lékařství a praktické lékařství pro</w:t>
      </w:r>
      <w:r w:rsidR="006544CC">
        <w:t xml:space="preserve"> </w:t>
      </w:r>
      <w:r w:rsidR="003831DC">
        <w:t>děti a</w:t>
      </w:r>
      <w:r w:rsidR="006544CC">
        <w:t xml:space="preserve"> </w:t>
      </w:r>
      <w:r w:rsidR="003831DC">
        <w:t xml:space="preserve">dorost, které </w:t>
      </w:r>
      <w:r w:rsidR="006D493C">
        <w:t xml:space="preserve">zatím </w:t>
      </w:r>
      <w:r w:rsidR="003831DC">
        <w:t>zůstaly IPVZ.</w:t>
      </w:r>
    </w:p>
    <w:p w14:paraId="40013103" w14:textId="77777777" w:rsidR="005E606F" w:rsidRDefault="005E606F" w:rsidP="00C52E7E">
      <w:pPr>
        <w:widowControl/>
      </w:pPr>
    </w:p>
    <w:p w14:paraId="1328642B" w14:textId="12EB3F2F" w:rsidR="002F36F4" w:rsidRDefault="002F36F4" w:rsidP="00C52E7E">
      <w:pPr>
        <w:widowControl/>
      </w:pPr>
      <w:r w:rsidRPr="00BC4760">
        <w:t>Zabezpečením</w:t>
      </w:r>
      <w:r w:rsidR="00F55A9D">
        <w:t xml:space="preserve"> teoretické části</w:t>
      </w:r>
      <w:r w:rsidRPr="00BC4760">
        <w:t xml:space="preserve"> specializačního vzdělávání lékařů</w:t>
      </w:r>
      <w:r w:rsidR="00BD2BDE">
        <w:t xml:space="preserve"> jsou v současnosti</w:t>
      </w:r>
      <w:r>
        <w:t xml:space="preserve"> pověřen</w:t>
      </w:r>
      <w:r w:rsidR="00F55A9D">
        <w:t>y</w:t>
      </w:r>
      <w:r w:rsidR="00BD2BDE">
        <w:t xml:space="preserve"> čtyři</w:t>
      </w:r>
      <w:r w:rsidR="00F55A9D">
        <w:t xml:space="preserve"> </w:t>
      </w:r>
      <w:r>
        <w:t>univerzity</w:t>
      </w:r>
      <w:r w:rsidR="00BD2BDE">
        <w:t xml:space="preserve"> a jejich osm LF</w:t>
      </w:r>
      <w:r w:rsidR="00F55A9D">
        <w:t xml:space="preserve"> a IPVZ</w:t>
      </w:r>
      <w:r>
        <w:t>.</w:t>
      </w:r>
      <w:r w:rsidRPr="001644EC">
        <w:t xml:space="preserve"> </w:t>
      </w:r>
      <w:r>
        <w:t>Většinu prostředků určených na tuto oblast, každoročně více než 95 %, získávají univerzity</w:t>
      </w:r>
      <w:r w:rsidRPr="00A4517F">
        <w:t xml:space="preserve">. </w:t>
      </w:r>
      <w:r w:rsidR="00A4517F" w:rsidRPr="00DB5937">
        <w:t>Ty mají s </w:t>
      </w:r>
      <w:proofErr w:type="spellStart"/>
      <w:r w:rsidR="00A4517F" w:rsidRPr="00DB5937">
        <w:t>MZd</w:t>
      </w:r>
      <w:proofErr w:type="spellEnd"/>
      <w:r w:rsidR="00A4517F" w:rsidRPr="00DB5937">
        <w:t xml:space="preserve"> uzavřeny veřejnoprávní smlouvy, </w:t>
      </w:r>
      <w:r w:rsidR="00495FA4" w:rsidRPr="00DB5937">
        <w:t>v nichž</w:t>
      </w:r>
      <w:r w:rsidR="00A4517F" w:rsidRPr="00DB5937">
        <w:t xml:space="preserve"> jsou specifikovány činnosti, které univerzity vykonávají</w:t>
      </w:r>
      <w:r w:rsidR="00DA1335">
        <w:t>,</w:t>
      </w:r>
      <w:r w:rsidR="00A4517F" w:rsidRPr="00DB5937">
        <w:t xml:space="preserve"> včetně výše úhrad za výkon těchto činností.</w:t>
      </w:r>
      <w:r w:rsidR="00A4517F">
        <w:rPr>
          <w:rFonts w:asciiTheme="minorHAnsi" w:hAnsiTheme="minorHAnsi" w:cstheme="minorHAnsi"/>
          <w:i/>
        </w:rPr>
        <w:t xml:space="preserve"> </w:t>
      </w:r>
      <w:r w:rsidR="00606568" w:rsidRPr="00606568">
        <w:t>Základní činnosti, které univerzity na základě smluv vykonávají, jsou činnosti koordinační, činnosti spojené se</w:t>
      </w:r>
      <w:r w:rsidR="006544CC">
        <w:t xml:space="preserve"> </w:t>
      </w:r>
      <w:r w:rsidR="00606568" w:rsidRPr="00606568">
        <w:t>zařazováním do obo</w:t>
      </w:r>
      <w:r w:rsidR="00F57669">
        <w:t>rů specializačního vzdělávání a</w:t>
      </w:r>
      <w:r w:rsidR="006544CC">
        <w:t xml:space="preserve"> </w:t>
      </w:r>
      <w:r w:rsidR="00606568" w:rsidRPr="00606568">
        <w:t>evidence, předávání průkazů odbornosti, rozhodování o započtení praxe, provádění zkoušek po základním kmeni, posuzování splnění podmínek pro vykonání atestační zkoušky, provádění atestačních zkoušek, statistické a</w:t>
      </w:r>
      <w:r w:rsidR="006544CC">
        <w:t xml:space="preserve"> </w:t>
      </w:r>
      <w:r w:rsidR="00606568" w:rsidRPr="00606568">
        <w:t>analytické činnosti</w:t>
      </w:r>
      <w:r w:rsidR="00606568">
        <w:t xml:space="preserve">. </w:t>
      </w:r>
      <w:r w:rsidR="00A4517F" w:rsidRPr="00DB5937">
        <w:t xml:space="preserve">Úhrada vynaložených nákladů v souvislosti s výkonem činností je univerzitám poskytována formou dotací </w:t>
      </w:r>
      <w:r w:rsidR="00DA1335">
        <w:t>(</w:t>
      </w:r>
      <w:r w:rsidR="00A4517F" w:rsidRPr="00DB5937">
        <w:t>tj. na základě ro</w:t>
      </w:r>
      <w:r w:rsidR="005E606F">
        <w:t>zhodnutí o poskytnutí dotace</w:t>
      </w:r>
      <w:r w:rsidR="00DA1335">
        <w:t>)</w:t>
      </w:r>
      <w:r w:rsidR="005E606F">
        <w:t xml:space="preserve"> na</w:t>
      </w:r>
      <w:r w:rsidR="006544CC">
        <w:t xml:space="preserve"> </w:t>
      </w:r>
      <w:r w:rsidR="00A4517F" w:rsidRPr="00DB5937">
        <w:t>každý kalendářní rok.</w:t>
      </w:r>
      <w:r w:rsidR="00A4517F">
        <w:t xml:space="preserve"> </w:t>
      </w:r>
      <w:r>
        <w:t>Platby se skládají ze tří, resp. čtyř částí, jak je znázorněno v následující tabulce.</w:t>
      </w:r>
    </w:p>
    <w:p w14:paraId="2CDA2193" w14:textId="77777777" w:rsidR="0050693A" w:rsidRDefault="0050693A" w:rsidP="00C52E7E">
      <w:pPr>
        <w:widowControl/>
      </w:pPr>
    </w:p>
    <w:p w14:paraId="06DAFCCA" w14:textId="56A94A0D" w:rsidR="002F36F4" w:rsidRDefault="002F36F4" w:rsidP="000E273C">
      <w:pPr>
        <w:pStyle w:val="Nzevtabulky"/>
        <w:keepNext w:val="0"/>
        <w:numPr>
          <w:ilvl w:val="1"/>
          <w:numId w:val="6"/>
        </w:numPr>
        <w:tabs>
          <w:tab w:val="right" w:pos="9072"/>
        </w:tabs>
        <w:ind w:left="1418" w:hanging="1418"/>
        <w:rPr>
          <w:lang w:eastAsia="cs-CZ"/>
        </w:rPr>
      </w:pPr>
      <w:r>
        <w:rPr>
          <w:lang w:eastAsia="cs-CZ"/>
        </w:rPr>
        <w:t xml:space="preserve">Sazby paušálních dotací dle uzavřených smluv </w:t>
      </w:r>
      <w:r w:rsidR="006544CC">
        <w:rPr>
          <w:lang w:eastAsia="cs-CZ"/>
        </w:rPr>
        <w:tab/>
      </w:r>
      <w:r>
        <w:rPr>
          <w:lang w:eastAsia="cs-CZ"/>
        </w:rPr>
        <w:t>(v Kč)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6057"/>
        <w:gridCol w:w="1521"/>
        <w:gridCol w:w="1487"/>
      </w:tblGrid>
      <w:tr w:rsidR="002F36F4" w:rsidRPr="003C5010" w14:paraId="139F4B94" w14:textId="77777777" w:rsidTr="00F418B6">
        <w:trPr>
          <w:trHeight w:val="113"/>
        </w:trPr>
        <w:tc>
          <w:tcPr>
            <w:tcW w:w="3341" w:type="pct"/>
            <w:shd w:val="clear" w:color="auto" w:fill="E5F1FF"/>
            <w:vAlign w:val="center"/>
          </w:tcPr>
          <w:p w14:paraId="1A208742" w14:textId="77777777" w:rsidR="002F36F4" w:rsidRPr="003C5010" w:rsidRDefault="002F36F4" w:rsidP="00C52E7E">
            <w:pPr>
              <w:pStyle w:val="tabulka"/>
              <w:keepNext w:val="0"/>
              <w:jc w:val="center"/>
              <w:rPr>
                <w:b/>
                <w:sz w:val="20"/>
                <w:lang w:eastAsia="cs-CZ"/>
              </w:rPr>
            </w:pPr>
          </w:p>
        </w:tc>
        <w:tc>
          <w:tcPr>
            <w:tcW w:w="839" w:type="pct"/>
            <w:shd w:val="clear" w:color="auto" w:fill="E5F1FF"/>
            <w:vAlign w:val="center"/>
          </w:tcPr>
          <w:p w14:paraId="6CF1B974" w14:textId="77777777" w:rsidR="002F36F4" w:rsidRPr="003C5010" w:rsidRDefault="002F36F4" w:rsidP="00C52E7E">
            <w:pPr>
              <w:pStyle w:val="tabulka"/>
              <w:keepNext w:val="0"/>
              <w:jc w:val="center"/>
              <w:rPr>
                <w:b/>
                <w:sz w:val="20"/>
                <w:lang w:eastAsia="cs-CZ"/>
              </w:rPr>
            </w:pPr>
            <w:r w:rsidRPr="003C5010">
              <w:rPr>
                <w:b/>
                <w:sz w:val="20"/>
                <w:lang w:eastAsia="cs-CZ"/>
              </w:rPr>
              <w:t>Sazby platné</w:t>
            </w:r>
          </w:p>
          <w:p w14:paraId="1064861D" w14:textId="77777777" w:rsidR="002F36F4" w:rsidRPr="003C5010" w:rsidRDefault="002F36F4" w:rsidP="00C52E7E">
            <w:pPr>
              <w:pStyle w:val="tabulka"/>
              <w:keepNext w:val="0"/>
              <w:jc w:val="center"/>
              <w:rPr>
                <w:b/>
                <w:sz w:val="20"/>
                <w:lang w:eastAsia="cs-CZ"/>
              </w:rPr>
            </w:pPr>
            <w:r>
              <w:rPr>
                <w:b/>
                <w:sz w:val="20"/>
                <w:lang w:eastAsia="cs-CZ"/>
              </w:rPr>
              <w:t>do 31. 8</w:t>
            </w:r>
            <w:r w:rsidRPr="003C5010">
              <w:rPr>
                <w:b/>
                <w:sz w:val="20"/>
                <w:lang w:eastAsia="cs-CZ"/>
              </w:rPr>
              <w:t>. 2017</w:t>
            </w:r>
          </w:p>
        </w:tc>
        <w:tc>
          <w:tcPr>
            <w:tcW w:w="820" w:type="pct"/>
            <w:shd w:val="clear" w:color="auto" w:fill="E5F1FF"/>
            <w:vAlign w:val="center"/>
          </w:tcPr>
          <w:p w14:paraId="7B79BA75" w14:textId="77777777" w:rsidR="002F36F4" w:rsidRPr="003C5010" w:rsidRDefault="002F36F4" w:rsidP="00C52E7E">
            <w:pPr>
              <w:pStyle w:val="tabulka"/>
              <w:keepNext w:val="0"/>
              <w:jc w:val="center"/>
              <w:rPr>
                <w:b/>
                <w:sz w:val="20"/>
                <w:lang w:eastAsia="cs-CZ"/>
              </w:rPr>
            </w:pPr>
            <w:r w:rsidRPr="003C5010">
              <w:rPr>
                <w:b/>
                <w:sz w:val="20"/>
                <w:lang w:eastAsia="cs-CZ"/>
              </w:rPr>
              <w:t>Sazby platné</w:t>
            </w:r>
          </w:p>
          <w:p w14:paraId="07F315FD" w14:textId="77777777" w:rsidR="002F36F4" w:rsidRPr="003C5010" w:rsidRDefault="002F36F4" w:rsidP="00C52E7E">
            <w:pPr>
              <w:pStyle w:val="tabulka"/>
              <w:keepNext w:val="0"/>
              <w:jc w:val="center"/>
              <w:rPr>
                <w:b/>
                <w:sz w:val="20"/>
                <w:lang w:eastAsia="cs-CZ"/>
              </w:rPr>
            </w:pPr>
            <w:r w:rsidRPr="003C5010">
              <w:rPr>
                <w:b/>
                <w:sz w:val="20"/>
                <w:lang w:eastAsia="cs-CZ"/>
              </w:rPr>
              <w:t>od 1. 9. 2017</w:t>
            </w:r>
          </w:p>
        </w:tc>
      </w:tr>
      <w:tr w:rsidR="002F36F4" w:rsidRPr="003C5010" w14:paraId="0BE42378" w14:textId="77777777" w:rsidTr="00F418B6">
        <w:trPr>
          <w:trHeight w:val="113"/>
        </w:trPr>
        <w:tc>
          <w:tcPr>
            <w:tcW w:w="3341" w:type="pct"/>
            <w:vAlign w:val="center"/>
          </w:tcPr>
          <w:p w14:paraId="612316E0" w14:textId="6BD59C34" w:rsidR="002F36F4" w:rsidRPr="003C5010" w:rsidRDefault="002F36F4" w:rsidP="00C52E7E">
            <w:pPr>
              <w:pStyle w:val="tabulka"/>
              <w:keepNext w:val="0"/>
              <w:jc w:val="left"/>
              <w:rPr>
                <w:sz w:val="20"/>
                <w:lang w:eastAsia="cs-CZ"/>
              </w:rPr>
            </w:pPr>
            <w:r w:rsidRPr="003C5010">
              <w:rPr>
                <w:sz w:val="20"/>
                <w:lang w:eastAsia="cs-CZ"/>
              </w:rPr>
              <w:t>Dotace na kalendářní ro</w:t>
            </w:r>
            <w:r w:rsidR="00F57669">
              <w:rPr>
                <w:sz w:val="20"/>
                <w:lang w:eastAsia="cs-CZ"/>
              </w:rPr>
              <w:t>k a zapojenou lékařskou fakultu</w:t>
            </w:r>
          </w:p>
        </w:tc>
        <w:tc>
          <w:tcPr>
            <w:tcW w:w="839" w:type="pct"/>
            <w:vAlign w:val="center"/>
          </w:tcPr>
          <w:p w14:paraId="1A316C5D" w14:textId="77777777" w:rsidR="002F36F4" w:rsidRPr="003C5010" w:rsidRDefault="002F36F4" w:rsidP="00C52E7E">
            <w:pPr>
              <w:pStyle w:val="tabulka"/>
              <w:keepNext w:val="0"/>
              <w:jc w:val="right"/>
              <w:rPr>
                <w:sz w:val="20"/>
                <w:lang w:eastAsia="cs-CZ"/>
              </w:rPr>
            </w:pPr>
            <w:r w:rsidRPr="003C5010">
              <w:rPr>
                <w:sz w:val="20"/>
                <w:lang w:eastAsia="cs-CZ"/>
              </w:rPr>
              <w:t>2 300 000</w:t>
            </w:r>
          </w:p>
        </w:tc>
        <w:tc>
          <w:tcPr>
            <w:tcW w:w="820" w:type="pct"/>
            <w:vAlign w:val="center"/>
          </w:tcPr>
          <w:p w14:paraId="7516EF38" w14:textId="77777777" w:rsidR="002F36F4" w:rsidRPr="003C5010" w:rsidRDefault="002F36F4" w:rsidP="00C52E7E">
            <w:pPr>
              <w:pStyle w:val="tabulka"/>
              <w:keepNext w:val="0"/>
              <w:jc w:val="right"/>
              <w:rPr>
                <w:sz w:val="20"/>
                <w:lang w:eastAsia="cs-CZ"/>
              </w:rPr>
            </w:pPr>
            <w:r w:rsidRPr="003C5010">
              <w:rPr>
                <w:sz w:val="20"/>
                <w:lang w:eastAsia="cs-CZ"/>
              </w:rPr>
              <w:t xml:space="preserve">3 450 000 </w:t>
            </w:r>
          </w:p>
        </w:tc>
      </w:tr>
      <w:tr w:rsidR="002F36F4" w:rsidRPr="003C5010" w14:paraId="1269D54F" w14:textId="77777777" w:rsidTr="00F418B6">
        <w:trPr>
          <w:trHeight w:val="113"/>
        </w:trPr>
        <w:tc>
          <w:tcPr>
            <w:tcW w:w="3341" w:type="pct"/>
            <w:vAlign w:val="center"/>
          </w:tcPr>
          <w:p w14:paraId="4A316A44" w14:textId="76963559" w:rsidR="002F36F4" w:rsidRPr="003C5010" w:rsidRDefault="002F36F4" w:rsidP="00C52E7E">
            <w:pPr>
              <w:pStyle w:val="tabulka"/>
              <w:keepNext w:val="0"/>
              <w:jc w:val="left"/>
              <w:rPr>
                <w:sz w:val="20"/>
                <w:lang w:eastAsia="cs-CZ"/>
              </w:rPr>
            </w:pPr>
            <w:r w:rsidRPr="003C5010">
              <w:rPr>
                <w:sz w:val="20"/>
                <w:lang w:eastAsia="cs-CZ"/>
              </w:rPr>
              <w:t xml:space="preserve">Dotace na jednoho školence vedeného v oboru </w:t>
            </w:r>
            <w:r w:rsidR="00D9506B">
              <w:rPr>
                <w:sz w:val="20"/>
                <w:lang w:eastAsia="cs-CZ"/>
              </w:rPr>
              <w:t>specializačního vzdělávání</w:t>
            </w:r>
            <w:r w:rsidRPr="003C5010">
              <w:rPr>
                <w:sz w:val="20"/>
                <w:lang w:eastAsia="cs-CZ"/>
              </w:rPr>
              <w:t xml:space="preserve"> na</w:t>
            </w:r>
            <w:r w:rsidR="00F57669">
              <w:rPr>
                <w:sz w:val="20"/>
                <w:lang w:eastAsia="cs-CZ"/>
              </w:rPr>
              <w:t xml:space="preserve"> kalendářní rok</w:t>
            </w:r>
          </w:p>
        </w:tc>
        <w:tc>
          <w:tcPr>
            <w:tcW w:w="839" w:type="pct"/>
            <w:vAlign w:val="center"/>
          </w:tcPr>
          <w:p w14:paraId="64C68AF7" w14:textId="77777777" w:rsidR="002F36F4" w:rsidRPr="003C5010" w:rsidRDefault="002F36F4" w:rsidP="00C52E7E">
            <w:pPr>
              <w:pStyle w:val="tabulka"/>
              <w:keepNext w:val="0"/>
              <w:jc w:val="right"/>
              <w:rPr>
                <w:sz w:val="20"/>
                <w:lang w:eastAsia="cs-CZ"/>
              </w:rPr>
            </w:pPr>
            <w:r w:rsidRPr="003C5010">
              <w:rPr>
                <w:sz w:val="20"/>
                <w:lang w:eastAsia="cs-CZ"/>
              </w:rPr>
              <w:t>3 000</w:t>
            </w:r>
          </w:p>
        </w:tc>
        <w:tc>
          <w:tcPr>
            <w:tcW w:w="820" w:type="pct"/>
            <w:vAlign w:val="center"/>
          </w:tcPr>
          <w:p w14:paraId="2FCE24E3" w14:textId="77777777" w:rsidR="002F36F4" w:rsidRPr="003C5010" w:rsidRDefault="002F36F4" w:rsidP="00C52E7E">
            <w:pPr>
              <w:pStyle w:val="tabulka"/>
              <w:keepNext w:val="0"/>
              <w:jc w:val="right"/>
              <w:rPr>
                <w:sz w:val="20"/>
                <w:lang w:eastAsia="cs-CZ"/>
              </w:rPr>
            </w:pPr>
            <w:r w:rsidRPr="003C5010">
              <w:rPr>
                <w:sz w:val="20"/>
                <w:lang w:eastAsia="cs-CZ"/>
              </w:rPr>
              <w:t>3 000</w:t>
            </w:r>
          </w:p>
        </w:tc>
      </w:tr>
      <w:tr w:rsidR="002F36F4" w:rsidRPr="003C5010" w14:paraId="04EAFA15" w14:textId="77777777" w:rsidTr="00F418B6">
        <w:trPr>
          <w:trHeight w:val="113"/>
        </w:trPr>
        <w:tc>
          <w:tcPr>
            <w:tcW w:w="3341" w:type="pct"/>
            <w:vAlign w:val="center"/>
          </w:tcPr>
          <w:p w14:paraId="0128FE10" w14:textId="17D6626B" w:rsidR="002F36F4" w:rsidRPr="003C5010" w:rsidRDefault="00F57669" w:rsidP="00C52E7E">
            <w:pPr>
              <w:pStyle w:val="tabulka"/>
              <w:keepNext w:val="0"/>
              <w:jc w:val="left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Dotace za atestační zkoušku</w:t>
            </w:r>
          </w:p>
        </w:tc>
        <w:tc>
          <w:tcPr>
            <w:tcW w:w="839" w:type="pct"/>
            <w:vAlign w:val="center"/>
          </w:tcPr>
          <w:p w14:paraId="1CA74E6F" w14:textId="77777777" w:rsidR="002F36F4" w:rsidRPr="003C5010" w:rsidRDefault="002F36F4" w:rsidP="00C52E7E">
            <w:pPr>
              <w:pStyle w:val="tabulka"/>
              <w:keepNext w:val="0"/>
              <w:jc w:val="right"/>
              <w:rPr>
                <w:sz w:val="20"/>
                <w:lang w:eastAsia="cs-CZ"/>
              </w:rPr>
            </w:pPr>
            <w:r w:rsidRPr="003C5010">
              <w:rPr>
                <w:sz w:val="20"/>
                <w:lang w:eastAsia="cs-CZ"/>
              </w:rPr>
              <w:t>3 000</w:t>
            </w:r>
          </w:p>
        </w:tc>
        <w:tc>
          <w:tcPr>
            <w:tcW w:w="820" w:type="pct"/>
            <w:vAlign w:val="center"/>
          </w:tcPr>
          <w:p w14:paraId="5978A8A7" w14:textId="77777777" w:rsidR="002F36F4" w:rsidRPr="003C5010" w:rsidRDefault="002F36F4" w:rsidP="00C52E7E">
            <w:pPr>
              <w:pStyle w:val="tabulka"/>
              <w:keepNext w:val="0"/>
              <w:jc w:val="right"/>
              <w:rPr>
                <w:sz w:val="20"/>
                <w:lang w:eastAsia="cs-CZ"/>
              </w:rPr>
            </w:pPr>
            <w:r w:rsidRPr="003C5010">
              <w:rPr>
                <w:sz w:val="20"/>
                <w:lang w:eastAsia="cs-CZ"/>
              </w:rPr>
              <w:t>4 000</w:t>
            </w:r>
          </w:p>
        </w:tc>
      </w:tr>
      <w:tr w:rsidR="002F36F4" w:rsidRPr="003C5010" w14:paraId="79978EC1" w14:textId="77777777" w:rsidTr="00F418B6">
        <w:trPr>
          <w:trHeight w:val="113"/>
        </w:trPr>
        <w:tc>
          <w:tcPr>
            <w:tcW w:w="3341" w:type="pct"/>
            <w:vAlign w:val="center"/>
          </w:tcPr>
          <w:p w14:paraId="4588A689" w14:textId="4C6B6FE3" w:rsidR="002F36F4" w:rsidRPr="003C5010" w:rsidRDefault="00F57669" w:rsidP="00C52E7E">
            <w:pPr>
              <w:pStyle w:val="tabulka"/>
              <w:keepNext w:val="0"/>
              <w:jc w:val="left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Dotace za zkoušku po kmeni</w:t>
            </w:r>
          </w:p>
        </w:tc>
        <w:tc>
          <w:tcPr>
            <w:tcW w:w="839" w:type="pct"/>
            <w:vAlign w:val="center"/>
          </w:tcPr>
          <w:p w14:paraId="2669A45F" w14:textId="007BE1DB" w:rsidR="002F36F4" w:rsidRPr="003C5010" w:rsidRDefault="00091751" w:rsidP="00C52E7E">
            <w:pPr>
              <w:pStyle w:val="tabulka"/>
              <w:keepNext w:val="0"/>
              <w:jc w:val="right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–</w:t>
            </w:r>
          </w:p>
        </w:tc>
        <w:tc>
          <w:tcPr>
            <w:tcW w:w="820" w:type="pct"/>
            <w:vAlign w:val="center"/>
          </w:tcPr>
          <w:p w14:paraId="3DD398BE" w14:textId="77777777" w:rsidR="002F36F4" w:rsidRPr="003C5010" w:rsidRDefault="002F36F4" w:rsidP="00C52E7E">
            <w:pPr>
              <w:pStyle w:val="tabulka"/>
              <w:keepNext w:val="0"/>
              <w:jc w:val="right"/>
              <w:rPr>
                <w:sz w:val="20"/>
                <w:lang w:eastAsia="cs-CZ"/>
              </w:rPr>
            </w:pPr>
            <w:r w:rsidRPr="003C5010">
              <w:rPr>
                <w:sz w:val="20"/>
                <w:lang w:eastAsia="cs-CZ"/>
              </w:rPr>
              <w:t>4 000</w:t>
            </w:r>
          </w:p>
        </w:tc>
      </w:tr>
    </w:tbl>
    <w:p w14:paraId="464C8B3B" w14:textId="126AD30C" w:rsidR="002F36F4" w:rsidRDefault="002F36F4" w:rsidP="003417FB">
      <w:pPr>
        <w:pStyle w:val="Poznmka"/>
      </w:pPr>
      <w:r w:rsidRPr="00F418B6">
        <w:rPr>
          <w:b/>
        </w:rPr>
        <w:t>Zdroj:</w:t>
      </w:r>
      <w:r>
        <w:tab/>
      </w:r>
      <w:r w:rsidR="00DA1335">
        <w:t>v</w:t>
      </w:r>
      <w:r>
        <w:t xml:space="preserve">eřejnoprávní smlouvy uzavřené mezi </w:t>
      </w:r>
      <w:proofErr w:type="spellStart"/>
      <w:r>
        <w:t>MZd</w:t>
      </w:r>
      <w:proofErr w:type="spellEnd"/>
      <w:r>
        <w:t xml:space="preserve"> a univerzitami</w:t>
      </w:r>
      <w:r w:rsidRPr="009255DA">
        <w:t>.</w:t>
      </w:r>
    </w:p>
    <w:p w14:paraId="04711F6B" w14:textId="77777777" w:rsidR="002F36F4" w:rsidRDefault="002F36F4" w:rsidP="00C52E7E">
      <w:pPr>
        <w:widowControl/>
      </w:pPr>
    </w:p>
    <w:p w14:paraId="0C591652" w14:textId="78819F92" w:rsidR="00BC4760" w:rsidRDefault="00BC4760" w:rsidP="00C52E7E">
      <w:pPr>
        <w:widowControl/>
      </w:pPr>
      <w:r w:rsidRPr="00BC4760">
        <w:t>Atestační zkoušky pro nelékařské obory</w:t>
      </w:r>
      <w:r>
        <w:t xml:space="preserve"> </w:t>
      </w:r>
      <w:r w:rsidRPr="00A66C90">
        <w:t xml:space="preserve">realizují přímo řízené organizace </w:t>
      </w:r>
      <w:proofErr w:type="spellStart"/>
      <w:r>
        <w:t>MZd</w:t>
      </w:r>
      <w:proofErr w:type="spellEnd"/>
      <w:r>
        <w:t xml:space="preserve"> – IPVZ a NCO</w:t>
      </w:r>
      <w:r w:rsidRPr="00A66C90">
        <w:t xml:space="preserve">NZO a dále některá akreditovaná zařízení, která získala oprávnění k uskutečňování </w:t>
      </w:r>
      <w:r>
        <w:t>specializačního vzdělávání v příslušném oboru</w:t>
      </w:r>
      <w:r w:rsidRPr="00A66C90">
        <w:t xml:space="preserve"> a která byla pověřena zajištěním výkonu atestační zkoušky v příslušném oboru.</w:t>
      </w:r>
      <w:r>
        <w:t xml:space="preserve"> Za provádění těchto zkoušek jim náleží </w:t>
      </w:r>
      <w:r w:rsidR="00B46A2C" w:rsidRPr="00DB5937">
        <w:t>ú</w:t>
      </w:r>
      <w:r w:rsidRPr="00DB5937">
        <w:t xml:space="preserve">hrada poskytovaná </w:t>
      </w:r>
      <w:r w:rsidR="00B46A2C" w:rsidRPr="00DB5937">
        <w:t>formou</w:t>
      </w:r>
      <w:r w:rsidRPr="00DB5937">
        <w:t xml:space="preserve"> dotace,</w:t>
      </w:r>
      <w:r>
        <w:t xml:space="preserve"> popř. jako příspěvek přímo do rozpočtu organizace.</w:t>
      </w:r>
    </w:p>
    <w:p w14:paraId="5D199EE7" w14:textId="03F2FC99" w:rsidR="004E2E1D" w:rsidRDefault="004E2E1D" w:rsidP="00C52E7E">
      <w:pPr>
        <w:widowControl/>
      </w:pPr>
    </w:p>
    <w:p w14:paraId="7E71B6D8" w14:textId="6A257BCB" w:rsidR="00B8741A" w:rsidRDefault="00E01043" w:rsidP="00C52E7E">
      <w:pPr>
        <w:widowControl/>
      </w:pPr>
      <w:r>
        <w:t>Pro zajištění dostatečného množství zdravotnických profesionálů je základem odpovídající počet absolventů lékařských fakult a</w:t>
      </w:r>
      <w:r w:rsidR="00B8741A" w:rsidRPr="00B8741A">
        <w:t xml:space="preserve"> </w:t>
      </w:r>
      <w:r>
        <w:t>také</w:t>
      </w:r>
      <w:r w:rsidR="00B8741A" w:rsidRPr="00B8741A">
        <w:t xml:space="preserve"> středních, vyšších odborných a vysokých škol</w:t>
      </w:r>
      <w:r>
        <w:t xml:space="preserve"> s ne</w:t>
      </w:r>
      <w:r w:rsidR="00B8741A" w:rsidRPr="00B8741A">
        <w:t>lékařským zdravotnickým zaměřením</w:t>
      </w:r>
      <w:r>
        <w:t>.</w:t>
      </w:r>
      <w:r w:rsidR="00B8741A" w:rsidRPr="00B8741A">
        <w:t xml:space="preserve"> </w:t>
      </w:r>
      <w:r>
        <w:t xml:space="preserve">Tato oblast patří do kompetence MŠMT, proto je nezbytná spolupráce </w:t>
      </w:r>
      <w:r w:rsidR="002D7C90">
        <w:t>obou resortů.</w:t>
      </w:r>
    </w:p>
    <w:p w14:paraId="5A8939C0" w14:textId="1C9A9508" w:rsidR="00BC4760" w:rsidRDefault="00BC4760" w:rsidP="00C52E7E">
      <w:pPr>
        <w:widowControl/>
      </w:pPr>
    </w:p>
    <w:p w14:paraId="5D795C4E" w14:textId="77777777" w:rsidR="006C54D7" w:rsidRDefault="00E620F7" w:rsidP="000E273C">
      <w:pPr>
        <w:pStyle w:val="Nadpis1"/>
        <w:widowControl/>
        <w:spacing w:before="240"/>
      </w:pPr>
      <w:r>
        <w:t>Rozsah kontroly</w:t>
      </w:r>
    </w:p>
    <w:p w14:paraId="61D68A37" w14:textId="4C711FA0" w:rsidR="00470962" w:rsidRDefault="00470962" w:rsidP="00C52E7E">
      <w:pPr>
        <w:widowControl/>
      </w:pPr>
      <w:r>
        <w:t>V rámci vymezené oblasti kontroly byly prověřovány jednotlivé oblasti související s dalším vzděláváním pracovníků ve zdravotnictví.</w:t>
      </w:r>
    </w:p>
    <w:p w14:paraId="00933614" w14:textId="79D7D0FC" w:rsidR="00470962" w:rsidRDefault="00470962" w:rsidP="00C52E7E">
      <w:pPr>
        <w:pStyle w:val="Odstavecseseznamem"/>
        <w:numPr>
          <w:ilvl w:val="0"/>
          <w:numId w:val="9"/>
        </w:numPr>
        <w:ind w:left="426"/>
      </w:pPr>
      <w:r>
        <w:t>Kontrolovány byly</w:t>
      </w:r>
      <w:r w:rsidR="00CB0183">
        <w:t xml:space="preserve"> </w:t>
      </w:r>
      <w:r>
        <w:t>dotace zdravotnickým zařízením určené</w:t>
      </w:r>
      <w:r w:rsidR="00564162">
        <w:t xml:space="preserve"> na</w:t>
      </w:r>
      <w:r w:rsidR="006544CC">
        <w:t xml:space="preserve"> </w:t>
      </w:r>
      <w:r w:rsidR="00CB0183">
        <w:t>spolufinancování specializačního vzdělávání lékařů a nelékařských zdravotnických pracovníků</w:t>
      </w:r>
      <w:r w:rsidR="006213E8">
        <w:t xml:space="preserve"> </w:t>
      </w:r>
      <w:r w:rsidR="00F55A9D">
        <w:t>na</w:t>
      </w:r>
      <w:r w:rsidR="006213E8">
        <w:t xml:space="preserve"> školicích míst</w:t>
      </w:r>
      <w:r w:rsidR="00F55A9D">
        <w:t>ech</w:t>
      </w:r>
      <w:r w:rsidR="006213E8">
        <w:t>. Prověřeno bylo</w:t>
      </w:r>
      <w:r w:rsidR="00CB0183">
        <w:t xml:space="preserve"> nastavení</w:t>
      </w:r>
      <w:r w:rsidR="006213E8">
        <w:t xml:space="preserve"> programů</w:t>
      </w:r>
      <w:r w:rsidR="00CB0183">
        <w:t>, administrace</w:t>
      </w:r>
      <w:r w:rsidR="006213E8">
        <w:t xml:space="preserve"> dotačního řízení</w:t>
      </w:r>
      <w:r w:rsidR="00CB0183">
        <w:t xml:space="preserve"> a</w:t>
      </w:r>
      <w:r w:rsidR="006544CC">
        <w:t xml:space="preserve"> </w:t>
      </w:r>
      <w:r w:rsidR="00CB0183">
        <w:t>rozdělování</w:t>
      </w:r>
      <w:r w:rsidR="006213E8">
        <w:t xml:space="preserve"> prostředků jednotlivým žadatelům</w:t>
      </w:r>
      <w:r w:rsidR="00544050">
        <w:t xml:space="preserve">, za které zodpovídá </w:t>
      </w:r>
      <w:proofErr w:type="spellStart"/>
      <w:r w:rsidR="00544050">
        <w:t>MZd</w:t>
      </w:r>
      <w:proofErr w:type="spellEnd"/>
      <w:r w:rsidR="00335DF5">
        <w:t>.</w:t>
      </w:r>
      <w:r>
        <w:t xml:space="preserve"> </w:t>
      </w:r>
      <w:r w:rsidR="00335DF5">
        <w:t xml:space="preserve">NKÚ </w:t>
      </w:r>
      <w:r>
        <w:t xml:space="preserve">také </w:t>
      </w:r>
      <w:r w:rsidR="00CB0183">
        <w:t xml:space="preserve">provedl </w:t>
      </w:r>
      <w:r w:rsidR="00335DF5">
        <w:t>kontrolu</w:t>
      </w:r>
      <w:r w:rsidR="00DB5C26">
        <w:t xml:space="preserve"> u </w:t>
      </w:r>
      <w:r w:rsidR="00CB0183">
        <w:t xml:space="preserve">dvou vybraných </w:t>
      </w:r>
      <w:r w:rsidR="00564162">
        <w:t>nemocnic</w:t>
      </w:r>
      <w:r>
        <w:t>, příjemců těchto prostředků</w:t>
      </w:r>
      <w:r w:rsidR="00564162">
        <w:t xml:space="preserve">, </w:t>
      </w:r>
      <w:r w:rsidR="004E2E1D">
        <w:t>u nichž</w:t>
      </w:r>
      <w:r>
        <w:t xml:space="preserve"> se zaměřil na jejich využití</w:t>
      </w:r>
      <w:r w:rsidR="00CB0183">
        <w:t>.</w:t>
      </w:r>
    </w:p>
    <w:p w14:paraId="0291EC86" w14:textId="76EDC412" w:rsidR="00470962" w:rsidRDefault="00470962" w:rsidP="00C52E7E">
      <w:pPr>
        <w:pStyle w:val="Odstavecseseznamem"/>
        <w:numPr>
          <w:ilvl w:val="0"/>
          <w:numId w:val="9"/>
        </w:numPr>
        <w:ind w:left="426"/>
      </w:pPr>
      <w:r>
        <w:t>P</w:t>
      </w:r>
      <w:r w:rsidR="00CB0183">
        <w:t>rověřeno</w:t>
      </w:r>
      <w:r>
        <w:t xml:space="preserve"> bylo</w:t>
      </w:r>
      <w:r w:rsidR="00CB0183">
        <w:t xml:space="preserve"> nastavení </w:t>
      </w:r>
      <w:r w:rsidR="00544050">
        <w:t>a</w:t>
      </w:r>
      <w:r w:rsidR="006544CC">
        <w:t xml:space="preserve"> </w:t>
      </w:r>
      <w:r w:rsidR="00CB0183">
        <w:t xml:space="preserve">fungování systému </w:t>
      </w:r>
      <w:r w:rsidR="00544050">
        <w:t xml:space="preserve">zabezpečení teoretické části </w:t>
      </w:r>
      <w:r>
        <w:t>specializačního vzdělávání univerzitami</w:t>
      </w:r>
      <w:r w:rsidR="00544050">
        <w:t>, a to jak u</w:t>
      </w:r>
      <w:r w:rsidR="006544CC">
        <w:t xml:space="preserve"> </w:t>
      </w:r>
      <w:proofErr w:type="spellStart"/>
      <w:r w:rsidR="00544050">
        <w:t>MZd</w:t>
      </w:r>
      <w:proofErr w:type="spellEnd"/>
      <w:r w:rsidR="00544050">
        <w:t xml:space="preserve">, tak </w:t>
      </w:r>
      <w:r>
        <w:t>u vybrané univerzity a její LF.</w:t>
      </w:r>
    </w:p>
    <w:p w14:paraId="28718271" w14:textId="7FBA8CA2" w:rsidR="00470962" w:rsidRDefault="00335DF5" w:rsidP="00C52E7E">
      <w:pPr>
        <w:pStyle w:val="Odstavecseseznamem"/>
        <w:numPr>
          <w:ilvl w:val="0"/>
          <w:numId w:val="9"/>
        </w:numPr>
        <w:ind w:left="426"/>
      </w:pPr>
      <w:r>
        <w:t>Kontrole byla podrobena také</w:t>
      </w:r>
      <w:r w:rsidR="00544050">
        <w:t xml:space="preserve"> doškolovac</w:t>
      </w:r>
      <w:r w:rsidR="00470962">
        <w:t xml:space="preserve">í zařízení, </w:t>
      </w:r>
      <w:r w:rsidR="00216893">
        <w:t xml:space="preserve">tj. </w:t>
      </w:r>
      <w:r w:rsidR="00470962">
        <w:t>IPVZ a NCONZO, která</w:t>
      </w:r>
      <w:r w:rsidR="008260EE">
        <w:t xml:space="preserve"> se na</w:t>
      </w:r>
      <w:r w:rsidR="006544CC">
        <w:t xml:space="preserve"> </w:t>
      </w:r>
      <w:r w:rsidR="00544050">
        <w:t>zajišťování postgraduálního vzdělávání zdra</w:t>
      </w:r>
      <w:r>
        <w:t>votnických profesionálů podíl</w:t>
      </w:r>
      <w:r w:rsidR="0050693A">
        <w:t>ej</w:t>
      </w:r>
      <w:r>
        <w:t>í</w:t>
      </w:r>
      <w:r w:rsidR="0050693A">
        <w:t>.</w:t>
      </w:r>
      <w:r>
        <w:t xml:space="preserve"> </w:t>
      </w:r>
      <w:r w:rsidR="0050693A">
        <w:t xml:space="preserve">NKÚ zkontroloval u těchto zařízení zejména </w:t>
      </w:r>
      <w:r>
        <w:t>to</w:t>
      </w:r>
      <w:r w:rsidR="0050693A">
        <w:t>,</w:t>
      </w:r>
      <w:r>
        <w:t xml:space="preserve"> zda fungují a využívají majetek a peněžní prostředky státu k účelu, pro</w:t>
      </w:r>
      <w:r w:rsidR="006544CC">
        <w:t xml:space="preserve"> </w:t>
      </w:r>
      <w:r>
        <w:t>který byl</w:t>
      </w:r>
      <w:r w:rsidR="0050693A">
        <w:t>a</w:t>
      </w:r>
      <w:r>
        <w:t xml:space="preserve"> zřízen</w:t>
      </w:r>
      <w:r w:rsidR="0050693A">
        <w:t>a</w:t>
      </w:r>
      <w:r w:rsidR="00544050">
        <w:t>.</w:t>
      </w:r>
    </w:p>
    <w:p w14:paraId="13CB1F70" w14:textId="62BAA2DF" w:rsidR="00544050" w:rsidRDefault="008956BF" w:rsidP="00C52E7E">
      <w:pPr>
        <w:pStyle w:val="Odstavecseseznamem"/>
        <w:numPr>
          <w:ilvl w:val="0"/>
          <w:numId w:val="9"/>
        </w:numPr>
        <w:ind w:left="426"/>
      </w:pPr>
      <w:r>
        <w:t xml:space="preserve">Ověřována byla také spolupráce </w:t>
      </w:r>
      <w:proofErr w:type="spellStart"/>
      <w:r>
        <w:t>MZd</w:t>
      </w:r>
      <w:proofErr w:type="spellEnd"/>
      <w:r>
        <w:t xml:space="preserve"> a MŠMT ve smyslu zajištění adekvátního </w:t>
      </w:r>
      <w:r w:rsidR="009450D3">
        <w:t>počtu</w:t>
      </w:r>
      <w:r>
        <w:t xml:space="preserve"> </w:t>
      </w:r>
      <w:r w:rsidR="00F55A9D">
        <w:t xml:space="preserve">absolventů </w:t>
      </w:r>
      <w:r>
        <w:t>pregraduálního stupně vzdělávání, aby bylo zabezpečeno potřebné množství pracovníků ve zdravotnictví.</w:t>
      </w:r>
    </w:p>
    <w:p w14:paraId="5981CB60" w14:textId="77777777" w:rsidR="0050693A" w:rsidRDefault="0050693A" w:rsidP="00C52E7E">
      <w:pPr>
        <w:widowControl/>
      </w:pPr>
    </w:p>
    <w:p w14:paraId="3FA0F24C" w14:textId="46DC28CC" w:rsidR="00335DF5" w:rsidRDefault="00564162" w:rsidP="00C52E7E">
      <w:pPr>
        <w:widowControl/>
      </w:pPr>
      <w:r>
        <w:t xml:space="preserve">Kritéria ke kontrole vycházela z právních předpisů, a to </w:t>
      </w:r>
      <w:r w:rsidR="00335DF5">
        <w:t>zejména</w:t>
      </w:r>
      <w:r w:rsidR="004E2E1D">
        <w:t xml:space="preserve"> zákonů č. 95/2004 Sb. </w:t>
      </w:r>
      <w:r w:rsidR="003C003C">
        <w:br/>
      </w:r>
      <w:r w:rsidR="004E2E1D">
        <w:t>a</w:t>
      </w:r>
      <w:r w:rsidR="003C003C">
        <w:t xml:space="preserve"> </w:t>
      </w:r>
      <w:r w:rsidR="004E2E1D">
        <w:t xml:space="preserve">96/2004 Sb., </w:t>
      </w:r>
      <w:r w:rsidR="00335DF5">
        <w:t>zákon</w:t>
      </w:r>
      <w:r w:rsidR="00F55A9D">
        <w:t>a</w:t>
      </w:r>
      <w:r w:rsidR="00335DF5">
        <w:t xml:space="preserve"> č. 218/2000 Sb., zákon</w:t>
      </w:r>
      <w:r w:rsidR="00F55A9D">
        <w:t>a</w:t>
      </w:r>
      <w:r w:rsidR="00335DF5">
        <w:t xml:space="preserve"> č. 320/2001 Sb. a </w:t>
      </w:r>
      <w:r w:rsidR="006064A6">
        <w:t>související</w:t>
      </w:r>
      <w:r w:rsidR="00F55A9D">
        <w:t>ch</w:t>
      </w:r>
      <w:r w:rsidR="006064A6">
        <w:t xml:space="preserve"> prováděcí</w:t>
      </w:r>
      <w:r w:rsidR="00F55A9D">
        <w:t>ch</w:t>
      </w:r>
      <w:r w:rsidR="006064A6">
        <w:t xml:space="preserve"> předpis</w:t>
      </w:r>
      <w:r w:rsidR="00F55A9D">
        <w:t>ů</w:t>
      </w:r>
      <w:r>
        <w:t>, z </w:t>
      </w:r>
      <w:r w:rsidR="009450D3">
        <w:t>metodik</w:t>
      </w:r>
      <w:r>
        <w:t xml:space="preserve"> pro dotační řízení, resp. dotačních programů</w:t>
      </w:r>
      <w:r w:rsidR="00DA1335">
        <w:t>.</w:t>
      </w:r>
      <w:r>
        <w:t xml:space="preserve"> </w:t>
      </w:r>
      <w:r w:rsidR="00DA1335">
        <w:t xml:space="preserve">NKÚ </w:t>
      </w:r>
      <w:r>
        <w:t>dále</w:t>
      </w:r>
      <w:r w:rsidR="00DA1335">
        <w:t xml:space="preserve"> posoudil</w:t>
      </w:r>
      <w:r w:rsidR="00F55A9D">
        <w:t xml:space="preserve"> </w:t>
      </w:r>
      <w:r>
        <w:t xml:space="preserve">transparentnost vynakládání prostředků </w:t>
      </w:r>
      <w:r w:rsidR="006064A6">
        <w:t xml:space="preserve">ze </w:t>
      </w:r>
      <w:r>
        <w:t xml:space="preserve">státního rozpočtu, jejich účelnost a </w:t>
      </w:r>
      <w:r w:rsidR="00F55A9D">
        <w:t>zajišťování</w:t>
      </w:r>
      <w:r>
        <w:t xml:space="preserve"> hospodárnosti. </w:t>
      </w:r>
    </w:p>
    <w:p w14:paraId="605B6A9C" w14:textId="77777777" w:rsidR="0050693A" w:rsidRDefault="0050693A" w:rsidP="00C52E7E">
      <w:pPr>
        <w:widowControl/>
      </w:pPr>
    </w:p>
    <w:p w14:paraId="50596A89" w14:textId="36825037" w:rsidR="002B4E7B" w:rsidRDefault="002B4E7B" w:rsidP="00C52E7E">
      <w:pPr>
        <w:widowControl/>
      </w:pPr>
      <w:r>
        <w:t>Na úrovni systému byly zkontrolovány prostředky vynakládané na další vzdělávání pracovníků ve zdravotnictví ve výši 1,7 mld. Kč.</w:t>
      </w:r>
    </w:p>
    <w:p w14:paraId="7281C5FB" w14:textId="77777777" w:rsidR="00544050" w:rsidRPr="00CE735F" w:rsidRDefault="00544050" w:rsidP="00C52E7E">
      <w:pPr>
        <w:widowControl/>
        <w:rPr>
          <w:sz w:val="18"/>
        </w:rPr>
      </w:pPr>
    </w:p>
    <w:p w14:paraId="456F1ECF" w14:textId="2D6AE17A" w:rsidR="00C36345" w:rsidRDefault="00C36345" w:rsidP="00C52E7E">
      <w:pPr>
        <w:widowControl/>
        <w:ind w:left="624" w:hanging="624"/>
        <w:rPr>
          <w:rFonts w:cs="Calibri"/>
          <w:sz w:val="20"/>
        </w:rPr>
      </w:pPr>
      <w:r>
        <w:rPr>
          <w:rFonts w:cs="Calibri"/>
          <w:b/>
          <w:sz w:val="20"/>
        </w:rPr>
        <w:t>Pozn.:</w:t>
      </w:r>
      <w:r>
        <w:rPr>
          <w:rFonts w:cs="Calibri"/>
          <w:b/>
          <w:sz w:val="20"/>
        </w:rPr>
        <w:tab/>
      </w:r>
      <w:r w:rsidRPr="00E1478E">
        <w:rPr>
          <w:rFonts w:cs="Calibri"/>
          <w:sz w:val="20"/>
        </w:rPr>
        <w:t>Právní předpisy uvedené v tomto kontrolním závěru jsou aplikovány ve znění účinném pro kontrolované období.</w:t>
      </w:r>
    </w:p>
    <w:p w14:paraId="7858C1B6" w14:textId="77777777" w:rsidR="0050693A" w:rsidRPr="000E273C" w:rsidRDefault="0050693A" w:rsidP="00C52E7E">
      <w:pPr>
        <w:widowControl/>
        <w:ind w:left="624" w:hanging="624"/>
        <w:rPr>
          <w:rFonts w:cs="Calibri"/>
          <w:szCs w:val="24"/>
        </w:rPr>
      </w:pPr>
    </w:p>
    <w:p w14:paraId="23D029D2" w14:textId="3870E017" w:rsidR="006C54D7" w:rsidRDefault="00E620F7" w:rsidP="000E273C">
      <w:pPr>
        <w:pStyle w:val="Nadpis1"/>
        <w:widowControl/>
        <w:spacing w:before="240"/>
      </w:pPr>
      <w:r>
        <w:t>Podrobné skutečnosti zjištěné kontrolou</w:t>
      </w:r>
    </w:p>
    <w:p w14:paraId="32B95F4C" w14:textId="05E36685" w:rsidR="00E27F58" w:rsidRDefault="00E27F58" w:rsidP="00C52E7E">
      <w:pPr>
        <w:pStyle w:val="Nadpis2"/>
        <w:keepNext w:val="0"/>
        <w:widowControl/>
        <w:jc w:val="left"/>
      </w:pPr>
      <w:proofErr w:type="spellStart"/>
      <w:r>
        <w:t>MZd</w:t>
      </w:r>
      <w:proofErr w:type="spellEnd"/>
      <w:r>
        <w:t xml:space="preserve"> nevyhodnocovalo systém specializ</w:t>
      </w:r>
      <w:r w:rsidR="00D647DB">
        <w:t>ačního vzdělávání pracovníků ve</w:t>
      </w:r>
      <w:r w:rsidR="00091751">
        <w:t xml:space="preserve"> </w:t>
      </w:r>
      <w:r w:rsidR="00216893">
        <w:t>zdravotnictví</w:t>
      </w:r>
    </w:p>
    <w:p w14:paraId="25433381" w14:textId="09BD535D" w:rsidR="00743C55" w:rsidRDefault="00743C55" w:rsidP="00C52E7E">
      <w:pPr>
        <w:widowControl/>
      </w:pPr>
      <w:r>
        <w:t xml:space="preserve">Kontrola NKÚ </w:t>
      </w:r>
      <w:r w:rsidR="00921A9A">
        <w:t>posuzovala</w:t>
      </w:r>
      <w:r>
        <w:t xml:space="preserve">, zda </w:t>
      </w:r>
      <w:proofErr w:type="spellStart"/>
      <w:r>
        <w:t>MZd</w:t>
      </w:r>
      <w:proofErr w:type="spellEnd"/>
      <w:r>
        <w:t xml:space="preserve"> jako ústřední orgán státní správy zodpovědný za</w:t>
      </w:r>
      <w:r w:rsidR="006544CC">
        <w:t xml:space="preserve"> </w:t>
      </w:r>
      <w:r>
        <w:t>oblast zdravotnictví, do které patří také další vzdělávání zdravotnických profesionálů, provádělo analýzy či vyhodnocování systému specializačního vzdělávání lékařů a nelékařských zdravotnických pracovníků.</w:t>
      </w:r>
      <w:r w:rsidR="00103837">
        <w:t xml:space="preserve"> Jestli </w:t>
      </w:r>
      <w:proofErr w:type="spellStart"/>
      <w:r w:rsidR="00103837">
        <w:t>MZd</w:t>
      </w:r>
      <w:proofErr w:type="spellEnd"/>
      <w:r w:rsidR="00103837">
        <w:t xml:space="preserve"> </w:t>
      </w:r>
      <w:r w:rsidR="00921A9A">
        <w:t>hodnotilo</w:t>
      </w:r>
      <w:r>
        <w:t xml:space="preserve"> jeho efektivnost, hospodárnost </w:t>
      </w:r>
      <w:r w:rsidR="00504FD3">
        <w:t xml:space="preserve">a </w:t>
      </w:r>
      <w:r>
        <w:t xml:space="preserve">vývoj nákladovosti </w:t>
      </w:r>
      <w:r w:rsidR="00504FD3">
        <w:t>a</w:t>
      </w:r>
      <w:r>
        <w:t xml:space="preserve"> zda </w:t>
      </w:r>
      <w:r w:rsidR="00921A9A">
        <w:t>analyzovalo</w:t>
      </w:r>
      <w:r>
        <w:t xml:space="preserve"> dosahované výsledky související se</w:t>
      </w:r>
      <w:r w:rsidR="00DC3291">
        <w:t xml:space="preserve"> změnami od roku</w:t>
      </w:r>
      <w:r w:rsidR="006544CC">
        <w:t xml:space="preserve"> </w:t>
      </w:r>
      <w:r w:rsidR="00103837">
        <w:t>2011, tedy</w:t>
      </w:r>
      <w:r>
        <w:t xml:space="preserve"> zapojením univerzit a jejich lékařských fakult</w:t>
      </w:r>
      <w:r w:rsidR="00103837">
        <w:t xml:space="preserve"> do specializačního vzdělávání</w:t>
      </w:r>
      <w:r>
        <w:t xml:space="preserve">. Kontrolou bylo zjištěno, že </w:t>
      </w:r>
      <w:r w:rsidR="00504FD3">
        <w:t>i když</w:t>
      </w:r>
      <w:r>
        <w:t xml:space="preserve"> na podporu dalšího vzdělávání vynakládalo </w:t>
      </w:r>
      <w:r w:rsidR="00504FD3">
        <w:t xml:space="preserve">ročně </w:t>
      </w:r>
      <w:r>
        <w:t xml:space="preserve">stovky milionů korun a tato </w:t>
      </w:r>
      <w:r w:rsidRPr="00921A9A">
        <w:t xml:space="preserve">částka </w:t>
      </w:r>
      <w:r w:rsidR="00F41D91" w:rsidRPr="00921A9A">
        <w:t xml:space="preserve">se téměř zdvojnásobila z 313 mil. </w:t>
      </w:r>
      <w:r w:rsidR="00921A9A">
        <w:t>Kč v roce 2015 na</w:t>
      </w:r>
      <w:r w:rsidR="006544CC">
        <w:t xml:space="preserve"> </w:t>
      </w:r>
      <w:r w:rsidR="00921A9A">
        <w:t>603</w:t>
      </w:r>
      <w:r w:rsidR="00504FD3">
        <w:t xml:space="preserve"> </w:t>
      </w:r>
      <w:r w:rsidR="00921A9A">
        <w:t>mil.</w:t>
      </w:r>
      <w:r w:rsidR="00504FD3">
        <w:t xml:space="preserve"> </w:t>
      </w:r>
      <w:r w:rsidR="00921A9A">
        <w:t>Kč v </w:t>
      </w:r>
      <w:r w:rsidR="00F41D91" w:rsidRPr="00921A9A">
        <w:t>roce 2018</w:t>
      </w:r>
      <w:r>
        <w:t xml:space="preserve">, </w:t>
      </w:r>
      <w:proofErr w:type="spellStart"/>
      <w:r>
        <w:t>MZd</w:t>
      </w:r>
      <w:proofErr w:type="spellEnd"/>
      <w:r>
        <w:t xml:space="preserve"> v kontrolovaném období k žádnému vyhodnocování nepřistoupilo.</w:t>
      </w:r>
    </w:p>
    <w:p w14:paraId="434C3A81" w14:textId="77777777" w:rsidR="00F9572A" w:rsidRDefault="00F9572A" w:rsidP="00C52E7E">
      <w:pPr>
        <w:widowControl/>
      </w:pPr>
    </w:p>
    <w:p w14:paraId="34741E88" w14:textId="607C064B" w:rsidR="00E27F58" w:rsidRDefault="00E27F58" w:rsidP="00C52E7E">
      <w:pPr>
        <w:pStyle w:val="Nadpis2"/>
        <w:keepNext w:val="0"/>
        <w:widowControl/>
        <w:jc w:val="left"/>
      </w:pPr>
      <w:r>
        <w:t>Nastavený systém administrace dotací s nedostatečně vymezenými kompetencemi umožňoval chyby. Rozhodování o přidělení dotací bylo netransparentní</w:t>
      </w:r>
    </w:p>
    <w:p w14:paraId="6E4B5925" w14:textId="2CAADB8C" w:rsidR="00BC12C7" w:rsidRDefault="00BC12C7" w:rsidP="00C52E7E">
      <w:pPr>
        <w:widowControl/>
      </w:pPr>
      <w:proofErr w:type="spellStart"/>
      <w:r>
        <w:t>MZd</w:t>
      </w:r>
      <w:proofErr w:type="spellEnd"/>
      <w:r>
        <w:t xml:space="preserve"> </w:t>
      </w:r>
      <w:r w:rsidR="00504FD3">
        <w:t xml:space="preserve">do </w:t>
      </w:r>
      <w:r>
        <w:t xml:space="preserve">procesu </w:t>
      </w:r>
      <w:r w:rsidR="00504FD3">
        <w:t xml:space="preserve">administrace </w:t>
      </w:r>
      <w:r>
        <w:t xml:space="preserve">dotací na školicí místa v lékařských i nelékařských oborech zapojilo tzv. administrátora, jímž byl ustanoven IPVZ. </w:t>
      </w:r>
      <w:r w:rsidR="00945477">
        <w:t>V příslušných metodikách dotačních programů bylo stanoveno, jaké dokumenty, a to včetně celé žádosti, mají žadatelé o dotace, resp. jejich příjemci</w:t>
      </w:r>
      <w:r w:rsidR="00504FD3">
        <w:t>,</w:t>
      </w:r>
      <w:r w:rsidR="00945477">
        <w:t xml:space="preserve"> administrátorovi předávat, popř. </w:t>
      </w:r>
      <w:r w:rsidR="00AE6F04">
        <w:t xml:space="preserve">jeho </w:t>
      </w:r>
      <w:r w:rsidR="00945477">
        <w:t xml:space="preserve">prostřednictvím předávat </w:t>
      </w:r>
      <w:proofErr w:type="spellStart"/>
      <w:r w:rsidR="00945477">
        <w:t>MZd</w:t>
      </w:r>
      <w:proofErr w:type="spellEnd"/>
      <w:r w:rsidR="00945477">
        <w:t>. Funkce IPVZ jako administrátora byla</w:t>
      </w:r>
      <w:r w:rsidR="00AE6F04">
        <w:t xml:space="preserve"> také</w:t>
      </w:r>
      <w:r w:rsidR="00945477">
        <w:t xml:space="preserve"> uvedena jako součást hlavní činnosti</w:t>
      </w:r>
      <w:r w:rsidR="00AE6F04">
        <w:t xml:space="preserve"> v jeho statutu</w:t>
      </w:r>
      <w:r w:rsidR="00945477">
        <w:t xml:space="preserve">. </w:t>
      </w:r>
      <w:r w:rsidR="006C2C4B" w:rsidRPr="006C2C4B">
        <w:rPr>
          <w:b/>
        </w:rPr>
        <w:t xml:space="preserve">V žádném dokumentu </w:t>
      </w:r>
      <w:r w:rsidR="006C2C4B" w:rsidRPr="00077509">
        <w:rPr>
          <w:b/>
        </w:rPr>
        <w:t>však</w:t>
      </w:r>
      <w:r w:rsidR="00C17F72" w:rsidRPr="00077509">
        <w:t xml:space="preserve"> </w:t>
      </w:r>
      <w:r w:rsidR="00C17F72" w:rsidRPr="00077509">
        <w:rPr>
          <w:b/>
        </w:rPr>
        <w:t xml:space="preserve">nebyl </w:t>
      </w:r>
      <w:r w:rsidR="00504FD3">
        <w:rPr>
          <w:b/>
        </w:rPr>
        <w:t>stanoven</w:t>
      </w:r>
      <w:r w:rsidR="00C17F72" w:rsidRPr="00077509">
        <w:rPr>
          <w:b/>
        </w:rPr>
        <w:t xml:space="preserve"> </w:t>
      </w:r>
      <w:r w:rsidR="00921A9A" w:rsidRPr="00077509">
        <w:rPr>
          <w:b/>
        </w:rPr>
        <w:t>konkrétní</w:t>
      </w:r>
      <w:r w:rsidR="00C17F72" w:rsidRPr="00077509">
        <w:rPr>
          <w:b/>
        </w:rPr>
        <w:t xml:space="preserve"> postup </w:t>
      </w:r>
      <w:r w:rsidR="005E606F" w:rsidRPr="00077509">
        <w:rPr>
          <w:b/>
        </w:rPr>
        <w:t xml:space="preserve">činnosti </w:t>
      </w:r>
      <w:r w:rsidR="00C17F72" w:rsidRPr="00077509">
        <w:rPr>
          <w:b/>
        </w:rPr>
        <w:t>administrátora v rámci dotačního řízení včetně vymezení jeho odpovědnosti, a to</w:t>
      </w:r>
      <w:r w:rsidR="006C2C4B">
        <w:rPr>
          <w:b/>
        </w:rPr>
        <w:t xml:space="preserve"> zejména za kontrolu a</w:t>
      </w:r>
      <w:r w:rsidR="00504FD3">
        <w:rPr>
          <w:b/>
        </w:rPr>
        <w:t xml:space="preserve"> </w:t>
      </w:r>
      <w:r w:rsidR="006C2C4B" w:rsidRPr="006C2C4B">
        <w:rPr>
          <w:b/>
        </w:rPr>
        <w:t>zpra</w:t>
      </w:r>
      <w:r w:rsidR="00AE6F04">
        <w:rPr>
          <w:b/>
        </w:rPr>
        <w:t>cování jednotlivých podkladů od</w:t>
      </w:r>
      <w:r w:rsidR="006544CC">
        <w:rPr>
          <w:b/>
        </w:rPr>
        <w:t xml:space="preserve"> </w:t>
      </w:r>
      <w:r w:rsidR="006C2C4B" w:rsidRPr="006C2C4B">
        <w:rPr>
          <w:b/>
        </w:rPr>
        <w:t>žadatelů o dotace, resp.</w:t>
      </w:r>
      <w:r w:rsidR="00A47C2C">
        <w:rPr>
          <w:b/>
        </w:rPr>
        <w:t xml:space="preserve"> od</w:t>
      </w:r>
      <w:r w:rsidR="006C2C4B" w:rsidRPr="006C2C4B">
        <w:rPr>
          <w:b/>
        </w:rPr>
        <w:t xml:space="preserve"> příjemců</w:t>
      </w:r>
      <w:r w:rsidR="00A47C2C">
        <w:rPr>
          <w:b/>
        </w:rPr>
        <w:t xml:space="preserve"> dotací</w:t>
      </w:r>
      <w:r w:rsidR="006C2C4B" w:rsidRPr="006C2C4B">
        <w:rPr>
          <w:b/>
        </w:rPr>
        <w:t>, což může být důvodem vzniku chyb v tomto řízení.</w:t>
      </w:r>
    </w:p>
    <w:p w14:paraId="4B843D95" w14:textId="77777777" w:rsidR="00457601" w:rsidRDefault="00457601" w:rsidP="00C52E7E">
      <w:pPr>
        <w:widowControl/>
      </w:pPr>
    </w:p>
    <w:p w14:paraId="3CD73384" w14:textId="16B3B459" w:rsidR="006C2C4B" w:rsidRDefault="006C2C4B" w:rsidP="000E273C">
      <w:pPr>
        <w:widowControl/>
        <w:spacing w:after="240"/>
      </w:pPr>
      <w:r>
        <w:t xml:space="preserve">Pro posouzení splnění formálních požadavků na žádosti o dotace na celé specializační vzdělávání jmenovalo </w:t>
      </w:r>
      <w:proofErr w:type="spellStart"/>
      <w:r>
        <w:t>MZd</w:t>
      </w:r>
      <w:proofErr w:type="spellEnd"/>
      <w:r>
        <w:t xml:space="preserve"> dle metodik k programům komisi pro</w:t>
      </w:r>
      <w:r w:rsidR="006544CC">
        <w:t xml:space="preserve"> </w:t>
      </w:r>
      <w:r>
        <w:t xml:space="preserve">přijímání žádostí, která měla vždy vypracovat protokol o posouzení. </w:t>
      </w:r>
      <w:r w:rsidRPr="00751730">
        <w:t>Jejími členy byl</w:t>
      </w:r>
      <w:r w:rsidR="00E80BAA">
        <w:t>i</w:t>
      </w:r>
      <w:r w:rsidRPr="00751730">
        <w:t xml:space="preserve"> </w:t>
      </w:r>
      <w:r>
        <w:t>zástupci</w:t>
      </w:r>
      <w:r w:rsidRPr="00751730">
        <w:t xml:space="preserve"> </w:t>
      </w:r>
      <w:proofErr w:type="spellStart"/>
      <w:r w:rsidRPr="00751730">
        <w:t>MZd</w:t>
      </w:r>
      <w:proofErr w:type="spellEnd"/>
      <w:r w:rsidRPr="00751730">
        <w:t xml:space="preserve"> a IPVZ</w:t>
      </w:r>
      <w:r>
        <w:t>.</w:t>
      </w:r>
      <w:r w:rsidR="004C7D0D">
        <w:t xml:space="preserve"> </w:t>
      </w:r>
      <w:r w:rsidR="00AE6F04">
        <w:t>Po posouzení splnění formálních požadavků n</w:t>
      </w:r>
      <w:r w:rsidR="004C7D0D">
        <w:t>ásledovalo věcné posuzování žádostí podle předem stanovených kritérií</w:t>
      </w:r>
      <w:r w:rsidR="00F57669">
        <w:rPr>
          <w:rStyle w:val="Znakapoznpodarou"/>
        </w:rPr>
        <w:footnoteReference w:id="12"/>
      </w:r>
      <w:r w:rsidR="004C7D0D">
        <w:t xml:space="preserve"> a rozdělování školicích míst, resp. dotací.</w:t>
      </w:r>
      <w:r w:rsidR="000E03CD">
        <w:t xml:space="preserve"> Věcné posuzování žádostí bylo dle příslušných zákonů prováděno akreditačními komisemi, popř. také </w:t>
      </w:r>
      <w:proofErr w:type="spellStart"/>
      <w:r w:rsidR="000E03CD">
        <w:t>MZd</w:t>
      </w:r>
      <w:proofErr w:type="spellEnd"/>
      <w:r w:rsidR="000E03CD">
        <w:t>, které o přidělení dotací rozhodovalo.</w:t>
      </w:r>
      <w:r w:rsidR="004C7D0D">
        <w:t xml:space="preserve"> </w:t>
      </w:r>
      <w:r w:rsidR="00EF79D1">
        <w:t>To se n</w:t>
      </w:r>
      <w:r w:rsidR="004C7D0D">
        <w:t>etýkalo dotací z programu na vzdělávání v základním kmeni lékařů, kde</w:t>
      </w:r>
      <w:r w:rsidR="00077509">
        <w:t xml:space="preserve"> dotaci v plném rozsahu získávali</w:t>
      </w:r>
      <w:r w:rsidR="004C7D0D">
        <w:t xml:space="preserve"> </w:t>
      </w:r>
      <w:r w:rsidR="00C40850" w:rsidRPr="00077509">
        <w:t>žadatelé, kteří</w:t>
      </w:r>
      <w:r w:rsidR="004C7D0D">
        <w:t xml:space="preserve"> spln</w:t>
      </w:r>
      <w:r w:rsidR="00077509">
        <w:t>ili</w:t>
      </w:r>
      <w:r w:rsidR="004C7D0D">
        <w:t xml:space="preserve"> předem stanovené požadavky. </w:t>
      </w:r>
    </w:p>
    <w:p w14:paraId="2BF76ED4" w14:textId="6B492BD1" w:rsidR="00C05BF3" w:rsidRDefault="00C05BF3" w:rsidP="00C52E7E">
      <w:pPr>
        <w:widowControl/>
      </w:pPr>
      <w:r>
        <w:t>Při kontrole</w:t>
      </w:r>
      <w:r w:rsidR="00457601">
        <w:t xml:space="preserve"> administrace a rozhodování o přidělení dotací</w:t>
      </w:r>
      <w:r w:rsidR="00A658AF">
        <w:t xml:space="preserve"> </w:t>
      </w:r>
      <w:proofErr w:type="spellStart"/>
      <w:r w:rsidR="00A658AF" w:rsidRPr="00077509">
        <w:t>MZd</w:t>
      </w:r>
      <w:proofErr w:type="spellEnd"/>
      <w:r w:rsidRPr="00077509">
        <w:t xml:space="preserve"> </w:t>
      </w:r>
      <w:r>
        <w:t xml:space="preserve">byly zjištěny následující </w:t>
      </w:r>
      <w:r w:rsidR="00EF79D1">
        <w:t>nedostatky</w:t>
      </w:r>
      <w:r>
        <w:t>:</w:t>
      </w:r>
    </w:p>
    <w:p w14:paraId="38C498EC" w14:textId="273786ED" w:rsidR="00C05BF3" w:rsidRDefault="00457601" w:rsidP="00C52E7E">
      <w:pPr>
        <w:pStyle w:val="Odstavecseseznamem"/>
        <w:numPr>
          <w:ilvl w:val="0"/>
          <w:numId w:val="10"/>
        </w:numPr>
        <w:ind w:left="426"/>
      </w:pPr>
      <w:r>
        <w:t>K</w:t>
      </w:r>
      <w:r w:rsidR="005B36C5">
        <w:t> </w:t>
      </w:r>
      <w:r w:rsidR="005B36C5" w:rsidRPr="00253C07">
        <w:t>věcnému</w:t>
      </w:r>
      <w:r w:rsidR="005B36C5">
        <w:t xml:space="preserve"> </w:t>
      </w:r>
      <w:r>
        <w:t xml:space="preserve">hodnocení byly bez rozporu přijaty </w:t>
      </w:r>
      <w:r w:rsidR="001A4FE3">
        <w:t xml:space="preserve">i </w:t>
      </w:r>
      <w:r w:rsidR="00157204">
        <w:t>žádosti vyplněné</w:t>
      </w:r>
      <w:r w:rsidR="00157204" w:rsidRPr="00330012">
        <w:t xml:space="preserve"> </w:t>
      </w:r>
      <w:r w:rsidR="001A4FE3">
        <w:t xml:space="preserve">nekompletně </w:t>
      </w:r>
      <w:r w:rsidR="006B761D">
        <w:t>či</w:t>
      </w:r>
      <w:r w:rsidR="006544CC">
        <w:t xml:space="preserve"> </w:t>
      </w:r>
      <w:r w:rsidR="001A4FE3">
        <w:t>s chybějícími přílohami</w:t>
      </w:r>
      <w:r>
        <w:t xml:space="preserve"> a s dalšími formálními nedostatky.</w:t>
      </w:r>
    </w:p>
    <w:p w14:paraId="5F872BA1" w14:textId="37799BE9" w:rsidR="004C7D0D" w:rsidRDefault="00C17F72" w:rsidP="00C52E7E">
      <w:pPr>
        <w:pStyle w:val="Odstavecseseznamem"/>
        <w:numPr>
          <w:ilvl w:val="0"/>
          <w:numId w:val="10"/>
        </w:numPr>
        <w:ind w:left="426"/>
      </w:pPr>
      <w:r w:rsidRPr="00253C07">
        <w:t>V 79 případech z</w:t>
      </w:r>
      <w:r w:rsidR="006544CC">
        <w:t xml:space="preserve"> </w:t>
      </w:r>
      <w:r w:rsidRPr="00253C07">
        <w:t>85 nebylo v</w:t>
      </w:r>
      <w:r w:rsidR="003C003C">
        <w:t xml:space="preserve"> </w:t>
      </w:r>
      <w:r w:rsidRPr="00253C07">
        <w:t>dokumentaci k</w:t>
      </w:r>
      <w:r w:rsidR="003C003C">
        <w:t xml:space="preserve"> </w:t>
      </w:r>
      <w:r w:rsidRPr="00253C07">
        <w:t>věcnému posuzování žádostí nijak specifikováno tzv. volitelné kritérium akreditační komise.</w:t>
      </w:r>
    </w:p>
    <w:p w14:paraId="2C1F539E" w14:textId="225FC9DF" w:rsidR="00C05BF3" w:rsidRDefault="00C05BF3" w:rsidP="00C52E7E">
      <w:pPr>
        <w:pStyle w:val="Odstavecseseznamem"/>
        <w:numPr>
          <w:ilvl w:val="0"/>
          <w:numId w:val="10"/>
        </w:numPr>
        <w:ind w:left="426"/>
      </w:pPr>
      <w:r>
        <w:t>U nelékařských oborů byly zjištěny rozpory mezi maximálním bodovým ohodnocením, které mohly žádosti získat</w:t>
      </w:r>
      <w:r w:rsidR="00157204">
        <w:t>,</w:t>
      </w:r>
      <w:r>
        <w:t xml:space="preserve"> a jejich skutečným </w:t>
      </w:r>
      <w:r w:rsidR="00157204">
        <w:t>ohodnocením</w:t>
      </w:r>
      <w:r w:rsidR="00326CD4">
        <w:t>, tedy že získávaly více bodů, než bylo</w:t>
      </w:r>
      <w:r w:rsidR="008D6E18">
        <w:t xml:space="preserve"> dle uveřejněných metodik</w:t>
      </w:r>
      <w:r w:rsidR="00326CD4">
        <w:t xml:space="preserve"> </w:t>
      </w:r>
      <w:r w:rsidR="008D6E18">
        <w:t>m</w:t>
      </w:r>
      <w:r w:rsidR="00326CD4">
        <w:t>o</w:t>
      </w:r>
      <w:r w:rsidR="008D6E18">
        <w:t>žné</w:t>
      </w:r>
      <w:r>
        <w:t>.</w:t>
      </w:r>
    </w:p>
    <w:p w14:paraId="771DAA9C" w14:textId="731AE0F2" w:rsidR="00326CD4" w:rsidRDefault="00326CD4" w:rsidP="00C52E7E">
      <w:pPr>
        <w:pStyle w:val="Odstavecseseznamem"/>
        <w:numPr>
          <w:ilvl w:val="0"/>
          <w:numId w:val="10"/>
        </w:numPr>
        <w:ind w:left="426"/>
      </w:pPr>
      <w:r>
        <w:t xml:space="preserve">U nelékařských oborů bylo v několika případech zjištěno, že </w:t>
      </w:r>
      <w:proofErr w:type="spellStart"/>
      <w:r>
        <w:t>MZd</w:t>
      </w:r>
      <w:proofErr w:type="spellEnd"/>
      <w:r>
        <w:t xml:space="preserve"> měnilo bodové ohodnocení žádostí v </w:t>
      </w:r>
      <w:r w:rsidR="008D6E18">
        <w:t>přehledech</w:t>
      </w:r>
      <w:r>
        <w:t>, které byly výsledkem posuzování akreditační komisí.</w:t>
      </w:r>
    </w:p>
    <w:p w14:paraId="01EAF9C4" w14:textId="2E03F3FD" w:rsidR="00326CD4" w:rsidRDefault="00326CD4" w:rsidP="00C52E7E">
      <w:pPr>
        <w:pStyle w:val="Odstavecseseznamem"/>
        <w:numPr>
          <w:ilvl w:val="0"/>
          <w:numId w:val="10"/>
        </w:numPr>
        <w:ind w:left="426"/>
      </w:pPr>
      <w:r>
        <w:t>V konečném rozdělení školicích míst u oborů, kde nemohly být uspokojeny všechny požadavky</w:t>
      </w:r>
      <w:r w:rsidR="009873CD">
        <w:t xml:space="preserve"> </w:t>
      </w:r>
      <w:r w:rsidR="009873CD" w:rsidRPr="00253C07">
        <w:t>žadatelů o dotace</w:t>
      </w:r>
      <w:r w:rsidRPr="00253C07">
        <w:t>, nebyl</w:t>
      </w:r>
      <w:r w:rsidR="009B7C62" w:rsidRPr="00253C07">
        <w:t xml:space="preserve">a </w:t>
      </w:r>
      <w:r w:rsidR="009B7C62" w:rsidRPr="00253C07">
        <w:rPr>
          <w:rFonts w:asciiTheme="minorHAnsi" w:hAnsiTheme="minorHAnsi" w:cstheme="minorHAnsi"/>
        </w:rPr>
        <w:t>stanovena pravidla pro jejich krácení a ani z provedeného rozdělení školicích míst nevyplývala</w:t>
      </w:r>
      <w:r>
        <w:t>. Např. v jednom z nelékařských oborů v roce 2018 byla žadateli s požadavkem na čtyři školicí místa, který v hodnocení získal 100 bodů, tedy maximum, přidělena dvě</w:t>
      </w:r>
      <w:r w:rsidR="00157204">
        <w:t xml:space="preserve"> místa</w:t>
      </w:r>
      <w:r>
        <w:t>. Jiný žadatel ve st</w:t>
      </w:r>
      <w:r w:rsidR="00DC3291">
        <w:t>ejném hodnocení získal pouze 80 </w:t>
      </w:r>
      <w:r>
        <w:t xml:space="preserve">bodů, </w:t>
      </w:r>
      <w:r w:rsidR="00157204">
        <w:t>avšak</w:t>
      </w:r>
      <w:r>
        <w:t xml:space="preserve"> byla mu přidělena dotace na tři místa z celkových čtyř požadovaných.</w:t>
      </w:r>
    </w:p>
    <w:p w14:paraId="79726324" w14:textId="18D5F60F" w:rsidR="00580C5E" w:rsidRDefault="00580C5E" w:rsidP="00C52E7E">
      <w:pPr>
        <w:widowControl/>
        <w:ind w:left="66"/>
      </w:pPr>
      <w:proofErr w:type="spellStart"/>
      <w:r>
        <w:t>MZd</w:t>
      </w:r>
      <w:proofErr w:type="spellEnd"/>
      <w:r>
        <w:t xml:space="preserve"> </w:t>
      </w:r>
      <w:r w:rsidR="00CF5E69">
        <w:t xml:space="preserve">také </w:t>
      </w:r>
      <w:r>
        <w:t xml:space="preserve">akceptovalo </w:t>
      </w:r>
      <w:r w:rsidR="00CF5E69">
        <w:t>poruš</w:t>
      </w:r>
      <w:r w:rsidR="00077509">
        <w:t>ová</w:t>
      </w:r>
      <w:r w:rsidR="00CF5E69">
        <w:t>ní metodik do</w:t>
      </w:r>
      <w:r>
        <w:t>tačního řízení v následujících případech:</w:t>
      </w:r>
    </w:p>
    <w:p w14:paraId="6D39F067" w14:textId="5CB77204" w:rsidR="00457601" w:rsidRDefault="00830382" w:rsidP="00C52E7E">
      <w:pPr>
        <w:pStyle w:val="Odstavecseseznamem"/>
        <w:numPr>
          <w:ilvl w:val="0"/>
          <w:numId w:val="10"/>
        </w:numPr>
        <w:ind w:left="426"/>
      </w:pPr>
      <w:r>
        <w:t>P</w:t>
      </w:r>
      <w:r w:rsidR="00AC24F5">
        <w:t>říjemci</w:t>
      </w:r>
      <w:r w:rsidR="00457601">
        <w:t xml:space="preserve"> v průběhu čerpání dotací</w:t>
      </w:r>
      <w:r w:rsidR="008D6E18">
        <w:t xml:space="preserve"> nenahlašovali změny, o</w:t>
      </w:r>
      <w:r w:rsidR="006544CC">
        <w:t xml:space="preserve"> </w:t>
      </w:r>
      <w:r w:rsidR="008D6E18">
        <w:t>kterých</w:t>
      </w:r>
      <w:r w:rsidR="006544CC">
        <w:t xml:space="preserve"> </w:t>
      </w:r>
      <w:r w:rsidR="00457601">
        <w:t xml:space="preserve">měli povinně informovat, nebo nedodržovali lhůty pro tato hlášení, a to </w:t>
      </w:r>
      <w:r w:rsidR="008D6E18">
        <w:t>i</w:t>
      </w:r>
      <w:r w:rsidR="00457601">
        <w:t xml:space="preserve"> </w:t>
      </w:r>
      <w:r w:rsidR="00157204">
        <w:t xml:space="preserve">u </w:t>
      </w:r>
      <w:r w:rsidR="00457601">
        <w:t>tak zásadních změn, jako je např. přerušení či ukončení vzdělávání školencem.</w:t>
      </w:r>
    </w:p>
    <w:p w14:paraId="25B8EC50" w14:textId="3E4E3A82" w:rsidR="00457601" w:rsidRDefault="001531A2" w:rsidP="00C52E7E">
      <w:pPr>
        <w:pStyle w:val="Odstavecseseznamem"/>
        <w:numPr>
          <w:ilvl w:val="0"/>
          <w:numId w:val="10"/>
        </w:numPr>
        <w:ind w:left="426"/>
      </w:pPr>
      <w:r>
        <w:t>Ve</w:t>
      </w:r>
      <w:r w:rsidR="00457601">
        <w:t xml:space="preserve"> </w:t>
      </w:r>
      <w:r>
        <w:t xml:space="preserve">dvanácti </w:t>
      </w:r>
      <w:r w:rsidR="00457601">
        <w:t>případech nebyly kontrolní zprávy předkládané po ukončení projektu vyhotoveny nezávislým</w:t>
      </w:r>
      <w:r w:rsidR="00EF79D1">
        <w:t xml:space="preserve"> externím</w:t>
      </w:r>
      <w:r w:rsidR="00457601">
        <w:t xml:space="preserve"> kontrolním orgánem, přestože tak </w:t>
      </w:r>
      <w:proofErr w:type="spellStart"/>
      <w:r w:rsidR="00457601">
        <w:t>MZd</w:t>
      </w:r>
      <w:proofErr w:type="spellEnd"/>
      <w:r w:rsidR="00457601">
        <w:t xml:space="preserve"> stanovilo v příslušných metodikách.</w:t>
      </w:r>
    </w:p>
    <w:p w14:paraId="29EA5DC2" w14:textId="77777777" w:rsidR="00157204" w:rsidRDefault="00157204" w:rsidP="00C52E7E">
      <w:pPr>
        <w:widowControl/>
        <w:rPr>
          <w:b/>
        </w:rPr>
      </w:pPr>
    </w:p>
    <w:p w14:paraId="694A97F9" w14:textId="235DB364" w:rsidR="00326CD4" w:rsidRPr="00457601" w:rsidRDefault="00457601" w:rsidP="00C52E7E">
      <w:pPr>
        <w:widowControl/>
        <w:rPr>
          <w:b/>
        </w:rPr>
      </w:pPr>
      <w:r w:rsidRPr="00457601">
        <w:rPr>
          <w:b/>
        </w:rPr>
        <w:t>Výše uvedené nedostatky při poskytování dotací způsobov</w:t>
      </w:r>
      <w:r w:rsidR="00A06219">
        <w:rPr>
          <w:b/>
        </w:rPr>
        <w:t>aly netransparentnost procesu a </w:t>
      </w:r>
      <w:r w:rsidRPr="00457601">
        <w:rPr>
          <w:b/>
        </w:rPr>
        <w:t>nerovný přístup k žadatelů</w:t>
      </w:r>
      <w:r w:rsidR="00225241">
        <w:rPr>
          <w:b/>
        </w:rPr>
        <w:t>m</w:t>
      </w:r>
      <w:r w:rsidRPr="00457601">
        <w:rPr>
          <w:b/>
        </w:rPr>
        <w:t xml:space="preserve"> o dotace, resp. </w:t>
      </w:r>
      <w:r w:rsidR="00D83DE5">
        <w:rPr>
          <w:b/>
        </w:rPr>
        <w:t>k </w:t>
      </w:r>
      <w:r w:rsidRPr="00457601">
        <w:rPr>
          <w:b/>
        </w:rPr>
        <w:t>příjemcům</w:t>
      </w:r>
      <w:r w:rsidR="00D83DE5">
        <w:rPr>
          <w:b/>
        </w:rPr>
        <w:t xml:space="preserve"> dotací</w:t>
      </w:r>
      <w:r w:rsidRPr="00457601">
        <w:rPr>
          <w:b/>
        </w:rPr>
        <w:t>.</w:t>
      </w:r>
    </w:p>
    <w:p w14:paraId="75CDA472" w14:textId="36AA6E7D" w:rsidR="00C05BF3" w:rsidRDefault="00C05BF3" w:rsidP="00C52E7E">
      <w:pPr>
        <w:widowControl/>
      </w:pPr>
    </w:p>
    <w:p w14:paraId="0FB431E1" w14:textId="308F01AB" w:rsidR="0079459D" w:rsidRDefault="00077509" w:rsidP="00C52E7E">
      <w:pPr>
        <w:widowControl/>
      </w:pPr>
      <w:r>
        <w:t>Objem výdajů na specializační</w:t>
      </w:r>
      <w:r w:rsidR="0079459D" w:rsidRPr="0079459D">
        <w:t xml:space="preserve"> vzdělávání </w:t>
      </w:r>
      <w:r>
        <w:t xml:space="preserve">souvisí s jeho délkou, která </w:t>
      </w:r>
      <w:r w:rsidR="0079459D" w:rsidRPr="0079459D">
        <w:t>zálež</w:t>
      </w:r>
      <w:r>
        <w:t>í</w:t>
      </w:r>
      <w:r w:rsidR="0079459D" w:rsidRPr="0079459D">
        <w:t xml:space="preserve"> na konkrétním oboru. Pouze vzdělávání lékařů v základním kmeni mělo stanovenu dé</w:t>
      </w:r>
      <w:r>
        <w:t>lku shodně pro</w:t>
      </w:r>
      <w:r w:rsidR="006544CC">
        <w:t xml:space="preserve"> </w:t>
      </w:r>
      <w:r w:rsidR="0079459D" w:rsidRPr="0079459D">
        <w:t>všechny obory</w:t>
      </w:r>
      <w:r w:rsidR="0079459D">
        <w:t xml:space="preserve"> a stejně tak částku dotace</w:t>
      </w:r>
      <w:r w:rsidR="0079459D" w:rsidRPr="0079459D">
        <w:t xml:space="preserve">. Rozdíly tak byly </w:t>
      </w:r>
      <w:r w:rsidR="0079459D">
        <w:t>patrné pouze u dotací na celé specializační vzdělávání, a to jak v</w:t>
      </w:r>
      <w:r w:rsidR="00773338">
        <w:t xml:space="preserve"> </w:t>
      </w:r>
      <w:r w:rsidR="0079459D">
        <w:t>lékařských, tak i nelékařských oborech</w:t>
      </w:r>
      <w:r w:rsidR="0079459D" w:rsidRPr="0079459D">
        <w:t xml:space="preserve">. </w:t>
      </w:r>
      <w:proofErr w:type="spellStart"/>
      <w:r>
        <w:t>MZd</w:t>
      </w:r>
      <w:proofErr w:type="spellEnd"/>
      <w:r>
        <w:t xml:space="preserve"> navíc u </w:t>
      </w:r>
      <w:r w:rsidR="0079459D">
        <w:t>programů pro lékařské obory každoročně stanovovalo jiné částk</w:t>
      </w:r>
      <w:r w:rsidR="00FF24B4">
        <w:t>y dotací (viz příloha č. 1). Např. p</w:t>
      </w:r>
      <w:r w:rsidR="0079459D">
        <w:t>ro vzdělávání lékařů v základním kmeni byla v programu na</w:t>
      </w:r>
      <w:r w:rsidR="006544CC">
        <w:t xml:space="preserve"> </w:t>
      </w:r>
      <w:r w:rsidR="0079459D">
        <w:t>rok 2015 vyhlášena dotace 10 tis. Kč</w:t>
      </w:r>
      <w:r w:rsidR="00D9506B">
        <w:t xml:space="preserve"> na </w:t>
      </w:r>
      <w:r w:rsidR="0079459D">
        <w:t>měsíc</w:t>
      </w:r>
      <w:r w:rsidR="00D9506B">
        <w:t xml:space="preserve"> a</w:t>
      </w:r>
      <w:r w:rsidR="006544CC">
        <w:t xml:space="preserve"> </w:t>
      </w:r>
      <w:r w:rsidR="0079459D">
        <w:t>školen</w:t>
      </w:r>
      <w:r w:rsidR="00D9506B">
        <w:t>ce</w:t>
      </w:r>
      <w:r w:rsidR="0079459D">
        <w:t>, 13 tis. Kč</w:t>
      </w:r>
      <w:r w:rsidR="00225241" w:rsidRPr="00225241">
        <w:t xml:space="preserve"> </w:t>
      </w:r>
      <w:r w:rsidR="00225241">
        <w:t>na</w:t>
      </w:r>
      <w:r w:rsidR="006544CC">
        <w:t xml:space="preserve"> </w:t>
      </w:r>
      <w:r w:rsidR="00225241">
        <w:t>rok 2016</w:t>
      </w:r>
      <w:r w:rsidR="0079459D">
        <w:t>, 25 tis. Kč</w:t>
      </w:r>
      <w:r w:rsidR="00225241" w:rsidRPr="00225241">
        <w:t xml:space="preserve"> </w:t>
      </w:r>
      <w:r w:rsidR="00225241">
        <w:t>na</w:t>
      </w:r>
      <w:r w:rsidR="006544CC">
        <w:t xml:space="preserve"> </w:t>
      </w:r>
      <w:r w:rsidR="00225241">
        <w:t xml:space="preserve">rok 2017 </w:t>
      </w:r>
      <w:r w:rsidR="0079459D">
        <w:t>a na rok 2018 opět pouze 10</w:t>
      </w:r>
      <w:r w:rsidR="00773338">
        <w:t> </w:t>
      </w:r>
      <w:r w:rsidR="0079459D">
        <w:t>tis. Kč.</w:t>
      </w:r>
    </w:p>
    <w:p w14:paraId="544030CF" w14:textId="77777777" w:rsidR="000C34F8" w:rsidRPr="0079459D" w:rsidRDefault="000C34F8" w:rsidP="00C52E7E">
      <w:pPr>
        <w:widowControl/>
      </w:pPr>
    </w:p>
    <w:p w14:paraId="1BE2ABC0" w14:textId="3122759D" w:rsidR="0079459D" w:rsidRDefault="0079459D" w:rsidP="00C52E7E">
      <w:pPr>
        <w:widowControl/>
        <w:rPr>
          <w:b/>
        </w:rPr>
      </w:pPr>
      <w:proofErr w:type="spellStart"/>
      <w:r w:rsidRPr="00FF24B4">
        <w:t>MZd</w:t>
      </w:r>
      <w:proofErr w:type="spellEnd"/>
      <w:r w:rsidRPr="00FF24B4">
        <w:t xml:space="preserve"> ne</w:t>
      </w:r>
      <w:r w:rsidR="00773338">
        <w:t>vy</w:t>
      </w:r>
      <w:r w:rsidRPr="00FF24B4">
        <w:t>pracovalo analýzy finanční náročnosti specializačního vzdělávání ani jiné kalkulace pro</w:t>
      </w:r>
      <w:r w:rsidR="006544CC">
        <w:t xml:space="preserve"> </w:t>
      </w:r>
      <w:r w:rsidRPr="00FF24B4">
        <w:t xml:space="preserve">určení konkrétní výše dotací pro vyhlašovaná </w:t>
      </w:r>
      <w:r w:rsidR="00FF24B4" w:rsidRPr="00FF24B4">
        <w:t>školicí</w:t>
      </w:r>
      <w:r w:rsidR="00AC24F5">
        <w:t xml:space="preserve"> místa, které</w:t>
      </w:r>
      <w:r w:rsidR="006544CC">
        <w:t xml:space="preserve"> </w:t>
      </w:r>
      <w:r w:rsidRPr="00FF24B4">
        <w:t>by např. vycházely ze</w:t>
      </w:r>
      <w:r w:rsidR="006544CC">
        <w:t xml:space="preserve"> </w:t>
      </w:r>
      <w:r w:rsidRPr="00FF24B4">
        <w:t xml:space="preserve">mzdových nákladů na školence, míry plánované spoluúčasti státního rozpočtu na jejich pokrytí apod., a to ani </w:t>
      </w:r>
      <w:r w:rsidR="00773338">
        <w:t xml:space="preserve">u </w:t>
      </w:r>
      <w:r w:rsidRPr="00FF24B4">
        <w:t>program</w:t>
      </w:r>
      <w:r w:rsidR="00773338">
        <w:t>ů</w:t>
      </w:r>
      <w:r w:rsidRPr="00FF24B4">
        <w:t xml:space="preserve"> </w:t>
      </w:r>
      <w:r w:rsidR="00225241">
        <w:t xml:space="preserve">pro </w:t>
      </w:r>
      <w:r w:rsidR="00FF24B4" w:rsidRPr="00FF24B4">
        <w:t>lékař</w:t>
      </w:r>
      <w:r w:rsidR="00225241">
        <w:t>ské obory</w:t>
      </w:r>
      <w:r w:rsidR="00773338">
        <w:t>,</w:t>
      </w:r>
      <w:r w:rsidR="00225241">
        <w:t xml:space="preserve"> ani </w:t>
      </w:r>
      <w:r w:rsidR="00773338">
        <w:t xml:space="preserve">u </w:t>
      </w:r>
      <w:r w:rsidR="00225241">
        <w:t>obor</w:t>
      </w:r>
      <w:r w:rsidR="00773338">
        <w:t>ů</w:t>
      </w:r>
      <w:r w:rsidR="00225241">
        <w:t xml:space="preserve"> </w:t>
      </w:r>
      <w:r w:rsidR="00FF24B4" w:rsidRPr="00FF24B4">
        <w:t>nelékařských zdravotnických pracovníků</w:t>
      </w:r>
      <w:r w:rsidRPr="00FF24B4">
        <w:t>.</w:t>
      </w:r>
      <w:r>
        <w:rPr>
          <w:b/>
        </w:rPr>
        <w:t xml:space="preserve"> </w:t>
      </w:r>
      <w:proofErr w:type="spellStart"/>
      <w:r>
        <w:rPr>
          <w:b/>
        </w:rPr>
        <w:t>MZd</w:t>
      </w:r>
      <w:proofErr w:type="spellEnd"/>
      <w:r>
        <w:rPr>
          <w:b/>
        </w:rPr>
        <w:t xml:space="preserve"> při nastavování jednotlivých sazeb dotací na </w:t>
      </w:r>
      <w:r w:rsidR="00AC24F5">
        <w:rPr>
          <w:b/>
        </w:rPr>
        <w:t>školicí</w:t>
      </w:r>
      <w:r>
        <w:rPr>
          <w:b/>
        </w:rPr>
        <w:t xml:space="preserve"> místa v příslušných oborech specializačního vzdělávání neposuzovalo hospodárnost </w:t>
      </w:r>
      <w:r w:rsidR="00225241">
        <w:rPr>
          <w:b/>
        </w:rPr>
        <w:t>vynakládaných prostředků</w:t>
      </w:r>
      <w:r>
        <w:rPr>
          <w:b/>
        </w:rPr>
        <w:t>.</w:t>
      </w:r>
    </w:p>
    <w:p w14:paraId="7EA5F099" w14:textId="23098760" w:rsidR="002F6DB5" w:rsidRDefault="002F6DB5" w:rsidP="00C52E7E">
      <w:pPr>
        <w:widowControl/>
      </w:pPr>
    </w:p>
    <w:p w14:paraId="03482AB7" w14:textId="41028F30" w:rsidR="00A06219" w:rsidRDefault="00A06219" w:rsidP="00C52E7E">
      <w:pPr>
        <w:widowControl/>
      </w:pPr>
      <w:proofErr w:type="spellStart"/>
      <w:r w:rsidRPr="00A06219">
        <w:t>MZd</w:t>
      </w:r>
      <w:proofErr w:type="spellEnd"/>
      <w:r w:rsidRPr="00A06219">
        <w:t xml:space="preserve"> v letech 2017 a 2018 vyhlásilo čtyři mimořádná dotační řízení na podporu specializačního vzdělávání lékařů</w:t>
      </w:r>
      <w:r>
        <w:t xml:space="preserve"> </w:t>
      </w:r>
      <w:r w:rsidR="008D6E18">
        <w:t>s </w:t>
      </w:r>
      <w:r w:rsidRPr="00A06219">
        <w:t>celkovou alokací 650</w:t>
      </w:r>
      <w:r w:rsidR="007D53C2">
        <w:t xml:space="preserve"> </w:t>
      </w:r>
      <w:r w:rsidRPr="00A06219">
        <w:t>mil.</w:t>
      </w:r>
      <w:r w:rsidR="007D53C2">
        <w:t xml:space="preserve"> </w:t>
      </w:r>
      <w:r w:rsidRPr="00A06219">
        <w:t>Kč</w:t>
      </w:r>
      <w:r w:rsidRPr="00A06219">
        <w:rPr>
          <w:rStyle w:val="Znakapoznpodarou"/>
        </w:rPr>
        <w:footnoteReference w:id="13"/>
      </w:r>
      <w:r>
        <w:t>.</w:t>
      </w:r>
      <w:r w:rsidR="002F6DB5" w:rsidRPr="00E50815">
        <w:t xml:space="preserve"> </w:t>
      </w:r>
      <w:r w:rsidRPr="00E50815">
        <w:t>Přestože prostředky státního rozpočtu byly i prostřednictvím mimořádných programů p</w:t>
      </w:r>
      <w:r w:rsidR="00F91E58" w:rsidRPr="00E50815">
        <w:t>oužity ke</w:t>
      </w:r>
      <w:r w:rsidR="006544CC">
        <w:t xml:space="preserve"> </w:t>
      </w:r>
      <w:r w:rsidRPr="00E50815">
        <w:t xml:space="preserve">spolufinancování specializačního vzdělávání lékařů, </w:t>
      </w:r>
      <w:r w:rsidR="00F91E58" w:rsidRPr="00E50815">
        <w:t xml:space="preserve">vyhlašování </w:t>
      </w:r>
      <w:r w:rsidR="00773338">
        <w:t xml:space="preserve">těchto programů </w:t>
      </w:r>
      <w:r w:rsidR="006E2EB8">
        <w:t>bylo</w:t>
      </w:r>
      <w:r w:rsidR="006E2EB8" w:rsidRPr="00E50815">
        <w:t xml:space="preserve"> </w:t>
      </w:r>
      <w:r w:rsidR="00F91E58" w:rsidRPr="00E50815">
        <w:t>nesystémové a</w:t>
      </w:r>
      <w:r w:rsidR="006544CC">
        <w:t xml:space="preserve"> </w:t>
      </w:r>
      <w:r w:rsidRPr="00E50815">
        <w:t xml:space="preserve">při jejich realizaci nebyly </w:t>
      </w:r>
      <w:r w:rsidR="00773338">
        <w:t>zohledněny</w:t>
      </w:r>
      <w:r w:rsidRPr="00E50815">
        <w:t xml:space="preserve"> podmínky stanovené právními předpisy pro</w:t>
      </w:r>
      <w:r w:rsidR="006544CC">
        <w:t xml:space="preserve"> </w:t>
      </w:r>
      <w:r w:rsidRPr="00E50815">
        <w:t>spolufinancování specializačního vzdělávání v lékařských oborech</w:t>
      </w:r>
      <w:r w:rsidR="00E50815">
        <w:rPr>
          <w:rStyle w:val="Znakapoznpodarou"/>
        </w:rPr>
        <w:footnoteReference w:id="14"/>
      </w:r>
      <w:r w:rsidRPr="00E50815">
        <w:t>.</w:t>
      </w:r>
    </w:p>
    <w:p w14:paraId="539268D5" w14:textId="77777777" w:rsidR="004C7D0D" w:rsidRDefault="004C7D0D" w:rsidP="00C52E7E">
      <w:pPr>
        <w:widowControl/>
      </w:pPr>
    </w:p>
    <w:p w14:paraId="3E0082AD" w14:textId="58A5F888" w:rsidR="00E27F58" w:rsidRDefault="00E27F58" w:rsidP="00C52E7E">
      <w:pPr>
        <w:pStyle w:val="Nadpis2"/>
        <w:keepNext w:val="0"/>
        <w:widowControl/>
      </w:pPr>
      <w:r>
        <w:t>Zdravotnická zařízení chybovala při použití dotací na specializační vzdělávání</w:t>
      </w:r>
    </w:p>
    <w:p w14:paraId="6594F5A7" w14:textId="0AADE737" w:rsidR="00B46413" w:rsidRDefault="00B46413" w:rsidP="00C52E7E">
      <w:pPr>
        <w:widowControl/>
        <w:spacing w:before="120"/>
      </w:pPr>
      <w:r>
        <w:t xml:space="preserve">Nenahraditelnou roli v systému postgraduálního vzdělávání jak lékařských, tak nelékařských pracovníků ve zdravotnictví mají zdravotnická zařízení, ve kterých probíhá zejména praktická část přípravy školenců. Zdravotnická zařízení mají možnost </w:t>
      </w:r>
      <w:r w:rsidR="007D53C2">
        <w:t xml:space="preserve">čerpat </w:t>
      </w:r>
      <w:r>
        <w:t xml:space="preserve">na </w:t>
      </w:r>
      <w:r w:rsidR="007D53C2">
        <w:t>svá</w:t>
      </w:r>
      <w:r>
        <w:t xml:space="preserve"> školicí místa dotace v rámci programů vyhlašovaných </w:t>
      </w:r>
      <w:proofErr w:type="spellStart"/>
      <w:r>
        <w:t>MZd</w:t>
      </w:r>
      <w:proofErr w:type="spellEnd"/>
      <w:r>
        <w:t>. Tyto dotace slouží zejména k úhradě části mzdových nákladů na školence, ve</w:t>
      </w:r>
      <w:r w:rsidR="006544CC">
        <w:t xml:space="preserve"> </w:t>
      </w:r>
      <w:r>
        <w:t xml:space="preserve">významně menší míře také k úhradě části mzdových nákladů na školitele, případně materiálních nákladů. NKÚ zkontroloval čerpání a použití dotací na školicí místa u dvou zdravotnických zařízení v celkové výši </w:t>
      </w:r>
      <w:r w:rsidRPr="00412600">
        <w:t>20</w:t>
      </w:r>
      <w:r>
        <w:t> </w:t>
      </w:r>
      <w:r w:rsidRPr="00412600">
        <w:t>886</w:t>
      </w:r>
      <w:r>
        <w:t> </w:t>
      </w:r>
      <w:r w:rsidRPr="00412600">
        <w:t>738</w:t>
      </w:r>
      <w:r>
        <w:t xml:space="preserve"> Kč.</w:t>
      </w:r>
    </w:p>
    <w:p w14:paraId="7D2203EA" w14:textId="77777777" w:rsidR="003959CA" w:rsidRDefault="003959CA" w:rsidP="00C52E7E">
      <w:pPr>
        <w:widowControl/>
      </w:pPr>
    </w:p>
    <w:p w14:paraId="2053833B" w14:textId="33AF1B0F" w:rsidR="00B46413" w:rsidRPr="00412600" w:rsidRDefault="00B46413" w:rsidP="00C52E7E">
      <w:pPr>
        <w:widowControl/>
        <w:rPr>
          <w:rFonts w:cs="Calibri"/>
          <w:szCs w:val="24"/>
        </w:rPr>
      </w:pPr>
      <w:r w:rsidRPr="007B381F">
        <w:rPr>
          <w:b/>
        </w:rPr>
        <w:t>Oba kontrolovaní příjemci podpory v rámci postgraduálního vzdělávání ve zdravotnictví</w:t>
      </w:r>
      <w:r>
        <w:rPr>
          <w:b/>
        </w:rPr>
        <w:t xml:space="preserve"> </w:t>
      </w:r>
      <w:r w:rsidRPr="007B381F">
        <w:rPr>
          <w:b/>
        </w:rPr>
        <w:t>se dopustili pochybení.</w:t>
      </w:r>
      <w:r w:rsidR="00171F77">
        <w:rPr>
          <w:b/>
        </w:rPr>
        <w:t xml:space="preserve"> </w:t>
      </w:r>
      <w:r>
        <w:t>Kontrolou zjištěné nedostatk</w:t>
      </w:r>
      <w:r w:rsidR="00D9506B">
        <w:t>y se týkaly jak lékařských, tak</w:t>
      </w:r>
      <w:r w:rsidR="006544CC">
        <w:t xml:space="preserve"> </w:t>
      </w:r>
      <w:r>
        <w:t>nelékařských programů.</w:t>
      </w:r>
      <w:r w:rsidRPr="00412600">
        <w:rPr>
          <w:rFonts w:cs="Calibri"/>
          <w:szCs w:val="24"/>
        </w:rPr>
        <w:t xml:space="preserve"> NKÚ na základě zjištěných skutečností podal příslušnému správci daně oznámení </w:t>
      </w:r>
      <w:r w:rsidR="007D53C2">
        <w:rPr>
          <w:rFonts w:cs="Calibri"/>
          <w:szCs w:val="24"/>
        </w:rPr>
        <w:t>o </w:t>
      </w:r>
      <w:r w:rsidRPr="00412600">
        <w:rPr>
          <w:rFonts w:cs="Calibri"/>
          <w:szCs w:val="24"/>
        </w:rPr>
        <w:t>porušení rozpočtové kázně</w:t>
      </w:r>
      <w:r w:rsidR="00004A61">
        <w:rPr>
          <w:rStyle w:val="Znakapoznpodarou"/>
          <w:szCs w:val="24"/>
        </w:rPr>
        <w:footnoteReference w:id="15"/>
      </w:r>
      <w:r w:rsidRPr="00412600">
        <w:rPr>
          <w:rFonts w:cs="Calibri"/>
          <w:szCs w:val="24"/>
        </w:rPr>
        <w:t xml:space="preserve"> v celkové výši </w:t>
      </w:r>
      <w:r w:rsidR="004B04E7" w:rsidRPr="004B04E7">
        <w:rPr>
          <w:rFonts w:cs="Calibri"/>
          <w:szCs w:val="24"/>
        </w:rPr>
        <w:t>593 877</w:t>
      </w:r>
      <w:r w:rsidRPr="00412600">
        <w:rPr>
          <w:rFonts w:cs="Calibri"/>
          <w:szCs w:val="24"/>
        </w:rPr>
        <w:t xml:space="preserve"> Kč.</w:t>
      </w:r>
    </w:p>
    <w:p w14:paraId="4468BD21" w14:textId="77777777" w:rsidR="003959CA" w:rsidRDefault="003959CA" w:rsidP="00C52E7E">
      <w:pPr>
        <w:widowControl/>
      </w:pPr>
    </w:p>
    <w:p w14:paraId="3B834329" w14:textId="77777777" w:rsidR="00B46413" w:rsidRPr="007B381F" w:rsidRDefault="00B46413" w:rsidP="00C52E7E">
      <w:pPr>
        <w:widowControl/>
        <w:rPr>
          <w:b/>
        </w:rPr>
      </w:pPr>
      <w:r w:rsidRPr="007B381F">
        <w:rPr>
          <w:b/>
        </w:rPr>
        <w:t xml:space="preserve">Nedodržování právních předpisů v oblasti výběrových řízení na </w:t>
      </w:r>
      <w:r>
        <w:rPr>
          <w:b/>
        </w:rPr>
        <w:t xml:space="preserve">dotovaná školicí </w:t>
      </w:r>
      <w:r w:rsidRPr="007B381F">
        <w:rPr>
          <w:b/>
        </w:rPr>
        <w:t>místa</w:t>
      </w:r>
    </w:p>
    <w:p w14:paraId="35B45788" w14:textId="18AD2ED0" w:rsidR="00B46413" w:rsidRDefault="00B46413" w:rsidP="00C52E7E">
      <w:pPr>
        <w:widowControl/>
      </w:pPr>
      <w:r>
        <w:t xml:space="preserve">Zdravotnická zařízení jsou při výběru pracovníků, kteří se u nich budou vzdělávat v rámci postgraduálního vzdělávání na </w:t>
      </w:r>
      <w:r w:rsidR="007D53C2">
        <w:t>školicích místech</w:t>
      </w:r>
      <w:r w:rsidR="007D53C2" w:rsidDel="007D53C2">
        <w:t xml:space="preserve"> </w:t>
      </w:r>
      <w:r w:rsidR="007D53C2">
        <w:t>podpořených</w:t>
      </w:r>
      <w:r w:rsidR="007D53C2" w:rsidDel="007D53C2">
        <w:t xml:space="preserve"> </w:t>
      </w:r>
      <w:r>
        <w:t>z dotace, povinn</w:t>
      </w:r>
      <w:r w:rsidR="007D53C2">
        <w:t>a</w:t>
      </w:r>
      <w:r>
        <w:t xml:space="preserve"> postupovat v souladu s příslušnými právními předpisy. </w:t>
      </w:r>
      <w:r w:rsidRPr="0060583C">
        <w:t>Nemocnice Jihlava</w:t>
      </w:r>
      <w:r w:rsidR="0060583C">
        <w:t xml:space="preserve"> nepostupovala v souladu s </w:t>
      </w:r>
      <w:r w:rsidRPr="00066070">
        <w:t>ustanovením §</w:t>
      </w:r>
      <w:r w:rsidR="007D53C2">
        <w:t xml:space="preserve"> </w:t>
      </w:r>
      <w:r w:rsidRPr="00066070">
        <w:t>5 odst. 1 vyhlášky č. 186/2009 Sb., když</w:t>
      </w:r>
      <w:r>
        <w:t xml:space="preserve"> v kontrolovaném období</w:t>
      </w:r>
      <w:r w:rsidRPr="00066070">
        <w:t xml:space="preserve"> </w:t>
      </w:r>
      <w:r>
        <w:t>nezajistila správné složení komise</w:t>
      </w:r>
      <w:r w:rsidRPr="00066070">
        <w:t xml:space="preserve"> pro posouzení a hodnocení uchazečů.</w:t>
      </w:r>
      <w:r>
        <w:t xml:space="preserve"> Oba příjemci dotace také nedodrželi lhůtu stanovenou </w:t>
      </w:r>
      <w:r w:rsidRPr="006B12CB">
        <w:t>ustanovením § 60b odst. 1 zákona č. 96/2004 Sb.</w:t>
      </w:r>
      <w:r>
        <w:t xml:space="preserve"> pro provedení výběru </w:t>
      </w:r>
      <w:r w:rsidRPr="006B12CB">
        <w:t>účastníků specializačního vzdělávání</w:t>
      </w:r>
      <w:r>
        <w:t>, přičemž prodlení činilo až 21 dnů</w:t>
      </w:r>
      <w:r w:rsidR="00634108">
        <w:t>.</w:t>
      </w:r>
    </w:p>
    <w:p w14:paraId="0D5C2741" w14:textId="77777777" w:rsidR="003E2590" w:rsidRDefault="003E2590" w:rsidP="00C52E7E">
      <w:pPr>
        <w:widowControl/>
      </w:pPr>
    </w:p>
    <w:p w14:paraId="628EDBDD" w14:textId="77777777" w:rsidR="00B46413" w:rsidRPr="007B381F" w:rsidRDefault="00B46413" w:rsidP="00C52E7E">
      <w:pPr>
        <w:widowControl/>
        <w:rPr>
          <w:b/>
        </w:rPr>
      </w:pPr>
      <w:r w:rsidRPr="007B381F">
        <w:rPr>
          <w:b/>
        </w:rPr>
        <w:t>Chyby při zpracování finančních plánů</w:t>
      </w:r>
    </w:p>
    <w:p w14:paraId="1D9596DD" w14:textId="3D5C13F0" w:rsidR="00B46413" w:rsidRDefault="00B46413" w:rsidP="00C52E7E">
      <w:pPr>
        <w:widowControl/>
      </w:pPr>
      <w:r w:rsidRPr="001421F2">
        <w:t xml:space="preserve">V případě započtení části vzdělávání z doby předcházející čerpání dotace byli její příjemci tuto skutečnost povinni zohlednit při zpracování tzv. finančního plánu, resp. snížit poměrně nárok na dotaci. </w:t>
      </w:r>
      <w:r w:rsidR="00327F0C">
        <w:t>U</w:t>
      </w:r>
      <w:r w:rsidRPr="001421F2">
        <w:t xml:space="preserve"> třinácti školenců příjemci čerpali do</w:t>
      </w:r>
      <w:r w:rsidR="00E77971">
        <w:t>tace v nesnížené výši, přestože</w:t>
      </w:r>
      <w:r w:rsidR="00267FD0">
        <w:t xml:space="preserve"> </w:t>
      </w:r>
      <w:r>
        <w:t xml:space="preserve">tito </w:t>
      </w:r>
      <w:r w:rsidRPr="001421F2">
        <w:t xml:space="preserve">školenci část vzdělávání absolvovali ještě před přiznáním dotace, což bylo v rozporu s příslušnou metodikou </w:t>
      </w:r>
      <w:proofErr w:type="spellStart"/>
      <w:r w:rsidRPr="001421F2">
        <w:t>MZd</w:t>
      </w:r>
      <w:proofErr w:type="spellEnd"/>
      <w:r w:rsidRPr="001421F2">
        <w:t xml:space="preserve">. </w:t>
      </w:r>
    </w:p>
    <w:p w14:paraId="12FF3F7C" w14:textId="77777777" w:rsidR="003E2590" w:rsidRPr="001421F2" w:rsidRDefault="003E2590" w:rsidP="00C52E7E">
      <w:pPr>
        <w:widowControl/>
      </w:pPr>
    </w:p>
    <w:p w14:paraId="0EC94D24" w14:textId="77777777" w:rsidR="00B46413" w:rsidRPr="007B381F" w:rsidRDefault="00B46413" w:rsidP="00C52E7E">
      <w:pPr>
        <w:widowControl/>
        <w:rPr>
          <w:b/>
        </w:rPr>
      </w:pPr>
      <w:r w:rsidRPr="007B381F">
        <w:rPr>
          <w:b/>
        </w:rPr>
        <w:t>Ustanovení školitele, který nebyl zaměstnancem akreditovaného zařízení</w:t>
      </w:r>
    </w:p>
    <w:p w14:paraId="5BA12209" w14:textId="148E6BF8" w:rsidR="00B46413" w:rsidRDefault="00B46413" w:rsidP="00C52E7E">
      <w:pPr>
        <w:widowControl/>
      </w:pPr>
      <w:r>
        <w:t xml:space="preserve">Obě kontrolovaná zdravotnická zařízení v případě sedmi dotací přidělila </w:t>
      </w:r>
      <w:r w:rsidR="003B304D">
        <w:t>jedenácti</w:t>
      </w:r>
      <w:r>
        <w:t xml:space="preserve"> účastníkům specializačního vzdělávání nelékařských pracovníků školitele, který nebyl zaměstnancem akreditovaného zařízení pro daný obor</w:t>
      </w:r>
      <w:r w:rsidR="007D53C2">
        <w:t>, což bylo</w:t>
      </w:r>
      <w:r>
        <w:t xml:space="preserve"> v </w:t>
      </w:r>
      <w:r w:rsidR="007D53C2">
        <w:t>rozporu</w:t>
      </w:r>
      <w:r>
        <w:t xml:space="preserve"> s ustanovením </w:t>
      </w:r>
      <w:r w:rsidR="0060583C">
        <w:t>§ 59 odst. 2 zákona č. </w:t>
      </w:r>
      <w:r w:rsidRPr="00F77E4C">
        <w:t>96/2004 Sb.</w:t>
      </w:r>
    </w:p>
    <w:p w14:paraId="65BED196" w14:textId="77777777" w:rsidR="003E2590" w:rsidRDefault="003E2590" w:rsidP="00C52E7E">
      <w:pPr>
        <w:widowControl/>
      </w:pPr>
    </w:p>
    <w:p w14:paraId="4FA3A9CE" w14:textId="77777777" w:rsidR="00B46413" w:rsidRPr="007B381F" w:rsidRDefault="00B46413" w:rsidP="00C52E7E">
      <w:pPr>
        <w:widowControl/>
        <w:rPr>
          <w:b/>
        </w:rPr>
      </w:pPr>
      <w:r w:rsidRPr="007B381F">
        <w:rPr>
          <w:b/>
        </w:rPr>
        <w:t>Nenahlášení změn nebo nedodržování stanovených lhůt pro jejich nahlášení v průběhu čerpání dotace</w:t>
      </w:r>
    </w:p>
    <w:p w14:paraId="54B62B50" w14:textId="71E40820" w:rsidR="00B46413" w:rsidRDefault="00B46413" w:rsidP="00C52E7E">
      <w:pPr>
        <w:widowControl/>
      </w:pPr>
      <w:r>
        <w:t xml:space="preserve">Zdravotnická zařízení, u nichž probíhá specializační vzdělávání, jsou povinna v zákonných lhůtách hlásit </w:t>
      </w:r>
      <w:proofErr w:type="spellStart"/>
      <w:r>
        <w:t>MZd</w:t>
      </w:r>
      <w:proofErr w:type="spellEnd"/>
      <w:r>
        <w:t xml:space="preserve"> případné změny. </w:t>
      </w:r>
      <w:proofErr w:type="spellStart"/>
      <w:r>
        <w:t>MZd</w:t>
      </w:r>
      <w:proofErr w:type="spellEnd"/>
      <w:r>
        <w:t xml:space="preserve"> ve svých metodikách dále stanovilo lhůty pro hlášení změn v rámci čerpání dotace. Obě zdravotnická zařízení řadu změn nehlásila buď vůbec, nebo</w:t>
      </w:r>
      <w:r w:rsidR="00267FD0">
        <w:t xml:space="preserve"> </w:t>
      </w:r>
      <w:r>
        <w:t>se značným</w:t>
      </w:r>
      <w:r w:rsidR="00AC24F5">
        <w:t>, a to</w:t>
      </w:r>
      <w:r>
        <w:t xml:space="preserve"> i půlročním prodlením.</w:t>
      </w:r>
    </w:p>
    <w:p w14:paraId="48256A58" w14:textId="77777777" w:rsidR="003E2590" w:rsidRDefault="003E2590" w:rsidP="00C52E7E">
      <w:pPr>
        <w:widowControl/>
      </w:pPr>
    </w:p>
    <w:p w14:paraId="6BA86FFB" w14:textId="77777777" w:rsidR="00B46413" w:rsidRPr="007B381F" w:rsidRDefault="00B46413" w:rsidP="00C52E7E">
      <w:pPr>
        <w:widowControl/>
        <w:rPr>
          <w:b/>
        </w:rPr>
      </w:pPr>
      <w:r w:rsidRPr="007B381F">
        <w:rPr>
          <w:b/>
        </w:rPr>
        <w:t>Nesprávně vyhotovené kontrolní zprávy</w:t>
      </w:r>
    </w:p>
    <w:p w14:paraId="37DCDACF" w14:textId="70B2A8BF" w:rsidR="00B46413" w:rsidRDefault="00B46413" w:rsidP="00C52E7E">
      <w:pPr>
        <w:widowControl/>
      </w:pPr>
      <w:r>
        <w:t xml:space="preserve">Po skončení specializačního vzdělávání, které bylo podpořeno z dotace, měl příjemce nechat </w:t>
      </w:r>
      <w:r w:rsidR="007D53C2">
        <w:t>vy</w:t>
      </w:r>
      <w:r>
        <w:t>pracovat a předložit kontrolní zprávu. V</w:t>
      </w:r>
      <w:r w:rsidR="001531A2">
        <w:t>e</w:t>
      </w:r>
      <w:r w:rsidR="00267FD0">
        <w:t xml:space="preserve"> </w:t>
      </w:r>
      <w:r w:rsidR="001531A2">
        <w:t>dvan</w:t>
      </w:r>
      <w:r>
        <w:t xml:space="preserve">ácti kontrolovaných případech nebyla kontrolní zpráva vyhotovena nezávislým kontrolním orgánem, což bylo v rozporu s příslušnou metodikou </w:t>
      </w:r>
      <w:proofErr w:type="spellStart"/>
      <w:r>
        <w:t>MZd</w:t>
      </w:r>
      <w:proofErr w:type="spellEnd"/>
      <w:r>
        <w:t>.</w:t>
      </w:r>
    </w:p>
    <w:p w14:paraId="2619351C" w14:textId="77777777" w:rsidR="003E2590" w:rsidRDefault="003E2590" w:rsidP="00C52E7E">
      <w:pPr>
        <w:widowControl/>
      </w:pPr>
    </w:p>
    <w:p w14:paraId="2EC2FCF5" w14:textId="77777777" w:rsidR="00B46413" w:rsidRPr="007B381F" w:rsidRDefault="00B46413" w:rsidP="00C52E7E">
      <w:pPr>
        <w:widowControl/>
        <w:rPr>
          <w:b/>
        </w:rPr>
      </w:pPr>
      <w:r w:rsidRPr="007B381F">
        <w:rPr>
          <w:b/>
        </w:rPr>
        <w:t>Čerpání dotace na úhradu nezpůsobilých nákladů</w:t>
      </w:r>
    </w:p>
    <w:p w14:paraId="096F20F8" w14:textId="01778CDF" w:rsidR="00B46413" w:rsidRDefault="00B46413" w:rsidP="00C52E7E">
      <w:pPr>
        <w:widowControl/>
      </w:pPr>
      <w:r>
        <w:t>Oba příjemci také v několika případech čerpali dotaci na úhra</w:t>
      </w:r>
      <w:r w:rsidR="0060583C">
        <w:t>du nezpůsobilých nákladů, tj.</w:t>
      </w:r>
      <w:r w:rsidR="00267FD0">
        <w:t> </w:t>
      </w:r>
      <w:r w:rsidR="0060583C">
        <w:t>v </w:t>
      </w:r>
      <w:r>
        <w:t>rozporu s rozhodnutím o poskytnutí dotace.</w:t>
      </w:r>
    </w:p>
    <w:p w14:paraId="39559473" w14:textId="77777777" w:rsidR="003E2590" w:rsidRDefault="003E2590" w:rsidP="00C52E7E">
      <w:pPr>
        <w:widowControl/>
      </w:pPr>
    </w:p>
    <w:p w14:paraId="07507508" w14:textId="77777777" w:rsidR="00B46413" w:rsidRPr="003E2590" w:rsidRDefault="00B46413" w:rsidP="00C52E7E">
      <w:pPr>
        <w:widowControl/>
        <w:rPr>
          <w:b/>
        </w:rPr>
      </w:pPr>
      <w:r w:rsidRPr="003E2590">
        <w:rPr>
          <w:b/>
        </w:rPr>
        <w:t>Vzdělávání bez akreditace</w:t>
      </w:r>
    </w:p>
    <w:p w14:paraId="34A66A74" w14:textId="09182A46" w:rsidR="00B46413" w:rsidRDefault="00B46413" w:rsidP="00C52E7E">
      <w:pPr>
        <w:widowControl/>
      </w:pPr>
      <w:r w:rsidRPr="009B7F41">
        <w:t>Nemocnice Jihlava</w:t>
      </w:r>
      <w:r>
        <w:t xml:space="preserve"> </w:t>
      </w:r>
      <w:r w:rsidRPr="00412600">
        <w:t xml:space="preserve">více než 3 měsíce uskutečňovala vzdělávací program v oboru </w:t>
      </w:r>
      <w:r w:rsidR="002F0399">
        <w:rPr>
          <w:i/>
        </w:rPr>
        <w:t>g</w:t>
      </w:r>
      <w:r w:rsidRPr="00E77971">
        <w:rPr>
          <w:i/>
        </w:rPr>
        <w:t>ynekologie a porodnictví</w:t>
      </w:r>
      <w:r w:rsidRPr="00412600">
        <w:t>, ačkoli pro tento o</w:t>
      </w:r>
      <w:r>
        <w:t xml:space="preserve">bor neměla </w:t>
      </w:r>
      <w:r w:rsidR="00D72EB6">
        <w:t xml:space="preserve">v té době </w:t>
      </w:r>
      <w:r w:rsidR="00E77971">
        <w:t>platnou</w:t>
      </w:r>
      <w:r>
        <w:t xml:space="preserve"> akreditaci.</w:t>
      </w:r>
    </w:p>
    <w:p w14:paraId="7C10C5BD" w14:textId="77777777" w:rsidR="003E2590" w:rsidRDefault="003E2590" w:rsidP="00C52E7E">
      <w:pPr>
        <w:widowControl/>
      </w:pPr>
    </w:p>
    <w:p w14:paraId="6F4EC6F8" w14:textId="77777777" w:rsidR="00B46413" w:rsidRPr="003E2590" w:rsidRDefault="00B46413" w:rsidP="00C52E7E">
      <w:pPr>
        <w:widowControl/>
        <w:rPr>
          <w:b/>
        </w:rPr>
      </w:pPr>
      <w:r w:rsidRPr="003E2590">
        <w:rPr>
          <w:b/>
        </w:rPr>
        <w:t>Zadržení nevyčerpaných dotačních prostředků</w:t>
      </w:r>
    </w:p>
    <w:p w14:paraId="6752A9C1" w14:textId="3C127409" w:rsidR="00B46413" w:rsidRPr="00B46413" w:rsidRDefault="00B46413" w:rsidP="00C52E7E">
      <w:pPr>
        <w:widowControl/>
      </w:pPr>
      <w:r w:rsidRPr="009B7F41">
        <w:t>Thomayerova nemocnice</w:t>
      </w:r>
      <w:r w:rsidRPr="00412600">
        <w:t xml:space="preserve"> nevrát</w:t>
      </w:r>
      <w:r w:rsidR="00C15F36">
        <w:t>ila nevyčerpanou část poskytnutých</w:t>
      </w:r>
      <w:r w:rsidRPr="00412600">
        <w:t xml:space="preserve"> dotac</w:t>
      </w:r>
      <w:r w:rsidR="00C15F36">
        <w:t>í</w:t>
      </w:r>
      <w:r w:rsidRPr="00412600">
        <w:t xml:space="preserve"> ze státního rozpočtu </w:t>
      </w:r>
      <w:r w:rsidR="00C15F36">
        <w:t xml:space="preserve">v celkové výši 267 142 Kč </w:t>
      </w:r>
      <w:r w:rsidR="00537BA9">
        <w:t xml:space="preserve">ve </w:t>
      </w:r>
      <w:r w:rsidRPr="00412600">
        <w:t>stanovené lhůtě.</w:t>
      </w:r>
    </w:p>
    <w:p w14:paraId="538DD547" w14:textId="77777777" w:rsidR="00E27F58" w:rsidRDefault="00E27F58" w:rsidP="00C52E7E">
      <w:pPr>
        <w:widowControl/>
      </w:pPr>
    </w:p>
    <w:p w14:paraId="033BD917" w14:textId="10FA739C" w:rsidR="00E27F58" w:rsidRDefault="00E27F58" w:rsidP="00C52E7E">
      <w:pPr>
        <w:pStyle w:val="Nadpis2"/>
        <w:keepNext w:val="0"/>
        <w:widowControl/>
      </w:pPr>
      <w:r>
        <w:t xml:space="preserve">Systém specializačního vzdělávání lékařů je </w:t>
      </w:r>
      <w:r w:rsidRPr="001857FE">
        <w:t>roztříštěný</w:t>
      </w:r>
    </w:p>
    <w:p w14:paraId="4C59ADA0" w14:textId="701009E2" w:rsidR="009B7F41" w:rsidRDefault="009B7F41" w:rsidP="00C52E7E">
      <w:pPr>
        <w:widowControl/>
      </w:pPr>
      <w:r>
        <w:t>V průběhu posledních let došlo ve specializačním vzdělávání</w:t>
      </w:r>
      <w:r w:rsidR="00D27945">
        <w:t xml:space="preserve"> v lékařských oborech</w:t>
      </w:r>
      <w:r>
        <w:t xml:space="preserve"> k</w:t>
      </w:r>
      <w:r w:rsidR="00401533">
        <w:t> </w:t>
      </w:r>
      <w:r>
        <w:t>řadě</w:t>
      </w:r>
      <w:r w:rsidR="00401533">
        <w:t xml:space="preserve"> zásadních</w:t>
      </w:r>
      <w:r>
        <w:t xml:space="preserve"> </w:t>
      </w:r>
      <w:r w:rsidRPr="005C4047">
        <w:t xml:space="preserve">změn. </w:t>
      </w:r>
      <w:r w:rsidR="00B37224" w:rsidRPr="005C4047">
        <w:t>B</w:t>
      </w:r>
      <w:r w:rsidR="00863CF9" w:rsidRPr="005C4047">
        <w:t xml:space="preserve">yla </w:t>
      </w:r>
      <w:r w:rsidR="00B37224" w:rsidRPr="005C4047">
        <w:t xml:space="preserve">např. </w:t>
      </w:r>
      <w:r w:rsidR="00863CF9" w:rsidRPr="005C4047">
        <w:t>prodloužena doba vzdělávání v základním kmeni, upraven obsah vzdělávacích programů a již v roce 2011 byly d</w:t>
      </w:r>
      <w:r w:rsidRPr="005C4047">
        <w:t>o systému zapojeny univerzity, resp</w:t>
      </w:r>
      <w:r>
        <w:t>. jejich LF, které</w:t>
      </w:r>
      <w:r w:rsidR="00267FD0">
        <w:t xml:space="preserve"> </w:t>
      </w:r>
      <w:r w:rsidR="00401533">
        <w:t>na</w:t>
      </w:r>
      <w:r w:rsidR="00267FD0">
        <w:t xml:space="preserve"> </w:t>
      </w:r>
      <w:r>
        <w:t xml:space="preserve">základě </w:t>
      </w:r>
      <w:r w:rsidR="00401533">
        <w:t>veřejnoprávních</w:t>
      </w:r>
      <w:r>
        <w:t xml:space="preserve"> smluv</w:t>
      </w:r>
      <w:r w:rsidR="00401533">
        <w:t xml:space="preserve"> uzavřených s </w:t>
      </w:r>
      <w:proofErr w:type="spellStart"/>
      <w:r w:rsidR="00401533">
        <w:t>MZd</w:t>
      </w:r>
      <w:proofErr w:type="spellEnd"/>
      <w:r w:rsidR="00401533">
        <w:t xml:space="preserve"> realizují</w:t>
      </w:r>
      <w:r>
        <w:t xml:space="preserve"> </w:t>
      </w:r>
      <w:r w:rsidR="00401533">
        <w:t>t</w:t>
      </w:r>
      <w:r>
        <w:t>eoretickou část vzdělávání</w:t>
      </w:r>
      <w:r w:rsidR="00401533">
        <w:t xml:space="preserve">, což do té doby </w:t>
      </w:r>
      <w:r w:rsidR="006D672C">
        <w:t>plně</w:t>
      </w:r>
      <w:r w:rsidR="00401533">
        <w:t xml:space="preserve"> zajišťoval</w:t>
      </w:r>
      <w:r>
        <w:t xml:space="preserve"> </w:t>
      </w:r>
      <w:r w:rsidR="00D27945">
        <w:t>IPVZ. Uzavřené smlouvy se týkaly specializačního vzdělávání lékařů a zubních lékařů v základních oborech s</w:t>
      </w:r>
      <w:r w:rsidR="00267FD0">
        <w:t> </w:t>
      </w:r>
      <w:r w:rsidR="00D27945">
        <w:t>výjimkou</w:t>
      </w:r>
      <w:r w:rsidR="00267FD0">
        <w:t xml:space="preserve"> </w:t>
      </w:r>
      <w:r w:rsidR="00D27945">
        <w:t>základní</w:t>
      </w:r>
      <w:r w:rsidR="002F0399">
        <w:t>c</w:t>
      </w:r>
      <w:r w:rsidR="00D27945">
        <w:t>h obor</w:t>
      </w:r>
      <w:r w:rsidR="002F0399">
        <w:t>ů</w:t>
      </w:r>
      <w:r w:rsidR="00D27945">
        <w:t xml:space="preserve"> všeobecné praktické lékařství a praktické lékařství pro</w:t>
      </w:r>
      <w:r w:rsidR="00267FD0">
        <w:t xml:space="preserve"> </w:t>
      </w:r>
      <w:r w:rsidR="00D27945">
        <w:t>děti a</w:t>
      </w:r>
      <w:r w:rsidR="00267FD0">
        <w:t xml:space="preserve"> </w:t>
      </w:r>
      <w:r w:rsidR="00D27945">
        <w:t>dorost, které zůstaly IPVZ.</w:t>
      </w:r>
      <w:r w:rsidR="000878F5">
        <w:t xml:space="preserve"> </w:t>
      </w:r>
      <w:r w:rsidR="00401533">
        <w:t xml:space="preserve">V současné době tak působí ve </w:t>
      </w:r>
      <w:r w:rsidR="006D672C">
        <w:t>specializačním vzdělávání</w:t>
      </w:r>
      <w:r w:rsidR="00401533">
        <w:t xml:space="preserve"> </w:t>
      </w:r>
      <w:r w:rsidR="006D672C">
        <w:t>lékařů množství</w:t>
      </w:r>
      <w:r w:rsidR="00401533">
        <w:t xml:space="preserve"> subjektů (</w:t>
      </w:r>
      <w:proofErr w:type="spellStart"/>
      <w:r w:rsidR="00401533">
        <w:t>MZd</w:t>
      </w:r>
      <w:proofErr w:type="spellEnd"/>
      <w:r w:rsidR="00401533">
        <w:t>, zdravotnická zařízení, čtyři un</w:t>
      </w:r>
      <w:r w:rsidR="006D672C">
        <w:t>iverzity, resp. osm jejich LF</w:t>
      </w:r>
      <w:r w:rsidR="002F0399">
        <w:t>,</w:t>
      </w:r>
      <w:r w:rsidR="006D672C">
        <w:t xml:space="preserve"> a</w:t>
      </w:r>
      <w:r w:rsidR="00267FD0">
        <w:t xml:space="preserve"> </w:t>
      </w:r>
      <w:r w:rsidR="006D672C">
        <w:t xml:space="preserve">IPVZ) s různým </w:t>
      </w:r>
      <w:r w:rsidR="00401533">
        <w:t>postavení</w:t>
      </w:r>
      <w:r w:rsidR="006D672C">
        <w:t>m</w:t>
      </w:r>
      <w:r w:rsidR="00401533">
        <w:t xml:space="preserve">. </w:t>
      </w:r>
      <w:r w:rsidR="000878F5">
        <w:t>Po</w:t>
      </w:r>
      <w:r w:rsidR="00267FD0">
        <w:t xml:space="preserve"> </w:t>
      </w:r>
      <w:r w:rsidR="000878F5">
        <w:t>převedení většiny teoretické přípravy na univerzity IPVZ ztratil své klíčové postavení</w:t>
      </w:r>
      <w:r w:rsidR="007F6484">
        <w:t xml:space="preserve"> a</w:t>
      </w:r>
      <w:r w:rsidR="00267FD0">
        <w:t xml:space="preserve"> </w:t>
      </w:r>
      <w:proofErr w:type="spellStart"/>
      <w:r w:rsidR="007F6484">
        <w:t>MZd</w:t>
      </w:r>
      <w:proofErr w:type="spellEnd"/>
      <w:r w:rsidR="007F6484">
        <w:t xml:space="preserve"> by mělo zvážit jeho budoucí roli v tomto systému. </w:t>
      </w:r>
      <w:r w:rsidR="007F6484" w:rsidRPr="007F6484">
        <w:rPr>
          <w:b/>
        </w:rPr>
        <w:t>Dle</w:t>
      </w:r>
      <w:r w:rsidR="00267FD0">
        <w:rPr>
          <w:b/>
        </w:rPr>
        <w:t xml:space="preserve"> </w:t>
      </w:r>
      <w:r w:rsidR="007F6484" w:rsidRPr="007F6484">
        <w:rPr>
          <w:b/>
        </w:rPr>
        <w:t>názoru NKÚ ne</w:t>
      </w:r>
      <w:r w:rsidR="00495BB1">
        <w:rPr>
          <w:b/>
        </w:rPr>
        <w:t>ní</w:t>
      </w:r>
      <w:r w:rsidR="007F6484" w:rsidRPr="007F6484">
        <w:rPr>
          <w:b/>
        </w:rPr>
        <w:t xml:space="preserve"> transformace systému</w:t>
      </w:r>
      <w:r w:rsidR="008A74A4">
        <w:rPr>
          <w:b/>
        </w:rPr>
        <w:t xml:space="preserve"> specializačního vzdělávání v lékařských oborech</w:t>
      </w:r>
      <w:r w:rsidR="003831DC">
        <w:rPr>
          <w:b/>
        </w:rPr>
        <w:t xml:space="preserve"> </w:t>
      </w:r>
      <w:r w:rsidR="003831DC" w:rsidRPr="005C4047">
        <w:rPr>
          <w:b/>
        </w:rPr>
        <w:t>započatá zapojením univerzit v roce 2011</w:t>
      </w:r>
      <w:r w:rsidR="006D672C">
        <w:rPr>
          <w:b/>
        </w:rPr>
        <w:t xml:space="preserve"> dokončena</w:t>
      </w:r>
      <w:r w:rsidR="007F6484" w:rsidRPr="007F6484">
        <w:rPr>
          <w:b/>
        </w:rPr>
        <w:t>.</w:t>
      </w:r>
    </w:p>
    <w:p w14:paraId="606D1E12" w14:textId="46E68D65" w:rsidR="009B7F41" w:rsidRDefault="009B7F41" w:rsidP="00C52E7E">
      <w:pPr>
        <w:widowControl/>
      </w:pPr>
    </w:p>
    <w:p w14:paraId="15CB29FF" w14:textId="60D39708" w:rsidR="007F6484" w:rsidRDefault="007F6484" w:rsidP="00C52E7E">
      <w:pPr>
        <w:widowControl/>
      </w:pPr>
      <w:r>
        <w:t>V novel</w:t>
      </w:r>
      <w:r w:rsidR="009867D7">
        <w:t>e</w:t>
      </w:r>
      <w:r>
        <w:t xml:space="preserve"> zákona č. 95/2004 Sb.</w:t>
      </w:r>
      <w:r w:rsidR="008A74A4">
        <w:t xml:space="preserve">, která nabyla účinnosti </w:t>
      </w:r>
      <w:r w:rsidR="00401533">
        <w:t>dne</w:t>
      </w:r>
      <w:r w:rsidR="00267FD0">
        <w:t xml:space="preserve"> </w:t>
      </w:r>
      <w:r w:rsidR="008A74A4">
        <w:t>1. 7. 2017</w:t>
      </w:r>
      <w:r w:rsidR="00C40B9A">
        <w:rPr>
          <w:rStyle w:val="Znakapoznpodarou"/>
        </w:rPr>
        <w:footnoteReference w:id="16"/>
      </w:r>
      <w:r w:rsidR="009867D7">
        <w:t>, byla k</w:t>
      </w:r>
      <w:r>
        <w:t>romě jiných změn nově definována zkouška po ukončení vzdělávání v základním kmeni</w:t>
      </w:r>
      <w:r w:rsidR="008A74A4">
        <w:t xml:space="preserve">. Zkušební řád </w:t>
      </w:r>
      <w:r w:rsidR="00401533">
        <w:t xml:space="preserve">této </w:t>
      </w:r>
      <w:r w:rsidR="008A74A4">
        <w:t>zkoušky a složení komise měly být dle příslušného ustanovení upraveny prováděcím předpisem.</w:t>
      </w:r>
      <w:r w:rsidR="00D94CF1">
        <w:t xml:space="preserve"> Příslušná </w:t>
      </w:r>
      <w:r w:rsidR="00D94CF1" w:rsidRPr="00D94CF1">
        <w:t>vyhláška byla vydán</w:t>
      </w:r>
      <w:r w:rsidR="00401533">
        <w:t xml:space="preserve">a a nabyla účinnosti </w:t>
      </w:r>
      <w:r w:rsidR="00384EFC">
        <w:t>v listopadu 2019</w:t>
      </w:r>
      <w:r w:rsidR="00F91E58">
        <w:t>, tedy více než</w:t>
      </w:r>
      <w:r w:rsidR="00267FD0">
        <w:t xml:space="preserve"> </w:t>
      </w:r>
      <w:r w:rsidR="00D94CF1" w:rsidRPr="00D94CF1">
        <w:t xml:space="preserve">dva roky po </w:t>
      </w:r>
      <w:r w:rsidR="00384EFC">
        <w:t>vymezení zkoušky zákonem</w:t>
      </w:r>
      <w:r w:rsidR="00D94CF1" w:rsidRPr="00D94CF1">
        <w:t>.</w:t>
      </w:r>
    </w:p>
    <w:p w14:paraId="30560A4A" w14:textId="77777777" w:rsidR="000C34F8" w:rsidRDefault="000C34F8" w:rsidP="00C52E7E">
      <w:pPr>
        <w:widowControl/>
      </w:pPr>
    </w:p>
    <w:p w14:paraId="57AC518E" w14:textId="501F68FB" w:rsidR="00D94CF1" w:rsidRDefault="00D94CF1" w:rsidP="00C52E7E">
      <w:pPr>
        <w:widowControl/>
      </w:pPr>
      <w:r>
        <w:t xml:space="preserve">V souvislosti se změnami, které novela přinesla, bylo také nezbytné </w:t>
      </w:r>
      <w:r w:rsidR="00992896">
        <w:t>přepracovat i vzdělávací programy pro jednotlivé obory. Ty však byly dopracová</w:t>
      </w:r>
      <w:r w:rsidR="002F0399">
        <w:t>vá</w:t>
      </w:r>
      <w:r w:rsidR="00992896">
        <w:t xml:space="preserve">ny </w:t>
      </w:r>
      <w:r w:rsidR="00384EFC">
        <w:t xml:space="preserve">a postupně </w:t>
      </w:r>
      <w:r w:rsidR="00992896">
        <w:t>vydávány až do září 2019, tedy</w:t>
      </w:r>
      <w:r w:rsidR="00384EFC">
        <w:t xml:space="preserve"> až</w:t>
      </w:r>
      <w:r w:rsidR="00992896">
        <w:t xml:space="preserve"> více než dv</w:t>
      </w:r>
      <w:r w:rsidR="00384EFC">
        <w:t xml:space="preserve">a roky po schválení </w:t>
      </w:r>
      <w:r w:rsidR="00F51098">
        <w:t xml:space="preserve">novely </w:t>
      </w:r>
      <w:r w:rsidR="00384EFC">
        <w:t>zákona</w:t>
      </w:r>
      <w:r w:rsidR="009867D7">
        <w:t>. Teprve pak</w:t>
      </w:r>
      <w:r w:rsidR="00992896">
        <w:t xml:space="preserve"> m</w:t>
      </w:r>
      <w:r w:rsidR="00401533">
        <w:t>ohly být zpracovávány žádosti o</w:t>
      </w:r>
      <w:r w:rsidR="00267FD0">
        <w:t xml:space="preserve"> </w:t>
      </w:r>
      <w:r w:rsidR="00992896">
        <w:t>udělení akreditace k příslušnému vzdělávání.</w:t>
      </w:r>
    </w:p>
    <w:p w14:paraId="5207974F" w14:textId="77777777" w:rsidR="000C34F8" w:rsidRDefault="000C34F8" w:rsidP="00C52E7E">
      <w:pPr>
        <w:widowControl/>
      </w:pPr>
    </w:p>
    <w:p w14:paraId="5F3A735A" w14:textId="6E8FDD35" w:rsidR="00D27945" w:rsidRDefault="00D94CF1" w:rsidP="00C52E7E">
      <w:pPr>
        <w:widowControl/>
      </w:pPr>
      <w:r w:rsidRPr="00D94CF1">
        <w:rPr>
          <w:b/>
        </w:rPr>
        <w:t>Přestože byla v roce 2017 provedena novela zákona č. 95/2004 Sb. přinášející řadu významných změn, nebyly připraveny příslušné prováděcí předpisy uvádějící konkrétní úpravy do praxe</w:t>
      </w:r>
      <w:r w:rsidRPr="000B6982">
        <w:rPr>
          <w:b/>
        </w:rPr>
        <w:t>.</w:t>
      </w:r>
    </w:p>
    <w:p w14:paraId="20261DD6" w14:textId="77777777" w:rsidR="000C34F8" w:rsidRDefault="000C34F8" w:rsidP="00C52E7E">
      <w:pPr>
        <w:widowControl/>
      </w:pPr>
    </w:p>
    <w:p w14:paraId="48FC7606" w14:textId="00E0F59D" w:rsidR="00E27F58" w:rsidRDefault="002E506F" w:rsidP="00C52E7E">
      <w:pPr>
        <w:pStyle w:val="Nadpis2"/>
        <w:keepNext w:val="0"/>
        <w:widowControl/>
      </w:pPr>
      <w:r w:rsidRPr="00DB5937">
        <w:t xml:space="preserve">Při nastavení výše dotací univerzitám </w:t>
      </w:r>
      <w:proofErr w:type="spellStart"/>
      <w:r w:rsidRPr="00DB5937">
        <w:t>MZd</w:t>
      </w:r>
      <w:proofErr w:type="spellEnd"/>
      <w:r w:rsidRPr="00DB5937">
        <w:t xml:space="preserve"> nepo</w:t>
      </w:r>
      <w:r>
        <w:t>suzovalo hospodárnost výdajů ve</w:t>
      </w:r>
      <w:r w:rsidR="00267FD0">
        <w:t xml:space="preserve"> </w:t>
      </w:r>
      <w:r w:rsidRPr="00DB5937">
        <w:t>své kapitole.</w:t>
      </w:r>
      <w:r>
        <w:t xml:space="preserve"> </w:t>
      </w:r>
      <w:proofErr w:type="spellStart"/>
      <w:r w:rsidR="004A0D74" w:rsidRPr="004A0D74">
        <w:t>MZd</w:t>
      </w:r>
      <w:proofErr w:type="spellEnd"/>
      <w:r w:rsidR="004A0D74" w:rsidRPr="004A0D74">
        <w:t xml:space="preserve"> neprovádělo řádnou kontrolu svých výdajů</w:t>
      </w:r>
    </w:p>
    <w:p w14:paraId="61CD6CA1" w14:textId="68B30534" w:rsidR="00F418B6" w:rsidRDefault="00DC09D9" w:rsidP="00C52E7E">
      <w:pPr>
        <w:widowControl/>
      </w:pPr>
      <w:r>
        <w:t>K</w:t>
      </w:r>
      <w:r w:rsidR="00D27945">
        <w:t> </w:t>
      </w:r>
      <w:r>
        <w:t>převodu</w:t>
      </w:r>
      <w:r w:rsidR="00D27945">
        <w:t xml:space="preserve"> většiny</w:t>
      </w:r>
      <w:r>
        <w:t xml:space="preserve"> </w:t>
      </w:r>
      <w:r w:rsidR="0099784A">
        <w:t xml:space="preserve">teoretické části </w:t>
      </w:r>
      <w:r>
        <w:t>specializačního vzdělávání</w:t>
      </w:r>
      <w:r w:rsidR="0099784A">
        <w:t xml:space="preserve"> lékařů</w:t>
      </w:r>
      <w:r>
        <w:t xml:space="preserve"> z IPVZ na univerzity došlo na</w:t>
      </w:r>
      <w:r w:rsidR="00267FD0">
        <w:t xml:space="preserve"> </w:t>
      </w:r>
      <w:r w:rsidR="00FC49A3">
        <w:t xml:space="preserve">základě veřejnoprávních smluv </w:t>
      </w:r>
      <w:r>
        <w:t xml:space="preserve">uzavřených mezi </w:t>
      </w:r>
      <w:proofErr w:type="spellStart"/>
      <w:r>
        <w:t>MZd</w:t>
      </w:r>
      <w:proofErr w:type="spellEnd"/>
      <w:r>
        <w:t xml:space="preserve"> a univerzitami v září 2011. Smlouvy byly uzavřeny s Univerzitou Karlovou, Univerzitou Palackého v Olomouci, Masarykovou univerzitou a v roce 2015 </w:t>
      </w:r>
      <w:r w:rsidR="00606568">
        <w:t>také s Ostravskou univerzitou, přičemž každá z univerzit má jednu zapojenou LF, pouze Univerzita Karlova jich má pět.</w:t>
      </w:r>
      <w:r>
        <w:t xml:space="preserve"> V roce 2017 byla uzavřena nová smlouva s účinností od 1. 9. 2017, v</w:t>
      </w:r>
      <w:r w:rsidR="00972FC7">
        <w:t xml:space="preserve">e </w:t>
      </w:r>
      <w:r>
        <w:t xml:space="preserve">které byly mj. aktualizovány i úhrady za zajišťované činnosti. Dotace na kalendářní rok a zapojenou fakultu se zvýšila </w:t>
      </w:r>
      <w:r w:rsidR="00FC49A3">
        <w:t>o 50 %, tj. z 2 300 000 Kč na</w:t>
      </w:r>
      <w:r w:rsidR="00267FD0">
        <w:t xml:space="preserve"> </w:t>
      </w:r>
      <w:r w:rsidR="00F418B6">
        <w:t>3 450 000</w:t>
      </w:r>
      <w:r w:rsidR="00972FC7">
        <w:t> </w:t>
      </w:r>
      <w:r w:rsidR="00F418B6">
        <w:t>Kč, dotace na jednoho školence vedeného v obor</w:t>
      </w:r>
      <w:r w:rsidR="00FC49A3">
        <w:t>u specializačního vzdělávání</w:t>
      </w:r>
      <w:r w:rsidR="004F0536">
        <w:rPr>
          <w:rStyle w:val="Znakapoznpodarou"/>
        </w:rPr>
        <w:footnoteReference w:id="17"/>
      </w:r>
      <w:r w:rsidR="00FC49A3">
        <w:t xml:space="preserve"> na</w:t>
      </w:r>
      <w:r w:rsidR="00267FD0">
        <w:t xml:space="preserve"> </w:t>
      </w:r>
      <w:r w:rsidR="00F418B6">
        <w:t xml:space="preserve">kalendářní rok zůstala beze změny v částce 3 000 Kč, platba za atestační zkoušku se zvýšila </w:t>
      </w:r>
      <w:r w:rsidR="003C003C">
        <w:br/>
      </w:r>
      <w:r w:rsidR="00F418B6">
        <w:t>o</w:t>
      </w:r>
      <w:r w:rsidR="003C003C">
        <w:t xml:space="preserve"> </w:t>
      </w:r>
      <w:r w:rsidR="00F418B6">
        <w:t>třetinu na 4 000 Kč</w:t>
      </w:r>
      <w:r w:rsidR="003A7D25">
        <w:t xml:space="preserve"> a nově byla ujednána platba za</w:t>
      </w:r>
      <w:r w:rsidR="00267FD0">
        <w:t xml:space="preserve"> </w:t>
      </w:r>
      <w:r w:rsidR="00F418B6">
        <w:t xml:space="preserve">zkoušku po základním kmeni, a to v částce </w:t>
      </w:r>
      <w:r w:rsidR="003C003C">
        <w:br/>
      </w:r>
      <w:r w:rsidR="00F418B6">
        <w:t>4</w:t>
      </w:r>
      <w:r w:rsidR="003C003C">
        <w:t xml:space="preserve"> </w:t>
      </w:r>
      <w:r w:rsidR="00F418B6">
        <w:t>000 Kč.</w:t>
      </w:r>
      <w:r w:rsidR="00FC49A3">
        <w:t xml:space="preserve"> </w:t>
      </w:r>
      <w:r w:rsidR="00606568">
        <w:t>N</w:t>
      </w:r>
      <w:r w:rsidR="00F418B6">
        <w:t xml:space="preserve">ásledující </w:t>
      </w:r>
      <w:r w:rsidR="00606568">
        <w:t>přehled</w:t>
      </w:r>
      <w:r w:rsidR="00F418B6">
        <w:t xml:space="preserve"> obsahuje částky skutečného </w:t>
      </w:r>
      <w:r w:rsidR="00FC49A3">
        <w:t>využití dotací v každém roce za</w:t>
      </w:r>
      <w:r w:rsidR="00267FD0">
        <w:t xml:space="preserve"> </w:t>
      </w:r>
      <w:r w:rsidR="00F418B6">
        <w:t>příslušnou položku dle vyúčtování dotací předložených univerzitami.</w:t>
      </w:r>
    </w:p>
    <w:p w14:paraId="01A7A0EF" w14:textId="07CA6B27" w:rsidR="00F418B6" w:rsidRDefault="00F418B6" w:rsidP="00C52E7E">
      <w:pPr>
        <w:widowControl/>
      </w:pPr>
    </w:p>
    <w:p w14:paraId="32ED7F27" w14:textId="76A2AC9B" w:rsidR="005C2912" w:rsidRPr="00D24B58" w:rsidRDefault="00606568" w:rsidP="000B6982">
      <w:pPr>
        <w:pStyle w:val="Graf"/>
        <w:ind w:left="357" w:hanging="357"/>
      </w:pPr>
      <w:r w:rsidRPr="00D24B58">
        <w:t>Skutečné čerpání dotací univerzitami (v mil. Kč)</w:t>
      </w:r>
    </w:p>
    <w:p w14:paraId="159AAC17" w14:textId="2BB63218" w:rsidR="003D7D94" w:rsidRDefault="003D7D94" w:rsidP="003417FB">
      <w:pPr>
        <w:pStyle w:val="Poznmka"/>
        <w:rPr>
          <w:b/>
        </w:rPr>
      </w:pPr>
      <w:r>
        <w:rPr>
          <w:noProof/>
        </w:rPr>
        <w:drawing>
          <wp:inline distT="0" distB="0" distL="0" distR="0" wp14:anchorId="07AC8BC7" wp14:editId="017B0898">
            <wp:extent cx="5705475" cy="2480807"/>
            <wp:effectExtent l="0" t="0" r="0" b="0"/>
            <wp:docPr id="17" name="Graf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4F50F64B" w14:textId="1F68E15F" w:rsidR="00910875" w:rsidRDefault="00910875" w:rsidP="003417FB">
      <w:pPr>
        <w:pStyle w:val="Poznmka"/>
      </w:pPr>
      <w:r w:rsidRPr="00F418B6">
        <w:rPr>
          <w:b/>
        </w:rPr>
        <w:t>Zdroj:</w:t>
      </w:r>
      <w:r w:rsidR="00267FD0">
        <w:rPr>
          <w:b/>
        </w:rPr>
        <w:t xml:space="preserve"> </w:t>
      </w:r>
      <w:r w:rsidR="00972FC7">
        <w:t>f</w:t>
      </w:r>
      <w:r>
        <w:t xml:space="preserve">inanční vypořádání </w:t>
      </w:r>
      <w:r w:rsidR="00972FC7">
        <w:t xml:space="preserve">dotací </w:t>
      </w:r>
      <w:r>
        <w:t xml:space="preserve">poskytnutých univerzitám, závěrečné zprávy, podklady </w:t>
      </w:r>
      <w:proofErr w:type="spellStart"/>
      <w:r>
        <w:t>MZd</w:t>
      </w:r>
      <w:proofErr w:type="spellEnd"/>
      <w:r>
        <w:t>.</w:t>
      </w:r>
    </w:p>
    <w:p w14:paraId="70057CCD" w14:textId="0844E06B" w:rsidR="00910875" w:rsidRDefault="00910875">
      <w:pPr>
        <w:pStyle w:val="Poznmka"/>
      </w:pPr>
      <w:r>
        <w:rPr>
          <w:b/>
        </w:rPr>
        <w:t>Pozn.</w:t>
      </w:r>
      <w:r w:rsidRPr="00580CBC">
        <w:rPr>
          <w:b/>
        </w:rPr>
        <w:t>:</w:t>
      </w:r>
      <w:r w:rsidR="00267FD0">
        <w:rPr>
          <w:b/>
        </w:rPr>
        <w:t xml:space="preserve"> </w:t>
      </w:r>
      <w:r w:rsidR="00606568">
        <w:t>V letech 2015 až 2018 žádn</w:t>
      </w:r>
      <w:r w:rsidR="00972FC7">
        <w:t>á</w:t>
      </w:r>
      <w:r w:rsidR="00606568">
        <w:t xml:space="preserve"> z</w:t>
      </w:r>
      <w:r w:rsidR="00972FC7">
        <w:t xml:space="preserve"> porovnávaných </w:t>
      </w:r>
      <w:r w:rsidR="00606568">
        <w:t xml:space="preserve">univerzit </w:t>
      </w:r>
      <w:r w:rsidR="00972FC7">
        <w:t>ne</w:t>
      </w:r>
      <w:r w:rsidR="00606568">
        <w:t>čerp</w:t>
      </w:r>
      <w:r w:rsidR="00972FC7">
        <w:t>ala</w:t>
      </w:r>
      <w:r w:rsidR="00606568">
        <w:t xml:space="preserve"> dotace za zkoušku po základním kmeni.</w:t>
      </w:r>
    </w:p>
    <w:p w14:paraId="45B2517D" w14:textId="6DF3CA03" w:rsidR="00F418B6" w:rsidRDefault="00F418B6" w:rsidP="00C52E7E">
      <w:pPr>
        <w:widowControl/>
      </w:pPr>
    </w:p>
    <w:p w14:paraId="73BFEAEB" w14:textId="2009816B" w:rsidR="00FC49A3" w:rsidRDefault="00615883" w:rsidP="00C52E7E">
      <w:pPr>
        <w:widowControl/>
        <w:rPr>
          <w:b/>
        </w:rPr>
      </w:pPr>
      <w:proofErr w:type="spellStart"/>
      <w:r>
        <w:t>MZd</w:t>
      </w:r>
      <w:proofErr w:type="spellEnd"/>
      <w:r>
        <w:t xml:space="preserve"> univerzitám každoročně vyplácí desítky milionů korun a tato částka stále narůstá. Přesto</w:t>
      </w:r>
      <w:r w:rsidR="00267FD0">
        <w:t xml:space="preserve"> </w:t>
      </w:r>
      <w:r>
        <w:t>neprovedlo žádn</w:t>
      </w:r>
      <w:r w:rsidR="00972FC7">
        <w:t>ou</w:t>
      </w:r>
      <w:r>
        <w:t xml:space="preserve"> kalkulac</w:t>
      </w:r>
      <w:r w:rsidR="00972FC7">
        <w:t>i</w:t>
      </w:r>
      <w:r>
        <w:t xml:space="preserve"> vedoucí k </w:t>
      </w:r>
      <w:r w:rsidR="00A77C14">
        <w:t>optimálnímu nastavení smluvních paušálů sloužících pro</w:t>
      </w:r>
      <w:r w:rsidR="00267FD0">
        <w:t xml:space="preserve"> </w:t>
      </w:r>
      <w:r>
        <w:t xml:space="preserve">výpočet výše nároku univerzit na dotace, a to </w:t>
      </w:r>
      <w:r w:rsidR="00253C07">
        <w:t>ani ke smlouvám z roku 2011</w:t>
      </w:r>
      <w:r w:rsidR="00972FC7">
        <w:t>,</w:t>
      </w:r>
      <w:r w:rsidR="00253C07">
        <w:t xml:space="preserve"> ani</w:t>
      </w:r>
      <w:r w:rsidR="00267FD0">
        <w:t xml:space="preserve"> </w:t>
      </w:r>
      <w:r>
        <w:t>ke smlouvě z roku 2017, kdy došlo k významnému navýšení těchto částek.</w:t>
      </w:r>
      <w:r w:rsidR="00A77C14">
        <w:t xml:space="preserve"> </w:t>
      </w:r>
      <w:proofErr w:type="spellStart"/>
      <w:r w:rsidR="00A77C14">
        <w:t>MZd</w:t>
      </w:r>
      <w:proofErr w:type="spellEnd"/>
      <w:r w:rsidR="00A77C14">
        <w:t xml:space="preserve"> nestanovilo objektivní kritéria ke zhodnocení přiměřenosti výše </w:t>
      </w:r>
      <w:r w:rsidR="008F5F65" w:rsidRPr="002E506F">
        <w:t>úhrady</w:t>
      </w:r>
      <w:r w:rsidR="00A77C14" w:rsidRPr="00A77C14">
        <w:t xml:space="preserve"> univerzitám za zabezpečení realizace specializačního vzdělávání</w:t>
      </w:r>
      <w:r w:rsidR="00A77C14" w:rsidRPr="000B6982">
        <w:t>.</w:t>
      </w:r>
      <w:r w:rsidR="00A77C14" w:rsidRPr="00A77C14">
        <w:rPr>
          <w:b/>
        </w:rPr>
        <w:t xml:space="preserve"> </w:t>
      </w:r>
      <w:proofErr w:type="spellStart"/>
      <w:r w:rsidR="00A77C14">
        <w:rPr>
          <w:b/>
        </w:rPr>
        <w:t>MZd</w:t>
      </w:r>
      <w:proofErr w:type="spellEnd"/>
      <w:r w:rsidR="00A77C14" w:rsidRPr="008D6E18">
        <w:rPr>
          <w:b/>
        </w:rPr>
        <w:t xml:space="preserve"> tak</w:t>
      </w:r>
      <w:r w:rsidR="00A77C14" w:rsidRPr="00A77C14">
        <w:t xml:space="preserve"> </w:t>
      </w:r>
      <w:r w:rsidR="00A77C14" w:rsidRPr="00A77C14">
        <w:rPr>
          <w:b/>
        </w:rPr>
        <w:t>neposuzovalo</w:t>
      </w:r>
      <w:r w:rsidR="00A77C14">
        <w:rPr>
          <w:b/>
        </w:rPr>
        <w:t xml:space="preserve"> </w:t>
      </w:r>
      <w:r w:rsidR="00A77C14" w:rsidRPr="00A77C14">
        <w:rPr>
          <w:b/>
        </w:rPr>
        <w:t>hospodárnost prostředků vynakládaných ve své kapitole.</w:t>
      </w:r>
    </w:p>
    <w:p w14:paraId="6C5FE1C6" w14:textId="77777777" w:rsidR="000C34F8" w:rsidRPr="00A77C14" w:rsidRDefault="000C34F8" w:rsidP="00C52E7E">
      <w:pPr>
        <w:widowControl/>
        <w:rPr>
          <w:b/>
        </w:rPr>
      </w:pPr>
    </w:p>
    <w:p w14:paraId="62CC5D3A" w14:textId="26842D01" w:rsidR="00F418B6" w:rsidRDefault="00F418B6" w:rsidP="00C52E7E">
      <w:pPr>
        <w:widowControl/>
      </w:pPr>
      <w:r>
        <w:t>Následující tabulka obsahuje přepočet stanoveného paušál</w:t>
      </w:r>
      <w:r w:rsidR="00CD1BBF">
        <w:t>u dotace na zapojenou LF na rok</w:t>
      </w:r>
      <w:r>
        <w:t xml:space="preserve">, resp. součtu těchto plateb za všechny LF univerzity, na průměrný počet školenců v roce. </w:t>
      </w:r>
    </w:p>
    <w:p w14:paraId="55215435" w14:textId="4C94C4FA" w:rsidR="00F418B6" w:rsidRDefault="00A625E6" w:rsidP="00C52E7E">
      <w:pPr>
        <w:pStyle w:val="Nzevtabulky"/>
        <w:keepNext w:val="0"/>
        <w:numPr>
          <w:ilvl w:val="1"/>
          <w:numId w:val="6"/>
        </w:numPr>
        <w:tabs>
          <w:tab w:val="right" w:pos="9072"/>
        </w:tabs>
        <w:spacing w:before="240"/>
        <w:ind w:left="1418" w:hanging="1418"/>
        <w:rPr>
          <w:lang w:eastAsia="cs-CZ"/>
        </w:rPr>
      </w:pPr>
      <w:r>
        <w:rPr>
          <w:lang w:eastAsia="cs-CZ"/>
        </w:rPr>
        <w:t>Pře</w:t>
      </w:r>
      <w:r w:rsidR="00831755">
        <w:rPr>
          <w:lang w:eastAsia="cs-CZ"/>
        </w:rPr>
        <w:t>hled</w:t>
      </w:r>
      <w:r w:rsidR="00F418B6">
        <w:rPr>
          <w:lang w:eastAsia="cs-CZ"/>
        </w:rPr>
        <w:t xml:space="preserve"> dotac</w:t>
      </w:r>
      <w:r w:rsidR="00831755">
        <w:rPr>
          <w:lang w:eastAsia="cs-CZ"/>
        </w:rPr>
        <w:t>í</w:t>
      </w:r>
      <w:r>
        <w:rPr>
          <w:lang w:eastAsia="cs-CZ"/>
        </w:rPr>
        <w:t xml:space="preserve"> na LF</w:t>
      </w:r>
      <w:r w:rsidR="009F76DB">
        <w:rPr>
          <w:lang w:eastAsia="cs-CZ"/>
        </w:rPr>
        <w:t xml:space="preserve"> </w:t>
      </w:r>
      <w:r w:rsidR="00267FD0">
        <w:rPr>
          <w:lang w:eastAsia="cs-CZ"/>
        </w:rPr>
        <w:tab/>
      </w:r>
      <w:r w:rsidR="009F76DB">
        <w:rPr>
          <w:lang w:eastAsia="cs-CZ"/>
        </w:rPr>
        <w:t>(v Kč)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9"/>
        <w:gridCol w:w="709"/>
        <w:gridCol w:w="1843"/>
        <w:gridCol w:w="1872"/>
        <w:gridCol w:w="1672"/>
        <w:gridCol w:w="1910"/>
      </w:tblGrid>
      <w:tr w:rsidR="00F418B6" w:rsidRPr="00EB3231" w14:paraId="16F36174" w14:textId="77777777" w:rsidTr="00F418B6">
        <w:trPr>
          <w:trHeight w:val="51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AA862CC" w14:textId="77777777" w:rsidR="00F418B6" w:rsidRPr="00EB3231" w:rsidRDefault="00F418B6" w:rsidP="00C52E7E">
            <w:pPr>
              <w:pStyle w:val="tabulka"/>
              <w:keepNext w:val="0"/>
              <w:jc w:val="center"/>
              <w:rPr>
                <w:b/>
                <w:sz w:val="20"/>
                <w:szCs w:val="20"/>
                <w:lang w:eastAsia="cs-CZ"/>
              </w:rPr>
            </w:pPr>
            <w:r w:rsidRPr="00EB3231">
              <w:rPr>
                <w:b/>
                <w:sz w:val="20"/>
                <w:szCs w:val="20"/>
                <w:lang w:eastAsia="cs-CZ"/>
              </w:rPr>
              <w:t>Univerzita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8E31B61" w14:textId="77777777" w:rsidR="00F418B6" w:rsidRPr="00EB3231" w:rsidRDefault="00F418B6" w:rsidP="00C52E7E">
            <w:pPr>
              <w:pStyle w:val="tabulka"/>
              <w:keepNext w:val="0"/>
              <w:jc w:val="center"/>
              <w:rPr>
                <w:b/>
                <w:sz w:val="20"/>
                <w:szCs w:val="20"/>
                <w:lang w:eastAsia="cs-CZ"/>
              </w:rPr>
            </w:pPr>
            <w:r w:rsidRPr="00EB3231">
              <w:rPr>
                <w:b/>
                <w:sz w:val="20"/>
                <w:szCs w:val="20"/>
                <w:lang w:eastAsia="cs-CZ"/>
              </w:rPr>
              <w:t>Rok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B9E280A" w14:textId="56E27C93" w:rsidR="00F418B6" w:rsidRPr="00EB3231" w:rsidRDefault="00F418B6" w:rsidP="00C52E7E">
            <w:pPr>
              <w:pStyle w:val="tabulka"/>
              <w:keepNext w:val="0"/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Dotace na zapoj</w:t>
            </w:r>
            <w:r w:rsidR="004F0536">
              <w:rPr>
                <w:b/>
                <w:sz w:val="20"/>
                <w:szCs w:val="20"/>
                <w:lang w:eastAsia="cs-CZ"/>
              </w:rPr>
              <w:t>ené LF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D72CC44" w14:textId="57C9D862" w:rsidR="00F418B6" w:rsidRPr="00EB3231" w:rsidRDefault="00F418B6" w:rsidP="00C52E7E">
            <w:pPr>
              <w:pStyle w:val="tabulka"/>
              <w:keepNext w:val="0"/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Dotace na š</w:t>
            </w:r>
            <w:r w:rsidRPr="00EB3231">
              <w:rPr>
                <w:b/>
                <w:sz w:val="20"/>
                <w:szCs w:val="20"/>
                <w:lang w:eastAsia="cs-CZ"/>
              </w:rPr>
              <w:t>kolenc</w:t>
            </w:r>
            <w:r>
              <w:rPr>
                <w:b/>
                <w:sz w:val="20"/>
                <w:szCs w:val="20"/>
                <w:lang w:eastAsia="cs-CZ"/>
              </w:rPr>
              <w:t>e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813353A" w14:textId="77777777" w:rsidR="00F418B6" w:rsidRPr="00EB3231" w:rsidRDefault="00F418B6" w:rsidP="00C52E7E">
            <w:pPr>
              <w:pStyle w:val="tabulka"/>
              <w:keepNext w:val="0"/>
              <w:jc w:val="center"/>
              <w:rPr>
                <w:b/>
                <w:sz w:val="20"/>
                <w:szCs w:val="20"/>
                <w:lang w:eastAsia="cs-CZ"/>
              </w:rPr>
            </w:pPr>
            <w:r w:rsidRPr="00EB3231">
              <w:rPr>
                <w:b/>
                <w:sz w:val="20"/>
                <w:szCs w:val="20"/>
                <w:lang w:eastAsia="cs-CZ"/>
              </w:rPr>
              <w:t>Průměrný počet školenců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3EDDAE5" w14:textId="72D29364" w:rsidR="00F418B6" w:rsidRPr="00EB3231" w:rsidRDefault="00F418B6" w:rsidP="00C52E7E">
            <w:pPr>
              <w:pStyle w:val="tabulka"/>
              <w:keepNext w:val="0"/>
              <w:jc w:val="center"/>
              <w:rPr>
                <w:b/>
                <w:sz w:val="20"/>
                <w:szCs w:val="20"/>
                <w:lang w:eastAsia="cs-CZ"/>
              </w:rPr>
            </w:pPr>
            <w:r w:rsidRPr="00EB3231">
              <w:rPr>
                <w:b/>
                <w:sz w:val="20"/>
                <w:szCs w:val="20"/>
                <w:lang w:eastAsia="cs-CZ"/>
              </w:rPr>
              <w:t xml:space="preserve">Podíl </w:t>
            </w:r>
            <w:r>
              <w:rPr>
                <w:b/>
                <w:sz w:val="20"/>
                <w:szCs w:val="20"/>
                <w:lang w:eastAsia="cs-CZ"/>
              </w:rPr>
              <w:t>dotace</w:t>
            </w:r>
            <w:r w:rsidR="004F0536">
              <w:rPr>
                <w:b/>
                <w:sz w:val="20"/>
                <w:szCs w:val="20"/>
                <w:lang w:eastAsia="cs-CZ"/>
              </w:rPr>
              <w:t xml:space="preserve"> na LF</w:t>
            </w:r>
            <w:r w:rsidRPr="00EB3231">
              <w:rPr>
                <w:b/>
                <w:sz w:val="20"/>
                <w:szCs w:val="20"/>
                <w:lang w:eastAsia="cs-CZ"/>
              </w:rPr>
              <w:t xml:space="preserve"> na</w:t>
            </w:r>
            <w:r>
              <w:rPr>
                <w:b/>
                <w:sz w:val="20"/>
                <w:szCs w:val="20"/>
                <w:lang w:eastAsia="cs-CZ"/>
              </w:rPr>
              <w:t> </w:t>
            </w:r>
            <w:r w:rsidRPr="00EB3231">
              <w:rPr>
                <w:b/>
                <w:sz w:val="20"/>
                <w:szCs w:val="20"/>
                <w:lang w:eastAsia="cs-CZ"/>
              </w:rPr>
              <w:t>jednoho školence</w:t>
            </w:r>
          </w:p>
        </w:tc>
      </w:tr>
      <w:tr w:rsidR="00F418B6" w:rsidRPr="00153A35" w14:paraId="2CAA1DF6" w14:textId="77777777" w:rsidTr="00F418B6">
        <w:trPr>
          <w:cantSplit/>
          <w:trHeight w:val="227"/>
        </w:trPr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EE65F3" w14:textId="77777777" w:rsidR="00F418B6" w:rsidRPr="00B94577" w:rsidRDefault="00F418B6" w:rsidP="00C52E7E">
            <w:pPr>
              <w:pStyle w:val="tabulka"/>
              <w:keepNext w:val="0"/>
              <w:jc w:val="center"/>
              <w:rPr>
                <w:sz w:val="18"/>
                <w:szCs w:val="20"/>
                <w:lang w:eastAsia="cs-CZ"/>
              </w:rPr>
            </w:pPr>
            <w:r w:rsidRPr="00B94577">
              <w:rPr>
                <w:sz w:val="18"/>
                <w:szCs w:val="20"/>
                <w:lang w:eastAsia="cs-CZ"/>
              </w:rPr>
              <w:t>Masarykova univerzita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E7B5" w14:textId="77777777" w:rsidR="00F418B6" w:rsidRPr="00153A35" w:rsidRDefault="00F418B6" w:rsidP="00C52E7E">
            <w:pPr>
              <w:pStyle w:val="tabulka"/>
              <w:keepNext w:val="0"/>
              <w:jc w:val="center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C8B8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2 300 000,00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1D01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3 252 750,00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77E5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1 084,25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5F70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2 121,28</w:t>
            </w:r>
          </w:p>
        </w:tc>
      </w:tr>
      <w:tr w:rsidR="00F418B6" w:rsidRPr="00153A35" w14:paraId="4ACAB13F" w14:textId="77777777" w:rsidTr="00F418B6">
        <w:trPr>
          <w:cantSplit/>
          <w:trHeight w:val="227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2AC8" w14:textId="77777777" w:rsidR="00F418B6" w:rsidRPr="00B94577" w:rsidRDefault="00F418B6" w:rsidP="00C52E7E">
            <w:pPr>
              <w:pStyle w:val="tabulka"/>
              <w:keepNext w:val="0"/>
              <w:rPr>
                <w:sz w:val="18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E7EA" w14:textId="77777777" w:rsidR="00F418B6" w:rsidRPr="00153A35" w:rsidRDefault="00F418B6" w:rsidP="00C52E7E">
            <w:pPr>
              <w:pStyle w:val="tabulka"/>
              <w:keepNext w:val="0"/>
              <w:jc w:val="center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CAC3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2 300 000,00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4AA6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3 950 500,00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716F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1 316,83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92D4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1 746,61</w:t>
            </w:r>
          </w:p>
        </w:tc>
      </w:tr>
      <w:tr w:rsidR="00F418B6" w:rsidRPr="00153A35" w14:paraId="6179BC0E" w14:textId="77777777" w:rsidTr="00F418B6">
        <w:trPr>
          <w:cantSplit/>
          <w:trHeight w:val="227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9CBF" w14:textId="77777777" w:rsidR="00F418B6" w:rsidRPr="00B94577" w:rsidRDefault="00F418B6" w:rsidP="00C52E7E">
            <w:pPr>
              <w:pStyle w:val="tabulka"/>
              <w:keepNext w:val="0"/>
              <w:rPr>
                <w:sz w:val="18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2394" w14:textId="77777777" w:rsidR="00F418B6" w:rsidRPr="00153A35" w:rsidRDefault="00F418B6" w:rsidP="00C52E7E">
            <w:pPr>
              <w:pStyle w:val="tabulka"/>
              <w:keepNext w:val="0"/>
              <w:jc w:val="center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B697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2 683 333,00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7FD2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4 826 750,00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6145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1 608,92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9DEF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1 667,79</w:t>
            </w:r>
          </w:p>
        </w:tc>
      </w:tr>
      <w:tr w:rsidR="00F418B6" w:rsidRPr="00153A35" w14:paraId="4D3907D0" w14:textId="77777777" w:rsidTr="00F418B6">
        <w:trPr>
          <w:cantSplit/>
          <w:trHeight w:val="227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43F3" w14:textId="77777777" w:rsidR="00F418B6" w:rsidRPr="00B94577" w:rsidRDefault="00F418B6" w:rsidP="00C52E7E">
            <w:pPr>
              <w:pStyle w:val="tabulka"/>
              <w:keepNext w:val="0"/>
              <w:rPr>
                <w:sz w:val="18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731B" w14:textId="77777777" w:rsidR="00F418B6" w:rsidRPr="00153A35" w:rsidRDefault="00F418B6" w:rsidP="00C52E7E">
            <w:pPr>
              <w:pStyle w:val="tabulka"/>
              <w:keepNext w:val="0"/>
              <w:jc w:val="center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A4A1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3 450 000,00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9BD0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5 352 750,00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66E8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1 784,25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C526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1 933,59</w:t>
            </w:r>
          </w:p>
        </w:tc>
      </w:tr>
      <w:tr w:rsidR="00F418B6" w:rsidRPr="00153A35" w14:paraId="128949BA" w14:textId="77777777" w:rsidTr="00F418B6">
        <w:trPr>
          <w:cantSplit/>
          <w:trHeight w:val="227"/>
        </w:trPr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1FED9B91" w14:textId="77777777" w:rsidR="00F418B6" w:rsidRPr="00B94577" w:rsidRDefault="00F418B6" w:rsidP="00C52E7E">
            <w:pPr>
              <w:pStyle w:val="tabulka"/>
              <w:keepNext w:val="0"/>
              <w:jc w:val="center"/>
              <w:rPr>
                <w:sz w:val="18"/>
                <w:szCs w:val="20"/>
                <w:lang w:eastAsia="cs-CZ"/>
              </w:rPr>
            </w:pPr>
            <w:r w:rsidRPr="00B94577">
              <w:rPr>
                <w:sz w:val="18"/>
                <w:szCs w:val="20"/>
                <w:lang w:eastAsia="cs-CZ"/>
              </w:rPr>
              <w:t>Ostravská univerzita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975DDD1" w14:textId="77777777" w:rsidR="00F418B6" w:rsidRPr="00153A35" w:rsidRDefault="00F418B6" w:rsidP="00C52E7E">
            <w:pPr>
              <w:pStyle w:val="tabulka"/>
              <w:keepNext w:val="0"/>
              <w:jc w:val="center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9CB9A74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0,0</w:t>
            </w:r>
            <w:r w:rsidRPr="00153A35">
              <w:rPr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2F133F9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0,0</w:t>
            </w:r>
            <w:r w:rsidRPr="00153A35">
              <w:rPr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A63BD83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F6A0D34" w14:textId="162214F6" w:rsidR="00F418B6" w:rsidRPr="00153A35" w:rsidRDefault="00831755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–</w:t>
            </w:r>
          </w:p>
        </w:tc>
      </w:tr>
      <w:tr w:rsidR="00F418B6" w:rsidRPr="00153A35" w14:paraId="4A483847" w14:textId="77777777" w:rsidTr="00F418B6">
        <w:trPr>
          <w:cantSplit/>
          <w:trHeight w:val="227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DE2323" w14:textId="77777777" w:rsidR="00F418B6" w:rsidRPr="00B94577" w:rsidRDefault="00F418B6" w:rsidP="00C52E7E">
            <w:pPr>
              <w:pStyle w:val="tabulka"/>
              <w:keepNext w:val="0"/>
              <w:rPr>
                <w:sz w:val="18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FF6C2E4" w14:textId="77777777" w:rsidR="00F418B6" w:rsidRPr="00153A35" w:rsidRDefault="00F418B6" w:rsidP="00C52E7E">
            <w:pPr>
              <w:pStyle w:val="tabulka"/>
              <w:keepNext w:val="0"/>
              <w:jc w:val="center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89F821E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1 975 807,51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A4F71D8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120</w:t>
            </w:r>
            <w:r>
              <w:rPr>
                <w:sz w:val="20"/>
                <w:szCs w:val="20"/>
                <w:lang w:eastAsia="cs-CZ"/>
              </w:rPr>
              <w:t> </w:t>
            </w:r>
            <w:r w:rsidRPr="00153A35">
              <w:rPr>
                <w:sz w:val="20"/>
                <w:szCs w:val="20"/>
                <w:lang w:eastAsia="cs-CZ"/>
              </w:rPr>
              <w:t>000</w:t>
            </w:r>
            <w:r>
              <w:rPr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4CF471C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40,00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EE7B644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49 395,19</w:t>
            </w:r>
          </w:p>
        </w:tc>
      </w:tr>
      <w:tr w:rsidR="00F418B6" w:rsidRPr="00153A35" w14:paraId="4CCEFFD0" w14:textId="77777777" w:rsidTr="00F418B6">
        <w:trPr>
          <w:cantSplit/>
          <w:trHeight w:val="227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A3D315" w14:textId="77777777" w:rsidR="00F418B6" w:rsidRPr="00B94577" w:rsidRDefault="00F418B6" w:rsidP="00C52E7E">
            <w:pPr>
              <w:pStyle w:val="tabulka"/>
              <w:keepNext w:val="0"/>
              <w:rPr>
                <w:sz w:val="18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AE5BDEB" w14:textId="77777777" w:rsidR="00F418B6" w:rsidRPr="00153A35" w:rsidRDefault="00F418B6" w:rsidP="00C52E7E">
            <w:pPr>
              <w:pStyle w:val="tabulka"/>
              <w:keepNext w:val="0"/>
              <w:jc w:val="center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AB3D2CA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2 683 333,00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FAA50DF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229</w:t>
            </w:r>
            <w:r>
              <w:rPr>
                <w:sz w:val="20"/>
                <w:szCs w:val="20"/>
                <w:lang w:eastAsia="cs-CZ"/>
              </w:rPr>
              <w:t xml:space="preserve"> </w:t>
            </w:r>
            <w:r w:rsidRPr="00153A35">
              <w:rPr>
                <w:sz w:val="20"/>
                <w:szCs w:val="20"/>
                <w:lang w:eastAsia="cs-CZ"/>
              </w:rPr>
              <w:t>750</w:t>
            </w:r>
            <w:r>
              <w:rPr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3ED4B68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76,58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172D12A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35 038,08</w:t>
            </w:r>
          </w:p>
        </w:tc>
      </w:tr>
      <w:tr w:rsidR="00F418B6" w:rsidRPr="00153A35" w14:paraId="10174EF7" w14:textId="77777777" w:rsidTr="00F418B6">
        <w:trPr>
          <w:cantSplit/>
          <w:trHeight w:val="227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38BA4F" w14:textId="77777777" w:rsidR="00F418B6" w:rsidRPr="00B94577" w:rsidRDefault="00F418B6" w:rsidP="00C52E7E">
            <w:pPr>
              <w:pStyle w:val="tabulka"/>
              <w:keepNext w:val="0"/>
              <w:rPr>
                <w:sz w:val="18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7504A2E" w14:textId="77777777" w:rsidR="00F418B6" w:rsidRPr="00153A35" w:rsidRDefault="00F418B6" w:rsidP="00C52E7E">
            <w:pPr>
              <w:pStyle w:val="tabulka"/>
              <w:keepNext w:val="0"/>
              <w:jc w:val="center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E3AAC9E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3 450 000,00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BFCDE12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431</w:t>
            </w:r>
            <w:r>
              <w:rPr>
                <w:sz w:val="20"/>
                <w:szCs w:val="20"/>
                <w:lang w:eastAsia="cs-CZ"/>
              </w:rPr>
              <w:t> </w:t>
            </w:r>
            <w:r w:rsidRPr="00153A35">
              <w:rPr>
                <w:sz w:val="20"/>
                <w:szCs w:val="20"/>
                <w:lang w:eastAsia="cs-CZ"/>
              </w:rPr>
              <w:t>750</w:t>
            </w:r>
            <w:r>
              <w:rPr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EE04CFB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143,92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DF5F726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23 972,21</w:t>
            </w:r>
          </w:p>
        </w:tc>
      </w:tr>
      <w:tr w:rsidR="00F418B6" w:rsidRPr="00153A35" w14:paraId="1C1B5EB8" w14:textId="77777777" w:rsidTr="00F418B6">
        <w:trPr>
          <w:cantSplit/>
          <w:trHeight w:val="227"/>
        </w:trPr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3D0B68" w14:textId="77777777" w:rsidR="00F418B6" w:rsidRPr="00B94577" w:rsidRDefault="00F418B6" w:rsidP="00C52E7E">
            <w:pPr>
              <w:pStyle w:val="tabulka"/>
              <w:keepNext w:val="0"/>
              <w:jc w:val="center"/>
              <w:rPr>
                <w:sz w:val="18"/>
                <w:szCs w:val="20"/>
                <w:lang w:eastAsia="cs-CZ"/>
              </w:rPr>
            </w:pPr>
            <w:r w:rsidRPr="00B94577">
              <w:rPr>
                <w:sz w:val="18"/>
                <w:szCs w:val="20"/>
                <w:lang w:eastAsia="cs-CZ"/>
              </w:rPr>
              <w:t>Univerzita Karlova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7F07" w14:textId="77777777" w:rsidR="00F418B6" w:rsidRPr="00153A35" w:rsidRDefault="00F418B6" w:rsidP="00C52E7E">
            <w:pPr>
              <w:pStyle w:val="tabulka"/>
              <w:keepNext w:val="0"/>
              <w:jc w:val="center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1F1D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11 500 000,00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60C5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12 007 250,00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391D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4 002,42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D551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2 873,26</w:t>
            </w:r>
          </w:p>
        </w:tc>
      </w:tr>
      <w:tr w:rsidR="00F418B6" w:rsidRPr="00153A35" w14:paraId="62A3F285" w14:textId="77777777" w:rsidTr="00F418B6">
        <w:trPr>
          <w:cantSplit/>
          <w:trHeight w:val="227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6799" w14:textId="77777777" w:rsidR="00F418B6" w:rsidRPr="00B94577" w:rsidRDefault="00F418B6" w:rsidP="00C52E7E">
            <w:pPr>
              <w:pStyle w:val="tabulka"/>
              <w:keepNext w:val="0"/>
              <w:rPr>
                <w:sz w:val="18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3F9B" w14:textId="77777777" w:rsidR="00F418B6" w:rsidRPr="00153A35" w:rsidRDefault="00F418B6" w:rsidP="00C52E7E">
            <w:pPr>
              <w:pStyle w:val="tabulka"/>
              <w:keepNext w:val="0"/>
              <w:jc w:val="center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1425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11 500 000,00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AC6E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14 319 490,00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BB66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4 773,16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FDD0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2 409,30</w:t>
            </w:r>
          </w:p>
        </w:tc>
      </w:tr>
      <w:tr w:rsidR="00F418B6" w:rsidRPr="00153A35" w14:paraId="5AD2ABA0" w14:textId="77777777" w:rsidTr="00F418B6">
        <w:trPr>
          <w:cantSplit/>
          <w:trHeight w:val="227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CFFA" w14:textId="77777777" w:rsidR="00F418B6" w:rsidRPr="00B94577" w:rsidRDefault="00F418B6" w:rsidP="00C52E7E">
            <w:pPr>
              <w:pStyle w:val="tabulka"/>
              <w:keepNext w:val="0"/>
              <w:rPr>
                <w:sz w:val="18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86BB" w14:textId="77777777" w:rsidR="00F418B6" w:rsidRPr="00153A35" w:rsidRDefault="00F418B6" w:rsidP="00C52E7E">
            <w:pPr>
              <w:pStyle w:val="tabulka"/>
              <w:keepNext w:val="0"/>
              <w:jc w:val="center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96C3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13 416 665,00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A715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16 260 000,00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AE37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5 420,00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48CC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2 475,40</w:t>
            </w:r>
          </w:p>
        </w:tc>
      </w:tr>
      <w:tr w:rsidR="00F418B6" w:rsidRPr="00153A35" w14:paraId="54BD80C8" w14:textId="77777777" w:rsidTr="00F418B6">
        <w:trPr>
          <w:cantSplit/>
          <w:trHeight w:val="227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FA15" w14:textId="77777777" w:rsidR="00F418B6" w:rsidRPr="00B94577" w:rsidRDefault="00F418B6" w:rsidP="00C52E7E">
            <w:pPr>
              <w:pStyle w:val="tabulka"/>
              <w:keepNext w:val="0"/>
              <w:rPr>
                <w:sz w:val="18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D31D" w14:textId="77777777" w:rsidR="00F418B6" w:rsidRPr="00153A35" w:rsidRDefault="00F418B6" w:rsidP="00C52E7E">
            <w:pPr>
              <w:pStyle w:val="tabulka"/>
              <w:keepNext w:val="0"/>
              <w:jc w:val="center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F76D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17 250 000,00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B5AF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17 847 500,00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F768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5 949,17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1BF0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2 899,57</w:t>
            </w:r>
          </w:p>
        </w:tc>
      </w:tr>
      <w:tr w:rsidR="00F418B6" w:rsidRPr="00153A35" w14:paraId="0C677DB4" w14:textId="77777777" w:rsidTr="00F418B6">
        <w:trPr>
          <w:cantSplit/>
          <w:trHeight w:val="227"/>
        </w:trPr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05025426" w14:textId="05787A94" w:rsidR="00F418B6" w:rsidRPr="00B94577" w:rsidRDefault="00F418B6" w:rsidP="00C52E7E">
            <w:pPr>
              <w:pStyle w:val="tabulka"/>
              <w:keepNext w:val="0"/>
              <w:jc w:val="center"/>
              <w:rPr>
                <w:sz w:val="18"/>
                <w:szCs w:val="20"/>
                <w:lang w:eastAsia="cs-CZ"/>
              </w:rPr>
            </w:pPr>
            <w:r w:rsidRPr="00B94577">
              <w:rPr>
                <w:sz w:val="18"/>
                <w:szCs w:val="20"/>
                <w:lang w:eastAsia="cs-CZ"/>
              </w:rPr>
              <w:t>Univerzita Palackého v</w:t>
            </w:r>
            <w:r w:rsidR="00267FD0">
              <w:rPr>
                <w:sz w:val="18"/>
                <w:szCs w:val="20"/>
                <w:lang w:eastAsia="cs-CZ"/>
              </w:rPr>
              <w:t> </w:t>
            </w:r>
            <w:r w:rsidRPr="00B94577">
              <w:rPr>
                <w:sz w:val="18"/>
                <w:szCs w:val="20"/>
                <w:lang w:eastAsia="cs-CZ"/>
              </w:rPr>
              <w:t>Olomouci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62E0F7" w14:textId="77777777" w:rsidR="00F418B6" w:rsidRPr="00153A35" w:rsidRDefault="00F418B6" w:rsidP="00C52E7E">
            <w:pPr>
              <w:pStyle w:val="tabulka"/>
              <w:keepNext w:val="0"/>
              <w:jc w:val="center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D5D2F2E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2 300 000,00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E7F48A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2 598 000,00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F9D43A7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866,00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391856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2 655,89</w:t>
            </w:r>
          </w:p>
        </w:tc>
      </w:tr>
      <w:tr w:rsidR="00F418B6" w:rsidRPr="00153A35" w14:paraId="6B18FFAB" w14:textId="77777777" w:rsidTr="00F418B6">
        <w:trPr>
          <w:cantSplit/>
          <w:trHeight w:val="227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4E096D" w14:textId="77777777" w:rsidR="00F418B6" w:rsidRPr="00153A35" w:rsidRDefault="00F418B6" w:rsidP="00C52E7E">
            <w:pPr>
              <w:pStyle w:val="tabulka"/>
              <w:keepNext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CC8CCA" w14:textId="77777777" w:rsidR="00F418B6" w:rsidRPr="00153A35" w:rsidRDefault="00F418B6" w:rsidP="00C52E7E">
            <w:pPr>
              <w:pStyle w:val="tabulka"/>
              <w:keepNext w:val="0"/>
              <w:jc w:val="center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41F454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2 300 000,00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471748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3 051 250,00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54D3B0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1 017,08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49D90F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2 261,37</w:t>
            </w:r>
          </w:p>
        </w:tc>
      </w:tr>
      <w:tr w:rsidR="00F418B6" w:rsidRPr="00153A35" w14:paraId="711E6BDA" w14:textId="77777777" w:rsidTr="00F418B6">
        <w:trPr>
          <w:cantSplit/>
          <w:trHeight w:val="227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15408D" w14:textId="77777777" w:rsidR="00F418B6" w:rsidRPr="00153A35" w:rsidRDefault="00F418B6" w:rsidP="00C52E7E">
            <w:pPr>
              <w:pStyle w:val="tabulka"/>
              <w:keepNext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5A3DC1" w14:textId="77777777" w:rsidR="00F418B6" w:rsidRPr="00153A35" w:rsidRDefault="00F418B6" w:rsidP="00C52E7E">
            <w:pPr>
              <w:pStyle w:val="tabulka"/>
              <w:keepNext w:val="0"/>
              <w:jc w:val="center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0021D4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2 683 333,00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41EA0A6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3 450 630,00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05E9F4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1 150,21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BED13D4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2 332,91</w:t>
            </w:r>
          </w:p>
        </w:tc>
      </w:tr>
      <w:tr w:rsidR="00F418B6" w:rsidRPr="00153A35" w14:paraId="17669C0A" w14:textId="77777777" w:rsidTr="00F418B6">
        <w:trPr>
          <w:cantSplit/>
          <w:trHeight w:val="227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1C811B" w14:textId="77777777" w:rsidR="00F418B6" w:rsidRPr="00153A35" w:rsidRDefault="00F418B6" w:rsidP="00C52E7E">
            <w:pPr>
              <w:pStyle w:val="tabulka"/>
              <w:keepNext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B91CCD6" w14:textId="77777777" w:rsidR="00F418B6" w:rsidRPr="00153A35" w:rsidRDefault="00F418B6" w:rsidP="00C52E7E">
            <w:pPr>
              <w:pStyle w:val="tabulka"/>
              <w:keepNext w:val="0"/>
              <w:jc w:val="center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6C1A64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3 450 000,00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53D3057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3 743 750,00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74546A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1 247,92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D76C68" w14:textId="77777777" w:rsidR="00F418B6" w:rsidRPr="00153A35" w:rsidRDefault="00F418B6" w:rsidP="00C52E7E">
            <w:pPr>
              <w:pStyle w:val="tabulka"/>
              <w:keepNext w:val="0"/>
              <w:jc w:val="right"/>
              <w:rPr>
                <w:sz w:val="20"/>
                <w:szCs w:val="20"/>
                <w:lang w:eastAsia="cs-CZ"/>
              </w:rPr>
            </w:pPr>
            <w:r w:rsidRPr="00153A35">
              <w:rPr>
                <w:sz w:val="20"/>
                <w:szCs w:val="20"/>
                <w:lang w:eastAsia="cs-CZ"/>
              </w:rPr>
              <w:t>2 764,61</w:t>
            </w:r>
          </w:p>
        </w:tc>
      </w:tr>
    </w:tbl>
    <w:p w14:paraId="567CDF55" w14:textId="79F4446E" w:rsidR="00F418B6" w:rsidRDefault="00F418B6" w:rsidP="003417FB">
      <w:pPr>
        <w:pStyle w:val="Poznmka"/>
      </w:pPr>
      <w:r w:rsidRPr="00F418B6">
        <w:rPr>
          <w:b/>
        </w:rPr>
        <w:t>Zdroj:</w:t>
      </w:r>
      <w:r w:rsidR="00267FD0">
        <w:rPr>
          <w:b/>
        </w:rPr>
        <w:t xml:space="preserve"> </w:t>
      </w:r>
      <w:r w:rsidR="00831755">
        <w:t>f</w:t>
      </w:r>
      <w:r>
        <w:t xml:space="preserve">inanční vypořádání </w:t>
      </w:r>
      <w:r w:rsidR="00831755">
        <w:t xml:space="preserve">dotací </w:t>
      </w:r>
      <w:r>
        <w:t>poskytnutých univerzitám, závěrečné zprávy</w:t>
      </w:r>
      <w:r w:rsidR="00CD1BBF">
        <w:t>.</w:t>
      </w:r>
    </w:p>
    <w:p w14:paraId="0C3FC9EC" w14:textId="7AB0D364" w:rsidR="00A625E6" w:rsidRDefault="00A625E6" w:rsidP="003417FB">
      <w:pPr>
        <w:pStyle w:val="Poznmka"/>
      </w:pPr>
      <w:r>
        <w:rPr>
          <w:b/>
        </w:rPr>
        <w:t>Pozn.:</w:t>
      </w:r>
      <w:r w:rsidR="00267FD0">
        <w:rPr>
          <w:b/>
        </w:rPr>
        <w:t xml:space="preserve"> </w:t>
      </w:r>
      <w:r w:rsidRPr="00D50046">
        <w:t>Průměrný počet školenců byl určen jako podíl celkové če</w:t>
      </w:r>
      <w:r>
        <w:t>rpané částky za část</w:t>
      </w:r>
      <w:r w:rsidR="004B10FD">
        <w:t xml:space="preserve"> </w:t>
      </w:r>
      <w:r w:rsidR="00831755">
        <w:t>„</w:t>
      </w:r>
      <w:r w:rsidR="00831755">
        <w:rPr>
          <w:i/>
        </w:rPr>
        <w:t>d</w:t>
      </w:r>
      <w:r w:rsidR="004B10FD" w:rsidRPr="004B10FD">
        <w:rPr>
          <w:i/>
        </w:rPr>
        <w:t>otace na školence</w:t>
      </w:r>
      <w:r w:rsidR="00831755">
        <w:t>“</w:t>
      </w:r>
      <w:r w:rsidR="004B10FD">
        <w:t xml:space="preserve"> a</w:t>
      </w:r>
      <w:r w:rsidR="00267FD0">
        <w:t xml:space="preserve"> </w:t>
      </w:r>
      <w:r w:rsidRPr="00D50046">
        <w:t>částky 3 000 Kč, která je stanovena jako paušál na rok na jednoho školence.</w:t>
      </w:r>
    </w:p>
    <w:p w14:paraId="52E467C1" w14:textId="2DDBF767" w:rsidR="00F418B6" w:rsidRDefault="00F418B6" w:rsidP="000B6982">
      <w:pPr>
        <w:widowControl/>
        <w:spacing w:before="240"/>
        <w:rPr>
          <w:b/>
        </w:rPr>
      </w:pPr>
      <w:r w:rsidRPr="00A625E6">
        <w:t>Z př</w:t>
      </w:r>
      <w:r w:rsidR="00A625E6" w:rsidRPr="00A625E6">
        <w:t xml:space="preserve">epočtu paušálu dotací na LF </w:t>
      </w:r>
      <w:r w:rsidRPr="00A625E6">
        <w:t>na počet školenců, kteří jsou vedeni příslušnou univerzitou v oboru specializačního vzdělávání v</w:t>
      </w:r>
      <w:r w:rsidR="00267FD0">
        <w:t xml:space="preserve"> </w:t>
      </w:r>
      <w:r w:rsidRPr="00A625E6">
        <w:t>kalendářním roce, vyplývá</w:t>
      </w:r>
      <w:r w:rsidR="001B5ABA">
        <w:t xml:space="preserve"> výrazný rozdíl mezi částkou u </w:t>
      </w:r>
      <w:r w:rsidRPr="00A625E6">
        <w:t xml:space="preserve">Ostravské univerzity a </w:t>
      </w:r>
      <w:r w:rsidR="0027743A">
        <w:t>částkami</w:t>
      </w:r>
      <w:r w:rsidRPr="00A625E6">
        <w:t xml:space="preserve"> u ostatních univerzit. V roce 2018, kdy byla Ostravská univerzita do zabezpečení specializačního vzdělávání zapojena již třetím </w:t>
      </w:r>
      <w:r w:rsidR="00A625E6" w:rsidRPr="00A625E6">
        <w:t>rokem, činil přepočtený paušál na LF</w:t>
      </w:r>
      <w:r w:rsidRPr="00A625E6">
        <w:t xml:space="preserve"> na vedené školence minimálně osminásobek částky poskytované ostatním univerzitám.</w:t>
      </w:r>
      <w:r w:rsidRPr="00E57D9D">
        <w:rPr>
          <w:b/>
        </w:rPr>
        <w:t xml:space="preserve"> Za zajištění totožných činností vyplývajících z uzavřené veřejnoprávní smlouvy </w:t>
      </w:r>
      <w:r>
        <w:rPr>
          <w:b/>
        </w:rPr>
        <w:t xml:space="preserve">tak </w:t>
      </w:r>
      <w:proofErr w:type="spellStart"/>
      <w:r w:rsidRPr="00E57D9D">
        <w:rPr>
          <w:b/>
        </w:rPr>
        <w:t>MZd</w:t>
      </w:r>
      <w:proofErr w:type="spellEnd"/>
      <w:r w:rsidRPr="00E57D9D">
        <w:rPr>
          <w:b/>
        </w:rPr>
        <w:t xml:space="preserve"> v kontrolovaném období hradilo jednotlivým univerzitám výrazně odlišné částky. </w:t>
      </w:r>
      <w:r>
        <w:rPr>
          <w:b/>
        </w:rPr>
        <w:t xml:space="preserve">Takové použití veřejných prostředků, kdy </w:t>
      </w:r>
      <w:proofErr w:type="spellStart"/>
      <w:r>
        <w:rPr>
          <w:b/>
        </w:rPr>
        <w:t>MZd</w:t>
      </w:r>
      <w:proofErr w:type="spellEnd"/>
      <w:r w:rsidRPr="00E57D9D">
        <w:rPr>
          <w:b/>
        </w:rPr>
        <w:t xml:space="preserve"> </w:t>
      </w:r>
      <w:r>
        <w:rPr>
          <w:b/>
        </w:rPr>
        <w:t xml:space="preserve">nezajistilo </w:t>
      </w:r>
      <w:r w:rsidRPr="00E57D9D">
        <w:rPr>
          <w:b/>
        </w:rPr>
        <w:t>stanoven</w:t>
      </w:r>
      <w:r>
        <w:rPr>
          <w:b/>
        </w:rPr>
        <w:t>é</w:t>
      </w:r>
      <w:r w:rsidRPr="00E57D9D">
        <w:rPr>
          <w:b/>
        </w:rPr>
        <w:t xml:space="preserve"> úkol</w:t>
      </w:r>
      <w:r>
        <w:rPr>
          <w:b/>
        </w:rPr>
        <w:t>y</w:t>
      </w:r>
      <w:r w:rsidRPr="00E57D9D">
        <w:rPr>
          <w:b/>
        </w:rPr>
        <w:t xml:space="preserve"> s co nejnižším vynaložením těchto prostředků, a to </w:t>
      </w:r>
      <w:r w:rsidR="00232298">
        <w:rPr>
          <w:b/>
        </w:rPr>
        <w:t>za</w:t>
      </w:r>
      <w:r w:rsidRPr="00E57D9D">
        <w:rPr>
          <w:b/>
        </w:rPr>
        <w:t xml:space="preserve"> </w:t>
      </w:r>
      <w:r w:rsidR="00A625E6">
        <w:rPr>
          <w:b/>
        </w:rPr>
        <w:t>předpokladu zajištění požadované</w:t>
      </w:r>
      <w:r w:rsidRPr="00E57D9D">
        <w:rPr>
          <w:b/>
        </w:rPr>
        <w:t xml:space="preserve"> kvality plněných úkolů,</w:t>
      </w:r>
      <w:r>
        <w:rPr>
          <w:b/>
        </w:rPr>
        <w:t xml:space="preserve"> bylo</w:t>
      </w:r>
      <w:r w:rsidRPr="00E57D9D">
        <w:rPr>
          <w:b/>
        </w:rPr>
        <w:t xml:space="preserve"> nehospodárn</w:t>
      </w:r>
      <w:r>
        <w:rPr>
          <w:b/>
        </w:rPr>
        <w:t>é</w:t>
      </w:r>
      <w:r w:rsidRPr="00E57D9D">
        <w:rPr>
          <w:b/>
        </w:rPr>
        <w:t>.</w:t>
      </w:r>
    </w:p>
    <w:p w14:paraId="2D95AE97" w14:textId="6CF79600" w:rsidR="00615883" w:rsidRDefault="00615883" w:rsidP="00C52E7E">
      <w:pPr>
        <w:widowControl/>
        <w:rPr>
          <w:b/>
        </w:rPr>
      </w:pPr>
    </w:p>
    <w:p w14:paraId="4471114B" w14:textId="2231DD2D" w:rsidR="001B5ABA" w:rsidRDefault="001B5ABA" w:rsidP="00C52E7E">
      <w:pPr>
        <w:widowControl/>
        <w:rPr>
          <w:b/>
        </w:rPr>
      </w:pPr>
      <w:proofErr w:type="spellStart"/>
      <w:r w:rsidRPr="001B5ABA">
        <w:t>MZd</w:t>
      </w:r>
      <w:proofErr w:type="spellEnd"/>
      <w:r w:rsidRPr="001B5ABA">
        <w:t xml:space="preserve"> neuvedlo v žádném ze závazných materiálů, smlouvách, metodikách, rozhodnutích či</w:t>
      </w:r>
      <w:r w:rsidR="00267FD0">
        <w:t xml:space="preserve"> </w:t>
      </w:r>
      <w:r w:rsidRPr="001B5ABA">
        <w:t>ostatních</w:t>
      </w:r>
      <w:r w:rsidR="008D6E18">
        <w:t xml:space="preserve"> uveřejňovaných </w:t>
      </w:r>
      <w:r w:rsidRPr="001B5ABA">
        <w:t>informacích přesný mechanismus výpočtu dotace na školence. To mělo za následek, že závěrečné zprávy, popř.</w:t>
      </w:r>
      <w:r w:rsidR="00267FD0">
        <w:t xml:space="preserve"> </w:t>
      </w:r>
      <w:r w:rsidRPr="001B5ABA">
        <w:t>finanční vypořádání dotací ze státního rozpočtu</w:t>
      </w:r>
      <w:r w:rsidR="00493D5E">
        <w:t>,</w:t>
      </w:r>
      <w:r w:rsidRPr="001B5ABA">
        <w:t xml:space="preserve"> předkládané každoročně jednotlivými univerzitami se od sebe vzájemně lišily a zejména pak v případě dotací na</w:t>
      </w:r>
      <w:r w:rsidR="00267FD0">
        <w:t xml:space="preserve"> </w:t>
      </w:r>
      <w:r w:rsidRPr="001B5ABA">
        <w:t>školence znesnadňovaly, či dokonce neumožňovaly kontrolu správnosti.</w:t>
      </w:r>
      <w:r w:rsidR="00A56FE3">
        <w:t xml:space="preserve"> </w:t>
      </w:r>
      <w:r w:rsidRPr="00961BA0">
        <w:t xml:space="preserve">V případě </w:t>
      </w:r>
      <w:r w:rsidR="00212890">
        <w:t>jedné z univerzit</w:t>
      </w:r>
      <w:r w:rsidRPr="00961BA0">
        <w:t xml:space="preserve"> navíc došlo k zjevně nesprávnému vyúčtování dotací na</w:t>
      </w:r>
      <w:r w:rsidR="00267FD0">
        <w:t xml:space="preserve"> </w:t>
      </w:r>
      <w:r w:rsidRPr="00961BA0">
        <w:t>školence za rok 2016, kdy</w:t>
      </w:r>
      <w:r w:rsidR="00267FD0">
        <w:t xml:space="preserve"> </w:t>
      </w:r>
      <w:r w:rsidR="00961BA0" w:rsidRPr="00961BA0">
        <w:t xml:space="preserve">z paušálu na školence </w:t>
      </w:r>
      <w:r w:rsidRPr="00961BA0">
        <w:t>získala tato univerzita 120 000 Kč. Dle</w:t>
      </w:r>
      <w:r w:rsidR="00267FD0">
        <w:t xml:space="preserve"> </w:t>
      </w:r>
      <w:r w:rsidRPr="00961BA0">
        <w:t>p</w:t>
      </w:r>
      <w:r w:rsidR="00961BA0" w:rsidRPr="00961BA0">
        <w:t>odkladů</w:t>
      </w:r>
      <w:r w:rsidRPr="00961BA0">
        <w:t xml:space="preserve"> předložených při vyúčtování dotací</w:t>
      </w:r>
      <w:r w:rsidR="00961BA0">
        <w:t xml:space="preserve"> v</w:t>
      </w:r>
      <w:r w:rsidR="00961BA0" w:rsidRPr="00961BA0">
        <w:t>šak</w:t>
      </w:r>
      <w:r w:rsidRPr="00961BA0">
        <w:t xml:space="preserve"> měla </w:t>
      </w:r>
      <w:r w:rsidR="00212890">
        <w:t>tato</w:t>
      </w:r>
      <w:r w:rsidRPr="00961BA0">
        <w:t xml:space="preserve"> univerzita za </w:t>
      </w:r>
      <w:r w:rsidR="00212890">
        <w:t xml:space="preserve">vykazovanou </w:t>
      </w:r>
      <w:r w:rsidRPr="00961BA0">
        <w:t>část dotace provést vratku do státního rozpočtu ve výši 74</w:t>
      </w:r>
      <w:r w:rsidR="00A56FE3">
        <w:t xml:space="preserve"> </w:t>
      </w:r>
      <w:r w:rsidRPr="00961BA0">
        <w:t>500 Kč.</w:t>
      </w:r>
      <w:r>
        <w:rPr>
          <w:b/>
        </w:rPr>
        <w:t xml:space="preserve"> </w:t>
      </w:r>
      <w:proofErr w:type="spellStart"/>
      <w:r>
        <w:rPr>
          <w:b/>
        </w:rPr>
        <w:t>MZd</w:t>
      </w:r>
      <w:proofErr w:type="spellEnd"/>
      <w:r>
        <w:rPr>
          <w:b/>
        </w:rPr>
        <w:t xml:space="preserve"> chybné vyúčtování bez</w:t>
      </w:r>
      <w:r w:rsidR="00267FD0">
        <w:rPr>
          <w:b/>
        </w:rPr>
        <w:t xml:space="preserve"> </w:t>
      </w:r>
      <w:r>
        <w:rPr>
          <w:b/>
        </w:rPr>
        <w:t>rozporu akceptovalo</w:t>
      </w:r>
      <w:r w:rsidR="00961BA0">
        <w:rPr>
          <w:b/>
        </w:rPr>
        <w:t>,</w:t>
      </w:r>
      <w:r>
        <w:rPr>
          <w:b/>
        </w:rPr>
        <w:t xml:space="preserve"> příjemce dotace nevyzvalo k</w:t>
      </w:r>
      <w:r w:rsidR="00961BA0">
        <w:rPr>
          <w:b/>
        </w:rPr>
        <w:t> </w:t>
      </w:r>
      <w:r>
        <w:rPr>
          <w:b/>
        </w:rPr>
        <w:t>nápravě</w:t>
      </w:r>
      <w:r w:rsidR="00961BA0">
        <w:rPr>
          <w:b/>
        </w:rPr>
        <w:t xml:space="preserve"> či vrácení části dotace</w:t>
      </w:r>
      <w:r>
        <w:rPr>
          <w:b/>
        </w:rPr>
        <w:t xml:space="preserve"> ani</w:t>
      </w:r>
      <w:r w:rsidR="00267FD0">
        <w:rPr>
          <w:b/>
        </w:rPr>
        <w:t xml:space="preserve"> </w:t>
      </w:r>
      <w:r>
        <w:rPr>
          <w:b/>
        </w:rPr>
        <w:t xml:space="preserve">neinformovalo příslušný finanční úřad. </w:t>
      </w:r>
      <w:proofErr w:type="spellStart"/>
      <w:r>
        <w:rPr>
          <w:b/>
        </w:rPr>
        <w:t>MZd</w:t>
      </w:r>
      <w:proofErr w:type="spellEnd"/>
      <w:r>
        <w:rPr>
          <w:b/>
        </w:rPr>
        <w:t xml:space="preserve"> tak postupovalo v rozporu ustanovením § 14f zákona č. 218/2000 Sb. Tyto prostředky byly z kapitoly </w:t>
      </w:r>
      <w:proofErr w:type="spellStart"/>
      <w:r>
        <w:rPr>
          <w:b/>
        </w:rPr>
        <w:t>MZd</w:t>
      </w:r>
      <w:proofErr w:type="spellEnd"/>
      <w:r>
        <w:rPr>
          <w:b/>
        </w:rPr>
        <w:t xml:space="preserve"> vynaloženy neúčelně.</w:t>
      </w:r>
    </w:p>
    <w:p w14:paraId="141E6786" w14:textId="0185A5D4" w:rsidR="000C34F8" w:rsidRDefault="000C34F8" w:rsidP="00C52E7E">
      <w:pPr>
        <w:widowControl/>
        <w:rPr>
          <w:b/>
        </w:rPr>
      </w:pPr>
    </w:p>
    <w:p w14:paraId="40B15458" w14:textId="7D62549C" w:rsidR="001B5ABA" w:rsidRDefault="001B5ABA" w:rsidP="00C52E7E">
      <w:pPr>
        <w:widowControl/>
      </w:pPr>
      <w:r w:rsidRPr="00961BA0">
        <w:t xml:space="preserve">Chybně provedené vyúčtování včetně finančního vypořádání dotace každoročně předkládala také </w:t>
      </w:r>
      <w:r w:rsidR="00EF2497">
        <w:t>další univerzita</w:t>
      </w:r>
      <w:r w:rsidRPr="00961BA0">
        <w:t>, která</w:t>
      </w:r>
      <w:r w:rsidR="00267FD0">
        <w:t xml:space="preserve"> </w:t>
      </w:r>
      <w:r w:rsidRPr="00961BA0">
        <w:t>zde neuváděla počet školenc</w:t>
      </w:r>
      <w:r w:rsidR="00EF2497">
        <w:t>ů k příslušnému datu, ale údaje</w:t>
      </w:r>
      <w:r w:rsidRPr="00961BA0">
        <w:t xml:space="preserve"> v rozporu s pokyny stanovenými</w:t>
      </w:r>
      <w:r w:rsidR="00961BA0" w:rsidRPr="00961BA0">
        <w:t xml:space="preserve"> v uzavřených smlouvách či</w:t>
      </w:r>
      <w:r w:rsidR="00267FD0">
        <w:t xml:space="preserve"> </w:t>
      </w:r>
      <w:r w:rsidR="00031CCB">
        <w:t>v informacích pro</w:t>
      </w:r>
      <w:r w:rsidR="00267FD0">
        <w:t xml:space="preserve"> </w:t>
      </w:r>
      <w:r w:rsidRPr="00961BA0">
        <w:t>vyúčtování</w:t>
      </w:r>
      <w:r w:rsidR="00961BA0">
        <w:rPr>
          <w:rStyle w:val="Znakapoznpodarou"/>
        </w:rPr>
        <w:footnoteReference w:id="18"/>
      </w:r>
      <w:r w:rsidR="004B6839">
        <w:t xml:space="preserve">. </w:t>
      </w:r>
      <w:proofErr w:type="spellStart"/>
      <w:r w:rsidRPr="00961BA0">
        <w:t>MZd</w:t>
      </w:r>
      <w:proofErr w:type="spellEnd"/>
      <w:r w:rsidRPr="00961BA0">
        <w:t xml:space="preserve"> však tato vyúčtování </w:t>
      </w:r>
      <w:r w:rsidR="00495BB1">
        <w:t>rovněž</w:t>
      </w:r>
      <w:r w:rsidRPr="00961BA0">
        <w:t xml:space="preserve"> akceptovalo.</w:t>
      </w:r>
    </w:p>
    <w:p w14:paraId="4054E699" w14:textId="77777777" w:rsidR="000C34F8" w:rsidRDefault="000C34F8" w:rsidP="00C52E7E">
      <w:pPr>
        <w:widowControl/>
      </w:pPr>
    </w:p>
    <w:p w14:paraId="7E172E87" w14:textId="0AB24FB2" w:rsidR="00031CCB" w:rsidRPr="007A6948" w:rsidRDefault="00031CCB" w:rsidP="00C52E7E">
      <w:pPr>
        <w:widowControl/>
        <w:rPr>
          <w:b/>
        </w:rPr>
      </w:pPr>
      <w:r w:rsidRPr="007A6948">
        <w:rPr>
          <w:b/>
        </w:rPr>
        <w:t xml:space="preserve">Tím, že ve výše uvedených případech </w:t>
      </w:r>
      <w:proofErr w:type="spellStart"/>
      <w:r w:rsidRPr="007A6948">
        <w:rPr>
          <w:b/>
        </w:rPr>
        <w:t>MZd</w:t>
      </w:r>
      <w:proofErr w:type="spellEnd"/>
      <w:r w:rsidR="00BC408D">
        <w:rPr>
          <w:b/>
        </w:rPr>
        <w:t xml:space="preserve"> neprovedlo</w:t>
      </w:r>
      <w:r w:rsidRPr="007A6948">
        <w:rPr>
          <w:b/>
        </w:rPr>
        <w:t xml:space="preserve"> důslednou kontrolu věcné správnosti předložených dokladů, porušilo </w:t>
      </w:r>
      <w:r w:rsidR="000B6611">
        <w:rPr>
          <w:b/>
        </w:rPr>
        <w:t>zákon</w:t>
      </w:r>
      <w:r w:rsidRPr="007A6948">
        <w:rPr>
          <w:b/>
        </w:rPr>
        <w:t xml:space="preserve"> č. 320/2001 Sb.</w:t>
      </w:r>
      <w:r w:rsidRPr="007A6948">
        <w:rPr>
          <w:rStyle w:val="Znakapoznpodarou"/>
          <w:b/>
        </w:rPr>
        <w:footnoteReference w:id="19"/>
      </w:r>
      <w:r w:rsidR="007A6948" w:rsidRPr="007A6948">
        <w:rPr>
          <w:b/>
        </w:rPr>
        <w:t xml:space="preserve"> a zároveň</w:t>
      </w:r>
      <w:r w:rsidR="000B6611">
        <w:rPr>
          <w:b/>
        </w:rPr>
        <w:t xml:space="preserve"> </w:t>
      </w:r>
      <w:r w:rsidR="00387B97">
        <w:rPr>
          <w:b/>
        </w:rPr>
        <w:t xml:space="preserve">nesplnilo </w:t>
      </w:r>
      <w:r w:rsidR="000B6611">
        <w:rPr>
          <w:b/>
        </w:rPr>
        <w:t xml:space="preserve">svou povinnost </w:t>
      </w:r>
      <w:r w:rsidR="007A6948" w:rsidRPr="007A6948">
        <w:rPr>
          <w:b/>
        </w:rPr>
        <w:t>sledova</w:t>
      </w:r>
      <w:r w:rsidR="000B6611">
        <w:rPr>
          <w:b/>
        </w:rPr>
        <w:t>t</w:t>
      </w:r>
      <w:r w:rsidR="007A6948" w:rsidRPr="007A6948">
        <w:rPr>
          <w:b/>
        </w:rPr>
        <w:t xml:space="preserve"> a vyhodnocova</w:t>
      </w:r>
      <w:r w:rsidR="000B6611">
        <w:rPr>
          <w:b/>
        </w:rPr>
        <w:t>t</w:t>
      </w:r>
      <w:r w:rsidR="007A6948" w:rsidRPr="007A6948">
        <w:rPr>
          <w:b/>
        </w:rPr>
        <w:t xml:space="preserve"> hospodárnost, efektivnost a účelnost vynakládání výdajů ve své kapitole</w:t>
      </w:r>
      <w:r w:rsidR="000B6611">
        <w:rPr>
          <w:rStyle w:val="Znakapoznpodarou"/>
          <w:b/>
        </w:rPr>
        <w:footnoteReference w:id="20"/>
      </w:r>
      <w:r w:rsidR="007A6948" w:rsidRPr="007A6948">
        <w:rPr>
          <w:b/>
        </w:rPr>
        <w:t>.</w:t>
      </w:r>
    </w:p>
    <w:p w14:paraId="0661D9EC" w14:textId="77777777" w:rsidR="00212890" w:rsidRDefault="00212890" w:rsidP="00C52E7E">
      <w:pPr>
        <w:widowControl/>
      </w:pPr>
    </w:p>
    <w:p w14:paraId="6DFD9599" w14:textId="152A2B34" w:rsidR="001B5ABA" w:rsidRDefault="001B5ABA" w:rsidP="00C52E7E">
      <w:pPr>
        <w:widowControl/>
        <w:rPr>
          <w:b/>
        </w:rPr>
      </w:pPr>
      <w:r w:rsidRPr="00031CCB">
        <w:t xml:space="preserve">Univerzity po skončení roku předkládají pouze velmi stručné </w:t>
      </w:r>
      <w:r w:rsidR="00243FAA" w:rsidRPr="004D390D">
        <w:t>přehledy</w:t>
      </w:r>
      <w:r w:rsidRPr="004D390D">
        <w:t xml:space="preserve">, </w:t>
      </w:r>
      <w:r w:rsidR="00243FAA" w:rsidRPr="004D390D">
        <w:t>na jejichž základě</w:t>
      </w:r>
      <w:r w:rsidRPr="00031CCB">
        <w:t xml:space="preserve"> vykazují svůj nárok na konkrétní výši dotace ─ rozpad paušální dotace na </w:t>
      </w:r>
      <w:r w:rsidR="00031CCB" w:rsidRPr="00031CCB">
        <w:t>LF</w:t>
      </w:r>
      <w:r w:rsidRPr="00031CCB">
        <w:t xml:space="preserve"> do několika základních položek (</w:t>
      </w:r>
      <w:r w:rsidR="00031CCB" w:rsidRPr="00031CCB">
        <w:t>s</w:t>
      </w:r>
      <w:r w:rsidRPr="00031CCB">
        <w:t>potřeba materiálu, osobní náklady apod.)</w:t>
      </w:r>
      <w:r w:rsidR="00387B97">
        <w:t>;</w:t>
      </w:r>
      <w:r w:rsidRPr="00031CCB">
        <w:t xml:space="preserve"> u</w:t>
      </w:r>
      <w:r w:rsidR="006A5788">
        <w:t xml:space="preserve"> </w:t>
      </w:r>
      <w:r w:rsidRPr="00031CCB">
        <w:t>dotací na školence</w:t>
      </w:r>
      <w:r w:rsidR="00031CCB" w:rsidRPr="00031CCB">
        <w:t xml:space="preserve"> </w:t>
      </w:r>
      <w:r w:rsidR="00243FAA">
        <w:t>či</w:t>
      </w:r>
      <w:r w:rsidR="006A5788">
        <w:t xml:space="preserve"> </w:t>
      </w:r>
      <w:r w:rsidRPr="00031CCB">
        <w:t xml:space="preserve">zkoušku </w:t>
      </w:r>
      <w:r w:rsidR="00387B97">
        <w:t xml:space="preserve">pak </w:t>
      </w:r>
      <w:r w:rsidR="00AC24F5">
        <w:t xml:space="preserve">předkládají </w:t>
      </w:r>
      <w:r w:rsidRPr="00031CCB">
        <w:t>pouze tabulky s </w:t>
      </w:r>
      <w:r w:rsidR="00CE46C2">
        <w:t>počt</w:t>
      </w:r>
      <w:r w:rsidR="00387B97">
        <w:t>y</w:t>
      </w:r>
      <w:r w:rsidR="00CE46C2">
        <w:t xml:space="preserve"> školenců a</w:t>
      </w:r>
      <w:r w:rsidR="00267FD0">
        <w:t xml:space="preserve"> </w:t>
      </w:r>
      <w:r w:rsidR="00CE46C2">
        <w:t>zkoušek bez</w:t>
      </w:r>
      <w:r w:rsidR="00267FD0">
        <w:t xml:space="preserve"> </w:t>
      </w:r>
      <w:r w:rsidRPr="00031CCB">
        <w:t>jakýchkoli dokladů, podle</w:t>
      </w:r>
      <w:r w:rsidR="00267FD0">
        <w:t xml:space="preserve"> </w:t>
      </w:r>
      <w:r w:rsidRPr="00031CCB">
        <w:t>k</w:t>
      </w:r>
      <w:r w:rsidR="00DB43F2">
        <w:t>terých</w:t>
      </w:r>
      <w:r w:rsidR="00267FD0">
        <w:t xml:space="preserve"> </w:t>
      </w:r>
      <w:r w:rsidRPr="00031CCB">
        <w:t xml:space="preserve">by bylo možné ověřit jejich správnost. </w:t>
      </w:r>
      <w:r>
        <w:rPr>
          <w:b/>
        </w:rPr>
        <w:t>Vyúčtování v takové</w:t>
      </w:r>
      <w:r w:rsidR="00031CCB">
        <w:rPr>
          <w:b/>
        </w:rPr>
        <w:t>to podobě jsou pouze formální a</w:t>
      </w:r>
      <w:r w:rsidR="00267FD0">
        <w:rPr>
          <w:b/>
        </w:rPr>
        <w:t xml:space="preserve"> </w:t>
      </w:r>
      <w:r>
        <w:rPr>
          <w:b/>
        </w:rPr>
        <w:t>bez dalších podkladů neumožňují prověření správnosti výpočtu výše dotace</w:t>
      </w:r>
      <w:r w:rsidRPr="004D390D">
        <w:rPr>
          <w:b/>
        </w:rPr>
        <w:t>.</w:t>
      </w:r>
      <w:r w:rsidR="00243FAA" w:rsidRPr="004D390D">
        <w:rPr>
          <w:b/>
        </w:rPr>
        <w:t xml:space="preserve"> </w:t>
      </w:r>
      <w:r w:rsidR="00243FAA" w:rsidRPr="004D390D">
        <w:t xml:space="preserve">Kontrolu přímo u příjemce však </w:t>
      </w:r>
      <w:proofErr w:type="spellStart"/>
      <w:r w:rsidR="00243FAA" w:rsidRPr="004D390D">
        <w:t>MZd</w:t>
      </w:r>
      <w:proofErr w:type="spellEnd"/>
      <w:r w:rsidR="00243FAA" w:rsidRPr="004D390D">
        <w:t xml:space="preserve"> za čtyři roky kontrolovaného období provedlo u</w:t>
      </w:r>
      <w:r w:rsidR="005666C4">
        <w:t> </w:t>
      </w:r>
      <w:r w:rsidR="00243FAA" w:rsidRPr="004D390D">
        <w:t>jediné z univerzit, a to na počátku roku 2015.</w:t>
      </w:r>
    </w:p>
    <w:p w14:paraId="1702F68D" w14:textId="0954607F" w:rsidR="00615883" w:rsidRDefault="00615883" w:rsidP="00C52E7E">
      <w:pPr>
        <w:widowControl/>
      </w:pPr>
    </w:p>
    <w:p w14:paraId="6EE8806D" w14:textId="52D4AF1D" w:rsidR="00FC49A3" w:rsidRDefault="00FC49A3" w:rsidP="00C52E7E">
      <w:pPr>
        <w:widowControl/>
      </w:pPr>
      <w:r>
        <w:t xml:space="preserve">Při kontrole vybrané univerzity a </w:t>
      </w:r>
      <w:r w:rsidR="007A6948">
        <w:t>jedné z jejích LF</w:t>
      </w:r>
      <w:r>
        <w:t xml:space="preserve"> NKÚ </w:t>
      </w:r>
      <w:r w:rsidR="00212890">
        <w:t>zjistil, že u</w:t>
      </w:r>
      <w:r>
        <w:t>niverzita nevedla spolehlivě počet evidovaných školenců, který je základem pro</w:t>
      </w:r>
      <w:r w:rsidR="00267FD0">
        <w:t xml:space="preserve"> </w:t>
      </w:r>
      <w:r>
        <w:t>výpočet jedné ze součástí poskytované dotace.</w:t>
      </w:r>
    </w:p>
    <w:p w14:paraId="16DBEF56" w14:textId="77777777" w:rsidR="00DB43F2" w:rsidRDefault="00DB43F2" w:rsidP="00C52E7E">
      <w:pPr>
        <w:widowControl/>
      </w:pPr>
    </w:p>
    <w:p w14:paraId="4D451EEA" w14:textId="7A337637" w:rsidR="00E27F58" w:rsidRPr="001520E1" w:rsidRDefault="00E27F58" w:rsidP="00C52E7E">
      <w:pPr>
        <w:pStyle w:val="Nadpis2"/>
        <w:keepNext w:val="0"/>
        <w:widowControl/>
      </w:pPr>
      <w:r>
        <w:t>P</w:t>
      </w:r>
      <w:r w:rsidRPr="001520E1">
        <w:t>říspěvkov</w:t>
      </w:r>
      <w:r>
        <w:t>é</w:t>
      </w:r>
      <w:r w:rsidRPr="001520E1">
        <w:t xml:space="preserve"> organizac</w:t>
      </w:r>
      <w:r>
        <w:t>e</w:t>
      </w:r>
      <w:r w:rsidRPr="001520E1">
        <w:t xml:space="preserve"> </w:t>
      </w:r>
      <w:proofErr w:type="spellStart"/>
      <w:r w:rsidRPr="001520E1">
        <w:t>MZd</w:t>
      </w:r>
      <w:proofErr w:type="spellEnd"/>
      <w:r w:rsidRPr="001520E1">
        <w:t xml:space="preserve"> působící v oblasti postgraduálního vzdělávání ve zdravotnictví </w:t>
      </w:r>
      <w:r>
        <w:t>porušovaly</w:t>
      </w:r>
      <w:r w:rsidRPr="001520E1">
        <w:t xml:space="preserve"> zákon</w:t>
      </w:r>
      <w:r>
        <w:t>y a j</w:t>
      </w:r>
      <w:r w:rsidRPr="001520E1">
        <w:t>ejich vnitřní kontrolní systém</w:t>
      </w:r>
      <w:r w:rsidR="00387B97">
        <w:t>y</w:t>
      </w:r>
      <w:r w:rsidRPr="001520E1">
        <w:t xml:space="preserve"> nefungoval</w:t>
      </w:r>
      <w:r w:rsidR="00387B97">
        <w:t>y</w:t>
      </w:r>
      <w:r w:rsidRPr="001520E1">
        <w:t xml:space="preserve">. IPVZ provozuje </w:t>
      </w:r>
      <w:r w:rsidRPr="00E13CC9">
        <w:t xml:space="preserve">hotel, jehož ubytovací kapacity </w:t>
      </w:r>
      <w:r w:rsidR="007E43EE">
        <w:t xml:space="preserve">využívají </w:t>
      </w:r>
      <w:r>
        <w:t>účastníci kurzů jen minimálně</w:t>
      </w:r>
    </w:p>
    <w:p w14:paraId="668B1B1A" w14:textId="0F5EAE20" w:rsidR="00B46413" w:rsidRDefault="00B46413" w:rsidP="00C52E7E">
      <w:pPr>
        <w:widowControl/>
      </w:pPr>
      <w:r w:rsidRPr="00B43C81">
        <w:t>IPVZ a NCONZO</w:t>
      </w:r>
      <w:r>
        <w:t xml:space="preserve"> jsou příspěvkové organizace zřízené </w:t>
      </w:r>
      <w:proofErr w:type="spellStart"/>
      <w:r>
        <w:t>MZd</w:t>
      </w:r>
      <w:proofErr w:type="spellEnd"/>
      <w:r w:rsidRPr="00B43C81">
        <w:t>, které pro resort</w:t>
      </w:r>
      <w:r>
        <w:t xml:space="preserve"> zdravotnictví</w:t>
      </w:r>
      <w:r w:rsidRPr="00B43C81">
        <w:t xml:space="preserve"> </w:t>
      </w:r>
      <w:r w:rsidR="00C03164">
        <w:t xml:space="preserve">mj. </w:t>
      </w:r>
      <w:r w:rsidRPr="00B43C81">
        <w:t>plní úkol</w:t>
      </w:r>
      <w:r>
        <w:t>y</w:t>
      </w:r>
      <w:r w:rsidRPr="00B43C81">
        <w:t xml:space="preserve"> související</w:t>
      </w:r>
      <w:r>
        <w:t xml:space="preserve"> </w:t>
      </w:r>
      <w:r w:rsidRPr="00B43C81">
        <w:t>s dalším vzděláváním</w:t>
      </w:r>
      <w:r>
        <w:t xml:space="preserve"> pracovníků ve zdravotnictví</w:t>
      </w:r>
      <w:r w:rsidRPr="00B43C81">
        <w:t xml:space="preserve">. </w:t>
      </w:r>
      <w:r>
        <w:t>Jejich hlavním posláním je</w:t>
      </w:r>
      <w:r w:rsidRPr="00B43C81">
        <w:t xml:space="preserve"> realiz</w:t>
      </w:r>
      <w:r>
        <w:t>ovat</w:t>
      </w:r>
      <w:r w:rsidRPr="00B43C81">
        <w:t xml:space="preserve"> vybrané části vzdělávacích programů. </w:t>
      </w:r>
      <w:r w:rsidRPr="004D390D">
        <w:t xml:space="preserve">Oběma organizacím </w:t>
      </w:r>
      <w:r w:rsidR="00907CFC" w:rsidRPr="004D390D">
        <w:t xml:space="preserve">přísluší hospodaření </w:t>
      </w:r>
      <w:r w:rsidR="004D390D">
        <w:t xml:space="preserve">i </w:t>
      </w:r>
      <w:r w:rsidR="00907CFC" w:rsidRPr="004D390D">
        <w:t>s majetkem státu</w:t>
      </w:r>
      <w:r w:rsidR="00907CFC">
        <w:t xml:space="preserve">, který </w:t>
      </w:r>
      <w:r>
        <w:t>má sloužit k zab</w:t>
      </w:r>
      <w:r w:rsidR="00907CFC">
        <w:t>ezpečení ubytovací kapacity pro</w:t>
      </w:r>
      <w:r w:rsidR="0001749F">
        <w:t xml:space="preserve"> </w:t>
      </w:r>
      <w:r>
        <w:t>účastníky vzdělávacích kurzů.</w:t>
      </w:r>
    </w:p>
    <w:p w14:paraId="191AD2CA" w14:textId="77777777" w:rsidR="00BA533D" w:rsidRDefault="00BA533D" w:rsidP="00C52E7E">
      <w:pPr>
        <w:widowControl/>
      </w:pPr>
    </w:p>
    <w:p w14:paraId="7A5615AB" w14:textId="0F8C99E3" w:rsidR="006A0AA4" w:rsidRDefault="00B46413" w:rsidP="00C52E7E">
      <w:pPr>
        <w:widowControl/>
        <w:rPr>
          <w:b/>
        </w:rPr>
      </w:pPr>
      <w:r w:rsidRPr="00B43C81">
        <w:rPr>
          <w:b/>
        </w:rPr>
        <w:t>Kontrola NKÚ zjistila, že obě tyto tzv. doškolovací</w:t>
      </w:r>
      <w:r w:rsidR="00103434">
        <w:rPr>
          <w:b/>
        </w:rPr>
        <w:t xml:space="preserve"> organizace při svém provozu v </w:t>
      </w:r>
      <w:r w:rsidRPr="00B43C81">
        <w:rPr>
          <w:b/>
        </w:rPr>
        <w:t>kontrol</w:t>
      </w:r>
      <w:r w:rsidR="006A0AA4">
        <w:rPr>
          <w:b/>
        </w:rPr>
        <w:t xml:space="preserve">ovaném období porušovaly zákony. Jejich </w:t>
      </w:r>
      <w:r w:rsidR="006A0AA4" w:rsidRPr="004D390D">
        <w:rPr>
          <w:b/>
        </w:rPr>
        <w:t>vnitřní kontrolní systém</w:t>
      </w:r>
      <w:r w:rsidR="00387B97">
        <w:rPr>
          <w:b/>
        </w:rPr>
        <w:t>y</w:t>
      </w:r>
      <w:r w:rsidR="006A0AA4" w:rsidRPr="004D390D">
        <w:rPr>
          <w:b/>
        </w:rPr>
        <w:t xml:space="preserve"> </w:t>
      </w:r>
      <w:r w:rsidR="00387B97">
        <w:rPr>
          <w:b/>
        </w:rPr>
        <w:t>tedy</w:t>
      </w:r>
      <w:r w:rsidR="006A0AA4" w:rsidRPr="004D390D">
        <w:rPr>
          <w:b/>
        </w:rPr>
        <w:t xml:space="preserve"> byl</w:t>
      </w:r>
      <w:r w:rsidR="00387B97">
        <w:rPr>
          <w:b/>
        </w:rPr>
        <w:t>y</w:t>
      </w:r>
      <w:r w:rsidR="006A0AA4" w:rsidRPr="004D390D">
        <w:rPr>
          <w:b/>
        </w:rPr>
        <w:t xml:space="preserve"> neúčinn</w:t>
      </w:r>
      <w:r w:rsidR="00387B97">
        <w:rPr>
          <w:b/>
        </w:rPr>
        <w:t>é</w:t>
      </w:r>
      <w:r w:rsidR="006A0AA4" w:rsidRPr="004D390D">
        <w:rPr>
          <w:b/>
        </w:rPr>
        <w:t>.</w:t>
      </w:r>
    </w:p>
    <w:p w14:paraId="659F145A" w14:textId="77777777" w:rsidR="000C34F8" w:rsidRPr="006A0AA4" w:rsidRDefault="000C34F8" w:rsidP="00C52E7E">
      <w:pPr>
        <w:widowControl/>
        <w:rPr>
          <w:b/>
          <w:shd w:val="clear" w:color="auto" w:fill="FFF2CC" w:themeFill="accent4" w:themeFillTint="33"/>
        </w:rPr>
      </w:pPr>
    </w:p>
    <w:p w14:paraId="2083BC87" w14:textId="724BE350" w:rsidR="000C34F8" w:rsidRDefault="00B46413" w:rsidP="00C52E7E">
      <w:pPr>
        <w:widowControl/>
      </w:pPr>
      <w:r>
        <w:t xml:space="preserve">IPVZ v kontrolovaném období neuveřejňoval </w:t>
      </w:r>
      <w:r w:rsidR="00387B97">
        <w:t xml:space="preserve">v registru smluv </w:t>
      </w:r>
      <w:r>
        <w:t>objednávky na služby, které poskytoval. Protože objednávky nebyly zveřejněny, byly zrušeny od počátku a IPVZ tak získal plnění ve výši 1 609 605 Kč bez právního důvodu.</w:t>
      </w:r>
      <w:r w:rsidR="00103434">
        <w:t xml:space="preserve"> </w:t>
      </w:r>
      <w:r>
        <w:t xml:space="preserve">NCONZO </w:t>
      </w:r>
      <w:r w:rsidR="00103434">
        <w:t xml:space="preserve">také v jednom případě porušilo </w:t>
      </w:r>
      <w:r>
        <w:t xml:space="preserve">zákon </w:t>
      </w:r>
      <w:r w:rsidR="00103434">
        <w:t>č.</w:t>
      </w:r>
      <w:r w:rsidR="00387B97">
        <w:t xml:space="preserve"> </w:t>
      </w:r>
      <w:r w:rsidR="00103434">
        <w:t>340/2015 Sb.</w:t>
      </w:r>
      <w:r w:rsidR="00103434">
        <w:rPr>
          <w:rStyle w:val="Znakapoznpodarou"/>
        </w:rPr>
        <w:footnoteReference w:id="21"/>
      </w:r>
      <w:r>
        <w:t xml:space="preserve">, </w:t>
      </w:r>
      <w:r w:rsidR="00387B97">
        <w:t>neboť</w:t>
      </w:r>
      <w:r w:rsidR="00103434">
        <w:t xml:space="preserve"> </w:t>
      </w:r>
      <w:r>
        <w:t xml:space="preserve">nezveřejnilo </w:t>
      </w:r>
      <w:r w:rsidR="001812B6">
        <w:t>objednávku</w:t>
      </w:r>
      <w:r>
        <w:t xml:space="preserve"> s hodno</w:t>
      </w:r>
      <w:r w:rsidR="00103434">
        <w:t>tou plnění ve výši 64 578 Kč. V </w:t>
      </w:r>
      <w:r>
        <w:t>NCONZO kontrol</w:t>
      </w:r>
      <w:r w:rsidR="00387B97">
        <w:t>a</w:t>
      </w:r>
      <w:r>
        <w:t xml:space="preserve"> odhal</w:t>
      </w:r>
      <w:r w:rsidR="00387B97">
        <w:t>ila</w:t>
      </w:r>
      <w:r>
        <w:t xml:space="preserve"> i řad</w:t>
      </w:r>
      <w:r w:rsidR="00387B97">
        <w:t>u</w:t>
      </w:r>
      <w:r>
        <w:t xml:space="preserve"> nedostatků v účetnictví a také porušení </w:t>
      </w:r>
      <w:r w:rsidR="00CE46C2">
        <w:t>zákona č. </w:t>
      </w:r>
      <w:r w:rsidR="00103434">
        <w:t>218/2000</w:t>
      </w:r>
      <w:r w:rsidR="00387B97">
        <w:t> </w:t>
      </w:r>
      <w:r w:rsidR="00103434">
        <w:t>Sb.</w:t>
      </w:r>
      <w:r>
        <w:t xml:space="preserve"> </w:t>
      </w:r>
      <w:r w:rsidRPr="00A30442">
        <w:t>NKÚ v této souvislosti podal příslušnému správci daně oznám</w:t>
      </w:r>
      <w:r w:rsidR="00103434" w:rsidRPr="00A30442">
        <w:t>ení v </w:t>
      </w:r>
      <w:r w:rsidR="001812B6">
        <w:t>celkové výši 64 578</w:t>
      </w:r>
      <w:r w:rsidRPr="00A30442">
        <w:t xml:space="preserve"> Kč.</w:t>
      </w:r>
    </w:p>
    <w:p w14:paraId="4173FF66" w14:textId="69A9797C" w:rsidR="00253C07" w:rsidRDefault="00253C07" w:rsidP="000C34F8">
      <w:pPr>
        <w:widowControl/>
        <w:autoSpaceDE/>
        <w:autoSpaceDN/>
        <w:adjustRightInd/>
        <w:spacing w:line="259" w:lineRule="auto"/>
        <w:jc w:val="left"/>
        <w:rPr>
          <w:b/>
        </w:rPr>
      </w:pPr>
    </w:p>
    <w:p w14:paraId="5FBF9E5A" w14:textId="6C8B922F" w:rsidR="00F552DC" w:rsidRPr="00AC24F5" w:rsidRDefault="002D017E" w:rsidP="00C52E7E">
      <w:pPr>
        <w:widowControl/>
        <w:rPr>
          <w:b/>
        </w:rPr>
      </w:pPr>
      <w:r>
        <w:rPr>
          <w:b/>
        </w:rPr>
        <w:t>Hotel, s nímž je příslušný</w:t>
      </w:r>
      <w:r w:rsidR="00F552DC">
        <w:rPr>
          <w:b/>
        </w:rPr>
        <w:t xml:space="preserve"> hospodařit IPVZ, je využíván k podpoře vzdělávání jen minimálně.</w:t>
      </w:r>
    </w:p>
    <w:p w14:paraId="456B8788" w14:textId="65C2CD1E" w:rsidR="00B46413" w:rsidRDefault="00B46413" w:rsidP="00C52E7E">
      <w:pPr>
        <w:widowControl/>
      </w:pPr>
      <w:r>
        <w:t>Ubytovací kapacita hotelu</w:t>
      </w:r>
      <w:r w:rsidR="00C16EE4">
        <w:t>, který se</w:t>
      </w:r>
      <w:r w:rsidR="00BC408D">
        <w:t xml:space="preserve"> nacház</w:t>
      </w:r>
      <w:r w:rsidR="00C16EE4">
        <w:t>í</w:t>
      </w:r>
      <w:r>
        <w:t xml:space="preserve"> přímo u stanice metra </w:t>
      </w:r>
      <w:r w:rsidRPr="00331C42">
        <w:t>Budějovická</w:t>
      </w:r>
      <w:r>
        <w:t xml:space="preserve"> v</w:t>
      </w:r>
      <w:r w:rsidR="00346A36">
        <w:t> </w:t>
      </w:r>
      <w:r>
        <w:t>Praze</w:t>
      </w:r>
      <w:r w:rsidR="0001749F">
        <w:t xml:space="preserve"> </w:t>
      </w:r>
      <w:r w:rsidR="00C16EE4">
        <w:t xml:space="preserve">a </w:t>
      </w:r>
      <w:r>
        <w:t xml:space="preserve">byl </w:t>
      </w:r>
      <w:r w:rsidR="00C16EE4">
        <w:t xml:space="preserve">svěřen </w:t>
      </w:r>
      <w:r>
        <w:t xml:space="preserve">IPVZ za účelem zajištění ubytování a </w:t>
      </w:r>
      <w:r w:rsidR="00812B1A">
        <w:t>výukových</w:t>
      </w:r>
      <w:r>
        <w:t xml:space="preserve"> prostor pro účastníky postgraduálního vzdělávání ve</w:t>
      </w:r>
      <w:r w:rsidR="0001749F">
        <w:t xml:space="preserve"> </w:t>
      </w:r>
      <w:r>
        <w:t>zdravotnictví, byla v kontr</w:t>
      </w:r>
      <w:r w:rsidR="00AC24F5">
        <w:t>olovaném období využita</w:t>
      </w:r>
      <w:r w:rsidR="0001749F">
        <w:t xml:space="preserve"> </w:t>
      </w:r>
      <w:r w:rsidR="00AC24F5">
        <w:t>z</w:t>
      </w:r>
      <w:r w:rsidR="0001749F">
        <w:t xml:space="preserve"> </w:t>
      </w:r>
      <w:r w:rsidR="00346A36">
        <w:t>66,5</w:t>
      </w:r>
      <w:r w:rsidR="0001749F">
        <w:t xml:space="preserve"> až </w:t>
      </w:r>
      <w:r w:rsidR="00346A36">
        <w:t>79,9 %.</w:t>
      </w:r>
      <w:r>
        <w:t xml:space="preserve"> </w:t>
      </w:r>
      <w:r w:rsidR="00346A36">
        <w:t>V</w:t>
      </w:r>
      <w:r>
        <w:t xml:space="preserve"> souvislosti se svým hlavním posláním jej však IPVZ v kontrolovaném období využíval pouze minimálně. Např</w:t>
      </w:r>
      <w:r w:rsidR="00AC24F5">
        <w:t>.</w:t>
      </w:r>
      <w:r>
        <w:t xml:space="preserve"> v letech 2015 a 2016 nedosahoval</w:t>
      </w:r>
      <w:r w:rsidR="00812B1A">
        <w:t xml:space="preserve"> </w:t>
      </w:r>
      <w:r w:rsidR="00C16EE4">
        <w:t xml:space="preserve">podíl </w:t>
      </w:r>
      <w:r w:rsidR="00812B1A">
        <w:t>ubytov</w:t>
      </w:r>
      <w:r w:rsidR="00C16EE4">
        <w:t>aných</w:t>
      </w:r>
      <w:r w:rsidR="00812B1A">
        <w:t xml:space="preserve"> školenců ani</w:t>
      </w:r>
      <w:r w:rsidR="0001749F">
        <w:t xml:space="preserve"> </w:t>
      </w:r>
      <w:r w:rsidR="00F91E58">
        <w:t>10</w:t>
      </w:r>
      <w:r w:rsidR="00C664FD">
        <w:t xml:space="preserve"> </w:t>
      </w:r>
      <w:r>
        <w:t>% z celkové obsazenosti hotelu</w:t>
      </w:r>
      <w:r w:rsidR="00C16EE4">
        <w:t>;</w:t>
      </w:r>
      <w:r>
        <w:t xml:space="preserve"> restaurace </w:t>
      </w:r>
      <w:r w:rsidR="00C16EE4">
        <w:t xml:space="preserve">hotelu </w:t>
      </w:r>
      <w:r>
        <w:t>v kontrolovaném období také sloužil</w:t>
      </w:r>
      <w:r w:rsidR="00C16EE4">
        <w:t>a</w:t>
      </w:r>
      <w:r>
        <w:t xml:space="preserve"> z více než 60</w:t>
      </w:r>
      <w:r w:rsidR="00C664FD">
        <w:t xml:space="preserve"> </w:t>
      </w:r>
      <w:r>
        <w:t xml:space="preserve">% </w:t>
      </w:r>
      <w:r w:rsidRPr="00BA533D">
        <w:t>ke komerčním účelům</w:t>
      </w:r>
      <w:r w:rsidR="00BA533D" w:rsidRPr="004D390D">
        <w:t xml:space="preserve">, tedy k výkonu jiné činnosti. </w:t>
      </w:r>
      <w:r w:rsidRPr="004D390D">
        <w:t>Vzhledem</w:t>
      </w:r>
      <w:r w:rsidR="0001749F">
        <w:t xml:space="preserve"> </w:t>
      </w:r>
      <w:r w:rsidR="00BC408D" w:rsidRPr="004D390D">
        <w:t>k</w:t>
      </w:r>
      <w:r w:rsidR="004D390D">
        <w:t> </w:t>
      </w:r>
      <w:r w:rsidR="00AC24F5">
        <w:t xml:space="preserve">objektivním informacím </w:t>
      </w:r>
      <w:r w:rsidR="003357A7">
        <w:br/>
      </w:r>
      <w:r w:rsidR="00AC24F5">
        <w:t>o</w:t>
      </w:r>
      <w:r w:rsidR="003357A7">
        <w:t xml:space="preserve"> </w:t>
      </w:r>
      <w:r w:rsidR="00AC24F5">
        <w:t>využití</w:t>
      </w:r>
      <w:r w:rsidR="00812B1A">
        <w:t xml:space="preserve"> kapacity hotelu</w:t>
      </w:r>
      <w:r w:rsidR="00AC24F5">
        <w:t xml:space="preserve"> </w:t>
      </w:r>
      <w:r w:rsidR="00BC408D">
        <w:t xml:space="preserve">a </w:t>
      </w:r>
      <w:r>
        <w:t>k</w:t>
      </w:r>
      <w:r w:rsidRPr="00543AD3">
        <w:t xml:space="preserve"> </w:t>
      </w:r>
      <w:r>
        <w:t>transformaci postgradu</w:t>
      </w:r>
      <w:r w:rsidR="00AC24F5">
        <w:t>álního vzdělávání lékařů</w:t>
      </w:r>
      <w:r w:rsidR="00812B1A">
        <w:t>, kdy</w:t>
      </w:r>
      <w:r>
        <w:t xml:space="preserve"> byla převedena jeho stěžejní část na LF a velmi významně omezena role IPVZ v </w:t>
      </w:r>
      <w:r w:rsidRPr="00906957">
        <w:t xml:space="preserve">něm, </w:t>
      </w:r>
      <w:r w:rsidR="00C16EE4" w:rsidRPr="00906957">
        <w:t xml:space="preserve">pominuly </w:t>
      </w:r>
      <w:r w:rsidR="00C21219">
        <w:t xml:space="preserve">dle názoru NKÚ </w:t>
      </w:r>
      <w:r w:rsidRPr="00906957">
        <w:t>důvody pro to, aby IPVZ nadá</w:t>
      </w:r>
      <w:r w:rsidR="007977BB">
        <w:t>le poskytoval ubytovací služby.</w:t>
      </w:r>
    </w:p>
    <w:p w14:paraId="32C5DE96" w14:textId="77777777" w:rsidR="003417FB" w:rsidRDefault="003417FB">
      <w:pPr>
        <w:widowControl/>
        <w:autoSpaceDE/>
        <w:autoSpaceDN/>
        <w:adjustRightInd/>
        <w:spacing w:after="160" w:line="259" w:lineRule="auto"/>
        <w:jc w:val="left"/>
        <w:rPr>
          <w:rFonts w:cs="Calibri"/>
          <w:b/>
          <w:bCs/>
          <w:color w:val="000000"/>
          <w:sz w:val="26"/>
          <w:szCs w:val="24"/>
        </w:rPr>
      </w:pPr>
      <w:r>
        <w:br w:type="page"/>
      </w:r>
    </w:p>
    <w:p w14:paraId="5DA4F42A" w14:textId="2CD91378" w:rsidR="001472B7" w:rsidRDefault="00E27F58" w:rsidP="00C52E7E">
      <w:pPr>
        <w:pStyle w:val="Nadpis2"/>
        <w:keepNext w:val="0"/>
        <w:widowControl/>
        <w:rPr>
          <w:rFonts w:asciiTheme="minorHAnsi" w:hAnsiTheme="minorHAnsi" w:cstheme="minorHAnsi"/>
        </w:rPr>
      </w:pPr>
      <w:proofErr w:type="spellStart"/>
      <w:r>
        <w:t>MZd</w:t>
      </w:r>
      <w:proofErr w:type="spellEnd"/>
      <w:r>
        <w:t xml:space="preserve"> v posledních letech reaguje na výzvy k zabezpečení personální stability</w:t>
      </w:r>
      <w:r w:rsidR="00BC408D">
        <w:t xml:space="preserve"> českého </w:t>
      </w:r>
      <w:r w:rsidR="00BC408D" w:rsidRPr="004A0D74">
        <w:t>zdravotnictví</w:t>
      </w:r>
      <w:r w:rsidR="00232298" w:rsidRPr="004A0D74">
        <w:t xml:space="preserve"> a spolupracuje s MŠMT</w:t>
      </w:r>
      <w:r>
        <w:t xml:space="preserve"> </w:t>
      </w:r>
    </w:p>
    <w:p w14:paraId="30C621D7" w14:textId="278D9998" w:rsidR="00DC6CA2" w:rsidRDefault="004B09BD" w:rsidP="00C52E7E">
      <w:pPr>
        <w:widowControl/>
      </w:pPr>
      <w:proofErr w:type="spellStart"/>
      <w:r>
        <w:t>MZd</w:t>
      </w:r>
      <w:proofErr w:type="spellEnd"/>
      <w:r>
        <w:t xml:space="preserve"> předložilo NKÚ v průběhu kontroly mezinárodní srovnání počtu lékařů a zdravotních sester na 100 tisíc obyvatel. Data vycházejí </w:t>
      </w:r>
      <w:r w:rsidR="00BC408D">
        <w:t xml:space="preserve">z </w:t>
      </w:r>
      <w:r w:rsidR="00E81DB0">
        <w:t xml:space="preserve">údajů </w:t>
      </w:r>
      <w:proofErr w:type="spellStart"/>
      <w:r w:rsidR="00615C45">
        <w:t>Eurostatu</w:t>
      </w:r>
      <w:proofErr w:type="spellEnd"/>
      <w:r w:rsidR="00E81DB0">
        <w:t>, přičemž by měl</w:t>
      </w:r>
      <w:r w:rsidR="00C664FD">
        <w:t>a</w:t>
      </w:r>
      <w:r w:rsidR="00E81DB0">
        <w:t xml:space="preserve"> vyjadřovat stav </w:t>
      </w:r>
      <w:r w:rsidR="00C664FD">
        <w:t>v </w:t>
      </w:r>
      <w:r w:rsidR="00E81DB0">
        <w:t xml:space="preserve">roce 2015 nebo </w:t>
      </w:r>
      <w:r w:rsidR="00B83572">
        <w:t xml:space="preserve">v </w:t>
      </w:r>
      <w:r w:rsidR="00E81DB0">
        <w:t>nejbližším předcházejícím</w:t>
      </w:r>
      <w:r w:rsidR="009867D7">
        <w:t xml:space="preserve"> ro</w:t>
      </w:r>
      <w:r w:rsidR="00B83572">
        <w:t>ce</w:t>
      </w:r>
      <w:r w:rsidR="00E81DB0">
        <w:t>.</w:t>
      </w:r>
      <w:r>
        <w:t xml:space="preserve"> </w:t>
      </w:r>
      <w:r w:rsidR="00E81DB0">
        <w:t xml:space="preserve">Podle těchto informací </w:t>
      </w:r>
      <w:r w:rsidR="00615C45">
        <w:t xml:space="preserve">bylo v ČR 369 lékařů na 100 tis. obyvatel, což je vyšší počet než v sousedním Polsku </w:t>
      </w:r>
      <w:r w:rsidR="00E81DB0">
        <w:t>či Slovensku</w:t>
      </w:r>
      <w:r w:rsidR="00615C45">
        <w:t>, ale naopak nižší oproti Rakousku či Něme</w:t>
      </w:r>
      <w:r w:rsidR="00E81DB0">
        <w:t xml:space="preserve">cku, nicméně nad průměrem uvedených </w:t>
      </w:r>
      <w:r w:rsidR="009867D7">
        <w:t xml:space="preserve">evropských </w:t>
      </w:r>
      <w:r w:rsidR="00E81DB0">
        <w:t>států</w:t>
      </w:r>
      <w:r w:rsidR="00812B1A">
        <w:t>, který</w:t>
      </w:r>
      <w:r w:rsidR="0001749F">
        <w:t xml:space="preserve"> </w:t>
      </w:r>
      <w:r w:rsidR="00D24B58">
        <w:t>činí 339 lékařů na 100 tis</w:t>
      </w:r>
      <w:r w:rsidR="00CE46C2">
        <w:t>íc</w:t>
      </w:r>
      <w:r w:rsidR="00D24B58">
        <w:t xml:space="preserve"> obyvatel</w:t>
      </w:r>
      <w:r w:rsidR="009867D7">
        <w:t>. Při</w:t>
      </w:r>
      <w:r w:rsidR="0001749F">
        <w:t xml:space="preserve"> </w:t>
      </w:r>
      <w:r w:rsidR="00615C45">
        <w:t>srovnání počtu zdravotních sester byla situace obdobná, v</w:t>
      </w:r>
      <w:r w:rsidR="0001749F">
        <w:t xml:space="preserve"> </w:t>
      </w:r>
      <w:r w:rsidR="00615C45">
        <w:t>ČR jic</w:t>
      </w:r>
      <w:r w:rsidR="009867D7">
        <w:t>h bylo 801 na 100 tis. o</w:t>
      </w:r>
      <w:r w:rsidR="00E81DB0">
        <w:t>byvatel. Ta</w:t>
      </w:r>
      <w:r w:rsidR="00812B1A">
        <w:t xml:space="preserve">to hodnota se </w:t>
      </w:r>
      <w:r w:rsidR="00C664FD">
        <w:t>však</w:t>
      </w:r>
      <w:r w:rsidR="00812B1A">
        <w:t xml:space="preserve"> nachází pod</w:t>
      </w:r>
      <w:r w:rsidR="0001749F">
        <w:t xml:space="preserve"> </w:t>
      </w:r>
      <w:r w:rsidR="00E81DB0">
        <w:t>průměrem zemí</w:t>
      </w:r>
      <w:r w:rsidR="00BB0AC8">
        <w:t xml:space="preserve"> </w:t>
      </w:r>
      <w:r w:rsidR="00BB0AC8" w:rsidRPr="004D390D">
        <w:t>zahrnutých</w:t>
      </w:r>
      <w:r w:rsidR="00BB0AC8">
        <w:t xml:space="preserve"> v níže uvedeném grafu</w:t>
      </w:r>
      <w:r w:rsidR="00D24B58">
        <w:t>, který činí 878 sester na 100 tis</w:t>
      </w:r>
      <w:r w:rsidR="00CE46C2">
        <w:t>íc</w:t>
      </w:r>
      <w:r w:rsidR="00D24B58">
        <w:t xml:space="preserve"> obyvatel</w:t>
      </w:r>
      <w:r w:rsidR="00615C45" w:rsidRPr="00E81DB0">
        <w:t>.</w:t>
      </w:r>
      <w:r w:rsidR="00615C45">
        <w:t xml:space="preserve"> </w:t>
      </w:r>
    </w:p>
    <w:p w14:paraId="17C42964" w14:textId="77777777" w:rsidR="00D9388F" w:rsidRDefault="00D9388F" w:rsidP="00C664FD">
      <w:pPr>
        <w:widowControl/>
        <w:rPr>
          <w:b/>
          <w:szCs w:val="24"/>
          <w:lang w:eastAsia="en-US"/>
        </w:rPr>
      </w:pPr>
    </w:p>
    <w:p w14:paraId="7889F766" w14:textId="3C9F9A6C" w:rsidR="00D46339" w:rsidRDefault="00D46339" w:rsidP="000E273C">
      <w:pPr>
        <w:pStyle w:val="Graf"/>
        <w:keepNext w:val="0"/>
        <w:widowControl/>
        <w:ind w:left="975" w:hanging="975"/>
      </w:pPr>
      <w:r>
        <w:t>Mezinárodní srovnání – počet lékařů a počet zdravotních sester</w:t>
      </w:r>
      <w:r w:rsidR="004B09BD">
        <w:t xml:space="preserve"> na 100 tisíc obyvatel</w:t>
      </w:r>
      <w:r>
        <w:t xml:space="preserve"> v</w:t>
      </w:r>
      <w:r w:rsidR="00C664FD">
        <w:t xml:space="preserve">e vybraných </w:t>
      </w:r>
      <w:r>
        <w:t>evropských státech</w:t>
      </w:r>
    </w:p>
    <w:p w14:paraId="68F3E615" w14:textId="499D4C58" w:rsidR="00091341" w:rsidRDefault="00232298" w:rsidP="00C52E7E">
      <w:pPr>
        <w:widowControl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01E77AFE" wp14:editId="5F902437">
                <wp:simplePos x="0" y="0"/>
                <wp:positionH relativeFrom="column">
                  <wp:posOffset>2195830</wp:posOffset>
                </wp:positionH>
                <wp:positionV relativeFrom="paragraph">
                  <wp:posOffset>2319019</wp:posOffset>
                </wp:positionV>
                <wp:extent cx="699135" cy="287655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83AB3" w14:textId="507E70B3" w:rsidR="00197B8E" w:rsidRDefault="00197B8E">
                            <w:pPr>
                              <w:rPr>
                                <w:b/>
                                <w:color w:val="004595"/>
                                <w:sz w:val="22"/>
                              </w:rPr>
                            </w:pPr>
                            <w:r w:rsidRPr="00272C1C">
                              <w:rPr>
                                <w:b/>
                                <w:color w:val="004595"/>
                                <w:sz w:val="22"/>
                              </w:rPr>
                              <w:t>Lékaři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77AF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72.9pt;margin-top:182.6pt;width:55.05pt;height:22.6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" filled="f" stroked="f">
                <v:textbox>
                  <w:txbxContent>
                    <w:p w14:paraId="74183AB3" w14:textId="507E70B3" w:rsidR="00197B8E" w:rsidRDefault="00197B8E">
                      <w:pPr>
                        <w:rPr>
                          <w:b/>
                          <w:color w:val="004595"/>
                          <w:sz w:val="22"/>
                        </w:rPr>
                      </w:pPr>
                      <w:r w:rsidRPr="00272C1C">
                        <w:rPr>
                          <w:b/>
                          <w:color w:val="004595"/>
                          <w:sz w:val="22"/>
                        </w:rPr>
                        <w:t>Lékaři</w:t>
                      </w:r>
                    </w:p>
                  </w:txbxContent>
                </v:textbox>
              </v:shape>
            </w:pict>
          </mc:Fallback>
        </mc:AlternateContent>
      </w:r>
      <w:r w:rsidR="00FA6635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B62CEE2" wp14:editId="37CA43CC">
                <wp:simplePos x="0" y="0"/>
                <wp:positionH relativeFrom="column">
                  <wp:posOffset>4896485</wp:posOffset>
                </wp:positionH>
                <wp:positionV relativeFrom="paragraph">
                  <wp:posOffset>2265487</wp:posOffset>
                </wp:positionV>
                <wp:extent cx="652007" cy="344805"/>
                <wp:effectExtent l="0" t="0" r="0" b="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007" cy="344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3AF32" w14:textId="5D82A568" w:rsidR="00197B8E" w:rsidRPr="00272C1C" w:rsidRDefault="00197B8E" w:rsidP="00272C1C">
                            <w:pPr>
                              <w:rPr>
                                <w:b/>
                                <w:color w:val="004595"/>
                                <w:sz w:val="22"/>
                              </w:rPr>
                            </w:pPr>
                            <w:r w:rsidRPr="00272C1C">
                              <w:rPr>
                                <w:b/>
                                <w:color w:val="004595"/>
                                <w:sz w:val="22"/>
                              </w:rPr>
                              <w:t>Sestry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2CEE2" id="_x0000_s1027" type="#_x0000_t202" style="position:absolute;left:0;text-align:left;margin-left:385.55pt;margin-top:178.4pt;width:51.35pt;height:27.1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" filled="f" stroked="f">
                <v:textbox>
                  <w:txbxContent>
                    <w:p w14:paraId="0753AF32" w14:textId="5D82A568" w:rsidR="00197B8E" w:rsidRPr="00272C1C" w:rsidRDefault="00197B8E" w:rsidP="00272C1C">
                      <w:pPr>
                        <w:rPr>
                          <w:b/>
                          <w:color w:val="004595"/>
                          <w:sz w:val="22"/>
                        </w:rPr>
                      </w:pPr>
                      <w:r w:rsidRPr="00272C1C">
                        <w:rPr>
                          <w:b/>
                          <w:color w:val="004595"/>
                          <w:sz w:val="22"/>
                        </w:rPr>
                        <w:t>Sestry</w:t>
                      </w:r>
                    </w:p>
                  </w:txbxContent>
                </v:textbox>
              </v:shape>
            </w:pict>
          </mc:Fallback>
        </mc:AlternateContent>
      </w:r>
      <w:r w:rsidR="00091341">
        <w:rPr>
          <w:noProof/>
        </w:rPr>
        <w:drawing>
          <wp:inline distT="0" distB="0" distL="0" distR="0" wp14:anchorId="13422949" wp14:editId="658F4A69">
            <wp:extent cx="2838450" cy="4257675"/>
            <wp:effectExtent l="0" t="0" r="0" b="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  <w:r w:rsidR="009D1E0A">
        <w:rPr>
          <w:noProof/>
        </w:rPr>
        <w:drawing>
          <wp:inline distT="0" distB="0" distL="0" distR="0" wp14:anchorId="3A695AA1" wp14:editId="5A76AFBA">
            <wp:extent cx="2895600" cy="4238625"/>
            <wp:effectExtent l="0" t="0" r="0" b="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7876FA4E" w14:textId="5256BF10" w:rsidR="00272C1C" w:rsidRDefault="00272C1C" w:rsidP="003417FB">
      <w:pPr>
        <w:pStyle w:val="Poznmka"/>
      </w:pPr>
      <w:r w:rsidRPr="00F418B6">
        <w:rPr>
          <w:b/>
        </w:rPr>
        <w:t>Zdroj:</w:t>
      </w:r>
      <w:r>
        <w:tab/>
      </w:r>
      <w:r w:rsidR="00C664FD">
        <w:t>m</w:t>
      </w:r>
      <w:r>
        <w:t xml:space="preserve">ateriály </w:t>
      </w:r>
      <w:proofErr w:type="spellStart"/>
      <w:r>
        <w:t>MZd</w:t>
      </w:r>
      <w:proofErr w:type="spellEnd"/>
      <w:r>
        <w:t xml:space="preserve"> (zpracováno ÚZIS </w:t>
      </w:r>
      <w:r w:rsidR="00C664FD">
        <w:t>z</w:t>
      </w:r>
      <w:r>
        <w:t xml:space="preserve"> dat </w:t>
      </w:r>
      <w:proofErr w:type="spellStart"/>
      <w:r>
        <w:t>Eurostat</w:t>
      </w:r>
      <w:r w:rsidR="00C664FD">
        <w:t>u</w:t>
      </w:r>
      <w:proofErr w:type="spellEnd"/>
      <w:r>
        <w:t xml:space="preserve"> – poslední aktualizace 31. 8. 2017, datum získání dat 2.</w:t>
      </w:r>
      <w:r w:rsidR="00FB0487">
        <w:t> </w:t>
      </w:r>
      <w:r>
        <w:t>8.</w:t>
      </w:r>
      <w:r w:rsidR="00FB0487">
        <w:t> </w:t>
      </w:r>
      <w:r>
        <w:t>2018 lékaři, 29. 4. 2018 sestry).</w:t>
      </w:r>
    </w:p>
    <w:p w14:paraId="076D6ACA" w14:textId="01D4B0D8" w:rsidR="00272C1C" w:rsidRDefault="00272C1C">
      <w:pPr>
        <w:pStyle w:val="Poznmka"/>
      </w:pPr>
      <w:r>
        <w:rPr>
          <w:b/>
        </w:rPr>
        <w:t>Pozn.:</w:t>
      </w:r>
      <w:r>
        <w:tab/>
        <w:t>Data jsou za rok 2015 nebo nejbližší předchozí</w:t>
      </w:r>
      <w:r w:rsidR="00B83572">
        <w:t xml:space="preserve"> rok</w:t>
      </w:r>
      <w:r w:rsidRPr="00D50046">
        <w:t>.</w:t>
      </w:r>
    </w:p>
    <w:p w14:paraId="19AFF2FB" w14:textId="1E7D23F8" w:rsidR="004B09BD" w:rsidRPr="004B09BD" w:rsidRDefault="004B09BD">
      <w:pPr>
        <w:pStyle w:val="Poznmka"/>
      </w:pPr>
      <w:r>
        <w:rPr>
          <w:b/>
        </w:rPr>
        <w:tab/>
      </w:r>
      <w:r w:rsidR="00E81DB0" w:rsidRPr="00F91E58">
        <w:t>U sester pocház</w:t>
      </w:r>
      <w:r w:rsidR="00C664FD">
        <w:t>ej</w:t>
      </w:r>
      <w:r w:rsidR="00E81DB0" w:rsidRPr="00F91E58">
        <w:t>í d</w:t>
      </w:r>
      <w:r w:rsidRPr="00F91E58">
        <w:t>ata z</w:t>
      </w:r>
      <w:r w:rsidR="00C664FD">
        <w:t xml:space="preserve">a </w:t>
      </w:r>
      <w:r w:rsidRPr="00F91E58">
        <w:t>ČR v mezinárodních statistikách z program</w:t>
      </w:r>
      <w:r w:rsidR="00C664FD">
        <w:t>ů</w:t>
      </w:r>
      <w:r w:rsidRPr="00F91E58">
        <w:t xml:space="preserve"> statistických zjišťování</w:t>
      </w:r>
      <w:r w:rsidR="00E81DB0" w:rsidRPr="00F91E58">
        <w:t xml:space="preserve"> ─ </w:t>
      </w:r>
      <w:r w:rsidRPr="00F91E58">
        <w:t>nelze vyloučit duplicitní vykázání sester (</w:t>
      </w:r>
      <w:proofErr w:type="spellStart"/>
      <w:r w:rsidRPr="00F91E58">
        <w:t>headcount</w:t>
      </w:r>
      <w:proofErr w:type="spellEnd"/>
      <w:r w:rsidRPr="00F91E58">
        <w:t>) několika zdravotnickými zařízeními.</w:t>
      </w:r>
      <w:r>
        <w:t xml:space="preserve"> </w:t>
      </w:r>
    </w:p>
    <w:p w14:paraId="24767FBD" w14:textId="77777777" w:rsidR="00272C1C" w:rsidRDefault="00272C1C" w:rsidP="00C52E7E">
      <w:pPr>
        <w:widowControl/>
      </w:pPr>
    </w:p>
    <w:p w14:paraId="632C856B" w14:textId="77777777" w:rsidR="00422558" w:rsidRDefault="00422558">
      <w:pPr>
        <w:widowControl/>
        <w:autoSpaceDE/>
        <w:autoSpaceDN/>
        <w:adjustRightInd/>
        <w:spacing w:after="160" w:line="259" w:lineRule="auto"/>
        <w:jc w:val="left"/>
      </w:pPr>
      <w:r>
        <w:br w:type="page"/>
      </w:r>
    </w:p>
    <w:p w14:paraId="70C64BCF" w14:textId="49C344A0" w:rsidR="00091341" w:rsidRDefault="00091341" w:rsidP="00C52E7E">
      <w:pPr>
        <w:widowControl/>
      </w:pPr>
      <w:r>
        <w:t xml:space="preserve">Dle analýz </w:t>
      </w:r>
      <w:r w:rsidR="006B1EC0">
        <w:t>Ústavu zdravotnických informací a statistiky ČR (dále také „</w:t>
      </w:r>
      <w:r>
        <w:t>ÚZIS</w:t>
      </w:r>
      <w:r w:rsidR="006B1EC0">
        <w:t>“)</w:t>
      </w:r>
      <w:r>
        <w:rPr>
          <w:rStyle w:val="Znakapoznpodarou"/>
          <w:rFonts w:eastAsiaTheme="majorEastAsia"/>
        </w:rPr>
        <w:footnoteReference w:id="22"/>
      </w:r>
      <w:r>
        <w:t xml:space="preserve"> meziročně nedochází ve zdravotnictví k významnému propadu celkového počtu úvazků lékařů. Problematickými se ale jeví počty všeobecných sester pracují</w:t>
      </w:r>
      <w:r w:rsidR="006B1EC0">
        <w:t>cích v akutní lůžkové péči, kde</w:t>
      </w:r>
      <w:r w:rsidR="0001749F">
        <w:t xml:space="preserve"> </w:t>
      </w:r>
      <w:r>
        <w:t>dochází k setrvalému poklesu dostupných úvazků. Existují také velké rozdíly v počtu úvazků lékařů a sester mezi jednotlivými regiony ČR, což může mít negativní vliv na dostupnost péče.</w:t>
      </w:r>
    </w:p>
    <w:p w14:paraId="3E4358A3" w14:textId="77777777" w:rsidR="00091341" w:rsidRDefault="00091341" w:rsidP="00C52E7E">
      <w:pPr>
        <w:widowControl/>
      </w:pPr>
    </w:p>
    <w:p w14:paraId="66DEAF50" w14:textId="645B79ED" w:rsidR="0050784C" w:rsidRDefault="00E81DB0" w:rsidP="00C52E7E">
      <w:pPr>
        <w:widowControl/>
      </w:pPr>
      <w:r>
        <w:t>Z dlouhodobého hlediska je jednou z největších hroz</w:t>
      </w:r>
      <w:r w:rsidR="00211449">
        <w:t>e</w:t>
      </w:r>
      <w:r>
        <w:t>b v personální oblasti českého zdravotnictví zvyšující se průměrný věk lékařů</w:t>
      </w:r>
      <w:r w:rsidR="000740B5">
        <w:t xml:space="preserve">, zejména pak u </w:t>
      </w:r>
      <w:r>
        <w:t>některých oborů</w:t>
      </w:r>
      <w:r w:rsidR="00F91E58">
        <w:t xml:space="preserve"> (viz příloha č. </w:t>
      </w:r>
      <w:r w:rsidR="00D00EBB">
        <w:t>2)</w:t>
      </w:r>
      <w:r>
        <w:t xml:space="preserve">. </w:t>
      </w:r>
      <w:r w:rsidR="00C10C53">
        <w:t xml:space="preserve">V posledních letech </w:t>
      </w:r>
      <w:r w:rsidR="000740B5">
        <w:t xml:space="preserve">však </w:t>
      </w:r>
      <w:r w:rsidR="00C10C53">
        <w:t xml:space="preserve">byly učiněny kroky, které mají pomoci zajistit dostatečné personální kapacity ve zdravotnictví. </w:t>
      </w:r>
      <w:r w:rsidR="00A95CED">
        <w:t xml:space="preserve">Na základě spolupráce resortů </w:t>
      </w:r>
      <w:proofErr w:type="spellStart"/>
      <w:r w:rsidR="00A95CED">
        <w:t>MZd</w:t>
      </w:r>
      <w:proofErr w:type="spellEnd"/>
      <w:r w:rsidR="00A95CED">
        <w:t xml:space="preserve"> a MŠMT bylo připraveno dlouhodobé finanční opatření k navýšení kapacit lékařských fakult</w:t>
      </w:r>
      <w:r w:rsidR="00701E0C">
        <w:t xml:space="preserve"> na období 2019─2029</w:t>
      </w:r>
      <w:r w:rsidR="00A95CED">
        <w:t xml:space="preserve">, které vláda </w:t>
      </w:r>
      <w:r w:rsidR="00C17EF5">
        <w:t xml:space="preserve">ČR </w:t>
      </w:r>
      <w:r w:rsidR="00A95CED">
        <w:t>schválila svým usnesením ze dne</w:t>
      </w:r>
      <w:r w:rsidR="0050784C">
        <w:t xml:space="preserve"> 4. září 2018 č. 563. </w:t>
      </w:r>
      <w:r w:rsidR="00701E0C">
        <w:t xml:space="preserve">Cílem tohoto opatření </w:t>
      </w:r>
      <w:r w:rsidR="0067232F">
        <w:t>je</w:t>
      </w:r>
      <w:r w:rsidR="0050784C">
        <w:t xml:space="preserve"> zejména finanční zajištění posílení kapacit zvýšením počtu přijímaných </w:t>
      </w:r>
      <w:r w:rsidR="00B83572">
        <w:t xml:space="preserve">studentů </w:t>
      </w:r>
      <w:r w:rsidR="0050784C">
        <w:t xml:space="preserve">do prvního ročníku studijního programu </w:t>
      </w:r>
      <w:r w:rsidR="0067232F">
        <w:rPr>
          <w:i/>
        </w:rPr>
        <w:t>v</w:t>
      </w:r>
      <w:r w:rsidR="0050784C" w:rsidRPr="00F01375">
        <w:rPr>
          <w:i/>
        </w:rPr>
        <w:t>šeobecné lékařství</w:t>
      </w:r>
      <w:r w:rsidR="00B83572">
        <w:t xml:space="preserve"> o 15 %. </w:t>
      </w:r>
      <w:r w:rsidR="0050784C">
        <w:t>Ministr školství</w:t>
      </w:r>
      <w:r w:rsidR="00D00EBB">
        <w:t>, mládeže a tělovýchovy má dle</w:t>
      </w:r>
      <w:r w:rsidR="0001749F">
        <w:t xml:space="preserve"> </w:t>
      </w:r>
      <w:r w:rsidR="0050784C">
        <w:t>uvedeného usnesení průběžně kontrolovat a</w:t>
      </w:r>
      <w:r w:rsidR="0001749F">
        <w:t xml:space="preserve"> </w:t>
      </w:r>
      <w:r w:rsidR="0050784C">
        <w:t xml:space="preserve">vyhodnocovat naplňování stanovených cílů. Následující tabulka uvádí předpokládaný vývoj počtu studentů ve studijním programu </w:t>
      </w:r>
      <w:r w:rsidR="0067232F">
        <w:rPr>
          <w:i/>
        </w:rPr>
        <w:t>v</w:t>
      </w:r>
      <w:r w:rsidR="0050784C" w:rsidRPr="00972343">
        <w:rPr>
          <w:i/>
        </w:rPr>
        <w:t>šeobecné lékařství</w:t>
      </w:r>
      <w:r w:rsidR="0050784C">
        <w:t xml:space="preserve"> v letech 2019─2029.</w:t>
      </w:r>
    </w:p>
    <w:p w14:paraId="07F88721" w14:textId="7729D19A" w:rsidR="0050784C" w:rsidRDefault="0050784C" w:rsidP="000E273C">
      <w:pPr>
        <w:pStyle w:val="Nzevtabulky"/>
        <w:keepNext w:val="0"/>
        <w:numPr>
          <w:ilvl w:val="1"/>
          <w:numId w:val="6"/>
        </w:numPr>
        <w:spacing w:before="240"/>
        <w:ind w:left="1332" w:hanging="1332"/>
        <w:jc w:val="left"/>
        <w:rPr>
          <w:lang w:eastAsia="cs-CZ"/>
        </w:rPr>
      </w:pPr>
      <w:r w:rsidRPr="00A950DD">
        <w:rPr>
          <w:lang w:eastAsia="cs-CZ"/>
        </w:rPr>
        <w:t xml:space="preserve">Model navýšení </w:t>
      </w:r>
      <w:r w:rsidR="0067232F">
        <w:rPr>
          <w:lang w:eastAsia="cs-CZ"/>
        </w:rPr>
        <w:t>počtu</w:t>
      </w:r>
      <w:r w:rsidRPr="00A950DD">
        <w:rPr>
          <w:lang w:eastAsia="cs-CZ"/>
        </w:rPr>
        <w:t xml:space="preserve"> studentů </w:t>
      </w:r>
      <w:r>
        <w:rPr>
          <w:lang w:eastAsia="cs-CZ"/>
        </w:rPr>
        <w:t>ve</w:t>
      </w:r>
      <w:r w:rsidRPr="00A950DD">
        <w:rPr>
          <w:lang w:eastAsia="cs-CZ"/>
        </w:rPr>
        <w:t xml:space="preserve"> </w:t>
      </w:r>
      <w:r>
        <w:rPr>
          <w:lang w:eastAsia="cs-CZ"/>
        </w:rPr>
        <w:t>studijním</w:t>
      </w:r>
      <w:r w:rsidRPr="00A950DD">
        <w:rPr>
          <w:lang w:eastAsia="cs-CZ"/>
        </w:rPr>
        <w:t xml:space="preserve"> programu </w:t>
      </w:r>
      <w:r w:rsidR="0067232F">
        <w:rPr>
          <w:i/>
          <w:lang w:eastAsia="cs-CZ"/>
        </w:rPr>
        <w:t>v</w:t>
      </w:r>
      <w:r w:rsidRPr="00D00EBB">
        <w:rPr>
          <w:i/>
          <w:lang w:eastAsia="cs-CZ"/>
        </w:rPr>
        <w:t xml:space="preserve">šeobecné lékařství </w:t>
      </w:r>
      <w:r>
        <w:rPr>
          <w:lang w:eastAsia="cs-CZ"/>
        </w:rPr>
        <w:t>v letech 2019</w:t>
      </w:r>
      <w:r w:rsidR="0067232F">
        <w:rPr>
          <w:lang w:eastAsia="cs-CZ"/>
        </w:rPr>
        <w:t>–</w:t>
      </w:r>
      <w:r>
        <w:rPr>
          <w:lang w:eastAsia="cs-CZ"/>
        </w:rPr>
        <w:t>2029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4"/>
        <w:gridCol w:w="634"/>
        <w:gridCol w:w="634"/>
        <w:gridCol w:w="634"/>
        <w:gridCol w:w="634"/>
        <w:gridCol w:w="635"/>
        <w:gridCol w:w="635"/>
        <w:gridCol w:w="635"/>
        <w:gridCol w:w="635"/>
        <w:gridCol w:w="635"/>
        <w:gridCol w:w="635"/>
        <w:gridCol w:w="635"/>
      </w:tblGrid>
      <w:tr w:rsidR="0050784C" w:rsidRPr="005668EB" w14:paraId="29107C71" w14:textId="77777777" w:rsidTr="000E273C">
        <w:trPr>
          <w:trHeight w:val="510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464A227" w14:textId="77777777" w:rsidR="0050784C" w:rsidRPr="005668EB" w:rsidRDefault="0050784C" w:rsidP="00C52E7E">
            <w:pPr>
              <w:pStyle w:val="tabulka"/>
              <w:keepNext w:val="0"/>
              <w:jc w:val="center"/>
              <w:rPr>
                <w:b/>
                <w:sz w:val="18"/>
                <w:lang w:eastAsia="cs-CZ"/>
              </w:rPr>
            </w:pPr>
            <w:r w:rsidRPr="005668EB">
              <w:rPr>
                <w:b/>
                <w:sz w:val="18"/>
                <w:lang w:eastAsia="cs-CZ"/>
              </w:rPr>
              <w:t>Hodnocené parametry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3AD8F9C" w14:textId="77777777" w:rsidR="0050784C" w:rsidRPr="005668EB" w:rsidRDefault="0050784C" w:rsidP="00C52E7E">
            <w:pPr>
              <w:pStyle w:val="tabulka"/>
              <w:keepNext w:val="0"/>
              <w:jc w:val="center"/>
              <w:rPr>
                <w:b/>
                <w:sz w:val="18"/>
                <w:lang w:eastAsia="cs-CZ"/>
              </w:rPr>
            </w:pPr>
            <w:r w:rsidRPr="005668EB">
              <w:rPr>
                <w:b/>
                <w:sz w:val="18"/>
                <w:lang w:eastAsia="cs-CZ"/>
              </w:rPr>
              <w:t>2019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46AF431" w14:textId="77777777" w:rsidR="0050784C" w:rsidRPr="005668EB" w:rsidRDefault="0050784C" w:rsidP="00C52E7E">
            <w:pPr>
              <w:pStyle w:val="tabulka"/>
              <w:keepNext w:val="0"/>
              <w:jc w:val="center"/>
              <w:rPr>
                <w:b/>
                <w:sz w:val="18"/>
                <w:lang w:eastAsia="cs-CZ"/>
              </w:rPr>
            </w:pPr>
            <w:r w:rsidRPr="005668EB">
              <w:rPr>
                <w:b/>
                <w:sz w:val="18"/>
                <w:lang w:eastAsia="cs-CZ"/>
              </w:rPr>
              <w:t>2020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626CF33" w14:textId="77777777" w:rsidR="0050784C" w:rsidRPr="005668EB" w:rsidRDefault="0050784C" w:rsidP="00C52E7E">
            <w:pPr>
              <w:pStyle w:val="tabulka"/>
              <w:keepNext w:val="0"/>
              <w:jc w:val="center"/>
              <w:rPr>
                <w:b/>
                <w:sz w:val="18"/>
                <w:lang w:eastAsia="cs-CZ"/>
              </w:rPr>
            </w:pPr>
            <w:r w:rsidRPr="005668EB">
              <w:rPr>
                <w:b/>
                <w:sz w:val="18"/>
                <w:lang w:eastAsia="cs-CZ"/>
              </w:rPr>
              <w:t>2021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9E79160" w14:textId="77777777" w:rsidR="0050784C" w:rsidRPr="005668EB" w:rsidRDefault="0050784C" w:rsidP="00C52E7E">
            <w:pPr>
              <w:pStyle w:val="tabulka"/>
              <w:keepNext w:val="0"/>
              <w:jc w:val="center"/>
              <w:rPr>
                <w:b/>
                <w:sz w:val="18"/>
                <w:lang w:eastAsia="cs-CZ"/>
              </w:rPr>
            </w:pPr>
            <w:r w:rsidRPr="005668EB">
              <w:rPr>
                <w:b/>
                <w:sz w:val="18"/>
                <w:lang w:eastAsia="cs-CZ"/>
              </w:rPr>
              <w:t>2022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3C0CC0A" w14:textId="77777777" w:rsidR="0050784C" w:rsidRPr="005668EB" w:rsidRDefault="0050784C" w:rsidP="00C52E7E">
            <w:pPr>
              <w:pStyle w:val="tabulka"/>
              <w:keepNext w:val="0"/>
              <w:jc w:val="center"/>
              <w:rPr>
                <w:b/>
                <w:sz w:val="18"/>
                <w:lang w:eastAsia="cs-CZ"/>
              </w:rPr>
            </w:pPr>
            <w:r w:rsidRPr="005668EB">
              <w:rPr>
                <w:b/>
                <w:sz w:val="18"/>
                <w:lang w:eastAsia="cs-CZ"/>
              </w:rPr>
              <w:t>2023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660965D" w14:textId="77777777" w:rsidR="0050784C" w:rsidRPr="005668EB" w:rsidRDefault="0050784C" w:rsidP="00C52E7E">
            <w:pPr>
              <w:pStyle w:val="tabulka"/>
              <w:keepNext w:val="0"/>
              <w:jc w:val="center"/>
              <w:rPr>
                <w:b/>
                <w:sz w:val="18"/>
                <w:lang w:eastAsia="cs-CZ"/>
              </w:rPr>
            </w:pPr>
            <w:r w:rsidRPr="005668EB">
              <w:rPr>
                <w:b/>
                <w:sz w:val="18"/>
                <w:lang w:eastAsia="cs-CZ"/>
              </w:rPr>
              <w:t>2024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2755BDA" w14:textId="77777777" w:rsidR="0050784C" w:rsidRPr="005668EB" w:rsidRDefault="0050784C" w:rsidP="00C52E7E">
            <w:pPr>
              <w:pStyle w:val="tabulka"/>
              <w:keepNext w:val="0"/>
              <w:jc w:val="center"/>
              <w:rPr>
                <w:b/>
                <w:sz w:val="18"/>
                <w:lang w:eastAsia="cs-CZ"/>
              </w:rPr>
            </w:pPr>
            <w:r w:rsidRPr="005668EB">
              <w:rPr>
                <w:b/>
                <w:sz w:val="18"/>
                <w:lang w:eastAsia="cs-CZ"/>
              </w:rPr>
              <w:t>2025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B51B3F5" w14:textId="77777777" w:rsidR="0050784C" w:rsidRPr="005668EB" w:rsidRDefault="0050784C" w:rsidP="00C52E7E">
            <w:pPr>
              <w:pStyle w:val="tabulka"/>
              <w:keepNext w:val="0"/>
              <w:jc w:val="center"/>
              <w:rPr>
                <w:b/>
                <w:sz w:val="18"/>
                <w:lang w:eastAsia="cs-CZ"/>
              </w:rPr>
            </w:pPr>
            <w:r w:rsidRPr="005668EB">
              <w:rPr>
                <w:b/>
                <w:sz w:val="18"/>
                <w:lang w:eastAsia="cs-CZ"/>
              </w:rPr>
              <w:t>2026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87177ED" w14:textId="77777777" w:rsidR="0050784C" w:rsidRPr="005668EB" w:rsidRDefault="0050784C" w:rsidP="00C52E7E">
            <w:pPr>
              <w:pStyle w:val="tabulka"/>
              <w:keepNext w:val="0"/>
              <w:jc w:val="center"/>
              <w:rPr>
                <w:b/>
                <w:sz w:val="18"/>
                <w:lang w:eastAsia="cs-CZ"/>
              </w:rPr>
            </w:pPr>
            <w:r w:rsidRPr="005668EB">
              <w:rPr>
                <w:b/>
                <w:sz w:val="18"/>
                <w:lang w:eastAsia="cs-CZ"/>
              </w:rPr>
              <w:t>2027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412823C" w14:textId="77777777" w:rsidR="0050784C" w:rsidRPr="005668EB" w:rsidRDefault="0050784C" w:rsidP="00C52E7E">
            <w:pPr>
              <w:pStyle w:val="tabulka"/>
              <w:keepNext w:val="0"/>
              <w:jc w:val="center"/>
              <w:rPr>
                <w:b/>
                <w:sz w:val="18"/>
                <w:lang w:eastAsia="cs-CZ"/>
              </w:rPr>
            </w:pPr>
            <w:r w:rsidRPr="005668EB">
              <w:rPr>
                <w:b/>
                <w:sz w:val="18"/>
                <w:lang w:eastAsia="cs-CZ"/>
              </w:rPr>
              <w:t>2028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51B080B" w14:textId="77777777" w:rsidR="0050784C" w:rsidRPr="005668EB" w:rsidRDefault="0050784C" w:rsidP="00C52E7E">
            <w:pPr>
              <w:pStyle w:val="tabulka"/>
              <w:keepNext w:val="0"/>
              <w:jc w:val="center"/>
              <w:rPr>
                <w:b/>
                <w:sz w:val="18"/>
                <w:lang w:eastAsia="cs-CZ"/>
              </w:rPr>
            </w:pPr>
            <w:r w:rsidRPr="005668EB">
              <w:rPr>
                <w:b/>
                <w:sz w:val="18"/>
                <w:lang w:eastAsia="cs-CZ"/>
              </w:rPr>
              <w:t>2029</w:t>
            </w:r>
          </w:p>
        </w:tc>
      </w:tr>
      <w:tr w:rsidR="0050784C" w:rsidRPr="005668EB" w14:paraId="6F11ED33" w14:textId="77777777" w:rsidTr="00091341">
        <w:trPr>
          <w:trHeight w:val="300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CAFF" w14:textId="05B2B7E9" w:rsidR="0050784C" w:rsidRPr="005668EB" w:rsidRDefault="0050784C" w:rsidP="00C52E7E">
            <w:pPr>
              <w:pStyle w:val="tabulka"/>
              <w:keepNext w:val="0"/>
              <w:jc w:val="left"/>
              <w:rPr>
                <w:sz w:val="18"/>
                <w:lang w:eastAsia="cs-CZ"/>
              </w:rPr>
            </w:pPr>
            <w:r>
              <w:rPr>
                <w:sz w:val="18"/>
                <w:lang w:eastAsia="cs-CZ"/>
              </w:rPr>
              <w:t>M</w:t>
            </w:r>
            <w:r w:rsidR="00C10C53">
              <w:rPr>
                <w:sz w:val="18"/>
                <w:lang w:eastAsia="cs-CZ"/>
              </w:rPr>
              <w:t>odelový počet studentů</w:t>
            </w:r>
            <w:r w:rsidRPr="005668EB">
              <w:rPr>
                <w:sz w:val="18"/>
                <w:lang w:eastAsia="cs-CZ"/>
              </w:rPr>
              <w:t xml:space="preserve"> v 1. ročníku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9192" w14:textId="77777777" w:rsidR="0050784C" w:rsidRPr="00701E0C" w:rsidRDefault="0050784C" w:rsidP="00C52E7E">
            <w:pPr>
              <w:pStyle w:val="tabulka"/>
              <w:keepNext w:val="0"/>
              <w:jc w:val="right"/>
              <w:rPr>
                <w:sz w:val="17"/>
                <w:szCs w:val="17"/>
                <w:lang w:eastAsia="cs-CZ"/>
              </w:rPr>
            </w:pPr>
            <w:r w:rsidRPr="00701E0C">
              <w:rPr>
                <w:sz w:val="17"/>
                <w:szCs w:val="17"/>
                <w:lang w:eastAsia="cs-CZ"/>
              </w:rPr>
              <w:t>1 900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6E78" w14:textId="77777777" w:rsidR="0050784C" w:rsidRPr="00701E0C" w:rsidRDefault="0050784C" w:rsidP="00C52E7E">
            <w:pPr>
              <w:pStyle w:val="tabulka"/>
              <w:keepNext w:val="0"/>
              <w:jc w:val="right"/>
              <w:rPr>
                <w:sz w:val="17"/>
                <w:szCs w:val="17"/>
                <w:lang w:eastAsia="cs-CZ"/>
              </w:rPr>
            </w:pPr>
            <w:r w:rsidRPr="00701E0C">
              <w:rPr>
                <w:sz w:val="17"/>
                <w:szCs w:val="17"/>
                <w:lang w:eastAsia="cs-CZ"/>
              </w:rPr>
              <w:t>2 185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E907" w14:textId="77777777" w:rsidR="0050784C" w:rsidRPr="00701E0C" w:rsidRDefault="0050784C" w:rsidP="00C52E7E">
            <w:pPr>
              <w:pStyle w:val="tabulka"/>
              <w:keepNext w:val="0"/>
              <w:jc w:val="right"/>
              <w:rPr>
                <w:sz w:val="17"/>
                <w:szCs w:val="17"/>
                <w:lang w:eastAsia="cs-CZ"/>
              </w:rPr>
            </w:pPr>
            <w:r w:rsidRPr="00701E0C">
              <w:rPr>
                <w:sz w:val="17"/>
                <w:szCs w:val="17"/>
                <w:lang w:eastAsia="cs-CZ"/>
              </w:rPr>
              <w:t>2 185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A011" w14:textId="77777777" w:rsidR="0050784C" w:rsidRPr="00701E0C" w:rsidRDefault="0050784C" w:rsidP="00C52E7E">
            <w:pPr>
              <w:pStyle w:val="tabulka"/>
              <w:keepNext w:val="0"/>
              <w:jc w:val="right"/>
              <w:rPr>
                <w:sz w:val="17"/>
                <w:szCs w:val="17"/>
                <w:lang w:eastAsia="cs-CZ"/>
              </w:rPr>
            </w:pPr>
            <w:r w:rsidRPr="00701E0C">
              <w:rPr>
                <w:sz w:val="17"/>
                <w:szCs w:val="17"/>
                <w:lang w:eastAsia="cs-CZ"/>
              </w:rPr>
              <w:t>2 185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5C94" w14:textId="77777777" w:rsidR="0050784C" w:rsidRPr="00701E0C" w:rsidRDefault="0050784C" w:rsidP="00C52E7E">
            <w:pPr>
              <w:pStyle w:val="tabulka"/>
              <w:keepNext w:val="0"/>
              <w:jc w:val="right"/>
              <w:rPr>
                <w:sz w:val="17"/>
                <w:szCs w:val="17"/>
                <w:lang w:eastAsia="cs-CZ"/>
              </w:rPr>
            </w:pPr>
            <w:r w:rsidRPr="00701E0C">
              <w:rPr>
                <w:sz w:val="17"/>
                <w:szCs w:val="17"/>
                <w:lang w:eastAsia="cs-CZ"/>
              </w:rPr>
              <w:t>2 185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80A4" w14:textId="77777777" w:rsidR="0050784C" w:rsidRPr="00701E0C" w:rsidRDefault="0050784C" w:rsidP="00C52E7E">
            <w:pPr>
              <w:pStyle w:val="tabulka"/>
              <w:keepNext w:val="0"/>
              <w:jc w:val="right"/>
              <w:rPr>
                <w:sz w:val="17"/>
                <w:szCs w:val="17"/>
                <w:lang w:eastAsia="cs-CZ"/>
              </w:rPr>
            </w:pPr>
            <w:r w:rsidRPr="00701E0C">
              <w:rPr>
                <w:sz w:val="17"/>
                <w:szCs w:val="17"/>
                <w:lang w:eastAsia="cs-CZ"/>
              </w:rPr>
              <w:t>2 185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FC7A" w14:textId="77777777" w:rsidR="0050784C" w:rsidRPr="00701E0C" w:rsidRDefault="0050784C" w:rsidP="00C52E7E">
            <w:pPr>
              <w:pStyle w:val="tabulka"/>
              <w:keepNext w:val="0"/>
              <w:jc w:val="right"/>
              <w:rPr>
                <w:sz w:val="17"/>
                <w:szCs w:val="17"/>
                <w:lang w:eastAsia="cs-CZ"/>
              </w:rPr>
            </w:pPr>
            <w:r w:rsidRPr="00701E0C">
              <w:rPr>
                <w:sz w:val="17"/>
                <w:szCs w:val="17"/>
                <w:lang w:eastAsia="cs-CZ"/>
              </w:rPr>
              <w:t>2 185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B98D" w14:textId="77777777" w:rsidR="0050784C" w:rsidRPr="00701E0C" w:rsidRDefault="0050784C" w:rsidP="00C52E7E">
            <w:pPr>
              <w:pStyle w:val="tabulka"/>
              <w:keepNext w:val="0"/>
              <w:jc w:val="right"/>
              <w:rPr>
                <w:sz w:val="17"/>
                <w:szCs w:val="17"/>
                <w:lang w:eastAsia="cs-CZ"/>
              </w:rPr>
            </w:pPr>
            <w:r w:rsidRPr="00701E0C">
              <w:rPr>
                <w:sz w:val="17"/>
                <w:szCs w:val="17"/>
                <w:lang w:eastAsia="cs-CZ"/>
              </w:rPr>
              <w:t>2 185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18FB" w14:textId="77777777" w:rsidR="0050784C" w:rsidRPr="00701E0C" w:rsidRDefault="0050784C" w:rsidP="00C52E7E">
            <w:pPr>
              <w:pStyle w:val="tabulka"/>
              <w:keepNext w:val="0"/>
              <w:jc w:val="right"/>
              <w:rPr>
                <w:sz w:val="17"/>
                <w:szCs w:val="17"/>
                <w:lang w:eastAsia="cs-CZ"/>
              </w:rPr>
            </w:pPr>
            <w:r w:rsidRPr="00701E0C">
              <w:rPr>
                <w:sz w:val="17"/>
                <w:szCs w:val="17"/>
                <w:lang w:eastAsia="cs-CZ"/>
              </w:rPr>
              <w:t>2 185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4F51" w14:textId="77777777" w:rsidR="0050784C" w:rsidRPr="00701E0C" w:rsidRDefault="0050784C" w:rsidP="00C52E7E">
            <w:pPr>
              <w:pStyle w:val="tabulka"/>
              <w:keepNext w:val="0"/>
              <w:jc w:val="right"/>
              <w:rPr>
                <w:sz w:val="17"/>
                <w:szCs w:val="17"/>
                <w:lang w:eastAsia="cs-CZ"/>
              </w:rPr>
            </w:pPr>
            <w:r w:rsidRPr="00701E0C">
              <w:rPr>
                <w:sz w:val="17"/>
                <w:szCs w:val="17"/>
                <w:lang w:eastAsia="cs-CZ"/>
              </w:rPr>
              <w:t>2 185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B343" w14:textId="77777777" w:rsidR="0050784C" w:rsidRPr="00701E0C" w:rsidRDefault="0050784C" w:rsidP="00C52E7E">
            <w:pPr>
              <w:pStyle w:val="tabulka"/>
              <w:keepNext w:val="0"/>
              <w:jc w:val="right"/>
              <w:rPr>
                <w:sz w:val="17"/>
                <w:szCs w:val="17"/>
                <w:lang w:eastAsia="cs-CZ"/>
              </w:rPr>
            </w:pPr>
            <w:r w:rsidRPr="00701E0C">
              <w:rPr>
                <w:sz w:val="17"/>
                <w:szCs w:val="17"/>
                <w:lang w:eastAsia="cs-CZ"/>
              </w:rPr>
              <w:t>2 185</w:t>
            </w:r>
          </w:p>
        </w:tc>
      </w:tr>
      <w:tr w:rsidR="0050784C" w:rsidRPr="005668EB" w14:paraId="723B9E51" w14:textId="77777777" w:rsidTr="00091341">
        <w:trPr>
          <w:trHeight w:val="300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B1E5" w14:textId="6A7A5E97" w:rsidR="0050784C" w:rsidRPr="005668EB" w:rsidRDefault="0050784C" w:rsidP="00C52E7E">
            <w:pPr>
              <w:pStyle w:val="tabulka"/>
              <w:keepNext w:val="0"/>
              <w:jc w:val="left"/>
              <w:rPr>
                <w:sz w:val="18"/>
                <w:lang w:eastAsia="cs-CZ"/>
              </w:rPr>
            </w:pPr>
            <w:r>
              <w:rPr>
                <w:sz w:val="18"/>
                <w:lang w:eastAsia="cs-CZ"/>
              </w:rPr>
              <w:t>M</w:t>
            </w:r>
            <w:r w:rsidRPr="005668EB">
              <w:rPr>
                <w:sz w:val="18"/>
                <w:lang w:eastAsia="cs-CZ"/>
              </w:rPr>
              <w:t>odelový počet studentů v 6. ročníku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551D" w14:textId="77777777" w:rsidR="0050784C" w:rsidRPr="00701E0C" w:rsidRDefault="0050784C" w:rsidP="00C52E7E">
            <w:pPr>
              <w:pStyle w:val="tabulka"/>
              <w:keepNext w:val="0"/>
              <w:jc w:val="right"/>
              <w:rPr>
                <w:sz w:val="17"/>
                <w:szCs w:val="17"/>
                <w:lang w:eastAsia="cs-CZ"/>
              </w:rPr>
            </w:pPr>
            <w:r w:rsidRPr="00701E0C">
              <w:rPr>
                <w:sz w:val="17"/>
                <w:szCs w:val="17"/>
                <w:lang w:eastAsia="cs-CZ"/>
              </w:rPr>
              <w:t>1 300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18D8" w14:textId="77777777" w:rsidR="0050784C" w:rsidRPr="00701E0C" w:rsidRDefault="0050784C" w:rsidP="00C52E7E">
            <w:pPr>
              <w:pStyle w:val="tabulka"/>
              <w:keepNext w:val="0"/>
              <w:jc w:val="right"/>
              <w:rPr>
                <w:sz w:val="17"/>
                <w:szCs w:val="17"/>
                <w:lang w:eastAsia="cs-CZ"/>
              </w:rPr>
            </w:pPr>
            <w:r w:rsidRPr="00701E0C">
              <w:rPr>
                <w:sz w:val="17"/>
                <w:szCs w:val="17"/>
                <w:lang w:eastAsia="cs-CZ"/>
              </w:rPr>
              <w:t>1 300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F21A" w14:textId="77777777" w:rsidR="0050784C" w:rsidRPr="00701E0C" w:rsidRDefault="0050784C" w:rsidP="00C52E7E">
            <w:pPr>
              <w:pStyle w:val="tabulka"/>
              <w:keepNext w:val="0"/>
              <w:jc w:val="right"/>
              <w:rPr>
                <w:sz w:val="17"/>
                <w:szCs w:val="17"/>
                <w:lang w:eastAsia="cs-CZ"/>
              </w:rPr>
            </w:pPr>
            <w:r w:rsidRPr="00701E0C">
              <w:rPr>
                <w:sz w:val="17"/>
                <w:szCs w:val="17"/>
                <w:lang w:eastAsia="cs-CZ"/>
              </w:rPr>
              <w:t>1 300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D545" w14:textId="77777777" w:rsidR="0050784C" w:rsidRPr="00701E0C" w:rsidRDefault="0050784C" w:rsidP="00C52E7E">
            <w:pPr>
              <w:pStyle w:val="tabulka"/>
              <w:keepNext w:val="0"/>
              <w:jc w:val="right"/>
              <w:rPr>
                <w:sz w:val="17"/>
                <w:szCs w:val="17"/>
                <w:lang w:eastAsia="cs-CZ"/>
              </w:rPr>
            </w:pPr>
            <w:r w:rsidRPr="00701E0C">
              <w:rPr>
                <w:sz w:val="17"/>
                <w:szCs w:val="17"/>
                <w:lang w:eastAsia="cs-CZ"/>
              </w:rPr>
              <w:t>1 300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7B6D" w14:textId="77777777" w:rsidR="0050784C" w:rsidRPr="00701E0C" w:rsidRDefault="0050784C" w:rsidP="00C52E7E">
            <w:pPr>
              <w:pStyle w:val="tabulka"/>
              <w:keepNext w:val="0"/>
              <w:jc w:val="right"/>
              <w:rPr>
                <w:sz w:val="17"/>
                <w:szCs w:val="17"/>
                <w:lang w:eastAsia="cs-CZ"/>
              </w:rPr>
            </w:pPr>
            <w:r w:rsidRPr="00701E0C">
              <w:rPr>
                <w:sz w:val="17"/>
                <w:szCs w:val="17"/>
                <w:lang w:eastAsia="cs-CZ"/>
              </w:rPr>
              <w:t>1 300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E9C1" w14:textId="77777777" w:rsidR="0050784C" w:rsidRPr="00701E0C" w:rsidRDefault="0050784C" w:rsidP="00C52E7E">
            <w:pPr>
              <w:pStyle w:val="tabulka"/>
              <w:keepNext w:val="0"/>
              <w:jc w:val="right"/>
              <w:rPr>
                <w:sz w:val="17"/>
                <w:szCs w:val="17"/>
                <w:lang w:eastAsia="cs-CZ"/>
              </w:rPr>
            </w:pPr>
            <w:r w:rsidRPr="00701E0C">
              <w:rPr>
                <w:sz w:val="17"/>
                <w:szCs w:val="17"/>
                <w:lang w:eastAsia="cs-CZ"/>
              </w:rPr>
              <w:t>1 300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4CFC" w14:textId="77777777" w:rsidR="0050784C" w:rsidRPr="00701E0C" w:rsidRDefault="0050784C" w:rsidP="00C52E7E">
            <w:pPr>
              <w:pStyle w:val="tabulka"/>
              <w:keepNext w:val="0"/>
              <w:jc w:val="right"/>
              <w:rPr>
                <w:sz w:val="17"/>
                <w:szCs w:val="17"/>
                <w:lang w:eastAsia="cs-CZ"/>
              </w:rPr>
            </w:pPr>
            <w:r w:rsidRPr="00701E0C">
              <w:rPr>
                <w:sz w:val="17"/>
                <w:szCs w:val="17"/>
                <w:lang w:eastAsia="cs-CZ"/>
              </w:rPr>
              <w:t>1 505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180A" w14:textId="77777777" w:rsidR="0050784C" w:rsidRPr="00701E0C" w:rsidRDefault="0050784C" w:rsidP="00C52E7E">
            <w:pPr>
              <w:pStyle w:val="tabulka"/>
              <w:keepNext w:val="0"/>
              <w:jc w:val="right"/>
              <w:rPr>
                <w:sz w:val="17"/>
                <w:szCs w:val="17"/>
                <w:lang w:eastAsia="cs-CZ"/>
              </w:rPr>
            </w:pPr>
            <w:r w:rsidRPr="00701E0C">
              <w:rPr>
                <w:sz w:val="17"/>
                <w:szCs w:val="17"/>
                <w:lang w:eastAsia="cs-CZ"/>
              </w:rPr>
              <w:t>1 505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3631" w14:textId="77777777" w:rsidR="0050784C" w:rsidRPr="00701E0C" w:rsidRDefault="0050784C" w:rsidP="00C52E7E">
            <w:pPr>
              <w:pStyle w:val="tabulka"/>
              <w:keepNext w:val="0"/>
              <w:jc w:val="right"/>
              <w:rPr>
                <w:sz w:val="17"/>
                <w:szCs w:val="17"/>
                <w:lang w:eastAsia="cs-CZ"/>
              </w:rPr>
            </w:pPr>
            <w:r w:rsidRPr="00701E0C">
              <w:rPr>
                <w:sz w:val="17"/>
                <w:szCs w:val="17"/>
                <w:lang w:eastAsia="cs-CZ"/>
              </w:rPr>
              <w:t>1 505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A143" w14:textId="77777777" w:rsidR="0050784C" w:rsidRPr="00701E0C" w:rsidRDefault="0050784C" w:rsidP="00C52E7E">
            <w:pPr>
              <w:pStyle w:val="tabulka"/>
              <w:keepNext w:val="0"/>
              <w:jc w:val="right"/>
              <w:rPr>
                <w:sz w:val="17"/>
                <w:szCs w:val="17"/>
                <w:lang w:eastAsia="cs-CZ"/>
              </w:rPr>
            </w:pPr>
            <w:r w:rsidRPr="00701E0C">
              <w:rPr>
                <w:sz w:val="17"/>
                <w:szCs w:val="17"/>
                <w:lang w:eastAsia="cs-CZ"/>
              </w:rPr>
              <w:t>1 505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484D" w14:textId="77777777" w:rsidR="0050784C" w:rsidRPr="00701E0C" w:rsidRDefault="0050784C" w:rsidP="00C52E7E">
            <w:pPr>
              <w:pStyle w:val="tabulka"/>
              <w:keepNext w:val="0"/>
              <w:jc w:val="right"/>
              <w:rPr>
                <w:sz w:val="17"/>
                <w:szCs w:val="17"/>
                <w:lang w:eastAsia="cs-CZ"/>
              </w:rPr>
            </w:pPr>
            <w:r w:rsidRPr="00701E0C">
              <w:rPr>
                <w:sz w:val="17"/>
                <w:szCs w:val="17"/>
                <w:lang w:eastAsia="cs-CZ"/>
              </w:rPr>
              <w:t>1 505</w:t>
            </w:r>
          </w:p>
        </w:tc>
      </w:tr>
      <w:tr w:rsidR="0050784C" w:rsidRPr="005668EB" w14:paraId="645C32A5" w14:textId="77777777" w:rsidTr="00091341">
        <w:trPr>
          <w:trHeight w:val="300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7C4A" w14:textId="75DF33E8" w:rsidR="0050784C" w:rsidRPr="005668EB" w:rsidRDefault="0050784C" w:rsidP="0067232F">
            <w:pPr>
              <w:pStyle w:val="tabulka"/>
              <w:keepNext w:val="0"/>
              <w:jc w:val="left"/>
              <w:rPr>
                <w:sz w:val="18"/>
                <w:lang w:eastAsia="cs-CZ"/>
              </w:rPr>
            </w:pPr>
            <w:r>
              <w:rPr>
                <w:sz w:val="18"/>
                <w:lang w:eastAsia="cs-CZ"/>
              </w:rPr>
              <w:t>M</w:t>
            </w:r>
            <w:r w:rsidRPr="005668EB">
              <w:rPr>
                <w:sz w:val="18"/>
                <w:lang w:eastAsia="cs-CZ"/>
              </w:rPr>
              <w:t>odelový počet studentů v 1.</w:t>
            </w:r>
            <w:r w:rsidR="0067232F">
              <w:rPr>
                <w:sz w:val="18"/>
                <w:lang w:eastAsia="cs-CZ"/>
              </w:rPr>
              <w:t xml:space="preserve"> až </w:t>
            </w:r>
            <w:r w:rsidRPr="005668EB">
              <w:rPr>
                <w:sz w:val="18"/>
                <w:lang w:eastAsia="cs-CZ"/>
              </w:rPr>
              <w:t>6. ročníku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0E41" w14:textId="77777777" w:rsidR="0050784C" w:rsidRPr="00701E0C" w:rsidRDefault="0050784C" w:rsidP="00C52E7E">
            <w:pPr>
              <w:pStyle w:val="tabulka"/>
              <w:keepNext w:val="0"/>
              <w:jc w:val="right"/>
              <w:rPr>
                <w:sz w:val="17"/>
                <w:szCs w:val="17"/>
                <w:lang w:eastAsia="cs-CZ"/>
              </w:rPr>
            </w:pPr>
            <w:r w:rsidRPr="00701E0C">
              <w:rPr>
                <w:sz w:val="17"/>
                <w:szCs w:val="17"/>
                <w:lang w:eastAsia="cs-CZ"/>
              </w:rPr>
              <w:t>9 330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B8B1" w14:textId="77777777" w:rsidR="0050784C" w:rsidRPr="00701E0C" w:rsidRDefault="0050784C" w:rsidP="00C52E7E">
            <w:pPr>
              <w:pStyle w:val="tabulka"/>
              <w:keepNext w:val="0"/>
              <w:jc w:val="right"/>
              <w:rPr>
                <w:sz w:val="17"/>
                <w:szCs w:val="17"/>
                <w:lang w:eastAsia="cs-CZ"/>
              </w:rPr>
            </w:pPr>
            <w:r w:rsidRPr="00701E0C">
              <w:rPr>
                <w:sz w:val="17"/>
                <w:szCs w:val="17"/>
                <w:lang w:eastAsia="cs-CZ"/>
              </w:rPr>
              <w:t>9 615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396B" w14:textId="77777777" w:rsidR="0050784C" w:rsidRPr="00701E0C" w:rsidRDefault="0050784C" w:rsidP="00C52E7E">
            <w:pPr>
              <w:pStyle w:val="tabulka"/>
              <w:keepNext w:val="0"/>
              <w:jc w:val="right"/>
              <w:rPr>
                <w:sz w:val="17"/>
                <w:szCs w:val="17"/>
                <w:lang w:eastAsia="cs-CZ"/>
              </w:rPr>
            </w:pPr>
            <w:r w:rsidRPr="00701E0C">
              <w:rPr>
                <w:sz w:val="17"/>
                <w:szCs w:val="17"/>
                <w:lang w:eastAsia="cs-CZ"/>
              </w:rPr>
              <w:t>9 886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6C8C" w14:textId="77777777" w:rsidR="0050784C" w:rsidRPr="00701E0C" w:rsidRDefault="0050784C" w:rsidP="00C52E7E">
            <w:pPr>
              <w:pStyle w:val="tabulka"/>
              <w:keepNext w:val="0"/>
              <w:jc w:val="right"/>
              <w:rPr>
                <w:sz w:val="17"/>
                <w:szCs w:val="17"/>
                <w:lang w:eastAsia="cs-CZ"/>
              </w:rPr>
            </w:pPr>
            <w:r w:rsidRPr="00701E0C">
              <w:rPr>
                <w:sz w:val="17"/>
                <w:szCs w:val="17"/>
                <w:lang w:eastAsia="cs-CZ"/>
              </w:rPr>
              <w:t>10 142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3D47" w14:textId="77777777" w:rsidR="0050784C" w:rsidRPr="00701E0C" w:rsidRDefault="0050784C" w:rsidP="00C52E7E">
            <w:pPr>
              <w:pStyle w:val="tabulka"/>
              <w:keepNext w:val="0"/>
              <w:jc w:val="right"/>
              <w:rPr>
                <w:sz w:val="17"/>
                <w:szCs w:val="17"/>
                <w:lang w:eastAsia="cs-CZ"/>
              </w:rPr>
            </w:pPr>
            <w:r w:rsidRPr="00701E0C">
              <w:rPr>
                <w:sz w:val="17"/>
                <w:szCs w:val="17"/>
                <w:lang w:eastAsia="cs-CZ"/>
              </w:rPr>
              <w:t>10 413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C7E7" w14:textId="77777777" w:rsidR="0050784C" w:rsidRPr="00701E0C" w:rsidRDefault="0050784C" w:rsidP="00C52E7E">
            <w:pPr>
              <w:pStyle w:val="tabulka"/>
              <w:keepNext w:val="0"/>
              <w:jc w:val="right"/>
              <w:rPr>
                <w:sz w:val="17"/>
                <w:szCs w:val="17"/>
                <w:lang w:eastAsia="cs-CZ"/>
              </w:rPr>
            </w:pPr>
            <w:r w:rsidRPr="00701E0C">
              <w:rPr>
                <w:sz w:val="17"/>
                <w:szCs w:val="17"/>
                <w:lang w:eastAsia="cs-CZ"/>
              </w:rPr>
              <w:t>10 598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AD1B" w14:textId="77777777" w:rsidR="0050784C" w:rsidRPr="00701E0C" w:rsidRDefault="0050784C" w:rsidP="00C52E7E">
            <w:pPr>
              <w:pStyle w:val="tabulka"/>
              <w:keepNext w:val="0"/>
              <w:jc w:val="right"/>
              <w:rPr>
                <w:sz w:val="17"/>
                <w:szCs w:val="17"/>
                <w:lang w:eastAsia="cs-CZ"/>
              </w:rPr>
            </w:pPr>
            <w:r w:rsidRPr="00701E0C">
              <w:rPr>
                <w:sz w:val="17"/>
                <w:szCs w:val="17"/>
                <w:lang w:eastAsia="cs-CZ"/>
              </w:rPr>
              <w:t>10 727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A386" w14:textId="77777777" w:rsidR="0050784C" w:rsidRPr="00701E0C" w:rsidRDefault="0050784C" w:rsidP="00C52E7E">
            <w:pPr>
              <w:pStyle w:val="tabulka"/>
              <w:keepNext w:val="0"/>
              <w:jc w:val="right"/>
              <w:rPr>
                <w:sz w:val="17"/>
                <w:szCs w:val="17"/>
                <w:lang w:eastAsia="cs-CZ"/>
              </w:rPr>
            </w:pPr>
            <w:r w:rsidRPr="00701E0C">
              <w:rPr>
                <w:sz w:val="17"/>
                <w:szCs w:val="17"/>
                <w:lang w:eastAsia="cs-CZ"/>
              </w:rPr>
              <w:t>10 727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26CB" w14:textId="77777777" w:rsidR="0050784C" w:rsidRPr="00701E0C" w:rsidRDefault="0050784C" w:rsidP="00C52E7E">
            <w:pPr>
              <w:pStyle w:val="tabulka"/>
              <w:keepNext w:val="0"/>
              <w:jc w:val="right"/>
              <w:rPr>
                <w:sz w:val="17"/>
                <w:szCs w:val="17"/>
                <w:lang w:eastAsia="cs-CZ"/>
              </w:rPr>
            </w:pPr>
            <w:r w:rsidRPr="00701E0C">
              <w:rPr>
                <w:sz w:val="17"/>
                <w:szCs w:val="17"/>
                <w:lang w:eastAsia="cs-CZ"/>
              </w:rPr>
              <w:t>10 727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0ECB" w14:textId="77777777" w:rsidR="0050784C" w:rsidRPr="00701E0C" w:rsidRDefault="0050784C" w:rsidP="00C52E7E">
            <w:pPr>
              <w:pStyle w:val="tabulka"/>
              <w:keepNext w:val="0"/>
              <w:jc w:val="right"/>
              <w:rPr>
                <w:sz w:val="17"/>
                <w:szCs w:val="17"/>
                <w:lang w:eastAsia="cs-CZ"/>
              </w:rPr>
            </w:pPr>
            <w:r w:rsidRPr="00701E0C">
              <w:rPr>
                <w:sz w:val="17"/>
                <w:szCs w:val="17"/>
                <w:lang w:eastAsia="cs-CZ"/>
              </w:rPr>
              <w:t>10 727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3B72" w14:textId="77777777" w:rsidR="0050784C" w:rsidRPr="00701E0C" w:rsidRDefault="0050784C" w:rsidP="00C52E7E">
            <w:pPr>
              <w:pStyle w:val="tabulka"/>
              <w:keepNext w:val="0"/>
              <w:jc w:val="right"/>
              <w:rPr>
                <w:sz w:val="17"/>
                <w:szCs w:val="17"/>
                <w:lang w:eastAsia="cs-CZ"/>
              </w:rPr>
            </w:pPr>
            <w:r w:rsidRPr="00701E0C">
              <w:rPr>
                <w:sz w:val="17"/>
                <w:szCs w:val="17"/>
                <w:lang w:eastAsia="cs-CZ"/>
              </w:rPr>
              <w:t>10 727</w:t>
            </w:r>
          </w:p>
        </w:tc>
      </w:tr>
      <w:tr w:rsidR="0050784C" w:rsidRPr="005668EB" w14:paraId="695E0055" w14:textId="77777777" w:rsidTr="00091341">
        <w:trPr>
          <w:trHeight w:val="510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C08E" w14:textId="77777777" w:rsidR="0050784C" w:rsidRPr="005668EB" w:rsidRDefault="0050784C" w:rsidP="00C52E7E">
            <w:pPr>
              <w:pStyle w:val="tabulka"/>
              <w:keepNext w:val="0"/>
              <w:jc w:val="left"/>
              <w:rPr>
                <w:sz w:val="18"/>
                <w:lang w:eastAsia="cs-CZ"/>
              </w:rPr>
            </w:pPr>
            <w:r>
              <w:rPr>
                <w:sz w:val="18"/>
                <w:lang w:eastAsia="cs-CZ"/>
              </w:rPr>
              <w:t>Ná</w:t>
            </w:r>
            <w:r w:rsidRPr="005668EB">
              <w:rPr>
                <w:sz w:val="18"/>
                <w:lang w:eastAsia="cs-CZ"/>
              </w:rPr>
              <w:t>rů</w:t>
            </w:r>
            <w:r>
              <w:rPr>
                <w:sz w:val="18"/>
                <w:lang w:eastAsia="cs-CZ"/>
              </w:rPr>
              <w:t>st počtu studentů LF vůči výchozímu stavu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CE8B" w14:textId="24AF6268" w:rsidR="0050784C" w:rsidRPr="00701E0C" w:rsidRDefault="0067232F" w:rsidP="0067232F">
            <w:pPr>
              <w:pStyle w:val="tabulka"/>
              <w:keepNext w:val="0"/>
              <w:jc w:val="right"/>
              <w:rPr>
                <w:sz w:val="17"/>
                <w:szCs w:val="17"/>
                <w:lang w:eastAsia="cs-CZ"/>
              </w:rPr>
            </w:pPr>
            <w:r>
              <w:rPr>
                <w:sz w:val="17"/>
                <w:szCs w:val="17"/>
                <w:lang w:eastAsia="cs-CZ"/>
              </w:rPr>
              <w:t>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84DC" w14:textId="77777777" w:rsidR="0050784C" w:rsidRPr="00701E0C" w:rsidRDefault="0050784C" w:rsidP="00C52E7E">
            <w:pPr>
              <w:pStyle w:val="tabulka"/>
              <w:keepNext w:val="0"/>
              <w:jc w:val="right"/>
              <w:rPr>
                <w:sz w:val="17"/>
                <w:szCs w:val="17"/>
                <w:lang w:eastAsia="cs-CZ"/>
              </w:rPr>
            </w:pPr>
            <w:r w:rsidRPr="00701E0C">
              <w:rPr>
                <w:sz w:val="17"/>
                <w:szCs w:val="17"/>
                <w:lang w:eastAsia="cs-CZ"/>
              </w:rPr>
              <w:t>3,0 %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C803" w14:textId="77777777" w:rsidR="0050784C" w:rsidRPr="00701E0C" w:rsidRDefault="0050784C" w:rsidP="00C52E7E">
            <w:pPr>
              <w:pStyle w:val="tabulka"/>
              <w:keepNext w:val="0"/>
              <w:jc w:val="right"/>
              <w:rPr>
                <w:sz w:val="17"/>
                <w:szCs w:val="17"/>
                <w:lang w:eastAsia="cs-CZ"/>
              </w:rPr>
            </w:pPr>
            <w:r w:rsidRPr="00701E0C">
              <w:rPr>
                <w:sz w:val="17"/>
                <w:szCs w:val="17"/>
                <w:lang w:eastAsia="cs-CZ"/>
              </w:rPr>
              <w:t>5,9 %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D7A3" w14:textId="77777777" w:rsidR="0050784C" w:rsidRPr="00701E0C" w:rsidRDefault="0050784C" w:rsidP="00C52E7E">
            <w:pPr>
              <w:pStyle w:val="tabulka"/>
              <w:keepNext w:val="0"/>
              <w:jc w:val="right"/>
              <w:rPr>
                <w:sz w:val="17"/>
                <w:szCs w:val="17"/>
                <w:lang w:eastAsia="cs-CZ"/>
              </w:rPr>
            </w:pPr>
            <w:r w:rsidRPr="00701E0C">
              <w:rPr>
                <w:sz w:val="17"/>
                <w:szCs w:val="17"/>
                <w:lang w:eastAsia="cs-CZ"/>
              </w:rPr>
              <w:t>8,6 %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32B2" w14:textId="77777777" w:rsidR="0050784C" w:rsidRPr="00701E0C" w:rsidRDefault="0050784C" w:rsidP="00C52E7E">
            <w:pPr>
              <w:pStyle w:val="tabulka"/>
              <w:keepNext w:val="0"/>
              <w:jc w:val="right"/>
              <w:rPr>
                <w:sz w:val="17"/>
                <w:szCs w:val="17"/>
                <w:lang w:eastAsia="cs-CZ"/>
              </w:rPr>
            </w:pPr>
            <w:r w:rsidRPr="00701E0C">
              <w:rPr>
                <w:sz w:val="17"/>
                <w:szCs w:val="17"/>
                <w:lang w:eastAsia="cs-CZ"/>
              </w:rPr>
              <w:t>11,5 %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D67D" w14:textId="77777777" w:rsidR="0050784C" w:rsidRPr="00701E0C" w:rsidRDefault="0050784C" w:rsidP="00C52E7E">
            <w:pPr>
              <w:pStyle w:val="tabulka"/>
              <w:keepNext w:val="0"/>
              <w:jc w:val="right"/>
              <w:rPr>
                <w:sz w:val="17"/>
                <w:szCs w:val="17"/>
                <w:lang w:eastAsia="cs-CZ"/>
              </w:rPr>
            </w:pPr>
            <w:r w:rsidRPr="00701E0C">
              <w:rPr>
                <w:sz w:val="17"/>
                <w:szCs w:val="17"/>
                <w:lang w:eastAsia="cs-CZ"/>
              </w:rPr>
              <w:t>14,0 %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751E" w14:textId="77777777" w:rsidR="0050784C" w:rsidRPr="00701E0C" w:rsidRDefault="0050784C" w:rsidP="00C52E7E">
            <w:pPr>
              <w:pStyle w:val="tabulka"/>
              <w:keepNext w:val="0"/>
              <w:jc w:val="right"/>
              <w:rPr>
                <w:sz w:val="17"/>
                <w:szCs w:val="17"/>
                <w:lang w:eastAsia="cs-CZ"/>
              </w:rPr>
            </w:pPr>
            <w:r w:rsidRPr="00701E0C">
              <w:rPr>
                <w:sz w:val="17"/>
                <w:szCs w:val="17"/>
                <w:lang w:eastAsia="cs-CZ"/>
              </w:rPr>
              <w:t>14,9 %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D58B" w14:textId="77777777" w:rsidR="0050784C" w:rsidRPr="00701E0C" w:rsidRDefault="0050784C" w:rsidP="00C52E7E">
            <w:pPr>
              <w:pStyle w:val="tabulka"/>
              <w:keepNext w:val="0"/>
              <w:jc w:val="right"/>
              <w:rPr>
                <w:sz w:val="17"/>
                <w:szCs w:val="17"/>
                <w:lang w:eastAsia="cs-CZ"/>
              </w:rPr>
            </w:pPr>
            <w:r w:rsidRPr="00701E0C">
              <w:rPr>
                <w:sz w:val="17"/>
                <w:szCs w:val="17"/>
                <w:lang w:eastAsia="cs-CZ"/>
              </w:rPr>
              <w:t>14,9 %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0093" w14:textId="77777777" w:rsidR="0050784C" w:rsidRPr="00701E0C" w:rsidRDefault="0050784C" w:rsidP="00C52E7E">
            <w:pPr>
              <w:pStyle w:val="tabulka"/>
              <w:keepNext w:val="0"/>
              <w:jc w:val="right"/>
              <w:rPr>
                <w:sz w:val="17"/>
                <w:szCs w:val="17"/>
                <w:lang w:eastAsia="cs-CZ"/>
              </w:rPr>
            </w:pPr>
            <w:r w:rsidRPr="00701E0C">
              <w:rPr>
                <w:sz w:val="17"/>
                <w:szCs w:val="17"/>
                <w:lang w:eastAsia="cs-CZ"/>
              </w:rPr>
              <w:t>14,9 %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E164" w14:textId="77777777" w:rsidR="0050784C" w:rsidRPr="00701E0C" w:rsidRDefault="0050784C" w:rsidP="00C52E7E">
            <w:pPr>
              <w:pStyle w:val="tabulka"/>
              <w:keepNext w:val="0"/>
              <w:jc w:val="right"/>
              <w:rPr>
                <w:sz w:val="17"/>
                <w:szCs w:val="17"/>
                <w:lang w:eastAsia="cs-CZ"/>
              </w:rPr>
            </w:pPr>
            <w:r w:rsidRPr="00701E0C">
              <w:rPr>
                <w:sz w:val="17"/>
                <w:szCs w:val="17"/>
                <w:lang w:eastAsia="cs-CZ"/>
              </w:rPr>
              <w:t>14,9 %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98F1" w14:textId="77777777" w:rsidR="0050784C" w:rsidRPr="00701E0C" w:rsidRDefault="0050784C" w:rsidP="00C52E7E">
            <w:pPr>
              <w:pStyle w:val="tabulka"/>
              <w:keepNext w:val="0"/>
              <w:jc w:val="right"/>
              <w:rPr>
                <w:sz w:val="17"/>
                <w:szCs w:val="17"/>
                <w:lang w:eastAsia="cs-CZ"/>
              </w:rPr>
            </w:pPr>
            <w:r w:rsidRPr="00701E0C">
              <w:rPr>
                <w:sz w:val="17"/>
                <w:szCs w:val="17"/>
                <w:lang w:eastAsia="cs-CZ"/>
              </w:rPr>
              <w:t>14,9 %</w:t>
            </w:r>
          </w:p>
        </w:tc>
      </w:tr>
      <w:tr w:rsidR="0050784C" w:rsidRPr="005668EB" w14:paraId="4D86C5D7" w14:textId="77777777" w:rsidTr="00091341">
        <w:trPr>
          <w:trHeight w:val="510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B237" w14:textId="77777777" w:rsidR="0050784C" w:rsidRPr="005668EB" w:rsidRDefault="0050784C" w:rsidP="00C52E7E">
            <w:pPr>
              <w:pStyle w:val="tabulka"/>
              <w:keepNext w:val="0"/>
              <w:jc w:val="left"/>
              <w:rPr>
                <w:sz w:val="18"/>
                <w:lang w:eastAsia="cs-CZ"/>
              </w:rPr>
            </w:pPr>
            <w:r>
              <w:rPr>
                <w:sz w:val="18"/>
                <w:lang w:eastAsia="cs-CZ"/>
              </w:rPr>
              <w:t>P</w:t>
            </w:r>
            <w:r w:rsidRPr="005668EB">
              <w:rPr>
                <w:sz w:val="18"/>
                <w:lang w:eastAsia="cs-CZ"/>
              </w:rPr>
              <w:t>ředpokládaný nárůst počtu absolventů vůči stavu v letech 2014─2017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D30D" w14:textId="219452BE" w:rsidR="0050784C" w:rsidRPr="00701E0C" w:rsidRDefault="0067232F" w:rsidP="0067232F">
            <w:pPr>
              <w:pStyle w:val="tabulka"/>
              <w:keepNext w:val="0"/>
              <w:jc w:val="right"/>
              <w:rPr>
                <w:sz w:val="17"/>
                <w:szCs w:val="17"/>
                <w:lang w:eastAsia="cs-CZ"/>
              </w:rPr>
            </w:pPr>
            <w:r>
              <w:rPr>
                <w:sz w:val="17"/>
                <w:szCs w:val="17"/>
                <w:lang w:eastAsia="cs-CZ"/>
              </w:rPr>
              <w:t>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8938" w14:textId="77777777" w:rsidR="0050784C" w:rsidRPr="00701E0C" w:rsidRDefault="0050784C" w:rsidP="00C52E7E">
            <w:pPr>
              <w:pStyle w:val="tabulka"/>
              <w:keepNext w:val="0"/>
              <w:jc w:val="right"/>
              <w:rPr>
                <w:sz w:val="17"/>
                <w:szCs w:val="17"/>
                <w:lang w:eastAsia="cs-CZ"/>
              </w:rPr>
            </w:pPr>
            <w:r w:rsidRPr="00701E0C">
              <w:rPr>
                <w:sz w:val="17"/>
                <w:szCs w:val="17"/>
                <w:lang w:eastAsia="cs-CZ"/>
              </w:rPr>
              <w:t>0 %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E79C" w14:textId="77777777" w:rsidR="0050784C" w:rsidRPr="00701E0C" w:rsidRDefault="0050784C" w:rsidP="00C52E7E">
            <w:pPr>
              <w:pStyle w:val="tabulka"/>
              <w:keepNext w:val="0"/>
              <w:jc w:val="right"/>
              <w:rPr>
                <w:sz w:val="17"/>
                <w:szCs w:val="17"/>
                <w:lang w:eastAsia="cs-CZ"/>
              </w:rPr>
            </w:pPr>
            <w:r w:rsidRPr="00701E0C">
              <w:rPr>
                <w:sz w:val="17"/>
                <w:szCs w:val="17"/>
                <w:lang w:eastAsia="cs-CZ"/>
              </w:rPr>
              <w:t>0 %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2357" w14:textId="77777777" w:rsidR="0050784C" w:rsidRPr="00701E0C" w:rsidRDefault="0050784C" w:rsidP="00C52E7E">
            <w:pPr>
              <w:pStyle w:val="tabulka"/>
              <w:keepNext w:val="0"/>
              <w:jc w:val="right"/>
              <w:rPr>
                <w:sz w:val="17"/>
                <w:szCs w:val="17"/>
                <w:lang w:eastAsia="cs-CZ"/>
              </w:rPr>
            </w:pPr>
            <w:r w:rsidRPr="00701E0C">
              <w:rPr>
                <w:sz w:val="17"/>
                <w:szCs w:val="17"/>
                <w:lang w:eastAsia="cs-CZ"/>
              </w:rPr>
              <w:t>0 %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8803" w14:textId="77777777" w:rsidR="0050784C" w:rsidRPr="00701E0C" w:rsidRDefault="0050784C" w:rsidP="00C52E7E">
            <w:pPr>
              <w:pStyle w:val="tabulka"/>
              <w:keepNext w:val="0"/>
              <w:jc w:val="right"/>
              <w:rPr>
                <w:sz w:val="17"/>
                <w:szCs w:val="17"/>
                <w:lang w:eastAsia="cs-CZ"/>
              </w:rPr>
            </w:pPr>
            <w:r w:rsidRPr="00701E0C">
              <w:rPr>
                <w:sz w:val="17"/>
                <w:szCs w:val="17"/>
                <w:lang w:eastAsia="cs-CZ"/>
              </w:rPr>
              <w:t>0 %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B8E7" w14:textId="77777777" w:rsidR="0050784C" w:rsidRPr="00701E0C" w:rsidRDefault="0050784C" w:rsidP="00C52E7E">
            <w:pPr>
              <w:pStyle w:val="tabulka"/>
              <w:keepNext w:val="0"/>
              <w:jc w:val="right"/>
              <w:rPr>
                <w:sz w:val="17"/>
                <w:szCs w:val="17"/>
                <w:lang w:eastAsia="cs-CZ"/>
              </w:rPr>
            </w:pPr>
            <w:r w:rsidRPr="00701E0C">
              <w:rPr>
                <w:sz w:val="17"/>
                <w:szCs w:val="17"/>
                <w:lang w:eastAsia="cs-CZ"/>
              </w:rPr>
              <w:t>0 %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3946" w14:textId="77777777" w:rsidR="0050784C" w:rsidRPr="00701E0C" w:rsidRDefault="0050784C" w:rsidP="00C52E7E">
            <w:pPr>
              <w:pStyle w:val="tabulka"/>
              <w:keepNext w:val="0"/>
              <w:jc w:val="right"/>
              <w:rPr>
                <w:sz w:val="17"/>
                <w:szCs w:val="17"/>
                <w:lang w:eastAsia="cs-CZ"/>
              </w:rPr>
            </w:pPr>
            <w:r w:rsidRPr="00701E0C">
              <w:rPr>
                <w:sz w:val="17"/>
                <w:szCs w:val="17"/>
                <w:lang w:eastAsia="cs-CZ"/>
              </w:rPr>
              <w:t>11,4 %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3DF2" w14:textId="77777777" w:rsidR="0050784C" w:rsidRPr="00701E0C" w:rsidRDefault="0050784C" w:rsidP="00C52E7E">
            <w:pPr>
              <w:pStyle w:val="tabulka"/>
              <w:keepNext w:val="0"/>
              <w:jc w:val="right"/>
              <w:rPr>
                <w:sz w:val="17"/>
                <w:szCs w:val="17"/>
                <w:lang w:eastAsia="cs-CZ"/>
              </w:rPr>
            </w:pPr>
            <w:r w:rsidRPr="00701E0C">
              <w:rPr>
                <w:sz w:val="17"/>
                <w:szCs w:val="17"/>
                <w:lang w:eastAsia="cs-CZ"/>
              </w:rPr>
              <w:t>11,4 %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4F24" w14:textId="77777777" w:rsidR="0050784C" w:rsidRPr="00701E0C" w:rsidRDefault="0050784C" w:rsidP="00C52E7E">
            <w:pPr>
              <w:pStyle w:val="tabulka"/>
              <w:keepNext w:val="0"/>
              <w:jc w:val="right"/>
              <w:rPr>
                <w:sz w:val="17"/>
                <w:szCs w:val="17"/>
                <w:lang w:eastAsia="cs-CZ"/>
              </w:rPr>
            </w:pPr>
            <w:r w:rsidRPr="00701E0C">
              <w:rPr>
                <w:sz w:val="17"/>
                <w:szCs w:val="17"/>
                <w:lang w:eastAsia="cs-CZ"/>
              </w:rPr>
              <w:t>11,4 %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1D60" w14:textId="77777777" w:rsidR="0050784C" w:rsidRPr="00701E0C" w:rsidRDefault="0050784C" w:rsidP="00C52E7E">
            <w:pPr>
              <w:pStyle w:val="tabulka"/>
              <w:keepNext w:val="0"/>
              <w:jc w:val="right"/>
              <w:rPr>
                <w:sz w:val="17"/>
                <w:szCs w:val="17"/>
                <w:lang w:eastAsia="cs-CZ"/>
              </w:rPr>
            </w:pPr>
            <w:r w:rsidRPr="00701E0C">
              <w:rPr>
                <w:sz w:val="17"/>
                <w:szCs w:val="17"/>
                <w:lang w:eastAsia="cs-CZ"/>
              </w:rPr>
              <w:t>11,4 %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CB1C" w14:textId="77777777" w:rsidR="0050784C" w:rsidRPr="00701E0C" w:rsidRDefault="0050784C" w:rsidP="00C52E7E">
            <w:pPr>
              <w:pStyle w:val="tabulka"/>
              <w:keepNext w:val="0"/>
              <w:jc w:val="right"/>
              <w:rPr>
                <w:sz w:val="17"/>
                <w:szCs w:val="17"/>
                <w:lang w:eastAsia="cs-CZ"/>
              </w:rPr>
            </w:pPr>
            <w:r w:rsidRPr="00701E0C">
              <w:rPr>
                <w:sz w:val="17"/>
                <w:szCs w:val="17"/>
                <w:lang w:eastAsia="cs-CZ"/>
              </w:rPr>
              <w:t>11,4 %</w:t>
            </w:r>
          </w:p>
        </w:tc>
      </w:tr>
    </w:tbl>
    <w:p w14:paraId="4660ACAF" w14:textId="552929A2" w:rsidR="0050784C" w:rsidRDefault="0050784C" w:rsidP="003417FB">
      <w:pPr>
        <w:pStyle w:val="Poznmka"/>
      </w:pPr>
      <w:r w:rsidRPr="00A95CED">
        <w:rPr>
          <w:b/>
        </w:rPr>
        <w:t>Zdroj:</w:t>
      </w:r>
      <w:r>
        <w:tab/>
      </w:r>
      <w:r w:rsidR="0067232F" w:rsidRPr="003417FB">
        <w:t>d</w:t>
      </w:r>
      <w:r w:rsidRPr="003417FB">
        <w:t>louhodobé finanční opatření k navýšení kapacit lékařských fakult</w:t>
      </w:r>
      <w:r w:rsidR="00C21219">
        <w:t xml:space="preserve"> schválené usnesením vlády ČR dne 4. září 2018 č. 563</w:t>
      </w:r>
      <w:r>
        <w:t>.</w:t>
      </w:r>
    </w:p>
    <w:p w14:paraId="46B6982B" w14:textId="77777777" w:rsidR="00A95CED" w:rsidRDefault="00A95CED" w:rsidP="00C52E7E">
      <w:pPr>
        <w:widowControl/>
      </w:pPr>
    </w:p>
    <w:p w14:paraId="717020E7" w14:textId="4BF98B4F" w:rsidR="00701E0C" w:rsidRDefault="0050784C" w:rsidP="00C52E7E">
      <w:pPr>
        <w:widowControl/>
      </w:pPr>
      <w:r>
        <w:t xml:space="preserve">Dle </w:t>
      </w:r>
      <w:r w:rsidR="0067232F">
        <w:t xml:space="preserve">dlouhodobého finančního </w:t>
      </w:r>
      <w:r>
        <w:t>opatření by se měl zv</w:t>
      </w:r>
      <w:r w:rsidR="0067232F">
        <w:t>yšovat</w:t>
      </w:r>
      <w:r>
        <w:t xml:space="preserve"> celkový počet studentů postupně až k sedmému roku opatření, kdy by se </w:t>
      </w:r>
      <w:r w:rsidR="0067232F">
        <w:t xml:space="preserve">měl </w:t>
      </w:r>
      <w:r>
        <w:t xml:space="preserve">celkový počet studentů ustálit. </w:t>
      </w:r>
      <w:r w:rsidR="003417FB">
        <w:t>Opatření p</w:t>
      </w:r>
      <w:r>
        <w:t xml:space="preserve">očítá také s navyšováním úvazkové kapacity vyučujících, a to tempem odpovídajícím růstu počtu studentů, čímž </w:t>
      </w:r>
      <w:r w:rsidR="00C10C53">
        <w:t>by měla</w:t>
      </w:r>
      <w:r w:rsidR="00B83572">
        <w:t xml:space="preserve"> být</w:t>
      </w:r>
      <w:r w:rsidR="00C10C53">
        <w:t xml:space="preserve"> </w:t>
      </w:r>
      <w:r>
        <w:t>zachová</w:t>
      </w:r>
      <w:r w:rsidR="00C10C53">
        <w:t>na</w:t>
      </w:r>
      <w:r>
        <w:t xml:space="preserve"> stávající kvalita výuky. </w:t>
      </w:r>
      <w:r w:rsidR="00701E0C">
        <w:t xml:space="preserve">Na toto opatření bude do roku 2029 poskytnuto ze státního rozpočtu celkem 6,8 mld. Kč. V letech 2019 až 2021 každoročně </w:t>
      </w:r>
      <w:r w:rsidR="00C10C53">
        <w:t>500 mil. Kč, 600 mil. Kč každý rok období 2022 až 2024 a dále 700 mil. Kč ročně až do roku 2029.</w:t>
      </w:r>
      <w:r w:rsidR="00701E0C">
        <w:t xml:space="preserve"> </w:t>
      </w:r>
    </w:p>
    <w:p w14:paraId="5265267D" w14:textId="77777777" w:rsidR="000C34F8" w:rsidRDefault="000C34F8" w:rsidP="00C52E7E">
      <w:pPr>
        <w:widowControl/>
      </w:pPr>
    </w:p>
    <w:p w14:paraId="0327E461" w14:textId="595F9680" w:rsidR="00A95CED" w:rsidRDefault="00A95CED" w:rsidP="00C52E7E">
      <w:pPr>
        <w:widowControl/>
      </w:pPr>
      <w:r>
        <w:t xml:space="preserve">V této souvislosti je však potřeba poznamenat, že nárůst počtu absolventů </w:t>
      </w:r>
      <w:r w:rsidR="00C10C53">
        <w:t>LF</w:t>
      </w:r>
      <w:r>
        <w:t xml:space="preserve"> následně povede k potřebě navýšení kapacit </w:t>
      </w:r>
      <w:r w:rsidR="00C10C53">
        <w:t>ve specializačním vzdělávání, čímž</w:t>
      </w:r>
      <w:r>
        <w:t xml:space="preserve"> dojde</w:t>
      </w:r>
      <w:r w:rsidR="00C10C53">
        <w:t xml:space="preserve"> i</w:t>
      </w:r>
      <w:r>
        <w:t xml:space="preserve"> k tlaku na čerpání dalších finančních prostředků z kapitoly </w:t>
      </w:r>
      <w:proofErr w:type="spellStart"/>
      <w:r>
        <w:t>MZd</w:t>
      </w:r>
      <w:proofErr w:type="spellEnd"/>
      <w:r>
        <w:t xml:space="preserve"> ze strany univerzit a zdravotnických zařízení.</w:t>
      </w:r>
    </w:p>
    <w:p w14:paraId="431D9194" w14:textId="77777777" w:rsidR="000C34F8" w:rsidRDefault="000C34F8" w:rsidP="00C52E7E">
      <w:pPr>
        <w:widowControl/>
      </w:pPr>
    </w:p>
    <w:p w14:paraId="6A5F7F2E" w14:textId="4D4A497C" w:rsidR="00C116E6" w:rsidRDefault="00C116E6" w:rsidP="00C52E7E">
      <w:pPr>
        <w:widowControl/>
      </w:pPr>
      <w:proofErr w:type="spellStart"/>
      <w:r>
        <w:t>MZd</w:t>
      </w:r>
      <w:proofErr w:type="spellEnd"/>
      <w:r>
        <w:t xml:space="preserve"> už nyní každoročně navyšuje objem dotací plynoucích na podporu praktické části specializačního vzdělávání ve zdravotnictví</w:t>
      </w:r>
      <w:r w:rsidR="001F2289">
        <w:t>, a to jak</w:t>
      </w:r>
      <w:r w:rsidR="003417FB">
        <w:t xml:space="preserve"> u</w:t>
      </w:r>
      <w:r w:rsidR="001F2289">
        <w:t xml:space="preserve"> lékařů, tak </w:t>
      </w:r>
      <w:proofErr w:type="spellStart"/>
      <w:r w:rsidR="001F2289">
        <w:t>nelékařů</w:t>
      </w:r>
      <w:proofErr w:type="spellEnd"/>
      <w:r w:rsidR="001F2289">
        <w:t xml:space="preserve">. </w:t>
      </w:r>
      <w:r>
        <w:t xml:space="preserve">Mezi lety 2015 </w:t>
      </w:r>
      <w:r w:rsidR="003417FB">
        <w:br/>
      </w:r>
      <w:r>
        <w:t xml:space="preserve">a 2018 se suma </w:t>
      </w:r>
      <w:r w:rsidR="003417FB">
        <w:t xml:space="preserve">vynakládaných </w:t>
      </w:r>
      <w:r>
        <w:t>prostředků téměř ztrojnásobila. Dopad takto vyna</w:t>
      </w:r>
      <w:r w:rsidR="003417FB">
        <w:t>ložených</w:t>
      </w:r>
      <w:r>
        <w:t xml:space="preserve"> prostředků však zatím není v systému patrný</w:t>
      </w:r>
      <w:r w:rsidR="001F2289">
        <w:t>. V</w:t>
      </w:r>
      <w:r>
        <w:t>elkou výzvou tak nadále zůstává správné zacílení dotací, aby měly skutečný dopad na udržení či navýšení kapacit zdravotnického personálu v oborech a místech, které jsou nejvíce ohroženy nedostatkem kvalifikovaných pracovníků.</w:t>
      </w:r>
    </w:p>
    <w:p w14:paraId="5390C41F" w14:textId="77777777" w:rsidR="000C34F8" w:rsidRDefault="000C34F8" w:rsidP="00C52E7E">
      <w:pPr>
        <w:widowControl/>
      </w:pPr>
    </w:p>
    <w:p w14:paraId="2C24B02E" w14:textId="6220885F" w:rsidR="00615C45" w:rsidRDefault="00615C45" w:rsidP="00C52E7E">
      <w:pPr>
        <w:widowControl/>
        <w:spacing w:after="120"/>
      </w:pPr>
      <w:r>
        <w:t>V oblasti zajištění dostatku pracovníků pro nelékařská zdravotn</w:t>
      </w:r>
      <w:r w:rsidR="003417FB">
        <w:t>ická</w:t>
      </w:r>
      <w:r>
        <w:t xml:space="preserve"> povolání probíhala v</w:t>
      </w:r>
      <w:r w:rsidR="003417FB">
        <w:t> </w:t>
      </w:r>
      <w:r>
        <w:t xml:space="preserve">letech 2015─2018 aktivní spolupráce </w:t>
      </w:r>
      <w:proofErr w:type="spellStart"/>
      <w:r>
        <w:t>MZd</w:t>
      </w:r>
      <w:proofErr w:type="spellEnd"/>
      <w:r>
        <w:t xml:space="preserve"> s</w:t>
      </w:r>
      <w:r w:rsidR="003417FB">
        <w:t> </w:t>
      </w:r>
      <w:r>
        <w:t>MŠMT</w:t>
      </w:r>
      <w:r w:rsidR="003417FB">
        <w:t>, a to</w:t>
      </w:r>
      <w:r>
        <w:t xml:space="preserve"> formou jednání </w:t>
      </w:r>
      <w:r w:rsidR="003417FB">
        <w:t>m</w:t>
      </w:r>
      <w:r>
        <w:t xml:space="preserve">eziresortní komise zdravotnického školství, formou jednání </w:t>
      </w:r>
      <w:r w:rsidR="003417FB">
        <w:t>p</w:t>
      </w:r>
      <w:r>
        <w:t>racovní skupiny pro nelékařská zdravotnická povolání a dále formou</w:t>
      </w:r>
      <w:r w:rsidR="001857FE">
        <w:t xml:space="preserve"> korespondence týkající se zejména</w:t>
      </w:r>
      <w:r>
        <w:t xml:space="preserve"> přijetí nové právní úpravy v oblasti vzdělávání zdravotních sester.</w:t>
      </w:r>
    </w:p>
    <w:p w14:paraId="7DE5980C" w14:textId="77777777" w:rsidR="00795C4C" w:rsidRDefault="00795C4C" w:rsidP="00C52E7E">
      <w:pPr>
        <w:widowControl/>
        <w:autoSpaceDE/>
        <w:autoSpaceDN/>
        <w:adjustRightInd/>
        <w:spacing w:after="160" w:line="259" w:lineRule="auto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25EDB5F1" w14:textId="0261D2EE" w:rsidR="00E5265F" w:rsidRPr="00422558" w:rsidRDefault="00E620F7" w:rsidP="00C52E7E">
      <w:pPr>
        <w:widowControl/>
        <w:rPr>
          <w:rFonts w:asciiTheme="minorHAnsi" w:hAnsiTheme="minorHAnsi" w:cstheme="minorHAnsi"/>
        </w:rPr>
      </w:pPr>
      <w:r w:rsidRPr="00422558">
        <w:rPr>
          <w:rFonts w:asciiTheme="minorHAnsi" w:hAnsiTheme="minorHAnsi" w:cstheme="minorHAnsi"/>
          <w:b/>
        </w:rPr>
        <w:t>Seznam zkratek</w:t>
      </w:r>
    </w:p>
    <w:p w14:paraId="2B69A79C" w14:textId="77777777" w:rsidR="00E5265F" w:rsidRDefault="00E5265F" w:rsidP="00C52E7E">
      <w:pPr>
        <w:widowControl/>
        <w:rPr>
          <w:rFonts w:asciiTheme="minorHAnsi" w:hAnsiTheme="minorHAnsi" w:cstheme="minorHAnsi"/>
        </w:rPr>
      </w:pPr>
    </w:p>
    <w:p w14:paraId="6B948DBD" w14:textId="47137B8E" w:rsidR="000740B5" w:rsidRDefault="000740B5" w:rsidP="00D55E20">
      <w:pPr>
        <w:widowControl/>
        <w:spacing w:after="120"/>
        <w:ind w:left="1701" w:hanging="170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ČR</w:t>
      </w:r>
      <w:r>
        <w:rPr>
          <w:rFonts w:asciiTheme="minorHAnsi" w:hAnsiTheme="minorHAnsi" w:cstheme="minorHAnsi"/>
        </w:rPr>
        <w:tab/>
        <w:t>Česká republika</w:t>
      </w:r>
    </w:p>
    <w:p w14:paraId="0F4FC2F9" w14:textId="2D1D1539" w:rsidR="00BC4760" w:rsidRDefault="00BC4760" w:rsidP="00D55E20">
      <w:pPr>
        <w:widowControl/>
        <w:spacing w:after="120"/>
        <w:ind w:left="1701" w:hanging="170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IPVZ</w:t>
      </w:r>
      <w:r>
        <w:rPr>
          <w:rFonts w:asciiTheme="minorHAnsi" w:hAnsiTheme="minorHAnsi" w:cstheme="minorHAnsi"/>
        </w:rPr>
        <w:tab/>
        <w:t>Institut postgraduálního vzdělávání ve zdravotnictví</w:t>
      </w:r>
    </w:p>
    <w:p w14:paraId="01F77FE3" w14:textId="5731543E" w:rsidR="00BC4760" w:rsidRDefault="00607D38" w:rsidP="00D55E20">
      <w:pPr>
        <w:widowControl/>
        <w:spacing w:after="120"/>
        <w:ind w:left="1701" w:hanging="170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LF</w:t>
      </w:r>
      <w:r>
        <w:rPr>
          <w:rFonts w:asciiTheme="minorHAnsi" w:hAnsiTheme="minorHAnsi" w:cstheme="minorHAnsi"/>
        </w:rPr>
        <w:tab/>
      </w:r>
      <w:r w:rsidR="00EA4E59">
        <w:rPr>
          <w:rFonts w:asciiTheme="minorHAnsi" w:hAnsiTheme="minorHAnsi" w:cstheme="minorHAnsi"/>
        </w:rPr>
        <w:t>l</w:t>
      </w:r>
      <w:r w:rsidR="00BC4760">
        <w:rPr>
          <w:rFonts w:asciiTheme="minorHAnsi" w:hAnsiTheme="minorHAnsi" w:cstheme="minorHAnsi"/>
        </w:rPr>
        <w:t>ékařsk</w:t>
      </w:r>
      <w:r w:rsidR="00B83572">
        <w:rPr>
          <w:rFonts w:asciiTheme="minorHAnsi" w:hAnsiTheme="minorHAnsi" w:cstheme="minorHAnsi"/>
        </w:rPr>
        <w:t>á</w:t>
      </w:r>
      <w:r w:rsidR="00BC4760">
        <w:rPr>
          <w:rFonts w:asciiTheme="minorHAnsi" w:hAnsiTheme="minorHAnsi" w:cstheme="minorHAnsi"/>
        </w:rPr>
        <w:t xml:space="preserve"> fakult</w:t>
      </w:r>
      <w:r w:rsidR="00B83572">
        <w:rPr>
          <w:rFonts w:asciiTheme="minorHAnsi" w:hAnsiTheme="minorHAnsi" w:cstheme="minorHAnsi"/>
        </w:rPr>
        <w:t>a</w:t>
      </w:r>
    </w:p>
    <w:p w14:paraId="6563B3D2" w14:textId="2729CFBF" w:rsidR="006064A6" w:rsidRDefault="006064A6" w:rsidP="00D55E20">
      <w:pPr>
        <w:widowControl/>
        <w:spacing w:after="120"/>
        <w:ind w:left="1701" w:hanging="170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MŠMT</w:t>
      </w:r>
      <w:r>
        <w:rPr>
          <w:rFonts w:asciiTheme="minorHAnsi" w:hAnsiTheme="minorHAnsi" w:cstheme="minorHAnsi"/>
        </w:rPr>
        <w:tab/>
        <w:t>Ministerstvo školství, mládeže a tělovýchovy</w:t>
      </w:r>
    </w:p>
    <w:p w14:paraId="0EF1C823" w14:textId="1461C6B1" w:rsidR="00E5265F" w:rsidRDefault="00E620F7" w:rsidP="00D55E20">
      <w:pPr>
        <w:widowControl/>
        <w:spacing w:after="120"/>
        <w:ind w:left="1701" w:hanging="1701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MZd</w:t>
      </w:r>
      <w:proofErr w:type="spellEnd"/>
      <w:r>
        <w:rPr>
          <w:rFonts w:asciiTheme="minorHAnsi" w:hAnsiTheme="minorHAnsi" w:cstheme="minorHAnsi"/>
        </w:rPr>
        <w:tab/>
        <w:t>Ministerstvo zdravotnictví</w:t>
      </w:r>
    </w:p>
    <w:p w14:paraId="6C97A1AF" w14:textId="7FE1EF27" w:rsidR="00BC4760" w:rsidRDefault="00BC4760" w:rsidP="00D55E20">
      <w:pPr>
        <w:widowControl/>
        <w:spacing w:after="120"/>
        <w:ind w:left="1701" w:hanging="170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NCONZO</w:t>
      </w:r>
      <w:r>
        <w:rPr>
          <w:rFonts w:asciiTheme="minorHAnsi" w:hAnsiTheme="minorHAnsi" w:cstheme="minorHAnsi"/>
        </w:rPr>
        <w:tab/>
        <w:t>Národní centrum ošetřovatelství a nelékařských zdravotnických oborů</w:t>
      </w:r>
    </w:p>
    <w:p w14:paraId="1022A58C" w14:textId="6F3D91BA" w:rsidR="00E5265F" w:rsidRDefault="00E620F7" w:rsidP="00D55E20">
      <w:pPr>
        <w:widowControl/>
        <w:spacing w:after="120"/>
        <w:ind w:left="1701" w:hanging="170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NKÚ</w:t>
      </w:r>
      <w:r>
        <w:rPr>
          <w:rFonts w:asciiTheme="minorHAnsi" w:hAnsiTheme="minorHAnsi" w:cstheme="minorHAnsi"/>
        </w:rPr>
        <w:tab/>
        <w:t>Nejvyšší kontrolní úřad</w:t>
      </w:r>
    </w:p>
    <w:p w14:paraId="280C8EF3" w14:textId="7A33F547" w:rsidR="00EA4E59" w:rsidRDefault="00EA4E59" w:rsidP="00D55E20">
      <w:pPr>
        <w:widowControl/>
        <w:spacing w:after="120"/>
        <w:ind w:left="1701" w:hanging="170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SV</w:t>
      </w:r>
      <w:r>
        <w:rPr>
          <w:rFonts w:asciiTheme="minorHAnsi" w:hAnsiTheme="minorHAnsi" w:cstheme="minorHAnsi"/>
        </w:rPr>
        <w:tab/>
        <w:t>specializační vzdělávání</w:t>
      </w:r>
    </w:p>
    <w:p w14:paraId="592AD6BC" w14:textId="7FBC4443" w:rsidR="003439A7" w:rsidRDefault="00EA4E59" w:rsidP="00D55E20">
      <w:pPr>
        <w:widowControl/>
        <w:spacing w:after="120"/>
        <w:ind w:left="1701" w:hanging="170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</w:t>
      </w:r>
      <w:r w:rsidR="003439A7">
        <w:rPr>
          <w:rFonts w:asciiTheme="minorHAnsi" w:hAnsiTheme="minorHAnsi" w:cstheme="minorHAnsi"/>
        </w:rPr>
        <w:t>kolicí místa</w:t>
      </w:r>
      <w:r w:rsidR="003439A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r</w:t>
      </w:r>
      <w:r w:rsidR="003439A7">
        <w:rPr>
          <w:rFonts w:asciiTheme="minorHAnsi" w:hAnsiTheme="minorHAnsi" w:cstheme="minorHAnsi"/>
        </w:rPr>
        <w:t>ezidenční místa podle zákonů č. 95/2004 Sb. a č. 96/2004 Sb., školicí místa podpořená v rámci mimořádných dotačních programů pro lékařské obory</w:t>
      </w:r>
    </w:p>
    <w:p w14:paraId="5A15CE93" w14:textId="246F7FAB" w:rsidR="00331C42" w:rsidRDefault="00331C42" w:rsidP="00D55E20">
      <w:pPr>
        <w:widowControl/>
        <w:spacing w:after="120"/>
        <w:ind w:left="1701" w:hanging="170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ÚZIS</w:t>
      </w:r>
      <w:r>
        <w:rPr>
          <w:rFonts w:asciiTheme="minorHAnsi" w:hAnsiTheme="minorHAnsi" w:cstheme="minorHAnsi"/>
        </w:rPr>
        <w:tab/>
        <w:t>Ústav zdravotnických informací a statistiky ČR</w:t>
      </w:r>
    </w:p>
    <w:p w14:paraId="1C359FCA" w14:textId="77777777" w:rsidR="006D595D" w:rsidRDefault="006D595D" w:rsidP="00C52E7E">
      <w:pPr>
        <w:widowControl/>
      </w:pPr>
    </w:p>
    <w:p w14:paraId="503FB723" w14:textId="77777777" w:rsidR="006D595D" w:rsidRPr="00505037" w:rsidRDefault="006D595D" w:rsidP="00C52E7E">
      <w:pPr>
        <w:widowControl/>
        <w:sectPr w:rsidR="006D595D" w:rsidRPr="00505037" w:rsidSect="000B6982">
          <w:type w:val="continuous"/>
          <w:pgSz w:w="11909" w:h="16838" w:code="9"/>
          <w:pgMar w:top="1417" w:right="1417" w:bottom="1417" w:left="1417" w:header="709" w:footer="709" w:gutter="0"/>
          <w:cols w:space="60"/>
          <w:noEndnote/>
          <w:docGrid w:linePitch="326"/>
        </w:sectPr>
      </w:pPr>
    </w:p>
    <w:p w14:paraId="3761A0BE" w14:textId="77777777" w:rsidR="00E5265F" w:rsidRPr="00D55E20" w:rsidRDefault="00E620F7" w:rsidP="00C52E7E">
      <w:pPr>
        <w:pStyle w:val="Nadpis1"/>
        <w:widowControl/>
        <w:numPr>
          <w:ilvl w:val="0"/>
          <w:numId w:val="0"/>
        </w:numPr>
        <w:ind w:left="360"/>
        <w:jc w:val="right"/>
        <w:rPr>
          <w:sz w:val="24"/>
          <w:szCs w:val="24"/>
        </w:rPr>
      </w:pPr>
      <w:r w:rsidRPr="00D55E20">
        <w:rPr>
          <w:sz w:val="24"/>
          <w:szCs w:val="24"/>
        </w:rPr>
        <w:t>Příloha č. 1</w:t>
      </w:r>
    </w:p>
    <w:p w14:paraId="5F639B2D" w14:textId="4FCC243C" w:rsidR="009272A1" w:rsidRDefault="009272A1" w:rsidP="00C52E7E">
      <w:pPr>
        <w:pStyle w:val="Nzevtabulky"/>
        <w:keepNext w:val="0"/>
        <w:numPr>
          <w:ilvl w:val="0"/>
          <w:numId w:val="11"/>
        </w:numPr>
        <w:spacing w:before="240"/>
        <w:ind w:left="1361" w:hanging="1361"/>
        <w:rPr>
          <w:lang w:eastAsia="cs-CZ"/>
        </w:rPr>
      </w:pPr>
      <w:r>
        <w:rPr>
          <w:lang w:eastAsia="cs-CZ"/>
        </w:rPr>
        <w:t xml:space="preserve">Dotace na </w:t>
      </w:r>
      <w:r w:rsidR="00237F35">
        <w:rPr>
          <w:lang w:eastAsia="cs-CZ"/>
        </w:rPr>
        <w:t>školicí</w:t>
      </w:r>
      <w:r>
        <w:rPr>
          <w:lang w:eastAsia="cs-CZ"/>
        </w:rPr>
        <w:t xml:space="preserve"> místa v lékařských oborech – program č. 1 (základní kmen)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44"/>
        <w:gridCol w:w="4401"/>
        <w:gridCol w:w="3020"/>
      </w:tblGrid>
      <w:tr w:rsidR="009272A1" w:rsidRPr="00953032" w14:paraId="7E0F53D4" w14:textId="77777777" w:rsidTr="0079459D">
        <w:trPr>
          <w:trHeight w:val="20"/>
        </w:trPr>
        <w:tc>
          <w:tcPr>
            <w:tcW w:w="1668" w:type="dxa"/>
            <w:shd w:val="clear" w:color="auto" w:fill="E5F1FF"/>
            <w:vAlign w:val="center"/>
          </w:tcPr>
          <w:p w14:paraId="0B44F49A" w14:textId="77777777" w:rsidR="009272A1" w:rsidRPr="00953032" w:rsidRDefault="009272A1" w:rsidP="00C52E7E">
            <w:pPr>
              <w:pStyle w:val="tabulka"/>
              <w:keepNext w:val="0"/>
              <w:jc w:val="center"/>
              <w:rPr>
                <w:b/>
                <w:sz w:val="20"/>
                <w:lang w:eastAsia="cs-CZ"/>
              </w:rPr>
            </w:pPr>
            <w:r w:rsidRPr="00953032">
              <w:rPr>
                <w:b/>
                <w:sz w:val="20"/>
                <w:lang w:eastAsia="cs-CZ"/>
              </w:rPr>
              <w:t>Rok</w:t>
            </w:r>
          </w:p>
        </w:tc>
        <w:tc>
          <w:tcPr>
            <w:tcW w:w="4472" w:type="dxa"/>
            <w:shd w:val="clear" w:color="auto" w:fill="E5F1FF"/>
            <w:vAlign w:val="center"/>
          </w:tcPr>
          <w:p w14:paraId="6F6876F5" w14:textId="77777777" w:rsidR="009272A1" w:rsidRPr="00953032" w:rsidRDefault="009272A1" w:rsidP="00C52E7E">
            <w:pPr>
              <w:pStyle w:val="tabulka"/>
              <w:keepNext w:val="0"/>
              <w:jc w:val="center"/>
              <w:rPr>
                <w:b/>
                <w:sz w:val="20"/>
                <w:lang w:eastAsia="cs-CZ"/>
              </w:rPr>
            </w:pPr>
            <w:r w:rsidRPr="00953032">
              <w:rPr>
                <w:b/>
                <w:sz w:val="20"/>
                <w:lang w:eastAsia="cs-CZ"/>
              </w:rPr>
              <w:t>Minimální délka specializačního vzdělávání v základním kmeni (měsíce)</w:t>
            </w:r>
          </w:p>
        </w:tc>
        <w:tc>
          <w:tcPr>
            <w:tcW w:w="3070" w:type="dxa"/>
            <w:shd w:val="clear" w:color="auto" w:fill="E5F1FF"/>
            <w:vAlign w:val="center"/>
          </w:tcPr>
          <w:p w14:paraId="15A88BFE" w14:textId="07A5666A" w:rsidR="009272A1" w:rsidRPr="00953032" w:rsidRDefault="009272A1" w:rsidP="003E1093">
            <w:pPr>
              <w:pStyle w:val="tabulka"/>
              <w:keepNext w:val="0"/>
              <w:jc w:val="center"/>
              <w:rPr>
                <w:b/>
                <w:sz w:val="20"/>
                <w:lang w:eastAsia="cs-CZ"/>
              </w:rPr>
            </w:pPr>
            <w:r w:rsidRPr="00953032">
              <w:rPr>
                <w:b/>
                <w:sz w:val="20"/>
                <w:lang w:eastAsia="cs-CZ"/>
              </w:rPr>
              <w:t xml:space="preserve">Výše dotace na </w:t>
            </w:r>
            <w:r w:rsidR="00237F35">
              <w:rPr>
                <w:b/>
                <w:sz w:val="20"/>
                <w:lang w:eastAsia="cs-CZ"/>
              </w:rPr>
              <w:t>školence</w:t>
            </w:r>
            <w:r w:rsidRPr="00953032">
              <w:rPr>
                <w:b/>
                <w:sz w:val="20"/>
                <w:lang w:eastAsia="cs-CZ"/>
              </w:rPr>
              <w:t xml:space="preserve"> </w:t>
            </w:r>
            <w:r w:rsidR="003E1093">
              <w:rPr>
                <w:b/>
                <w:sz w:val="20"/>
                <w:lang w:eastAsia="cs-CZ"/>
              </w:rPr>
              <w:t xml:space="preserve">za </w:t>
            </w:r>
            <w:r w:rsidR="003E1093" w:rsidRPr="00953032">
              <w:rPr>
                <w:b/>
                <w:sz w:val="20"/>
                <w:lang w:eastAsia="cs-CZ"/>
              </w:rPr>
              <w:t xml:space="preserve">měsíc </w:t>
            </w:r>
            <w:r w:rsidRPr="00953032">
              <w:rPr>
                <w:b/>
                <w:sz w:val="20"/>
                <w:lang w:eastAsia="cs-CZ"/>
              </w:rPr>
              <w:t>(Kč)</w:t>
            </w:r>
          </w:p>
        </w:tc>
      </w:tr>
      <w:tr w:rsidR="009272A1" w:rsidRPr="00953032" w14:paraId="2A71B15D" w14:textId="77777777" w:rsidTr="0079459D">
        <w:trPr>
          <w:trHeight w:val="20"/>
        </w:trPr>
        <w:tc>
          <w:tcPr>
            <w:tcW w:w="1668" w:type="dxa"/>
            <w:vAlign w:val="center"/>
          </w:tcPr>
          <w:p w14:paraId="2D0FF3F0" w14:textId="77777777" w:rsidR="009272A1" w:rsidRPr="00953032" w:rsidRDefault="009272A1" w:rsidP="00C52E7E">
            <w:pPr>
              <w:pStyle w:val="tabulka"/>
              <w:keepNext w:val="0"/>
              <w:jc w:val="center"/>
              <w:rPr>
                <w:sz w:val="20"/>
                <w:lang w:eastAsia="cs-CZ"/>
              </w:rPr>
            </w:pPr>
            <w:r w:rsidRPr="00953032">
              <w:rPr>
                <w:sz w:val="20"/>
                <w:lang w:eastAsia="cs-CZ"/>
              </w:rPr>
              <w:t>2015</w:t>
            </w:r>
          </w:p>
        </w:tc>
        <w:tc>
          <w:tcPr>
            <w:tcW w:w="4472" w:type="dxa"/>
            <w:vAlign w:val="center"/>
          </w:tcPr>
          <w:p w14:paraId="580E04D8" w14:textId="77777777" w:rsidR="009272A1" w:rsidRPr="00953032" w:rsidRDefault="009272A1" w:rsidP="00C52E7E">
            <w:pPr>
              <w:pStyle w:val="tabulka"/>
              <w:keepNext w:val="0"/>
              <w:jc w:val="center"/>
              <w:rPr>
                <w:sz w:val="20"/>
                <w:lang w:eastAsia="cs-CZ"/>
              </w:rPr>
            </w:pPr>
            <w:r w:rsidRPr="00953032">
              <w:rPr>
                <w:sz w:val="20"/>
                <w:lang w:eastAsia="cs-CZ"/>
              </w:rPr>
              <w:t>24</w:t>
            </w:r>
          </w:p>
        </w:tc>
        <w:tc>
          <w:tcPr>
            <w:tcW w:w="3070" w:type="dxa"/>
            <w:vAlign w:val="center"/>
          </w:tcPr>
          <w:p w14:paraId="2CDCB753" w14:textId="77777777" w:rsidR="009272A1" w:rsidRPr="00953032" w:rsidRDefault="009272A1" w:rsidP="00C52E7E">
            <w:pPr>
              <w:pStyle w:val="tabulka"/>
              <w:keepNext w:val="0"/>
              <w:jc w:val="right"/>
              <w:rPr>
                <w:sz w:val="20"/>
                <w:lang w:eastAsia="cs-CZ"/>
              </w:rPr>
            </w:pPr>
            <w:r w:rsidRPr="00953032">
              <w:rPr>
                <w:sz w:val="20"/>
                <w:lang w:eastAsia="cs-CZ"/>
              </w:rPr>
              <w:t>10 000</w:t>
            </w:r>
          </w:p>
        </w:tc>
      </w:tr>
      <w:tr w:rsidR="009272A1" w:rsidRPr="00953032" w14:paraId="339BE964" w14:textId="77777777" w:rsidTr="0079459D">
        <w:trPr>
          <w:trHeight w:val="20"/>
        </w:trPr>
        <w:tc>
          <w:tcPr>
            <w:tcW w:w="1668" w:type="dxa"/>
            <w:vAlign w:val="center"/>
          </w:tcPr>
          <w:p w14:paraId="66ADF7D4" w14:textId="77777777" w:rsidR="009272A1" w:rsidRPr="00953032" w:rsidRDefault="009272A1" w:rsidP="00C52E7E">
            <w:pPr>
              <w:pStyle w:val="tabulka"/>
              <w:keepNext w:val="0"/>
              <w:jc w:val="center"/>
              <w:rPr>
                <w:sz w:val="20"/>
                <w:lang w:eastAsia="cs-CZ"/>
              </w:rPr>
            </w:pPr>
            <w:r w:rsidRPr="00953032">
              <w:rPr>
                <w:sz w:val="20"/>
                <w:lang w:eastAsia="cs-CZ"/>
              </w:rPr>
              <w:t>2016</w:t>
            </w:r>
          </w:p>
        </w:tc>
        <w:tc>
          <w:tcPr>
            <w:tcW w:w="4472" w:type="dxa"/>
            <w:vAlign w:val="center"/>
          </w:tcPr>
          <w:p w14:paraId="3B095EF3" w14:textId="77777777" w:rsidR="009272A1" w:rsidRPr="00953032" w:rsidRDefault="009272A1" w:rsidP="00C52E7E">
            <w:pPr>
              <w:pStyle w:val="tabulka"/>
              <w:keepNext w:val="0"/>
              <w:jc w:val="center"/>
              <w:rPr>
                <w:sz w:val="20"/>
                <w:lang w:eastAsia="cs-CZ"/>
              </w:rPr>
            </w:pPr>
            <w:r w:rsidRPr="00953032">
              <w:rPr>
                <w:sz w:val="20"/>
                <w:lang w:eastAsia="cs-CZ"/>
              </w:rPr>
              <w:t>24</w:t>
            </w:r>
          </w:p>
        </w:tc>
        <w:tc>
          <w:tcPr>
            <w:tcW w:w="3070" w:type="dxa"/>
            <w:vAlign w:val="center"/>
          </w:tcPr>
          <w:p w14:paraId="718C6F6F" w14:textId="77777777" w:rsidR="009272A1" w:rsidRPr="00953032" w:rsidRDefault="009272A1" w:rsidP="00C52E7E">
            <w:pPr>
              <w:pStyle w:val="tabulka"/>
              <w:keepNext w:val="0"/>
              <w:jc w:val="right"/>
              <w:rPr>
                <w:sz w:val="20"/>
                <w:lang w:eastAsia="cs-CZ"/>
              </w:rPr>
            </w:pPr>
            <w:r w:rsidRPr="00953032">
              <w:rPr>
                <w:sz w:val="20"/>
                <w:lang w:eastAsia="cs-CZ"/>
              </w:rPr>
              <w:t>13 000</w:t>
            </w:r>
          </w:p>
        </w:tc>
      </w:tr>
      <w:tr w:rsidR="009272A1" w:rsidRPr="00953032" w14:paraId="70551956" w14:textId="77777777" w:rsidTr="0079459D">
        <w:trPr>
          <w:trHeight w:val="20"/>
        </w:trPr>
        <w:tc>
          <w:tcPr>
            <w:tcW w:w="1668" w:type="dxa"/>
            <w:vAlign w:val="center"/>
          </w:tcPr>
          <w:p w14:paraId="7F5562BD" w14:textId="77777777" w:rsidR="009272A1" w:rsidRPr="00953032" w:rsidRDefault="009272A1" w:rsidP="00C52E7E">
            <w:pPr>
              <w:pStyle w:val="tabulka"/>
              <w:keepNext w:val="0"/>
              <w:jc w:val="center"/>
              <w:rPr>
                <w:sz w:val="20"/>
                <w:lang w:eastAsia="cs-CZ"/>
              </w:rPr>
            </w:pPr>
            <w:r w:rsidRPr="00953032">
              <w:rPr>
                <w:sz w:val="20"/>
                <w:lang w:eastAsia="cs-CZ"/>
              </w:rPr>
              <w:t>2017</w:t>
            </w:r>
          </w:p>
        </w:tc>
        <w:tc>
          <w:tcPr>
            <w:tcW w:w="4472" w:type="dxa"/>
            <w:vAlign w:val="center"/>
          </w:tcPr>
          <w:p w14:paraId="09B9DC75" w14:textId="77777777" w:rsidR="009272A1" w:rsidRPr="00953032" w:rsidRDefault="009272A1" w:rsidP="00C52E7E">
            <w:pPr>
              <w:pStyle w:val="tabulka"/>
              <w:keepNext w:val="0"/>
              <w:jc w:val="center"/>
              <w:rPr>
                <w:sz w:val="20"/>
                <w:lang w:eastAsia="cs-CZ"/>
              </w:rPr>
            </w:pPr>
            <w:r w:rsidRPr="00953032">
              <w:rPr>
                <w:sz w:val="20"/>
                <w:lang w:eastAsia="cs-CZ"/>
              </w:rPr>
              <w:t>24</w:t>
            </w:r>
          </w:p>
        </w:tc>
        <w:tc>
          <w:tcPr>
            <w:tcW w:w="3070" w:type="dxa"/>
            <w:vAlign w:val="center"/>
          </w:tcPr>
          <w:p w14:paraId="3A4B2848" w14:textId="77777777" w:rsidR="009272A1" w:rsidRPr="00953032" w:rsidRDefault="009272A1" w:rsidP="00C52E7E">
            <w:pPr>
              <w:pStyle w:val="tabulka"/>
              <w:keepNext w:val="0"/>
              <w:jc w:val="right"/>
              <w:rPr>
                <w:sz w:val="20"/>
                <w:lang w:eastAsia="cs-CZ"/>
              </w:rPr>
            </w:pPr>
            <w:r w:rsidRPr="00953032">
              <w:rPr>
                <w:sz w:val="20"/>
                <w:lang w:eastAsia="cs-CZ"/>
              </w:rPr>
              <w:t>25 000</w:t>
            </w:r>
          </w:p>
        </w:tc>
      </w:tr>
      <w:tr w:rsidR="009272A1" w:rsidRPr="00953032" w14:paraId="7DC5C1E4" w14:textId="77777777" w:rsidTr="0079459D">
        <w:trPr>
          <w:trHeight w:val="20"/>
        </w:trPr>
        <w:tc>
          <w:tcPr>
            <w:tcW w:w="1668" w:type="dxa"/>
            <w:vAlign w:val="center"/>
          </w:tcPr>
          <w:p w14:paraId="0BB9E784" w14:textId="77777777" w:rsidR="009272A1" w:rsidRPr="00953032" w:rsidRDefault="009272A1" w:rsidP="00C52E7E">
            <w:pPr>
              <w:pStyle w:val="tabulka"/>
              <w:keepNext w:val="0"/>
              <w:jc w:val="center"/>
              <w:rPr>
                <w:sz w:val="20"/>
                <w:lang w:eastAsia="cs-CZ"/>
              </w:rPr>
            </w:pPr>
            <w:r w:rsidRPr="00953032">
              <w:rPr>
                <w:sz w:val="20"/>
                <w:lang w:eastAsia="cs-CZ"/>
              </w:rPr>
              <w:t>2018</w:t>
            </w:r>
          </w:p>
        </w:tc>
        <w:tc>
          <w:tcPr>
            <w:tcW w:w="4472" w:type="dxa"/>
            <w:vAlign w:val="center"/>
          </w:tcPr>
          <w:p w14:paraId="75F35C63" w14:textId="77777777" w:rsidR="009272A1" w:rsidRPr="00953032" w:rsidRDefault="009272A1" w:rsidP="00C52E7E">
            <w:pPr>
              <w:pStyle w:val="tabulka"/>
              <w:keepNext w:val="0"/>
              <w:jc w:val="center"/>
              <w:rPr>
                <w:sz w:val="20"/>
                <w:lang w:eastAsia="cs-CZ"/>
              </w:rPr>
            </w:pPr>
            <w:r w:rsidRPr="00953032">
              <w:rPr>
                <w:sz w:val="20"/>
                <w:lang w:eastAsia="cs-CZ"/>
              </w:rPr>
              <w:t>30</w:t>
            </w:r>
          </w:p>
        </w:tc>
        <w:tc>
          <w:tcPr>
            <w:tcW w:w="3070" w:type="dxa"/>
            <w:vAlign w:val="center"/>
          </w:tcPr>
          <w:p w14:paraId="142C2CF7" w14:textId="77777777" w:rsidR="009272A1" w:rsidRPr="00953032" w:rsidRDefault="009272A1" w:rsidP="00C52E7E">
            <w:pPr>
              <w:pStyle w:val="tabulka"/>
              <w:keepNext w:val="0"/>
              <w:jc w:val="right"/>
              <w:rPr>
                <w:sz w:val="20"/>
                <w:lang w:eastAsia="cs-CZ"/>
              </w:rPr>
            </w:pPr>
            <w:r w:rsidRPr="00953032">
              <w:rPr>
                <w:sz w:val="20"/>
                <w:lang w:eastAsia="cs-CZ"/>
              </w:rPr>
              <w:t>10 000</w:t>
            </w:r>
          </w:p>
        </w:tc>
      </w:tr>
    </w:tbl>
    <w:p w14:paraId="26AC3094" w14:textId="29A2B86C" w:rsidR="009272A1" w:rsidRDefault="009272A1" w:rsidP="003417FB">
      <w:pPr>
        <w:pStyle w:val="Poznmka"/>
      </w:pPr>
      <w:r w:rsidRPr="009272A1">
        <w:rPr>
          <w:b/>
        </w:rPr>
        <w:t>Zdroj:</w:t>
      </w:r>
      <w:r>
        <w:tab/>
      </w:r>
      <w:r w:rsidR="003E1093">
        <w:t>m</w:t>
      </w:r>
      <w:r>
        <w:t>etodiky pro žadatele o dotaci ze státního rozpočtu na rezidenční místo k programu č. 1 na roky 2015 až 2018</w:t>
      </w:r>
      <w:r w:rsidR="00237F35">
        <w:t>.</w:t>
      </w:r>
    </w:p>
    <w:p w14:paraId="36D07535" w14:textId="61D4C2CC" w:rsidR="009272A1" w:rsidRDefault="009272A1">
      <w:pPr>
        <w:pStyle w:val="Poznmka"/>
      </w:pPr>
      <w:r w:rsidRPr="009272A1">
        <w:rPr>
          <w:b/>
        </w:rPr>
        <w:t>Pozn.:</w:t>
      </w:r>
      <w:r w:rsidR="0001749F">
        <w:t xml:space="preserve"> </w:t>
      </w:r>
      <w:r>
        <w:t>Výše dotace pro roky 2012 a 2013 se rovnala 5 tis. Kč/měsíc, pro rok 2014 byla 9 tis. Kč/měsíc.</w:t>
      </w:r>
    </w:p>
    <w:p w14:paraId="7DEC9AB1" w14:textId="4F0A993D" w:rsidR="009272A1" w:rsidRDefault="009272A1" w:rsidP="00D55E20">
      <w:pPr>
        <w:pStyle w:val="Nzevtabulky"/>
        <w:keepNext w:val="0"/>
        <w:numPr>
          <w:ilvl w:val="0"/>
          <w:numId w:val="11"/>
        </w:numPr>
        <w:tabs>
          <w:tab w:val="right" w:pos="9072"/>
        </w:tabs>
        <w:spacing w:before="240"/>
        <w:ind w:left="1332" w:hanging="1332"/>
        <w:jc w:val="left"/>
        <w:rPr>
          <w:lang w:eastAsia="cs-CZ"/>
        </w:rPr>
      </w:pPr>
      <w:r>
        <w:rPr>
          <w:lang w:eastAsia="cs-CZ"/>
        </w:rPr>
        <w:t xml:space="preserve">Počet </w:t>
      </w:r>
      <w:r w:rsidR="00237F35">
        <w:rPr>
          <w:lang w:eastAsia="cs-CZ"/>
        </w:rPr>
        <w:t>školicích</w:t>
      </w:r>
      <w:r>
        <w:rPr>
          <w:lang w:eastAsia="cs-CZ"/>
        </w:rPr>
        <w:t xml:space="preserve"> míst vypsaných v letech 2015</w:t>
      </w:r>
      <w:r w:rsidR="00EA4E59">
        <w:rPr>
          <w:lang w:eastAsia="cs-CZ"/>
        </w:rPr>
        <w:t>–</w:t>
      </w:r>
      <w:r>
        <w:rPr>
          <w:lang w:eastAsia="cs-CZ"/>
        </w:rPr>
        <w:t xml:space="preserve">2018 v programech </w:t>
      </w:r>
      <w:r w:rsidR="00607D38">
        <w:rPr>
          <w:lang w:eastAsia="cs-CZ"/>
        </w:rPr>
        <w:t>zaměřených na celé specializační vzdělávání</w:t>
      </w:r>
      <w:r>
        <w:rPr>
          <w:lang w:eastAsia="cs-CZ"/>
        </w:rPr>
        <w:t xml:space="preserve">, dotace na </w:t>
      </w:r>
      <w:r w:rsidR="00237F35">
        <w:rPr>
          <w:lang w:eastAsia="cs-CZ"/>
        </w:rPr>
        <w:t>školence</w:t>
      </w:r>
      <w:r>
        <w:rPr>
          <w:lang w:eastAsia="cs-CZ"/>
        </w:rPr>
        <w:t xml:space="preserve"> za celé období </w:t>
      </w:r>
      <w:r w:rsidR="00266DDE">
        <w:rPr>
          <w:lang w:eastAsia="cs-CZ"/>
        </w:rPr>
        <w:t>specializačního vzdělávání</w:t>
      </w:r>
      <w:r>
        <w:rPr>
          <w:lang w:eastAsia="cs-CZ"/>
        </w:rPr>
        <w:t xml:space="preserve"> </w:t>
      </w:r>
      <w:r w:rsidR="00581FCD">
        <w:rPr>
          <w:lang w:eastAsia="cs-CZ"/>
        </w:rPr>
        <w:tab/>
      </w:r>
      <w:r>
        <w:rPr>
          <w:lang w:eastAsia="cs-CZ"/>
        </w:rPr>
        <w:t xml:space="preserve">(v Kč)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569"/>
        <w:gridCol w:w="993"/>
        <w:gridCol w:w="567"/>
        <w:gridCol w:w="992"/>
        <w:gridCol w:w="567"/>
        <w:gridCol w:w="1039"/>
        <w:gridCol w:w="561"/>
        <w:gridCol w:w="949"/>
      </w:tblGrid>
      <w:tr w:rsidR="009272A1" w:rsidRPr="00E1598B" w14:paraId="54BA61A3" w14:textId="77777777" w:rsidTr="00E1598B">
        <w:trPr>
          <w:trHeight w:val="20"/>
        </w:trPr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8F78098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b/>
                <w:sz w:val="18"/>
                <w:lang w:eastAsia="cs-CZ"/>
              </w:rPr>
            </w:pPr>
            <w:r w:rsidRPr="00E1598B">
              <w:rPr>
                <w:b/>
                <w:sz w:val="18"/>
                <w:lang w:eastAsia="cs-CZ"/>
              </w:rPr>
              <w:t>Obor specializačního vzdělávání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A0D30A4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b/>
                <w:sz w:val="18"/>
                <w:lang w:eastAsia="cs-CZ"/>
              </w:rPr>
            </w:pPr>
            <w:r w:rsidRPr="00E1598B">
              <w:rPr>
                <w:b/>
                <w:sz w:val="18"/>
                <w:lang w:eastAsia="cs-CZ"/>
              </w:rPr>
              <w:t>2015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70FF34B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b/>
                <w:sz w:val="18"/>
                <w:lang w:eastAsia="cs-CZ"/>
              </w:rPr>
            </w:pPr>
            <w:r w:rsidRPr="00E1598B">
              <w:rPr>
                <w:b/>
                <w:sz w:val="18"/>
                <w:lang w:eastAsia="cs-CZ"/>
              </w:rPr>
              <w:t>2016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9F57DC8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b/>
                <w:sz w:val="18"/>
                <w:lang w:eastAsia="cs-CZ"/>
              </w:rPr>
            </w:pPr>
            <w:r w:rsidRPr="00E1598B">
              <w:rPr>
                <w:b/>
                <w:sz w:val="18"/>
                <w:lang w:eastAsia="cs-CZ"/>
              </w:rPr>
              <w:t>2017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9E72D1D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b/>
                <w:sz w:val="18"/>
                <w:lang w:eastAsia="cs-CZ"/>
              </w:rPr>
            </w:pPr>
            <w:r w:rsidRPr="00E1598B">
              <w:rPr>
                <w:b/>
                <w:sz w:val="18"/>
                <w:lang w:eastAsia="cs-CZ"/>
              </w:rPr>
              <w:t>2018</w:t>
            </w:r>
          </w:p>
        </w:tc>
      </w:tr>
      <w:tr w:rsidR="00E1598B" w:rsidRPr="00E1598B" w14:paraId="60C26BF9" w14:textId="77777777" w:rsidTr="00E1598B">
        <w:trPr>
          <w:trHeight w:val="20"/>
        </w:trPr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0D409B96" w14:textId="77777777" w:rsidR="00E1598B" w:rsidRPr="00E1598B" w:rsidRDefault="00E1598B" w:rsidP="00C52E7E">
            <w:pPr>
              <w:pStyle w:val="tabulka"/>
              <w:keepNext w:val="0"/>
              <w:jc w:val="center"/>
              <w:rPr>
                <w:b/>
                <w:sz w:val="18"/>
                <w:lang w:eastAsia="cs-CZ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029D7627" w14:textId="657BF661" w:rsidR="00E1598B" w:rsidRPr="00E1598B" w:rsidRDefault="00E1598B" w:rsidP="00C52E7E">
            <w:pPr>
              <w:pStyle w:val="tabulka"/>
              <w:keepNext w:val="0"/>
              <w:jc w:val="center"/>
              <w:rPr>
                <w:b/>
                <w:sz w:val="18"/>
                <w:lang w:eastAsia="cs-CZ"/>
              </w:rPr>
            </w:pPr>
            <w:r w:rsidRPr="00E1598B">
              <w:rPr>
                <w:b/>
                <w:sz w:val="18"/>
                <w:lang w:eastAsia="cs-CZ"/>
              </w:rPr>
              <w:t>Počet míst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6DCA7388" w14:textId="50D8E972" w:rsidR="00E1598B" w:rsidRPr="00E1598B" w:rsidRDefault="00E1598B" w:rsidP="00C52E7E">
            <w:pPr>
              <w:pStyle w:val="tabulka"/>
              <w:keepNext w:val="0"/>
              <w:jc w:val="center"/>
              <w:rPr>
                <w:b/>
                <w:sz w:val="18"/>
                <w:lang w:eastAsia="cs-CZ"/>
              </w:rPr>
            </w:pPr>
            <w:r w:rsidRPr="00E1598B">
              <w:rPr>
                <w:b/>
                <w:sz w:val="18"/>
                <w:lang w:eastAsia="cs-CZ"/>
              </w:rPr>
              <w:t>Dotace na místo za celé SV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0ABF1F8C" w14:textId="1DFF2E7E" w:rsidR="00E1598B" w:rsidRPr="00E1598B" w:rsidRDefault="00E1598B" w:rsidP="00C52E7E">
            <w:pPr>
              <w:pStyle w:val="tabulka"/>
              <w:keepNext w:val="0"/>
              <w:jc w:val="center"/>
              <w:rPr>
                <w:b/>
                <w:sz w:val="18"/>
                <w:lang w:eastAsia="cs-CZ"/>
              </w:rPr>
            </w:pPr>
            <w:r w:rsidRPr="00E1598B">
              <w:rPr>
                <w:b/>
                <w:sz w:val="18"/>
                <w:lang w:eastAsia="cs-CZ"/>
              </w:rPr>
              <w:t>Počet míst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612A0111" w14:textId="6DD2DBD2" w:rsidR="00E1598B" w:rsidRPr="00E1598B" w:rsidRDefault="00E1598B" w:rsidP="00C52E7E">
            <w:pPr>
              <w:pStyle w:val="tabulka"/>
              <w:keepNext w:val="0"/>
              <w:jc w:val="center"/>
              <w:rPr>
                <w:b/>
                <w:sz w:val="18"/>
                <w:lang w:eastAsia="cs-CZ"/>
              </w:rPr>
            </w:pPr>
            <w:r w:rsidRPr="00E1598B">
              <w:rPr>
                <w:b/>
                <w:sz w:val="18"/>
                <w:lang w:eastAsia="cs-CZ"/>
              </w:rPr>
              <w:t>Dotace na místo za celé SV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2377E6C2" w14:textId="2992E915" w:rsidR="00E1598B" w:rsidRPr="00E1598B" w:rsidRDefault="00E1598B" w:rsidP="00C52E7E">
            <w:pPr>
              <w:pStyle w:val="tabulka"/>
              <w:keepNext w:val="0"/>
              <w:jc w:val="center"/>
              <w:rPr>
                <w:b/>
                <w:sz w:val="18"/>
                <w:lang w:eastAsia="cs-CZ"/>
              </w:rPr>
            </w:pPr>
            <w:r w:rsidRPr="00E1598B">
              <w:rPr>
                <w:b/>
                <w:sz w:val="18"/>
                <w:lang w:eastAsia="cs-CZ"/>
              </w:rPr>
              <w:t>Počet míst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49DC6470" w14:textId="41687E4B" w:rsidR="00E1598B" w:rsidRPr="00E1598B" w:rsidRDefault="00E1598B" w:rsidP="00C52E7E">
            <w:pPr>
              <w:pStyle w:val="tabulka"/>
              <w:keepNext w:val="0"/>
              <w:jc w:val="center"/>
              <w:rPr>
                <w:b/>
                <w:sz w:val="18"/>
                <w:lang w:eastAsia="cs-CZ"/>
              </w:rPr>
            </w:pPr>
            <w:r w:rsidRPr="00E1598B">
              <w:rPr>
                <w:b/>
                <w:sz w:val="18"/>
                <w:lang w:eastAsia="cs-CZ"/>
              </w:rPr>
              <w:t>Dotace na místo za celé SV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2705ECDD" w14:textId="36E020BD" w:rsidR="00E1598B" w:rsidRPr="00E1598B" w:rsidRDefault="00E1598B" w:rsidP="00C52E7E">
            <w:pPr>
              <w:pStyle w:val="tabulka"/>
              <w:keepNext w:val="0"/>
              <w:jc w:val="center"/>
              <w:rPr>
                <w:b/>
                <w:sz w:val="18"/>
                <w:lang w:eastAsia="cs-CZ"/>
              </w:rPr>
            </w:pPr>
            <w:r w:rsidRPr="00E1598B">
              <w:rPr>
                <w:b/>
                <w:sz w:val="18"/>
                <w:lang w:eastAsia="cs-CZ"/>
              </w:rPr>
              <w:t>Počet míst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295C9B66" w14:textId="01DA4BD3" w:rsidR="00E1598B" w:rsidRPr="00E1598B" w:rsidRDefault="00E1598B" w:rsidP="00C52E7E">
            <w:pPr>
              <w:pStyle w:val="tabulka"/>
              <w:keepNext w:val="0"/>
              <w:jc w:val="center"/>
              <w:rPr>
                <w:b/>
                <w:sz w:val="18"/>
                <w:lang w:eastAsia="cs-CZ"/>
              </w:rPr>
            </w:pPr>
            <w:r w:rsidRPr="00E1598B">
              <w:rPr>
                <w:b/>
                <w:sz w:val="18"/>
                <w:lang w:eastAsia="cs-CZ"/>
              </w:rPr>
              <w:t>Dotace na místo za celé SV</w:t>
            </w:r>
          </w:p>
        </w:tc>
      </w:tr>
      <w:tr w:rsidR="00E1598B" w:rsidRPr="00CF1120" w14:paraId="628D10D9" w14:textId="77777777" w:rsidTr="00E1598B">
        <w:trPr>
          <w:trHeight w:val="2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1A15" w14:textId="77777777" w:rsidR="009272A1" w:rsidRPr="00E1598B" w:rsidRDefault="009272A1" w:rsidP="00C52E7E">
            <w:pPr>
              <w:pStyle w:val="tabulka"/>
              <w:keepNext w:val="0"/>
              <w:jc w:val="left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Všeobecné praktické lékařství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5D50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9D0E" w14:textId="77777777" w:rsidR="009272A1" w:rsidRPr="00E1598B" w:rsidRDefault="009272A1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1 188 000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F780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EC66" w14:textId="77777777" w:rsidR="009272A1" w:rsidRPr="00E1598B" w:rsidRDefault="009272A1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1 368 000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EB7B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B336" w14:textId="77777777" w:rsidR="009272A1" w:rsidRPr="00E1598B" w:rsidRDefault="009272A1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1 440 000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FD2E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110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8A08" w14:textId="77777777" w:rsidR="009272A1" w:rsidRPr="00E1598B" w:rsidRDefault="009272A1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1 440 000</w:t>
            </w:r>
          </w:p>
        </w:tc>
      </w:tr>
      <w:tr w:rsidR="00E1598B" w:rsidRPr="00CF1120" w14:paraId="7D4B0ACC" w14:textId="77777777" w:rsidTr="00E1598B">
        <w:trPr>
          <w:trHeight w:val="2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3AA9" w14:textId="77777777" w:rsidR="009272A1" w:rsidRPr="00E1598B" w:rsidRDefault="009272A1" w:rsidP="00C52E7E">
            <w:pPr>
              <w:pStyle w:val="tabulka"/>
              <w:keepNext w:val="0"/>
              <w:jc w:val="left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Praktické lékařství pro děti a dorost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3977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5C6D" w14:textId="77777777" w:rsidR="009272A1" w:rsidRPr="00E1598B" w:rsidRDefault="009272A1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1 584 000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A567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3829" w14:textId="77777777" w:rsidR="009272A1" w:rsidRPr="00E1598B" w:rsidRDefault="009272A1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1 824 000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4B45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6FC1" w14:textId="77777777" w:rsidR="009272A1" w:rsidRPr="00E1598B" w:rsidRDefault="009272A1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1 920 000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2936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DE3F" w14:textId="032E8ECA" w:rsidR="009272A1" w:rsidRPr="00E1598B" w:rsidRDefault="003E1093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>
              <w:rPr>
                <w:rFonts w:asciiTheme="minorHAnsi" w:hAnsiTheme="minorHAnsi" w:cstheme="minorHAnsi"/>
                <w:sz w:val="18"/>
                <w:lang w:eastAsia="cs-CZ"/>
              </w:rPr>
              <w:t>–</w:t>
            </w:r>
          </w:p>
        </w:tc>
      </w:tr>
      <w:tr w:rsidR="00E1598B" w:rsidRPr="00CF1120" w14:paraId="7886EB86" w14:textId="77777777" w:rsidTr="00E1598B">
        <w:trPr>
          <w:trHeight w:val="2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343D" w14:textId="77777777" w:rsidR="009272A1" w:rsidRPr="00E1598B" w:rsidRDefault="009272A1" w:rsidP="00C52E7E">
            <w:pPr>
              <w:pStyle w:val="tabulka"/>
              <w:keepNext w:val="0"/>
              <w:jc w:val="left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Dětské lékařství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D304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0589" w14:textId="05EC0CC8" w:rsidR="009272A1" w:rsidRPr="00E1598B" w:rsidRDefault="003E1093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>
              <w:rPr>
                <w:rFonts w:asciiTheme="minorHAnsi" w:hAnsiTheme="minorHAnsi" w:cstheme="minorHAnsi"/>
                <w:sz w:val="18"/>
                <w:lang w:eastAsia="cs-CZ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44BE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FD20" w14:textId="77777777" w:rsidR="009272A1" w:rsidRPr="00E1598B" w:rsidRDefault="009272A1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1 800 000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6EC4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539B" w14:textId="77777777" w:rsidR="009272A1" w:rsidRPr="00E1598B" w:rsidRDefault="009272A1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2 100 000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4BA2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561B" w14:textId="08E9A798" w:rsidR="009272A1" w:rsidRPr="00E1598B" w:rsidRDefault="003E1093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>
              <w:rPr>
                <w:rFonts w:asciiTheme="minorHAnsi" w:hAnsiTheme="minorHAnsi" w:cstheme="minorHAnsi"/>
                <w:sz w:val="18"/>
                <w:lang w:eastAsia="cs-CZ"/>
              </w:rPr>
              <w:t>–</w:t>
            </w:r>
          </w:p>
        </w:tc>
      </w:tr>
      <w:tr w:rsidR="00E1598B" w:rsidRPr="00CF1120" w14:paraId="14BD6533" w14:textId="77777777" w:rsidTr="00E1598B">
        <w:trPr>
          <w:trHeight w:val="2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69D7" w14:textId="77777777" w:rsidR="009272A1" w:rsidRPr="00E1598B" w:rsidRDefault="009272A1" w:rsidP="00C52E7E">
            <w:pPr>
              <w:pStyle w:val="tabulka"/>
              <w:keepNext w:val="0"/>
              <w:jc w:val="left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Gynekologie a porodnictví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482D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D5EA" w14:textId="77777777" w:rsidR="009272A1" w:rsidRPr="00E1598B" w:rsidRDefault="009272A1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708 000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5DAE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B6BA" w14:textId="77777777" w:rsidR="009272A1" w:rsidRPr="00E1598B" w:rsidRDefault="009272A1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1 800 000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C13A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CF1A" w14:textId="77777777" w:rsidR="009272A1" w:rsidRPr="00E1598B" w:rsidRDefault="009272A1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2 100 000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C3AE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25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BCA2" w14:textId="77777777" w:rsidR="009272A1" w:rsidRPr="00E1598B" w:rsidRDefault="009272A1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1 890 000</w:t>
            </w:r>
          </w:p>
        </w:tc>
      </w:tr>
      <w:tr w:rsidR="00E1598B" w:rsidRPr="00CF1120" w14:paraId="6C8A1DD2" w14:textId="77777777" w:rsidTr="00E1598B">
        <w:trPr>
          <w:trHeight w:val="2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20E8" w14:textId="77777777" w:rsidR="009272A1" w:rsidRPr="00E1598B" w:rsidRDefault="009272A1" w:rsidP="00C52E7E">
            <w:pPr>
              <w:pStyle w:val="tabulka"/>
              <w:keepNext w:val="0"/>
              <w:jc w:val="left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Vnitřní lékařství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33C7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4EC8" w14:textId="745CBD50" w:rsidR="009272A1" w:rsidRPr="00E1598B" w:rsidRDefault="003E1093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>
              <w:rPr>
                <w:rFonts w:asciiTheme="minorHAnsi" w:hAnsiTheme="minorHAnsi" w:cstheme="minorHAnsi"/>
                <w:sz w:val="18"/>
                <w:lang w:eastAsia="cs-CZ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214E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6E3A" w14:textId="77777777" w:rsidR="009272A1" w:rsidRPr="00E1598B" w:rsidRDefault="009272A1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1 800 000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6617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2A9D" w14:textId="77777777" w:rsidR="009272A1" w:rsidRPr="00E1598B" w:rsidRDefault="009272A1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2 100 000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B3F6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9F8F" w14:textId="77777777" w:rsidR="009272A1" w:rsidRPr="00E1598B" w:rsidRDefault="009272A1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2 100 000</w:t>
            </w:r>
          </w:p>
        </w:tc>
      </w:tr>
      <w:tr w:rsidR="00E1598B" w:rsidRPr="00CF1120" w14:paraId="0CED422D" w14:textId="77777777" w:rsidTr="00E1598B">
        <w:trPr>
          <w:trHeight w:val="2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E3AC" w14:textId="77777777" w:rsidR="009272A1" w:rsidRPr="00E1598B" w:rsidRDefault="009272A1" w:rsidP="00C52E7E">
            <w:pPr>
              <w:pStyle w:val="tabulka"/>
              <w:keepNext w:val="0"/>
              <w:jc w:val="left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Anesteziologie a intenzivní medicína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03FD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FE30" w14:textId="74A49552" w:rsidR="009272A1" w:rsidRPr="00E1598B" w:rsidRDefault="003E1093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>
              <w:rPr>
                <w:rFonts w:asciiTheme="minorHAnsi" w:hAnsiTheme="minorHAnsi" w:cstheme="minorHAnsi"/>
                <w:sz w:val="18"/>
                <w:lang w:eastAsia="cs-CZ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6C40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B3E9" w14:textId="77777777" w:rsidR="009272A1" w:rsidRPr="00E1598B" w:rsidRDefault="009272A1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1 800 000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B168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D2B9" w14:textId="77777777" w:rsidR="009272A1" w:rsidRPr="00E1598B" w:rsidRDefault="009272A1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2 100 000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EB6F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CE47" w14:textId="77777777" w:rsidR="009272A1" w:rsidRPr="00E1598B" w:rsidRDefault="009272A1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1 890 000</w:t>
            </w:r>
          </w:p>
        </w:tc>
      </w:tr>
      <w:tr w:rsidR="00E1598B" w:rsidRPr="00CF1120" w14:paraId="38D15BDA" w14:textId="77777777" w:rsidTr="00E1598B">
        <w:trPr>
          <w:trHeight w:val="2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7DA9" w14:textId="77777777" w:rsidR="009272A1" w:rsidRPr="00E1598B" w:rsidRDefault="009272A1" w:rsidP="00C52E7E">
            <w:pPr>
              <w:pStyle w:val="tabulka"/>
              <w:keepNext w:val="0"/>
              <w:jc w:val="left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Psychiatrie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708B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6E86" w14:textId="1175C0C3" w:rsidR="009272A1" w:rsidRPr="00E1598B" w:rsidRDefault="003E1093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>
              <w:rPr>
                <w:rFonts w:asciiTheme="minorHAnsi" w:hAnsiTheme="minorHAnsi" w:cstheme="minorHAnsi"/>
                <w:sz w:val="18"/>
                <w:lang w:eastAsia="cs-CZ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BEFC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74C8" w14:textId="77777777" w:rsidR="009272A1" w:rsidRPr="00E1598B" w:rsidRDefault="009272A1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1 800 000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EF14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A49D" w14:textId="77777777" w:rsidR="009272A1" w:rsidRPr="00E1598B" w:rsidRDefault="009272A1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2 100 000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E66A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4002" w14:textId="77777777" w:rsidR="009272A1" w:rsidRPr="00E1598B" w:rsidRDefault="009272A1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1 890 000</w:t>
            </w:r>
          </w:p>
        </w:tc>
      </w:tr>
      <w:tr w:rsidR="00E1598B" w:rsidRPr="00CF1120" w14:paraId="0491B153" w14:textId="77777777" w:rsidTr="00E1598B">
        <w:trPr>
          <w:trHeight w:val="2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8CD7" w14:textId="77777777" w:rsidR="009272A1" w:rsidRPr="00E1598B" w:rsidRDefault="009272A1" w:rsidP="00C52E7E">
            <w:pPr>
              <w:pStyle w:val="tabulka"/>
              <w:keepNext w:val="0"/>
              <w:jc w:val="left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Rehabilitační a fyzikální medicína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FB5B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B771" w14:textId="65F5BA4A" w:rsidR="009272A1" w:rsidRPr="00E1598B" w:rsidRDefault="003E1093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>
              <w:rPr>
                <w:rFonts w:asciiTheme="minorHAnsi" w:hAnsiTheme="minorHAnsi" w:cstheme="minorHAnsi"/>
                <w:sz w:val="18"/>
                <w:lang w:eastAsia="cs-CZ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144F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059F" w14:textId="38D6BB22" w:rsidR="009272A1" w:rsidRPr="00E1598B" w:rsidRDefault="003E1093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>
              <w:rPr>
                <w:rFonts w:asciiTheme="minorHAnsi" w:hAnsiTheme="minorHAnsi" w:cstheme="minorHAnsi"/>
                <w:sz w:val="18"/>
                <w:lang w:eastAsia="cs-CZ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8651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BE4C" w14:textId="77777777" w:rsidR="009272A1" w:rsidRPr="00E1598B" w:rsidRDefault="009272A1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2 100 000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4099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295D" w14:textId="6D1BE104" w:rsidR="009272A1" w:rsidRPr="00E1598B" w:rsidRDefault="003E1093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>
              <w:rPr>
                <w:rFonts w:asciiTheme="minorHAnsi" w:hAnsiTheme="minorHAnsi" w:cstheme="minorHAnsi"/>
                <w:sz w:val="18"/>
                <w:lang w:eastAsia="cs-CZ"/>
              </w:rPr>
              <w:t>–</w:t>
            </w:r>
          </w:p>
        </w:tc>
      </w:tr>
      <w:tr w:rsidR="00E1598B" w:rsidRPr="00CF1120" w14:paraId="175E4EAF" w14:textId="77777777" w:rsidTr="00E1598B">
        <w:trPr>
          <w:trHeight w:val="2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7D24" w14:textId="77777777" w:rsidR="009272A1" w:rsidRPr="00E1598B" w:rsidRDefault="009272A1" w:rsidP="00C52E7E">
            <w:pPr>
              <w:pStyle w:val="tabulka"/>
              <w:keepNext w:val="0"/>
              <w:jc w:val="left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Dětská a dorostová psychiatrie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AC90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EC07" w14:textId="0A9CB39F" w:rsidR="009272A1" w:rsidRPr="00E1598B" w:rsidRDefault="003E1093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>
              <w:rPr>
                <w:rFonts w:asciiTheme="minorHAnsi" w:hAnsiTheme="minorHAnsi" w:cstheme="minorHAnsi"/>
                <w:sz w:val="18"/>
                <w:lang w:eastAsia="cs-CZ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889C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87C4" w14:textId="77777777" w:rsidR="009272A1" w:rsidRPr="00E1598B" w:rsidRDefault="009272A1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1 800 000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1B6F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31C4" w14:textId="4D91A4F6" w:rsidR="009272A1" w:rsidRPr="00E1598B" w:rsidRDefault="003E1093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>
              <w:rPr>
                <w:rFonts w:asciiTheme="minorHAnsi" w:hAnsiTheme="minorHAnsi" w:cstheme="minorHAnsi"/>
                <w:sz w:val="18"/>
                <w:lang w:eastAsia="cs-CZ"/>
              </w:rPr>
              <w:t>–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E7C6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59EB" w14:textId="637A42E4" w:rsidR="009272A1" w:rsidRPr="00E1598B" w:rsidRDefault="003E1093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>
              <w:rPr>
                <w:rFonts w:asciiTheme="minorHAnsi" w:hAnsiTheme="minorHAnsi" w:cstheme="minorHAnsi"/>
                <w:sz w:val="18"/>
                <w:lang w:eastAsia="cs-CZ"/>
              </w:rPr>
              <w:t>–</w:t>
            </w:r>
          </w:p>
        </w:tc>
      </w:tr>
      <w:tr w:rsidR="00E1598B" w:rsidRPr="00CF1120" w14:paraId="45E07C1A" w14:textId="77777777" w:rsidTr="00E1598B">
        <w:trPr>
          <w:trHeight w:val="2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5FE6" w14:textId="77777777" w:rsidR="009272A1" w:rsidRPr="00E1598B" w:rsidRDefault="009272A1" w:rsidP="00C52E7E">
            <w:pPr>
              <w:pStyle w:val="tabulka"/>
              <w:keepNext w:val="0"/>
              <w:jc w:val="left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Chirurgie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C99A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0AFC" w14:textId="77777777" w:rsidR="009272A1" w:rsidRPr="00E1598B" w:rsidRDefault="009272A1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864 000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5111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EC1E" w14:textId="77777777" w:rsidR="009272A1" w:rsidRPr="00E1598B" w:rsidRDefault="009272A1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2 160 000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06F4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8021" w14:textId="77777777" w:rsidR="009272A1" w:rsidRPr="00E1598B" w:rsidRDefault="009272A1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2 520 000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4262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A5FB" w14:textId="77777777" w:rsidR="009272A1" w:rsidRPr="00E1598B" w:rsidRDefault="009272A1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2 100 000</w:t>
            </w:r>
          </w:p>
        </w:tc>
      </w:tr>
      <w:tr w:rsidR="00E1598B" w:rsidRPr="00CF1120" w14:paraId="70EBD663" w14:textId="77777777" w:rsidTr="00E1598B">
        <w:trPr>
          <w:trHeight w:val="2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DD31" w14:textId="77777777" w:rsidR="009272A1" w:rsidRPr="00E1598B" w:rsidRDefault="009272A1" w:rsidP="00C52E7E">
            <w:pPr>
              <w:pStyle w:val="tabulka"/>
              <w:keepNext w:val="0"/>
              <w:jc w:val="left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Radiologie a zobrazovací metody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8249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EA0E" w14:textId="22DD2360" w:rsidR="009272A1" w:rsidRPr="00E1598B" w:rsidRDefault="003E1093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>
              <w:rPr>
                <w:rFonts w:asciiTheme="minorHAnsi" w:hAnsiTheme="minorHAnsi" w:cstheme="minorHAnsi"/>
                <w:sz w:val="18"/>
                <w:lang w:eastAsia="cs-CZ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1C7C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B58F" w14:textId="77777777" w:rsidR="009272A1" w:rsidRPr="00E1598B" w:rsidRDefault="009272A1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1 800 000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1A2D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E10D" w14:textId="77777777" w:rsidR="009272A1" w:rsidRPr="00E1598B" w:rsidRDefault="009272A1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2 100 000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8C1D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F4F9" w14:textId="77777777" w:rsidR="009272A1" w:rsidRPr="00E1598B" w:rsidRDefault="009272A1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1 890 000</w:t>
            </w:r>
          </w:p>
        </w:tc>
      </w:tr>
      <w:tr w:rsidR="00E1598B" w:rsidRPr="00CF1120" w14:paraId="72725E97" w14:textId="77777777" w:rsidTr="00E1598B">
        <w:trPr>
          <w:trHeight w:val="2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7D64" w14:textId="77777777" w:rsidR="009272A1" w:rsidRPr="00E1598B" w:rsidRDefault="009272A1" w:rsidP="00C52E7E">
            <w:pPr>
              <w:pStyle w:val="tabulka"/>
              <w:keepNext w:val="0"/>
              <w:jc w:val="left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Neurologie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2EB0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C2BF" w14:textId="77777777" w:rsidR="009272A1" w:rsidRPr="00E1598B" w:rsidRDefault="009272A1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708 000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E4B0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39D6" w14:textId="77777777" w:rsidR="009272A1" w:rsidRPr="00E1598B" w:rsidRDefault="009272A1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1 800 000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90FF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60B3" w14:textId="77777777" w:rsidR="009272A1" w:rsidRPr="00E1598B" w:rsidRDefault="009272A1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2 100 000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999B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9C56" w14:textId="77777777" w:rsidR="009272A1" w:rsidRPr="00E1598B" w:rsidRDefault="009272A1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1 890 000</w:t>
            </w:r>
          </w:p>
        </w:tc>
      </w:tr>
      <w:tr w:rsidR="00E1598B" w:rsidRPr="00CF1120" w14:paraId="0F6F520F" w14:textId="77777777" w:rsidTr="00E1598B">
        <w:trPr>
          <w:trHeight w:val="2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AE68" w14:textId="77777777" w:rsidR="009272A1" w:rsidRPr="00E1598B" w:rsidRDefault="009272A1" w:rsidP="00C52E7E">
            <w:pPr>
              <w:pStyle w:val="tabulka"/>
              <w:keepNext w:val="0"/>
              <w:jc w:val="left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Patologie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A6D2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945D" w14:textId="77777777" w:rsidR="009272A1" w:rsidRPr="00E1598B" w:rsidRDefault="009272A1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708 000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97F6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B2F4" w14:textId="25A3C176" w:rsidR="009272A1" w:rsidRPr="00E1598B" w:rsidRDefault="003E1093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>
              <w:rPr>
                <w:rFonts w:asciiTheme="minorHAnsi" w:hAnsiTheme="minorHAnsi" w:cstheme="minorHAnsi"/>
                <w:sz w:val="18"/>
                <w:lang w:eastAsia="cs-CZ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F469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3BB4" w14:textId="1BFE3B5C" w:rsidR="009272A1" w:rsidRPr="00E1598B" w:rsidRDefault="003E1093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>
              <w:rPr>
                <w:rFonts w:asciiTheme="minorHAnsi" w:hAnsiTheme="minorHAnsi" w:cstheme="minorHAnsi"/>
                <w:sz w:val="18"/>
                <w:lang w:eastAsia="cs-CZ"/>
              </w:rPr>
              <w:t>–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673F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A34A" w14:textId="193A61E2" w:rsidR="009272A1" w:rsidRPr="00E1598B" w:rsidRDefault="003E1093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>
              <w:rPr>
                <w:rFonts w:asciiTheme="minorHAnsi" w:hAnsiTheme="minorHAnsi" w:cstheme="minorHAnsi"/>
                <w:sz w:val="18"/>
                <w:lang w:eastAsia="cs-CZ"/>
              </w:rPr>
              <w:t>–</w:t>
            </w:r>
          </w:p>
        </w:tc>
      </w:tr>
      <w:tr w:rsidR="00E1598B" w:rsidRPr="00CF1120" w14:paraId="0D1AA130" w14:textId="77777777" w:rsidTr="00E1598B">
        <w:trPr>
          <w:trHeight w:val="2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CCCF" w14:textId="77777777" w:rsidR="009272A1" w:rsidRPr="00E1598B" w:rsidRDefault="009272A1" w:rsidP="00C52E7E">
            <w:pPr>
              <w:pStyle w:val="tabulka"/>
              <w:keepNext w:val="0"/>
              <w:jc w:val="left"/>
              <w:rPr>
                <w:rFonts w:asciiTheme="minorHAnsi" w:hAnsiTheme="minorHAnsi" w:cstheme="minorHAnsi"/>
                <w:sz w:val="18"/>
                <w:lang w:eastAsia="cs-CZ"/>
              </w:rPr>
            </w:pPr>
            <w:proofErr w:type="spellStart"/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Maxilofaciální</w:t>
            </w:r>
            <w:proofErr w:type="spellEnd"/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 xml:space="preserve"> chirurgie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065B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8CC7" w14:textId="325FCF29" w:rsidR="009272A1" w:rsidRPr="00E1598B" w:rsidRDefault="003E1093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>
              <w:rPr>
                <w:rFonts w:asciiTheme="minorHAnsi" w:hAnsiTheme="minorHAnsi" w:cstheme="minorHAnsi"/>
                <w:sz w:val="18"/>
                <w:lang w:eastAsia="cs-CZ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7F37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416B" w14:textId="1466E350" w:rsidR="009272A1" w:rsidRPr="00E1598B" w:rsidRDefault="003E1093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>
              <w:rPr>
                <w:rFonts w:asciiTheme="minorHAnsi" w:hAnsiTheme="minorHAnsi" w:cstheme="minorHAnsi"/>
                <w:sz w:val="18"/>
                <w:lang w:eastAsia="cs-CZ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5095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2C23" w14:textId="2B438963" w:rsidR="009272A1" w:rsidRPr="00E1598B" w:rsidRDefault="003E1093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>
              <w:rPr>
                <w:rFonts w:asciiTheme="minorHAnsi" w:hAnsiTheme="minorHAnsi" w:cstheme="minorHAnsi"/>
                <w:sz w:val="18"/>
                <w:lang w:eastAsia="cs-CZ"/>
              </w:rPr>
              <w:t>–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038B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DA9E" w14:textId="77777777" w:rsidR="009272A1" w:rsidRPr="00E1598B" w:rsidRDefault="009272A1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2 100 000</w:t>
            </w:r>
          </w:p>
        </w:tc>
      </w:tr>
      <w:tr w:rsidR="00E1598B" w:rsidRPr="00CF1120" w14:paraId="055B30FD" w14:textId="77777777" w:rsidTr="00E1598B">
        <w:trPr>
          <w:trHeight w:val="2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7458" w14:textId="77777777" w:rsidR="009272A1" w:rsidRPr="00E1598B" w:rsidRDefault="009272A1" w:rsidP="00C52E7E">
            <w:pPr>
              <w:pStyle w:val="tabulka"/>
              <w:keepNext w:val="0"/>
              <w:jc w:val="left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Pediatrie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3FDD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F0B4" w14:textId="6217F352" w:rsidR="009272A1" w:rsidRPr="00E1598B" w:rsidRDefault="003E1093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>
              <w:rPr>
                <w:rFonts w:asciiTheme="minorHAnsi" w:hAnsiTheme="minorHAnsi" w:cstheme="minorHAnsi"/>
                <w:sz w:val="18"/>
                <w:lang w:eastAsia="cs-CZ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0720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3962" w14:textId="520E2042" w:rsidR="009272A1" w:rsidRPr="00E1598B" w:rsidRDefault="003E1093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>
              <w:rPr>
                <w:rFonts w:asciiTheme="minorHAnsi" w:hAnsiTheme="minorHAnsi" w:cstheme="minorHAnsi"/>
                <w:sz w:val="18"/>
                <w:lang w:eastAsia="cs-CZ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2784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AE4B" w14:textId="0E0B67B6" w:rsidR="009272A1" w:rsidRPr="00E1598B" w:rsidRDefault="003E1093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>
              <w:rPr>
                <w:rFonts w:asciiTheme="minorHAnsi" w:hAnsiTheme="minorHAnsi" w:cstheme="minorHAnsi"/>
                <w:sz w:val="18"/>
                <w:lang w:eastAsia="cs-CZ"/>
              </w:rPr>
              <w:t>–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6E0D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DDD6" w14:textId="77777777" w:rsidR="009272A1" w:rsidRPr="00E1598B" w:rsidRDefault="009272A1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1 890 000</w:t>
            </w:r>
          </w:p>
        </w:tc>
      </w:tr>
      <w:tr w:rsidR="00E1598B" w:rsidRPr="00CF1120" w14:paraId="03CC9AA9" w14:textId="77777777" w:rsidTr="00E1598B">
        <w:trPr>
          <w:trHeight w:val="2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1003" w14:textId="77777777" w:rsidR="009272A1" w:rsidRPr="00E1598B" w:rsidRDefault="009272A1" w:rsidP="00C52E7E">
            <w:pPr>
              <w:pStyle w:val="tabulka"/>
              <w:keepNext w:val="0"/>
              <w:jc w:val="left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 xml:space="preserve">Orální a </w:t>
            </w:r>
            <w:proofErr w:type="spellStart"/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maxilofaciální</w:t>
            </w:r>
            <w:proofErr w:type="spellEnd"/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 xml:space="preserve"> chirurgie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FC1C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A0C7" w14:textId="77E67E3B" w:rsidR="009272A1" w:rsidRPr="00E1598B" w:rsidRDefault="003E1093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>
              <w:rPr>
                <w:rFonts w:asciiTheme="minorHAnsi" w:hAnsiTheme="minorHAnsi" w:cstheme="minorHAnsi"/>
                <w:sz w:val="18"/>
                <w:lang w:eastAsia="cs-CZ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CDA1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8370" w14:textId="3113E346" w:rsidR="009272A1" w:rsidRPr="00E1598B" w:rsidRDefault="003E1093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>
              <w:rPr>
                <w:rFonts w:asciiTheme="minorHAnsi" w:hAnsiTheme="minorHAnsi" w:cstheme="minorHAnsi"/>
                <w:sz w:val="18"/>
                <w:lang w:eastAsia="cs-CZ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3362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0C53" w14:textId="7F2A6824" w:rsidR="009272A1" w:rsidRPr="00E1598B" w:rsidRDefault="003E1093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>
              <w:rPr>
                <w:rFonts w:asciiTheme="minorHAnsi" w:hAnsiTheme="minorHAnsi" w:cstheme="minorHAnsi"/>
                <w:sz w:val="18"/>
                <w:lang w:eastAsia="cs-CZ"/>
              </w:rPr>
              <w:t>–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77D7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229D" w14:textId="77777777" w:rsidR="009272A1" w:rsidRPr="00E1598B" w:rsidRDefault="009272A1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2 100 000</w:t>
            </w:r>
          </w:p>
        </w:tc>
      </w:tr>
      <w:tr w:rsidR="00E1598B" w:rsidRPr="00CF1120" w14:paraId="04EDE66E" w14:textId="77777777" w:rsidTr="00E1598B">
        <w:trPr>
          <w:trHeight w:val="2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03A9" w14:textId="77777777" w:rsidR="009272A1" w:rsidRPr="00E1598B" w:rsidRDefault="009272A1" w:rsidP="00C52E7E">
            <w:pPr>
              <w:pStyle w:val="tabulka"/>
              <w:keepNext w:val="0"/>
              <w:jc w:val="left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Nukleární medicína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4210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2739" w14:textId="77777777" w:rsidR="009272A1" w:rsidRPr="00E1598B" w:rsidRDefault="009272A1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708 000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6D28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5AE4" w14:textId="240E8A18" w:rsidR="009272A1" w:rsidRPr="00E1598B" w:rsidRDefault="003E1093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>
              <w:rPr>
                <w:rFonts w:asciiTheme="minorHAnsi" w:hAnsiTheme="minorHAnsi" w:cstheme="minorHAnsi"/>
                <w:sz w:val="18"/>
                <w:lang w:eastAsia="cs-CZ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C1FC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9C6B" w14:textId="1A37186E" w:rsidR="009272A1" w:rsidRPr="00E1598B" w:rsidRDefault="003E1093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>
              <w:rPr>
                <w:rFonts w:asciiTheme="minorHAnsi" w:hAnsiTheme="minorHAnsi" w:cstheme="minorHAnsi"/>
                <w:sz w:val="18"/>
                <w:lang w:eastAsia="cs-CZ"/>
              </w:rPr>
              <w:t>–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6D5E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sz w:val="18"/>
                <w:lang w:eastAsia="cs-CZ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8758" w14:textId="4D788C05" w:rsidR="009272A1" w:rsidRPr="00E1598B" w:rsidRDefault="003E1093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sz w:val="18"/>
                <w:lang w:eastAsia="cs-CZ"/>
              </w:rPr>
            </w:pPr>
            <w:r>
              <w:rPr>
                <w:rFonts w:asciiTheme="minorHAnsi" w:hAnsiTheme="minorHAnsi" w:cstheme="minorHAnsi"/>
                <w:sz w:val="18"/>
                <w:lang w:eastAsia="cs-CZ"/>
              </w:rPr>
              <w:t>–</w:t>
            </w:r>
          </w:p>
        </w:tc>
      </w:tr>
      <w:tr w:rsidR="00E1598B" w:rsidRPr="00CF1120" w14:paraId="6B0DD2F2" w14:textId="77777777" w:rsidTr="00E1598B">
        <w:trPr>
          <w:trHeight w:val="2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35ADCAED" w14:textId="77777777" w:rsidR="009272A1" w:rsidRPr="00E1598B" w:rsidRDefault="009272A1" w:rsidP="00C52E7E">
            <w:pPr>
              <w:pStyle w:val="tabulka"/>
              <w:keepNext w:val="0"/>
              <w:jc w:val="left"/>
              <w:rPr>
                <w:rFonts w:asciiTheme="minorHAnsi" w:hAnsiTheme="minorHAnsi" w:cstheme="minorHAnsi"/>
                <w:b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b/>
                <w:sz w:val="18"/>
                <w:lang w:eastAsia="cs-CZ"/>
              </w:rPr>
              <w:t>Celkem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674EB793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b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b/>
                <w:sz w:val="18"/>
                <w:lang w:eastAsia="cs-CZ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51E57C4F" w14:textId="0C25B96D" w:rsidR="009272A1" w:rsidRPr="00E1598B" w:rsidRDefault="003E1093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b/>
                <w:sz w:val="18"/>
                <w:lang w:eastAsia="cs-CZ"/>
              </w:rPr>
            </w:pPr>
            <w:r>
              <w:rPr>
                <w:rFonts w:asciiTheme="minorHAnsi" w:hAnsiTheme="minorHAnsi" w:cstheme="minorHAnsi"/>
                <w:sz w:val="18"/>
                <w:lang w:eastAsia="cs-CZ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6BDED0D7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b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b/>
                <w:sz w:val="18"/>
                <w:lang w:eastAsia="cs-CZ"/>
              </w:rPr>
              <w:t>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5DFEC8C1" w14:textId="543F1940" w:rsidR="009272A1" w:rsidRPr="00E1598B" w:rsidRDefault="003E1093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b/>
                <w:sz w:val="18"/>
                <w:lang w:eastAsia="cs-CZ"/>
              </w:rPr>
            </w:pPr>
            <w:r>
              <w:rPr>
                <w:rFonts w:asciiTheme="minorHAnsi" w:hAnsiTheme="minorHAnsi" w:cstheme="minorHAnsi"/>
                <w:sz w:val="18"/>
                <w:lang w:eastAsia="cs-CZ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12688FAC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b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b/>
                <w:sz w:val="18"/>
                <w:lang w:eastAsia="cs-CZ"/>
              </w:rPr>
              <w:t>400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505C811D" w14:textId="2E7026C9" w:rsidR="009272A1" w:rsidRPr="00E1598B" w:rsidRDefault="003E1093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b/>
                <w:sz w:val="18"/>
                <w:lang w:eastAsia="cs-CZ"/>
              </w:rPr>
            </w:pPr>
            <w:r>
              <w:rPr>
                <w:rFonts w:asciiTheme="minorHAnsi" w:hAnsiTheme="minorHAnsi" w:cstheme="minorHAnsi"/>
                <w:sz w:val="18"/>
                <w:lang w:eastAsia="cs-CZ"/>
              </w:rPr>
              <w:t>–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07D22841" w14:textId="77777777" w:rsidR="009272A1" w:rsidRPr="00E1598B" w:rsidRDefault="009272A1" w:rsidP="00C52E7E">
            <w:pPr>
              <w:pStyle w:val="tabulka"/>
              <w:keepNext w:val="0"/>
              <w:jc w:val="center"/>
              <w:rPr>
                <w:rFonts w:asciiTheme="minorHAnsi" w:hAnsiTheme="minorHAnsi" w:cstheme="minorHAnsi"/>
                <w:b/>
                <w:sz w:val="18"/>
                <w:lang w:eastAsia="cs-CZ"/>
              </w:rPr>
            </w:pPr>
            <w:r w:rsidRPr="00E1598B">
              <w:rPr>
                <w:rFonts w:asciiTheme="minorHAnsi" w:hAnsiTheme="minorHAnsi" w:cstheme="minorHAnsi"/>
                <w:b/>
                <w:sz w:val="18"/>
                <w:lang w:eastAsia="cs-CZ"/>
              </w:rPr>
              <w:t>415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245EFC9D" w14:textId="29EDD600" w:rsidR="009272A1" w:rsidRPr="00E1598B" w:rsidRDefault="003E1093" w:rsidP="00C52E7E">
            <w:pPr>
              <w:pStyle w:val="tabulka"/>
              <w:keepNext w:val="0"/>
              <w:jc w:val="right"/>
              <w:rPr>
                <w:rFonts w:asciiTheme="minorHAnsi" w:hAnsiTheme="minorHAnsi" w:cstheme="minorHAnsi"/>
                <w:b/>
                <w:sz w:val="18"/>
                <w:lang w:eastAsia="cs-CZ"/>
              </w:rPr>
            </w:pPr>
            <w:r>
              <w:rPr>
                <w:rFonts w:asciiTheme="minorHAnsi" w:hAnsiTheme="minorHAnsi" w:cstheme="minorHAnsi"/>
                <w:sz w:val="18"/>
                <w:lang w:eastAsia="cs-CZ"/>
              </w:rPr>
              <w:t>–</w:t>
            </w:r>
          </w:p>
        </w:tc>
      </w:tr>
    </w:tbl>
    <w:p w14:paraId="0C628BCC" w14:textId="43AB0B31" w:rsidR="009272A1" w:rsidRDefault="009272A1" w:rsidP="003417FB">
      <w:pPr>
        <w:pStyle w:val="Poznmka"/>
      </w:pPr>
      <w:r w:rsidRPr="009272A1">
        <w:rPr>
          <w:b/>
        </w:rPr>
        <w:t>Zdroj:</w:t>
      </w:r>
      <w:r>
        <w:tab/>
      </w:r>
      <w:r w:rsidR="003E1093">
        <w:t>m</w:t>
      </w:r>
      <w:r>
        <w:t>etodiky pro žadatele o dotaci ze státního rozpočtu na rezidenční místo k programu č. 2 a 3 na roky 2015 až 2018</w:t>
      </w:r>
      <w:r w:rsidR="00237F35">
        <w:t>.</w:t>
      </w:r>
    </w:p>
    <w:p w14:paraId="1A41CBB6" w14:textId="477F1374" w:rsidR="00E1598B" w:rsidRDefault="009272A1">
      <w:pPr>
        <w:pStyle w:val="Poznmka"/>
      </w:pPr>
      <w:r w:rsidRPr="009272A1">
        <w:rPr>
          <w:b/>
        </w:rPr>
        <w:t>Pozn.:</w:t>
      </w:r>
      <w:r>
        <w:tab/>
        <w:t xml:space="preserve">Ve znění </w:t>
      </w:r>
      <w:r w:rsidR="003E1093">
        <w:t xml:space="preserve">II. </w:t>
      </w:r>
      <w:r>
        <w:t xml:space="preserve">aktualizace bylo na rok 2016 v oboru </w:t>
      </w:r>
      <w:r w:rsidR="003E1093">
        <w:t>v</w:t>
      </w:r>
      <w:r>
        <w:t xml:space="preserve">nitřní lékařství 48 </w:t>
      </w:r>
      <w:r w:rsidR="00237F35">
        <w:t>míst</w:t>
      </w:r>
      <w:r>
        <w:t xml:space="preserve">, </w:t>
      </w:r>
      <w:r w:rsidR="003E1093">
        <w:t>d</w:t>
      </w:r>
      <w:r>
        <w:t xml:space="preserve">ětská a dorostová psychiatrie 6 </w:t>
      </w:r>
      <w:r w:rsidR="00237F35">
        <w:t>míst</w:t>
      </w:r>
      <w:r>
        <w:t xml:space="preserve"> a v oboru </w:t>
      </w:r>
      <w:r w:rsidR="003E1093">
        <w:t>a</w:t>
      </w:r>
      <w:r>
        <w:t>nesteziolog</w:t>
      </w:r>
      <w:r w:rsidR="00E1598B">
        <w:t xml:space="preserve">ie a intenzivní medicína 39 </w:t>
      </w:r>
      <w:r w:rsidR="00237F35">
        <w:t>míst</w:t>
      </w:r>
      <w:r w:rsidR="00E1598B">
        <w:t>.</w:t>
      </w:r>
    </w:p>
    <w:p w14:paraId="15FD75D2" w14:textId="36FC859A" w:rsidR="009272A1" w:rsidRDefault="009272A1">
      <w:pPr>
        <w:pStyle w:val="Poznmka"/>
      </w:pPr>
      <w:r w:rsidRPr="00E1598B">
        <w:rPr>
          <w:b/>
        </w:rPr>
        <w:t>SV</w:t>
      </w:r>
      <w:r>
        <w:t xml:space="preserve"> </w:t>
      </w:r>
      <w:r w:rsidR="002D1BE7">
        <w:t>– s</w:t>
      </w:r>
      <w:r>
        <w:t>pecializační vzdělávání</w:t>
      </w:r>
      <w:r w:rsidR="00E1598B">
        <w:t>.</w:t>
      </w:r>
    </w:p>
    <w:p w14:paraId="4FFD4911" w14:textId="77777777" w:rsidR="00C11F5B" w:rsidRDefault="00C11F5B" w:rsidP="00C52E7E">
      <w:pPr>
        <w:widowControl/>
      </w:pPr>
    </w:p>
    <w:p w14:paraId="79BE33C8" w14:textId="5396187E" w:rsidR="00C11F5B" w:rsidRDefault="00C11F5B" w:rsidP="00C52E7E">
      <w:pPr>
        <w:widowControl/>
      </w:pPr>
      <w:r>
        <w:t>V mimořádných programech byla vypsána následující podpora:</w:t>
      </w:r>
    </w:p>
    <w:p w14:paraId="10D56DCE" w14:textId="5EB88915" w:rsidR="00C11F5B" w:rsidRDefault="003E1093" w:rsidP="00C52E7E">
      <w:pPr>
        <w:pStyle w:val="Odstavecseseznamem"/>
        <w:numPr>
          <w:ilvl w:val="0"/>
          <w:numId w:val="16"/>
        </w:numPr>
        <w:ind w:left="425" w:hanging="357"/>
      </w:pPr>
      <w:r>
        <w:t>v</w:t>
      </w:r>
      <w:r w:rsidR="00C11F5B">
        <w:t>šeobecné praktické lékařství 2017 – 30 školenců s dotací 1 440 000 Kč na celé specializační vzdělávání na osobu;</w:t>
      </w:r>
    </w:p>
    <w:p w14:paraId="66E22BE9" w14:textId="389849D5" w:rsidR="00C11F5B" w:rsidRDefault="003E1093" w:rsidP="00C52E7E">
      <w:pPr>
        <w:pStyle w:val="Odstavecseseznamem"/>
        <w:numPr>
          <w:ilvl w:val="0"/>
          <w:numId w:val="16"/>
        </w:numPr>
        <w:ind w:left="425" w:hanging="357"/>
      </w:pPr>
      <w:r>
        <w:t>a</w:t>
      </w:r>
      <w:r w:rsidR="00C11F5B">
        <w:t>bsolventi 2017 – viz následující tabulka;</w:t>
      </w:r>
    </w:p>
    <w:p w14:paraId="0DBB6CB4" w14:textId="453A6408" w:rsidR="00C11F5B" w:rsidRDefault="003E1093" w:rsidP="00C52E7E">
      <w:pPr>
        <w:pStyle w:val="Odstavecseseznamem"/>
        <w:numPr>
          <w:ilvl w:val="0"/>
          <w:numId w:val="16"/>
        </w:numPr>
        <w:ind w:left="425" w:hanging="357"/>
      </w:pPr>
      <w:r>
        <w:t>p</w:t>
      </w:r>
      <w:r w:rsidR="00C11F5B">
        <w:t>racoviště pediatrie 2018 – 35 školenců s dotací 1 890 000 Kč na celé specializační vzdělávání na osobu;</w:t>
      </w:r>
    </w:p>
    <w:p w14:paraId="6A45EDCF" w14:textId="28B67B5E" w:rsidR="00C11F5B" w:rsidRDefault="003E1093" w:rsidP="00C52E7E">
      <w:pPr>
        <w:pStyle w:val="Odstavecseseznamem"/>
        <w:numPr>
          <w:ilvl w:val="0"/>
          <w:numId w:val="16"/>
        </w:numPr>
        <w:ind w:left="425" w:hanging="357"/>
      </w:pPr>
      <w:r>
        <w:t>p</w:t>
      </w:r>
      <w:r w:rsidR="00C11F5B">
        <w:t>racoviště praktického lékařství pro děti a dorost – 15 ško</w:t>
      </w:r>
      <w:r w:rsidR="005E19E2">
        <w:t>lenců s dotací 1 680 000 Kč pro</w:t>
      </w:r>
      <w:r w:rsidR="0001749F">
        <w:t xml:space="preserve"> </w:t>
      </w:r>
      <w:r w:rsidR="00C11F5B">
        <w:t>obor praktického lékařství pro děti a dorost a 1 890 000 Kč pro obor pediatrie na</w:t>
      </w:r>
      <w:r w:rsidR="0001749F">
        <w:t xml:space="preserve"> </w:t>
      </w:r>
      <w:r w:rsidR="00C11F5B">
        <w:t>celé specializační vzdělávání na osobu.</w:t>
      </w:r>
    </w:p>
    <w:p w14:paraId="017B26B2" w14:textId="77777777" w:rsidR="005C4179" w:rsidRDefault="005C4179" w:rsidP="005C4179"/>
    <w:p w14:paraId="43D49E9C" w14:textId="23F2B871" w:rsidR="00D41E20" w:rsidRDefault="00D41E20" w:rsidP="00D55E20">
      <w:pPr>
        <w:pStyle w:val="Nzevtabulky"/>
        <w:numPr>
          <w:ilvl w:val="0"/>
          <w:numId w:val="11"/>
        </w:numPr>
        <w:ind w:left="0" w:firstLine="0"/>
        <w:rPr>
          <w:lang w:eastAsia="cs-CZ"/>
        </w:rPr>
      </w:pPr>
      <w:r>
        <w:rPr>
          <w:lang w:eastAsia="cs-CZ"/>
        </w:rPr>
        <w:t xml:space="preserve">Podporovaná školicí místa vypsaná v programu pro absolventy roku 2017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2"/>
        <w:gridCol w:w="1635"/>
        <w:gridCol w:w="1948"/>
      </w:tblGrid>
      <w:tr w:rsidR="00D41E20" w:rsidRPr="00D41E20" w14:paraId="2C7E2589" w14:textId="77777777" w:rsidTr="008468EF">
        <w:trPr>
          <w:trHeight w:val="20"/>
        </w:trPr>
        <w:tc>
          <w:tcPr>
            <w:tcW w:w="5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4ED5939F" w14:textId="77777777" w:rsidR="00D41E20" w:rsidRPr="00D41E20" w:rsidRDefault="00D41E20" w:rsidP="00C52E7E">
            <w:pPr>
              <w:pStyle w:val="tabulka"/>
              <w:keepNext w:val="0"/>
              <w:jc w:val="center"/>
              <w:rPr>
                <w:b/>
                <w:sz w:val="18"/>
                <w:lang w:eastAsia="cs-CZ"/>
              </w:rPr>
            </w:pPr>
            <w:r w:rsidRPr="00D41E20">
              <w:rPr>
                <w:b/>
                <w:sz w:val="18"/>
                <w:lang w:eastAsia="cs-CZ"/>
              </w:rPr>
              <w:t>Obor specializačního vzdělávání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28D2981" w14:textId="77777777" w:rsidR="00D41E20" w:rsidRPr="00D41E20" w:rsidRDefault="00D41E20" w:rsidP="00C52E7E">
            <w:pPr>
              <w:pStyle w:val="tabulka"/>
              <w:keepNext w:val="0"/>
              <w:jc w:val="center"/>
              <w:rPr>
                <w:b/>
                <w:sz w:val="18"/>
                <w:lang w:eastAsia="cs-CZ"/>
              </w:rPr>
            </w:pPr>
            <w:r w:rsidRPr="00D41E20">
              <w:rPr>
                <w:b/>
                <w:sz w:val="18"/>
                <w:lang w:eastAsia="cs-CZ"/>
              </w:rPr>
              <w:t>Absolventi 2017</w:t>
            </w:r>
          </w:p>
        </w:tc>
      </w:tr>
      <w:tr w:rsidR="00D41E20" w:rsidRPr="00D41E20" w14:paraId="0A845AAE" w14:textId="77777777" w:rsidTr="008468EF">
        <w:trPr>
          <w:trHeight w:val="20"/>
        </w:trPr>
        <w:tc>
          <w:tcPr>
            <w:tcW w:w="5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E72D35B" w14:textId="77777777" w:rsidR="00D41E20" w:rsidRPr="00D41E20" w:rsidRDefault="00D41E20" w:rsidP="00C52E7E">
            <w:pPr>
              <w:pStyle w:val="tabulka"/>
              <w:keepNext w:val="0"/>
              <w:jc w:val="center"/>
              <w:rPr>
                <w:b/>
                <w:sz w:val="18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16233B0E" w14:textId="77777777" w:rsidR="00D41E20" w:rsidRPr="00D41E20" w:rsidRDefault="00D41E20" w:rsidP="00C52E7E">
            <w:pPr>
              <w:pStyle w:val="tabulka"/>
              <w:keepNext w:val="0"/>
              <w:jc w:val="center"/>
              <w:rPr>
                <w:b/>
                <w:sz w:val="18"/>
                <w:lang w:eastAsia="cs-CZ"/>
              </w:rPr>
            </w:pPr>
            <w:r w:rsidRPr="00D41E20">
              <w:rPr>
                <w:b/>
                <w:sz w:val="18"/>
                <w:lang w:eastAsia="cs-CZ"/>
              </w:rPr>
              <w:t>Počet školenců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609D3843" w14:textId="77777777" w:rsidR="00D41E20" w:rsidRPr="00D41E20" w:rsidRDefault="00D41E20" w:rsidP="00C52E7E">
            <w:pPr>
              <w:pStyle w:val="tabulka"/>
              <w:keepNext w:val="0"/>
              <w:jc w:val="center"/>
              <w:rPr>
                <w:b/>
                <w:sz w:val="18"/>
                <w:lang w:eastAsia="cs-CZ"/>
              </w:rPr>
            </w:pPr>
            <w:r w:rsidRPr="00D41E20">
              <w:rPr>
                <w:b/>
                <w:sz w:val="18"/>
                <w:lang w:eastAsia="cs-CZ"/>
              </w:rPr>
              <w:t>Dotace na osobu za celé SV (Kč)</w:t>
            </w:r>
          </w:p>
        </w:tc>
      </w:tr>
      <w:tr w:rsidR="00D41E20" w:rsidRPr="00D41E20" w14:paraId="60F6596F" w14:textId="77777777" w:rsidTr="005C4179">
        <w:trPr>
          <w:trHeight w:val="170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6DC0" w14:textId="77777777" w:rsidR="00D41E20" w:rsidRPr="00D41E20" w:rsidRDefault="00D41E20" w:rsidP="00C52E7E">
            <w:pPr>
              <w:pStyle w:val="tabulka"/>
              <w:keepNext w:val="0"/>
              <w:jc w:val="left"/>
              <w:rPr>
                <w:sz w:val="18"/>
                <w:lang w:eastAsia="cs-CZ"/>
              </w:rPr>
            </w:pPr>
            <w:r w:rsidRPr="00D41E20">
              <w:rPr>
                <w:sz w:val="18"/>
                <w:lang w:eastAsia="cs-CZ"/>
              </w:rPr>
              <w:t>Všeobecné praktické lékařství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A1C7D" w14:textId="77777777" w:rsidR="00D41E20" w:rsidRPr="00D41E20" w:rsidRDefault="00D41E20" w:rsidP="00C52E7E">
            <w:pPr>
              <w:pStyle w:val="tabulka"/>
              <w:keepNext w:val="0"/>
              <w:jc w:val="center"/>
              <w:rPr>
                <w:sz w:val="18"/>
                <w:lang w:eastAsia="cs-CZ"/>
              </w:rPr>
            </w:pPr>
            <w:r w:rsidRPr="00D41E20">
              <w:rPr>
                <w:sz w:val="18"/>
                <w:lang w:eastAsia="cs-CZ"/>
              </w:rPr>
              <w:t>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3DB06" w14:textId="77777777" w:rsidR="00D41E20" w:rsidRPr="00D41E20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D41E20">
              <w:rPr>
                <w:sz w:val="18"/>
                <w:lang w:eastAsia="cs-CZ"/>
              </w:rPr>
              <w:t>1 440 000</w:t>
            </w:r>
          </w:p>
        </w:tc>
      </w:tr>
      <w:tr w:rsidR="00D41E20" w:rsidRPr="00D41E20" w14:paraId="57AAC512" w14:textId="77777777" w:rsidTr="005C4179">
        <w:trPr>
          <w:trHeight w:val="170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D283" w14:textId="77777777" w:rsidR="00D41E20" w:rsidRPr="00D41E20" w:rsidRDefault="00D41E20" w:rsidP="00C52E7E">
            <w:pPr>
              <w:pStyle w:val="tabulka"/>
              <w:keepNext w:val="0"/>
              <w:jc w:val="left"/>
              <w:rPr>
                <w:sz w:val="18"/>
                <w:lang w:eastAsia="cs-CZ"/>
              </w:rPr>
            </w:pPr>
            <w:r w:rsidRPr="00D41E20">
              <w:rPr>
                <w:sz w:val="18"/>
                <w:lang w:eastAsia="cs-CZ"/>
              </w:rPr>
              <w:t>Gynekologie a porodnictví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5C79A" w14:textId="77777777" w:rsidR="00D41E20" w:rsidRPr="00D41E20" w:rsidRDefault="00D41E20" w:rsidP="00C52E7E">
            <w:pPr>
              <w:pStyle w:val="tabulka"/>
              <w:keepNext w:val="0"/>
              <w:jc w:val="center"/>
              <w:rPr>
                <w:sz w:val="18"/>
                <w:lang w:eastAsia="cs-CZ"/>
              </w:rPr>
            </w:pPr>
            <w:r w:rsidRPr="00D41E20">
              <w:rPr>
                <w:sz w:val="18"/>
                <w:lang w:eastAsia="cs-CZ"/>
              </w:rPr>
              <w:t>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73AE2" w14:textId="77777777" w:rsidR="00D41E20" w:rsidRPr="00D41E20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D41E20">
              <w:rPr>
                <w:sz w:val="18"/>
                <w:lang w:eastAsia="cs-CZ"/>
              </w:rPr>
              <w:t>1 890 000</w:t>
            </w:r>
          </w:p>
        </w:tc>
      </w:tr>
      <w:tr w:rsidR="00D41E20" w:rsidRPr="00D41E20" w14:paraId="09CC7478" w14:textId="77777777" w:rsidTr="005C4179">
        <w:trPr>
          <w:trHeight w:val="17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1CA1" w14:textId="77777777" w:rsidR="00D41E20" w:rsidRPr="00D41E20" w:rsidRDefault="00D41E20" w:rsidP="00C52E7E">
            <w:pPr>
              <w:pStyle w:val="tabulka"/>
              <w:keepNext w:val="0"/>
              <w:jc w:val="left"/>
              <w:rPr>
                <w:sz w:val="18"/>
                <w:lang w:eastAsia="cs-CZ"/>
              </w:rPr>
            </w:pPr>
            <w:r w:rsidRPr="00D41E20">
              <w:rPr>
                <w:sz w:val="18"/>
                <w:lang w:eastAsia="cs-CZ"/>
              </w:rPr>
              <w:t>Vnitřní lékařství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22535" w14:textId="77777777" w:rsidR="00D41E20" w:rsidRPr="00D41E20" w:rsidRDefault="00D41E20" w:rsidP="00C52E7E">
            <w:pPr>
              <w:pStyle w:val="tabulka"/>
              <w:keepNext w:val="0"/>
              <w:jc w:val="center"/>
              <w:rPr>
                <w:sz w:val="18"/>
                <w:lang w:eastAsia="cs-CZ"/>
              </w:rPr>
            </w:pPr>
            <w:r w:rsidRPr="00D41E20">
              <w:rPr>
                <w:sz w:val="18"/>
                <w:lang w:eastAsia="cs-CZ"/>
              </w:rPr>
              <w:t>40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A1820" w14:textId="77777777" w:rsidR="00D41E20" w:rsidRPr="00D41E20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D41E20">
              <w:rPr>
                <w:sz w:val="18"/>
                <w:lang w:eastAsia="cs-CZ"/>
              </w:rPr>
              <w:t>2 100 000</w:t>
            </w:r>
          </w:p>
        </w:tc>
      </w:tr>
      <w:tr w:rsidR="00D41E20" w:rsidRPr="00D41E20" w14:paraId="5F09C421" w14:textId="77777777" w:rsidTr="005C4179">
        <w:trPr>
          <w:trHeight w:val="17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E834" w14:textId="77777777" w:rsidR="00D41E20" w:rsidRPr="00D41E20" w:rsidRDefault="00D41E20" w:rsidP="00C52E7E">
            <w:pPr>
              <w:pStyle w:val="tabulka"/>
              <w:keepNext w:val="0"/>
              <w:jc w:val="left"/>
              <w:rPr>
                <w:sz w:val="18"/>
                <w:lang w:eastAsia="cs-CZ"/>
              </w:rPr>
            </w:pPr>
            <w:r w:rsidRPr="00D41E20">
              <w:rPr>
                <w:sz w:val="18"/>
                <w:lang w:eastAsia="cs-CZ"/>
              </w:rPr>
              <w:t>Anesteziologie a intenzivní medicína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4C6BE" w14:textId="77777777" w:rsidR="00D41E20" w:rsidRPr="00D41E20" w:rsidRDefault="00D41E20" w:rsidP="00C52E7E">
            <w:pPr>
              <w:pStyle w:val="tabulka"/>
              <w:keepNext w:val="0"/>
              <w:jc w:val="center"/>
              <w:rPr>
                <w:sz w:val="18"/>
                <w:lang w:eastAsia="cs-CZ"/>
              </w:rPr>
            </w:pPr>
            <w:r w:rsidRPr="00D41E20">
              <w:rPr>
                <w:sz w:val="18"/>
                <w:lang w:eastAsia="cs-CZ"/>
              </w:rPr>
              <w:t>30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9352D" w14:textId="77777777" w:rsidR="00D41E20" w:rsidRPr="00D41E20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D41E20">
              <w:rPr>
                <w:sz w:val="18"/>
                <w:lang w:eastAsia="cs-CZ"/>
              </w:rPr>
              <w:t>1 890 000</w:t>
            </w:r>
          </w:p>
        </w:tc>
      </w:tr>
      <w:tr w:rsidR="00D41E20" w:rsidRPr="00D41E20" w14:paraId="25348833" w14:textId="77777777" w:rsidTr="005C4179">
        <w:trPr>
          <w:trHeight w:val="17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1C74" w14:textId="77777777" w:rsidR="00D41E20" w:rsidRPr="00D41E20" w:rsidRDefault="00D41E20" w:rsidP="00C52E7E">
            <w:pPr>
              <w:pStyle w:val="tabulka"/>
              <w:keepNext w:val="0"/>
              <w:jc w:val="left"/>
              <w:rPr>
                <w:sz w:val="18"/>
                <w:lang w:eastAsia="cs-CZ"/>
              </w:rPr>
            </w:pPr>
            <w:r w:rsidRPr="00D41E20">
              <w:rPr>
                <w:sz w:val="18"/>
                <w:lang w:eastAsia="cs-CZ"/>
              </w:rPr>
              <w:t>Psychiatrie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E4849" w14:textId="77777777" w:rsidR="00D41E20" w:rsidRPr="00D41E20" w:rsidRDefault="00D41E20" w:rsidP="00C52E7E">
            <w:pPr>
              <w:pStyle w:val="tabulka"/>
              <w:keepNext w:val="0"/>
              <w:jc w:val="center"/>
              <w:rPr>
                <w:sz w:val="18"/>
                <w:lang w:eastAsia="cs-CZ"/>
              </w:rPr>
            </w:pPr>
            <w:r w:rsidRPr="00D41E20">
              <w:rPr>
                <w:sz w:val="18"/>
                <w:lang w:eastAsia="cs-CZ"/>
              </w:rPr>
              <w:t>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7F090" w14:textId="77777777" w:rsidR="00D41E20" w:rsidRPr="00D41E20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D41E20">
              <w:rPr>
                <w:sz w:val="18"/>
                <w:lang w:eastAsia="cs-CZ"/>
              </w:rPr>
              <w:t>1 890 000</w:t>
            </w:r>
          </w:p>
        </w:tc>
      </w:tr>
      <w:tr w:rsidR="00D41E20" w:rsidRPr="00D41E20" w14:paraId="16349E80" w14:textId="77777777" w:rsidTr="005C4179">
        <w:trPr>
          <w:trHeight w:val="17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D5BB" w14:textId="77777777" w:rsidR="00D41E20" w:rsidRPr="00D41E20" w:rsidRDefault="00D41E20" w:rsidP="00C52E7E">
            <w:pPr>
              <w:pStyle w:val="tabulka"/>
              <w:keepNext w:val="0"/>
              <w:jc w:val="left"/>
              <w:rPr>
                <w:sz w:val="18"/>
                <w:lang w:eastAsia="cs-CZ"/>
              </w:rPr>
            </w:pPr>
            <w:r w:rsidRPr="00D41E20">
              <w:rPr>
                <w:sz w:val="18"/>
                <w:lang w:eastAsia="cs-CZ"/>
              </w:rPr>
              <w:t>Rehabilitační a fyzikální medicína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95287" w14:textId="77777777" w:rsidR="00D41E20" w:rsidRPr="00D41E20" w:rsidRDefault="00D41E20" w:rsidP="00C52E7E">
            <w:pPr>
              <w:pStyle w:val="tabulka"/>
              <w:keepNext w:val="0"/>
              <w:jc w:val="center"/>
              <w:rPr>
                <w:sz w:val="18"/>
                <w:lang w:eastAsia="cs-CZ"/>
              </w:rPr>
            </w:pPr>
            <w:r w:rsidRPr="00D41E20">
              <w:rPr>
                <w:sz w:val="18"/>
                <w:lang w:eastAsia="cs-CZ"/>
              </w:rPr>
              <w:t>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FFEF4" w14:textId="77777777" w:rsidR="00D41E20" w:rsidRPr="00D41E20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D41E20">
              <w:rPr>
                <w:sz w:val="18"/>
                <w:lang w:eastAsia="cs-CZ"/>
              </w:rPr>
              <w:t>1 680 000</w:t>
            </w:r>
          </w:p>
        </w:tc>
      </w:tr>
      <w:tr w:rsidR="00D41E20" w:rsidRPr="00D41E20" w14:paraId="1272D76E" w14:textId="77777777" w:rsidTr="005C4179">
        <w:trPr>
          <w:trHeight w:val="17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4F64" w14:textId="77777777" w:rsidR="00D41E20" w:rsidRPr="00D41E20" w:rsidRDefault="00D41E20" w:rsidP="00C52E7E">
            <w:pPr>
              <w:pStyle w:val="tabulka"/>
              <w:keepNext w:val="0"/>
              <w:jc w:val="left"/>
              <w:rPr>
                <w:sz w:val="18"/>
                <w:lang w:eastAsia="cs-CZ"/>
              </w:rPr>
            </w:pPr>
            <w:r w:rsidRPr="00D41E20">
              <w:rPr>
                <w:sz w:val="18"/>
                <w:lang w:eastAsia="cs-CZ"/>
              </w:rPr>
              <w:t>Chirurgie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FA6B0" w14:textId="77777777" w:rsidR="00D41E20" w:rsidRPr="00D41E20" w:rsidRDefault="00D41E20" w:rsidP="00C52E7E">
            <w:pPr>
              <w:pStyle w:val="tabulka"/>
              <w:keepNext w:val="0"/>
              <w:jc w:val="center"/>
              <w:rPr>
                <w:sz w:val="18"/>
                <w:lang w:eastAsia="cs-CZ"/>
              </w:rPr>
            </w:pPr>
            <w:r w:rsidRPr="00D41E20">
              <w:rPr>
                <w:sz w:val="18"/>
                <w:lang w:eastAsia="cs-CZ"/>
              </w:rPr>
              <w:t>35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A956B" w14:textId="77777777" w:rsidR="00D41E20" w:rsidRPr="00D41E20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D41E20">
              <w:rPr>
                <w:sz w:val="18"/>
                <w:lang w:eastAsia="cs-CZ"/>
              </w:rPr>
              <w:t>2 100 000</w:t>
            </w:r>
          </w:p>
        </w:tc>
      </w:tr>
      <w:tr w:rsidR="00D41E20" w:rsidRPr="00D41E20" w14:paraId="0B275D49" w14:textId="77777777" w:rsidTr="005C4179">
        <w:trPr>
          <w:trHeight w:val="17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5B38" w14:textId="77777777" w:rsidR="00D41E20" w:rsidRPr="00D41E20" w:rsidRDefault="00D41E20" w:rsidP="00C52E7E">
            <w:pPr>
              <w:pStyle w:val="tabulka"/>
              <w:keepNext w:val="0"/>
              <w:jc w:val="left"/>
              <w:rPr>
                <w:sz w:val="18"/>
                <w:lang w:eastAsia="cs-CZ"/>
              </w:rPr>
            </w:pPr>
            <w:r w:rsidRPr="00D41E20">
              <w:rPr>
                <w:sz w:val="18"/>
                <w:lang w:eastAsia="cs-CZ"/>
              </w:rPr>
              <w:t>Radiologie a zobrazovací metody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B5F63" w14:textId="77777777" w:rsidR="00D41E20" w:rsidRPr="00D41E20" w:rsidRDefault="00D41E20" w:rsidP="00C52E7E">
            <w:pPr>
              <w:pStyle w:val="tabulka"/>
              <w:keepNext w:val="0"/>
              <w:jc w:val="center"/>
              <w:rPr>
                <w:sz w:val="18"/>
                <w:lang w:eastAsia="cs-CZ"/>
              </w:rPr>
            </w:pPr>
            <w:r w:rsidRPr="00D41E20">
              <w:rPr>
                <w:sz w:val="18"/>
                <w:lang w:eastAsia="cs-CZ"/>
              </w:rPr>
              <w:t>20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75653" w14:textId="77777777" w:rsidR="00D41E20" w:rsidRPr="00D41E20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D41E20">
              <w:rPr>
                <w:sz w:val="18"/>
                <w:lang w:eastAsia="cs-CZ"/>
              </w:rPr>
              <w:t>1 890 000</w:t>
            </w:r>
          </w:p>
        </w:tc>
      </w:tr>
      <w:tr w:rsidR="00D41E20" w:rsidRPr="00D41E20" w14:paraId="2FF20D20" w14:textId="77777777" w:rsidTr="005C4179">
        <w:trPr>
          <w:trHeight w:val="17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76AA" w14:textId="77777777" w:rsidR="00D41E20" w:rsidRPr="00D41E20" w:rsidRDefault="00D41E20" w:rsidP="00C52E7E">
            <w:pPr>
              <w:pStyle w:val="tabulka"/>
              <w:keepNext w:val="0"/>
              <w:jc w:val="left"/>
              <w:rPr>
                <w:sz w:val="18"/>
                <w:lang w:eastAsia="cs-CZ"/>
              </w:rPr>
            </w:pPr>
            <w:r w:rsidRPr="00D41E20">
              <w:rPr>
                <w:sz w:val="18"/>
                <w:lang w:eastAsia="cs-CZ"/>
              </w:rPr>
              <w:t>Neurologie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F13A1" w14:textId="77777777" w:rsidR="00D41E20" w:rsidRPr="00D41E20" w:rsidRDefault="00D41E20" w:rsidP="00C52E7E">
            <w:pPr>
              <w:pStyle w:val="tabulka"/>
              <w:keepNext w:val="0"/>
              <w:jc w:val="center"/>
              <w:rPr>
                <w:sz w:val="18"/>
                <w:lang w:eastAsia="cs-CZ"/>
              </w:rPr>
            </w:pPr>
            <w:r w:rsidRPr="00D41E20">
              <w:rPr>
                <w:sz w:val="18"/>
                <w:lang w:eastAsia="cs-CZ"/>
              </w:rPr>
              <w:t>20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0BFFD" w14:textId="77777777" w:rsidR="00D41E20" w:rsidRPr="00D41E20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D41E20">
              <w:rPr>
                <w:sz w:val="18"/>
                <w:lang w:eastAsia="cs-CZ"/>
              </w:rPr>
              <w:t>1 890 000</w:t>
            </w:r>
          </w:p>
        </w:tc>
      </w:tr>
      <w:tr w:rsidR="00D41E20" w:rsidRPr="00D41E20" w14:paraId="0FC05920" w14:textId="77777777" w:rsidTr="005C4179">
        <w:trPr>
          <w:trHeight w:val="17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51A6" w14:textId="77777777" w:rsidR="00D41E20" w:rsidRPr="00D41E20" w:rsidRDefault="00D41E20" w:rsidP="00C52E7E">
            <w:pPr>
              <w:pStyle w:val="tabulka"/>
              <w:keepNext w:val="0"/>
              <w:jc w:val="left"/>
              <w:rPr>
                <w:sz w:val="18"/>
                <w:lang w:eastAsia="cs-CZ"/>
              </w:rPr>
            </w:pPr>
            <w:r w:rsidRPr="00D41E20">
              <w:rPr>
                <w:sz w:val="18"/>
                <w:lang w:eastAsia="cs-CZ"/>
              </w:rPr>
              <w:t>Pediatrie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F4305" w14:textId="77777777" w:rsidR="00D41E20" w:rsidRPr="00D41E20" w:rsidRDefault="00D41E20" w:rsidP="00C52E7E">
            <w:pPr>
              <w:pStyle w:val="tabulka"/>
              <w:keepNext w:val="0"/>
              <w:jc w:val="center"/>
              <w:rPr>
                <w:sz w:val="18"/>
                <w:lang w:eastAsia="cs-CZ"/>
              </w:rPr>
            </w:pPr>
            <w:r w:rsidRPr="00D41E20">
              <w:rPr>
                <w:sz w:val="18"/>
                <w:lang w:eastAsia="cs-CZ"/>
              </w:rPr>
              <w:t>30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AD813" w14:textId="77777777" w:rsidR="00D41E20" w:rsidRPr="00D41E20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D41E20">
              <w:rPr>
                <w:sz w:val="18"/>
                <w:lang w:eastAsia="cs-CZ"/>
              </w:rPr>
              <w:t>1 890 000</w:t>
            </w:r>
          </w:p>
        </w:tc>
      </w:tr>
      <w:tr w:rsidR="00D41E20" w:rsidRPr="00D41E20" w14:paraId="61AB07A1" w14:textId="77777777" w:rsidTr="005C4179">
        <w:trPr>
          <w:trHeight w:val="17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6127DCCA" w14:textId="77777777" w:rsidR="00D41E20" w:rsidRPr="00D41E20" w:rsidRDefault="00D41E20" w:rsidP="00C52E7E">
            <w:pPr>
              <w:pStyle w:val="tabulka"/>
              <w:keepNext w:val="0"/>
              <w:jc w:val="left"/>
              <w:rPr>
                <w:b/>
                <w:sz w:val="18"/>
                <w:lang w:eastAsia="cs-CZ"/>
              </w:rPr>
            </w:pPr>
            <w:r w:rsidRPr="00D41E20">
              <w:rPr>
                <w:b/>
                <w:sz w:val="18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514E2C1D" w14:textId="77777777" w:rsidR="00D41E20" w:rsidRPr="00D41E20" w:rsidRDefault="00D41E20" w:rsidP="00C52E7E">
            <w:pPr>
              <w:pStyle w:val="tabulka"/>
              <w:keepNext w:val="0"/>
              <w:jc w:val="center"/>
              <w:rPr>
                <w:b/>
                <w:sz w:val="18"/>
                <w:lang w:eastAsia="cs-CZ"/>
              </w:rPr>
            </w:pPr>
            <w:r w:rsidRPr="00D41E20">
              <w:rPr>
                <w:b/>
                <w:sz w:val="18"/>
                <w:lang w:eastAsia="cs-CZ"/>
              </w:rPr>
              <w:t>280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3EFF429B" w14:textId="366C6EC5" w:rsidR="00D41E20" w:rsidRPr="00D41E20" w:rsidRDefault="003E1093" w:rsidP="00C52E7E">
            <w:pPr>
              <w:pStyle w:val="tabulka"/>
              <w:keepNext w:val="0"/>
              <w:jc w:val="right"/>
              <w:rPr>
                <w:b/>
                <w:sz w:val="18"/>
                <w:lang w:eastAsia="cs-CZ"/>
              </w:rPr>
            </w:pPr>
            <w:r>
              <w:rPr>
                <w:rFonts w:asciiTheme="minorHAnsi" w:hAnsiTheme="minorHAnsi" w:cstheme="minorHAnsi"/>
                <w:sz w:val="18"/>
                <w:lang w:eastAsia="cs-CZ"/>
              </w:rPr>
              <w:t>–</w:t>
            </w:r>
          </w:p>
        </w:tc>
      </w:tr>
    </w:tbl>
    <w:p w14:paraId="795084BA" w14:textId="4C5C15D8" w:rsidR="00D41E20" w:rsidRDefault="00D41E20" w:rsidP="003417FB">
      <w:pPr>
        <w:pStyle w:val="Poznmka"/>
      </w:pPr>
      <w:r w:rsidRPr="00F14F8D">
        <w:rPr>
          <w:b/>
        </w:rPr>
        <w:t>Zdroj:</w:t>
      </w:r>
      <w:r>
        <w:tab/>
      </w:r>
      <w:r w:rsidRPr="00D55E20">
        <w:rPr>
          <w:i/>
        </w:rPr>
        <w:t>Metodika pro žadatele o dotaci ze státního rozpočtu na podporu specializačního vzdělávání ve</w:t>
      </w:r>
      <w:r w:rsidR="003357A7">
        <w:rPr>
          <w:i/>
        </w:rPr>
        <w:t xml:space="preserve"> </w:t>
      </w:r>
      <w:r w:rsidRPr="00D55E20">
        <w:rPr>
          <w:i/>
        </w:rPr>
        <w:t>vybraných oborech pro rok 2017</w:t>
      </w:r>
      <w:r>
        <w:t xml:space="preserve"> – absolventi ročníku 2017</w:t>
      </w:r>
      <w:r w:rsidR="00CD67FD">
        <w:t>.</w:t>
      </w:r>
      <w:r>
        <w:t xml:space="preserve"> </w:t>
      </w:r>
    </w:p>
    <w:p w14:paraId="49C73395" w14:textId="409F2BFB" w:rsidR="009272A1" w:rsidRDefault="009272A1" w:rsidP="005C4179">
      <w:pPr>
        <w:pStyle w:val="Nzevtabulky"/>
        <w:keepNext w:val="0"/>
        <w:numPr>
          <w:ilvl w:val="0"/>
          <w:numId w:val="11"/>
        </w:numPr>
        <w:tabs>
          <w:tab w:val="right" w:pos="9072"/>
        </w:tabs>
        <w:spacing w:before="120"/>
        <w:ind w:left="1332" w:hanging="1332"/>
        <w:rPr>
          <w:lang w:eastAsia="cs-CZ"/>
        </w:rPr>
      </w:pPr>
      <w:r>
        <w:rPr>
          <w:lang w:eastAsia="cs-CZ"/>
        </w:rPr>
        <w:t xml:space="preserve">Počet </w:t>
      </w:r>
      <w:r w:rsidR="00237F35">
        <w:rPr>
          <w:lang w:eastAsia="cs-CZ"/>
        </w:rPr>
        <w:t>školicích</w:t>
      </w:r>
      <w:r>
        <w:rPr>
          <w:lang w:eastAsia="cs-CZ"/>
        </w:rPr>
        <w:t xml:space="preserve"> míst vypsaných v letech 2015</w:t>
      </w:r>
      <w:r w:rsidR="00EA4E59">
        <w:rPr>
          <w:lang w:eastAsia="cs-CZ"/>
        </w:rPr>
        <w:t>–</w:t>
      </w:r>
      <w:r>
        <w:rPr>
          <w:lang w:eastAsia="cs-CZ"/>
        </w:rPr>
        <w:t xml:space="preserve">2018 na specializační vzdělávání pro nelékařské obory, dotace na </w:t>
      </w:r>
      <w:r w:rsidR="00237F35">
        <w:rPr>
          <w:lang w:eastAsia="cs-CZ"/>
        </w:rPr>
        <w:t>školence</w:t>
      </w:r>
      <w:r>
        <w:rPr>
          <w:lang w:eastAsia="cs-CZ"/>
        </w:rPr>
        <w:t xml:space="preserve"> na min</w:t>
      </w:r>
      <w:r w:rsidRPr="00005615">
        <w:rPr>
          <w:sz w:val="22"/>
          <w:lang w:eastAsia="cs-CZ"/>
        </w:rPr>
        <w:t>.</w:t>
      </w:r>
      <w:r w:rsidRPr="00005615">
        <w:rPr>
          <w:sz w:val="18"/>
          <w:lang w:eastAsia="cs-CZ"/>
        </w:rPr>
        <w:t xml:space="preserve"> </w:t>
      </w:r>
      <w:r w:rsidR="00266DDE">
        <w:rPr>
          <w:lang w:eastAsia="cs-CZ"/>
        </w:rPr>
        <w:t>délku studia</w:t>
      </w:r>
    </w:p>
    <w:tbl>
      <w:tblPr>
        <w:tblW w:w="507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3402"/>
        <w:gridCol w:w="1275"/>
        <w:gridCol w:w="567"/>
        <w:gridCol w:w="567"/>
        <w:gridCol w:w="567"/>
        <w:gridCol w:w="567"/>
      </w:tblGrid>
      <w:tr w:rsidR="00E04309" w:rsidRPr="00953032" w14:paraId="333919B9" w14:textId="77777777" w:rsidTr="00D55E20">
        <w:trPr>
          <w:trHeight w:val="2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7A12AAED" w14:textId="77777777" w:rsidR="00E04309" w:rsidRPr="00953032" w:rsidRDefault="00E04309" w:rsidP="00C52E7E">
            <w:pPr>
              <w:pStyle w:val="tabulka"/>
              <w:keepNext w:val="0"/>
              <w:jc w:val="center"/>
              <w:rPr>
                <w:b/>
                <w:sz w:val="18"/>
                <w:lang w:eastAsia="cs-CZ"/>
              </w:rPr>
            </w:pPr>
            <w:r w:rsidRPr="00953032">
              <w:rPr>
                <w:b/>
                <w:sz w:val="18"/>
                <w:lang w:eastAsia="cs-CZ"/>
              </w:rPr>
              <w:t>Název oboru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5F1FF"/>
            <w:vAlign w:val="center"/>
          </w:tcPr>
          <w:p w14:paraId="39343119" w14:textId="11EA5B44" w:rsidR="00E04309" w:rsidRPr="00953032" w:rsidRDefault="00E04309" w:rsidP="003E1093">
            <w:pPr>
              <w:pStyle w:val="tabulka"/>
              <w:keepNext w:val="0"/>
              <w:jc w:val="center"/>
              <w:rPr>
                <w:b/>
                <w:sz w:val="18"/>
                <w:lang w:eastAsia="cs-CZ"/>
              </w:rPr>
            </w:pPr>
            <w:r w:rsidRPr="00953032">
              <w:rPr>
                <w:b/>
                <w:sz w:val="18"/>
                <w:lang w:eastAsia="cs-CZ"/>
              </w:rPr>
              <w:t>Obor specializačního vzdělávání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5F1FF"/>
            <w:vAlign w:val="center"/>
          </w:tcPr>
          <w:p w14:paraId="224C4E3F" w14:textId="73B263D2" w:rsidR="00E04309" w:rsidRPr="00953032" w:rsidRDefault="00E04309" w:rsidP="005C4179">
            <w:pPr>
              <w:pStyle w:val="tabulka"/>
              <w:keepNext w:val="0"/>
              <w:ind w:left="-74"/>
              <w:jc w:val="center"/>
              <w:rPr>
                <w:b/>
                <w:sz w:val="18"/>
                <w:lang w:eastAsia="cs-CZ"/>
              </w:rPr>
            </w:pPr>
            <w:r w:rsidRPr="00953032">
              <w:rPr>
                <w:b/>
                <w:sz w:val="18"/>
                <w:lang w:eastAsia="cs-CZ"/>
              </w:rPr>
              <w:t xml:space="preserve">Dotace na min. délku studia na </w:t>
            </w:r>
            <w:r>
              <w:rPr>
                <w:b/>
                <w:sz w:val="18"/>
                <w:lang w:eastAsia="cs-CZ"/>
              </w:rPr>
              <w:t>školence (v Kč)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64628945" w14:textId="13C5170C" w:rsidR="00E04309" w:rsidRPr="00953032" w:rsidRDefault="00E04309" w:rsidP="00C52E7E">
            <w:pPr>
              <w:pStyle w:val="tabulka"/>
              <w:keepNext w:val="0"/>
              <w:jc w:val="center"/>
              <w:rPr>
                <w:b/>
                <w:sz w:val="18"/>
                <w:lang w:eastAsia="cs-CZ"/>
              </w:rPr>
            </w:pPr>
            <w:r w:rsidRPr="00953032">
              <w:rPr>
                <w:b/>
                <w:sz w:val="18"/>
                <w:lang w:eastAsia="cs-CZ"/>
              </w:rPr>
              <w:t>Počet míst</w:t>
            </w:r>
          </w:p>
        </w:tc>
      </w:tr>
      <w:tr w:rsidR="00E04309" w:rsidRPr="00953032" w14:paraId="795B2016" w14:textId="77777777" w:rsidTr="00D55E20">
        <w:trPr>
          <w:trHeight w:val="20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309C9923" w14:textId="77777777" w:rsidR="00E04309" w:rsidRPr="00953032" w:rsidRDefault="00E04309" w:rsidP="00C52E7E">
            <w:pPr>
              <w:pStyle w:val="tabulka"/>
              <w:keepNext w:val="0"/>
              <w:jc w:val="center"/>
              <w:rPr>
                <w:b/>
                <w:sz w:val="18"/>
                <w:lang w:eastAsia="cs-CZ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02AB9FC5" w14:textId="77777777" w:rsidR="00E04309" w:rsidRPr="00953032" w:rsidRDefault="00E04309" w:rsidP="00C52E7E">
            <w:pPr>
              <w:pStyle w:val="tabulka"/>
              <w:keepNext w:val="0"/>
              <w:jc w:val="center"/>
              <w:rPr>
                <w:b/>
                <w:sz w:val="18"/>
                <w:lang w:eastAsia="cs-CZ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0D1D0A0F" w14:textId="77777777" w:rsidR="00E04309" w:rsidRPr="00953032" w:rsidRDefault="00E04309" w:rsidP="00C52E7E">
            <w:pPr>
              <w:pStyle w:val="tabulka"/>
              <w:keepNext w:val="0"/>
              <w:jc w:val="center"/>
              <w:rPr>
                <w:b/>
                <w:sz w:val="18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2E178B7D" w14:textId="77777777" w:rsidR="00E04309" w:rsidRPr="00953032" w:rsidRDefault="00E04309" w:rsidP="00C52E7E">
            <w:pPr>
              <w:pStyle w:val="tabulka"/>
              <w:keepNext w:val="0"/>
              <w:jc w:val="center"/>
              <w:rPr>
                <w:b/>
                <w:sz w:val="18"/>
                <w:lang w:eastAsia="cs-CZ"/>
              </w:rPr>
            </w:pPr>
            <w:r w:rsidRPr="00953032">
              <w:rPr>
                <w:b/>
                <w:sz w:val="18"/>
                <w:lang w:eastAsia="cs-CZ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584F010F" w14:textId="77777777" w:rsidR="00E04309" w:rsidRPr="00953032" w:rsidRDefault="00E04309" w:rsidP="00C52E7E">
            <w:pPr>
              <w:pStyle w:val="tabulka"/>
              <w:keepNext w:val="0"/>
              <w:jc w:val="center"/>
              <w:rPr>
                <w:b/>
                <w:sz w:val="18"/>
                <w:lang w:eastAsia="cs-CZ"/>
              </w:rPr>
            </w:pPr>
            <w:r w:rsidRPr="00953032">
              <w:rPr>
                <w:b/>
                <w:sz w:val="18"/>
                <w:lang w:eastAsia="cs-CZ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69E8720D" w14:textId="77777777" w:rsidR="00E04309" w:rsidRPr="00953032" w:rsidRDefault="00E04309" w:rsidP="00C52E7E">
            <w:pPr>
              <w:pStyle w:val="tabulka"/>
              <w:keepNext w:val="0"/>
              <w:jc w:val="center"/>
              <w:rPr>
                <w:b/>
                <w:sz w:val="18"/>
                <w:lang w:eastAsia="cs-CZ"/>
              </w:rPr>
            </w:pPr>
            <w:r w:rsidRPr="00953032">
              <w:rPr>
                <w:b/>
                <w:sz w:val="18"/>
                <w:lang w:eastAsia="cs-CZ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156C5DE7" w14:textId="77777777" w:rsidR="00E04309" w:rsidRPr="00953032" w:rsidRDefault="00E04309" w:rsidP="00C52E7E">
            <w:pPr>
              <w:pStyle w:val="tabulka"/>
              <w:keepNext w:val="0"/>
              <w:jc w:val="center"/>
              <w:rPr>
                <w:b/>
                <w:sz w:val="18"/>
                <w:lang w:eastAsia="cs-CZ"/>
              </w:rPr>
            </w:pPr>
            <w:r w:rsidRPr="00953032">
              <w:rPr>
                <w:b/>
                <w:sz w:val="18"/>
                <w:lang w:eastAsia="cs-CZ"/>
              </w:rPr>
              <w:t>2018</w:t>
            </w:r>
          </w:p>
        </w:tc>
      </w:tr>
      <w:tr w:rsidR="005C4179" w:rsidRPr="00953032" w14:paraId="38764EE3" w14:textId="77777777" w:rsidTr="005C4179">
        <w:trPr>
          <w:trHeight w:val="20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DC89" w14:textId="77777777" w:rsidR="009272A1" w:rsidRPr="00953032" w:rsidRDefault="009272A1" w:rsidP="00C52E7E">
            <w:pPr>
              <w:pStyle w:val="tabulka"/>
              <w:keepNext w:val="0"/>
              <w:jc w:val="left"/>
              <w:rPr>
                <w:sz w:val="18"/>
                <w:szCs w:val="20"/>
                <w:lang w:eastAsia="cs-CZ"/>
              </w:rPr>
            </w:pPr>
            <w:r w:rsidRPr="00953032">
              <w:rPr>
                <w:sz w:val="18"/>
                <w:szCs w:val="20"/>
                <w:lang w:eastAsia="cs-CZ"/>
              </w:rPr>
              <w:t>Všeobecná sestra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4704" w14:textId="77777777" w:rsidR="009272A1" w:rsidRPr="00953032" w:rsidRDefault="009272A1" w:rsidP="00C52E7E">
            <w:pPr>
              <w:pStyle w:val="tabulka"/>
              <w:keepNext w:val="0"/>
              <w:jc w:val="left"/>
              <w:rPr>
                <w:sz w:val="18"/>
                <w:szCs w:val="20"/>
                <w:lang w:eastAsia="cs-CZ"/>
              </w:rPr>
            </w:pPr>
            <w:r w:rsidRPr="00953032">
              <w:rPr>
                <w:sz w:val="18"/>
                <w:szCs w:val="20"/>
                <w:lang w:eastAsia="cs-CZ"/>
              </w:rPr>
              <w:t>Intenzivní péče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36B9" w14:textId="77777777" w:rsidR="009272A1" w:rsidRPr="00953032" w:rsidRDefault="009272A1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120 000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41FB" w14:textId="77777777" w:rsidR="009272A1" w:rsidRPr="00953032" w:rsidRDefault="009272A1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0DCE" w14:textId="77777777" w:rsidR="009272A1" w:rsidRPr="00953032" w:rsidRDefault="009272A1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6696" w14:textId="77777777" w:rsidR="009272A1" w:rsidRPr="00953032" w:rsidRDefault="009272A1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5EA9" w14:textId="77777777" w:rsidR="009272A1" w:rsidRPr="00953032" w:rsidRDefault="009272A1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200</w:t>
            </w:r>
          </w:p>
        </w:tc>
      </w:tr>
      <w:tr w:rsidR="005C4179" w:rsidRPr="00953032" w14:paraId="75828CD4" w14:textId="77777777" w:rsidTr="005C4179">
        <w:trPr>
          <w:trHeight w:val="20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3DF9" w14:textId="77777777" w:rsidR="009272A1" w:rsidRPr="00953032" w:rsidRDefault="009272A1" w:rsidP="00C52E7E">
            <w:pPr>
              <w:pStyle w:val="tabulka"/>
              <w:keepNext w:val="0"/>
              <w:jc w:val="left"/>
              <w:rPr>
                <w:sz w:val="18"/>
                <w:szCs w:val="20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3553" w14:textId="77777777" w:rsidR="009272A1" w:rsidRPr="00953032" w:rsidRDefault="009272A1" w:rsidP="00C52E7E">
            <w:pPr>
              <w:pStyle w:val="tabulka"/>
              <w:keepNext w:val="0"/>
              <w:jc w:val="left"/>
              <w:rPr>
                <w:sz w:val="18"/>
                <w:szCs w:val="20"/>
                <w:lang w:eastAsia="cs-CZ"/>
              </w:rPr>
            </w:pPr>
            <w:r w:rsidRPr="00953032">
              <w:rPr>
                <w:sz w:val="18"/>
                <w:szCs w:val="20"/>
                <w:lang w:eastAsia="cs-CZ"/>
              </w:rPr>
              <w:t>Intenzivní péče v pediatrii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9004" w14:textId="77777777" w:rsidR="009272A1" w:rsidRPr="00953032" w:rsidRDefault="009272A1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120 000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9B47" w14:textId="77777777" w:rsidR="009272A1" w:rsidRPr="00953032" w:rsidRDefault="009272A1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EAFA" w14:textId="77777777" w:rsidR="009272A1" w:rsidRPr="00953032" w:rsidRDefault="009272A1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6025" w14:textId="77777777" w:rsidR="009272A1" w:rsidRPr="00953032" w:rsidRDefault="009272A1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57DD" w14:textId="77777777" w:rsidR="009272A1" w:rsidRPr="00953032" w:rsidRDefault="009272A1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40</w:t>
            </w:r>
          </w:p>
        </w:tc>
      </w:tr>
      <w:tr w:rsidR="005C4179" w:rsidRPr="00953032" w14:paraId="7F1D44B5" w14:textId="77777777" w:rsidTr="005C4179">
        <w:trPr>
          <w:trHeight w:val="20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8F29" w14:textId="77777777" w:rsidR="009272A1" w:rsidRPr="00953032" w:rsidRDefault="009272A1" w:rsidP="00C52E7E">
            <w:pPr>
              <w:pStyle w:val="tabulka"/>
              <w:keepNext w:val="0"/>
              <w:jc w:val="left"/>
              <w:rPr>
                <w:sz w:val="18"/>
                <w:szCs w:val="20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F255" w14:textId="77777777" w:rsidR="009272A1" w:rsidRPr="00953032" w:rsidRDefault="009272A1" w:rsidP="00C52E7E">
            <w:pPr>
              <w:pStyle w:val="tabulka"/>
              <w:keepNext w:val="0"/>
              <w:jc w:val="left"/>
              <w:rPr>
                <w:sz w:val="18"/>
                <w:szCs w:val="20"/>
                <w:lang w:eastAsia="cs-CZ"/>
              </w:rPr>
            </w:pPr>
            <w:r w:rsidRPr="00953032">
              <w:rPr>
                <w:sz w:val="18"/>
                <w:szCs w:val="20"/>
                <w:lang w:eastAsia="cs-CZ"/>
              </w:rPr>
              <w:t>Perioperační péče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89EF" w14:textId="77777777" w:rsidR="009272A1" w:rsidRPr="00953032" w:rsidRDefault="009272A1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120 000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749C" w14:textId="77777777" w:rsidR="009272A1" w:rsidRPr="00953032" w:rsidRDefault="009272A1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55E4" w14:textId="77777777" w:rsidR="009272A1" w:rsidRPr="00953032" w:rsidRDefault="009272A1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0822" w14:textId="77777777" w:rsidR="009272A1" w:rsidRPr="00953032" w:rsidRDefault="009272A1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E760" w14:textId="77777777" w:rsidR="009272A1" w:rsidRPr="00953032" w:rsidRDefault="009272A1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50</w:t>
            </w:r>
          </w:p>
        </w:tc>
      </w:tr>
      <w:tr w:rsidR="005C4179" w:rsidRPr="00953032" w14:paraId="40064A6E" w14:textId="77777777" w:rsidTr="005C4179">
        <w:trPr>
          <w:trHeight w:val="20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D71B" w14:textId="77777777" w:rsidR="009272A1" w:rsidRPr="00953032" w:rsidRDefault="009272A1" w:rsidP="00C52E7E">
            <w:pPr>
              <w:pStyle w:val="tabulka"/>
              <w:keepNext w:val="0"/>
              <w:jc w:val="left"/>
              <w:rPr>
                <w:sz w:val="18"/>
                <w:szCs w:val="20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EA52" w14:textId="77777777" w:rsidR="009272A1" w:rsidRPr="00953032" w:rsidRDefault="009272A1" w:rsidP="00C52E7E">
            <w:pPr>
              <w:pStyle w:val="tabulka"/>
              <w:keepNext w:val="0"/>
              <w:jc w:val="left"/>
              <w:rPr>
                <w:sz w:val="18"/>
                <w:szCs w:val="20"/>
                <w:lang w:eastAsia="cs-CZ"/>
              </w:rPr>
            </w:pPr>
            <w:r w:rsidRPr="00953032">
              <w:rPr>
                <w:sz w:val="18"/>
                <w:szCs w:val="20"/>
                <w:lang w:eastAsia="cs-CZ"/>
              </w:rPr>
              <w:t>Ošetřovatelská péče v pediatrii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1884" w14:textId="77777777" w:rsidR="009272A1" w:rsidRPr="00953032" w:rsidRDefault="009272A1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90 000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59CC" w14:textId="77777777" w:rsidR="009272A1" w:rsidRPr="00953032" w:rsidRDefault="009272A1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926B" w14:textId="77777777" w:rsidR="009272A1" w:rsidRPr="00953032" w:rsidRDefault="009272A1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EC42" w14:textId="77777777" w:rsidR="009272A1" w:rsidRPr="00953032" w:rsidRDefault="009272A1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9491" w14:textId="77777777" w:rsidR="009272A1" w:rsidRPr="00953032" w:rsidRDefault="009272A1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40</w:t>
            </w:r>
          </w:p>
        </w:tc>
      </w:tr>
      <w:tr w:rsidR="005C4179" w:rsidRPr="00953032" w14:paraId="6A630D72" w14:textId="77777777" w:rsidTr="005C4179">
        <w:trPr>
          <w:trHeight w:val="20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29F0" w14:textId="77777777" w:rsidR="009272A1" w:rsidRPr="00953032" w:rsidRDefault="009272A1" w:rsidP="00C52E7E">
            <w:pPr>
              <w:pStyle w:val="tabulka"/>
              <w:keepNext w:val="0"/>
              <w:jc w:val="left"/>
              <w:rPr>
                <w:sz w:val="18"/>
                <w:szCs w:val="20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BD11" w14:textId="77777777" w:rsidR="009272A1" w:rsidRPr="00953032" w:rsidRDefault="009272A1" w:rsidP="00C52E7E">
            <w:pPr>
              <w:pStyle w:val="tabulka"/>
              <w:keepNext w:val="0"/>
              <w:jc w:val="left"/>
              <w:rPr>
                <w:sz w:val="18"/>
                <w:szCs w:val="20"/>
                <w:lang w:eastAsia="cs-CZ"/>
              </w:rPr>
            </w:pPr>
            <w:r w:rsidRPr="00953032">
              <w:rPr>
                <w:sz w:val="18"/>
                <w:szCs w:val="20"/>
                <w:lang w:eastAsia="cs-CZ"/>
              </w:rPr>
              <w:t>Ošetřovatelská péče v psychiatrii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300F" w14:textId="77777777" w:rsidR="009272A1" w:rsidRPr="00953032" w:rsidRDefault="009272A1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90 000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8518" w14:textId="77777777" w:rsidR="009272A1" w:rsidRPr="00953032" w:rsidRDefault="009272A1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B4CC" w14:textId="77777777" w:rsidR="009272A1" w:rsidRPr="00953032" w:rsidRDefault="009272A1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D019" w14:textId="77777777" w:rsidR="009272A1" w:rsidRPr="00953032" w:rsidRDefault="009272A1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2EB1" w14:textId="77777777" w:rsidR="009272A1" w:rsidRPr="00953032" w:rsidRDefault="009272A1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10</w:t>
            </w:r>
          </w:p>
        </w:tc>
      </w:tr>
      <w:tr w:rsidR="005C4179" w:rsidRPr="00953032" w14:paraId="3DE1F32B" w14:textId="77777777" w:rsidTr="005C4179">
        <w:trPr>
          <w:trHeight w:val="20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C3C0" w14:textId="77777777" w:rsidR="009272A1" w:rsidRPr="00953032" w:rsidRDefault="009272A1" w:rsidP="00C52E7E">
            <w:pPr>
              <w:pStyle w:val="tabulka"/>
              <w:keepNext w:val="0"/>
              <w:jc w:val="left"/>
              <w:rPr>
                <w:sz w:val="18"/>
                <w:szCs w:val="20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87D3" w14:textId="77777777" w:rsidR="009272A1" w:rsidRPr="00953032" w:rsidRDefault="009272A1" w:rsidP="00C52E7E">
            <w:pPr>
              <w:pStyle w:val="tabulka"/>
              <w:keepNext w:val="0"/>
              <w:jc w:val="left"/>
              <w:rPr>
                <w:sz w:val="18"/>
                <w:szCs w:val="20"/>
                <w:lang w:eastAsia="cs-CZ"/>
              </w:rPr>
            </w:pPr>
            <w:r w:rsidRPr="00953032">
              <w:rPr>
                <w:sz w:val="18"/>
                <w:szCs w:val="20"/>
                <w:lang w:eastAsia="cs-CZ"/>
              </w:rPr>
              <w:t>Ošetřovatelská péče v interních oborech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72DB" w14:textId="77777777" w:rsidR="009272A1" w:rsidRPr="00953032" w:rsidRDefault="009272A1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90 000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2729" w14:textId="77777777" w:rsidR="009272A1" w:rsidRPr="00953032" w:rsidRDefault="009272A1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FD13" w14:textId="77777777" w:rsidR="009272A1" w:rsidRPr="00953032" w:rsidRDefault="009272A1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B00D" w14:textId="77777777" w:rsidR="009272A1" w:rsidRPr="00953032" w:rsidRDefault="009272A1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96CD" w14:textId="77777777" w:rsidR="009272A1" w:rsidRPr="00953032" w:rsidRDefault="009272A1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35</w:t>
            </w:r>
          </w:p>
        </w:tc>
      </w:tr>
      <w:tr w:rsidR="005C4179" w:rsidRPr="00953032" w14:paraId="1601E230" w14:textId="77777777" w:rsidTr="005C4179">
        <w:trPr>
          <w:trHeight w:val="20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7EB3" w14:textId="77777777" w:rsidR="009272A1" w:rsidRPr="00953032" w:rsidRDefault="009272A1" w:rsidP="00C52E7E">
            <w:pPr>
              <w:pStyle w:val="tabulka"/>
              <w:keepNext w:val="0"/>
              <w:jc w:val="left"/>
              <w:rPr>
                <w:sz w:val="18"/>
                <w:szCs w:val="20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592A" w14:textId="5797C460" w:rsidR="009272A1" w:rsidRPr="00953032" w:rsidRDefault="00C11F5B" w:rsidP="00C52E7E">
            <w:pPr>
              <w:pStyle w:val="tabulka"/>
              <w:keepNext w:val="0"/>
              <w:jc w:val="left"/>
              <w:rPr>
                <w:sz w:val="18"/>
                <w:szCs w:val="20"/>
                <w:lang w:eastAsia="cs-CZ"/>
              </w:rPr>
            </w:pPr>
            <w:r>
              <w:rPr>
                <w:sz w:val="18"/>
                <w:szCs w:val="20"/>
                <w:lang w:eastAsia="cs-CZ"/>
              </w:rPr>
              <w:t xml:space="preserve">Ošetřovatelská </w:t>
            </w:r>
            <w:proofErr w:type="gramStart"/>
            <w:r>
              <w:rPr>
                <w:sz w:val="18"/>
                <w:szCs w:val="20"/>
                <w:lang w:eastAsia="cs-CZ"/>
              </w:rPr>
              <w:t>péče v chirurg</w:t>
            </w:r>
            <w:proofErr w:type="gramEnd"/>
            <w:r>
              <w:rPr>
                <w:sz w:val="18"/>
                <w:szCs w:val="20"/>
                <w:lang w:eastAsia="cs-CZ"/>
              </w:rPr>
              <w:t>.</w:t>
            </w:r>
            <w:r w:rsidR="009272A1" w:rsidRPr="00953032">
              <w:rPr>
                <w:sz w:val="18"/>
                <w:szCs w:val="20"/>
                <w:lang w:eastAsia="cs-CZ"/>
              </w:rPr>
              <w:t xml:space="preserve"> oborech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8CAE" w14:textId="77777777" w:rsidR="009272A1" w:rsidRPr="00953032" w:rsidRDefault="009272A1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90 000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C2C2" w14:textId="77777777" w:rsidR="009272A1" w:rsidRPr="00953032" w:rsidRDefault="009272A1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5441" w14:textId="77777777" w:rsidR="009272A1" w:rsidRPr="00953032" w:rsidRDefault="009272A1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4245" w14:textId="77777777" w:rsidR="009272A1" w:rsidRPr="00953032" w:rsidRDefault="009272A1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FFE6" w14:textId="77777777" w:rsidR="009272A1" w:rsidRPr="00953032" w:rsidRDefault="009272A1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35</w:t>
            </w:r>
          </w:p>
        </w:tc>
      </w:tr>
      <w:tr w:rsidR="005C4179" w:rsidRPr="00953032" w14:paraId="7D698F11" w14:textId="77777777" w:rsidTr="005C4179">
        <w:trPr>
          <w:trHeight w:val="20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17CA" w14:textId="77777777" w:rsidR="009272A1" w:rsidRPr="00953032" w:rsidRDefault="009272A1" w:rsidP="00C52E7E">
            <w:pPr>
              <w:pStyle w:val="tabulka"/>
              <w:keepNext w:val="0"/>
              <w:jc w:val="left"/>
              <w:rPr>
                <w:sz w:val="18"/>
                <w:szCs w:val="20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7DBF" w14:textId="77777777" w:rsidR="009272A1" w:rsidRPr="00953032" w:rsidRDefault="009272A1" w:rsidP="00C52E7E">
            <w:pPr>
              <w:pStyle w:val="tabulka"/>
              <w:keepNext w:val="0"/>
              <w:jc w:val="left"/>
              <w:rPr>
                <w:sz w:val="18"/>
                <w:szCs w:val="20"/>
                <w:lang w:eastAsia="cs-CZ"/>
              </w:rPr>
            </w:pPr>
            <w:r w:rsidRPr="00953032">
              <w:rPr>
                <w:sz w:val="18"/>
                <w:szCs w:val="20"/>
                <w:lang w:eastAsia="cs-CZ"/>
              </w:rPr>
              <w:t>Komunitní ošetřovatelská péče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C84D" w14:textId="77777777" w:rsidR="009272A1" w:rsidRPr="00953032" w:rsidRDefault="009272A1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90 000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097D" w14:textId="77777777" w:rsidR="009272A1" w:rsidRPr="00953032" w:rsidRDefault="009272A1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E03F" w14:textId="77777777" w:rsidR="009272A1" w:rsidRPr="00953032" w:rsidRDefault="009272A1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9094" w14:textId="77777777" w:rsidR="009272A1" w:rsidRPr="00953032" w:rsidRDefault="009272A1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4060" w14:textId="77777777" w:rsidR="009272A1" w:rsidRPr="00953032" w:rsidRDefault="009272A1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0</w:t>
            </w:r>
          </w:p>
        </w:tc>
      </w:tr>
      <w:tr w:rsidR="005C4179" w:rsidRPr="00953032" w14:paraId="1F3B2802" w14:textId="77777777" w:rsidTr="005C4179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8A77" w14:textId="77777777" w:rsidR="009272A1" w:rsidRPr="00953032" w:rsidRDefault="009272A1" w:rsidP="00C52E7E">
            <w:pPr>
              <w:pStyle w:val="tabulka"/>
              <w:keepNext w:val="0"/>
              <w:jc w:val="left"/>
              <w:rPr>
                <w:sz w:val="18"/>
                <w:szCs w:val="20"/>
                <w:lang w:eastAsia="cs-CZ"/>
              </w:rPr>
            </w:pPr>
            <w:r w:rsidRPr="00953032">
              <w:rPr>
                <w:sz w:val="18"/>
                <w:szCs w:val="20"/>
                <w:lang w:eastAsia="cs-CZ"/>
              </w:rPr>
              <w:t>Porodní asistentka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EAD8" w14:textId="77777777" w:rsidR="009272A1" w:rsidRPr="00953032" w:rsidRDefault="009272A1" w:rsidP="00C52E7E">
            <w:pPr>
              <w:pStyle w:val="tabulka"/>
              <w:keepNext w:val="0"/>
              <w:jc w:val="left"/>
              <w:rPr>
                <w:sz w:val="18"/>
                <w:szCs w:val="20"/>
                <w:lang w:eastAsia="cs-CZ"/>
              </w:rPr>
            </w:pPr>
            <w:r w:rsidRPr="00953032">
              <w:rPr>
                <w:sz w:val="18"/>
                <w:szCs w:val="20"/>
                <w:lang w:eastAsia="cs-CZ"/>
              </w:rPr>
              <w:t xml:space="preserve">Perioperační péče v </w:t>
            </w:r>
            <w:proofErr w:type="spellStart"/>
            <w:r w:rsidRPr="00953032">
              <w:rPr>
                <w:sz w:val="18"/>
                <w:szCs w:val="20"/>
                <w:lang w:eastAsia="cs-CZ"/>
              </w:rPr>
              <w:t>gyn</w:t>
            </w:r>
            <w:proofErr w:type="spellEnd"/>
            <w:r w:rsidRPr="00953032">
              <w:rPr>
                <w:sz w:val="18"/>
                <w:szCs w:val="20"/>
                <w:lang w:eastAsia="cs-CZ"/>
              </w:rPr>
              <w:t>. a porodnictví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44B9" w14:textId="77777777" w:rsidR="009272A1" w:rsidRPr="00953032" w:rsidRDefault="009272A1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120 000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4865" w14:textId="77777777" w:rsidR="009272A1" w:rsidRPr="00953032" w:rsidRDefault="009272A1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26B3" w14:textId="77777777" w:rsidR="009272A1" w:rsidRPr="00953032" w:rsidRDefault="009272A1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A355" w14:textId="77777777" w:rsidR="009272A1" w:rsidRPr="00953032" w:rsidRDefault="009272A1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A28E" w14:textId="77777777" w:rsidR="009272A1" w:rsidRPr="00953032" w:rsidRDefault="009272A1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10</w:t>
            </w:r>
          </w:p>
        </w:tc>
      </w:tr>
      <w:tr w:rsidR="005C4179" w:rsidRPr="00953032" w14:paraId="2ED906C5" w14:textId="77777777" w:rsidTr="005C4179">
        <w:trPr>
          <w:trHeight w:val="20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A979" w14:textId="77777777" w:rsidR="009272A1" w:rsidRPr="00953032" w:rsidRDefault="009272A1" w:rsidP="00C52E7E">
            <w:pPr>
              <w:pStyle w:val="tabulka"/>
              <w:keepNext w:val="0"/>
              <w:jc w:val="left"/>
              <w:rPr>
                <w:sz w:val="18"/>
                <w:szCs w:val="20"/>
                <w:lang w:eastAsia="cs-CZ"/>
              </w:rPr>
            </w:pPr>
            <w:r w:rsidRPr="00953032">
              <w:rPr>
                <w:sz w:val="18"/>
                <w:szCs w:val="20"/>
                <w:lang w:eastAsia="cs-CZ"/>
              </w:rPr>
              <w:t>Zdravotní laborant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4B24" w14:textId="77777777" w:rsidR="009272A1" w:rsidRPr="00953032" w:rsidRDefault="009272A1" w:rsidP="00C52E7E">
            <w:pPr>
              <w:pStyle w:val="tabulka"/>
              <w:keepNext w:val="0"/>
              <w:jc w:val="left"/>
              <w:rPr>
                <w:sz w:val="18"/>
                <w:szCs w:val="20"/>
                <w:lang w:eastAsia="cs-CZ"/>
              </w:rPr>
            </w:pPr>
            <w:r w:rsidRPr="00953032">
              <w:rPr>
                <w:sz w:val="18"/>
                <w:szCs w:val="20"/>
                <w:lang w:eastAsia="cs-CZ"/>
              </w:rPr>
              <w:t xml:space="preserve">Klinická hematologie a </w:t>
            </w:r>
            <w:proofErr w:type="spellStart"/>
            <w:r w:rsidRPr="00953032">
              <w:rPr>
                <w:sz w:val="18"/>
                <w:szCs w:val="20"/>
                <w:lang w:eastAsia="cs-CZ"/>
              </w:rPr>
              <w:t>transf</w:t>
            </w:r>
            <w:proofErr w:type="spellEnd"/>
            <w:r w:rsidRPr="00953032">
              <w:rPr>
                <w:sz w:val="18"/>
                <w:szCs w:val="20"/>
                <w:lang w:eastAsia="cs-CZ"/>
              </w:rPr>
              <w:t>. služba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8928" w14:textId="77777777" w:rsidR="009272A1" w:rsidRPr="00953032" w:rsidRDefault="009272A1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90 000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9EB9" w14:textId="77777777" w:rsidR="009272A1" w:rsidRPr="00953032" w:rsidRDefault="009272A1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D4DA" w14:textId="77777777" w:rsidR="009272A1" w:rsidRPr="00953032" w:rsidRDefault="009272A1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B17F" w14:textId="77777777" w:rsidR="009272A1" w:rsidRPr="00953032" w:rsidRDefault="009272A1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2A2E" w14:textId="77777777" w:rsidR="009272A1" w:rsidRPr="00953032" w:rsidRDefault="009272A1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20</w:t>
            </w:r>
          </w:p>
        </w:tc>
      </w:tr>
      <w:tr w:rsidR="005C4179" w:rsidRPr="00953032" w14:paraId="677A5F41" w14:textId="77777777" w:rsidTr="005C4179">
        <w:trPr>
          <w:trHeight w:val="20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C9A5" w14:textId="77777777" w:rsidR="00D41E20" w:rsidRPr="00953032" w:rsidRDefault="00D41E20" w:rsidP="00C52E7E">
            <w:pPr>
              <w:pStyle w:val="tabulka"/>
              <w:keepNext w:val="0"/>
              <w:jc w:val="left"/>
              <w:rPr>
                <w:sz w:val="18"/>
                <w:szCs w:val="20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FADD6" w14:textId="6E5B2D39" w:rsidR="00D41E20" w:rsidRPr="00953032" w:rsidRDefault="00D41E20" w:rsidP="00C52E7E">
            <w:pPr>
              <w:pStyle w:val="tabulka"/>
              <w:keepNext w:val="0"/>
              <w:jc w:val="left"/>
              <w:rPr>
                <w:sz w:val="18"/>
                <w:szCs w:val="20"/>
                <w:lang w:eastAsia="cs-CZ"/>
              </w:rPr>
            </w:pPr>
            <w:r w:rsidRPr="00953032">
              <w:rPr>
                <w:sz w:val="18"/>
                <w:szCs w:val="20"/>
                <w:lang w:eastAsia="cs-CZ"/>
              </w:rPr>
              <w:t>Histologie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CBDFD" w14:textId="3AE2D706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90 000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1652F" w14:textId="2B5FC9A3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3807D" w14:textId="14C73E7F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E8AA" w14:textId="3AB53E2B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B6E0" w14:textId="561EBBA8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0</w:t>
            </w:r>
          </w:p>
        </w:tc>
      </w:tr>
      <w:tr w:rsidR="005C4179" w:rsidRPr="00953032" w14:paraId="2DB736BA" w14:textId="77777777" w:rsidTr="005C4179">
        <w:trPr>
          <w:trHeight w:val="20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8829" w14:textId="77777777" w:rsidR="00D41E20" w:rsidRPr="00953032" w:rsidRDefault="00D41E20" w:rsidP="00C52E7E">
            <w:pPr>
              <w:pStyle w:val="tabulka"/>
              <w:keepNext w:val="0"/>
              <w:jc w:val="left"/>
              <w:rPr>
                <w:sz w:val="18"/>
                <w:szCs w:val="20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56982" w14:textId="7411F32C" w:rsidR="00D41E20" w:rsidRPr="00953032" w:rsidRDefault="00D41E20" w:rsidP="00C52E7E">
            <w:pPr>
              <w:pStyle w:val="tabulka"/>
              <w:keepNext w:val="0"/>
              <w:jc w:val="left"/>
              <w:rPr>
                <w:sz w:val="18"/>
                <w:szCs w:val="20"/>
                <w:lang w:eastAsia="cs-CZ"/>
              </w:rPr>
            </w:pPr>
            <w:r w:rsidRPr="00953032">
              <w:rPr>
                <w:sz w:val="18"/>
                <w:szCs w:val="20"/>
                <w:lang w:eastAsia="cs-CZ"/>
              </w:rPr>
              <w:t>Mikrobiologie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D672E" w14:textId="6FAAC256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90 000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C5070" w14:textId="04EE580E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6B4ED" w14:textId="46B4B979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7B294" w14:textId="1E3C2D21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AA05F" w14:textId="059BFA1F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0</w:t>
            </w:r>
          </w:p>
        </w:tc>
      </w:tr>
      <w:tr w:rsidR="005C4179" w:rsidRPr="00953032" w14:paraId="13278797" w14:textId="77777777" w:rsidTr="005C4179">
        <w:trPr>
          <w:trHeight w:val="20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4BB8" w14:textId="77777777" w:rsidR="00D41E20" w:rsidRPr="00953032" w:rsidRDefault="00D41E20" w:rsidP="00C52E7E">
            <w:pPr>
              <w:pStyle w:val="tabulka"/>
              <w:keepNext w:val="0"/>
              <w:jc w:val="left"/>
              <w:rPr>
                <w:sz w:val="18"/>
                <w:szCs w:val="20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4BCFD" w14:textId="4BD73467" w:rsidR="00D41E20" w:rsidRPr="00953032" w:rsidRDefault="00D41E20" w:rsidP="00C52E7E">
            <w:pPr>
              <w:pStyle w:val="tabulka"/>
              <w:keepNext w:val="0"/>
              <w:jc w:val="left"/>
              <w:rPr>
                <w:sz w:val="18"/>
                <w:szCs w:val="20"/>
                <w:lang w:eastAsia="cs-CZ"/>
              </w:rPr>
            </w:pPr>
            <w:r w:rsidRPr="00953032">
              <w:rPr>
                <w:sz w:val="18"/>
                <w:szCs w:val="20"/>
                <w:lang w:eastAsia="cs-CZ"/>
              </w:rPr>
              <w:t>Klinická genetika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32C5E" w14:textId="1A0235A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90 000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A1918" w14:textId="61D1002A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18CCD" w14:textId="2A002373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38191" w14:textId="625CC499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E8380" w14:textId="1BEF08E9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0</w:t>
            </w:r>
          </w:p>
        </w:tc>
      </w:tr>
      <w:tr w:rsidR="005C4179" w:rsidRPr="00953032" w14:paraId="323C3473" w14:textId="77777777" w:rsidTr="005C4179">
        <w:trPr>
          <w:trHeight w:val="20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6745" w14:textId="77777777" w:rsidR="00D41E20" w:rsidRPr="00953032" w:rsidRDefault="00D41E20" w:rsidP="00C52E7E">
            <w:pPr>
              <w:pStyle w:val="tabulka"/>
              <w:keepNext w:val="0"/>
              <w:jc w:val="left"/>
              <w:rPr>
                <w:sz w:val="18"/>
                <w:szCs w:val="20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C3D8" w14:textId="3C3598A1" w:rsidR="00D41E20" w:rsidRPr="00953032" w:rsidRDefault="00D41E20" w:rsidP="00C52E7E">
            <w:pPr>
              <w:pStyle w:val="tabulka"/>
              <w:keepNext w:val="0"/>
              <w:jc w:val="left"/>
              <w:rPr>
                <w:sz w:val="18"/>
                <w:szCs w:val="20"/>
                <w:lang w:eastAsia="cs-CZ"/>
              </w:rPr>
            </w:pPr>
            <w:r w:rsidRPr="00953032">
              <w:rPr>
                <w:sz w:val="18"/>
                <w:szCs w:val="20"/>
                <w:lang w:eastAsia="cs-CZ"/>
              </w:rPr>
              <w:t>Klinická biochemie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50005" w14:textId="6F2D24FD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90 000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EB5C1" w14:textId="31F0E935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F835A" w14:textId="022F744B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F1684" w14:textId="718D1325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FCBDA" w14:textId="4C247199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15</w:t>
            </w:r>
          </w:p>
        </w:tc>
      </w:tr>
      <w:tr w:rsidR="005C4179" w:rsidRPr="00953032" w14:paraId="51FF7023" w14:textId="77777777" w:rsidTr="005C4179">
        <w:trPr>
          <w:trHeight w:val="70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F9D7" w14:textId="77777777" w:rsidR="00D41E20" w:rsidRPr="00953032" w:rsidRDefault="00D41E20" w:rsidP="00C52E7E">
            <w:pPr>
              <w:pStyle w:val="tabulka"/>
              <w:keepNext w:val="0"/>
              <w:jc w:val="left"/>
              <w:rPr>
                <w:sz w:val="18"/>
                <w:szCs w:val="20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193AF" w14:textId="0E492565" w:rsidR="00D41E20" w:rsidRPr="00953032" w:rsidRDefault="00D41E20" w:rsidP="00C52E7E">
            <w:pPr>
              <w:pStyle w:val="tabulka"/>
              <w:keepNext w:val="0"/>
              <w:jc w:val="left"/>
              <w:rPr>
                <w:sz w:val="18"/>
                <w:szCs w:val="20"/>
                <w:lang w:eastAsia="cs-CZ"/>
              </w:rPr>
            </w:pPr>
            <w:proofErr w:type="spellStart"/>
            <w:r w:rsidRPr="00953032">
              <w:rPr>
                <w:sz w:val="18"/>
                <w:szCs w:val="20"/>
                <w:lang w:eastAsia="cs-CZ"/>
              </w:rPr>
              <w:t>Vyšetř</w:t>
            </w:r>
            <w:proofErr w:type="spellEnd"/>
            <w:r w:rsidR="00C11F5B">
              <w:rPr>
                <w:sz w:val="18"/>
                <w:szCs w:val="20"/>
                <w:lang w:eastAsia="cs-CZ"/>
              </w:rPr>
              <w:t>.</w:t>
            </w:r>
            <w:r w:rsidRPr="009F4590">
              <w:rPr>
                <w:sz w:val="10"/>
                <w:szCs w:val="20"/>
                <w:lang w:eastAsia="cs-CZ"/>
              </w:rPr>
              <w:t xml:space="preserve"> </w:t>
            </w:r>
            <w:r w:rsidR="009F4590">
              <w:rPr>
                <w:sz w:val="18"/>
                <w:szCs w:val="20"/>
                <w:lang w:eastAsia="cs-CZ"/>
              </w:rPr>
              <w:t>m</w:t>
            </w:r>
            <w:r w:rsidRPr="00953032">
              <w:rPr>
                <w:sz w:val="18"/>
                <w:szCs w:val="20"/>
                <w:lang w:eastAsia="cs-CZ"/>
              </w:rPr>
              <w:t>et</w:t>
            </w:r>
            <w:r w:rsidR="009F4590">
              <w:rPr>
                <w:sz w:val="18"/>
                <w:szCs w:val="20"/>
                <w:lang w:eastAsia="cs-CZ"/>
              </w:rPr>
              <w:t>ody</w:t>
            </w:r>
            <w:r w:rsidRPr="009F4590">
              <w:rPr>
                <w:sz w:val="10"/>
                <w:szCs w:val="20"/>
                <w:lang w:eastAsia="cs-CZ"/>
              </w:rPr>
              <w:t xml:space="preserve"> </w:t>
            </w:r>
            <w:r w:rsidRPr="00953032">
              <w:rPr>
                <w:sz w:val="18"/>
                <w:szCs w:val="20"/>
                <w:lang w:eastAsia="cs-CZ"/>
              </w:rPr>
              <w:t>v</w:t>
            </w:r>
            <w:r w:rsidR="009F4590">
              <w:rPr>
                <w:sz w:val="18"/>
                <w:szCs w:val="20"/>
                <w:lang w:eastAsia="cs-CZ"/>
              </w:rPr>
              <w:t> </w:t>
            </w:r>
            <w:proofErr w:type="spellStart"/>
            <w:r w:rsidRPr="00953032">
              <w:rPr>
                <w:sz w:val="18"/>
                <w:szCs w:val="20"/>
                <w:lang w:eastAsia="cs-CZ"/>
              </w:rPr>
              <w:t>ochr</w:t>
            </w:r>
            <w:proofErr w:type="spellEnd"/>
            <w:r w:rsidR="009F4590">
              <w:rPr>
                <w:sz w:val="18"/>
                <w:szCs w:val="20"/>
                <w:lang w:eastAsia="cs-CZ"/>
              </w:rPr>
              <w:t>.</w:t>
            </w:r>
            <w:r w:rsidRPr="00953032">
              <w:rPr>
                <w:sz w:val="18"/>
                <w:szCs w:val="20"/>
                <w:lang w:eastAsia="cs-CZ"/>
              </w:rPr>
              <w:t xml:space="preserve"> a podpoře veř</w:t>
            </w:r>
            <w:r w:rsidR="009F4590">
              <w:rPr>
                <w:sz w:val="18"/>
                <w:szCs w:val="20"/>
                <w:lang w:eastAsia="cs-CZ"/>
              </w:rPr>
              <w:t>.</w:t>
            </w:r>
            <w:r w:rsidRPr="00953032">
              <w:rPr>
                <w:sz w:val="18"/>
                <w:szCs w:val="20"/>
                <w:lang w:eastAsia="cs-CZ"/>
              </w:rPr>
              <w:t xml:space="preserve"> </w:t>
            </w:r>
            <w:proofErr w:type="gramStart"/>
            <w:r w:rsidRPr="00953032">
              <w:rPr>
                <w:sz w:val="18"/>
                <w:szCs w:val="20"/>
                <w:lang w:eastAsia="cs-CZ"/>
              </w:rPr>
              <w:t>zdraví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B6D9A" w14:textId="7D249BEC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90 000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87C4B" w14:textId="007EB449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530CC" w14:textId="17D6F843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DDD00" w14:textId="2CFEEE78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40924" w14:textId="4B0F458D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0</w:t>
            </w:r>
          </w:p>
        </w:tc>
      </w:tr>
      <w:tr w:rsidR="005C4179" w:rsidRPr="00953032" w14:paraId="29B9BE72" w14:textId="77777777" w:rsidTr="005C4179">
        <w:trPr>
          <w:trHeight w:val="20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5EF6" w14:textId="77777777" w:rsidR="00D41E20" w:rsidRPr="00953032" w:rsidRDefault="00D41E20" w:rsidP="00C52E7E">
            <w:pPr>
              <w:pStyle w:val="tabulka"/>
              <w:keepNext w:val="0"/>
              <w:jc w:val="left"/>
              <w:rPr>
                <w:sz w:val="18"/>
                <w:szCs w:val="20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C3F4" w14:textId="77777777" w:rsidR="00D41E20" w:rsidRPr="00953032" w:rsidRDefault="00D41E20" w:rsidP="00C52E7E">
            <w:pPr>
              <w:pStyle w:val="tabulka"/>
              <w:keepNext w:val="0"/>
              <w:jc w:val="left"/>
              <w:rPr>
                <w:sz w:val="18"/>
                <w:szCs w:val="20"/>
                <w:lang w:eastAsia="cs-CZ"/>
              </w:rPr>
            </w:pPr>
            <w:r w:rsidRPr="00953032">
              <w:rPr>
                <w:sz w:val="18"/>
                <w:szCs w:val="20"/>
                <w:lang w:eastAsia="cs-CZ"/>
              </w:rPr>
              <w:t>Alergologie a klinická imunologie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5782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90 000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F755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614D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B69D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979A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0</w:t>
            </w:r>
          </w:p>
        </w:tc>
      </w:tr>
      <w:tr w:rsidR="005C4179" w:rsidRPr="00953032" w14:paraId="736512EF" w14:textId="77777777" w:rsidTr="005C4179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EA8A" w14:textId="77777777" w:rsidR="00D41E20" w:rsidRPr="00953032" w:rsidRDefault="00D41E20" w:rsidP="00C52E7E">
            <w:pPr>
              <w:pStyle w:val="tabulka"/>
              <w:keepNext w:val="0"/>
              <w:jc w:val="left"/>
              <w:rPr>
                <w:sz w:val="18"/>
                <w:szCs w:val="20"/>
                <w:lang w:eastAsia="cs-CZ"/>
              </w:rPr>
            </w:pPr>
            <w:r w:rsidRPr="00953032">
              <w:rPr>
                <w:sz w:val="18"/>
                <w:szCs w:val="20"/>
                <w:lang w:eastAsia="cs-CZ"/>
              </w:rPr>
              <w:t>Zdravotnický záchranář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82C8" w14:textId="77777777" w:rsidR="00D41E20" w:rsidRPr="00953032" w:rsidRDefault="00D41E20" w:rsidP="00C52E7E">
            <w:pPr>
              <w:pStyle w:val="tabulka"/>
              <w:keepNext w:val="0"/>
              <w:jc w:val="left"/>
              <w:rPr>
                <w:sz w:val="18"/>
                <w:szCs w:val="20"/>
                <w:lang w:eastAsia="cs-CZ"/>
              </w:rPr>
            </w:pPr>
            <w:r w:rsidRPr="00953032">
              <w:rPr>
                <w:sz w:val="18"/>
                <w:szCs w:val="20"/>
                <w:lang w:eastAsia="cs-CZ"/>
              </w:rPr>
              <w:t xml:space="preserve">Urgentní medicína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F38B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120 000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00E0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6212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3E6E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DF66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5</w:t>
            </w:r>
          </w:p>
        </w:tc>
      </w:tr>
      <w:tr w:rsidR="005C4179" w:rsidRPr="00953032" w14:paraId="278376C0" w14:textId="77777777" w:rsidTr="005C4179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5496" w14:textId="77777777" w:rsidR="00D41E20" w:rsidRPr="00953032" w:rsidRDefault="00D41E20" w:rsidP="00C52E7E">
            <w:pPr>
              <w:pStyle w:val="tabulka"/>
              <w:keepNext w:val="0"/>
              <w:jc w:val="left"/>
              <w:rPr>
                <w:sz w:val="18"/>
                <w:szCs w:val="20"/>
                <w:lang w:eastAsia="cs-CZ"/>
              </w:rPr>
            </w:pPr>
            <w:r w:rsidRPr="00953032">
              <w:rPr>
                <w:sz w:val="18"/>
                <w:szCs w:val="20"/>
                <w:lang w:eastAsia="cs-CZ"/>
              </w:rPr>
              <w:t>Logoped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B869" w14:textId="77777777" w:rsidR="00D41E20" w:rsidRPr="00953032" w:rsidRDefault="00D41E20" w:rsidP="00C52E7E">
            <w:pPr>
              <w:pStyle w:val="tabulka"/>
              <w:keepNext w:val="0"/>
              <w:jc w:val="left"/>
              <w:rPr>
                <w:sz w:val="18"/>
                <w:szCs w:val="20"/>
                <w:lang w:eastAsia="cs-CZ"/>
              </w:rPr>
            </w:pPr>
            <w:r w:rsidRPr="00953032">
              <w:rPr>
                <w:sz w:val="18"/>
                <w:szCs w:val="20"/>
                <w:lang w:eastAsia="cs-CZ"/>
              </w:rPr>
              <w:t>Klinická logopedie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7DA5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120 000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F331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66E1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BBE7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518D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10</w:t>
            </w:r>
          </w:p>
        </w:tc>
      </w:tr>
      <w:tr w:rsidR="005C4179" w:rsidRPr="00953032" w14:paraId="3492E9C5" w14:textId="77777777" w:rsidTr="005C4179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6622" w14:textId="4E9E391B" w:rsidR="00D41E20" w:rsidRPr="00953032" w:rsidRDefault="00D41E20" w:rsidP="005C4179">
            <w:pPr>
              <w:pStyle w:val="tabulka"/>
              <w:keepNext w:val="0"/>
              <w:jc w:val="left"/>
              <w:rPr>
                <w:sz w:val="18"/>
                <w:szCs w:val="20"/>
                <w:lang w:eastAsia="cs-CZ"/>
              </w:rPr>
            </w:pPr>
            <w:r w:rsidRPr="00953032">
              <w:rPr>
                <w:sz w:val="18"/>
                <w:szCs w:val="20"/>
                <w:lang w:eastAsia="cs-CZ"/>
              </w:rPr>
              <w:t>Odborný pracovník v</w:t>
            </w:r>
            <w:r w:rsidR="005C4179">
              <w:rPr>
                <w:sz w:val="18"/>
                <w:szCs w:val="20"/>
                <w:lang w:eastAsia="cs-CZ"/>
              </w:rPr>
              <w:t> </w:t>
            </w:r>
            <w:r w:rsidRPr="00953032">
              <w:rPr>
                <w:sz w:val="18"/>
                <w:szCs w:val="20"/>
                <w:lang w:eastAsia="cs-CZ"/>
              </w:rPr>
              <w:t>laboratorních metodách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2402" w14:textId="77777777" w:rsidR="00D41E20" w:rsidRPr="00953032" w:rsidRDefault="00D41E20" w:rsidP="00C52E7E">
            <w:pPr>
              <w:pStyle w:val="tabulka"/>
              <w:keepNext w:val="0"/>
              <w:jc w:val="left"/>
              <w:rPr>
                <w:sz w:val="18"/>
                <w:szCs w:val="20"/>
                <w:lang w:eastAsia="cs-CZ"/>
              </w:rPr>
            </w:pPr>
            <w:r w:rsidRPr="00953032">
              <w:rPr>
                <w:sz w:val="18"/>
                <w:szCs w:val="20"/>
                <w:lang w:eastAsia="cs-CZ"/>
              </w:rPr>
              <w:t>Ochrana a podpora veřejného zdraví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2BBB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90 000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77F4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AF5F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A048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E304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0</w:t>
            </w:r>
          </w:p>
        </w:tc>
      </w:tr>
      <w:tr w:rsidR="005C4179" w:rsidRPr="00953032" w14:paraId="22173713" w14:textId="77777777" w:rsidTr="005C4179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F1D4" w14:textId="77777777" w:rsidR="00D41E20" w:rsidRPr="00953032" w:rsidRDefault="00D41E20" w:rsidP="00C52E7E">
            <w:pPr>
              <w:pStyle w:val="tabulka"/>
              <w:keepNext w:val="0"/>
              <w:jc w:val="left"/>
              <w:rPr>
                <w:sz w:val="18"/>
                <w:szCs w:val="20"/>
                <w:lang w:eastAsia="cs-CZ"/>
              </w:rPr>
            </w:pPr>
            <w:r w:rsidRPr="00953032">
              <w:rPr>
                <w:sz w:val="18"/>
                <w:szCs w:val="20"/>
                <w:lang w:eastAsia="cs-CZ"/>
              </w:rPr>
              <w:t>Fyzioterapeut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FB86" w14:textId="77777777" w:rsidR="00D41E20" w:rsidRPr="00953032" w:rsidRDefault="00D41E20" w:rsidP="00C52E7E">
            <w:pPr>
              <w:pStyle w:val="tabulka"/>
              <w:keepNext w:val="0"/>
              <w:jc w:val="left"/>
              <w:rPr>
                <w:sz w:val="18"/>
                <w:szCs w:val="20"/>
                <w:lang w:eastAsia="cs-CZ"/>
              </w:rPr>
            </w:pPr>
            <w:r w:rsidRPr="00953032">
              <w:rPr>
                <w:sz w:val="18"/>
                <w:szCs w:val="20"/>
                <w:lang w:eastAsia="cs-CZ"/>
              </w:rPr>
              <w:t>Aplikovaná fyzioterapie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35A6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90 000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F658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9464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9513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BE17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20</w:t>
            </w:r>
          </w:p>
        </w:tc>
      </w:tr>
      <w:tr w:rsidR="005C4179" w:rsidRPr="00953032" w14:paraId="027AF60B" w14:textId="77777777" w:rsidTr="005C4179">
        <w:trPr>
          <w:trHeight w:val="20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88A6" w14:textId="77777777" w:rsidR="00D41E20" w:rsidRPr="00953032" w:rsidRDefault="00D41E20" w:rsidP="00C52E7E">
            <w:pPr>
              <w:pStyle w:val="tabulka"/>
              <w:keepNext w:val="0"/>
              <w:jc w:val="left"/>
              <w:rPr>
                <w:sz w:val="18"/>
                <w:szCs w:val="20"/>
                <w:lang w:eastAsia="cs-CZ"/>
              </w:rPr>
            </w:pPr>
            <w:r w:rsidRPr="00953032">
              <w:rPr>
                <w:sz w:val="18"/>
                <w:szCs w:val="20"/>
                <w:lang w:eastAsia="cs-CZ"/>
              </w:rPr>
              <w:t>Radiologický asistent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43B7" w14:textId="77777777" w:rsidR="00D41E20" w:rsidRPr="00953032" w:rsidRDefault="00D41E20" w:rsidP="00C52E7E">
            <w:pPr>
              <w:pStyle w:val="tabulka"/>
              <w:keepNext w:val="0"/>
              <w:jc w:val="left"/>
              <w:rPr>
                <w:sz w:val="18"/>
                <w:szCs w:val="20"/>
                <w:lang w:eastAsia="cs-CZ"/>
              </w:rPr>
            </w:pPr>
            <w:r w:rsidRPr="00953032">
              <w:rPr>
                <w:sz w:val="18"/>
                <w:szCs w:val="20"/>
                <w:lang w:eastAsia="cs-CZ"/>
              </w:rPr>
              <w:t>Zobrazovací technologie v radiodiagnostice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7D41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90 000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DBD1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930E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476A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AAB6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20</w:t>
            </w:r>
          </w:p>
        </w:tc>
      </w:tr>
      <w:tr w:rsidR="005C4179" w:rsidRPr="00953032" w14:paraId="3909659A" w14:textId="77777777" w:rsidTr="005C4179">
        <w:trPr>
          <w:trHeight w:val="20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A304" w14:textId="77777777" w:rsidR="00D41E20" w:rsidRPr="00953032" w:rsidRDefault="00D41E20" w:rsidP="00C52E7E">
            <w:pPr>
              <w:pStyle w:val="tabulka"/>
              <w:keepNext w:val="0"/>
              <w:jc w:val="left"/>
              <w:rPr>
                <w:sz w:val="18"/>
                <w:szCs w:val="20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B1F0" w14:textId="62BFCB79" w:rsidR="00D41E20" w:rsidRPr="00953032" w:rsidRDefault="00C11F5B" w:rsidP="00C52E7E">
            <w:pPr>
              <w:pStyle w:val="tabulka"/>
              <w:keepNext w:val="0"/>
              <w:jc w:val="left"/>
              <w:rPr>
                <w:sz w:val="18"/>
                <w:szCs w:val="20"/>
                <w:lang w:eastAsia="cs-CZ"/>
              </w:rPr>
            </w:pPr>
            <w:r>
              <w:rPr>
                <w:sz w:val="18"/>
                <w:szCs w:val="20"/>
                <w:lang w:eastAsia="cs-CZ"/>
              </w:rPr>
              <w:t>Zobrazovací</w:t>
            </w:r>
            <w:r w:rsidR="00D41E20" w:rsidRPr="00953032">
              <w:rPr>
                <w:sz w:val="18"/>
                <w:szCs w:val="20"/>
                <w:lang w:eastAsia="cs-CZ"/>
              </w:rPr>
              <w:t xml:space="preserve"> </w:t>
            </w:r>
            <w:proofErr w:type="spellStart"/>
            <w:r w:rsidR="00D41E20" w:rsidRPr="00953032">
              <w:rPr>
                <w:sz w:val="18"/>
                <w:szCs w:val="20"/>
                <w:lang w:eastAsia="cs-CZ"/>
              </w:rPr>
              <w:t>technol</w:t>
            </w:r>
            <w:proofErr w:type="spellEnd"/>
            <w:r>
              <w:rPr>
                <w:sz w:val="18"/>
                <w:szCs w:val="20"/>
                <w:lang w:eastAsia="cs-CZ"/>
              </w:rPr>
              <w:t>.</w:t>
            </w:r>
            <w:r w:rsidR="00D41E20" w:rsidRPr="00953032">
              <w:rPr>
                <w:sz w:val="18"/>
                <w:szCs w:val="20"/>
                <w:lang w:eastAsia="cs-CZ"/>
              </w:rPr>
              <w:t xml:space="preserve"> v nukleární medicíně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1ABC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90 000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49E8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182E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80D1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9F2D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5</w:t>
            </w:r>
          </w:p>
        </w:tc>
      </w:tr>
      <w:tr w:rsidR="005C4179" w:rsidRPr="00953032" w14:paraId="769703EA" w14:textId="77777777" w:rsidTr="005C4179">
        <w:trPr>
          <w:trHeight w:val="20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A022" w14:textId="77777777" w:rsidR="00D41E20" w:rsidRPr="00953032" w:rsidRDefault="00D41E20" w:rsidP="00C52E7E">
            <w:pPr>
              <w:pStyle w:val="tabulka"/>
              <w:keepNext w:val="0"/>
              <w:jc w:val="left"/>
              <w:rPr>
                <w:sz w:val="18"/>
                <w:szCs w:val="20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145D" w14:textId="0A8FF955" w:rsidR="00D41E20" w:rsidRPr="00953032" w:rsidRDefault="00C11F5B" w:rsidP="00C52E7E">
            <w:pPr>
              <w:pStyle w:val="tabulka"/>
              <w:keepNext w:val="0"/>
              <w:jc w:val="left"/>
              <w:rPr>
                <w:sz w:val="18"/>
                <w:szCs w:val="20"/>
                <w:lang w:eastAsia="cs-CZ"/>
              </w:rPr>
            </w:pPr>
            <w:r>
              <w:rPr>
                <w:sz w:val="18"/>
                <w:szCs w:val="20"/>
                <w:lang w:eastAsia="cs-CZ"/>
              </w:rPr>
              <w:t xml:space="preserve">Zobrazovací a ozař. </w:t>
            </w:r>
            <w:proofErr w:type="spellStart"/>
            <w:r>
              <w:rPr>
                <w:sz w:val="18"/>
                <w:szCs w:val="20"/>
                <w:lang w:eastAsia="cs-CZ"/>
              </w:rPr>
              <w:t>technol</w:t>
            </w:r>
            <w:proofErr w:type="spellEnd"/>
            <w:r>
              <w:rPr>
                <w:sz w:val="18"/>
                <w:szCs w:val="20"/>
                <w:lang w:eastAsia="cs-CZ"/>
              </w:rPr>
              <w:t>.</w:t>
            </w:r>
            <w:r w:rsidR="00D41E20" w:rsidRPr="00953032">
              <w:rPr>
                <w:sz w:val="18"/>
                <w:szCs w:val="20"/>
                <w:lang w:eastAsia="cs-CZ"/>
              </w:rPr>
              <w:t xml:space="preserve"> v radioterapii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0FB8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90 000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012E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F497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0525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306F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5</w:t>
            </w:r>
          </w:p>
        </w:tc>
      </w:tr>
      <w:tr w:rsidR="005C4179" w:rsidRPr="00953032" w14:paraId="3E31B7A5" w14:textId="77777777" w:rsidTr="005C4179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0FF0" w14:textId="77777777" w:rsidR="00D41E20" w:rsidRPr="00953032" w:rsidRDefault="00D41E20" w:rsidP="00C52E7E">
            <w:pPr>
              <w:pStyle w:val="tabulka"/>
              <w:keepNext w:val="0"/>
              <w:jc w:val="left"/>
              <w:rPr>
                <w:sz w:val="18"/>
                <w:szCs w:val="20"/>
                <w:lang w:eastAsia="cs-CZ"/>
              </w:rPr>
            </w:pPr>
            <w:r w:rsidRPr="00953032">
              <w:rPr>
                <w:sz w:val="18"/>
                <w:szCs w:val="20"/>
                <w:lang w:eastAsia="cs-CZ"/>
              </w:rPr>
              <w:t>Ergoterapeut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1B43" w14:textId="228A79E3" w:rsidR="00D41E20" w:rsidRPr="00953032" w:rsidRDefault="00D41E20" w:rsidP="00C52E7E">
            <w:pPr>
              <w:pStyle w:val="tabulka"/>
              <w:keepNext w:val="0"/>
              <w:jc w:val="left"/>
              <w:rPr>
                <w:sz w:val="18"/>
                <w:szCs w:val="20"/>
                <w:lang w:eastAsia="cs-CZ"/>
              </w:rPr>
            </w:pPr>
            <w:r w:rsidRPr="00953032">
              <w:rPr>
                <w:sz w:val="18"/>
                <w:szCs w:val="20"/>
                <w:lang w:eastAsia="cs-CZ"/>
              </w:rPr>
              <w:t xml:space="preserve">Ergoterapie </w:t>
            </w:r>
            <w:r w:rsidR="00581FCD">
              <w:rPr>
                <w:sz w:val="18"/>
                <w:szCs w:val="20"/>
                <w:lang w:eastAsia="cs-CZ"/>
              </w:rPr>
              <w:t>pro</w:t>
            </w:r>
            <w:r w:rsidRPr="00953032">
              <w:rPr>
                <w:sz w:val="18"/>
                <w:szCs w:val="20"/>
                <w:lang w:eastAsia="cs-CZ"/>
              </w:rPr>
              <w:t xml:space="preserve"> dospělé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D891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90 000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1CFF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592C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D476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86CA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10</w:t>
            </w:r>
          </w:p>
        </w:tc>
      </w:tr>
      <w:tr w:rsidR="005C4179" w:rsidRPr="00953032" w14:paraId="67D3677F" w14:textId="77777777" w:rsidTr="005C4179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EFAA1" w14:textId="2A8FB518" w:rsidR="00D41E20" w:rsidRPr="00953032" w:rsidRDefault="00D41E20" w:rsidP="005C4179">
            <w:pPr>
              <w:pStyle w:val="tabulka"/>
              <w:keepNext w:val="0"/>
              <w:jc w:val="left"/>
              <w:rPr>
                <w:sz w:val="18"/>
                <w:szCs w:val="20"/>
                <w:lang w:eastAsia="cs-CZ"/>
              </w:rPr>
            </w:pPr>
            <w:r w:rsidRPr="00953032">
              <w:rPr>
                <w:sz w:val="18"/>
                <w:szCs w:val="20"/>
                <w:lang w:eastAsia="cs-CZ"/>
              </w:rPr>
              <w:t>Zdrav</w:t>
            </w:r>
            <w:r w:rsidR="00C11F5B">
              <w:rPr>
                <w:sz w:val="18"/>
                <w:szCs w:val="20"/>
                <w:lang w:eastAsia="cs-CZ"/>
              </w:rPr>
              <w:t xml:space="preserve">ot. </w:t>
            </w:r>
            <w:proofErr w:type="gramStart"/>
            <w:r w:rsidR="00C11F5B">
              <w:rPr>
                <w:sz w:val="18"/>
                <w:szCs w:val="20"/>
                <w:lang w:eastAsia="cs-CZ"/>
              </w:rPr>
              <w:t>pracovníci</w:t>
            </w:r>
            <w:proofErr w:type="gramEnd"/>
            <w:r w:rsidR="00C11F5B">
              <w:rPr>
                <w:sz w:val="18"/>
                <w:szCs w:val="20"/>
                <w:lang w:eastAsia="cs-CZ"/>
              </w:rPr>
              <w:t xml:space="preserve"> uvedení v</w:t>
            </w:r>
            <w:r w:rsidR="002D1BE7">
              <w:rPr>
                <w:sz w:val="18"/>
                <w:szCs w:val="20"/>
                <w:lang w:eastAsia="cs-CZ"/>
              </w:rPr>
              <w:t> </w:t>
            </w:r>
            <w:r w:rsidR="00C11F5B">
              <w:rPr>
                <w:sz w:val="18"/>
                <w:szCs w:val="20"/>
                <w:lang w:eastAsia="cs-CZ"/>
              </w:rPr>
              <w:t>§ 5</w:t>
            </w:r>
            <w:r w:rsidR="00E04309">
              <w:rPr>
                <w:sz w:val="18"/>
                <w:szCs w:val="20"/>
                <w:lang w:eastAsia="cs-CZ"/>
              </w:rPr>
              <w:t xml:space="preserve"> až </w:t>
            </w:r>
            <w:r w:rsidRPr="00953032">
              <w:rPr>
                <w:sz w:val="18"/>
                <w:szCs w:val="20"/>
                <w:lang w:eastAsia="cs-CZ"/>
              </w:rPr>
              <w:t>§ 28 zák</w:t>
            </w:r>
            <w:r w:rsidR="00E04309">
              <w:rPr>
                <w:sz w:val="18"/>
                <w:szCs w:val="20"/>
                <w:lang w:eastAsia="cs-CZ"/>
              </w:rPr>
              <w:t>ona</w:t>
            </w:r>
            <w:r w:rsidRPr="00953032">
              <w:rPr>
                <w:sz w:val="18"/>
                <w:szCs w:val="20"/>
                <w:lang w:eastAsia="cs-CZ"/>
              </w:rPr>
              <w:t xml:space="preserve"> č.</w:t>
            </w:r>
            <w:r w:rsidR="005C4179">
              <w:rPr>
                <w:sz w:val="18"/>
                <w:szCs w:val="20"/>
                <w:lang w:eastAsia="cs-CZ"/>
              </w:rPr>
              <w:t> </w:t>
            </w:r>
            <w:r w:rsidRPr="00953032">
              <w:rPr>
                <w:sz w:val="18"/>
                <w:szCs w:val="20"/>
                <w:lang w:eastAsia="cs-CZ"/>
              </w:rPr>
              <w:t>96/2004 Sb.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1A31F" w14:textId="77777777" w:rsidR="00D41E20" w:rsidRPr="00953032" w:rsidRDefault="00D41E20" w:rsidP="00C52E7E">
            <w:pPr>
              <w:pStyle w:val="tabulka"/>
              <w:keepNext w:val="0"/>
              <w:jc w:val="left"/>
              <w:rPr>
                <w:sz w:val="18"/>
                <w:szCs w:val="20"/>
                <w:lang w:eastAsia="cs-CZ"/>
              </w:rPr>
            </w:pPr>
            <w:r w:rsidRPr="00953032">
              <w:rPr>
                <w:sz w:val="18"/>
                <w:szCs w:val="20"/>
                <w:lang w:eastAsia="cs-CZ"/>
              </w:rPr>
              <w:t>Organizace a řízení ve zdravotnictví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B8B52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90 000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C7EF7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F89B9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33654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8103B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10</w:t>
            </w:r>
          </w:p>
        </w:tc>
      </w:tr>
      <w:tr w:rsidR="005C4179" w:rsidRPr="00953032" w14:paraId="33FF0A28" w14:textId="77777777" w:rsidTr="005C4179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65897" w14:textId="77777777" w:rsidR="00D41E20" w:rsidRPr="00953032" w:rsidRDefault="00D41E20" w:rsidP="00C52E7E">
            <w:pPr>
              <w:pStyle w:val="tabulka"/>
              <w:keepNext w:val="0"/>
              <w:jc w:val="left"/>
              <w:rPr>
                <w:sz w:val="18"/>
                <w:szCs w:val="20"/>
                <w:lang w:eastAsia="cs-CZ"/>
              </w:rPr>
            </w:pPr>
            <w:r w:rsidRPr="00953032">
              <w:rPr>
                <w:sz w:val="18"/>
                <w:szCs w:val="20"/>
              </w:rPr>
              <w:t>Asistent ochrany a podpory veřejného zdraví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7073" w14:textId="77777777" w:rsidR="00D41E20" w:rsidRPr="00953032" w:rsidRDefault="00D41E20" w:rsidP="00C52E7E">
            <w:pPr>
              <w:pStyle w:val="tabulka"/>
              <w:keepNext w:val="0"/>
              <w:jc w:val="left"/>
              <w:rPr>
                <w:sz w:val="18"/>
                <w:szCs w:val="20"/>
                <w:lang w:eastAsia="cs-CZ"/>
              </w:rPr>
            </w:pPr>
            <w:r w:rsidRPr="00953032">
              <w:rPr>
                <w:sz w:val="18"/>
                <w:szCs w:val="20"/>
              </w:rPr>
              <w:t>Hygiena a epidemiologie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3AC38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90 000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29BE9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422FF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F5E7D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8B0B0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0</w:t>
            </w:r>
          </w:p>
        </w:tc>
      </w:tr>
      <w:tr w:rsidR="005C4179" w:rsidRPr="00953032" w14:paraId="62D303D6" w14:textId="77777777" w:rsidTr="005C4179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57F8A" w14:textId="1DF69A05" w:rsidR="00D41E20" w:rsidRPr="00953032" w:rsidRDefault="00D41E20" w:rsidP="005C4179">
            <w:pPr>
              <w:pStyle w:val="tabulka"/>
              <w:keepNext w:val="0"/>
              <w:ind w:right="-63"/>
              <w:jc w:val="left"/>
              <w:rPr>
                <w:b/>
                <w:sz w:val="18"/>
                <w:szCs w:val="20"/>
                <w:lang w:eastAsia="cs-CZ"/>
              </w:rPr>
            </w:pPr>
            <w:r w:rsidRPr="00953032">
              <w:rPr>
                <w:sz w:val="18"/>
                <w:szCs w:val="20"/>
              </w:rPr>
              <w:t>Odborný pracovník v</w:t>
            </w:r>
            <w:r w:rsidR="00E04309">
              <w:rPr>
                <w:sz w:val="18"/>
                <w:szCs w:val="20"/>
              </w:rPr>
              <w:t> </w:t>
            </w:r>
            <w:r w:rsidRPr="00953032">
              <w:rPr>
                <w:sz w:val="18"/>
                <w:szCs w:val="20"/>
              </w:rPr>
              <w:t>ochraně a podpoře veřejného zdraví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AB742" w14:textId="77777777" w:rsidR="00D41E20" w:rsidRPr="00953032" w:rsidRDefault="00D41E20" w:rsidP="00C52E7E">
            <w:pPr>
              <w:pStyle w:val="tabulka"/>
              <w:keepNext w:val="0"/>
              <w:jc w:val="left"/>
              <w:rPr>
                <w:sz w:val="18"/>
                <w:szCs w:val="20"/>
                <w:lang w:eastAsia="cs-CZ"/>
              </w:rPr>
            </w:pPr>
            <w:r w:rsidRPr="00953032">
              <w:rPr>
                <w:sz w:val="18"/>
                <w:szCs w:val="20"/>
              </w:rPr>
              <w:t>Hygiena a epidemiologie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54EEC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90 000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17573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37BB7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E0B7F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BF641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0</w:t>
            </w:r>
          </w:p>
        </w:tc>
      </w:tr>
      <w:tr w:rsidR="005C4179" w:rsidRPr="00953032" w14:paraId="175E2F7F" w14:textId="77777777" w:rsidTr="005C4179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1BFB" w14:textId="77777777" w:rsidR="00D41E20" w:rsidRPr="00953032" w:rsidRDefault="00D41E20" w:rsidP="00C52E7E">
            <w:pPr>
              <w:pStyle w:val="tabulka"/>
              <w:keepNext w:val="0"/>
              <w:jc w:val="left"/>
              <w:rPr>
                <w:sz w:val="18"/>
                <w:szCs w:val="20"/>
                <w:lang w:eastAsia="cs-CZ"/>
              </w:rPr>
            </w:pPr>
            <w:r w:rsidRPr="00953032">
              <w:rPr>
                <w:sz w:val="18"/>
                <w:szCs w:val="20"/>
                <w:lang w:eastAsia="cs-CZ"/>
              </w:rPr>
              <w:t>Psycholog ve zdravotnictví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53F6" w14:textId="77777777" w:rsidR="00D41E20" w:rsidRPr="00953032" w:rsidRDefault="00D41E20" w:rsidP="00C52E7E">
            <w:pPr>
              <w:pStyle w:val="tabulka"/>
              <w:keepNext w:val="0"/>
              <w:jc w:val="left"/>
              <w:rPr>
                <w:sz w:val="18"/>
                <w:szCs w:val="20"/>
                <w:lang w:eastAsia="cs-CZ"/>
              </w:rPr>
            </w:pPr>
            <w:r w:rsidRPr="00953032">
              <w:rPr>
                <w:sz w:val="18"/>
                <w:szCs w:val="20"/>
                <w:lang w:eastAsia="cs-CZ"/>
              </w:rPr>
              <w:t>Klinická psychologie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CDCC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120 000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E53F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8F6E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5E60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8CE7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5</w:t>
            </w:r>
          </w:p>
        </w:tc>
      </w:tr>
      <w:tr w:rsidR="005C4179" w:rsidRPr="00953032" w14:paraId="43D8AB49" w14:textId="77777777" w:rsidTr="005C4179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C9BF" w14:textId="77777777" w:rsidR="00D41E20" w:rsidRPr="00953032" w:rsidRDefault="00D41E20" w:rsidP="00C52E7E">
            <w:pPr>
              <w:pStyle w:val="tabulka"/>
              <w:keepNext w:val="0"/>
              <w:jc w:val="left"/>
              <w:rPr>
                <w:sz w:val="18"/>
                <w:szCs w:val="20"/>
                <w:lang w:eastAsia="cs-CZ"/>
              </w:rPr>
            </w:pPr>
            <w:r w:rsidRPr="00953032">
              <w:rPr>
                <w:sz w:val="18"/>
                <w:szCs w:val="20"/>
                <w:lang w:eastAsia="cs-CZ"/>
              </w:rPr>
              <w:t>Nutriční terapeut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571E" w14:textId="77777777" w:rsidR="00D41E20" w:rsidRPr="00953032" w:rsidRDefault="00D41E20" w:rsidP="00C52E7E">
            <w:pPr>
              <w:pStyle w:val="tabulka"/>
              <w:keepNext w:val="0"/>
              <w:jc w:val="left"/>
              <w:rPr>
                <w:sz w:val="18"/>
                <w:szCs w:val="20"/>
                <w:lang w:eastAsia="cs-CZ"/>
              </w:rPr>
            </w:pPr>
            <w:r w:rsidRPr="00953032">
              <w:rPr>
                <w:sz w:val="18"/>
                <w:szCs w:val="20"/>
                <w:lang w:eastAsia="cs-CZ"/>
              </w:rPr>
              <w:t>Výživa dospělých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CC40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 xml:space="preserve">90 000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8F7D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78E4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8B70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FB89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sz w:val="18"/>
                <w:lang w:eastAsia="cs-CZ"/>
              </w:rPr>
            </w:pPr>
            <w:r w:rsidRPr="00953032">
              <w:rPr>
                <w:sz w:val="18"/>
                <w:lang w:eastAsia="cs-CZ"/>
              </w:rPr>
              <w:t>10</w:t>
            </w:r>
          </w:p>
        </w:tc>
      </w:tr>
      <w:tr w:rsidR="005C4179" w:rsidRPr="00953032" w14:paraId="7A877E75" w14:textId="77777777" w:rsidTr="005C4179">
        <w:trPr>
          <w:trHeight w:val="20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6A2FDFC4" w14:textId="77777777" w:rsidR="00D41E20" w:rsidRPr="00953032" w:rsidRDefault="00D41E20" w:rsidP="00C52E7E">
            <w:pPr>
              <w:pStyle w:val="tabulka"/>
              <w:keepNext w:val="0"/>
              <w:jc w:val="left"/>
              <w:rPr>
                <w:b/>
                <w:sz w:val="18"/>
                <w:szCs w:val="20"/>
                <w:lang w:eastAsia="cs-CZ"/>
              </w:rPr>
            </w:pPr>
            <w:r w:rsidRPr="00953032">
              <w:rPr>
                <w:b/>
                <w:sz w:val="18"/>
                <w:szCs w:val="20"/>
                <w:lang w:eastAsia="cs-CZ"/>
              </w:rPr>
              <w:t>Celkem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49A850A6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b/>
                <w:sz w:val="18"/>
                <w:szCs w:val="20"/>
                <w:lang w:eastAsia="cs-CZ"/>
              </w:rPr>
            </w:pPr>
            <w:r w:rsidRPr="00953032">
              <w:rPr>
                <w:b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592AC01A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b/>
                <w:sz w:val="18"/>
                <w:szCs w:val="20"/>
                <w:lang w:eastAsia="cs-CZ"/>
              </w:rPr>
            </w:pPr>
            <w:r w:rsidRPr="00953032">
              <w:rPr>
                <w:b/>
                <w:sz w:val="18"/>
                <w:szCs w:val="20"/>
                <w:lang w:eastAsia="cs-CZ"/>
              </w:rPr>
              <w:t>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58189071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b/>
                <w:sz w:val="18"/>
                <w:szCs w:val="20"/>
                <w:lang w:eastAsia="cs-CZ"/>
              </w:rPr>
            </w:pPr>
            <w:r w:rsidRPr="00953032">
              <w:rPr>
                <w:b/>
                <w:sz w:val="18"/>
                <w:szCs w:val="20"/>
                <w:lang w:eastAsia="cs-CZ"/>
              </w:rPr>
              <w:t>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416A2793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b/>
                <w:sz w:val="18"/>
                <w:szCs w:val="20"/>
                <w:lang w:eastAsia="cs-CZ"/>
              </w:rPr>
            </w:pPr>
            <w:r w:rsidRPr="00953032">
              <w:rPr>
                <w:b/>
                <w:sz w:val="18"/>
                <w:szCs w:val="20"/>
                <w:lang w:eastAsia="cs-CZ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207D1B28" w14:textId="77777777" w:rsidR="00D41E20" w:rsidRPr="00953032" w:rsidRDefault="00D41E20" w:rsidP="00C52E7E">
            <w:pPr>
              <w:pStyle w:val="tabulka"/>
              <w:keepNext w:val="0"/>
              <w:jc w:val="right"/>
              <w:rPr>
                <w:b/>
                <w:sz w:val="18"/>
                <w:szCs w:val="20"/>
                <w:lang w:eastAsia="cs-CZ"/>
              </w:rPr>
            </w:pPr>
            <w:r w:rsidRPr="00953032">
              <w:rPr>
                <w:b/>
                <w:sz w:val="18"/>
                <w:szCs w:val="20"/>
                <w:lang w:eastAsia="cs-CZ"/>
              </w:rPr>
              <w:t>555</w:t>
            </w:r>
          </w:p>
        </w:tc>
      </w:tr>
    </w:tbl>
    <w:p w14:paraId="639CD89F" w14:textId="6F3C7771" w:rsidR="009272A1" w:rsidRDefault="009272A1" w:rsidP="003417FB">
      <w:pPr>
        <w:pStyle w:val="Poznmka"/>
      </w:pPr>
      <w:r w:rsidRPr="009272A1">
        <w:rPr>
          <w:b/>
        </w:rPr>
        <w:t>Zdroj:</w:t>
      </w:r>
      <w:r>
        <w:tab/>
      </w:r>
      <w:r w:rsidR="005C4179">
        <w:t>m</w:t>
      </w:r>
      <w:r>
        <w:t xml:space="preserve">etodiky </w:t>
      </w:r>
      <w:proofErr w:type="spellStart"/>
      <w:r>
        <w:t>MZd</w:t>
      </w:r>
      <w:proofErr w:type="spellEnd"/>
      <w:r>
        <w:t xml:space="preserve"> pro žadatele o dotaci ze státního rozpočtu k programu na rezidenční místa pro</w:t>
      </w:r>
      <w:r w:rsidR="002D1BE7">
        <w:t xml:space="preserve"> </w:t>
      </w:r>
      <w:r>
        <w:t>specializační vzdělávání v nelékařských oborech na roky 2015─2018.</w:t>
      </w:r>
    </w:p>
    <w:p w14:paraId="74075E8E" w14:textId="00A8B7B9" w:rsidR="009272A1" w:rsidRPr="00266DDE" w:rsidRDefault="009272A1" w:rsidP="00C52E7E">
      <w:pPr>
        <w:pStyle w:val="Nadpis1"/>
        <w:widowControl/>
        <w:numPr>
          <w:ilvl w:val="0"/>
          <w:numId w:val="0"/>
        </w:numPr>
        <w:ind w:left="360"/>
        <w:jc w:val="right"/>
        <w:rPr>
          <w:b w:val="0"/>
          <w:sz w:val="24"/>
          <w:szCs w:val="24"/>
        </w:rPr>
      </w:pPr>
      <w:r w:rsidRPr="00266DDE">
        <w:rPr>
          <w:b w:val="0"/>
          <w:sz w:val="24"/>
          <w:szCs w:val="24"/>
        </w:rPr>
        <w:t>Příloha č. 2</w:t>
      </w:r>
    </w:p>
    <w:p w14:paraId="59C3762E" w14:textId="3510AB81" w:rsidR="009272A1" w:rsidRPr="005A18D4" w:rsidRDefault="00917A19" w:rsidP="00C52E7E">
      <w:pPr>
        <w:pStyle w:val="Nadpis2"/>
        <w:keepNext w:val="0"/>
        <w:widowControl/>
        <w:numPr>
          <w:ilvl w:val="0"/>
          <w:numId w:val="0"/>
        </w:numPr>
        <w:ind w:left="357" w:hanging="357"/>
      </w:pPr>
      <w:r w:rsidRPr="005A18D4">
        <w:t>Další</w:t>
      </w:r>
      <w:r w:rsidR="009272A1" w:rsidRPr="005A18D4">
        <w:t xml:space="preserve"> informace </w:t>
      </w:r>
      <w:r w:rsidRPr="005A18D4">
        <w:t>související s</w:t>
      </w:r>
      <w:r w:rsidR="00E917B7">
        <w:t> kontrolovanou t</w:t>
      </w:r>
      <w:r w:rsidR="00422558">
        <w:t>e</w:t>
      </w:r>
      <w:r w:rsidR="00E917B7">
        <w:t>matikou</w:t>
      </w:r>
    </w:p>
    <w:p w14:paraId="41EB20E2" w14:textId="77777777" w:rsidR="00A8577B" w:rsidRPr="005A18D4" w:rsidRDefault="00A8577B" w:rsidP="00C52E7E">
      <w:pPr>
        <w:pStyle w:val="Nadpis3"/>
        <w:keepNext w:val="0"/>
        <w:widowControl/>
        <w:numPr>
          <w:ilvl w:val="0"/>
          <w:numId w:val="12"/>
        </w:numPr>
        <w:ind w:left="426"/>
        <w:rPr>
          <w:u w:val="single"/>
        </w:rPr>
      </w:pPr>
      <w:r>
        <w:rPr>
          <w:u w:val="single"/>
        </w:rPr>
        <w:t>Doplňující informace k pregraduálnímu vzdělávání</w:t>
      </w:r>
    </w:p>
    <w:p w14:paraId="0F52B640" w14:textId="4A4E1E6A" w:rsidR="001C2DD1" w:rsidRPr="001C2DD1" w:rsidRDefault="00113A88" w:rsidP="00C52E7E">
      <w:pPr>
        <w:pStyle w:val="Nzevtabulky"/>
        <w:keepNext w:val="0"/>
        <w:ind w:left="1332" w:hanging="1332"/>
      </w:pPr>
      <w:r>
        <w:t>Počty</w:t>
      </w:r>
      <w:r w:rsidR="001C2DD1" w:rsidRPr="001C2DD1">
        <w:t xml:space="preserve"> </w:t>
      </w:r>
      <w:r w:rsidRPr="001C2DD1">
        <w:t xml:space="preserve">uchazečů </w:t>
      </w:r>
      <w:r w:rsidR="001C2DD1" w:rsidRPr="001C2DD1">
        <w:t>přihlášených, přijatých a zapsaných ke studiu</w:t>
      </w:r>
      <w:r>
        <w:t xml:space="preserve"> na</w:t>
      </w:r>
      <w:r w:rsidR="001C2DD1" w:rsidRPr="001C2DD1">
        <w:t xml:space="preserve"> vysoké škole ve</w:t>
      </w:r>
      <w:r w:rsidR="002D1BE7">
        <w:t xml:space="preserve"> </w:t>
      </w:r>
      <w:r w:rsidR="001C2DD1" w:rsidRPr="001C2DD1">
        <w:t>zdravotnickém studijním programu (z oborové skupiny 53</w:t>
      </w:r>
      <w:r w:rsidR="00EA4E59">
        <w:t xml:space="preserve"> –</w:t>
      </w:r>
      <w:r w:rsidR="001C2DD1" w:rsidRPr="001C2DD1">
        <w:t xml:space="preserve"> </w:t>
      </w:r>
      <w:r w:rsidR="001C2DD1" w:rsidRPr="00D55E20">
        <w:rPr>
          <w:i/>
        </w:rPr>
        <w:t>Zdravotnictví</w:t>
      </w:r>
      <w:r w:rsidR="001C2DD1" w:rsidRPr="001C2DD1">
        <w:t>)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3083"/>
        <w:gridCol w:w="1994"/>
        <w:gridCol w:w="1994"/>
        <w:gridCol w:w="1994"/>
      </w:tblGrid>
      <w:tr w:rsidR="001C2DD1" w:rsidRPr="00A3445D" w14:paraId="1EE980CE" w14:textId="77777777" w:rsidTr="009F6925">
        <w:trPr>
          <w:trHeight w:val="57"/>
        </w:trPr>
        <w:tc>
          <w:tcPr>
            <w:tcW w:w="1700" w:type="pct"/>
            <w:shd w:val="clear" w:color="auto" w:fill="E5F1FF"/>
            <w:noWrap/>
            <w:hideMark/>
          </w:tcPr>
          <w:p w14:paraId="73266F51" w14:textId="77777777" w:rsidR="001C2DD1" w:rsidRPr="00A3445D" w:rsidRDefault="001C2DD1" w:rsidP="00C52E7E">
            <w:pPr>
              <w:pStyle w:val="tabulka"/>
              <w:keepNext w:val="0"/>
              <w:rPr>
                <w:b/>
                <w:sz w:val="20"/>
              </w:rPr>
            </w:pPr>
          </w:p>
        </w:tc>
        <w:tc>
          <w:tcPr>
            <w:tcW w:w="1100" w:type="pct"/>
            <w:shd w:val="clear" w:color="auto" w:fill="E5F1FF"/>
            <w:noWrap/>
            <w:vAlign w:val="center"/>
            <w:hideMark/>
          </w:tcPr>
          <w:p w14:paraId="24896DDD" w14:textId="77777777" w:rsidR="001C2DD1" w:rsidRPr="00A3445D" w:rsidRDefault="001C2DD1" w:rsidP="00C52E7E">
            <w:pPr>
              <w:pStyle w:val="tabulka"/>
              <w:keepNext w:val="0"/>
              <w:jc w:val="center"/>
              <w:rPr>
                <w:b/>
                <w:sz w:val="20"/>
              </w:rPr>
            </w:pPr>
            <w:r w:rsidRPr="00A8577B">
              <w:rPr>
                <w:b/>
                <w:sz w:val="20"/>
                <w:szCs w:val="20"/>
              </w:rPr>
              <w:t>Počet přihlášených uchazečů*</w:t>
            </w:r>
          </w:p>
        </w:tc>
        <w:tc>
          <w:tcPr>
            <w:tcW w:w="1100" w:type="pct"/>
            <w:shd w:val="clear" w:color="auto" w:fill="E5F1FF"/>
            <w:noWrap/>
            <w:vAlign w:val="center"/>
            <w:hideMark/>
          </w:tcPr>
          <w:p w14:paraId="47487F71" w14:textId="77777777" w:rsidR="001C2DD1" w:rsidRPr="00A3445D" w:rsidRDefault="001C2DD1" w:rsidP="00C52E7E">
            <w:pPr>
              <w:pStyle w:val="tabulka"/>
              <w:keepNext w:val="0"/>
              <w:jc w:val="center"/>
              <w:rPr>
                <w:b/>
                <w:sz w:val="20"/>
              </w:rPr>
            </w:pPr>
            <w:r w:rsidRPr="00A8577B">
              <w:rPr>
                <w:b/>
                <w:sz w:val="20"/>
                <w:szCs w:val="20"/>
              </w:rPr>
              <w:t>Počet přijatých uchazečů</w:t>
            </w:r>
          </w:p>
        </w:tc>
        <w:tc>
          <w:tcPr>
            <w:tcW w:w="1100" w:type="pct"/>
            <w:shd w:val="clear" w:color="auto" w:fill="E5F1FF"/>
            <w:noWrap/>
            <w:vAlign w:val="center"/>
            <w:hideMark/>
          </w:tcPr>
          <w:p w14:paraId="434DE8D1" w14:textId="77777777" w:rsidR="001C2DD1" w:rsidRPr="00A3445D" w:rsidRDefault="001C2DD1" w:rsidP="00C52E7E">
            <w:pPr>
              <w:pStyle w:val="tabulka"/>
              <w:keepNext w:val="0"/>
              <w:jc w:val="center"/>
              <w:rPr>
                <w:b/>
                <w:sz w:val="20"/>
              </w:rPr>
            </w:pPr>
            <w:r w:rsidRPr="00A8577B">
              <w:rPr>
                <w:b/>
                <w:sz w:val="20"/>
                <w:szCs w:val="20"/>
              </w:rPr>
              <w:t>Počet uchazečů zapsaných ke studiu</w:t>
            </w:r>
          </w:p>
        </w:tc>
      </w:tr>
      <w:tr w:rsidR="001C2DD1" w:rsidRPr="00A3445D" w14:paraId="037FF513" w14:textId="77777777" w:rsidTr="009F6925">
        <w:trPr>
          <w:trHeight w:val="57"/>
        </w:trPr>
        <w:tc>
          <w:tcPr>
            <w:tcW w:w="1700" w:type="pct"/>
            <w:shd w:val="clear" w:color="auto" w:fill="F2F2F2" w:themeFill="background1" w:themeFillShade="F2"/>
            <w:noWrap/>
            <w:vAlign w:val="center"/>
            <w:hideMark/>
          </w:tcPr>
          <w:p w14:paraId="7EFF215E" w14:textId="77777777" w:rsidR="001C2DD1" w:rsidRPr="00A3445D" w:rsidRDefault="001C2DD1" w:rsidP="00C52E7E">
            <w:pPr>
              <w:pStyle w:val="tabulka"/>
              <w:keepNext w:val="0"/>
              <w:jc w:val="left"/>
              <w:rPr>
                <w:b/>
                <w:sz w:val="20"/>
              </w:rPr>
            </w:pPr>
            <w:r w:rsidRPr="00A3445D">
              <w:rPr>
                <w:b/>
                <w:sz w:val="20"/>
              </w:rPr>
              <w:t>2015</w:t>
            </w:r>
          </w:p>
        </w:tc>
        <w:tc>
          <w:tcPr>
            <w:tcW w:w="1100" w:type="pct"/>
            <w:shd w:val="clear" w:color="auto" w:fill="F2F2F2" w:themeFill="background1" w:themeFillShade="F2"/>
            <w:noWrap/>
            <w:vAlign w:val="center"/>
            <w:hideMark/>
          </w:tcPr>
          <w:p w14:paraId="1CB01EBE" w14:textId="77777777" w:rsidR="001C2DD1" w:rsidRPr="00A3445D" w:rsidRDefault="001C2DD1" w:rsidP="00C52E7E">
            <w:pPr>
              <w:pStyle w:val="tabulka"/>
              <w:keepNext w:val="0"/>
              <w:jc w:val="right"/>
              <w:rPr>
                <w:b/>
                <w:sz w:val="20"/>
              </w:rPr>
            </w:pPr>
            <w:r w:rsidRPr="00A3445D">
              <w:rPr>
                <w:b/>
                <w:sz w:val="20"/>
              </w:rPr>
              <w:t>12 874</w:t>
            </w:r>
          </w:p>
        </w:tc>
        <w:tc>
          <w:tcPr>
            <w:tcW w:w="1100" w:type="pct"/>
            <w:shd w:val="clear" w:color="auto" w:fill="F2F2F2" w:themeFill="background1" w:themeFillShade="F2"/>
            <w:noWrap/>
            <w:vAlign w:val="center"/>
            <w:hideMark/>
          </w:tcPr>
          <w:p w14:paraId="2B9821C9" w14:textId="77777777" w:rsidR="001C2DD1" w:rsidRPr="00A3445D" w:rsidRDefault="001C2DD1" w:rsidP="00C52E7E">
            <w:pPr>
              <w:pStyle w:val="tabulka"/>
              <w:keepNext w:val="0"/>
              <w:jc w:val="right"/>
              <w:rPr>
                <w:b/>
                <w:sz w:val="20"/>
              </w:rPr>
            </w:pPr>
            <w:r w:rsidRPr="00A3445D">
              <w:rPr>
                <w:b/>
                <w:sz w:val="20"/>
              </w:rPr>
              <w:t>4 900</w:t>
            </w:r>
          </w:p>
        </w:tc>
        <w:tc>
          <w:tcPr>
            <w:tcW w:w="1100" w:type="pct"/>
            <w:shd w:val="clear" w:color="auto" w:fill="F2F2F2" w:themeFill="background1" w:themeFillShade="F2"/>
            <w:noWrap/>
            <w:vAlign w:val="center"/>
            <w:hideMark/>
          </w:tcPr>
          <w:p w14:paraId="0654EFCB" w14:textId="77777777" w:rsidR="001C2DD1" w:rsidRPr="00A3445D" w:rsidRDefault="001C2DD1" w:rsidP="00C52E7E">
            <w:pPr>
              <w:pStyle w:val="tabulka"/>
              <w:keepNext w:val="0"/>
              <w:jc w:val="right"/>
              <w:rPr>
                <w:b/>
                <w:sz w:val="20"/>
              </w:rPr>
            </w:pPr>
            <w:r w:rsidRPr="00A3445D">
              <w:rPr>
                <w:b/>
                <w:sz w:val="20"/>
              </w:rPr>
              <w:t>3 795</w:t>
            </w:r>
          </w:p>
        </w:tc>
      </w:tr>
      <w:tr w:rsidR="001C2DD1" w:rsidRPr="000F52D7" w14:paraId="6B9CFE37" w14:textId="77777777" w:rsidTr="009F6925">
        <w:trPr>
          <w:trHeight w:val="57"/>
        </w:trPr>
        <w:tc>
          <w:tcPr>
            <w:tcW w:w="1700" w:type="pct"/>
            <w:noWrap/>
            <w:vAlign w:val="center"/>
            <w:hideMark/>
          </w:tcPr>
          <w:p w14:paraId="5EE98177" w14:textId="77777777" w:rsidR="001C2DD1" w:rsidRPr="000F52D7" w:rsidRDefault="001C2DD1" w:rsidP="00C52E7E">
            <w:pPr>
              <w:pStyle w:val="tabulka"/>
              <w:keepNext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0F52D7">
              <w:rPr>
                <w:sz w:val="20"/>
              </w:rPr>
              <w:t>Ošetřovatelství</w:t>
            </w:r>
          </w:p>
        </w:tc>
        <w:tc>
          <w:tcPr>
            <w:tcW w:w="1100" w:type="pct"/>
            <w:noWrap/>
            <w:vAlign w:val="center"/>
            <w:hideMark/>
          </w:tcPr>
          <w:p w14:paraId="3F188879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3 980</w:t>
            </w:r>
          </w:p>
        </w:tc>
        <w:tc>
          <w:tcPr>
            <w:tcW w:w="1100" w:type="pct"/>
            <w:noWrap/>
            <w:vAlign w:val="center"/>
            <w:hideMark/>
          </w:tcPr>
          <w:p w14:paraId="2B38666C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1 791</w:t>
            </w:r>
          </w:p>
        </w:tc>
        <w:tc>
          <w:tcPr>
            <w:tcW w:w="1100" w:type="pct"/>
            <w:noWrap/>
            <w:vAlign w:val="center"/>
            <w:hideMark/>
          </w:tcPr>
          <w:p w14:paraId="2DBDF642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1 430</w:t>
            </w:r>
          </w:p>
        </w:tc>
      </w:tr>
      <w:tr w:rsidR="001C2DD1" w:rsidRPr="000F52D7" w14:paraId="26866AD6" w14:textId="77777777" w:rsidTr="009F6925">
        <w:trPr>
          <w:trHeight w:val="57"/>
        </w:trPr>
        <w:tc>
          <w:tcPr>
            <w:tcW w:w="1700" w:type="pct"/>
            <w:noWrap/>
            <w:vAlign w:val="center"/>
            <w:hideMark/>
          </w:tcPr>
          <w:p w14:paraId="00D185AF" w14:textId="77777777" w:rsidR="001C2DD1" w:rsidRPr="000F52D7" w:rsidRDefault="001C2DD1" w:rsidP="00C52E7E">
            <w:pPr>
              <w:pStyle w:val="tabulka"/>
              <w:keepNext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0F52D7">
              <w:rPr>
                <w:sz w:val="20"/>
              </w:rPr>
              <w:t>Porodní asistence</w:t>
            </w:r>
          </w:p>
        </w:tc>
        <w:tc>
          <w:tcPr>
            <w:tcW w:w="1100" w:type="pct"/>
            <w:noWrap/>
            <w:vAlign w:val="center"/>
            <w:hideMark/>
          </w:tcPr>
          <w:p w14:paraId="01024E3D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942</w:t>
            </w:r>
          </w:p>
        </w:tc>
        <w:tc>
          <w:tcPr>
            <w:tcW w:w="1100" w:type="pct"/>
            <w:noWrap/>
            <w:vAlign w:val="center"/>
            <w:hideMark/>
          </w:tcPr>
          <w:p w14:paraId="50802E76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467</w:t>
            </w:r>
          </w:p>
        </w:tc>
        <w:tc>
          <w:tcPr>
            <w:tcW w:w="1100" w:type="pct"/>
            <w:noWrap/>
            <w:vAlign w:val="center"/>
            <w:hideMark/>
          </w:tcPr>
          <w:p w14:paraId="608341F6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291</w:t>
            </w:r>
          </w:p>
        </w:tc>
      </w:tr>
      <w:tr w:rsidR="001C2DD1" w:rsidRPr="000F52D7" w14:paraId="4737C3D1" w14:textId="77777777" w:rsidTr="009F6925">
        <w:trPr>
          <w:trHeight w:val="57"/>
        </w:trPr>
        <w:tc>
          <w:tcPr>
            <w:tcW w:w="1700" w:type="pct"/>
            <w:noWrap/>
            <w:vAlign w:val="center"/>
            <w:hideMark/>
          </w:tcPr>
          <w:p w14:paraId="0DBD5FDF" w14:textId="77777777" w:rsidR="001C2DD1" w:rsidRPr="000F52D7" w:rsidRDefault="001C2DD1" w:rsidP="00C52E7E">
            <w:pPr>
              <w:pStyle w:val="tabulka"/>
              <w:keepNext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0F52D7">
              <w:rPr>
                <w:sz w:val="20"/>
              </w:rPr>
              <w:t>Rehabilitace</w:t>
            </w:r>
          </w:p>
        </w:tc>
        <w:tc>
          <w:tcPr>
            <w:tcW w:w="1100" w:type="pct"/>
            <w:noWrap/>
            <w:vAlign w:val="center"/>
            <w:hideMark/>
          </w:tcPr>
          <w:p w14:paraId="3513B678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102</w:t>
            </w:r>
          </w:p>
        </w:tc>
        <w:tc>
          <w:tcPr>
            <w:tcW w:w="1100" w:type="pct"/>
            <w:noWrap/>
            <w:vAlign w:val="center"/>
            <w:hideMark/>
          </w:tcPr>
          <w:p w14:paraId="504BE5DF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90</w:t>
            </w:r>
          </w:p>
        </w:tc>
        <w:tc>
          <w:tcPr>
            <w:tcW w:w="1100" w:type="pct"/>
            <w:noWrap/>
            <w:vAlign w:val="center"/>
            <w:hideMark/>
          </w:tcPr>
          <w:p w14:paraId="0ABE7268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60</w:t>
            </w:r>
          </w:p>
        </w:tc>
      </w:tr>
      <w:tr w:rsidR="001C2DD1" w:rsidRPr="000F52D7" w14:paraId="4CB5236E" w14:textId="77777777" w:rsidTr="009F6925">
        <w:trPr>
          <w:trHeight w:val="57"/>
        </w:trPr>
        <w:tc>
          <w:tcPr>
            <w:tcW w:w="1700" w:type="pct"/>
            <w:noWrap/>
            <w:vAlign w:val="center"/>
            <w:hideMark/>
          </w:tcPr>
          <w:p w14:paraId="41600011" w14:textId="77777777" w:rsidR="001C2DD1" w:rsidRPr="000F52D7" w:rsidRDefault="001C2DD1" w:rsidP="00C52E7E">
            <w:pPr>
              <w:pStyle w:val="tabulka"/>
              <w:keepNext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0F52D7">
              <w:rPr>
                <w:sz w:val="20"/>
              </w:rPr>
              <w:t>Specializace ve zdravotnictví</w:t>
            </w:r>
          </w:p>
        </w:tc>
        <w:tc>
          <w:tcPr>
            <w:tcW w:w="1100" w:type="pct"/>
            <w:noWrap/>
            <w:vAlign w:val="center"/>
            <w:hideMark/>
          </w:tcPr>
          <w:p w14:paraId="1AEF6F89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7 399</w:t>
            </w:r>
          </w:p>
        </w:tc>
        <w:tc>
          <w:tcPr>
            <w:tcW w:w="1100" w:type="pct"/>
            <w:noWrap/>
            <w:vAlign w:val="center"/>
            <w:hideMark/>
          </w:tcPr>
          <w:p w14:paraId="6E9688B3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2 254</w:t>
            </w:r>
          </w:p>
        </w:tc>
        <w:tc>
          <w:tcPr>
            <w:tcW w:w="1100" w:type="pct"/>
            <w:noWrap/>
            <w:vAlign w:val="center"/>
            <w:hideMark/>
          </w:tcPr>
          <w:p w14:paraId="20072222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1 800</w:t>
            </w:r>
          </w:p>
        </w:tc>
      </w:tr>
      <w:tr w:rsidR="001C2DD1" w:rsidRPr="000F52D7" w14:paraId="66274D43" w14:textId="77777777" w:rsidTr="009F6925">
        <w:trPr>
          <w:trHeight w:val="57"/>
        </w:trPr>
        <w:tc>
          <w:tcPr>
            <w:tcW w:w="1700" w:type="pct"/>
            <w:noWrap/>
            <w:vAlign w:val="center"/>
            <w:hideMark/>
          </w:tcPr>
          <w:p w14:paraId="5C1D0BD3" w14:textId="77777777" w:rsidR="001C2DD1" w:rsidRPr="000F52D7" w:rsidRDefault="001C2DD1" w:rsidP="00C52E7E">
            <w:pPr>
              <w:pStyle w:val="tabulka"/>
              <w:keepNext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0F52D7">
              <w:rPr>
                <w:sz w:val="20"/>
              </w:rPr>
              <w:t>Veřejné zdravotnictví</w:t>
            </w:r>
          </w:p>
        </w:tc>
        <w:tc>
          <w:tcPr>
            <w:tcW w:w="1100" w:type="pct"/>
            <w:noWrap/>
            <w:vAlign w:val="center"/>
            <w:hideMark/>
          </w:tcPr>
          <w:p w14:paraId="615B87D3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77</w:t>
            </w:r>
          </w:p>
        </w:tc>
        <w:tc>
          <w:tcPr>
            <w:tcW w:w="1100" w:type="pct"/>
            <w:noWrap/>
            <w:vAlign w:val="center"/>
            <w:hideMark/>
          </w:tcPr>
          <w:p w14:paraId="0F769241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53</w:t>
            </w:r>
          </w:p>
        </w:tc>
        <w:tc>
          <w:tcPr>
            <w:tcW w:w="1100" w:type="pct"/>
            <w:noWrap/>
            <w:vAlign w:val="center"/>
            <w:hideMark/>
          </w:tcPr>
          <w:p w14:paraId="52D590F8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39</w:t>
            </w:r>
          </w:p>
        </w:tc>
      </w:tr>
      <w:tr w:rsidR="001C2DD1" w:rsidRPr="000F52D7" w14:paraId="614CEA97" w14:textId="77777777" w:rsidTr="009F6925">
        <w:trPr>
          <w:trHeight w:val="57"/>
        </w:trPr>
        <w:tc>
          <w:tcPr>
            <w:tcW w:w="1700" w:type="pct"/>
            <w:noWrap/>
            <w:vAlign w:val="center"/>
            <w:hideMark/>
          </w:tcPr>
          <w:p w14:paraId="0CCBF502" w14:textId="77777777" w:rsidR="001C2DD1" w:rsidRPr="000F52D7" w:rsidRDefault="001C2DD1" w:rsidP="00C52E7E">
            <w:pPr>
              <w:pStyle w:val="tabulka"/>
              <w:keepNext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0F52D7">
              <w:rPr>
                <w:sz w:val="20"/>
              </w:rPr>
              <w:t>Zdravotně sociální péče</w:t>
            </w:r>
          </w:p>
        </w:tc>
        <w:tc>
          <w:tcPr>
            <w:tcW w:w="1100" w:type="pct"/>
            <w:noWrap/>
            <w:vAlign w:val="center"/>
            <w:hideMark/>
          </w:tcPr>
          <w:p w14:paraId="07831643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374</w:t>
            </w:r>
          </w:p>
        </w:tc>
        <w:tc>
          <w:tcPr>
            <w:tcW w:w="1100" w:type="pct"/>
            <w:noWrap/>
            <w:vAlign w:val="center"/>
            <w:hideMark/>
          </w:tcPr>
          <w:p w14:paraId="4AF9B539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245</w:t>
            </w:r>
          </w:p>
        </w:tc>
        <w:tc>
          <w:tcPr>
            <w:tcW w:w="1100" w:type="pct"/>
            <w:noWrap/>
            <w:vAlign w:val="center"/>
            <w:hideMark/>
          </w:tcPr>
          <w:p w14:paraId="68AA1DFA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175</w:t>
            </w:r>
          </w:p>
        </w:tc>
      </w:tr>
      <w:tr w:rsidR="001C2DD1" w:rsidRPr="00A3445D" w14:paraId="257EA352" w14:textId="77777777" w:rsidTr="009F6925">
        <w:trPr>
          <w:trHeight w:val="57"/>
        </w:trPr>
        <w:tc>
          <w:tcPr>
            <w:tcW w:w="1700" w:type="pct"/>
            <w:shd w:val="clear" w:color="auto" w:fill="F2F2F2" w:themeFill="background1" w:themeFillShade="F2"/>
            <w:noWrap/>
            <w:vAlign w:val="center"/>
            <w:hideMark/>
          </w:tcPr>
          <w:p w14:paraId="5ED09CD6" w14:textId="77777777" w:rsidR="001C2DD1" w:rsidRPr="00A3445D" w:rsidRDefault="001C2DD1" w:rsidP="00C52E7E">
            <w:pPr>
              <w:pStyle w:val="tabulka"/>
              <w:keepNext w:val="0"/>
              <w:jc w:val="left"/>
              <w:rPr>
                <w:b/>
                <w:sz w:val="20"/>
              </w:rPr>
            </w:pPr>
            <w:r w:rsidRPr="00A3445D">
              <w:rPr>
                <w:b/>
                <w:sz w:val="20"/>
              </w:rPr>
              <w:t>2016</w:t>
            </w:r>
          </w:p>
        </w:tc>
        <w:tc>
          <w:tcPr>
            <w:tcW w:w="1100" w:type="pct"/>
            <w:shd w:val="clear" w:color="auto" w:fill="F2F2F2" w:themeFill="background1" w:themeFillShade="F2"/>
            <w:noWrap/>
            <w:vAlign w:val="center"/>
            <w:hideMark/>
          </w:tcPr>
          <w:p w14:paraId="041DB2DC" w14:textId="77777777" w:rsidR="001C2DD1" w:rsidRPr="00A3445D" w:rsidRDefault="001C2DD1" w:rsidP="00C52E7E">
            <w:pPr>
              <w:pStyle w:val="tabulka"/>
              <w:keepNext w:val="0"/>
              <w:jc w:val="right"/>
              <w:rPr>
                <w:b/>
                <w:sz w:val="20"/>
              </w:rPr>
            </w:pPr>
            <w:r w:rsidRPr="00A3445D">
              <w:rPr>
                <w:b/>
                <w:sz w:val="20"/>
              </w:rPr>
              <w:t>12 514</w:t>
            </w:r>
          </w:p>
        </w:tc>
        <w:tc>
          <w:tcPr>
            <w:tcW w:w="1100" w:type="pct"/>
            <w:shd w:val="clear" w:color="auto" w:fill="F2F2F2" w:themeFill="background1" w:themeFillShade="F2"/>
            <w:noWrap/>
            <w:vAlign w:val="center"/>
            <w:hideMark/>
          </w:tcPr>
          <w:p w14:paraId="026351BB" w14:textId="77777777" w:rsidR="001C2DD1" w:rsidRPr="00A3445D" w:rsidRDefault="001C2DD1" w:rsidP="00C52E7E">
            <w:pPr>
              <w:pStyle w:val="tabulka"/>
              <w:keepNext w:val="0"/>
              <w:jc w:val="right"/>
              <w:rPr>
                <w:b/>
                <w:sz w:val="20"/>
              </w:rPr>
            </w:pPr>
            <w:r w:rsidRPr="00A3445D">
              <w:rPr>
                <w:b/>
                <w:sz w:val="20"/>
              </w:rPr>
              <w:t>5 024</w:t>
            </w:r>
          </w:p>
        </w:tc>
        <w:tc>
          <w:tcPr>
            <w:tcW w:w="1100" w:type="pct"/>
            <w:shd w:val="clear" w:color="auto" w:fill="F2F2F2" w:themeFill="background1" w:themeFillShade="F2"/>
            <w:noWrap/>
            <w:vAlign w:val="center"/>
            <w:hideMark/>
          </w:tcPr>
          <w:p w14:paraId="37432210" w14:textId="77777777" w:rsidR="001C2DD1" w:rsidRPr="00A3445D" w:rsidRDefault="001C2DD1" w:rsidP="00C52E7E">
            <w:pPr>
              <w:pStyle w:val="tabulka"/>
              <w:keepNext w:val="0"/>
              <w:jc w:val="right"/>
              <w:rPr>
                <w:b/>
                <w:sz w:val="20"/>
              </w:rPr>
            </w:pPr>
            <w:r w:rsidRPr="00A3445D">
              <w:rPr>
                <w:b/>
                <w:sz w:val="20"/>
              </w:rPr>
              <w:t>3 807</w:t>
            </w:r>
          </w:p>
        </w:tc>
      </w:tr>
      <w:tr w:rsidR="001C2DD1" w:rsidRPr="000F52D7" w14:paraId="5152D5D2" w14:textId="77777777" w:rsidTr="009F6925">
        <w:trPr>
          <w:trHeight w:val="57"/>
        </w:trPr>
        <w:tc>
          <w:tcPr>
            <w:tcW w:w="1700" w:type="pct"/>
            <w:noWrap/>
            <w:vAlign w:val="center"/>
            <w:hideMark/>
          </w:tcPr>
          <w:p w14:paraId="064C53AA" w14:textId="77777777" w:rsidR="001C2DD1" w:rsidRPr="000F52D7" w:rsidRDefault="001C2DD1" w:rsidP="00C52E7E">
            <w:pPr>
              <w:pStyle w:val="tabulka"/>
              <w:keepNext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0F52D7">
              <w:rPr>
                <w:sz w:val="20"/>
              </w:rPr>
              <w:t>Ošetřovatelství</w:t>
            </w:r>
          </w:p>
        </w:tc>
        <w:tc>
          <w:tcPr>
            <w:tcW w:w="1100" w:type="pct"/>
            <w:noWrap/>
            <w:vAlign w:val="center"/>
            <w:hideMark/>
          </w:tcPr>
          <w:p w14:paraId="39325030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3 483</w:t>
            </w:r>
          </w:p>
        </w:tc>
        <w:tc>
          <w:tcPr>
            <w:tcW w:w="1100" w:type="pct"/>
            <w:noWrap/>
            <w:vAlign w:val="center"/>
            <w:hideMark/>
          </w:tcPr>
          <w:p w14:paraId="5A3B1A73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1 868</w:t>
            </w:r>
          </w:p>
        </w:tc>
        <w:tc>
          <w:tcPr>
            <w:tcW w:w="1100" w:type="pct"/>
            <w:noWrap/>
            <w:vAlign w:val="center"/>
            <w:hideMark/>
          </w:tcPr>
          <w:p w14:paraId="2872A5E4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1 441</w:t>
            </w:r>
          </w:p>
        </w:tc>
      </w:tr>
      <w:tr w:rsidR="001C2DD1" w:rsidRPr="000F52D7" w14:paraId="470AC4F2" w14:textId="77777777" w:rsidTr="009F6925">
        <w:trPr>
          <w:trHeight w:val="57"/>
        </w:trPr>
        <w:tc>
          <w:tcPr>
            <w:tcW w:w="1700" w:type="pct"/>
            <w:noWrap/>
            <w:vAlign w:val="center"/>
            <w:hideMark/>
          </w:tcPr>
          <w:p w14:paraId="71E1C9C1" w14:textId="77777777" w:rsidR="001C2DD1" w:rsidRPr="000F52D7" w:rsidRDefault="001C2DD1" w:rsidP="00C52E7E">
            <w:pPr>
              <w:pStyle w:val="tabulka"/>
              <w:keepNext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0F52D7">
              <w:rPr>
                <w:sz w:val="20"/>
              </w:rPr>
              <w:t>Porodní asistence</w:t>
            </w:r>
          </w:p>
        </w:tc>
        <w:tc>
          <w:tcPr>
            <w:tcW w:w="1100" w:type="pct"/>
            <w:noWrap/>
            <w:vAlign w:val="center"/>
            <w:hideMark/>
          </w:tcPr>
          <w:p w14:paraId="7E05E39A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1 029</w:t>
            </w:r>
          </w:p>
        </w:tc>
        <w:tc>
          <w:tcPr>
            <w:tcW w:w="1100" w:type="pct"/>
            <w:noWrap/>
            <w:vAlign w:val="center"/>
            <w:hideMark/>
          </w:tcPr>
          <w:p w14:paraId="42F979C4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466</w:t>
            </w:r>
          </w:p>
        </w:tc>
        <w:tc>
          <w:tcPr>
            <w:tcW w:w="1100" w:type="pct"/>
            <w:noWrap/>
            <w:vAlign w:val="center"/>
            <w:hideMark/>
          </w:tcPr>
          <w:p w14:paraId="77C1208D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277</w:t>
            </w:r>
          </w:p>
        </w:tc>
      </w:tr>
      <w:tr w:rsidR="001C2DD1" w:rsidRPr="000F52D7" w14:paraId="08ED828E" w14:textId="77777777" w:rsidTr="009F6925">
        <w:trPr>
          <w:trHeight w:val="57"/>
        </w:trPr>
        <w:tc>
          <w:tcPr>
            <w:tcW w:w="1700" w:type="pct"/>
            <w:noWrap/>
            <w:vAlign w:val="center"/>
            <w:hideMark/>
          </w:tcPr>
          <w:p w14:paraId="03325E58" w14:textId="77777777" w:rsidR="001C2DD1" w:rsidRPr="000F52D7" w:rsidRDefault="001C2DD1" w:rsidP="00C52E7E">
            <w:pPr>
              <w:pStyle w:val="tabulka"/>
              <w:keepNext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0F52D7">
              <w:rPr>
                <w:sz w:val="20"/>
              </w:rPr>
              <w:t>Rehabilitace</w:t>
            </w:r>
          </w:p>
        </w:tc>
        <w:tc>
          <w:tcPr>
            <w:tcW w:w="1100" w:type="pct"/>
            <w:noWrap/>
            <w:vAlign w:val="center"/>
            <w:hideMark/>
          </w:tcPr>
          <w:p w14:paraId="3E5A150F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94</w:t>
            </w:r>
          </w:p>
        </w:tc>
        <w:tc>
          <w:tcPr>
            <w:tcW w:w="1100" w:type="pct"/>
            <w:noWrap/>
            <w:vAlign w:val="center"/>
            <w:hideMark/>
          </w:tcPr>
          <w:p w14:paraId="20E6B80C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82</w:t>
            </w:r>
          </w:p>
        </w:tc>
        <w:tc>
          <w:tcPr>
            <w:tcW w:w="1100" w:type="pct"/>
            <w:noWrap/>
            <w:vAlign w:val="center"/>
            <w:hideMark/>
          </w:tcPr>
          <w:p w14:paraId="4E2F5570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64</w:t>
            </w:r>
          </w:p>
        </w:tc>
      </w:tr>
      <w:tr w:rsidR="001C2DD1" w:rsidRPr="000F52D7" w14:paraId="0D667734" w14:textId="77777777" w:rsidTr="009F6925">
        <w:trPr>
          <w:trHeight w:val="57"/>
        </w:trPr>
        <w:tc>
          <w:tcPr>
            <w:tcW w:w="1700" w:type="pct"/>
            <w:noWrap/>
            <w:vAlign w:val="center"/>
            <w:hideMark/>
          </w:tcPr>
          <w:p w14:paraId="1AB64566" w14:textId="77777777" w:rsidR="001C2DD1" w:rsidRPr="000F52D7" w:rsidRDefault="001C2DD1" w:rsidP="00C52E7E">
            <w:pPr>
              <w:pStyle w:val="tabulka"/>
              <w:keepNext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0F52D7">
              <w:rPr>
                <w:sz w:val="20"/>
              </w:rPr>
              <w:t>Specializace ve zdravotnictví</w:t>
            </w:r>
          </w:p>
        </w:tc>
        <w:tc>
          <w:tcPr>
            <w:tcW w:w="1100" w:type="pct"/>
            <w:noWrap/>
            <w:vAlign w:val="center"/>
            <w:hideMark/>
          </w:tcPr>
          <w:p w14:paraId="5D911C4A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7 267</w:t>
            </w:r>
          </w:p>
        </w:tc>
        <w:tc>
          <w:tcPr>
            <w:tcW w:w="1100" w:type="pct"/>
            <w:noWrap/>
            <w:vAlign w:val="center"/>
            <w:hideMark/>
          </w:tcPr>
          <w:p w14:paraId="22F7329A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2 139</w:t>
            </w:r>
          </w:p>
        </w:tc>
        <w:tc>
          <w:tcPr>
            <w:tcW w:w="1100" w:type="pct"/>
            <w:noWrap/>
            <w:vAlign w:val="center"/>
            <w:hideMark/>
          </w:tcPr>
          <w:p w14:paraId="005D111F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1 683</w:t>
            </w:r>
          </w:p>
        </w:tc>
      </w:tr>
      <w:tr w:rsidR="001C2DD1" w:rsidRPr="000F52D7" w14:paraId="09716A5B" w14:textId="77777777" w:rsidTr="009F6925">
        <w:trPr>
          <w:trHeight w:val="57"/>
        </w:trPr>
        <w:tc>
          <w:tcPr>
            <w:tcW w:w="1700" w:type="pct"/>
            <w:noWrap/>
            <w:vAlign w:val="center"/>
            <w:hideMark/>
          </w:tcPr>
          <w:p w14:paraId="2EF7CE6D" w14:textId="77777777" w:rsidR="001C2DD1" w:rsidRPr="000F52D7" w:rsidRDefault="001C2DD1" w:rsidP="00C52E7E">
            <w:pPr>
              <w:pStyle w:val="tabulka"/>
              <w:keepNext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0F52D7">
              <w:rPr>
                <w:sz w:val="20"/>
              </w:rPr>
              <w:t>Veřejné zdravotnictví</w:t>
            </w:r>
          </w:p>
        </w:tc>
        <w:tc>
          <w:tcPr>
            <w:tcW w:w="1100" w:type="pct"/>
            <w:noWrap/>
            <w:vAlign w:val="center"/>
            <w:hideMark/>
          </w:tcPr>
          <w:p w14:paraId="73B6E6D8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144</w:t>
            </w:r>
          </w:p>
        </w:tc>
        <w:tc>
          <w:tcPr>
            <w:tcW w:w="1100" w:type="pct"/>
            <w:noWrap/>
            <w:vAlign w:val="center"/>
            <w:hideMark/>
          </w:tcPr>
          <w:p w14:paraId="4AC2E82D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101</w:t>
            </w:r>
          </w:p>
        </w:tc>
        <w:tc>
          <w:tcPr>
            <w:tcW w:w="1100" w:type="pct"/>
            <w:noWrap/>
            <w:vAlign w:val="center"/>
            <w:hideMark/>
          </w:tcPr>
          <w:p w14:paraId="3251DBFE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63</w:t>
            </w:r>
          </w:p>
        </w:tc>
      </w:tr>
      <w:tr w:rsidR="001C2DD1" w:rsidRPr="000F52D7" w14:paraId="685EE448" w14:textId="77777777" w:rsidTr="009F6925">
        <w:trPr>
          <w:trHeight w:val="57"/>
        </w:trPr>
        <w:tc>
          <w:tcPr>
            <w:tcW w:w="1700" w:type="pct"/>
            <w:noWrap/>
            <w:vAlign w:val="center"/>
            <w:hideMark/>
          </w:tcPr>
          <w:p w14:paraId="5F09D8AF" w14:textId="77777777" w:rsidR="001C2DD1" w:rsidRPr="000F52D7" w:rsidRDefault="001C2DD1" w:rsidP="00C52E7E">
            <w:pPr>
              <w:pStyle w:val="tabulka"/>
              <w:keepNext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0F52D7">
              <w:rPr>
                <w:sz w:val="20"/>
              </w:rPr>
              <w:t>Zdravotně sociální péče</w:t>
            </w:r>
          </w:p>
        </w:tc>
        <w:tc>
          <w:tcPr>
            <w:tcW w:w="1100" w:type="pct"/>
            <w:noWrap/>
            <w:vAlign w:val="center"/>
            <w:hideMark/>
          </w:tcPr>
          <w:p w14:paraId="17CA912F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497</w:t>
            </w:r>
          </w:p>
        </w:tc>
        <w:tc>
          <w:tcPr>
            <w:tcW w:w="1100" w:type="pct"/>
            <w:noWrap/>
            <w:vAlign w:val="center"/>
            <w:hideMark/>
          </w:tcPr>
          <w:p w14:paraId="51308939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368</w:t>
            </w:r>
          </w:p>
        </w:tc>
        <w:tc>
          <w:tcPr>
            <w:tcW w:w="1100" w:type="pct"/>
            <w:noWrap/>
            <w:vAlign w:val="center"/>
            <w:hideMark/>
          </w:tcPr>
          <w:p w14:paraId="4E0D1EAE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279</w:t>
            </w:r>
          </w:p>
        </w:tc>
      </w:tr>
      <w:tr w:rsidR="001C2DD1" w:rsidRPr="00A3445D" w14:paraId="6BD90098" w14:textId="77777777" w:rsidTr="009F6925">
        <w:trPr>
          <w:trHeight w:val="57"/>
        </w:trPr>
        <w:tc>
          <w:tcPr>
            <w:tcW w:w="1700" w:type="pct"/>
            <w:shd w:val="clear" w:color="auto" w:fill="F2F2F2" w:themeFill="background1" w:themeFillShade="F2"/>
            <w:noWrap/>
            <w:vAlign w:val="center"/>
            <w:hideMark/>
          </w:tcPr>
          <w:p w14:paraId="1B688DA7" w14:textId="77777777" w:rsidR="001C2DD1" w:rsidRPr="00A3445D" w:rsidRDefault="001C2DD1" w:rsidP="00C52E7E">
            <w:pPr>
              <w:pStyle w:val="tabulka"/>
              <w:keepNext w:val="0"/>
              <w:jc w:val="left"/>
              <w:rPr>
                <w:b/>
                <w:sz w:val="20"/>
              </w:rPr>
            </w:pPr>
            <w:r w:rsidRPr="00A3445D">
              <w:rPr>
                <w:b/>
                <w:sz w:val="20"/>
              </w:rPr>
              <w:t>2017</w:t>
            </w:r>
          </w:p>
        </w:tc>
        <w:tc>
          <w:tcPr>
            <w:tcW w:w="1100" w:type="pct"/>
            <w:shd w:val="clear" w:color="auto" w:fill="F2F2F2" w:themeFill="background1" w:themeFillShade="F2"/>
            <w:noWrap/>
            <w:vAlign w:val="center"/>
            <w:hideMark/>
          </w:tcPr>
          <w:p w14:paraId="150EFDF0" w14:textId="77777777" w:rsidR="001C2DD1" w:rsidRPr="00A3445D" w:rsidRDefault="001C2DD1" w:rsidP="00C52E7E">
            <w:pPr>
              <w:pStyle w:val="tabulka"/>
              <w:keepNext w:val="0"/>
              <w:jc w:val="right"/>
              <w:rPr>
                <w:b/>
                <w:sz w:val="20"/>
              </w:rPr>
            </w:pPr>
            <w:r w:rsidRPr="00A3445D">
              <w:rPr>
                <w:b/>
                <w:sz w:val="20"/>
              </w:rPr>
              <w:t>11 768</w:t>
            </w:r>
          </w:p>
        </w:tc>
        <w:tc>
          <w:tcPr>
            <w:tcW w:w="1100" w:type="pct"/>
            <w:shd w:val="clear" w:color="auto" w:fill="F2F2F2" w:themeFill="background1" w:themeFillShade="F2"/>
            <w:noWrap/>
            <w:vAlign w:val="center"/>
            <w:hideMark/>
          </w:tcPr>
          <w:p w14:paraId="7B30917D" w14:textId="77777777" w:rsidR="001C2DD1" w:rsidRPr="00A3445D" w:rsidRDefault="001C2DD1" w:rsidP="00C52E7E">
            <w:pPr>
              <w:pStyle w:val="tabulka"/>
              <w:keepNext w:val="0"/>
              <w:jc w:val="right"/>
              <w:rPr>
                <w:b/>
                <w:sz w:val="20"/>
              </w:rPr>
            </w:pPr>
            <w:r w:rsidRPr="00A3445D">
              <w:rPr>
                <w:b/>
                <w:sz w:val="20"/>
              </w:rPr>
              <w:t>5 219</w:t>
            </w:r>
          </w:p>
        </w:tc>
        <w:tc>
          <w:tcPr>
            <w:tcW w:w="1100" w:type="pct"/>
            <w:shd w:val="clear" w:color="auto" w:fill="F2F2F2" w:themeFill="background1" w:themeFillShade="F2"/>
            <w:noWrap/>
            <w:vAlign w:val="center"/>
            <w:hideMark/>
          </w:tcPr>
          <w:p w14:paraId="114A562F" w14:textId="77777777" w:rsidR="001C2DD1" w:rsidRPr="00A3445D" w:rsidRDefault="001C2DD1" w:rsidP="00C52E7E">
            <w:pPr>
              <w:pStyle w:val="tabulka"/>
              <w:keepNext w:val="0"/>
              <w:jc w:val="right"/>
              <w:rPr>
                <w:b/>
                <w:sz w:val="20"/>
              </w:rPr>
            </w:pPr>
            <w:r w:rsidRPr="00A3445D">
              <w:rPr>
                <w:b/>
                <w:sz w:val="20"/>
              </w:rPr>
              <w:t>3 903</w:t>
            </w:r>
          </w:p>
        </w:tc>
      </w:tr>
      <w:tr w:rsidR="001C2DD1" w:rsidRPr="000F52D7" w14:paraId="3763D687" w14:textId="77777777" w:rsidTr="009F6925">
        <w:trPr>
          <w:trHeight w:val="57"/>
        </w:trPr>
        <w:tc>
          <w:tcPr>
            <w:tcW w:w="1700" w:type="pct"/>
            <w:noWrap/>
            <w:vAlign w:val="center"/>
            <w:hideMark/>
          </w:tcPr>
          <w:p w14:paraId="7EF8B7E8" w14:textId="77777777" w:rsidR="001C2DD1" w:rsidRPr="000F52D7" w:rsidRDefault="001C2DD1" w:rsidP="00C52E7E">
            <w:pPr>
              <w:pStyle w:val="tabulka"/>
              <w:keepNext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0F52D7">
              <w:rPr>
                <w:sz w:val="20"/>
              </w:rPr>
              <w:t>Ošetřovatelství</w:t>
            </w:r>
          </w:p>
        </w:tc>
        <w:tc>
          <w:tcPr>
            <w:tcW w:w="1100" w:type="pct"/>
            <w:noWrap/>
            <w:vAlign w:val="center"/>
            <w:hideMark/>
          </w:tcPr>
          <w:p w14:paraId="26B446AE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2 992</w:t>
            </w:r>
          </w:p>
        </w:tc>
        <w:tc>
          <w:tcPr>
            <w:tcW w:w="1100" w:type="pct"/>
            <w:noWrap/>
            <w:vAlign w:val="center"/>
            <w:hideMark/>
          </w:tcPr>
          <w:p w14:paraId="6D083D60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1 845</w:t>
            </w:r>
          </w:p>
        </w:tc>
        <w:tc>
          <w:tcPr>
            <w:tcW w:w="1100" w:type="pct"/>
            <w:noWrap/>
            <w:vAlign w:val="center"/>
            <w:hideMark/>
          </w:tcPr>
          <w:p w14:paraId="7027869B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1 445</w:t>
            </w:r>
          </w:p>
        </w:tc>
      </w:tr>
      <w:tr w:rsidR="001C2DD1" w:rsidRPr="000F52D7" w14:paraId="7666881A" w14:textId="77777777" w:rsidTr="009F6925">
        <w:trPr>
          <w:trHeight w:val="57"/>
        </w:trPr>
        <w:tc>
          <w:tcPr>
            <w:tcW w:w="1700" w:type="pct"/>
            <w:noWrap/>
            <w:vAlign w:val="center"/>
            <w:hideMark/>
          </w:tcPr>
          <w:p w14:paraId="0C29DA61" w14:textId="77777777" w:rsidR="001C2DD1" w:rsidRPr="000F52D7" w:rsidRDefault="001C2DD1" w:rsidP="00C52E7E">
            <w:pPr>
              <w:pStyle w:val="tabulka"/>
              <w:keepNext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0F52D7">
              <w:rPr>
                <w:sz w:val="20"/>
              </w:rPr>
              <w:t>Porodní asistence</w:t>
            </w:r>
          </w:p>
        </w:tc>
        <w:tc>
          <w:tcPr>
            <w:tcW w:w="1100" w:type="pct"/>
            <w:noWrap/>
            <w:vAlign w:val="center"/>
            <w:hideMark/>
          </w:tcPr>
          <w:p w14:paraId="3CAB6CD7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890</w:t>
            </w:r>
          </w:p>
        </w:tc>
        <w:tc>
          <w:tcPr>
            <w:tcW w:w="1100" w:type="pct"/>
            <w:noWrap/>
            <w:vAlign w:val="center"/>
            <w:hideMark/>
          </w:tcPr>
          <w:p w14:paraId="177B5763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486</w:t>
            </w:r>
          </w:p>
        </w:tc>
        <w:tc>
          <w:tcPr>
            <w:tcW w:w="1100" w:type="pct"/>
            <w:noWrap/>
            <w:vAlign w:val="center"/>
            <w:hideMark/>
          </w:tcPr>
          <w:p w14:paraId="71D43E4A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302</w:t>
            </w:r>
          </w:p>
        </w:tc>
      </w:tr>
      <w:tr w:rsidR="001C2DD1" w:rsidRPr="000F52D7" w14:paraId="0ABF8425" w14:textId="77777777" w:rsidTr="009F6925">
        <w:trPr>
          <w:trHeight w:val="57"/>
        </w:trPr>
        <w:tc>
          <w:tcPr>
            <w:tcW w:w="1700" w:type="pct"/>
            <w:noWrap/>
            <w:vAlign w:val="center"/>
            <w:hideMark/>
          </w:tcPr>
          <w:p w14:paraId="56804AF3" w14:textId="77777777" w:rsidR="001C2DD1" w:rsidRPr="000F52D7" w:rsidRDefault="001C2DD1" w:rsidP="00C52E7E">
            <w:pPr>
              <w:pStyle w:val="tabulka"/>
              <w:keepNext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0F52D7">
              <w:rPr>
                <w:sz w:val="20"/>
              </w:rPr>
              <w:t>Rehabilitace</w:t>
            </w:r>
          </w:p>
        </w:tc>
        <w:tc>
          <w:tcPr>
            <w:tcW w:w="1100" w:type="pct"/>
            <w:noWrap/>
            <w:vAlign w:val="center"/>
            <w:hideMark/>
          </w:tcPr>
          <w:p w14:paraId="12C82FB6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79</w:t>
            </w:r>
          </w:p>
        </w:tc>
        <w:tc>
          <w:tcPr>
            <w:tcW w:w="1100" w:type="pct"/>
            <w:noWrap/>
            <w:vAlign w:val="center"/>
            <w:hideMark/>
          </w:tcPr>
          <w:p w14:paraId="24DB0E05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60</w:t>
            </w:r>
          </w:p>
        </w:tc>
        <w:tc>
          <w:tcPr>
            <w:tcW w:w="1100" w:type="pct"/>
            <w:noWrap/>
            <w:vAlign w:val="center"/>
            <w:hideMark/>
          </w:tcPr>
          <w:p w14:paraId="02B59270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34</w:t>
            </w:r>
          </w:p>
        </w:tc>
      </w:tr>
      <w:tr w:rsidR="001C2DD1" w:rsidRPr="000F52D7" w14:paraId="17FE79B1" w14:textId="77777777" w:rsidTr="009F6925">
        <w:trPr>
          <w:trHeight w:val="57"/>
        </w:trPr>
        <w:tc>
          <w:tcPr>
            <w:tcW w:w="1700" w:type="pct"/>
            <w:noWrap/>
            <w:vAlign w:val="center"/>
            <w:hideMark/>
          </w:tcPr>
          <w:p w14:paraId="703D2E6C" w14:textId="77777777" w:rsidR="001C2DD1" w:rsidRPr="000F52D7" w:rsidRDefault="001C2DD1" w:rsidP="00C52E7E">
            <w:pPr>
              <w:pStyle w:val="tabulka"/>
              <w:keepNext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0F52D7">
              <w:rPr>
                <w:sz w:val="20"/>
              </w:rPr>
              <w:t>Specializace ve zdravotnictví</w:t>
            </w:r>
          </w:p>
        </w:tc>
        <w:tc>
          <w:tcPr>
            <w:tcW w:w="1100" w:type="pct"/>
            <w:noWrap/>
            <w:vAlign w:val="center"/>
            <w:hideMark/>
          </w:tcPr>
          <w:p w14:paraId="762AD1CB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7 371</w:t>
            </w:r>
          </w:p>
        </w:tc>
        <w:tc>
          <w:tcPr>
            <w:tcW w:w="1100" w:type="pct"/>
            <w:noWrap/>
            <w:vAlign w:val="center"/>
            <w:hideMark/>
          </w:tcPr>
          <w:p w14:paraId="63BF514E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2 523</w:t>
            </w:r>
          </w:p>
        </w:tc>
        <w:tc>
          <w:tcPr>
            <w:tcW w:w="1100" w:type="pct"/>
            <w:noWrap/>
            <w:vAlign w:val="center"/>
            <w:hideMark/>
          </w:tcPr>
          <w:p w14:paraId="3D9F0137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1 891</w:t>
            </w:r>
          </w:p>
        </w:tc>
      </w:tr>
      <w:tr w:rsidR="001C2DD1" w:rsidRPr="000F52D7" w14:paraId="0C6B5057" w14:textId="77777777" w:rsidTr="009F6925">
        <w:trPr>
          <w:trHeight w:val="57"/>
        </w:trPr>
        <w:tc>
          <w:tcPr>
            <w:tcW w:w="1700" w:type="pct"/>
            <w:noWrap/>
            <w:vAlign w:val="center"/>
            <w:hideMark/>
          </w:tcPr>
          <w:p w14:paraId="188F458F" w14:textId="77777777" w:rsidR="001C2DD1" w:rsidRPr="000F52D7" w:rsidRDefault="001C2DD1" w:rsidP="00C52E7E">
            <w:pPr>
              <w:pStyle w:val="tabulka"/>
              <w:keepNext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0F52D7">
              <w:rPr>
                <w:sz w:val="20"/>
              </w:rPr>
              <w:t>Veřejné zdravotnictví</w:t>
            </w:r>
          </w:p>
        </w:tc>
        <w:tc>
          <w:tcPr>
            <w:tcW w:w="1100" w:type="pct"/>
            <w:noWrap/>
            <w:vAlign w:val="center"/>
            <w:hideMark/>
          </w:tcPr>
          <w:p w14:paraId="4B6C32A6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102</w:t>
            </w:r>
          </w:p>
        </w:tc>
        <w:tc>
          <w:tcPr>
            <w:tcW w:w="1100" w:type="pct"/>
            <w:noWrap/>
            <w:vAlign w:val="center"/>
            <w:hideMark/>
          </w:tcPr>
          <w:p w14:paraId="10DFF0E2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63</w:t>
            </w:r>
          </w:p>
        </w:tc>
        <w:tc>
          <w:tcPr>
            <w:tcW w:w="1100" w:type="pct"/>
            <w:noWrap/>
            <w:vAlign w:val="center"/>
            <w:hideMark/>
          </w:tcPr>
          <w:p w14:paraId="7A28DB20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46</w:t>
            </w:r>
          </w:p>
        </w:tc>
      </w:tr>
      <w:tr w:rsidR="001C2DD1" w:rsidRPr="000F52D7" w14:paraId="3241DB9C" w14:textId="77777777" w:rsidTr="009F6925">
        <w:trPr>
          <w:trHeight w:val="57"/>
        </w:trPr>
        <w:tc>
          <w:tcPr>
            <w:tcW w:w="1700" w:type="pct"/>
            <w:noWrap/>
            <w:vAlign w:val="center"/>
            <w:hideMark/>
          </w:tcPr>
          <w:p w14:paraId="0BF5DADF" w14:textId="77777777" w:rsidR="001C2DD1" w:rsidRPr="000F52D7" w:rsidRDefault="001C2DD1" w:rsidP="00C52E7E">
            <w:pPr>
              <w:pStyle w:val="tabulka"/>
              <w:keepNext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0F52D7">
              <w:rPr>
                <w:sz w:val="20"/>
              </w:rPr>
              <w:t>Zdravotně sociální péče</w:t>
            </w:r>
          </w:p>
        </w:tc>
        <w:tc>
          <w:tcPr>
            <w:tcW w:w="1100" w:type="pct"/>
            <w:noWrap/>
            <w:vAlign w:val="center"/>
            <w:hideMark/>
          </w:tcPr>
          <w:p w14:paraId="71DA5881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334</w:t>
            </w:r>
          </w:p>
        </w:tc>
        <w:tc>
          <w:tcPr>
            <w:tcW w:w="1100" w:type="pct"/>
            <w:noWrap/>
            <w:vAlign w:val="center"/>
            <w:hideMark/>
          </w:tcPr>
          <w:p w14:paraId="60822F3E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242</w:t>
            </w:r>
          </w:p>
        </w:tc>
        <w:tc>
          <w:tcPr>
            <w:tcW w:w="1100" w:type="pct"/>
            <w:noWrap/>
            <w:vAlign w:val="center"/>
            <w:hideMark/>
          </w:tcPr>
          <w:p w14:paraId="7D5B4A64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185</w:t>
            </w:r>
          </w:p>
        </w:tc>
      </w:tr>
      <w:tr w:rsidR="001C2DD1" w:rsidRPr="00A3445D" w14:paraId="049EA790" w14:textId="77777777" w:rsidTr="009F6925">
        <w:trPr>
          <w:trHeight w:val="57"/>
        </w:trPr>
        <w:tc>
          <w:tcPr>
            <w:tcW w:w="1700" w:type="pct"/>
            <w:shd w:val="clear" w:color="auto" w:fill="F2F2F2" w:themeFill="background1" w:themeFillShade="F2"/>
            <w:noWrap/>
            <w:vAlign w:val="center"/>
            <w:hideMark/>
          </w:tcPr>
          <w:p w14:paraId="2392BE20" w14:textId="77777777" w:rsidR="001C2DD1" w:rsidRPr="00A3445D" w:rsidRDefault="001C2DD1" w:rsidP="00C52E7E">
            <w:pPr>
              <w:pStyle w:val="tabulka"/>
              <w:keepNext w:val="0"/>
              <w:jc w:val="left"/>
              <w:rPr>
                <w:b/>
                <w:sz w:val="20"/>
              </w:rPr>
            </w:pPr>
            <w:r w:rsidRPr="00A3445D">
              <w:rPr>
                <w:b/>
                <w:sz w:val="20"/>
              </w:rPr>
              <w:t>2018</w:t>
            </w:r>
          </w:p>
        </w:tc>
        <w:tc>
          <w:tcPr>
            <w:tcW w:w="1100" w:type="pct"/>
            <w:shd w:val="clear" w:color="auto" w:fill="F2F2F2" w:themeFill="background1" w:themeFillShade="F2"/>
            <w:noWrap/>
            <w:vAlign w:val="center"/>
            <w:hideMark/>
          </w:tcPr>
          <w:p w14:paraId="4F948BEB" w14:textId="77777777" w:rsidR="001C2DD1" w:rsidRPr="00A3445D" w:rsidRDefault="001C2DD1" w:rsidP="00C52E7E">
            <w:pPr>
              <w:pStyle w:val="tabulka"/>
              <w:keepNext w:val="0"/>
              <w:jc w:val="right"/>
              <w:rPr>
                <w:b/>
                <w:sz w:val="20"/>
              </w:rPr>
            </w:pPr>
            <w:r w:rsidRPr="00A3445D">
              <w:rPr>
                <w:b/>
                <w:sz w:val="20"/>
              </w:rPr>
              <w:t>11 238</w:t>
            </w:r>
          </w:p>
        </w:tc>
        <w:tc>
          <w:tcPr>
            <w:tcW w:w="1100" w:type="pct"/>
            <w:shd w:val="clear" w:color="auto" w:fill="F2F2F2" w:themeFill="background1" w:themeFillShade="F2"/>
            <w:noWrap/>
            <w:vAlign w:val="center"/>
            <w:hideMark/>
          </w:tcPr>
          <w:p w14:paraId="10C89C5A" w14:textId="77777777" w:rsidR="001C2DD1" w:rsidRPr="00A3445D" w:rsidRDefault="001C2DD1" w:rsidP="00C52E7E">
            <w:pPr>
              <w:pStyle w:val="tabulka"/>
              <w:keepNext w:val="0"/>
              <w:jc w:val="right"/>
              <w:rPr>
                <w:b/>
                <w:sz w:val="20"/>
              </w:rPr>
            </w:pPr>
            <w:r w:rsidRPr="00A3445D">
              <w:rPr>
                <w:b/>
                <w:sz w:val="20"/>
              </w:rPr>
              <w:t>4 984</w:t>
            </w:r>
          </w:p>
        </w:tc>
        <w:tc>
          <w:tcPr>
            <w:tcW w:w="1100" w:type="pct"/>
            <w:shd w:val="clear" w:color="auto" w:fill="F2F2F2" w:themeFill="background1" w:themeFillShade="F2"/>
            <w:noWrap/>
            <w:vAlign w:val="center"/>
            <w:hideMark/>
          </w:tcPr>
          <w:p w14:paraId="7B22E456" w14:textId="77777777" w:rsidR="001C2DD1" w:rsidRPr="00A3445D" w:rsidRDefault="001C2DD1" w:rsidP="00C52E7E">
            <w:pPr>
              <w:pStyle w:val="tabulka"/>
              <w:keepNext w:val="0"/>
              <w:jc w:val="right"/>
              <w:rPr>
                <w:b/>
                <w:sz w:val="20"/>
              </w:rPr>
            </w:pPr>
            <w:r w:rsidRPr="00A3445D">
              <w:rPr>
                <w:b/>
                <w:sz w:val="20"/>
              </w:rPr>
              <w:t>3 767</w:t>
            </w:r>
          </w:p>
        </w:tc>
      </w:tr>
      <w:tr w:rsidR="001C2DD1" w:rsidRPr="000F52D7" w14:paraId="6670F0BF" w14:textId="77777777" w:rsidTr="009F6925">
        <w:trPr>
          <w:trHeight w:val="57"/>
        </w:trPr>
        <w:tc>
          <w:tcPr>
            <w:tcW w:w="1700" w:type="pct"/>
            <w:noWrap/>
            <w:vAlign w:val="center"/>
            <w:hideMark/>
          </w:tcPr>
          <w:p w14:paraId="558EFD94" w14:textId="77777777" w:rsidR="001C2DD1" w:rsidRPr="000F52D7" w:rsidRDefault="001C2DD1" w:rsidP="00C52E7E">
            <w:pPr>
              <w:pStyle w:val="tabulka"/>
              <w:keepNext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0F52D7">
              <w:rPr>
                <w:sz w:val="20"/>
              </w:rPr>
              <w:t>Ošetřovatelství</w:t>
            </w:r>
          </w:p>
        </w:tc>
        <w:tc>
          <w:tcPr>
            <w:tcW w:w="1100" w:type="pct"/>
            <w:noWrap/>
            <w:vAlign w:val="center"/>
            <w:hideMark/>
          </w:tcPr>
          <w:p w14:paraId="69A2EE6E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2 638</w:t>
            </w:r>
          </w:p>
        </w:tc>
        <w:tc>
          <w:tcPr>
            <w:tcW w:w="1100" w:type="pct"/>
            <w:noWrap/>
            <w:vAlign w:val="center"/>
            <w:hideMark/>
          </w:tcPr>
          <w:p w14:paraId="2AA1DFBC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1 728</w:t>
            </w:r>
          </w:p>
        </w:tc>
        <w:tc>
          <w:tcPr>
            <w:tcW w:w="1100" w:type="pct"/>
            <w:noWrap/>
            <w:vAlign w:val="center"/>
            <w:hideMark/>
          </w:tcPr>
          <w:p w14:paraId="1F10E6BF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1 377</w:t>
            </w:r>
          </w:p>
        </w:tc>
      </w:tr>
      <w:tr w:rsidR="001C2DD1" w:rsidRPr="000F52D7" w14:paraId="00E3ECC6" w14:textId="77777777" w:rsidTr="009F6925">
        <w:trPr>
          <w:trHeight w:val="57"/>
        </w:trPr>
        <w:tc>
          <w:tcPr>
            <w:tcW w:w="1700" w:type="pct"/>
            <w:noWrap/>
            <w:vAlign w:val="center"/>
            <w:hideMark/>
          </w:tcPr>
          <w:p w14:paraId="15D0B48B" w14:textId="77777777" w:rsidR="001C2DD1" w:rsidRPr="000F52D7" w:rsidRDefault="001C2DD1" w:rsidP="00C52E7E">
            <w:pPr>
              <w:pStyle w:val="tabulka"/>
              <w:keepNext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0F52D7">
              <w:rPr>
                <w:sz w:val="20"/>
              </w:rPr>
              <w:t>Porodní asistence</w:t>
            </w:r>
          </w:p>
        </w:tc>
        <w:tc>
          <w:tcPr>
            <w:tcW w:w="1100" w:type="pct"/>
            <w:noWrap/>
            <w:vAlign w:val="center"/>
            <w:hideMark/>
          </w:tcPr>
          <w:p w14:paraId="02AAF438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1 087</w:t>
            </w:r>
          </w:p>
        </w:tc>
        <w:tc>
          <w:tcPr>
            <w:tcW w:w="1100" w:type="pct"/>
            <w:noWrap/>
            <w:vAlign w:val="center"/>
            <w:hideMark/>
          </w:tcPr>
          <w:p w14:paraId="7367B2E6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503</w:t>
            </w:r>
          </w:p>
        </w:tc>
        <w:tc>
          <w:tcPr>
            <w:tcW w:w="1100" w:type="pct"/>
            <w:noWrap/>
            <w:vAlign w:val="center"/>
            <w:hideMark/>
          </w:tcPr>
          <w:p w14:paraId="6C47285A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314</w:t>
            </w:r>
          </w:p>
        </w:tc>
      </w:tr>
      <w:tr w:rsidR="001C2DD1" w:rsidRPr="000F52D7" w14:paraId="3C775EB4" w14:textId="77777777" w:rsidTr="009F6925">
        <w:trPr>
          <w:trHeight w:val="57"/>
        </w:trPr>
        <w:tc>
          <w:tcPr>
            <w:tcW w:w="1700" w:type="pct"/>
            <w:noWrap/>
            <w:vAlign w:val="center"/>
            <w:hideMark/>
          </w:tcPr>
          <w:p w14:paraId="42FF26F2" w14:textId="77777777" w:rsidR="001C2DD1" w:rsidRPr="000F52D7" w:rsidRDefault="001C2DD1" w:rsidP="00C52E7E">
            <w:pPr>
              <w:pStyle w:val="tabulka"/>
              <w:keepNext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0F52D7">
              <w:rPr>
                <w:sz w:val="20"/>
              </w:rPr>
              <w:t>Rehabilitace</w:t>
            </w:r>
          </w:p>
        </w:tc>
        <w:tc>
          <w:tcPr>
            <w:tcW w:w="1100" w:type="pct"/>
            <w:noWrap/>
            <w:vAlign w:val="center"/>
            <w:hideMark/>
          </w:tcPr>
          <w:p w14:paraId="5185E28A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33</w:t>
            </w:r>
          </w:p>
        </w:tc>
        <w:tc>
          <w:tcPr>
            <w:tcW w:w="1100" w:type="pct"/>
            <w:noWrap/>
            <w:vAlign w:val="center"/>
            <w:hideMark/>
          </w:tcPr>
          <w:p w14:paraId="18509829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29</w:t>
            </w:r>
          </w:p>
        </w:tc>
        <w:tc>
          <w:tcPr>
            <w:tcW w:w="1100" w:type="pct"/>
            <w:noWrap/>
            <w:vAlign w:val="center"/>
            <w:hideMark/>
          </w:tcPr>
          <w:p w14:paraId="66EA1012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13</w:t>
            </w:r>
          </w:p>
        </w:tc>
      </w:tr>
      <w:tr w:rsidR="001C2DD1" w:rsidRPr="000F52D7" w14:paraId="2F03D0E8" w14:textId="77777777" w:rsidTr="009F6925">
        <w:trPr>
          <w:trHeight w:val="57"/>
        </w:trPr>
        <w:tc>
          <w:tcPr>
            <w:tcW w:w="1700" w:type="pct"/>
            <w:noWrap/>
            <w:vAlign w:val="center"/>
            <w:hideMark/>
          </w:tcPr>
          <w:p w14:paraId="4A78E2E7" w14:textId="77777777" w:rsidR="001C2DD1" w:rsidRPr="000F52D7" w:rsidRDefault="001C2DD1" w:rsidP="00C52E7E">
            <w:pPr>
              <w:pStyle w:val="tabulka"/>
              <w:keepNext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0F52D7">
              <w:rPr>
                <w:sz w:val="20"/>
              </w:rPr>
              <w:t>Specializace ve zdravotnictví</w:t>
            </w:r>
          </w:p>
        </w:tc>
        <w:tc>
          <w:tcPr>
            <w:tcW w:w="1100" w:type="pct"/>
            <w:noWrap/>
            <w:vAlign w:val="center"/>
            <w:hideMark/>
          </w:tcPr>
          <w:p w14:paraId="1AA584A6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7 080</w:t>
            </w:r>
          </w:p>
        </w:tc>
        <w:tc>
          <w:tcPr>
            <w:tcW w:w="1100" w:type="pct"/>
            <w:noWrap/>
            <w:vAlign w:val="center"/>
            <w:hideMark/>
          </w:tcPr>
          <w:p w14:paraId="5ADE87C7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2 461</w:t>
            </w:r>
          </w:p>
        </w:tc>
        <w:tc>
          <w:tcPr>
            <w:tcW w:w="1100" w:type="pct"/>
            <w:noWrap/>
            <w:vAlign w:val="center"/>
            <w:hideMark/>
          </w:tcPr>
          <w:p w14:paraId="260BD554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1 853</w:t>
            </w:r>
          </w:p>
        </w:tc>
      </w:tr>
      <w:tr w:rsidR="001C2DD1" w:rsidRPr="000F52D7" w14:paraId="661DC8A0" w14:textId="77777777" w:rsidTr="009F6925">
        <w:trPr>
          <w:trHeight w:val="57"/>
        </w:trPr>
        <w:tc>
          <w:tcPr>
            <w:tcW w:w="1700" w:type="pct"/>
            <w:noWrap/>
            <w:vAlign w:val="center"/>
            <w:hideMark/>
          </w:tcPr>
          <w:p w14:paraId="40722282" w14:textId="77777777" w:rsidR="001C2DD1" w:rsidRPr="000F52D7" w:rsidRDefault="001C2DD1" w:rsidP="00C52E7E">
            <w:pPr>
              <w:pStyle w:val="tabulka"/>
              <w:keepNext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0F52D7">
              <w:rPr>
                <w:sz w:val="20"/>
              </w:rPr>
              <w:t>Veřejné zdravotnictví</w:t>
            </w:r>
          </w:p>
        </w:tc>
        <w:tc>
          <w:tcPr>
            <w:tcW w:w="1100" w:type="pct"/>
            <w:noWrap/>
            <w:vAlign w:val="center"/>
            <w:hideMark/>
          </w:tcPr>
          <w:p w14:paraId="75A2A0FA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43</w:t>
            </w:r>
          </w:p>
        </w:tc>
        <w:tc>
          <w:tcPr>
            <w:tcW w:w="1100" w:type="pct"/>
            <w:noWrap/>
            <w:vAlign w:val="center"/>
            <w:hideMark/>
          </w:tcPr>
          <w:p w14:paraId="7B068928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21</w:t>
            </w:r>
          </w:p>
        </w:tc>
        <w:tc>
          <w:tcPr>
            <w:tcW w:w="1100" w:type="pct"/>
            <w:noWrap/>
            <w:vAlign w:val="center"/>
            <w:hideMark/>
          </w:tcPr>
          <w:p w14:paraId="44C8CAED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19</w:t>
            </w:r>
          </w:p>
        </w:tc>
      </w:tr>
      <w:tr w:rsidR="001C2DD1" w:rsidRPr="000F52D7" w14:paraId="73513756" w14:textId="77777777" w:rsidTr="009F6925">
        <w:trPr>
          <w:trHeight w:val="57"/>
        </w:trPr>
        <w:tc>
          <w:tcPr>
            <w:tcW w:w="1700" w:type="pct"/>
            <w:noWrap/>
            <w:vAlign w:val="center"/>
            <w:hideMark/>
          </w:tcPr>
          <w:p w14:paraId="1FA69CDC" w14:textId="77777777" w:rsidR="001C2DD1" w:rsidRPr="000F52D7" w:rsidRDefault="001C2DD1" w:rsidP="00C52E7E">
            <w:pPr>
              <w:pStyle w:val="tabulka"/>
              <w:keepNext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0F52D7">
              <w:rPr>
                <w:sz w:val="20"/>
              </w:rPr>
              <w:t>Zdravotně sociální péče</w:t>
            </w:r>
          </w:p>
        </w:tc>
        <w:tc>
          <w:tcPr>
            <w:tcW w:w="1100" w:type="pct"/>
            <w:noWrap/>
            <w:vAlign w:val="center"/>
            <w:hideMark/>
          </w:tcPr>
          <w:p w14:paraId="55DC6BA1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357</w:t>
            </w:r>
          </w:p>
        </w:tc>
        <w:tc>
          <w:tcPr>
            <w:tcW w:w="1100" w:type="pct"/>
            <w:noWrap/>
            <w:vAlign w:val="center"/>
            <w:hideMark/>
          </w:tcPr>
          <w:p w14:paraId="0419D2D0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242</w:t>
            </w:r>
          </w:p>
        </w:tc>
        <w:tc>
          <w:tcPr>
            <w:tcW w:w="1100" w:type="pct"/>
            <w:noWrap/>
            <w:vAlign w:val="center"/>
            <w:hideMark/>
          </w:tcPr>
          <w:p w14:paraId="6DB92870" w14:textId="77777777" w:rsidR="001C2DD1" w:rsidRPr="000F52D7" w:rsidRDefault="001C2DD1" w:rsidP="00C52E7E">
            <w:pPr>
              <w:pStyle w:val="tabulka"/>
              <w:keepNext w:val="0"/>
              <w:jc w:val="right"/>
              <w:rPr>
                <w:sz w:val="20"/>
              </w:rPr>
            </w:pPr>
            <w:r w:rsidRPr="000F52D7">
              <w:rPr>
                <w:sz w:val="20"/>
              </w:rPr>
              <w:t>191</w:t>
            </w:r>
          </w:p>
        </w:tc>
      </w:tr>
      <w:tr w:rsidR="001C2DD1" w:rsidRPr="00A3445D" w14:paraId="565A2800" w14:textId="77777777" w:rsidTr="009F6925">
        <w:trPr>
          <w:trHeight w:val="57"/>
        </w:trPr>
        <w:tc>
          <w:tcPr>
            <w:tcW w:w="1700" w:type="pct"/>
            <w:shd w:val="clear" w:color="auto" w:fill="F2C6C9"/>
            <w:noWrap/>
            <w:hideMark/>
          </w:tcPr>
          <w:p w14:paraId="0DC4D8C1" w14:textId="77777777" w:rsidR="001C2DD1" w:rsidRPr="00A3445D" w:rsidRDefault="001C2DD1" w:rsidP="00C52E7E">
            <w:pPr>
              <w:pStyle w:val="tabulka"/>
              <w:keepNext w:val="0"/>
              <w:rPr>
                <w:b/>
                <w:sz w:val="20"/>
              </w:rPr>
            </w:pPr>
            <w:r w:rsidRPr="00A3445D">
              <w:rPr>
                <w:b/>
                <w:sz w:val="20"/>
              </w:rPr>
              <w:t>Celkový součet</w:t>
            </w:r>
          </w:p>
        </w:tc>
        <w:tc>
          <w:tcPr>
            <w:tcW w:w="1100" w:type="pct"/>
            <w:shd w:val="clear" w:color="auto" w:fill="F2C6C9"/>
            <w:noWrap/>
            <w:vAlign w:val="center"/>
            <w:hideMark/>
          </w:tcPr>
          <w:p w14:paraId="53BC16FD" w14:textId="77777777" w:rsidR="001C2DD1" w:rsidRPr="00A3445D" w:rsidRDefault="001C2DD1" w:rsidP="00C52E7E">
            <w:pPr>
              <w:pStyle w:val="tabulka"/>
              <w:keepNext w:val="0"/>
              <w:jc w:val="right"/>
              <w:rPr>
                <w:b/>
                <w:sz w:val="20"/>
              </w:rPr>
            </w:pPr>
            <w:r w:rsidRPr="00A3445D">
              <w:rPr>
                <w:b/>
                <w:sz w:val="20"/>
              </w:rPr>
              <w:t>48 394</w:t>
            </w:r>
          </w:p>
        </w:tc>
        <w:tc>
          <w:tcPr>
            <w:tcW w:w="1100" w:type="pct"/>
            <w:shd w:val="clear" w:color="auto" w:fill="F2C6C9"/>
            <w:noWrap/>
            <w:vAlign w:val="center"/>
            <w:hideMark/>
          </w:tcPr>
          <w:p w14:paraId="71CACE8F" w14:textId="77777777" w:rsidR="001C2DD1" w:rsidRPr="00A3445D" w:rsidRDefault="001C2DD1" w:rsidP="00C52E7E">
            <w:pPr>
              <w:pStyle w:val="tabulka"/>
              <w:keepNext w:val="0"/>
              <w:jc w:val="right"/>
              <w:rPr>
                <w:b/>
                <w:sz w:val="20"/>
              </w:rPr>
            </w:pPr>
            <w:r w:rsidRPr="00A3445D">
              <w:rPr>
                <w:b/>
                <w:sz w:val="20"/>
              </w:rPr>
              <w:t>20 127</w:t>
            </w:r>
          </w:p>
        </w:tc>
        <w:tc>
          <w:tcPr>
            <w:tcW w:w="1100" w:type="pct"/>
            <w:shd w:val="clear" w:color="auto" w:fill="F2C6C9"/>
            <w:noWrap/>
            <w:vAlign w:val="center"/>
            <w:hideMark/>
          </w:tcPr>
          <w:p w14:paraId="0C633E50" w14:textId="77777777" w:rsidR="001C2DD1" w:rsidRPr="00A3445D" w:rsidRDefault="001C2DD1" w:rsidP="00C52E7E">
            <w:pPr>
              <w:pStyle w:val="tabulka"/>
              <w:keepNext w:val="0"/>
              <w:jc w:val="right"/>
              <w:rPr>
                <w:b/>
                <w:sz w:val="20"/>
              </w:rPr>
            </w:pPr>
            <w:r w:rsidRPr="00A3445D">
              <w:rPr>
                <w:b/>
                <w:sz w:val="20"/>
              </w:rPr>
              <w:t>15 272</w:t>
            </w:r>
          </w:p>
        </w:tc>
      </w:tr>
    </w:tbl>
    <w:p w14:paraId="5BBD76E4" w14:textId="1D12411F" w:rsidR="001C2DD1" w:rsidRDefault="001C2DD1" w:rsidP="003417FB">
      <w:pPr>
        <w:pStyle w:val="Poznmka"/>
      </w:pPr>
      <w:r w:rsidRPr="000F52D7">
        <w:rPr>
          <w:b/>
        </w:rPr>
        <w:t>Zdroj:</w:t>
      </w:r>
      <w:r>
        <w:t xml:space="preserve"> </w:t>
      </w:r>
      <w:r>
        <w:tab/>
      </w:r>
      <w:r w:rsidR="00113A88">
        <w:t>i</w:t>
      </w:r>
      <w:r>
        <w:t>nformace MŠMT</w:t>
      </w:r>
      <w:r w:rsidR="00113A88">
        <w:t>.</w:t>
      </w:r>
      <w:r>
        <w:t xml:space="preserve"> (</w:t>
      </w:r>
      <w:r w:rsidRPr="000F52D7">
        <w:t xml:space="preserve">Údaje </w:t>
      </w:r>
      <w:r>
        <w:t>byly čerpány z výkazu U 6</w:t>
      </w:r>
      <w:r w:rsidR="00113A88">
        <w:t>-</w:t>
      </w:r>
      <w:r w:rsidRPr="000F52D7">
        <w:t>99 o průběhu přijímacího řízení na vysokou školu. Data se sbírají pouze za bakalářské a nenavazující magisterské programy.</w:t>
      </w:r>
      <w:r>
        <w:t xml:space="preserve"> </w:t>
      </w:r>
      <w:r w:rsidRPr="000F52D7">
        <w:t>Data se nesbírají za státní vysoké školy.</w:t>
      </w:r>
      <w:r>
        <w:t>)</w:t>
      </w:r>
    </w:p>
    <w:p w14:paraId="0E870271" w14:textId="77777777" w:rsidR="001C2DD1" w:rsidRDefault="001C2DD1" w:rsidP="00D55E20">
      <w:pPr>
        <w:pStyle w:val="Poznmka"/>
      </w:pPr>
      <w:r w:rsidRPr="000F52D7">
        <w:rPr>
          <w:b/>
        </w:rPr>
        <w:t>*</w:t>
      </w:r>
      <w:r>
        <w:tab/>
        <w:t>Počet osob, které</w:t>
      </w:r>
      <w:r w:rsidRPr="00A8577B">
        <w:t xml:space="preserve"> se dostavil</w:t>
      </w:r>
      <w:r>
        <w:t>y</w:t>
      </w:r>
      <w:r w:rsidRPr="00A8577B">
        <w:t xml:space="preserve"> k přijímací zkoušce,</w:t>
      </w:r>
      <w:r>
        <w:t xml:space="preserve"> pokud se tato konala, nebo byly</w:t>
      </w:r>
      <w:r w:rsidRPr="00A8577B">
        <w:t xml:space="preserve"> přijat</w:t>
      </w:r>
      <w:r>
        <w:t>y</w:t>
      </w:r>
      <w:r w:rsidRPr="00A8577B">
        <w:t xml:space="preserve"> bez přijímací zkoušky</w:t>
      </w:r>
      <w:r>
        <w:t>.</w:t>
      </w:r>
    </w:p>
    <w:p w14:paraId="6C7554F5" w14:textId="77777777" w:rsidR="001C2DD1" w:rsidRDefault="001C2DD1" w:rsidP="00C52E7E">
      <w:pPr>
        <w:widowControl/>
      </w:pPr>
    </w:p>
    <w:p w14:paraId="3FF3C5E1" w14:textId="6927A9DA" w:rsidR="00A8577B" w:rsidRPr="00A8577B" w:rsidRDefault="00113A88" w:rsidP="00D55E20">
      <w:pPr>
        <w:pStyle w:val="Nzevtabulky"/>
        <w:keepNext w:val="0"/>
        <w:pageBreakBefore/>
        <w:ind w:left="1332" w:hanging="1332"/>
        <w:jc w:val="left"/>
      </w:pPr>
      <w:r>
        <w:t>Počty</w:t>
      </w:r>
      <w:r w:rsidR="00A8577B" w:rsidRPr="00A8577B">
        <w:t xml:space="preserve"> </w:t>
      </w:r>
      <w:r w:rsidRPr="00A8577B">
        <w:t xml:space="preserve">uchazečů </w:t>
      </w:r>
      <w:r w:rsidR="00A8577B" w:rsidRPr="00A8577B">
        <w:t xml:space="preserve">přihlášených, přijatých a zapsaných ke studiu ve studijním programu </w:t>
      </w:r>
      <w:r w:rsidRPr="00D55E20">
        <w:rPr>
          <w:i/>
        </w:rPr>
        <w:t>v</w:t>
      </w:r>
      <w:r w:rsidR="00A8577B" w:rsidRPr="00D55E20">
        <w:rPr>
          <w:i/>
        </w:rPr>
        <w:t>šeobecné lékařství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3083"/>
        <w:gridCol w:w="1994"/>
        <w:gridCol w:w="1994"/>
        <w:gridCol w:w="1994"/>
      </w:tblGrid>
      <w:tr w:rsidR="00A8577B" w:rsidRPr="00A8577B" w14:paraId="1DA79BB6" w14:textId="77777777" w:rsidTr="002B4E35">
        <w:trPr>
          <w:trHeight w:val="20"/>
        </w:trPr>
        <w:tc>
          <w:tcPr>
            <w:tcW w:w="1700" w:type="pct"/>
            <w:shd w:val="clear" w:color="auto" w:fill="E5F1FF"/>
            <w:noWrap/>
            <w:vAlign w:val="center"/>
            <w:hideMark/>
          </w:tcPr>
          <w:p w14:paraId="05FB22CE" w14:textId="77777777" w:rsidR="00A8577B" w:rsidRPr="00A8577B" w:rsidRDefault="00A8577B" w:rsidP="00C52E7E">
            <w:pPr>
              <w:pStyle w:val="tabulka"/>
              <w:keepNext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E5F1FF"/>
            <w:noWrap/>
            <w:vAlign w:val="center"/>
            <w:hideMark/>
          </w:tcPr>
          <w:p w14:paraId="0E72F90E" w14:textId="77777777" w:rsidR="00A8577B" w:rsidRPr="00A8577B" w:rsidRDefault="00A8577B" w:rsidP="00C52E7E">
            <w:pPr>
              <w:pStyle w:val="tabulka"/>
              <w:keepNext w:val="0"/>
              <w:jc w:val="center"/>
              <w:rPr>
                <w:b/>
                <w:sz w:val="20"/>
                <w:szCs w:val="20"/>
              </w:rPr>
            </w:pPr>
            <w:r w:rsidRPr="00A8577B">
              <w:rPr>
                <w:b/>
                <w:sz w:val="20"/>
                <w:szCs w:val="20"/>
              </w:rPr>
              <w:t>Počet přihlášených uchazečů*</w:t>
            </w:r>
          </w:p>
        </w:tc>
        <w:tc>
          <w:tcPr>
            <w:tcW w:w="1100" w:type="pct"/>
            <w:shd w:val="clear" w:color="auto" w:fill="E5F1FF"/>
            <w:noWrap/>
            <w:vAlign w:val="center"/>
            <w:hideMark/>
          </w:tcPr>
          <w:p w14:paraId="6BC934BF" w14:textId="77777777" w:rsidR="00A8577B" w:rsidRPr="00A8577B" w:rsidRDefault="00A8577B" w:rsidP="00C52E7E">
            <w:pPr>
              <w:pStyle w:val="tabulka"/>
              <w:keepNext w:val="0"/>
              <w:jc w:val="center"/>
              <w:rPr>
                <w:b/>
                <w:sz w:val="20"/>
                <w:szCs w:val="20"/>
              </w:rPr>
            </w:pPr>
            <w:r w:rsidRPr="00A8577B">
              <w:rPr>
                <w:b/>
                <w:sz w:val="20"/>
                <w:szCs w:val="20"/>
              </w:rPr>
              <w:t>Počet přijatých uchazečů</w:t>
            </w:r>
          </w:p>
        </w:tc>
        <w:tc>
          <w:tcPr>
            <w:tcW w:w="1100" w:type="pct"/>
            <w:shd w:val="clear" w:color="auto" w:fill="E5F1FF"/>
            <w:noWrap/>
            <w:vAlign w:val="center"/>
            <w:hideMark/>
          </w:tcPr>
          <w:p w14:paraId="20F9791A" w14:textId="77777777" w:rsidR="00A8577B" w:rsidRPr="00A8577B" w:rsidRDefault="00A8577B" w:rsidP="00C52E7E">
            <w:pPr>
              <w:pStyle w:val="tabulka"/>
              <w:keepNext w:val="0"/>
              <w:jc w:val="center"/>
              <w:rPr>
                <w:b/>
                <w:sz w:val="20"/>
                <w:szCs w:val="20"/>
              </w:rPr>
            </w:pPr>
            <w:r w:rsidRPr="00A8577B">
              <w:rPr>
                <w:b/>
                <w:sz w:val="20"/>
                <w:szCs w:val="20"/>
              </w:rPr>
              <w:t>Počet uchazečů zapsaných ke studiu</w:t>
            </w:r>
          </w:p>
        </w:tc>
      </w:tr>
      <w:tr w:rsidR="00A8577B" w:rsidRPr="00A8577B" w14:paraId="499BBF46" w14:textId="77777777" w:rsidTr="002B4E35">
        <w:trPr>
          <w:trHeight w:val="20"/>
        </w:trPr>
        <w:tc>
          <w:tcPr>
            <w:tcW w:w="1700" w:type="pct"/>
            <w:shd w:val="clear" w:color="auto" w:fill="F2F2F2" w:themeFill="background1" w:themeFillShade="F2"/>
            <w:noWrap/>
            <w:vAlign w:val="center"/>
            <w:hideMark/>
          </w:tcPr>
          <w:p w14:paraId="420D509C" w14:textId="77777777" w:rsidR="00A8577B" w:rsidRPr="00A8577B" w:rsidRDefault="00A8577B" w:rsidP="00C52E7E">
            <w:pPr>
              <w:pStyle w:val="tabulka"/>
              <w:keepNext w:val="0"/>
              <w:jc w:val="left"/>
              <w:rPr>
                <w:b/>
                <w:sz w:val="20"/>
                <w:szCs w:val="20"/>
              </w:rPr>
            </w:pPr>
            <w:r w:rsidRPr="00A8577B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100" w:type="pct"/>
            <w:shd w:val="clear" w:color="auto" w:fill="F2F2F2" w:themeFill="background1" w:themeFillShade="F2"/>
            <w:noWrap/>
            <w:vAlign w:val="center"/>
            <w:hideMark/>
          </w:tcPr>
          <w:p w14:paraId="13DA530E" w14:textId="77777777" w:rsidR="00A8577B" w:rsidRPr="00A8577B" w:rsidRDefault="00A8577B" w:rsidP="00C52E7E">
            <w:pPr>
              <w:pStyle w:val="tabulka"/>
              <w:keepNext w:val="0"/>
              <w:jc w:val="right"/>
              <w:rPr>
                <w:b/>
                <w:sz w:val="20"/>
                <w:szCs w:val="20"/>
              </w:rPr>
            </w:pPr>
            <w:r w:rsidRPr="00A8577B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8577B">
              <w:rPr>
                <w:b/>
                <w:sz w:val="20"/>
                <w:szCs w:val="20"/>
              </w:rPr>
              <w:t>072</w:t>
            </w:r>
          </w:p>
        </w:tc>
        <w:tc>
          <w:tcPr>
            <w:tcW w:w="1100" w:type="pct"/>
            <w:shd w:val="clear" w:color="auto" w:fill="F2F2F2" w:themeFill="background1" w:themeFillShade="F2"/>
            <w:noWrap/>
            <w:vAlign w:val="center"/>
            <w:hideMark/>
          </w:tcPr>
          <w:p w14:paraId="39B10685" w14:textId="77777777" w:rsidR="00A8577B" w:rsidRPr="00A8577B" w:rsidRDefault="00A8577B" w:rsidP="00C52E7E">
            <w:pPr>
              <w:pStyle w:val="tabulka"/>
              <w:keepNext w:val="0"/>
              <w:jc w:val="right"/>
              <w:rPr>
                <w:b/>
                <w:sz w:val="20"/>
                <w:szCs w:val="20"/>
              </w:rPr>
            </w:pPr>
            <w:r w:rsidRPr="00A8577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8577B"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1100" w:type="pct"/>
            <w:shd w:val="clear" w:color="auto" w:fill="F2F2F2" w:themeFill="background1" w:themeFillShade="F2"/>
            <w:noWrap/>
            <w:vAlign w:val="center"/>
            <w:hideMark/>
          </w:tcPr>
          <w:p w14:paraId="5753EC44" w14:textId="77777777" w:rsidR="00A8577B" w:rsidRPr="00A8577B" w:rsidRDefault="00A8577B" w:rsidP="00C52E7E">
            <w:pPr>
              <w:pStyle w:val="tabulka"/>
              <w:keepNext w:val="0"/>
              <w:jc w:val="right"/>
              <w:rPr>
                <w:b/>
                <w:sz w:val="20"/>
                <w:szCs w:val="20"/>
              </w:rPr>
            </w:pPr>
            <w:r w:rsidRPr="00A8577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8577B">
              <w:rPr>
                <w:b/>
                <w:sz w:val="20"/>
                <w:szCs w:val="20"/>
              </w:rPr>
              <w:t>451</w:t>
            </w:r>
          </w:p>
        </w:tc>
      </w:tr>
      <w:tr w:rsidR="00A8577B" w:rsidRPr="00A8577B" w14:paraId="371B7DC4" w14:textId="77777777" w:rsidTr="002B4E35">
        <w:trPr>
          <w:trHeight w:val="20"/>
        </w:trPr>
        <w:tc>
          <w:tcPr>
            <w:tcW w:w="1700" w:type="pct"/>
            <w:noWrap/>
            <w:vAlign w:val="center"/>
            <w:hideMark/>
          </w:tcPr>
          <w:p w14:paraId="7705C0B6" w14:textId="5C16D0BC" w:rsidR="00A8577B" w:rsidRPr="00A8577B" w:rsidRDefault="000F52D7" w:rsidP="00C52E7E">
            <w:pPr>
              <w:pStyle w:val="tabulka"/>
              <w:keepNex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8577B" w:rsidRPr="00A8577B">
              <w:rPr>
                <w:sz w:val="20"/>
                <w:szCs w:val="20"/>
              </w:rPr>
              <w:t>Masarykova univerzita</w:t>
            </w:r>
          </w:p>
        </w:tc>
        <w:tc>
          <w:tcPr>
            <w:tcW w:w="1100" w:type="pct"/>
            <w:noWrap/>
            <w:vAlign w:val="center"/>
            <w:hideMark/>
          </w:tcPr>
          <w:p w14:paraId="32BEEF9E" w14:textId="77777777" w:rsidR="00A8577B" w:rsidRPr="00A8577B" w:rsidRDefault="00A8577B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A857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A8577B">
              <w:rPr>
                <w:sz w:val="20"/>
                <w:szCs w:val="20"/>
              </w:rPr>
              <w:t>639</w:t>
            </w:r>
          </w:p>
        </w:tc>
        <w:tc>
          <w:tcPr>
            <w:tcW w:w="1100" w:type="pct"/>
            <w:noWrap/>
            <w:vAlign w:val="center"/>
            <w:hideMark/>
          </w:tcPr>
          <w:p w14:paraId="61FB50A5" w14:textId="77777777" w:rsidR="00A8577B" w:rsidRPr="00A8577B" w:rsidRDefault="00A8577B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A8577B">
              <w:rPr>
                <w:sz w:val="20"/>
                <w:szCs w:val="20"/>
              </w:rPr>
              <w:t>398</w:t>
            </w:r>
          </w:p>
        </w:tc>
        <w:tc>
          <w:tcPr>
            <w:tcW w:w="1100" w:type="pct"/>
            <w:noWrap/>
            <w:vAlign w:val="center"/>
            <w:hideMark/>
          </w:tcPr>
          <w:p w14:paraId="0151B864" w14:textId="77777777" w:rsidR="00A8577B" w:rsidRPr="00A8577B" w:rsidRDefault="00A8577B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A8577B">
              <w:rPr>
                <w:sz w:val="20"/>
                <w:szCs w:val="20"/>
              </w:rPr>
              <w:t>223</w:t>
            </w:r>
          </w:p>
        </w:tc>
      </w:tr>
      <w:tr w:rsidR="00A8577B" w:rsidRPr="00A8577B" w14:paraId="48ACE047" w14:textId="77777777" w:rsidTr="002B4E35">
        <w:trPr>
          <w:trHeight w:val="20"/>
        </w:trPr>
        <w:tc>
          <w:tcPr>
            <w:tcW w:w="1700" w:type="pct"/>
            <w:noWrap/>
            <w:vAlign w:val="center"/>
            <w:hideMark/>
          </w:tcPr>
          <w:p w14:paraId="34B48CD7" w14:textId="3F9E7530" w:rsidR="00A8577B" w:rsidRPr="00A8577B" w:rsidRDefault="000F52D7" w:rsidP="00C52E7E">
            <w:pPr>
              <w:pStyle w:val="tabulka"/>
              <w:keepNex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8577B" w:rsidRPr="00A8577B">
              <w:rPr>
                <w:sz w:val="20"/>
                <w:szCs w:val="20"/>
              </w:rPr>
              <w:t>Ostravská univerzita</w:t>
            </w:r>
          </w:p>
        </w:tc>
        <w:tc>
          <w:tcPr>
            <w:tcW w:w="1100" w:type="pct"/>
            <w:noWrap/>
            <w:vAlign w:val="center"/>
            <w:hideMark/>
          </w:tcPr>
          <w:p w14:paraId="0D8BE1BC" w14:textId="77777777" w:rsidR="00A8577B" w:rsidRPr="00A8577B" w:rsidRDefault="00A8577B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A8577B">
              <w:rPr>
                <w:sz w:val="20"/>
                <w:szCs w:val="20"/>
              </w:rPr>
              <w:t>664</w:t>
            </w:r>
          </w:p>
        </w:tc>
        <w:tc>
          <w:tcPr>
            <w:tcW w:w="1100" w:type="pct"/>
            <w:noWrap/>
            <w:vAlign w:val="center"/>
            <w:hideMark/>
          </w:tcPr>
          <w:p w14:paraId="4A5FA3AA" w14:textId="77777777" w:rsidR="00A8577B" w:rsidRPr="00A8577B" w:rsidRDefault="00A8577B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A8577B">
              <w:rPr>
                <w:sz w:val="20"/>
                <w:szCs w:val="20"/>
              </w:rPr>
              <w:t>75</w:t>
            </w:r>
          </w:p>
        </w:tc>
        <w:tc>
          <w:tcPr>
            <w:tcW w:w="1100" w:type="pct"/>
            <w:noWrap/>
            <w:vAlign w:val="center"/>
            <w:hideMark/>
          </w:tcPr>
          <w:p w14:paraId="52169DB4" w14:textId="77777777" w:rsidR="00A8577B" w:rsidRPr="00A8577B" w:rsidRDefault="00A8577B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A8577B">
              <w:rPr>
                <w:sz w:val="20"/>
                <w:szCs w:val="20"/>
              </w:rPr>
              <w:t>64</w:t>
            </w:r>
          </w:p>
        </w:tc>
      </w:tr>
      <w:tr w:rsidR="00A8577B" w:rsidRPr="00A8577B" w14:paraId="07CB4894" w14:textId="77777777" w:rsidTr="002B4E35">
        <w:trPr>
          <w:trHeight w:val="20"/>
        </w:trPr>
        <w:tc>
          <w:tcPr>
            <w:tcW w:w="1700" w:type="pct"/>
            <w:noWrap/>
            <w:vAlign w:val="center"/>
            <w:hideMark/>
          </w:tcPr>
          <w:p w14:paraId="2B24CE20" w14:textId="3D0C85D0" w:rsidR="00A8577B" w:rsidRPr="00A8577B" w:rsidRDefault="000F52D7" w:rsidP="00C52E7E">
            <w:pPr>
              <w:pStyle w:val="tabulka"/>
              <w:keepNex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8577B" w:rsidRPr="00A8577B">
              <w:rPr>
                <w:sz w:val="20"/>
                <w:szCs w:val="20"/>
              </w:rPr>
              <w:t>Univerzita Karlova</w:t>
            </w:r>
          </w:p>
        </w:tc>
        <w:tc>
          <w:tcPr>
            <w:tcW w:w="1100" w:type="pct"/>
            <w:noWrap/>
            <w:vAlign w:val="center"/>
            <w:hideMark/>
          </w:tcPr>
          <w:p w14:paraId="3E045C4B" w14:textId="77777777" w:rsidR="00A8577B" w:rsidRPr="00A8577B" w:rsidRDefault="00A8577B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A8577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Pr="00A8577B">
              <w:rPr>
                <w:sz w:val="20"/>
                <w:szCs w:val="20"/>
              </w:rPr>
              <w:t>531</w:t>
            </w:r>
          </w:p>
        </w:tc>
        <w:tc>
          <w:tcPr>
            <w:tcW w:w="1100" w:type="pct"/>
            <w:noWrap/>
            <w:vAlign w:val="center"/>
            <w:hideMark/>
          </w:tcPr>
          <w:p w14:paraId="48558BB4" w14:textId="77777777" w:rsidR="00A8577B" w:rsidRPr="00A8577B" w:rsidRDefault="00A8577B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A857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A8577B">
              <w:rPr>
                <w:sz w:val="20"/>
                <w:szCs w:val="20"/>
              </w:rPr>
              <w:t>644</w:t>
            </w:r>
          </w:p>
        </w:tc>
        <w:tc>
          <w:tcPr>
            <w:tcW w:w="1100" w:type="pct"/>
            <w:noWrap/>
            <w:vAlign w:val="center"/>
            <w:hideMark/>
          </w:tcPr>
          <w:p w14:paraId="14DD45CB" w14:textId="77777777" w:rsidR="00A8577B" w:rsidRPr="00A8577B" w:rsidRDefault="00A8577B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A857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A8577B">
              <w:rPr>
                <w:sz w:val="20"/>
                <w:szCs w:val="20"/>
              </w:rPr>
              <w:t>007</w:t>
            </w:r>
          </w:p>
        </w:tc>
      </w:tr>
      <w:tr w:rsidR="00A8577B" w:rsidRPr="00A8577B" w14:paraId="7572665D" w14:textId="77777777" w:rsidTr="002B4E35">
        <w:trPr>
          <w:trHeight w:val="20"/>
        </w:trPr>
        <w:tc>
          <w:tcPr>
            <w:tcW w:w="1700" w:type="pct"/>
            <w:noWrap/>
            <w:vAlign w:val="center"/>
            <w:hideMark/>
          </w:tcPr>
          <w:p w14:paraId="1CAC025A" w14:textId="4A4B986E" w:rsidR="00A8577B" w:rsidRPr="00A8577B" w:rsidRDefault="000F52D7" w:rsidP="00C52E7E">
            <w:pPr>
              <w:pStyle w:val="tabulka"/>
              <w:keepNex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8577B" w:rsidRPr="00A8577B">
              <w:rPr>
                <w:sz w:val="20"/>
                <w:szCs w:val="20"/>
              </w:rPr>
              <w:t>Univerzita Palackého v Olomouci</w:t>
            </w:r>
          </w:p>
        </w:tc>
        <w:tc>
          <w:tcPr>
            <w:tcW w:w="1100" w:type="pct"/>
            <w:noWrap/>
            <w:vAlign w:val="center"/>
            <w:hideMark/>
          </w:tcPr>
          <w:p w14:paraId="0DE2ED19" w14:textId="77777777" w:rsidR="00A8577B" w:rsidRPr="00A8577B" w:rsidRDefault="00A8577B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A857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A8577B">
              <w:rPr>
                <w:sz w:val="20"/>
                <w:szCs w:val="20"/>
              </w:rPr>
              <w:t>238</w:t>
            </w:r>
          </w:p>
        </w:tc>
        <w:tc>
          <w:tcPr>
            <w:tcW w:w="1100" w:type="pct"/>
            <w:noWrap/>
            <w:vAlign w:val="center"/>
            <w:hideMark/>
          </w:tcPr>
          <w:p w14:paraId="55AE869D" w14:textId="77777777" w:rsidR="00A8577B" w:rsidRPr="00A8577B" w:rsidRDefault="00A8577B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A8577B">
              <w:rPr>
                <w:sz w:val="20"/>
                <w:szCs w:val="20"/>
              </w:rPr>
              <w:t>233</w:t>
            </w:r>
          </w:p>
        </w:tc>
        <w:tc>
          <w:tcPr>
            <w:tcW w:w="1100" w:type="pct"/>
            <w:noWrap/>
            <w:vAlign w:val="center"/>
            <w:hideMark/>
          </w:tcPr>
          <w:p w14:paraId="236F0729" w14:textId="77777777" w:rsidR="00A8577B" w:rsidRPr="00A8577B" w:rsidRDefault="00A8577B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A8577B">
              <w:rPr>
                <w:sz w:val="20"/>
                <w:szCs w:val="20"/>
              </w:rPr>
              <w:t>157</w:t>
            </w:r>
          </w:p>
        </w:tc>
      </w:tr>
      <w:tr w:rsidR="00A8577B" w:rsidRPr="00A8577B" w14:paraId="1960CC9F" w14:textId="77777777" w:rsidTr="002B4E35">
        <w:trPr>
          <w:trHeight w:val="20"/>
        </w:trPr>
        <w:tc>
          <w:tcPr>
            <w:tcW w:w="1700" w:type="pct"/>
            <w:shd w:val="clear" w:color="auto" w:fill="F2F2F2" w:themeFill="background1" w:themeFillShade="F2"/>
            <w:noWrap/>
            <w:vAlign w:val="center"/>
            <w:hideMark/>
          </w:tcPr>
          <w:p w14:paraId="40CE0003" w14:textId="77777777" w:rsidR="00A8577B" w:rsidRPr="00A8577B" w:rsidRDefault="00A8577B" w:rsidP="00C52E7E">
            <w:pPr>
              <w:pStyle w:val="tabulka"/>
              <w:keepNext w:val="0"/>
              <w:jc w:val="left"/>
              <w:rPr>
                <w:b/>
                <w:sz w:val="20"/>
                <w:szCs w:val="20"/>
              </w:rPr>
            </w:pPr>
            <w:r w:rsidRPr="00A8577B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100" w:type="pct"/>
            <w:shd w:val="clear" w:color="auto" w:fill="F2F2F2" w:themeFill="background1" w:themeFillShade="F2"/>
            <w:noWrap/>
            <w:vAlign w:val="center"/>
            <w:hideMark/>
          </w:tcPr>
          <w:p w14:paraId="39E3413E" w14:textId="77777777" w:rsidR="00A8577B" w:rsidRPr="00A8577B" w:rsidRDefault="00A8577B" w:rsidP="00C52E7E">
            <w:pPr>
              <w:pStyle w:val="tabulka"/>
              <w:keepNext w:val="0"/>
              <w:jc w:val="right"/>
              <w:rPr>
                <w:b/>
                <w:sz w:val="20"/>
                <w:szCs w:val="20"/>
              </w:rPr>
            </w:pPr>
            <w:r w:rsidRPr="00A8577B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8577B">
              <w:rPr>
                <w:b/>
                <w:sz w:val="20"/>
                <w:szCs w:val="20"/>
              </w:rPr>
              <w:t>083</w:t>
            </w:r>
          </w:p>
        </w:tc>
        <w:tc>
          <w:tcPr>
            <w:tcW w:w="1100" w:type="pct"/>
            <w:shd w:val="clear" w:color="auto" w:fill="F2F2F2" w:themeFill="background1" w:themeFillShade="F2"/>
            <w:noWrap/>
            <w:vAlign w:val="center"/>
            <w:hideMark/>
          </w:tcPr>
          <w:p w14:paraId="5E4AAC4E" w14:textId="77777777" w:rsidR="00A8577B" w:rsidRPr="00A8577B" w:rsidRDefault="00A8577B" w:rsidP="00C52E7E">
            <w:pPr>
              <w:pStyle w:val="tabulka"/>
              <w:keepNext w:val="0"/>
              <w:jc w:val="right"/>
              <w:rPr>
                <w:b/>
                <w:sz w:val="20"/>
                <w:szCs w:val="20"/>
              </w:rPr>
            </w:pPr>
            <w:r w:rsidRPr="00A8577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8577B">
              <w:rPr>
                <w:b/>
                <w:sz w:val="20"/>
                <w:szCs w:val="20"/>
              </w:rPr>
              <w:t>463</w:t>
            </w:r>
          </w:p>
        </w:tc>
        <w:tc>
          <w:tcPr>
            <w:tcW w:w="1100" w:type="pct"/>
            <w:shd w:val="clear" w:color="auto" w:fill="F2F2F2" w:themeFill="background1" w:themeFillShade="F2"/>
            <w:noWrap/>
            <w:vAlign w:val="center"/>
            <w:hideMark/>
          </w:tcPr>
          <w:p w14:paraId="71C122CB" w14:textId="77777777" w:rsidR="00A8577B" w:rsidRPr="00A8577B" w:rsidRDefault="00A8577B" w:rsidP="00C52E7E">
            <w:pPr>
              <w:pStyle w:val="tabulka"/>
              <w:keepNext w:val="0"/>
              <w:jc w:val="right"/>
              <w:rPr>
                <w:b/>
                <w:sz w:val="20"/>
                <w:szCs w:val="20"/>
              </w:rPr>
            </w:pPr>
            <w:r w:rsidRPr="00A8577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8577B">
              <w:rPr>
                <w:b/>
                <w:sz w:val="20"/>
                <w:szCs w:val="20"/>
              </w:rPr>
              <w:t>469</w:t>
            </w:r>
          </w:p>
        </w:tc>
      </w:tr>
      <w:tr w:rsidR="000F52D7" w:rsidRPr="00A8577B" w14:paraId="570BCD83" w14:textId="77777777" w:rsidTr="002B4E35">
        <w:trPr>
          <w:trHeight w:val="20"/>
        </w:trPr>
        <w:tc>
          <w:tcPr>
            <w:tcW w:w="1700" w:type="pct"/>
            <w:noWrap/>
            <w:vAlign w:val="center"/>
            <w:hideMark/>
          </w:tcPr>
          <w:p w14:paraId="3196A171" w14:textId="01C3320F" w:rsidR="000F52D7" w:rsidRPr="00A8577B" w:rsidRDefault="000F52D7" w:rsidP="00C52E7E">
            <w:pPr>
              <w:pStyle w:val="tabulka"/>
              <w:keepNex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A8577B">
              <w:rPr>
                <w:sz w:val="20"/>
                <w:szCs w:val="20"/>
              </w:rPr>
              <w:t>Masarykova univerzita</w:t>
            </w:r>
          </w:p>
        </w:tc>
        <w:tc>
          <w:tcPr>
            <w:tcW w:w="1100" w:type="pct"/>
            <w:noWrap/>
            <w:vAlign w:val="center"/>
            <w:hideMark/>
          </w:tcPr>
          <w:p w14:paraId="7ABC2FEF" w14:textId="77777777" w:rsidR="000F52D7" w:rsidRPr="00A8577B" w:rsidRDefault="000F52D7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A857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A8577B">
              <w:rPr>
                <w:sz w:val="20"/>
                <w:szCs w:val="20"/>
              </w:rPr>
              <w:t>634</w:t>
            </w:r>
          </w:p>
        </w:tc>
        <w:tc>
          <w:tcPr>
            <w:tcW w:w="1100" w:type="pct"/>
            <w:noWrap/>
            <w:vAlign w:val="center"/>
            <w:hideMark/>
          </w:tcPr>
          <w:p w14:paraId="2087D365" w14:textId="77777777" w:rsidR="000F52D7" w:rsidRPr="00A8577B" w:rsidRDefault="000F52D7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A8577B">
              <w:rPr>
                <w:sz w:val="20"/>
                <w:szCs w:val="20"/>
              </w:rPr>
              <w:t>436</w:t>
            </w:r>
          </w:p>
        </w:tc>
        <w:tc>
          <w:tcPr>
            <w:tcW w:w="1100" w:type="pct"/>
            <w:noWrap/>
            <w:vAlign w:val="center"/>
            <w:hideMark/>
          </w:tcPr>
          <w:p w14:paraId="15C58F01" w14:textId="77777777" w:rsidR="000F52D7" w:rsidRPr="00A8577B" w:rsidRDefault="000F52D7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A8577B">
              <w:rPr>
                <w:sz w:val="20"/>
                <w:szCs w:val="20"/>
              </w:rPr>
              <w:t>256</w:t>
            </w:r>
          </w:p>
        </w:tc>
      </w:tr>
      <w:tr w:rsidR="000F52D7" w:rsidRPr="00A8577B" w14:paraId="56FDA9FC" w14:textId="77777777" w:rsidTr="002B4E35">
        <w:trPr>
          <w:trHeight w:val="20"/>
        </w:trPr>
        <w:tc>
          <w:tcPr>
            <w:tcW w:w="1700" w:type="pct"/>
            <w:noWrap/>
            <w:vAlign w:val="center"/>
            <w:hideMark/>
          </w:tcPr>
          <w:p w14:paraId="7AD8049C" w14:textId="74D314F7" w:rsidR="000F52D7" w:rsidRPr="00A8577B" w:rsidRDefault="000F52D7" w:rsidP="00C52E7E">
            <w:pPr>
              <w:pStyle w:val="tabulka"/>
              <w:keepNex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A8577B">
              <w:rPr>
                <w:sz w:val="20"/>
                <w:szCs w:val="20"/>
              </w:rPr>
              <w:t>Ostravská univerzita</w:t>
            </w:r>
          </w:p>
        </w:tc>
        <w:tc>
          <w:tcPr>
            <w:tcW w:w="1100" w:type="pct"/>
            <w:noWrap/>
            <w:vAlign w:val="center"/>
            <w:hideMark/>
          </w:tcPr>
          <w:p w14:paraId="4C35D5B3" w14:textId="77777777" w:rsidR="000F52D7" w:rsidRPr="00A8577B" w:rsidRDefault="000F52D7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A8577B">
              <w:rPr>
                <w:sz w:val="20"/>
                <w:szCs w:val="20"/>
              </w:rPr>
              <w:t>720</w:t>
            </w:r>
          </w:p>
        </w:tc>
        <w:tc>
          <w:tcPr>
            <w:tcW w:w="1100" w:type="pct"/>
            <w:noWrap/>
            <w:vAlign w:val="center"/>
            <w:hideMark/>
          </w:tcPr>
          <w:p w14:paraId="485405C6" w14:textId="77777777" w:rsidR="000F52D7" w:rsidRPr="00A8577B" w:rsidRDefault="000F52D7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A8577B">
              <w:rPr>
                <w:sz w:val="20"/>
                <w:szCs w:val="20"/>
              </w:rPr>
              <w:t>66</w:t>
            </w:r>
          </w:p>
        </w:tc>
        <w:tc>
          <w:tcPr>
            <w:tcW w:w="1100" w:type="pct"/>
            <w:noWrap/>
            <w:vAlign w:val="center"/>
            <w:hideMark/>
          </w:tcPr>
          <w:p w14:paraId="5A6E5D49" w14:textId="77777777" w:rsidR="000F52D7" w:rsidRPr="00A8577B" w:rsidRDefault="000F52D7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A8577B">
              <w:rPr>
                <w:sz w:val="20"/>
                <w:szCs w:val="20"/>
              </w:rPr>
              <w:t>65</w:t>
            </w:r>
          </w:p>
        </w:tc>
      </w:tr>
      <w:tr w:rsidR="000F52D7" w:rsidRPr="00A8577B" w14:paraId="0B7FDEED" w14:textId="77777777" w:rsidTr="002B4E35">
        <w:trPr>
          <w:trHeight w:val="20"/>
        </w:trPr>
        <w:tc>
          <w:tcPr>
            <w:tcW w:w="1700" w:type="pct"/>
            <w:noWrap/>
            <w:vAlign w:val="center"/>
            <w:hideMark/>
          </w:tcPr>
          <w:p w14:paraId="5C6F1B09" w14:textId="640770AC" w:rsidR="000F52D7" w:rsidRPr="00A8577B" w:rsidRDefault="000F52D7" w:rsidP="00C52E7E">
            <w:pPr>
              <w:pStyle w:val="tabulka"/>
              <w:keepNex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A8577B">
              <w:rPr>
                <w:sz w:val="20"/>
                <w:szCs w:val="20"/>
              </w:rPr>
              <w:t>Univerzita Karlova</w:t>
            </w:r>
          </w:p>
        </w:tc>
        <w:tc>
          <w:tcPr>
            <w:tcW w:w="1100" w:type="pct"/>
            <w:noWrap/>
            <w:vAlign w:val="center"/>
            <w:hideMark/>
          </w:tcPr>
          <w:p w14:paraId="2D6D1717" w14:textId="77777777" w:rsidR="000F52D7" w:rsidRPr="00A8577B" w:rsidRDefault="000F52D7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A8577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Pr="00A8577B">
              <w:rPr>
                <w:sz w:val="20"/>
                <w:szCs w:val="20"/>
              </w:rPr>
              <w:t>580</w:t>
            </w:r>
          </w:p>
        </w:tc>
        <w:tc>
          <w:tcPr>
            <w:tcW w:w="1100" w:type="pct"/>
            <w:noWrap/>
            <w:vAlign w:val="center"/>
            <w:hideMark/>
          </w:tcPr>
          <w:p w14:paraId="4D1B99A2" w14:textId="77777777" w:rsidR="000F52D7" w:rsidRPr="00A8577B" w:rsidRDefault="000F52D7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A857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A8577B">
              <w:rPr>
                <w:sz w:val="20"/>
                <w:szCs w:val="20"/>
              </w:rPr>
              <w:t>732</w:t>
            </w:r>
          </w:p>
        </w:tc>
        <w:tc>
          <w:tcPr>
            <w:tcW w:w="1100" w:type="pct"/>
            <w:noWrap/>
            <w:vAlign w:val="center"/>
            <w:hideMark/>
          </w:tcPr>
          <w:p w14:paraId="36E1B23F" w14:textId="77777777" w:rsidR="000F52D7" w:rsidRPr="00A8577B" w:rsidRDefault="000F52D7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A857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A8577B">
              <w:rPr>
                <w:sz w:val="20"/>
                <w:szCs w:val="20"/>
              </w:rPr>
              <w:t>009</w:t>
            </w:r>
          </w:p>
        </w:tc>
      </w:tr>
      <w:tr w:rsidR="000F52D7" w:rsidRPr="00A8577B" w14:paraId="3EB80F6D" w14:textId="77777777" w:rsidTr="002B4E35">
        <w:trPr>
          <w:trHeight w:val="20"/>
        </w:trPr>
        <w:tc>
          <w:tcPr>
            <w:tcW w:w="1700" w:type="pct"/>
            <w:noWrap/>
            <w:vAlign w:val="center"/>
            <w:hideMark/>
          </w:tcPr>
          <w:p w14:paraId="4397DAE0" w14:textId="4FB5404B" w:rsidR="000F52D7" w:rsidRPr="00A8577B" w:rsidRDefault="000F52D7" w:rsidP="00C52E7E">
            <w:pPr>
              <w:pStyle w:val="tabulka"/>
              <w:keepNex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A8577B">
              <w:rPr>
                <w:sz w:val="20"/>
                <w:szCs w:val="20"/>
              </w:rPr>
              <w:t>Univerzita Palackého v Olomouci</w:t>
            </w:r>
          </w:p>
        </w:tc>
        <w:tc>
          <w:tcPr>
            <w:tcW w:w="1100" w:type="pct"/>
            <w:noWrap/>
            <w:vAlign w:val="center"/>
            <w:hideMark/>
          </w:tcPr>
          <w:p w14:paraId="33B4A6BB" w14:textId="77777777" w:rsidR="000F52D7" w:rsidRPr="00A8577B" w:rsidRDefault="000F52D7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A857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A8577B">
              <w:rPr>
                <w:sz w:val="20"/>
                <w:szCs w:val="20"/>
              </w:rPr>
              <w:t>149</w:t>
            </w:r>
          </w:p>
        </w:tc>
        <w:tc>
          <w:tcPr>
            <w:tcW w:w="1100" w:type="pct"/>
            <w:noWrap/>
            <w:vAlign w:val="center"/>
            <w:hideMark/>
          </w:tcPr>
          <w:p w14:paraId="346D283B" w14:textId="77777777" w:rsidR="000F52D7" w:rsidRPr="00A8577B" w:rsidRDefault="000F52D7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A8577B">
              <w:rPr>
                <w:sz w:val="20"/>
                <w:szCs w:val="20"/>
              </w:rPr>
              <w:t>229</w:t>
            </w:r>
          </w:p>
        </w:tc>
        <w:tc>
          <w:tcPr>
            <w:tcW w:w="1100" w:type="pct"/>
            <w:noWrap/>
            <w:vAlign w:val="center"/>
            <w:hideMark/>
          </w:tcPr>
          <w:p w14:paraId="5AAD202C" w14:textId="77777777" w:rsidR="000F52D7" w:rsidRPr="00A8577B" w:rsidRDefault="000F52D7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A8577B">
              <w:rPr>
                <w:sz w:val="20"/>
                <w:szCs w:val="20"/>
              </w:rPr>
              <w:t>139</w:t>
            </w:r>
          </w:p>
        </w:tc>
      </w:tr>
      <w:tr w:rsidR="00A8577B" w:rsidRPr="00A8577B" w14:paraId="3E7D0C57" w14:textId="77777777" w:rsidTr="002B4E35">
        <w:trPr>
          <w:trHeight w:val="20"/>
        </w:trPr>
        <w:tc>
          <w:tcPr>
            <w:tcW w:w="1700" w:type="pct"/>
            <w:shd w:val="clear" w:color="auto" w:fill="F2F2F2" w:themeFill="background1" w:themeFillShade="F2"/>
            <w:noWrap/>
            <w:vAlign w:val="center"/>
            <w:hideMark/>
          </w:tcPr>
          <w:p w14:paraId="3634A177" w14:textId="77777777" w:rsidR="00A8577B" w:rsidRPr="00A8577B" w:rsidRDefault="00A8577B" w:rsidP="00C52E7E">
            <w:pPr>
              <w:pStyle w:val="tabulka"/>
              <w:keepNext w:val="0"/>
              <w:jc w:val="left"/>
              <w:rPr>
                <w:b/>
                <w:sz w:val="20"/>
                <w:szCs w:val="20"/>
              </w:rPr>
            </w:pPr>
            <w:r w:rsidRPr="00A8577B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100" w:type="pct"/>
            <w:shd w:val="clear" w:color="auto" w:fill="F2F2F2" w:themeFill="background1" w:themeFillShade="F2"/>
            <w:noWrap/>
            <w:vAlign w:val="center"/>
            <w:hideMark/>
          </w:tcPr>
          <w:p w14:paraId="1C23160B" w14:textId="77777777" w:rsidR="00A8577B" w:rsidRPr="00A8577B" w:rsidRDefault="00A8577B" w:rsidP="00C52E7E">
            <w:pPr>
              <w:pStyle w:val="tabulka"/>
              <w:keepNext w:val="0"/>
              <w:jc w:val="right"/>
              <w:rPr>
                <w:b/>
                <w:sz w:val="20"/>
                <w:szCs w:val="20"/>
              </w:rPr>
            </w:pPr>
            <w:r w:rsidRPr="00A8577B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8577B">
              <w:rPr>
                <w:b/>
                <w:sz w:val="20"/>
                <w:szCs w:val="20"/>
              </w:rPr>
              <w:t>483</w:t>
            </w:r>
          </w:p>
        </w:tc>
        <w:tc>
          <w:tcPr>
            <w:tcW w:w="1100" w:type="pct"/>
            <w:shd w:val="clear" w:color="auto" w:fill="F2F2F2" w:themeFill="background1" w:themeFillShade="F2"/>
            <w:noWrap/>
            <w:vAlign w:val="center"/>
            <w:hideMark/>
          </w:tcPr>
          <w:p w14:paraId="0911663D" w14:textId="77777777" w:rsidR="00A8577B" w:rsidRPr="00A8577B" w:rsidRDefault="00A8577B" w:rsidP="00C52E7E">
            <w:pPr>
              <w:pStyle w:val="tabulka"/>
              <w:keepNext w:val="0"/>
              <w:jc w:val="right"/>
              <w:rPr>
                <w:b/>
                <w:sz w:val="20"/>
                <w:szCs w:val="20"/>
              </w:rPr>
            </w:pPr>
            <w:r w:rsidRPr="00A8577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8577B">
              <w:rPr>
                <w:b/>
                <w:sz w:val="20"/>
                <w:szCs w:val="20"/>
              </w:rPr>
              <w:t>417</w:t>
            </w:r>
          </w:p>
        </w:tc>
        <w:tc>
          <w:tcPr>
            <w:tcW w:w="1100" w:type="pct"/>
            <w:shd w:val="clear" w:color="auto" w:fill="F2F2F2" w:themeFill="background1" w:themeFillShade="F2"/>
            <w:noWrap/>
            <w:vAlign w:val="center"/>
            <w:hideMark/>
          </w:tcPr>
          <w:p w14:paraId="7B8BD526" w14:textId="77777777" w:rsidR="00A8577B" w:rsidRPr="00A8577B" w:rsidRDefault="00A8577B" w:rsidP="00C52E7E">
            <w:pPr>
              <w:pStyle w:val="tabulka"/>
              <w:keepNext w:val="0"/>
              <w:jc w:val="right"/>
              <w:rPr>
                <w:b/>
                <w:sz w:val="20"/>
                <w:szCs w:val="20"/>
              </w:rPr>
            </w:pPr>
            <w:r w:rsidRPr="00A8577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8577B">
              <w:rPr>
                <w:b/>
                <w:sz w:val="20"/>
                <w:szCs w:val="20"/>
              </w:rPr>
              <w:t>480</w:t>
            </w:r>
          </w:p>
        </w:tc>
      </w:tr>
      <w:tr w:rsidR="000F52D7" w:rsidRPr="00A8577B" w14:paraId="602C71EB" w14:textId="77777777" w:rsidTr="002B4E35">
        <w:trPr>
          <w:trHeight w:val="20"/>
        </w:trPr>
        <w:tc>
          <w:tcPr>
            <w:tcW w:w="1700" w:type="pct"/>
            <w:noWrap/>
            <w:vAlign w:val="center"/>
            <w:hideMark/>
          </w:tcPr>
          <w:p w14:paraId="5E4F310F" w14:textId="18E60571" w:rsidR="000F52D7" w:rsidRPr="00A8577B" w:rsidRDefault="000F52D7" w:rsidP="00C52E7E">
            <w:pPr>
              <w:pStyle w:val="tabulka"/>
              <w:keepNex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A8577B">
              <w:rPr>
                <w:sz w:val="20"/>
                <w:szCs w:val="20"/>
              </w:rPr>
              <w:t>Masarykova univerzita</w:t>
            </w:r>
          </w:p>
        </w:tc>
        <w:tc>
          <w:tcPr>
            <w:tcW w:w="1100" w:type="pct"/>
            <w:noWrap/>
            <w:vAlign w:val="center"/>
            <w:hideMark/>
          </w:tcPr>
          <w:p w14:paraId="1F19E2EB" w14:textId="77777777" w:rsidR="000F52D7" w:rsidRPr="00A8577B" w:rsidRDefault="000F52D7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A857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A8577B">
              <w:rPr>
                <w:sz w:val="20"/>
                <w:szCs w:val="20"/>
              </w:rPr>
              <w:t>556</w:t>
            </w:r>
          </w:p>
        </w:tc>
        <w:tc>
          <w:tcPr>
            <w:tcW w:w="1100" w:type="pct"/>
            <w:noWrap/>
            <w:vAlign w:val="center"/>
            <w:hideMark/>
          </w:tcPr>
          <w:p w14:paraId="3F231C60" w14:textId="77777777" w:rsidR="000F52D7" w:rsidRPr="00A8577B" w:rsidRDefault="000F52D7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A8577B">
              <w:rPr>
                <w:sz w:val="20"/>
                <w:szCs w:val="20"/>
              </w:rPr>
              <w:t>412</w:t>
            </w:r>
          </w:p>
        </w:tc>
        <w:tc>
          <w:tcPr>
            <w:tcW w:w="1100" w:type="pct"/>
            <w:noWrap/>
            <w:vAlign w:val="center"/>
            <w:hideMark/>
          </w:tcPr>
          <w:p w14:paraId="410461E5" w14:textId="77777777" w:rsidR="000F52D7" w:rsidRPr="00A8577B" w:rsidRDefault="000F52D7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A8577B">
              <w:rPr>
                <w:sz w:val="20"/>
                <w:szCs w:val="20"/>
              </w:rPr>
              <w:t>252</w:t>
            </w:r>
          </w:p>
        </w:tc>
      </w:tr>
      <w:tr w:rsidR="000F52D7" w:rsidRPr="00A8577B" w14:paraId="1508A410" w14:textId="77777777" w:rsidTr="002B4E35">
        <w:trPr>
          <w:trHeight w:val="20"/>
        </w:trPr>
        <w:tc>
          <w:tcPr>
            <w:tcW w:w="1700" w:type="pct"/>
            <w:noWrap/>
            <w:vAlign w:val="center"/>
            <w:hideMark/>
          </w:tcPr>
          <w:p w14:paraId="241B3B82" w14:textId="776C2EFC" w:rsidR="000F52D7" w:rsidRPr="00A8577B" w:rsidRDefault="000F52D7" w:rsidP="00C52E7E">
            <w:pPr>
              <w:pStyle w:val="tabulka"/>
              <w:keepNex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A8577B">
              <w:rPr>
                <w:sz w:val="20"/>
                <w:szCs w:val="20"/>
              </w:rPr>
              <w:t>Ostravská univerzita</w:t>
            </w:r>
          </w:p>
        </w:tc>
        <w:tc>
          <w:tcPr>
            <w:tcW w:w="1100" w:type="pct"/>
            <w:noWrap/>
            <w:vAlign w:val="center"/>
            <w:hideMark/>
          </w:tcPr>
          <w:p w14:paraId="43C6BCB9" w14:textId="77777777" w:rsidR="000F52D7" w:rsidRPr="00A8577B" w:rsidRDefault="000F52D7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A8577B">
              <w:rPr>
                <w:sz w:val="20"/>
                <w:szCs w:val="20"/>
              </w:rPr>
              <w:t>699</w:t>
            </w:r>
          </w:p>
        </w:tc>
        <w:tc>
          <w:tcPr>
            <w:tcW w:w="1100" w:type="pct"/>
            <w:noWrap/>
            <w:vAlign w:val="center"/>
            <w:hideMark/>
          </w:tcPr>
          <w:p w14:paraId="3A42DE86" w14:textId="77777777" w:rsidR="000F52D7" w:rsidRPr="00A8577B" w:rsidRDefault="000F52D7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A8577B">
              <w:rPr>
                <w:sz w:val="20"/>
                <w:szCs w:val="20"/>
              </w:rPr>
              <w:t>113</w:t>
            </w:r>
          </w:p>
        </w:tc>
        <w:tc>
          <w:tcPr>
            <w:tcW w:w="1100" w:type="pct"/>
            <w:noWrap/>
            <w:vAlign w:val="center"/>
            <w:hideMark/>
          </w:tcPr>
          <w:p w14:paraId="325F81F0" w14:textId="77777777" w:rsidR="000F52D7" w:rsidRPr="00A8577B" w:rsidRDefault="000F52D7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A8577B">
              <w:rPr>
                <w:sz w:val="20"/>
                <w:szCs w:val="20"/>
              </w:rPr>
              <w:t>91</w:t>
            </w:r>
          </w:p>
        </w:tc>
      </w:tr>
      <w:tr w:rsidR="000F52D7" w:rsidRPr="00A8577B" w14:paraId="28D652CD" w14:textId="77777777" w:rsidTr="002B4E35">
        <w:trPr>
          <w:trHeight w:val="20"/>
        </w:trPr>
        <w:tc>
          <w:tcPr>
            <w:tcW w:w="1700" w:type="pct"/>
            <w:noWrap/>
            <w:vAlign w:val="center"/>
            <w:hideMark/>
          </w:tcPr>
          <w:p w14:paraId="078AC56B" w14:textId="7675EEE5" w:rsidR="000F52D7" w:rsidRPr="00A8577B" w:rsidRDefault="000F52D7" w:rsidP="00C52E7E">
            <w:pPr>
              <w:pStyle w:val="tabulka"/>
              <w:keepNex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A8577B">
              <w:rPr>
                <w:sz w:val="20"/>
                <w:szCs w:val="20"/>
              </w:rPr>
              <w:t>Univerzita Karlova</w:t>
            </w:r>
          </w:p>
        </w:tc>
        <w:tc>
          <w:tcPr>
            <w:tcW w:w="1100" w:type="pct"/>
            <w:noWrap/>
            <w:vAlign w:val="center"/>
            <w:hideMark/>
          </w:tcPr>
          <w:p w14:paraId="71C457E9" w14:textId="77777777" w:rsidR="000F52D7" w:rsidRPr="00A8577B" w:rsidRDefault="000F52D7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A8577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A8577B">
              <w:rPr>
                <w:sz w:val="20"/>
                <w:szCs w:val="20"/>
              </w:rPr>
              <w:t>046</w:t>
            </w:r>
          </w:p>
        </w:tc>
        <w:tc>
          <w:tcPr>
            <w:tcW w:w="1100" w:type="pct"/>
            <w:noWrap/>
            <w:vAlign w:val="center"/>
            <w:hideMark/>
          </w:tcPr>
          <w:p w14:paraId="146D6EC6" w14:textId="77777777" w:rsidR="000F52D7" w:rsidRPr="00A8577B" w:rsidRDefault="000F52D7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A857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A8577B">
              <w:rPr>
                <w:sz w:val="20"/>
                <w:szCs w:val="20"/>
              </w:rPr>
              <w:t>647</w:t>
            </w:r>
          </w:p>
        </w:tc>
        <w:tc>
          <w:tcPr>
            <w:tcW w:w="1100" w:type="pct"/>
            <w:noWrap/>
            <w:vAlign w:val="center"/>
            <w:hideMark/>
          </w:tcPr>
          <w:p w14:paraId="453F4F69" w14:textId="77777777" w:rsidR="000F52D7" w:rsidRPr="00A8577B" w:rsidRDefault="000F52D7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A8577B">
              <w:rPr>
                <w:sz w:val="20"/>
                <w:szCs w:val="20"/>
              </w:rPr>
              <w:t>980</w:t>
            </w:r>
          </w:p>
        </w:tc>
      </w:tr>
      <w:tr w:rsidR="000F52D7" w:rsidRPr="00A8577B" w14:paraId="2CF2D30C" w14:textId="77777777" w:rsidTr="002B4E35">
        <w:trPr>
          <w:trHeight w:val="20"/>
        </w:trPr>
        <w:tc>
          <w:tcPr>
            <w:tcW w:w="1700" w:type="pct"/>
            <w:noWrap/>
            <w:vAlign w:val="center"/>
            <w:hideMark/>
          </w:tcPr>
          <w:p w14:paraId="41334C47" w14:textId="2527B04F" w:rsidR="000F52D7" w:rsidRPr="00A8577B" w:rsidRDefault="000F52D7" w:rsidP="00C52E7E">
            <w:pPr>
              <w:pStyle w:val="tabulka"/>
              <w:keepNex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A8577B">
              <w:rPr>
                <w:sz w:val="20"/>
                <w:szCs w:val="20"/>
              </w:rPr>
              <w:t>Univerzita Palackého v Olomouci</w:t>
            </w:r>
          </w:p>
        </w:tc>
        <w:tc>
          <w:tcPr>
            <w:tcW w:w="1100" w:type="pct"/>
            <w:noWrap/>
            <w:vAlign w:val="center"/>
            <w:hideMark/>
          </w:tcPr>
          <w:p w14:paraId="68021668" w14:textId="77777777" w:rsidR="000F52D7" w:rsidRPr="00A8577B" w:rsidRDefault="000F52D7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A857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A8577B">
              <w:rPr>
                <w:sz w:val="20"/>
                <w:szCs w:val="20"/>
              </w:rPr>
              <w:t>182</w:t>
            </w:r>
          </w:p>
        </w:tc>
        <w:tc>
          <w:tcPr>
            <w:tcW w:w="1100" w:type="pct"/>
            <w:noWrap/>
            <w:vAlign w:val="center"/>
            <w:hideMark/>
          </w:tcPr>
          <w:p w14:paraId="33229316" w14:textId="77777777" w:rsidR="000F52D7" w:rsidRPr="00A8577B" w:rsidRDefault="000F52D7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A8577B">
              <w:rPr>
                <w:sz w:val="20"/>
                <w:szCs w:val="20"/>
              </w:rPr>
              <w:t>245</w:t>
            </w:r>
          </w:p>
        </w:tc>
        <w:tc>
          <w:tcPr>
            <w:tcW w:w="1100" w:type="pct"/>
            <w:noWrap/>
            <w:vAlign w:val="center"/>
            <w:hideMark/>
          </w:tcPr>
          <w:p w14:paraId="50717DC5" w14:textId="77777777" w:rsidR="000F52D7" w:rsidRPr="00A8577B" w:rsidRDefault="000F52D7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A8577B">
              <w:rPr>
                <w:sz w:val="20"/>
                <w:szCs w:val="20"/>
              </w:rPr>
              <w:t>157</w:t>
            </w:r>
          </w:p>
        </w:tc>
      </w:tr>
      <w:tr w:rsidR="00A8577B" w:rsidRPr="00A8577B" w14:paraId="7AFB63E3" w14:textId="77777777" w:rsidTr="002B4E35">
        <w:trPr>
          <w:trHeight w:val="20"/>
        </w:trPr>
        <w:tc>
          <w:tcPr>
            <w:tcW w:w="1700" w:type="pct"/>
            <w:shd w:val="clear" w:color="auto" w:fill="F2F2F2" w:themeFill="background1" w:themeFillShade="F2"/>
            <w:noWrap/>
            <w:vAlign w:val="center"/>
            <w:hideMark/>
          </w:tcPr>
          <w:p w14:paraId="7A973D16" w14:textId="77777777" w:rsidR="00A8577B" w:rsidRPr="00A8577B" w:rsidRDefault="00A8577B" w:rsidP="00C52E7E">
            <w:pPr>
              <w:pStyle w:val="tabulka"/>
              <w:keepNext w:val="0"/>
              <w:jc w:val="left"/>
              <w:rPr>
                <w:b/>
                <w:sz w:val="20"/>
                <w:szCs w:val="20"/>
              </w:rPr>
            </w:pPr>
            <w:r w:rsidRPr="00A8577B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100" w:type="pct"/>
            <w:shd w:val="clear" w:color="auto" w:fill="F2F2F2" w:themeFill="background1" w:themeFillShade="F2"/>
            <w:noWrap/>
            <w:vAlign w:val="center"/>
            <w:hideMark/>
          </w:tcPr>
          <w:p w14:paraId="170F6B02" w14:textId="77777777" w:rsidR="00A8577B" w:rsidRPr="00A8577B" w:rsidRDefault="00A8577B" w:rsidP="00C52E7E">
            <w:pPr>
              <w:pStyle w:val="tabulka"/>
              <w:keepNext w:val="0"/>
              <w:jc w:val="right"/>
              <w:rPr>
                <w:b/>
                <w:sz w:val="20"/>
                <w:szCs w:val="20"/>
              </w:rPr>
            </w:pPr>
            <w:r w:rsidRPr="00A8577B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8577B">
              <w:rPr>
                <w:b/>
                <w:sz w:val="20"/>
                <w:szCs w:val="20"/>
              </w:rPr>
              <w:t>727</w:t>
            </w:r>
          </w:p>
        </w:tc>
        <w:tc>
          <w:tcPr>
            <w:tcW w:w="1100" w:type="pct"/>
            <w:shd w:val="clear" w:color="auto" w:fill="F2F2F2" w:themeFill="background1" w:themeFillShade="F2"/>
            <w:noWrap/>
            <w:vAlign w:val="center"/>
            <w:hideMark/>
          </w:tcPr>
          <w:p w14:paraId="4588E280" w14:textId="77777777" w:rsidR="00A8577B" w:rsidRPr="00A8577B" w:rsidRDefault="00A8577B" w:rsidP="00C52E7E">
            <w:pPr>
              <w:pStyle w:val="tabulka"/>
              <w:keepNext w:val="0"/>
              <w:jc w:val="right"/>
              <w:rPr>
                <w:b/>
                <w:sz w:val="20"/>
                <w:szCs w:val="20"/>
              </w:rPr>
            </w:pPr>
            <w:r w:rsidRPr="00A8577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8577B">
              <w:rPr>
                <w:b/>
                <w:sz w:val="20"/>
                <w:szCs w:val="20"/>
              </w:rPr>
              <w:t>319</w:t>
            </w:r>
          </w:p>
        </w:tc>
        <w:tc>
          <w:tcPr>
            <w:tcW w:w="1100" w:type="pct"/>
            <w:shd w:val="clear" w:color="auto" w:fill="F2F2F2" w:themeFill="background1" w:themeFillShade="F2"/>
            <w:noWrap/>
            <w:vAlign w:val="center"/>
            <w:hideMark/>
          </w:tcPr>
          <w:p w14:paraId="2F6619E0" w14:textId="77777777" w:rsidR="00A8577B" w:rsidRPr="00A8577B" w:rsidRDefault="00A8577B" w:rsidP="00C52E7E">
            <w:pPr>
              <w:pStyle w:val="tabulka"/>
              <w:keepNext w:val="0"/>
              <w:jc w:val="right"/>
              <w:rPr>
                <w:b/>
                <w:sz w:val="20"/>
                <w:szCs w:val="20"/>
              </w:rPr>
            </w:pPr>
            <w:r w:rsidRPr="00A8577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8577B">
              <w:rPr>
                <w:b/>
                <w:sz w:val="20"/>
                <w:szCs w:val="20"/>
              </w:rPr>
              <w:t>521</w:t>
            </w:r>
          </w:p>
        </w:tc>
      </w:tr>
      <w:tr w:rsidR="000F52D7" w:rsidRPr="00A8577B" w14:paraId="1FC30108" w14:textId="77777777" w:rsidTr="002B4E35">
        <w:trPr>
          <w:trHeight w:val="20"/>
        </w:trPr>
        <w:tc>
          <w:tcPr>
            <w:tcW w:w="1700" w:type="pct"/>
            <w:noWrap/>
            <w:vAlign w:val="center"/>
            <w:hideMark/>
          </w:tcPr>
          <w:p w14:paraId="1934008A" w14:textId="358CF82E" w:rsidR="000F52D7" w:rsidRPr="00A8577B" w:rsidRDefault="000F52D7" w:rsidP="00C52E7E">
            <w:pPr>
              <w:pStyle w:val="tabulka"/>
              <w:keepNex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A8577B">
              <w:rPr>
                <w:sz w:val="20"/>
                <w:szCs w:val="20"/>
              </w:rPr>
              <w:t>Masarykova univerzita</w:t>
            </w:r>
          </w:p>
        </w:tc>
        <w:tc>
          <w:tcPr>
            <w:tcW w:w="1100" w:type="pct"/>
            <w:noWrap/>
            <w:vAlign w:val="center"/>
            <w:hideMark/>
          </w:tcPr>
          <w:p w14:paraId="7B057862" w14:textId="77777777" w:rsidR="000F52D7" w:rsidRPr="00A8577B" w:rsidRDefault="000F52D7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A857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A8577B">
              <w:rPr>
                <w:sz w:val="20"/>
                <w:szCs w:val="20"/>
              </w:rPr>
              <w:t>628</w:t>
            </w:r>
          </w:p>
        </w:tc>
        <w:tc>
          <w:tcPr>
            <w:tcW w:w="1100" w:type="pct"/>
            <w:noWrap/>
            <w:vAlign w:val="center"/>
            <w:hideMark/>
          </w:tcPr>
          <w:p w14:paraId="1BE84808" w14:textId="77777777" w:rsidR="000F52D7" w:rsidRPr="00A8577B" w:rsidRDefault="000F52D7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A8577B">
              <w:rPr>
                <w:sz w:val="20"/>
                <w:szCs w:val="20"/>
              </w:rPr>
              <w:t>381</w:t>
            </w:r>
          </w:p>
        </w:tc>
        <w:tc>
          <w:tcPr>
            <w:tcW w:w="1100" w:type="pct"/>
            <w:noWrap/>
            <w:vAlign w:val="center"/>
            <w:hideMark/>
          </w:tcPr>
          <w:p w14:paraId="39201B45" w14:textId="77777777" w:rsidR="000F52D7" w:rsidRPr="00A8577B" w:rsidRDefault="000F52D7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A8577B">
              <w:rPr>
                <w:sz w:val="20"/>
                <w:szCs w:val="20"/>
              </w:rPr>
              <w:t>245</w:t>
            </w:r>
          </w:p>
        </w:tc>
      </w:tr>
      <w:tr w:rsidR="000F52D7" w:rsidRPr="00A8577B" w14:paraId="0E7F2A63" w14:textId="77777777" w:rsidTr="002B4E35">
        <w:trPr>
          <w:trHeight w:val="20"/>
        </w:trPr>
        <w:tc>
          <w:tcPr>
            <w:tcW w:w="1700" w:type="pct"/>
            <w:noWrap/>
            <w:vAlign w:val="center"/>
            <w:hideMark/>
          </w:tcPr>
          <w:p w14:paraId="170B5704" w14:textId="020D01A8" w:rsidR="000F52D7" w:rsidRPr="00A8577B" w:rsidRDefault="000F52D7" w:rsidP="00C52E7E">
            <w:pPr>
              <w:pStyle w:val="tabulka"/>
              <w:keepNex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A8577B">
              <w:rPr>
                <w:sz w:val="20"/>
                <w:szCs w:val="20"/>
              </w:rPr>
              <w:t>Ostravská univerzita</w:t>
            </w:r>
          </w:p>
        </w:tc>
        <w:tc>
          <w:tcPr>
            <w:tcW w:w="1100" w:type="pct"/>
            <w:noWrap/>
            <w:vAlign w:val="center"/>
            <w:hideMark/>
          </w:tcPr>
          <w:p w14:paraId="2915F664" w14:textId="77777777" w:rsidR="000F52D7" w:rsidRPr="00A8577B" w:rsidRDefault="000F52D7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A8577B">
              <w:rPr>
                <w:sz w:val="20"/>
                <w:szCs w:val="20"/>
              </w:rPr>
              <w:t>706</w:t>
            </w:r>
          </w:p>
        </w:tc>
        <w:tc>
          <w:tcPr>
            <w:tcW w:w="1100" w:type="pct"/>
            <w:noWrap/>
            <w:vAlign w:val="center"/>
            <w:hideMark/>
          </w:tcPr>
          <w:p w14:paraId="4A9A2E2C" w14:textId="77777777" w:rsidR="000F52D7" w:rsidRPr="00A8577B" w:rsidRDefault="000F52D7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A8577B">
              <w:rPr>
                <w:sz w:val="20"/>
                <w:szCs w:val="20"/>
              </w:rPr>
              <w:t>121</w:t>
            </w:r>
          </w:p>
        </w:tc>
        <w:tc>
          <w:tcPr>
            <w:tcW w:w="1100" w:type="pct"/>
            <w:noWrap/>
            <w:vAlign w:val="center"/>
            <w:hideMark/>
          </w:tcPr>
          <w:p w14:paraId="17EA31A4" w14:textId="77777777" w:rsidR="000F52D7" w:rsidRPr="00A8577B" w:rsidRDefault="000F52D7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A8577B">
              <w:rPr>
                <w:sz w:val="20"/>
                <w:szCs w:val="20"/>
              </w:rPr>
              <w:t>104</w:t>
            </w:r>
          </w:p>
        </w:tc>
      </w:tr>
      <w:tr w:rsidR="000F52D7" w:rsidRPr="00A8577B" w14:paraId="1249B02A" w14:textId="77777777" w:rsidTr="002B4E35">
        <w:trPr>
          <w:trHeight w:val="20"/>
        </w:trPr>
        <w:tc>
          <w:tcPr>
            <w:tcW w:w="1700" w:type="pct"/>
            <w:noWrap/>
            <w:vAlign w:val="center"/>
            <w:hideMark/>
          </w:tcPr>
          <w:p w14:paraId="3F89C838" w14:textId="092457CA" w:rsidR="000F52D7" w:rsidRPr="00A8577B" w:rsidRDefault="000F52D7" w:rsidP="00C52E7E">
            <w:pPr>
              <w:pStyle w:val="tabulka"/>
              <w:keepNex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A8577B">
              <w:rPr>
                <w:sz w:val="20"/>
                <w:szCs w:val="20"/>
              </w:rPr>
              <w:t>Univerzita Karlova</w:t>
            </w:r>
          </w:p>
        </w:tc>
        <w:tc>
          <w:tcPr>
            <w:tcW w:w="1100" w:type="pct"/>
            <w:noWrap/>
            <w:vAlign w:val="center"/>
            <w:hideMark/>
          </w:tcPr>
          <w:p w14:paraId="23D2E549" w14:textId="77777777" w:rsidR="000F52D7" w:rsidRPr="00A8577B" w:rsidRDefault="000F52D7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A8577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Pr="00A8577B">
              <w:rPr>
                <w:sz w:val="20"/>
                <w:szCs w:val="20"/>
              </w:rPr>
              <w:t>301</w:t>
            </w:r>
          </w:p>
        </w:tc>
        <w:tc>
          <w:tcPr>
            <w:tcW w:w="1100" w:type="pct"/>
            <w:noWrap/>
            <w:vAlign w:val="center"/>
            <w:hideMark/>
          </w:tcPr>
          <w:p w14:paraId="6CB2EC4C" w14:textId="77777777" w:rsidR="000F52D7" w:rsidRPr="00A8577B" w:rsidRDefault="000F52D7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A857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A8577B">
              <w:rPr>
                <w:sz w:val="20"/>
                <w:szCs w:val="20"/>
              </w:rPr>
              <w:t>594</w:t>
            </w:r>
          </w:p>
        </w:tc>
        <w:tc>
          <w:tcPr>
            <w:tcW w:w="1100" w:type="pct"/>
            <w:noWrap/>
            <w:vAlign w:val="center"/>
            <w:hideMark/>
          </w:tcPr>
          <w:p w14:paraId="27200417" w14:textId="77777777" w:rsidR="000F52D7" w:rsidRPr="00A8577B" w:rsidRDefault="000F52D7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A857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A8577B">
              <w:rPr>
                <w:sz w:val="20"/>
                <w:szCs w:val="20"/>
              </w:rPr>
              <w:t>029</w:t>
            </w:r>
          </w:p>
        </w:tc>
      </w:tr>
      <w:tr w:rsidR="000F52D7" w:rsidRPr="00A8577B" w14:paraId="4347AD51" w14:textId="77777777" w:rsidTr="002B4E35">
        <w:trPr>
          <w:trHeight w:val="20"/>
        </w:trPr>
        <w:tc>
          <w:tcPr>
            <w:tcW w:w="1700" w:type="pct"/>
            <w:noWrap/>
            <w:vAlign w:val="center"/>
            <w:hideMark/>
          </w:tcPr>
          <w:p w14:paraId="2FF7EB83" w14:textId="43D36250" w:rsidR="000F52D7" w:rsidRPr="00A8577B" w:rsidRDefault="000F52D7" w:rsidP="00C52E7E">
            <w:pPr>
              <w:pStyle w:val="tabulka"/>
              <w:keepNex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A8577B">
              <w:rPr>
                <w:sz w:val="20"/>
                <w:szCs w:val="20"/>
              </w:rPr>
              <w:t>Univerzita Palackého v Olomouci</w:t>
            </w:r>
          </w:p>
        </w:tc>
        <w:tc>
          <w:tcPr>
            <w:tcW w:w="1100" w:type="pct"/>
            <w:noWrap/>
            <w:vAlign w:val="center"/>
            <w:hideMark/>
          </w:tcPr>
          <w:p w14:paraId="5512D987" w14:textId="77777777" w:rsidR="000F52D7" w:rsidRPr="00A8577B" w:rsidRDefault="000F52D7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A857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A8577B">
              <w:rPr>
                <w:sz w:val="20"/>
                <w:szCs w:val="20"/>
              </w:rPr>
              <w:t>092</w:t>
            </w:r>
          </w:p>
        </w:tc>
        <w:tc>
          <w:tcPr>
            <w:tcW w:w="1100" w:type="pct"/>
            <w:noWrap/>
            <w:vAlign w:val="center"/>
            <w:hideMark/>
          </w:tcPr>
          <w:p w14:paraId="4F30012F" w14:textId="77777777" w:rsidR="000F52D7" w:rsidRPr="00A8577B" w:rsidRDefault="000F52D7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A8577B">
              <w:rPr>
                <w:sz w:val="20"/>
                <w:szCs w:val="20"/>
              </w:rPr>
              <w:t>223</w:t>
            </w:r>
          </w:p>
        </w:tc>
        <w:tc>
          <w:tcPr>
            <w:tcW w:w="1100" w:type="pct"/>
            <w:noWrap/>
            <w:vAlign w:val="center"/>
            <w:hideMark/>
          </w:tcPr>
          <w:p w14:paraId="7FAA4C8D" w14:textId="77777777" w:rsidR="000F52D7" w:rsidRPr="00A8577B" w:rsidRDefault="000F52D7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A8577B">
              <w:rPr>
                <w:sz w:val="20"/>
                <w:szCs w:val="20"/>
              </w:rPr>
              <w:t>143</w:t>
            </w:r>
          </w:p>
        </w:tc>
      </w:tr>
      <w:tr w:rsidR="00A8577B" w:rsidRPr="00A8577B" w14:paraId="75190DE6" w14:textId="77777777" w:rsidTr="002B4E35">
        <w:trPr>
          <w:trHeight w:val="20"/>
        </w:trPr>
        <w:tc>
          <w:tcPr>
            <w:tcW w:w="1700" w:type="pct"/>
            <w:shd w:val="clear" w:color="auto" w:fill="F2C6C9"/>
            <w:noWrap/>
            <w:vAlign w:val="center"/>
            <w:hideMark/>
          </w:tcPr>
          <w:p w14:paraId="2FD0CC13" w14:textId="77777777" w:rsidR="00A8577B" w:rsidRPr="00A8577B" w:rsidRDefault="00A8577B" w:rsidP="00C52E7E">
            <w:pPr>
              <w:pStyle w:val="tabulka"/>
              <w:keepNext w:val="0"/>
              <w:jc w:val="left"/>
              <w:rPr>
                <w:b/>
                <w:sz w:val="20"/>
                <w:szCs w:val="20"/>
              </w:rPr>
            </w:pPr>
            <w:r w:rsidRPr="00A8577B">
              <w:rPr>
                <w:b/>
                <w:sz w:val="20"/>
                <w:szCs w:val="20"/>
              </w:rPr>
              <w:t>Celkový součet</w:t>
            </w:r>
          </w:p>
        </w:tc>
        <w:tc>
          <w:tcPr>
            <w:tcW w:w="1100" w:type="pct"/>
            <w:shd w:val="clear" w:color="auto" w:fill="F2C6C9"/>
            <w:noWrap/>
            <w:vAlign w:val="center"/>
            <w:hideMark/>
          </w:tcPr>
          <w:p w14:paraId="7831D1F6" w14:textId="77777777" w:rsidR="00A8577B" w:rsidRPr="00A8577B" w:rsidRDefault="00A8577B" w:rsidP="00C52E7E">
            <w:pPr>
              <w:pStyle w:val="tabulka"/>
              <w:keepNext w:val="0"/>
              <w:jc w:val="right"/>
              <w:rPr>
                <w:b/>
                <w:sz w:val="20"/>
                <w:szCs w:val="20"/>
              </w:rPr>
            </w:pPr>
            <w:r w:rsidRPr="00A8577B">
              <w:rPr>
                <w:b/>
                <w:sz w:val="20"/>
                <w:szCs w:val="20"/>
              </w:rPr>
              <w:t>40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8577B"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1100" w:type="pct"/>
            <w:shd w:val="clear" w:color="auto" w:fill="F2C6C9"/>
            <w:noWrap/>
            <w:vAlign w:val="center"/>
            <w:hideMark/>
          </w:tcPr>
          <w:p w14:paraId="2A50BB23" w14:textId="77777777" w:rsidR="00A8577B" w:rsidRPr="00A8577B" w:rsidRDefault="00A8577B" w:rsidP="00C52E7E">
            <w:pPr>
              <w:pStyle w:val="tabulka"/>
              <w:keepNext w:val="0"/>
              <w:jc w:val="right"/>
              <w:rPr>
                <w:b/>
                <w:sz w:val="20"/>
                <w:szCs w:val="20"/>
              </w:rPr>
            </w:pPr>
            <w:r w:rsidRPr="00A8577B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8577B">
              <w:rPr>
                <w:b/>
                <w:sz w:val="20"/>
                <w:szCs w:val="20"/>
              </w:rPr>
              <w:t>549</w:t>
            </w:r>
          </w:p>
        </w:tc>
        <w:tc>
          <w:tcPr>
            <w:tcW w:w="1100" w:type="pct"/>
            <w:shd w:val="clear" w:color="auto" w:fill="F2C6C9"/>
            <w:noWrap/>
            <w:vAlign w:val="center"/>
            <w:hideMark/>
          </w:tcPr>
          <w:p w14:paraId="7627EF6D" w14:textId="77777777" w:rsidR="00A8577B" w:rsidRPr="00A8577B" w:rsidRDefault="00A8577B" w:rsidP="00C52E7E">
            <w:pPr>
              <w:pStyle w:val="tabulka"/>
              <w:keepNext w:val="0"/>
              <w:jc w:val="right"/>
              <w:rPr>
                <w:b/>
                <w:sz w:val="20"/>
                <w:szCs w:val="20"/>
              </w:rPr>
            </w:pPr>
            <w:r w:rsidRPr="00A8577B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8577B">
              <w:rPr>
                <w:b/>
                <w:sz w:val="20"/>
                <w:szCs w:val="20"/>
              </w:rPr>
              <w:t>921</w:t>
            </w:r>
          </w:p>
        </w:tc>
      </w:tr>
    </w:tbl>
    <w:p w14:paraId="5D372092" w14:textId="70AE6B34" w:rsidR="00A8577B" w:rsidRDefault="000F52D7" w:rsidP="003417FB">
      <w:pPr>
        <w:pStyle w:val="Poznmka"/>
      </w:pPr>
      <w:r w:rsidRPr="000F52D7">
        <w:rPr>
          <w:b/>
        </w:rPr>
        <w:t>Zdroj:</w:t>
      </w:r>
      <w:r>
        <w:tab/>
      </w:r>
      <w:r w:rsidR="00113A88">
        <w:t>i</w:t>
      </w:r>
      <w:r>
        <w:t>nformace MŠMT</w:t>
      </w:r>
      <w:r w:rsidR="00113A88">
        <w:t>.</w:t>
      </w:r>
      <w:r>
        <w:t xml:space="preserve"> (</w:t>
      </w:r>
      <w:r w:rsidRPr="000F52D7">
        <w:t xml:space="preserve">Údaje </w:t>
      </w:r>
      <w:r>
        <w:t>byly</w:t>
      </w:r>
      <w:r w:rsidR="002B4E35">
        <w:t xml:space="preserve"> čerpány z výkazu U 6</w:t>
      </w:r>
      <w:r w:rsidR="00113A88">
        <w:t>-</w:t>
      </w:r>
      <w:r w:rsidRPr="000F52D7">
        <w:t>99 o průběhu přijímacího řízení na vysokou školu. Data se sbírají pouze za bakalářské a nenavazující magisterské programy.</w:t>
      </w:r>
      <w:r>
        <w:t xml:space="preserve"> </w:t>
      </w:r>
      <w:r w:rsidRPr="000F52D7">
        <w:t>Data se nesbírají za státní vysoké školy.</w:t>
      </w:r>
      <w:r>
        <w:t>)</w:t>
      </w:r>
    </w:p>
    <w:p w14:paraId="2B6D5A4B" w14:textId="7011ACA5" w:rsidR="00A8577B" w:rsidRDefault="00A8577B" w:rsidP="00D55E20">
      <w:pPr>
        <w:pStyle w:val="Poznmka"/>
      </w:pPr>
      <w:r w:rsidRPr="000F52D7">
        <w:rPr>
          <w:b/>
        </w:rPr>
        <w:t>*</w:t>
      </w:r>
      <w:r>
        <w:tab/>
        <w:t>Počet osob, které</w:t>
      </w:r>
      <w:r w:rsidRPr="00A8577B">
        <w:t xml:space="preserve"> se dostavil</w:t>
      </w:r>
      <w:r>
        <w:t>y</w:t>
      </w:r>
      <w:r w:rsidRPr="00A8577B">
        <w:t xml:space="preserve"> k přijímací zkoušce,</w:t>
      </w:r>
      <w:r>
        <w:t xml:space="preserve"> </w:t>
      </w:r>
      <w:r w:rsidR="002B4E35">
        <w:t xml:space="preserve">pokud se tato konala, </w:t>
      </w:r>
      <w:r>
        <w:t>nebo byly</w:t>
      </w:r>
      <w:r w:rsidRPr="00A8577B">
        <w:t xml:space="preserve"> přijat</w:t>
      </w:r>
      <w:r>
        <w:t>y</w:t>
      </w:r>
      <w:r w:rsidRPr="00A8577B">
        <w:t xml:space="preserve"> bez přijímací zkoušky</w:t>
      </w:r>
      <w:r>
        <w:t>.</w:t>
      </w:r>
    </w:p>
    <w:p w14:paraId="5FDC0AEF" w14:textId="339C08AC" w:rsidR="00A8577B" w:rsidRDefault="00A8577B" w:rsidP="00C52E7E">
      <w:pPr>
        <w:widowControl/>
      </w:pPr>
    </w:p>
    <w:p w14:paraId="2A7F72A8" w14:textId="7BD62790" w:rsidR="000F52D7" w:rsidRPr="00ED3B16" w:rsidRDefault="000F52D7" w:rsidP="00C52E7E">
      <w:pPr>
        <w:pStyle w:val="Nzevtabulky"/>
        <w:keepNext w:val="0"/>
        <w:ind w:left="1332" w:hanging="1332"/>
        <w:jc w:val="left"/>
      </w:pPr>
      <w:r>
        <w:t xml:space="preserve">Příspěvek na jednoho studenta studijního programu </w:t>
      </w:r>
      <w:r w:rsidR="00113A88">
        <w:rPr>
          <w:i/>
        </w:rPr>
        <w:t>v</w:t>
      </w:r>
      <w:r w:rsidRPr="00ED3B16">
        <w:rPr>
          <w:i/>
        </w:rPr>
        <w:t>šeobecné lékařství</w:t>
      </w:r>
      <w:r w:rsidRPr="00ED3B16">
        <w:t xml:space="preserve"> </w:t>
      </w:r>
      <w:r>
        <w:t>v letech 2015</w:t>
      </w:r>
      <w:r w:rsidR="00EA4E59">
        <w:t>–</w:t>
      </w:r>
      <w:r>
        <w:t>2018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7"/>
        <w:gridCol w:w="1084"/>
        <w:gridCol w:w="1084"/>
        <w:gridCol w:w="1084"/>
        <w:gridCol w:w="1086"/>
      </w:tblGrid>
      <w:tr w:rsidR="000F52D7" w14:paraId="626E8B0B" w14:textId="77777777" w:rsidTr="003357A7">
        <w:trPr>
          <w:trHeight w:val="20"/>
        </w:trPr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65E6567" w14:textId="77777777" w:rsidR="000F52D7" w:rsidRDefault="000F52D7" w:rsidP="00C52E7E">
            <w:pPr>
              <w:widowControl/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Rok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1E652079" w14:textId="77777777" w:rsidR="000F52D7" w:rsidRDefault="000F52D7" w:rsidP="00C52E7E">
            <w:pPr>
              <w:widowControl/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2015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289B85C5" w14:textId="77777777" w:rsidR="000F52D7" w:rsidRDefault="000F52D7" w:rsidP="00C52E7E">
            <w:pPr>
              <w:widowControl/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2016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716798CD" w14:textId="77777777" w:rsidR="000F52D7" w:rsidRDefault="000F52D7" w:rsidP="00C52E7E">
            <w:pPr>
              <w:widowControl/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2017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2E5DE031" w14:textId="77777777" w:rsidR="000F52D7" w:rsidRDefault="000F52D7" w:rsidP="00C52E7E">
            <w:pPr>
              <w:widowControl/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2018</w:t>
            </w:r>
          </w:p>
        </w:tc>
      </w:tr>
      <w:tr w:rsidR="000F52D7" w14:paraId="2A0673AC" w14:textId="77777777" w:rsidTr="003357A7">
        <w:trPr>
          <w:trHeight w:val="2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1DA1" w14:textId="77777777" w:rsidR="000F52D7" w:rsidRDefault="000F52D7" w:rsidP="00C52E7E">
            <w:pPr>
              <w:widowControl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Příspěvek na institucionální financování (RO I) (v tis. Kč)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9443" w14:textId="77777777" w:rsidR="000F52D7" w:rsidRDefault="000F52D7" w:rsidP="00C52E7E">
            <w:pPr>
              <w:widowControl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16 112 149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A1F6" w14:textId="77777777" w:rsidR="000F52D7" w:rsidRDefault="000F52D7" w:rsidP="00C52E7E">
            <w:pPr>
              <w:widowControl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15 426 023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291F" w14:textId="77777777" w:rsidR="000F52D7" w:rsidRDefault="000F52D7" w:rsidP="00C52E7E">
            <w:pPr>
              <w:widowControl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16 186 023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3A10" w14:textId="77777777" w:rsidR="000F52D7" w:rsidRPr="000F72C5" w:rsidRDefault="000F52D7" w:rsidP="00C52E7E">
            <w:pPr>
              <w:widowControl/>
              <w:jc w:val="right"/>
              <w:rPr>
                <w:rFonts w:cs="Calibri"/>
                <w:color w:val="000000"/>
                <w:sz w:val="20"/>
              </w:rPr>
            </w:pPr>
            <w:r w:rsidRPr="000F72C5">
              <w:rPr>
                <w:rFonts w:cs="Calibri"/>
                <w:color w:val="000000"/>
                <w:sz w:val="20"/>
              </w:rPr>
              <w:t>18 186 023</w:t>
            </w:r>
          </w:p>
        </w:tc>
      </w:tr>
      <w:tr w:rsidR="000F52D7" w14:paraId="77BEC90B" w14:textId="77777777" w:rsidTr="003357A7">
        <w:trPr>
          <w:trHeight w:val="2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4AB3" w14:textId="77777777" w:rsidR="000F52D7" w:rsidRDefault="000F52D7" w:rsidP="00C52E7E">
            <w:pPr>
              <w:widowControl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Počet normativních studentů (údaj ze SIMS)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9E3A" w14:textId="77777777" w:rsidR="000F52D7" w:rsidRDefault="000F52D7" w:rsidP="00C52E7E">
            <w:pPr>
              <w:widowControl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449 331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F1D0" w14:textId="77777777" w:rsidR="000F52D7" w:rsidRDefault="000F52D7" w:rsidP="00C52E7E">
            <w:pPr>
              <w:widowControl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427 000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6AC3" w14:textId="77777777" w:rsidR="000F52D7" w:rsidRDefault="000F52D7" w:rsidP="00C52E7E">
            <w:pPr>
              <w:widowControl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439 250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AF81" w14:textId="77777777" w:rsidR="000F52D7" w:rsidRPr="000F72C5" w:rsidRDefault="000F52D7" w:rsidP="00C52E7E">
            <w:pPr>
              <w:widowControl/>
              <w:jc w:val="right"/>
              <w:rPr>
                <w:rFonts w:cs="Calibri"/>
                <w:color w:val="000000"/>
                <w:sz w:val="20"/>
              </w:rPr>
            </w:pPr>
            <w:r w:rsidRPr="000F72C5">
              <w:rPr>
                <w:rFonts w:cs="Calibri"/>
                <w:color w:val="000000"/>
                <w:sz w:val="20"/>
              </w:rPr>
              <w:t>424 107</w:t>
            </w:r>
          </w:p>
        </w:tc>
      </w:tr>
      <w:tr w:rsidR="000F52D7" w14:paraId="7CDE7C0D" w14:textId="77777777" w:rsidTr="003357A7">
        <w:trPr>
          <w:trHeight w:val="2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9B63" w14:textId="77777777" w:rsidR="000F52D7" w:rsidRDefault="000F52D7" w:rsidP="00C52E7E">
            <w:pPr>
              <w:widowControl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Průměrný normativ (v Kč)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107C" w14:textId="77777777" w:rsidR="000F52D7" w:rsidRDefault="000F52D7" w:rsidP="00C52E7E">
            <w:pPr>
              <w:widowControl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35 858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5811" w14:textId="77777777" w:rsidR="000F52D7" w:rsidRDefault="000F52D7" w:rsidP="00C52E7E">
            <w:pPr>
              <w:widowControl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36 127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30C3" w14:textId="77777777" w:rsidR="000F52D7" w:rsidRDefault="000F52D7" w:rsidP="00C52E7E">
            <w:pPr>
              <w:widowControl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36 849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5F3D" w14:textId="77777777" w:rsidR="000F52D7" w:rsidRPr="000F72C5" w:rsidRDefault="000F52D7" w:rsidP="00C52E7E">
            <w:pPr>
              <w:widowControl/>
              <w:jc w:val="right"/>
              <w:rPr>
                <w:rFonts w:cs="Calibri"/>
                <w:color w:val="000000"/>
                <w:sz w:val="20"/>
              </w:rPr>
            </w:pPr>
            <w:r w:rsidRPr="000F72C5">
              <w:rPr>
                <w:rFonts w:cs="Calibri"/>
                <w:color w:val="000000"/>
                <w:sz w:val="20"/>
              </w:rPr>
              <w:t>42 881</w:t>
            </w:r>
          </w:p>
        </w:tc>
      </w:tr>
      <w:tr w:rsidR="000F52D7" w14:paraId="6196D125" w14:textId="77777777" w:rsidTr="003357A7">
        <w:trPr>
          <w:trHeight w:val="2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F734" w14:textId="77777777" w:rsidR="000F52D7" w:rsidRDefault="000F52D7" w:rsidP="00C52E7E">
            <w:pPr>
              <w:widowControl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Koeficient ekonomické náročnosti studijního programu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8916" w14:textId="77777777" w:rsidR="000F52D7" w:rsidRDefault="000F52D7" w:rsidP="00C52E7E">
            <w:pPr>
              <w:widowControl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2,8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134C" w14:textId="77777777" w:rsidR="000F52D7" w:rsidRDefault="000F52D7" w:rsidP="00C52E7E">
            <w:pPr>
              <w:widowControl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2,8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F94B" w14:textId="77777777" w:rsidR="000F52D7" w:rsidRDefault="000F52D7" w:rsidP="00C52E7E">
            <w:pPr>
              <w:widowControl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2,8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6BF1" w14:textId="77777777" w:rsidR="000F52D7" w:rsidRPr="000F72C5" w:rsidRDefault="000F52D7" w:rsidP="00C52E7E">
            <w:pPr>
              <w:widowControl/>
              <w:jc w:val="right"/>
              <w:rPr>
                <w:rFonts w:cs="Calibri"/>
                <w:color w:val="000000"/>
                <w:sz w:val="20"/>
              </w:rPr>
            </w:pPr>
            <w:r w:rsidRPr="000F72C5">
              <w:rPr>
                <w:rFonts w:cs="Calibri"/>
                <w:color w:val="000000"/>
                <w:sz w:val="20"/>
              </w:rPr>
              <w:t>2,8</w:t>
            </w:r>
          </w:p>
        </w:tc>
      </w:tr>
      <w:tr w:rsidR="000F52D7" w14:paraId="054189F6" w14:textId="77777777" w:rsidTr="003357A7">
        <w:trPr>
          <w:trHeight w:val="2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vAlign w:val="center"/>
            <w:hideMark/>
          </w:tcPr>
          <w:p w14:paraId="71E26C0E" w14:textId="2CE8E050" w:rsidR="000F52D7" w:rsidRDefault="000F52D7" w:rsidP="00D55E20">
            <w:pPr>
              <w:widowControl/>
              <w:jc w:val="left"/>
              <w:rPr>
                <w:rFonts w:cs="Calibri"/>
                <w:b/>
                <w:bCs/>
                <w:color w:val="000000"/>
                <w:sz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</w:rPr>
              <w:t xml:space="preserve">Příspěvek na jednoho studenta studijního programu </w:t>
            </w:r>
            <w:r w:rsidR="00113A88" w:rsidRPr="00D55E20">
              <w:rPr>
                <w:rFonts w:cs="Calibri"/>
                <w:b/>
                <w:bCs/>
                <w:i/>
                <w:color w:val="000000"/>
                <w:sz w:val="20"/>
              </w:rPr>
              <w:t>v</w:t>
            </w:r>
            <w:r w:rsidRPr="00D55E20">
              <w:rPr>
                <w:rFonts w:cs="Calibri"/>
                <w:b/>
                <w:bCs/>
                <w:i/>
                <w:color w:val="000000"/>
                <w:sz w:val="20"/>
              </w:rPr>
              <w:t>šeobecné lékařství</w:t>
            </w:r>
            <w:r>
              <w:rPr>
                <w:rFonts w:cs="Calibri"/>
                <w:b/>
                <w:bCs/>
                <w:color w:val="000000"/>
                <w:sz w:val="20"/>
              </w:rPr>
              <w:t xml:space="preserve"> (v Kč)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vAlign w:val="center"/>
            <w:hideMark/>
          </w:tcPr>
          <w:p w14:paraId="16583958" w14:textId="77777777" w:rsidR="000F52D7" w:rsidRDefault="000F52D7" w:rsidP="00C52E7E">
            <w:pPr>
              <w:widowControl/>
              <w:jc w:val="right"/>
              <w:rPr>
                <w:rFonts w:cs="Calibri"/>
                <w:b/>
                <w:bCs/>
                <w:color w:val="000000"/>
                <w:sz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</w:rPr>
              <w:t>100 402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vAlign w:val="center"/>
            <w:hideMark/>
          </w:tcPr>
          <w:p w14:paraId="519C99F1" w14:textId="77777777" w:rsidR="000F52D7" w:rsidRDefault="000F52D7" w:rsidP="00C52E7E">
            <w:pPr>
              <w:widowControl/>
              <w:jc w:val="right"/>
              <w:rPr>
                <w:rFonts w:cs="Calibri"/>
                <w:b/>
                <w:bCs/>
                <w:color w:val="000000"/>
                <w:sz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</w:rPr>
              <w:t>101 156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vAlign w:val="center"/>
            <w:hideMark/>
          </w:tcPr>
          <w:p w14:paraId="7FCA9C7F" w14:textId="77777777" w:rsidR="000F52D7" w:rsidRDefault="000F52D7" w:rsidP="00C52E7E">
            <w:pPr>
              <w:widowControl/>
              <w:jc w:val="right"/>
              <w:rPr>
                <w:rFonts w:cs="Calibri"/>
                <w:b/>
                <w:bCs/>
                <w:color w:val="000000"/>
                <w:sz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</w:rPr>
              <w:t>103 177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vAlign w:val="center"/>
            <w:hideMark/>
          </w:tcPr>
          <w:p w14:paraId="1AE2AE33" w14:textId="77777777" w:rsidR="000F52D7" w:rsidRDefault="000F52D7" w:rsidP="00C52E7E">
            <w:pPr>
              <w:widowControl/>
              <w:jc w:val="right"/>
              <w:rPr>
                <w:rFonts w:cs="Calibri"/>
                <w:b/>
                <w:bCs/>
                <w:color w:val="000000"/>
                <w:sz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</w:rPr>
              <w:t>120 066</w:t>
            </w:r>
          </w:p>
        </w:tc>
      </w:tr>
    </w:tbl>
    <w:p w14:paraId="3E565505" w14:textId="3193CC30" w:rsidR="000F52D7" w:rsidRPr="00ED3B16" w:rsidRDefault="000F52D7" w:rsidP="003417FB">
      <w:pPr>
        <w:pStyle w:val="Poznmka"/>
        <w:rPr>
          <w:rStyle w:val="Siln"/>
          <w:b w:val="0"/>
        </w:rPr>
      </w:pPr>
      <w:r w:rsidRPr="00ED3B16">
        <w:rPr>
          <w:rStyle w:val="Siln"/>
        </w:rPr>
        <w:t>Zdroj:</w:t>
      </w:r>
      <w:r>
        <w:rPr>
          <w:rStyle w:val="Siln"/>
          <w:b w:val="0"/>
        </w:rPr>
        <w:tab/>
      </w:r>
      <w:r w:rsidR="00113A88">
        <w:rPr>
          <w:rStyle w:val="Siln"/>
          <w:b w:val="0"/>
        </w:rPr>
        <w:t>i</w:t>
      </w:r>
      <w:r>
        <w:rPr>
          <w:rStyle w:val="Siln"/>
          <w:b w:val="0"/>
        </w:rPr>
        <w:t>nformace MŠMT.</w:t>
      </w:r>
    </w:p>
    <w:p w14:paraId="11087291" w14:textId="15EC35CC" w:rsidR="000F52D7" w:rsidRDefault="000F52D7" w:rsidP="00C52E7E">
      <w:pPr>
        <w:widowControl/>
        <w:spacing w:line="276" w:lineRule="auto"/>
        <w:ind w:left="709" w:hanging="709"/>
        <w:rPr>
          <w:rFonts w:asciiTheme="minorHAnsi" w:hAnsiTheme="minorHAnsi" w:cstheme="minorHAnsi"/>
          <w:sz w:val="20"/>
        </w:rPr>
      </w:pPr>
      <w:r w:rsidRPr="00ED3B16">
        <w:rPr>
          <w:rFonts w:asciiTheme="minorHAnsi" w:hAnsiTheme="minorHAnsi" w:cstheme="minorHAnsi"/>
          <w:b/>
          <w:sz w:val="20"/>
        </w:rPr>
        <w:t>RO I</w:t>
      </w:r>
      <w:r w:rsidR="00113A88">
        <w:rPr>
          <w:rFonts w:asciiTheme="minorHAnsi" w:hAnsiTheme="minorHAnsi" w:cstheme="minorHAnsi"/>
          <w:sz w:val="20"/>
        </w:rPr>
        <w:t xml:space="preserve"> – r</w:t>
      </w:r>
      <w:r w:rsidRPr="00ED3B16">
        <w:rPr>
          <w:rFonts w:asciiTheme="minorHAnsi" w:hAnsiTheme="minorHAnsi" w:cstheme="minorHAnsi"/>
          <w:sz w:val="20"/>
        </w:rPr>
        <w:t>ozpočtový okruh I rozpočtu veřejné vysoké školy</w:t>
      </w:r>
      <w:r>
        <w:rPr>
          <w:rFonts w:asciiTheme="minorHAnsi" w:hAnsiTheme="minorHAnsi" w:cstheme="minorHAnsi"/>
          <w:sz w:val="20"/>
        </w:rPr>
        <w:t>.</w:t>
      </w:r>
    </w:p>
    <w:p w14:paraId="0C1FDEAC" w14:textId="32A78A3D" w:rsidR="000F52D7" w:rsidRPr="00ED3B16" w:rsidRDefault="000F52D7" w:rsidP="00C52E7E">
      <w:pPr>
        <w:widowControl/>
        <w:spacing w:line="276" w:lineRule="auto"/>
        <w:ind w:left="709" w:hanging="709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</w:rPr>
        <w:t>SIMS</w:t>
      </w:r>
      <w:r w:rsidR="00113A88">
        <w:rPr>
          <w:rFonts w:asciiTheme="minorHAnsi" w:hAnsiTheme="minorHAnsi" w:cstheme="minorHAnsi"/>
          <w:b/>
          <w:sz w:val="20"/>
        </w:rPr>
        <w:t xml:space="preserve"> </w:t>
      </w:r>
      <w:r w:rsidR="00113A88" w:rsidRPr="00D55E20">
        <w:rPr>
          <w:rFonts w:asciiTheme="minorHAnsi" w:hAnsiTheme="minorHAnsi" w:cstheme="minorHAnsi"/>
          <w:sz w:val="20"/>
        </w:rPr>
        <w:t>– informační systém</w:t>
      </w:r>
      <w:r w:rsidR="00113A88">
        <w:rPr>
          <w:rFonts w:asciiTheme="minorHAnsi" w:hAnsiTheme="minorHAnsi" w:cstheme="minorHAnsi"/>
          <w:b/>
          <w:sz w:val="20"/>
        </w:rPr>
        <w:t xml:space="preserve"> </w:t>
      </w:r>
      <w:r w:rsidRPr="00D55E20">
        <w:rPr>
          <w:rFonts w:asciiTheme="minorHAnsi" w:hAnsiTheme="minorHAnsi" w:cstheme="minorHAnsi"/>
          <w:i/>
          <w:sz w:val="20"/>
        </w:rPr>
        <w:t>Sdružené informace matrik studentů</w:t>
      </w:r>
      <w:r w:rsidRPr="00D55E20">
        <w:rPr>
          <w:rFonts w:asciiTheme="minorHAnsi" w:hAnsiTheme="minorHAnsi" w:cstheme="minorHAnsi"/>
          <w:sz w:val="20"/>
        </w:rPr>
        <w:t>.</w:t>
      </w:r>
    </w:p>
    <w:p w14:paraId="04058422" w14:textId="2C2D0465" w:rsidR="000F52D7" w:rsidRDefault="000F52D7" w:rsidP="00C52E7E">
      <w:pPr>
        <w:widowControl/>
      </w:pPr>
    </w:p>
    <w:p w14:paraId="4119653A" w14:textId="77777777" w:rsidR="00EA4E59" w:rsidRDefault="00EA4E59">
      <w:pPr>
        <w:widowControl/>
        <w:autoSpaceDE/>
        <w:autoSpaceDN/>
        <w:adjustRightInd/>
        <w:spacing w:after="160" w:line="259" w:lineRule="auto"/>
        <w:jc w:val="left"/>
        <w:rPr>
          <w:b/>
          <w:szCs w:val="22"/>
          <w:lang w:eastAsia="en-US"/>
        </w:rPr>
      </w:pPr>
      <w:r>
        <w:br w:type="page"/>
      </w:r>
    </w:p>
    <w:p w14:paraId="3C530CB6" w14:textId="10BB0DAD" w:rsidR="00C274F7" w:rsidRPr="00A8577B" w:rsidRDefault="00113A88" w:rsidP="00C52E7E">
      <w:pPr>
        <w:pStyle w:val="Nzevtabulky"/>
        <w:keepNext w:val="0"/>
        <w:ind w:left="1332" w:hanging="1332"/>
      </w:pPr>
      <w:r>
        <w:t>Počty</w:t>
      </w:r>
      <w:r w:rsidR="00C274F7" w:rsidRPr="00A8577B">
        <w:t xml:space="preserve"> </w:t>
      </w:r>
      <w:r w:rsidRPr="00A8577B">
        <w:t xml:space="preserve">uchazečů </w:t>
      </w:r>
      <w:r w:rsidR="00C274F7" w:rsidRPr="00A8577B">
        <w:t xml:space="preserve">přihlášených, přijatých a zapsaných ke studiu ve studijním programu </w:t>
      </w:r>
      <w:r w:rsidRPr="00D55E20">
        <w:rPr>
          <w:i/>
        </w:rPr>
        <w:t>z</w:t>
      </w:r>
      <w:r w:rsidR="00C274F7" w:rsidRPr="00D55E20">
        <w:rPr>
          <w:i/>
        </w:rPr>
        <w:t>ubní lékařství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3083"/>
        <w:gridCol w:w="1994"/>
        <w:gridCol w:w="1996"/>
        <w:gridCol w:w="1992"/>
      </w:tblGrid>
      <w:tr w:rsidR="002B4E35" w:rsidRPr="00C274F7" w14:paraId="10926E78" w14:textId="77777777" w:rsidTr="002B4E35">
        <w:trPr>
          <w:trHeight w:val="20"/>
        </w:trPr>
        <w:tc>
          <w:tcPr>
            <w:tcW w:w="1700" w:type="pct"/>
            <w:shd w:val="clear" w:color="auto" w:fill="E5F1FF"/>
            <w:noWrap/>
            <w:vAlign w:val="center"/>
            <w:hideMark/>
          </w:tcPr>
          <w:p w14:paraId="5E467D9C" w14:textId="3A6D351D" w:rsidR="002B4E35" w:rsidRPr="00C274F7" w:rsidRDefault="002B4E35" w:rsidP="00C52E7E">
            <w:pPr>
              <w:pStyle w:val="tabulka"/>
              <w:keepNex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E5F1FF"/>
            <w:noWrap/>
            <w:vAlign w:val="center"/>
            <w:hideMark/>
          </w:tcPr>
          <w:p w14:paraId="514DA10A" w14:textId="05A39E36" w:rsidR="002B4E35" w:rsidRPr="00C274F7" w:rsidRDefault="002B4E35" w:rsidP="00C52E7E">
            <w:pPr>
              <w:pStyle w:val="tabulka"/>
              <w:keepNext w:val="0"/>
              <w:jc w:val="center"/>
              <w:rPr>
                <w:sz w:val="20"/>
                <w:szCs w:val="20"/>
              </w:rPr>
            </w:pPr>
            <w:r w:rsidRPr="00A8577B">
              <w:rPr>
                <w:b/>
                <w:sz w:val="20"/>
                <w:szCs w:val="20"/>
              </w:rPr>
              <w:t>Počet přihlášených uchazečů*</w:t>
            </w:r>
          </w:p>
        </w:tc>
        <w:tc>
          <w:tcPr>
            <w:tcW w:w="1101" w:type="pct"/>
            <w:shd w:val="clear" w:color="auto" w:fill="E5F1FF"/>
            <w:noWrap/>
            <w:vAlign w:val="center"/>
            <w:hideMark/>
          </w:tcPr>
          <w:p w14:paraId="2A27CE88" w14:textId="21958623" w:rsidR="002B4E35" w:rsidRPr="00C274F7" w:rsidRDefault="002B4E35" w:rsidP="00C52E7E">
            <w:pPr>
              <w:pStyle w:val="tabulka"/>
              <w:keepNext w:val="0"/>
              <w:jc w:val="center"/>
              <w:rPr>
                <w:sz w:val="20"/>
                <w:szCs w:val="20"/>
              </w:rPr>
            </w:pPr>
            <w:r w:rsidRPr="00A8577B">
              <w:rPr>
                <w:b/>
                <w:sz w:val="20"/>
                <w:szCs w:val="20"/>
              </w:rPr>
              <w:t>Počet přijatých uchazečů</w:t>
            </w:r>
          </w:p>
        </w:tc>
        <w:tc>
          <w:tcPr>
            <w:tcW w:w="1099" w:type="pct"/>
            <w:shd w:val="clear" w:color="auto" w:fill="E5F1FF"/>
            <w:noWrap/>
            <w:vAlign w:val="center"/>
            <w:hideMark/>
          </w:tcPr>
          <w:p w14:paraId="542AFF56" w14:textId="583239F4" w:rsidR="002B4E35" w:rsidRPr="00C274F7" w:rsidRDefault="002B4E35" w:rsidP="00C52E7E">
            <w:pPr>
              <w:pStyle w:val="tabulka"/>
              <w:keepNext w:val="0"/>
              <w:jc w:val="center"/>
              <w:rPr>
                <w:sz w:val="20"/>
                <w:szCs w:val="20"/>
              </w:rPr>
            </w:pPr>
            <w:r w:rsidRPr="00A8577B">
              <w:rPr>
                <w:b/>
                <w:sz w:val="20"/>
                <w:szCs w:val="20"/>
              </w:rPr>
              <w:t>Počet uchazečů zapsaných ke studiu</w:t>
            </w:r>
          </w:p>
        </w:tc>
      </w:tr>
      <w:tr w:rsidR="00C274F7" w:rsidRPr="002B4E35" w14:paraId="2366827C" w14:textId="77777777" w:rsidTr="002B4E35">
        <w:trPr>
          <w:trHeight w:val="20"/>
        </w:trPr>
        <w:tc>
          <w:tcPr>
            <w:tcW w:w="1700" w:type="pct"/>
            <w:shd w:val="clear" w:color="auto" w:fill="F2F2F2" w:themeFill="background1" w:themeFillShade="F2"/>
            <w:noWrap/>
            <w:vAlign w:val="center"/>
            <w:hideMark/>
          </w:tcPr>
          <w:p w14:paraId="5CA4BE78" w14:textId="77777777" w:rsidR="00C274F7" w:rsidRPr="002B4E35" w:rsidRDefault="00C274F7" w:rsidP="00C52E7E">
            <w:pPr>
              <w:pStyle w:val="tabulka"/>
              <w:keepNext w:val="0"/>
              <w:jc w:val="left"/>
              <w:rPr>
                <w:b/>
                <w:sz w:val="20"/>
                <w:szCs w:val="20"/>
              </w:rPr>
            </w:pPr>
            <w:r w:rsidRPr="002B4E35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100" w:type="pct"/>
            <w:shd w:val="clear" w:color="auto" w:fill="F2F2F2" w:themeFill="background1" w:themeFillShade="F2"/>
            <w:noWrap/>
            <w:vAlign w:val="center"/>
            <w:hideMark/>
          </w:tcPr>
          <w:p w14:paraId="372BE95F" w14:textId="77777777" w:rsidR="00C274F7" w:rsidRPr="002B4E35" w:rsidRDefault="00C274F7" w:rsidP="00C52E7E">
            <w:pPr>
              <w:pStyle w:val="tabulka"/>
              <w:keepNext w:val="0"/>
              <w:jc w:val="right"/>
              <w:rPr>
                <w:b/>
                <w:sz w:val="20"/>
                <w:szCs w:val="20"/>
              </w:rPr>
            </w:pPr>
            <w:r w:rsidRPr="002B4E35">
              <w:rPr>
                <w:b/>
                <w:sz w:val="20"/>
                <w:szCs w:val="20"/>
              </w:rPr>
              <w:t>2 886</w:t>
            </w:r>
          </w:p>
        </w:tc>
        <w:tc>
          <w:tcPr>
            <w:tcW w:w="1101" w:type="pct"/>
            <w:shd w:val="clear" w:color="auto" w:fill="F2F2F2" w:themeFill="background1" w:themeFillShade="F2"/>
            <w:noWrap/>
            <w:vAlign w:val="center"/>
            <w:hideMark/>
          </w:tcPr>
          <w:p w14:paraId="2AA4AAF1" w14:textId="77777777" w:rsidR="00C274F7" w:rsidRPr="002B4E35" w:rsidRDefault="00C274F7" w:rsidP="00C52E7E">
            <w:pPr>
              <w:pStyle w:val="tabulka"/>
              <w:keepNext w:val="0"/>
              <w:jc w:val="right"/>
              <w:rPr>
                <w:b/>
                <w:sz w:val="20"/>
                <w:szCs w:val="20"/>
              </w:rPr>
            </w:pPr>
            <w:r w:rsidRPr="002B4E35">
              <w:rPr>
                <w:b/>
                <w:sz w:val="20"/>
                <w:szCs w:val="20"/>
              </w:rPr>
              <w:t>316</w:t>
            </w:r>
          </w:p>
        </w:tc>
        <w:tc>
          <w:tcPr>
            <w:tcW w:w="1099" w:type="pct"/>
            <w:shd w:val="clear" w:color="auto" w:fill="F2F2F2" w:themeFill="background1" w:themeFillShade="F2"/>
            <w:noWrap/>
            <w:vAlign w:val="center"/>
            <w:hideMark/>
          </w:tcPr>
          <w:p w14:paraId="0A3EB9B1" w14:textId="77777777" w:rsidR="00C274F7" w:rsidRPr="002B4E35" w:rsidRDefault="00C274F7" w:rsidP="00C52E7E">
            <w:pPr>
              <w:pStyle w:val="tabulka"/>
              <w:keepNext w:val="0"/>
              <w:jc w:val="right"/>
              <w:rPr>
                <w:b/>
                <w:sz w:val="20"/>
                <w:szCs w:val="20"/>
              </w:rPr>
            </w:pPr>
            <w:r w:rsidRPr="002B4E35">
              <w:rPr>
                <w:b/>
                <w:sz w:val="20"/>
                <w:szCs w:val="20"/>
              </w:rPr>
              <w:t>207</w:t>
            </w:r>
          </w:p>
        </w:tc>
      </w:tr>
      <w:tr w:rsidR="00C274F7" w:rsidRPr="00C274F7" w14:paraId="0FDB63A2" w14:textId="77777777" w:rsidTr="002B4E35">
        <w:trPr>
          <w:trHeight w:val="20"/>
        </w:trPr>
        <w:tc>
          <w:tcPr>
            <w:tcW w:w="1700" w:type="pct"/>
            <w:noWrap/>
            <w:vAlign w:val="center"/>
            <w:hideMark/>
          </w:tcPr>
          <w:p w14:paraId="2EA897F4" w14:textId="7D733519" w:rsidR="00C274F7" w:rsidRPr="00C274F7" w:rsidRDefault="002B4E35" w:rsidP="00C52E7E">
            <w:pPr>
              <w:pStyle w:val="tabulka"/>
              <w:keepNex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C274F7" w:rsidRPr="00C274F7">
              <w:rPr>
                <w:sz w:val="20"/>
                <w:szCs w:val="20"/>
              </w:rPr>
              <w:t>Masarykova univerzita</w:t>
            </w:r>
          </w:p>
        </w:tc>
        <w:tc>
          <w:tcPr>
            <w:tcW w:w="1100" w:type="pct"/>
            <w:noWrap/>
            <w:vAlign w:val="center"/>
            <w:hideMark/>
          </w:tcPr>
          <w:p w14:paraId="14DA3B5E" w14:textId="77777777" w:rsidR="00C274F7" w:rsidRPr="00C274F7" w:rsidRDefault="00C274F7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C274F7">
              <w:rPr>
                <w:sz w:val="20"/>
                <w:szCs w:val="20"/>
              </w:rPr>
              <w:t>716</w:t>
            </w:r>
          </w:p>
        </w:tc>
        <w:tc>
          <w:tcPr>
            <w:tcW w:w="1101" w:type="pct"/>
            <w:noWrap/>
            <w:vAlign w:val="center"/>
            <w:hideMark/>
          </w:tcPr>
          <w:p w14:paraId="132442D1" w14:textId="77777777" w:rsidR="00C274F7" w:rsidRPr="00C274F7" w:rsidRDefault="00C274F7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C274F7">
              <w:rPr>
                <w:sz w:val="20"/>
                <w:szCs w:val="20"/>
              </w:rPr>
              <w:t>80</w:t>
            </w:r>
          </w:p>
        </w:tc>
        <w:tc>
          <w:tcPr>
            <w:tcW w:w="1099" w:type="pct"/>
            <w:noWrap/>
            <w:vAlign w:val="center"/>
            <w:hideMark/>
          </w:tcPr>
          <w:p w14:paraId="71241235" w14:textId="77777777" w:rsidR="00C274F7" w:rsidRPr="00C274F7" w:rsidRDefault="00C274F7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C274F7">
              <w:rPr>
                <w:sz w:val="20"/>
                <w:szCs w:val="20"/>
              </w:rPr>
              <w:t>44</w:t>
            </w:r>
          </w:p>
        </w:tc>
      </w:tr>
      <w:tr w:rsidR="00C274F7" w:rsidRPr="00C274F7" w14:paraId="7056E770" w14:textId="77777777" w:rsidTr="002B4E35">
        <w:trPr>
          <w:trHeight w:val="20"/>
        </w:trPr>
        <w:tc>
          <w:tcPr>
            <w:tcW w:w="1700" w:type="pct"/>
            <w:noWrap/>
            <w:vAlign w:val="center"/>
            <w:hideMark/>
          </w:tcPr>
          <w:p w14:paraId="6E89F260" w14:textId="73BF9EC7" w:rsidR="00C274F7" w:rsidRPr="00C274F7" w:rsidRDefault="002B4E35" w:rsidP="00C52E7E">
            <w:pPr>
              <w:pStyle w:val="tabulka"/>
              <w:keepNex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C274F7" w:rsidRPr="00C274F7">
              <w:rPr>
                <w:sz w:val="20"/>
                <w:szCs w:val="20"/>
              </w:rPr>
              <w:t>Univerzita Karlova</w:t>
            </w:r>
          </w:p>
        </w:tc>
        <w:tc>
          <w:tcPr>
            <w:tcW w:w="1100" w:type="pct"/>
            <w:noWrap/>
            <w:vAlign w:val="center"/>
            <w:hideMark/>
          </w:tcPr>
          <w:p w14:paraId="3D243361" w14:textId="77777777" w:rsidR="00C274F7" w:rsidRPr="00C274F7" w:rsidRDefault="00C274F7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C274F7">
              <w:rPr>
                <w:sz w:val="20"/>
                <w:szCs w:val="20"/>
              </w:rPr>
              <w:t>1 524</w:t>
            </w:r>
          </w:p>
        </w:tc>
        <w:tc>
          <w:tcPr>
            <w:tcW w:w="1101" w:type="pct"/>
            <w:noWrap/>
            <w:vAlign w:val="center"/>
            <w:hideMark/>
          </w:tcPr>
          <w:p w14:paraId="30D3D64C" w14:textId="77777777" w:rsidR="00C274F7" w:rsidRPr="00C274F7" w:rsidRDefault="00C274F7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C274F7">
              <w:rPr>
                <w:sz w:val="20"/>
                <w:szCs w:val="20"/>
              </w:rPr>
              <w:t>171</w:t>
            </w:r>
          </w:p>
        </w:tc>
        <w:tc>
          <w:tcPr>
            <w:tcW w:w="1100" w:type="pct"/>
            <w:noWrap/>
            <w:vAlign w:val="center"/>
            <w:hideMark/>
          </w:tcPr>
          <w:p w14:paraId="49D0F514" w14:textId="77777777" w:rsidR="00C274F7" w:rsidRPr="00C274F7" w:rsidRDefault="00C274F7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C274F7">
              <w:rPr>
                <w:sz w:val="20"/>
                <w:szCs w:val="20"/>
              </w:rPr>
              <w:t>117</w:t>
            </w:r>
          </w:p>
        </w:tc>
      </w:tr>
      <w:tr w:rsidR="00C274F7" w:rsidRPr="00C274F7" w14:paraId="1664395A" w14:textId="77777777" w:rsidTr="002B4E35">
        <w:trPr>
          <w:trHeight w:val="20"/>
        </w:trPr>
        <w:tc>
          <w:tcPr>
            <w:tcW w:w="1700" w:type="pct"/>
            <w:noWrap/>
            <w:vAlign w:val="center"/>
            <w:hideMark/>
          </w:tcPr>
          <w:p w14:paraId="50F9B876" w14:textId="6945B18C" w:rsidR="00C274F7" w:rsidRPr="00C274F7" w:rsidRDefault="002B4E35" w:rsidP="00C52E7E">
            <w:pPr>
              <w:pStyle w:val="tabulka"/>
              <w:keepNex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C274F7" w:rsidRPr="00C274F7">
              <w:rPr>
                <w:sz w:val="20"/>
                <w:szCs w:val="20"/>
              </w:rPr>
              <w:t>Univerzita Palackého v Olomouci</w:t>
            </w:r>
          </w:p>
        </w:tc>
        <w:tc>
          <w:tcPr>
            <w:tcW w:w="1100" w:type="pct"/>
            <w:noWrap/>
            <w:vAlign w:val="center"/>
            <w:hideMark/>
          </w:tcPr>
          <w:p w14:paraId="17265B9D" w14:textId="77777777" w:rsidR="00C274F7" w:rsidRPr="00C274F7" w:rsidRDefault="00C274F7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C274F7">
              <w:rPr>
                <w:sz w:val="20"/>
                <w:szCs w:val="20"/>
              </w:rPr>
              <w:t>646</w:t>
            </w:r>
          </w:p>
        </w:tc>
        <w:tc>
          <w:tcPr>
            <w:tcW w:w="1101" w:type="pct"/>
            <w:noWrap/>
            <w:vAlign w:val="center"/>
            <w:hideMark/>
          </w:tcPr>
          <w:p w14:paraId="35955A39" w14:textId="77777777" w:rsidR="00C274F7" w:rsidRPr="00C274F7" w:rsidRDefault="00C274F7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C274F7">
              <w:rPr>
                <w:sz w:val="20"/>
                <w:szCs w:val="20"/>
              </w:rPr>
              <w:t>65</w:t>
            </w:r>
          </w:p>
        </w:tc>
        <w:tc>
          <w:tcPr>
            <w:tcW w:w="1100" w:type="pct"/>
            <w:noWrap/>
            <w:vAlign w:val="center"/>
            <w:hideMark/>
          </w:tcPr>
          <w:p w14:paraId="3DB2FB6C" w14:textId="77777777" w:rsidR="00C274F7" w:rsidRPr="00C274F7" w:rsidRDefault="00C274F7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C274F7">
              <w:rPr>
                <w:sz w:val="20"/>
                <w:szCs w:val="20"/>
              </w:rPr>
              <w:t>46</w:t>
            </w:r>
          </w:p>
        </w:tc>
      </w:tr>
      <w:tr w:rsidR="00C274F7" w:rsidRPr="002B4E35" w14:paraId="700923DF" w14:textId="77777777" w:rsidTr="002B4E35">
        <w:trPr>
          <w:trHeight w:val="20"/>
        </w:trPr>
        <w:tc>
          <w:tcPr>
            <w:tcW w:w="1700" w:type="pct"/>
            <w:shd w:val="clear" w:color="auto" w:fill="F2F2F2" w:themeFill="background1" w:themeFillShade="F2"/>
            <w:noWrap/>
            <w:vAlign w:val="center"/>
            <w:hideMark/>
          </w:tcPr>
          <w:p w14:paraId="1DF8E061" w14:textId="77777777" w:rsidR="00C274F7" w:rsidRPr="002B4E35" w:rsidRDefault="00C274F7" w:rsidP="00C52E7E">
            <w:pPr>
              <w:pStyle w:val="tabulka"/>
              <w:keepNext w:val="0"/>
              <w:jc w:val="left"/>
              <w:rPr>
                <w:b/>
                <w:sz w:val="20"/>
                <w:szCs w:val="20"/>
              </w:rPr>
            </w:pPr>
            <w:r w:rsidRPr="002B4E35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100" w:type="pct"/>
            <w:shd w:val="clear" w:color="auto" w:fill="F2F2F2" w:themeFill="background1" w:themeFillShade="F2"/>
            <w:noWrap/>
            <w:vAlign w:val="center"/>
            <w:hideMark/>
          </w:tcPr>
          <w:p w14:paraId="6FC4A2EE" w14:textId="77777777" w:rsidR="00C274F7" w:rsidRPr="002B4E35" w:rsidRDefault="00C274F7" w:rsidP="00C52E7E">
            <w:pPr>
              <w:pStyle w:val="tabulka"/>
              <w:keepNext w:val="0"/>
              <w:jc w:val="right"/>
              <w:rPr>
                <w:b/>
                <w:sz w:val="20"/>
                <w:szCs w:val="20"/>
              </w:rPr>
            </w:pPr>
            <w:r w:rsidRPr="002B4E35">
              <w:rPr>
                <w:b/>
                <w:sz w:val="20"/>
                <w:szCs w:val="20"/>
              </w:rPr>
              <w:t>2 651</w:t>
            </w:r>
          </w:p>
        </w:tc>
        <w:tc>
          <w:tcPr>
            <w:tcW w:w="1101" w:type="pct"/>
            <w:shd w:val="clear" w:color="auto" w:fill="F2F2F2" w:themeFill="background1" w:themeFillShade="F2"/>
            <w:noWrap/>
            <w:vAlign w:val="center"/>
            <w:hideMark/>
          </w:tcPr>
          <w:p w14:paraId="65AB7F6B" w14:textId="77777777" w:rsidR="00C274F7" w:rsidRPr="002B4E35" w:rsidRDefault="00C274F7" w:rsidP="00C52E7E">
            <w:pPr>
              <w:pStyle w:val="tabulka"/>
              <w:keepNext w:val="0"/>
              <w:jc w:val="right"/>
              <w:rPr>
                <w:b/>
                <w:sz w:val="20"/>
                <w:szCs w:val="20"/>
              </w:rPr>
            </w:pPr>
            <w:r w:rsidRPr="002B4E35">
              <w:rPr>
                <w:b/>
                <w:sz w:val="20"/>
                <w:szCs w:val="20"/>
              </w:rPr>
              <w:t>329</w:t>
            </w:r>
          </w:p>
        </w:tc>
        <w:tc>
          <w:tcPr>
            <w:tcW w:w="1100" w:type="pct"/>
            <w:shd w:val="clear" w:color="auto" w:fill="F2F2F2" w:themeFill="background1" w:themeFillShade="F2"/>
            <w:noWrap/>
            <w:vAlign w:val="center"/>
            <w:hideMark/>
          </w:tcPr>
          <w:p w14:paraId="7F44088E" w14:textId="77777777" w:rsidR="00C274F7" w:rsidRPr="002B4E35" w:rsidRDefault="00C274F7" w:rsidP="00C52E7E">
            <w:pPr>
              <w:pStyle w:val="tabulka"/>
              <w:keepNext w:val="0"/>
              <w:jc w:val="right"/>
              <w:rPr>
                <w:b/>
                <w:sz w:val="20"/>
                <w:szCs w:val="20"/>
              </w:rPr>
            </w:pPr>
            <w:r w:rsidRPr="002B4E35">
              <w:rPr>
                <w:b/>
                <w:sz w:val="20"/>
                <w:szCs w:val="20"/>
              </w:rPr>
              <w:t>203</w:t>
            </w:r>
          </w:p>
        </w:tc>
      </w:tr>
      <w:tr w:rsidR="002B4E35" w:rsidRPr="00C274F7" w14:paraId="260A4D18" w14:textId="77777777" w:rsidTr="002B4E35">
        <w:trPr>
          <w:trHeight w:val="20"/>
        </w:trPr>
        <w:tc>
          <w:tcPr>
            <w:tcW w:w="1700" w:type="pct"/>
            <w:noWrap/>
            <w:vAlign w:val="center"/>
            <w:hideMark/>
          </w:tcPr>
          <w:p w14:paraId="29B21E9F" w14:textId="7FC64ABF" w:rsidR="002B4E35" w:rsidRPr="00C274F7" w:rsidRDefault="002B4E35" w:rsidP="00C52E7E">
            <w:pPr>
              <w:pStyle w:val="tabulka"/>
              <w:keepNex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C274F7">
              <w:rPr>
                <w:sz w:val="20"/>
                <w:szCs w:val="20"/>
              </w:rPr>
              <w:t>Masarykova univerzita</w:t>
            </w:r>
          </w:p>
        </w:tc>
        <w:tc>
          <w:tcPr>
            <w:tcW w:w="1100" w:type="pct"/>
            <w:noWrap/>
            <w:vAlign w:val="center"/>
            <w:hideMark/>
          </w:tcPr>
          <w:p w14:paraId="314D6FF0" w14:textId="77777777" w:rsidR="002B4E35" w:rsidRPr="00C274F7" w:rsidRDefault="002B4E35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C274F7">
              <w:rPr>
                <w:sz w:val="20"/>
                <w:szCs w:val="20"/>
              </w:rPr>
              <w:t>675</w:t>
            </w:r>
          </w:p>
        </w:tc>
        <w:tc>
          <w:tcPr>
            <w:tcW w:w="1101" w:type="pct"/>
            <w:noWrap/>
            <w:vAlign w:val="center"/>
            <w:hideMark/>
          </w:tcPr>
          <w:p w14:paraId="02CC0A2E" w14:textId="77777777" w:rsidR="002B4E35" w:rsidRPr="00C274F7" w:rsidRDefault="002B4E35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C274F7">
              <w:rPr>
                <w:sz w:val="20"/>
                <w:szCs w:val="20"/>
              </w:rPr>
              <w:t>86</w:t>
            </w:r>
          </w:p>
        </w:tc>
        <w:tc>
          <w:tcPr>
            <w:tcW w:w="1100" w:type="pct"/>
            <w:noWrap/>
            <w:vAlign w:val="center"/>
            <w:hideMark/>
          </w:tcPr>
          <w:p w14:paraId="68AF3ED4" w14:textId="77777777" w:rsidR="002B4E35" w:rsidRPr="00C274F7" w:rsidRDefault="002B4E35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C274F7">
              <w:rPr>
                <w:sz w:val="20"/>
                <w:szCs w:val="20"/>
              </w:rPr>
              <w:t>50</w:t>
            </w:r>
          </w:p>
        </w:tc>
      </w:tr>
      <w:tr w:rsidR="002B4E35" w:rsidRPr="00C274F7" w14:paraId="6F55F0AE" w14:textId="77777777" w:rsidTr="002B4E35">
        <w:trPr>
          <w:trHeight w:val="20"/>
        </w:trPr>
        <w:tc>
          <w:tcPr>
            <w:tcW w:w="1700" w:type="pct"/>
            <w:noWrap/>
            <w:vAlign w:val="center"/>
            <w:hideMark/>
          </w:tcPr>
          <w:p w14:paraId="743C68C8" w14:textId="1453ADD9" w:rsidR="002B4E35" w:rsidRPr="00C274F7" w:rsidRDefault="002B4E35" w:rsidP="00C52E7E">
            <w:pPr>
              <w:pStyle w:val="tabulka"/>
              <w:keepNex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C274F7">
              <w:rPr>
                <w:sz w:val="20"/>
                <w:szCs w:val="20"/>
              </w:rPr>
              <w:t>Univerzita Karlova</w:t>
            </w:r>
          </w:p>
        </w:tc>
        <w:tc>
          <w:tcPr>
            <w:tcW w:w="1100" w:type="pct"/>
            <w:noWrap/>
            <w:vAlign w:val="center"/>
            <w:hideMark/>
          </w:tcPr>
          <w:p w14:paraId="4C8CC368" w14:textId="77777777" w:rsidR="002B4E35" w:rsidRPr="00C274F7" w:rsidRDefault="002B4E35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C274F7">
              <w:rPr>
                <w:sz w:val="20"/>
                <w:szCs w:val="20"/>
              </w:rPr>
              <w:t>1 394</w:t>
            </w:r>
          </w:p>
        </w:tc>
        <w:tc>
          <w:tcPr>
            <w:tcW w:w="1101" w:type="pct"/>
            <w:noWrap/>
            <w:vAlign w:val="center"/>
            <w:hideMark/>
          </w:tcPr>
          <w:p w14:paraId="4F314545" w14:textId="77777777" w:rsidR="002B4E35" w:rsidRPr="00C274F7" w:rsidRDefault="002B4E35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C274F7">
              <w:rPr>
                <w:sz w:val="20"/>
                <w:szCs w:val="20"/>
              </w:rPr>
              <w:t>178</w:t>
            </w:r>
          </w:p>
        </w:tc>
        <w:tc>
          <w:tcPr>
            <w:tcW w:w="1099" w:type="pct"/>
            <w:noWrap/>
            <w:vAlign w:val="center"/>
            <w:hideMark/>
          </w:tcPr>
          <w:p w14:paraId="303B55C3" w14:textId="77777777" w:rsidR="002B4E35" w:rsidRPr="00C274F7" w:rsidRDefault="002B4E35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C274F7">
              <w:rPr>
                <w:sz w:val="20"/>
                <w:szCs w:val="20"/>
              </w:rPr>
              <w:t>102</w:t>
            </w:r>
          </w:p>
        </w:tc>
      </w:tr>
      <w:tr w:rsidR="002B4E35" w:rsidRPr="00C274F7" w14:paraId="13C4813E" w14:textId="77777777" w:rsidTr="002B4E35">
        <w:trPr>
          <w:trHeight w:val="20"/>
        </w:trPr>
        <w:tc>
          <w:tcPr>
            <w:tcW w:w="1700" w:type="pct"/>
            <w:noWrap/>
            <w:vAlign w:val="center"/>
            <w:hideMark/>
          </w:tcPr>
          <w:p w14:paraId="4EFF310E" w14:textId="03ABAE0F" w:rsidR="002B4E35" w:rsidRPr="00C274F7" w:rsidRDefault="002B4E35" w:rsidP="00C52E7E">
            <w:pPr>
              <w:pStyle w:val="tabulka"/>
              <w:keepNex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C274F7">
              <w:rPr>
                <w:sz w:val="20"/>
                <w:szCs w:val="20"/>
              </w:rPr>
              <w:t>Univerzita Palackého v Olomouci</w:t>
            </w:r>
          </w:p>
        </w:tc>
        <w:tc>
          <w:tcPr>
            <w:tcW w:w="1100" w:type="pct"/>
            <w:noWrap/>
            <w:vAlign w:val="center"/>
            <w:hideMark/>
          </w:tcPr>
          <w:p w14:paraId="2F09CB04" w14:textId="77777777" w:rsidR="002B4E35" w:rsidRPr="00C274F7" w:rsidRDefault="002B4E35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C274F7">
              <w:rPr>
                <w:sz w:val="20"/>
                <w:szCs w:val="20"/>
              </w:rPr>
              <w:t>582</w:t>
            </w:r>
          </w:p>
        </w:tc>
        <w:tc>
          <w:tcPr>
            <w:tcW w:w="1101" w:type="pct"/>
            <w:noWrap/>
            <w:vAlign w:val="center"/>
            <w:hideMark/>
          </w:tcPr>
          <w:p w14:paraId="25BE25A2" w14:textId="77777777" w:rsidR="002B4E35" w:rsidRPr="00C274F7" w:rsidRDefault="002B4E35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C274F7">
              <w:rPr>
                <w:sz w:val="20"/>
                <w:szCs w:val="20"/>
              </w:rPr>
              <w:t>65</w:t>
            </w:r>
          </w:p>
        </w:tc>
        <w:tc>
          <w:tcPr>
            <w:tcW w:w="1099" w:type="pct"/>
            <w:noWrap/>
            <w:vAlign w:val="center"/>
            <w:hideMark/>
          </w:tcPr>
          <w:p w14:paraId="0AB66EC7" w14:textId="77777777" w:rsidR="002B4E35" w:rsidRPr="00C274F7" w:rsidRDefault="002B4E35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C274F7">
              <w:rPr>
                <w:sz w:val="20"/>
                <w:szCs w:val="20"/>
              </w:rPr>
              <w:t>51</w:t>
            </w:r>
          </w:p>
        </w:tc>
      </w:tr>
      <w:tr w:rsidR="00C274F7" w:rsidRPr="002B4E35" w14:paraId="1BC31E56" w14:textId="77777777" w:rsidTr="002B4E35">
        <w:trPr>
          <w:trHeight w:val="20"/>
        </w:trPr>
        <w:tc>
          <w:tcPr>
            <w:tcW w:w="1700" w:type="pct"/>
            <w:shd w:val="clear" w:color="auto" w:fill="F2F2F2" w:themeFill="background1" w:themeFillShade="F2"/>
            <w:noWrap/>
            <w:vAlign w:val="center"/>
            <w:hideMark/>
          </w:tcPr>
          <w:p w14:paraId="749EDCCB" w14:textId="77777777" w:rsidR="00C274F7" w:rsidRPr="002B4E35" w:rsidRDefault="00C274F7" w:rsidP="00C52E7E">
            <w:pPr>
              <w:pStyle w:val="tabulka"/>
              <w:keepNext w:val="0"/>
              <w:jc w:val="left"/>
              <w:rPr>
                <w:b/>
                <w:sz w:val="20"/>
                <w:szCs w:val="20"/>
              </w:rPr>
            </w:pPr>
            <w:r w:rsidRPr="002B4E35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100" w:type="pct"/>
            <w:shd w:val="clear" w:color="auto" w:fill="F2F2F2" w:themeFill="background1" w:themeFillShade="F2"/>
            <w:noWrap/>
            <w:vAlign w:val="center"/>
            <w:hideMark/>
          </w:tcPr>
          <w:p w14:paraId="0D895D92" w14:textId="77777777" w:rsidR="00C274F7" w:rsidRPr="002B4E35" w:rsidRDefault="00C274F7" w:rsidP="00C52E7E">
            <w:pPr>
              <w:pStyle w:val="tabulka"/>
              <w:keepNext w:val="0"/>
              <w:jc w:val="right"/>
              <w:rPr>
                <w:b/>
                <w:sz w:val="20"/>
                <w:szCs w:val="20"/>
              </w:rPr>
            </w:pPr>
            <w:r w:rsidRPr="002B4E35">
              <w:rPr>
                <w:b/>
                <w:sz w:val="20"/>
                <w:szCs w:val="20"/>
              </w:rPr>
              <w:t>2 858</w:t>
            </w:r>
          </w:p>
        </w:tc>
        <w:tc>
          <w:tcPr>
            <w:tcW w:w="1101" w:type="pct"/>
            <w:shd w:val="clear" w:color="auto" w:fill="F2F2F2" w:themeFill="background1" w:themeFillShade="F2"/>
            <w:noWrap/>
            <w:vAlign w:val="center"/>
            <w:hideMark/>
          </w:tcPr>
          <w:p w14:paraId="69D76D66" w14:textId="77777777" w:rsidR="00C274F7" w:rsidRPr="002B4E35" w:rsidRDefault="00C274F7" w:rsidP="00C52E7E">
            <w:pPr>
              <w:pStyle w:val="tabulka"/>
              <w:keepNext w:val="0"/>
              <w:jc w:val="right"/>
              <w:rPr>
                <w:b/>
                <w:sz w:val="20"/>
                <w:szCs w:val="20"/>
              </w:rPr>
            </w:pPr>
            <w:r w:rsidRPr="002B4E35"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1099" w:type="pct"/>
            <w:shd w:val="clear" w:color="auto" w:fill="F2F2F2" w:themeFill="background1" w:themeFillShade="F2"/>
            <w:noWrap/>
            <w:vAlign w:val="center"/>
            <w:hideMark/>
          </w:tcPr>
          <w:p w14:paraId="088CC736" w14:textId="77777777" w:rsidR="00C274F7" w:rsidRPr="002B4E35" w:rsidRDefault="00C274F7" w:rsidP="00C52E7E">
            <w:pPr>
              <w:pStyle w:val="tabulka"/>
              <w:keepNext w:val="0"/>
              <w:jc w:val="right"/>
              <w:rPr>
                <w:b/>
                <w:sz w:val="20"/>
                <w:szCs w:val="20"/>
              </w:rPr>
            </w:pPr>
            <w:r w:rsidRPr="002B4E35">
              <w:rPr>
                <w:b/>
                <w:sz w:val="20"/>
                <w:szCs w:val="20"/>
              </w:rPr>
              <w:t>229</w:t>
            </w:r>
          </w:p>
        </w:tc>
      </w:tr>
      <w:tr w:rsidR="002B4E35" w:rsidRPr="00C274F7" w14:paraId="0D7788AD" w14:textId="77777777" w:rsidTr="002B4E35">
        <w:trPr>
          <w:trHeight w:val="20"/>
        </w:trPr>
        <w:tc>
          <w:tcPr>
            <w:tcW w:w="1700" w:type="pct"/>
            <w:noWrap/>
            <w:vAlign w:val="center"/>
            <w:hideMark/>
          </w:tcPr>
          <w:p w14:paraId="276F9A2B" w14:textId="6E1D5393" w:rsidR="002B4E35" w:rsidRPr="00C274F7" w:rsidRDefault="002B4E35" w:rsidP="00C52E7E">
            <w:pPr>
              <w:pStyle w:val="tabulka"/>
              <w:keepNex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C274F7">
              <w:rPr>
                <w:sz w:val="20"/>
                <w:szCs w:val="20"/>
              </w:rPr>
              <w:t>Masarykova univerzita</w:t>
            </w:r>
          </w:p>
        </w:tc>
        <w:tc>
          <w:tcPr>
            <w:tcW w:w="1100" w:type="pct"/>
            <w:noWrap/>
            <w:vAlign w:val="center"/>
            <w:hideMark/>
          </w:tcPr>
          <w:p w14:paraId="7F7A1DB0" w14:textId="77777777" w:rsidR="002B4E35" w:rsidRPr="00C274F7" w:rsidRDefault="002B4E35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C274F7">
              <w:rPr>
                <w:sz w:val="20"/>
                <w:szCs w:val="20"/>
              </w:rPr>
              <w:t>714</w:t>
            </w:r>
          </w:p>
        </w:tc>
        <w:tc>
          <w:tcPr>
            <w:tcW w:w="1101" w:type="pct"/>
            <w:noWrap/>
            <w:vAlign w:val="center"/>
            <w:hideMark/>
          </w:tcPr>
          <w:p w14:paraId="0AD1E060" w14:textId="77777777" w:rsidR="002B4E35" w:rsidRPr="00C274F7" w:rsidRDefault="002B4E35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C274F7">
              <w:rPr>
                <w:sz w:val="20"/>
                <w:szCs w:val="20"/>
              </w:rPr>
              <w:t>94</w:t>
            </w:r>
          </w:p>
        </w:tc>
        <w:tc>
          <w:tcPr>
            <w:tcW w:w="1099" w:type="pct"/>
            <w:noWrap/>
            <w:vAlign w:val="center"/>
            <w:hideMark/>
          </w:tcPr>
          <w:p w14:paraId="30998B08" w14:textId="77777777" w:rsidR="002B4E35" w:rsidRPr="00C274F7" w:rsidRDefault="002B4E35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C274F7">
              <w:rPr>
                <w:sz w:val="20"/>
                <w:szCs w:val="20"/>
              </w:rPr>
              <w:t>46</w:t>
            </w:r>
          </w:p>
        </w:tc>
      </w:tr>
      <w:tr w:rsidR="002B4E35" w:rsidRPr="00C274F7" w14:paraId="0219EF53" w14:textId="77777777" w:rsidTr="002B4E35">
        <w:trPr>
          <w:trHeight w:val="20"/>
        </w:trPr>
        <w:tc>
          <w:tcPr>
            <w:tcW w:w="1700" w:type="pct"/>
            <w:noWrap/>
            <w:vAlign w:val="center"/>
            <w:hideMark/>
          </w:tcPr>
          <w:p w14:paraId="3DC3155D" w14:textId="30859575" w:rsidR="002B4E35" w:rsidRPr="00C274F7" w:rsidRDefault="002B4E35" w:rsidP="00C52E7E">
            <w:pPr>
              <w:pStyle w:val="tabulka"/>
              <w:keepNex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C274F7">
              <w:rPr>
                <w:sz w:val="20"/>
                <w:szCs w:val="20"/>
              </w:rPr>
              <w:t>Univerzita Karlova</w:t>
            </w:r>
          </w:p>
        </w:tc>
        <w:tc>
          <w:tcPr>
            <w:tcW w:w="1100" w:type="pct"/>
            <w:noWrap/>
            <w:vAlign w:val="center"/>
            <w:hideMark/>
          </w:tcPr>
          <w:p w14:paraId="00175353" w14:textId="77777777" w:rsidR="002B4E35" w:rsidRPr="00C274F7" w:rsidRDefault="002B4E35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C274F7">
              <w:rPr>
                <w:sz w:val="20"/>
                <w:szCs w:val="20"/>
              </w:rPr>
              <w:t>1 493</w:t>
            </w:r>
          </w:p>
        </w:tc>
        <w:tc>
          <w:tcPr>
            <w:tcW w:w="1101" w:type="pct"/>
            <w:noWrap/>
            <w:vAlign w:val="center"/>
            <w:hideMark/>
          </w:tcPr>
          <w:p w14:paraId="19E45605" w14:textId="77777777" w:rsidR="002B4E35" w:rsidRPr="00C274F7" w:rsidRDefault="002B4E35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C274F7">
              <w:rPr>
                <w:sz w:val="20"/>
                <w:szCs w:val="20"/>
              </w:rPr>
              <w:t>179</w:t>
            </w:r>
          </w:p>
        </w:tc>
        <w:tc>
          <w:tcPr>
            <w:tcW w:w="1099" w:type="pct"/>
            <w:noWrap/>
            <w:vAlign w:val="center"/>
            <w:hideMark/>
          </w:tcPr>
          <w:p w14:paraId="67C4C080" w14:textId="77777777" w:rsidR="002B4E35" w:rsidRPr="00C274F7" w:rsidRDefault="002B4E35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C274F7">
              <w:rPr>
                <w:sz w:val="20"/>
                <w:szCs w:val="20"/>
              </w:rPr>
              <w:t>128</w:t>
            </w:r>
          </w:p>
        </w:tc>
      </w:tr>
      <w:tr w:rsidR="002B4E35" w:rsidRPr="00C274F7" w14:paraId="5F16904A" w14:textId="77777777" w:rsidTr="002B4E35">
        <w:trPr>
          <w:trHeight w:val="20"/>
        </w:trPr>
        <w:tc>
          <w:tcPr>
            <w:tcW w:w="1700" w:type="pct"/>
            <w:noWrap/>
            <w:vAlign w:val="center"/>
            <w:hideMark/>
          </w:tcPr>
          <w:p w14:paraId="37FEF7FA" w14:textId="567687F9" w:rsidR="002B4E35" w:rsidRPr="00C274F7" w:rsidRDefault="002B4E35" w:rsidP="00C52E7E">
            <w:pPr>
              <w:pStyle w:val="tabulka"/>
              <w:keepNex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C274F7">
              <w:rPr>
                <w:sz w:val="20"/>
                <w:szCs w:val="20"/>
              </w:rPr>
              <w:t>Univerzita Palackého v Olomouci</w:t>
            </w:r>
          </w:p>
        </w:tc>
        <w:tc>
          <w:tcPr>
            <w:tcW w:w="1100" w:type="pct"/>
            <w:noWrap/>
            <w:vAlign w:val="center"/>
            <w:hideMark/>
          </w:tcPr>
          <w:p w14:paraId="4B7C0DD6" w14:textId="77777777" w:rsidR="002B4E35" w:rsidRPr="00C274F7" w:rsidRDefault="002B4E35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C274F7">
              <w:rPr>
                <w:sz w:val="20"/>
                <w:szCs w:val="20"/>
              </w:rPr>
              <w:t>651</w:t>
            </w:r>
          </w:p>
        </w:tc>
        <w:tc>
          <w:tcPr>
            <w:tcW w:w="1101" w:type="pct"/>
            <w:noWrap/>
            <w:vAlign w:val="center"/>
            <w:hideMark/>
          </w:tcPr>
          <w:p w14:paraId="712B9751" w14:textId="77777777" w:rsidR="002B4E35" w:rsidRPr="00C274F7" w:rsidRDefault="002B4E35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C274F7">
              <w:rPr>
                <w:sz w:val="20"/>
                <w:szCs w:val="20"/>
              </w:rPr>
              <w:t>69</w:t>
            </w:r>
          </w:p>
        </w:tc>
        <w:tc>
          <w:tcPr>
            <w:tcW w:w="1099" w:type="pct"/>
            <w:noWrap/>
            <w:vAlign w:val="center"/>
            <w:hideMark/>
          </w:tcPr>
          <w:p w14:paraId="3058F0B1" w14:textId="77777777" w:rsidR="002B4E35" w:rsidRPr="00C274F7" w:rsidRDefault="002B4E35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C274F7">
              <w:rPr>
                <w:sz w:val="20"/>
                <w:szCs w:val="20"/>
              </w:rPr>
              <w:t>55</w:t>
            </w:r>
          </w:p>
        </w:tc>
      </w:tr>
      <w:tr w:rsidR="00C274F7" w:rsidRPr="002B4E35" w14:paraId="12A4C60A" w14:textId="77777777" w:rsidTr="002B4E35">
        <w:trPr>
          <w:trHeight w:val="20"/>
        </w:trPr>
        <w:tc>
          <w:tcPr>
            <w:tcW w:w="1700" w:type="pct"/>
            <w:shd w:val="clear" w:color="auto" w:fill="F2F2F2" w:themeFill="background1" w:themeFillShade="F2"/>
            <w:noWrap/>
            <w:vAlign w:val="center"/>
            <w:hideMark/>
          </w:tcPr>
          <w:p w14:paraId="7FAA467D" w14:textId="77777777" w:rsidR="00C274F7" w:rsidRPr="002B4E35" w:rsidRDefault="00C274F7" w:rsidP="00C52E7E">
            <w:pPr>
              <w:pStyle w:val="tabulka"/>
              <w:keepNext w:val="0"/>
              <w:jc w:val="left"/>
              <w:rPr>
                <w:b/>
                <w:sz w:val="20"/>
                <w:szCs w:val="20"/>
              </w:rPr>
            </w:pPr>
            <w:r w:rsidRPr="002B4E35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100" w:type="pct"/>
            <w:shd w:val="clear" w:color="auto" w:fill="F2F2F2" w:themeFill="background1" w:themeFillShade="F2"/>
            <w:noWrap/>
            <w:vAlign w:val="center"/>
            <w:hideMark/>
          </w:tcPr>
          <w:p w14:paraId="425F20EC" w14:textId="77777777" w:rsidR="00C274F7" w:rsidRPr="002B4E35" w:rsidRDefault="00C274F7" w:rsidP="00C52E7E">
            <w:pPr>
              <w:pStyle w:val="tabulka"/>
              <w:keepNext w:val="0"/>
              <w:jc w:val="right"/>
              <w:rPr>
                <w:b/>
                <w:sz w:val="20"/>
                <w:szCs w:val="20"/>
              </w:rPr>
            </w:pPr>
            <w:r w:rsidRPr="002B4E35">
              <w:rPr>
                <w:b/>
                <w:sz w:val="20"/>
                <w:szCs w:val="20"/>
              </w:rPr>
              <w:t>2 394</w:t>
            </w:r>
          </w:p>
        </w:tc>
        <w:tc>
          <w:tcPr>
            <w:tcW w:w="1101" w:type="pct"/>
            <w:shd w:val="clear" w:color="auto" w:fill="F2F2F2" w:themeFill="background1" w:themeFillShade="F2"/>
            <w:noWrap/>
            <w:vAlign w:val="center"/>
            <w:hideMark/>
          </w:tcPr>
          <w:p w14:paraId="567ECCC8" w14:textId="77777777" w:rsidR="00C274F7" w:rsidRPr="002B4E35" w:rsidRDefault="00C274F7" w:rsidP="00C52E7E">
            <w:pPr>
              <w:pStyle w:val="tabulka"/>
              <w:keepNext w:val="0"/>
              <w:jc w:val="right"/>
              <w:rPr>
                <w:b/>
                <w:sz w:val="20"/>
                <w:szCs w:val="20"/>
              </w:rPr>
            </w:pPr>
            <w:r w:rsidRPr="002B4E35">
              <w:rPr>
                <w:b/>
                <w:sz w:val="20"/>
                <w:szCs w:val="20"/>
              </w:rPr>
              <w:t>286</w:t>
            </w:r>
          </w:p>
        </w:tc>
        <w:tc>
          <w:tcPr>
            <w:tcW w:w="1099" w:type="pct"/>
            <w:shd w:val="clear" w:color="auto" w:fill="F2F2F2" w:themeFill="background1" w:themeFillShade="F2"/>
            <w:noWrap/>
            <w:vAlign w:val="center"/>
            <w:hideMark/>
          </w:tcPr>
          <w:p w14:paraId="598306B2" w14:textId="77777777" w:rsidR="00C274F7" w:rsidRPr="002B4E35" w:rsidRDefault="00C274F7" w:rsidP="00C52E7E">
            <w:pPr>
              <w:pStyle w:val="tabulka"/>
              <w:keepNext w:val="0"/>
              <w:jc w:val="right"/>
              <w:rPr>
                <w:b/>
                <w:sz w:val="20"/>
                <w:szCs w:val="20"/>
              </w:rPr>
            </w:pPr>
            <w:r w:rsidRPr="002B4E35">
              <w:rPr>
                <w:b/>
                <w:sz w:val="20"/>
                <w:szCs w:val="20"/>
              </w:rPr>
              <w:t>200</w:t>
            </w:r>
          </w:p>
        </w:tc>
      </w:tr>
      <w:tr w:rsidR="002B4E35" w:rsidRPr="00C274F7" w14:paraId="328CF48A" w14:textId="77777777" w:rsidTr="002B4E35">
        <w:trPr>
          <w:trHeight w:val="20"/>
        </w:trPr>
        <w:tc>
          <w:tcPr>
            <w:tcW w:w="1700" w:type="pct"/>
            <w:noWrap/>
            <w:vAlign w:val="center"/>
            <w:hideMark/>
          </w:tcPr>
          <w:p w14:paraId="564E2C46" w14:textId="7E591A5F" w:rsidR="002B4E35" w:rsidRPr="00C274F7" w:rsidRDefault="002B4E35" w:rsidP="00C52E7E">
            <w:pPr>
              <w:pStyle w:val="tabulka"/>
              <w:keepNex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C274F7">
              <w:rPr>
                <w:sz w:val="20"/>
                <w:szCs w:val="20"/>
              </w:rPr>
              <w:t>Masarykova univerzita</w:t>
            </w:r>
          </w:p>
        </w:tc>
        <w:tc>
          <w:tcPr>
            <w:tcW w:w="1100" w:type="pct"/>
            <w:noWrap/>
            <w:vAlign w:val="center"/>
            <w:hideMark/>
          </w:tcPr>
          <w:p w14:paraId="10054D94" w14:textId="77777777" w:rsidR="002B4E35" w:rsidRPr="00C274F7" w:rsidRDefault="002B4E35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C274F7">
              <w:rPr>
                <w:sz w:val="20"/>
                <w:szCs w:val="20"/>
              </w:rPr>
              <w:t>601</w:t>
            </w:r>
          </w:p>
        </w:tc>
        <w:tc>
          <w:tcPr>
            <w:tcW w:w="1101" w:type="pct"/>
            <w:noWrap/>
            <w:vAlign w:val="center"/>
            <w:hideMark/>
          </w:tcPr>
          <w:p w14:paraId="367DD991" w14:textId="77777777" w:rsidR="002B4E35" w:rsidRPr="00C274F7" w:rsidRDefault="002B4E35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C274F7">
              <w:rPr>
                <w:sz w:val="20"/>
                <w:szCs w:val="20"/>
              </w:rPr>
              <w:t>55</w:t>
            </w:r>
          </w:p>
        </w:tc>
        <w:tc>
          <w:tcPr>
            <w:tcW w:w="1099" w:type="pct"/>
            <w:noWrap/>
            <w:vAlign w:val="center"/>
            <w:hideMark/>
          </w:tcPr>
          <w:p w14:paraId="15106F5D" w14:textId="77777777" w:rsidR="002B4E35" w:rsidRPr="00C274F7" w:rsidRDefault="002B4E35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C274F7">
              <w:rPr>
                <w:sz w:val="20"/>
                <w:szCs w:val="20"/>
              </w:rPr>
              <w:t>30</w:t>
            </w:r>
          </w:p>
        </w:tc>
      </w:tr>
      <w:tr w:rsidR="002B4E35" w:rsidRPr="00C274F7" w14:paraId="120F2230" w14:textId="77777777" w:rsidTr="002B4E35">
        <w:trPr>
          <w:trHeight w:val="20"/>
        </w:trPr>
        <w:tc>
          <w:tcPr>
            <w:tcW w:w="1700" w:type="pct"/>
            <w:noWrap/>
            <w:vAlign w:val="center"/>
            <w:hideMark/>
          </w:tcPr>
          <w:p w14:paraId="648E1CFC" w14:textId="5F4229A4" w:rsidR="002B4E35" w:rsidRPr="00C274F7" w:rsidRDefault="002B4E35" w:rsidP="00C52E7E">
            <w:pPr>
              <w:pStyle w:val="tabulka"/>
              <w:keepNex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C274F7">
              <w:rPr>
                <w:sz w:val="20"/>
                <w:szCs w:val="20"/>
              </w:rPr>
              <w:t>Univerzita Karlova</w:t>
            </w:r>
          </w:p>
        </w:tc>
        <w:tc>
          <w:tcPr>
            <w:tcW w:w="1100" w:type="pct"/>
            <w:noWrap/>
            <w:vAlign w:val="center"/>
            <w:hideMark/>
          </w:tcPr>
          <w:p w14:paraId="3AFADAFF" w14:textId="77777777" w:rsidR="002B4E35" w:rsidRPr="00C274F7" w:rsidRDefault="002B4E35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C274F7">
              <w:rPr>
                <w:sz w:val="20"/>
                <w:szCs w:val="20"/>
              </w:rPr>
              <w:t>1 221</w:t>
            </w:r>
          </w:p>
        </w:tc>
        <w:tc>
          <w:tcPr>
            <w:tcW w:w="1101" w:type="pct"/>
            <w:noWrap/>
            <w:vAlign w:val="center"/>
            <w:hideMark/>
          </w:tcPr>
          <w:p w14:paraId="44B02E3F" w14:textId="77777777" w:rsidR="002B4E35" w:rsidRPr="00C274F7" w:rsidRDefault="002B4E35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C274F7">
              <w:rPr>
                <w:sz w:val="20"/>
                <w:szCs w:val="20"/>
              </w:rPr>
              <w:t>164</w:t>
            </w:r>
          </w:p>
        </w:tc>
        <w:tc>
          <w:tcPr>
            <w:tcW w:w="1099" w:type="pct"/>
            <w:noWrap/>
            <w:vAlign w:val="center"/>
            <w:hideMark/>
          </w:tcPr>
          <w:p w14:paraId="35EAF6E9" w14:textId="77777777" w:rsidR="002B4E35" w:rsidRPr="00C274F7" w:rsidRDefault="002B4E35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C274F7">
              <w:rPr>
                <w:sz w:val="20"/>
                <w:szCs w:val="20"/>
              </w:rPr>
              <w:t>118</w:t>
            </w:r>
          </w:p>
        </w:tc>
      </w:tr>
      <w:tr w:rsidR="002B4E35" w:rsidRPr="00C274F7" w14:paraId="7D60E62C" w14:textId="77777777" w:rsidTr="002B4E35">
        <w:trPr>
          <w:trHeight w:val="20"/>
        </w:trPr>
        <w:tc>
          <w:tcPr>
            <w:tcW w:w="1700" w:type="pct"/>
            <w:noWrap/>
            <w:vAlign w:val="center"/>
            <w:hideMark/>
          </w:tcPr>
          <w:p w14:paraId="699F413C" w14:textId="408ABF80" w:rsidR="002B4E35" w:rsidRPr="00C274F7" w:rsidRDefault="002B4E35" w:rsidP="00C52E7E">
            <w:pPr>
              <w:pStyle w:val="tabulka"/>
              <w:keepNex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C274F7">
              <w:rPr>
                <w:sz w:val="20"/>
                <w:szCs w:val="20"/>
              </w:rPr>
              <w:t>Univerzita Palackého v Olomouci</w:t>
            </w:r>
          </w:p>
        </w:tc>
        <w:tc>
          <w:tcPr>
            <w:tcW w:w="1100" w:type="pct"/>
            <w:noWrap/>
            <w:vAlign w:val="center"/>
            <w:hideMark/>
          </w:tcPr>
          <w:p w14:paraId="1D9684AC" w14:textId="77777777" w:rsidR="002B4E35" w:rsidRPr="00C274F7" w:rsidRDefault="002B4E35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C274F7">
              <w:rPr>
                <w:sz w:val="20"/>
                <w:szCs w:val="20"/>
              </w:rPr>
              <w:t>572</w:t>
            </w:r>
          </w:p>
        </w:tc>
        <w:tc>
          <w:tcPr>
            <w:tcW w:w="1101" w:type="pct"/>
            <w:noWrap/>
            <w:vAlign w:val="center"/>
            <w:hideMark/>
          </w:tcPr>
          <w:p w14:paraId="326C8736" w14:textId="77777777" w:rsidR="002B4E35" w:rsidRPr="00C274F7" w:rsidRDefault="002B4E35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C274F7">
              <w:rPr>
                <w:sz w:val="20"/>
                <w:szCs w:val="20"/>
              </w:rPr>
              <w:t>67</w:t>
            </w:r>
          </w:p>
        </w:tc>
        <w:tc>
          <w:tcPr>
            <w:tcW w:w="1099" w:type="pct"/>
            <w:noWrap/>
            <w:vAlign w:val="center"/>
            <w:hideMark/>
          </w:tcPr>
          <w:p w14:paraId="088BFC76" w14:textId="77777777" w:rsidR="002B4E35" w:rsidRPr="00C274F7" w:rsidRDefault="002B4E35" w:rsidP="00C52E7E">
            <w:pPr>
              <w:pStyle w:val="tabulka"/>
              <w:keepNext w:val="0"/>
              <w:jc w:val="right"/>
              <w:rPr>
                <w:sz w:val="20"/>
                <w:szCs w:val="20"/>
              </w:rPr>
            </w:pPr>
            <w:r w:rsidRPr="00C274F7">
              <w:rPr>
                <w:sz w:val="20"/>
                <w:szCs w:val="20"/>
              </w:rPr>
              <w:t>52</w:t>
            </w:r>
          </w:p>
        </w:tc>
      </w:tr>
      <w:tr w:rsidR="00C274F7" w:rsidRPr="002B4E35" w14:paraId="26B30FE0" w14:textId="77777777" w:rsidTr="002B4E35">
        <w:trPr>
          <w:trHeight w:val="20"/>
        </w:trPr>
        <w:tc>
          <w:tcPr>
            <w:tcW w:w="1700" w:type="pct"/>
            <w:shd w:val="clear" w:color="auto" w:fill="F2C6C9"/>
            <w:noWrap/>
            <w:vAlign w:val="center"/>
            <w:hideMark/>
          </w:tcPr>
          <w:p w14:paraId="096B25BE" w14:textId="77777777" w:rsidR="00C274F7" w:rsidRPr="002B4E35" w:rsidRDefault="00C274F7" w:rsidP="00C52E7E">
            <w:pPr>
              <w:pStyle w:val="tabulka"/>
              <w:keepNext w:val="0"/>
              <w:jc w:val="left"/>
              <w:rPr>
                <w:b/>
                <w:sz w:val="20"/>
                <w:szCs w:val="20"/>
              </w:rPr>
            </w:pPr>
            <w:r w:rsidRPr="002B4E35">
              <w:rPr>
                <w:b/>
                <w:sz w:val="20"/>
                <w:szCs w:val="20"/>
              </w:rPr>
              <w:t>Celkový součet</w:t>
            </w:r>
          </w:p>
        </w:tc>
        <w:tc>
          <w:tcPr>
            <w:tcW w:w="1100" w:type="pct"/>
            <w:shd w:val="clear" w:color="auto" w:fill="F2C6C9"/>
            <w:noWrap/>
            <w:vAlign w:val="center"/>
            <w:hideMark/>
          </w:tcPr>
          <w:p w14:paraId="6E9391F5" w14:textId="77777777" w:rsidR="00C274F7" w:rsidRPr="002B4E35" w:rsidRDefault="00C274F7" w:rsidP="00C52E7E">
            <w:pPr>
              <w:pStyle w:val="tabulka"/>
              <w:keepNext w:val="0"/>
              <w:jc w:val="right"/>
              <w:rPr>
                <w:b/>
                <w:sz w:val="20"/>
                <w:szCs w:val="20"/>
              </w:rPr>
            </w:pPr>
            <w:r w:rsidRPr="002B4E35">
              <w:rPr>
                <w:b/>
                <w:sz w:val="20"/>
                <w:szCs w:val="20"/>
              </w:rPr>
              <w:t>10 789</w:t>
            </w:r>
          </w:p>
        </w:tc>
        <w:tc>
          <w:tcPr>
            <w:tcW w:w="1101" w:type="pct"/>
            <w:shd w:val="clear" w:color="auto" w:fill="F2C6C9"/>
            <w:noWrap/>
            <w:vAlign w:val="center"/>
            <w:hideMark/>
          </w:tcPr>
          <w:p w14:paraId="2E535D17" w14:textId="77777777" w:rsidR="00C274F7" w:rsidRPr="002B4E35" w:rsidRDefault="00C274F7" w:rsidP="00C52E7E">
            <w:pPr>
              <w:pStyle w:val="tabulka"/>
              <w:keepNext w:val="0"/>
              <w:jc w:val="right"/>
              <w:rPr>
                <w:b/>
                <w:sz w:val="20"/>
                <w:szCs w:val="20"/>
              </w:rPr>
            </w:pPr>
            <w:r w:rsidRPr="002B4E35">
              <w:rPr>
                <w:b/>
                <w:sz w:val="20"/>
                <w:szCs w:val="20"/>
              </w:rPr>
              <w:t>1 273</w:t>
            </w:r>
          </w:p>
        </w:tc>
        <w:tc>
          <w:tcPr>
            <w:tcW w:w="1099" w:type="pct"/>
            <w:shd w:val="clear" w:color="auto" w:fill="F2C6C9"/>
            <w:noWrap/>
            <w:vAlign w:val="center"/>
            <w:hideMark/>
          </w:tcPr>
          <w:p w14:paraId="4F270336" w14:textId="77777777" w:rsidR="00C274F7" w:rsidRPr="002B4E35" w:rsidRDefault="00C274F7" w:rsidP="00C52E7E">
            <w:pPr>
              <w:pStyle w:val="tabulka"/>
              <w:keepNext w:val="0"/>
              <w:jc w:val="right"/>
              <w:rPr>
                <w:b/>
                <w:sz w:val="20"/>
                <w:szCs w:val="20"/>
              </w:rPr>
            </w:pPr>
            <w:r w:rsidRPr="002B4E35">
              <w:rPr>
                <w:b/>
                <w:sz w:val="20"/>
                <w:szCs w:val="20"/>
              </w:rPr>
              <w:t>839</w:t>
            </w:r>
          </w:p>
        </w:tc>
      </w:tr>
    </w:tbl>
    <w:p w14:paraId="28A9CA00" w14:textId="0697E882" w:rsidR="00C274F7" w:rsidRDefault="00C274F7" w:rsidP="003417FB">
      <w:pPr>
        <w:pStyle w:val="Poznmka"/>
      </w:pPr>
      <w:r w:rsidRPr="000F52D7">
        <w:rPr>
          <w:b/>
        </w:rPr>
        <w:t>Zdroj:</w:t>
      </w:r>
      <w:r>
        <w:t xml:space="preserve"> </w:t>
      </w:r>
      <w:r>
        <w:tab/>
      </w:r>
      <w:r w:rsidR="00113A88">
        <w:t>i</w:t>
      </w:r>
      <w:r>
        <w:t>nformace MŠMT</w:t>
      </w:r>
      <w:r w:rsidR="00113A88">
        <w:t>.</w:t>
      </w:r>
      <w:r>
        <w:t xml:space="preserve"> (</w:t>
      </w:r>
      <w:r w:rsidRPr="000F52D7">
        <w:t xml:space="preserve">Údaje </w:t>
      </w:r>
      <w:r>
        <w:t>byly</w:t>
      </w:r>
      <w:r w:rsidRPr="000F52D7">
        <w:t xml:space="preserve"> čerpány z výkazu U 6</w:t>
      </w:r>
      <w:r w:rsidR="00113A88">
        <w:t>-</w:t>
      </w:r>
      <w:r w:rsidRPr="000F52D7">
        <w:t>99 o průběhu přijímacího řízení na vysokou školu. Data se sbírají pouze za bakalářské a nenavazující magisterské programy.</w:t>
      </w:r>
      <w:r>
        <w:t xml:space="preserve"> </w:t>
      </w:r>
      <w:r w:rsidRPr="000F52D7">
        <w:t>Data se nesbírají za státní vysoké školy.</w:t>
      </w:r>
      <w:r>
        <w:t>)</w:t>
      </w:r>
    </w:p>
    <w:p w14:paraId="14B7224B" w14:textId="77777777" w:rsidR="00C274F7" w:rsidRDefault="00C274F7" w:rsidP="00D55E20">
      <w:pPr>
        <w:pStyle w:val="Poznmka"/>
      </w:pPr>
      <w:r w:rsidRPr="000F52D7">
        <w:rPr>
          <w:b/>
        </w:rPr>
        <w:t>*</w:t>
      </w:r>
      <w:r>
        <w:tab/>
        <w:t>Počet osob, které</w:t>
      </w:r>
      <w:r w:rsidRPr="00A8577B">
        <w:t xml:space="preserve"> se dostavil</w:t>
      </w:r>
      <w:r>
        <w:t>y</w:t>
      </w:r>
      <w:r w:rsidRPr="00A8577B">
        <w:t xml:space="preserve"> k přijímací zkoušce,</w:t>
      </w:r>
      <w:r>
        <w:t xml:space="preserve"> pokud se tato konala, nebo byly</w:t>
      </w:r>
      <w:r w:rsidRPr="00A8577B">
        <w:t xml:space="preserve"> přijat</w:t>
      </w:r>
      <w:r>
        <w:t>y</w:t>
      </w:r>
      <w:r w:rsidRPr="00A8577B">
        <w:t xml:space="preserve"> bez přijímací zkoušky</w:t>
      </w:r>
      <w:r>
        <w:t>.</w:t>
      </w:r>
    </w:p>
    <w:p w14:paraId="60BBD35B" w14:textId="77777777" w:rsidR="00C274F7" w:rsidRDefault="00C274F7" w:rsidP="00C52E7E">
      <w:pPr>
        <w:widowControl/>
      </w:pPr>
    </w:p>
    <w:p w14:paraId="3CF44AEB" w14:textId="0EBF075D" w:rsidR="005A18D4" w:rsidRPr="005A18D4" w:rsidRDefault="003271F0" w:rsidP="00C52E7E">
      <w:pPr>
        <w:pStyle w:val="Nadpis3"/>
        <w:keepNext w:val="0"/>
        <w:widowControl/>
        <w:numPr>
          <w:ilvl w:val="0"/>
          <w:numId w:val="12"/>
        </w:numPr>
        <w:ind w:left="426" w:hanging="426"/>
        <w:rPr>
          <w:u w:val="single"/>
        </w:rPr>
      </w:pPr>
      <w:r>
        <w:rPr>
          <w:u w:val="single"/>
        </w:rPr>
        <w:t xml:space="preserve">Věk </w:t>
      </w:r>
      <w:r w:rsidR="008E085D">
        <w:rPr>
          <w:u w:val="single"/>
        </w:rPr>
        <w:t>zdravotnických pracovníků</w:t>
      </w:r>
      <w:r>
        <w:rPr>
          <w:u w:val="single"/>
        </w:rPr>
        <w:t xml:space="preserve"> ve vybraných</w:t>
      </w:r>
      <w:r w:rsidR="005A18D4" w:rsidRPr="005A18D4">
        <w:rPr>
          <w:u w:val="single"/>
        </w:rPr>
        <w:t xml:space="preserve"> oborech</w:t>
      </w:r>
    </w:p>
    <w:p w14:paraId="1A988B0D" w14:textId="37B661FC" w:rsidR="005A18D4" w:rsidRPr="00DC6CA2" w:rsidRDefault="003271F0" w:rsidP="00C52E7E">
      <w:pPr>
        <w:pStyle w:val="Graf"/>
        <w:keepNext w:val="0"/>
        <w:widowControl/>
        <w:numPr>
          <w:ilvl w:val="0"/>
          <w:numId w:val="14"/>
        </w:numPr>
        <w:ind w:left="993" w:hanging="993"/>
        <w:jc w:val="left"/>
      </w:pPr>
      <w:r w:rsidRPr="00DC6CA2">
        <w:t>Počet praktických lékařů podle věku v </w:t>
      </w:r>
      <w:r w:rsidRPr="00D55E20">
        <w:rPr>
          <w:i/>
        </w:rPr>
        <w:t>Národním registru zdravotnických pracovníků</w:t>
      </w:r>
      <w:r w:rsidRPr="00DC6CA2">
        <w:t xml:space="preserve"> (k 1. 6. 2019)</w:t>
      </w:r>
    </w:p>
    <w:p w14:paraId="34755B9A" w14:textId="3C62BAC5" w:rsidR="005A18D4" w:rsidRDefault="003271F0" w:rsidP="00C52E7E">
      <w:pPr>
        <w:widowControl/>
      </w:pPr>
      <w:r>
        <w:rPr>
          <w:noProof/>
        </w:rPr>
        <w:drawing>
          <wp:inline distT="0" distB="0" distL="0" distR="0" wp14:anchorId="32A3D95B" wp14:editId="74D66796">
            <wp:extent cx="5695950" cy="2152650"/>
            <wp:effectExtent l="0" t="0" r="0" b="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399D718F" w14:textId="1CE0B806" w:rsidR="003271F0" w:rsidRDefault="003271F0" w:rsidP="003417FB">
      <w:pPr>
        <w:pStyle w:val="Poznmka"/>
      </w:pPr>
      <w:r w:rsidRPr="00F418B6">
        <w:rPr>
          <w:b/>
        </w:rPr>
        <w:t>Zdroj:</w:t>
      </w:r>
      <w:r>
        <w:tab/>
      </w:r>
      <w:r w:rsidR="00113A88">
        <w:t>m</w:t>
      </w:r>
      <w:r>
        <w:t xml:space="preserve">ateriály </w:t>
      </w:r>
      <w:proofErr w:type="spellStart"/>
      <w:r>
        <w:t>MZd</w:t>
      </w:r>
      <w:proofErr w:type="spellEnd"/>
      <w:r>
        <w:t xml:space="preserve"> (zpracováno ÚZIS).</w:t>
      </w:r>
    </w:p>
    <w:p w14:paraId="67371E20" w14:textId="1E36249B" w:rsidR="003271F0" w:rsidRDefault="003271F0" w:rsidP="00C52E7E">
      <w:pPr>
        <w:widowControl/>
      </w:pPr>
    </w:p>
    <w:p w14:paraId="266FA169" w14:textId="125C9683" w:rsidR="00D32193" w:rsidRDefault="00D32193" w:rsidP="00C52E7E">
      <w:pPr>
        <w:widowControl/>
      </w:pPr>
    </w:p>
    <w:p w14:paraId="4818D421" w14:textId="77777777" w:rsidR="00235DA1" w:rsidRDefault="00235DA1">
      <w:pPr>
        <w:widowControl/>
        <w:autoSpaceDE/>
        <w:autoSpaceDN/>
        <w:adjustRightInd/>
        <w:spacing w:after="160" w:line="259" w:lineRule="auto"/>
        <w:jc w:val="left"/>
        <w:rPr>
          <w:b/>
          <w:szCs w:val="24"/>
          <w:lang w:eastAsia="en-US"/>
        </w:rPr>
      </w:pPr>
      <w:r>
        <w:br w:type="page"/>
      </w:r>
    </w:p>
    <w:p w14:paraId="7EDBBB52" w14:textId="7EBD880A" w:rsidR="008E085D" w:rsidRDefault="008E085D" w:rsidP="00C52E7E">
      <w:pPr>
        <w:pStyle w:val="Graf"/>
        <w:keepNext w:val="0"/>
        <w:widowControl/>
        <w:numPr>
          <w:ilvl w:val="0"/>
          <w:numId w:val="14"/>
        </w:numPr>
        <w:ind w:left="993" w:hanging="993"/>
        <w:jc w:val="left"/>
      </w:pPr>
      <w:r w:rsidRPr="003271F0">
        <w:t>P</w:t>
      </w:r>
      <w:r>
        <w:t>očet praktických</w:t>
      </w:r>
      <w:r w:rsidRPr="003271F0">
        <w:t xml:space="preserve"> lékař</w:t>
      </w:r>
      <w:r>
        <w:t>ů pro děti a dorost</w:t>
      </w:r>
      <w:r w:rsidRPr="003271F0">
        <w:t xml:space="preserve"> podle věku</w:t>
      </w:r>
      <w:r>
        <w:t xml:space="preserve"> v </w:t>
      </w:r>
      <w:r w:rsidRPr="00D55E20">
        <w:rPr>
          <w:i/>
        </w:rPr>
        <w:t>Národním registru zdravotnických pracovníků</w:t>
      </w:r>
      <w:r>
        <w:t xml:space="preserve"> (k 1. 6. 2019)</w:t>
      </w:r>
    </w:p>
    <w:p w14:paraId="4EAE3731" w14:textId="77777777" w:rsidR="008E085D" w:rsidRDefault="008E085D" w:rsidP="00C52E7E">
      <w:pPr>
        <w:widowControl/>
      </w:pPr>
      <w:r>
        <w:rPr>
          <w:noProof/>
        </w:rPr>
        <w:drawing>
          <wp:inline distT="0" distB="0" distL="0" distR="0" wp14:anchorId="7C93AD95" wp14:editId="6050C938">
            <wp:extent cx="5772150" cy="2085975"/>
            <wp:effectExtent l="0" t="0" r="0" b="0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0C883D21" w14:textId="319BD6F9" w:rsidR="008E085D" w:rsidRDefault="008E085D" w:rsidP="003417FB">
      <w:pPr>
        <w:pStyle w:val="Poznmka"/>
      </w:pPr>
      <w:r w:rsidRPr="00F418B6">
        <w:rPr>
          <w:b/>
        </w:rPr>
        <w:t>Zdroj:</w:t>
      </w:r>
      <w:r>
        <w:tab/>
      </w:r>
      <w:r w:rsidR="00113A88">
        <w:t>m</w:t>
      </w:r>
      <w:r>
        <w:t xml:space="preserve">ateriály </w:t>
      </w:r>
      <w:proofErr w:type="spellStart"/>
      <w:r>
        <w:t>MZd</w:t>
      </w:r>
      <w:proofErr w:type="spellEnd"/>
      <w:r>
        <w:t xml:space="preserve"> (zpracováno ÚZIS).</w:t>
      </w:r>
    </w:p>
    <w:p w14:paraId="619DC4CC" w14:textId="77777777" w:rsidR="008E085D" w:rsidRDefault="008E085D" w:rsidP="00C52E7E">
      <w:pPr>
        <w:widowControl/>
      </w:pPr>
    </w:p>
    <w:p w14:paraId="5142CFB7" w14:textId="78934210" w:rsidR="008E085D" w:rsidRDefault="008E085D" w:rsidP="00C52E7E">
      <w:pPr>
        <w:pStyle w:val="Graf"/>
        <w:keepNext w:val="0"/>
        <w:widowControl/>
        <w:numPr>
          <w:ilvl w:val="0"/>
          <w:numId w:val="14"/>
        </w:numPr>
        <w:ind w:left="993" w:hanging="993"/>
        <w:jc w:val="left"/>
      </w:pPr>
      <w:r w:rsidRPr="003271F0">
        <w:t>P</w:t>
      </w:r>
      <w:r>
        <w:t>očet zubních</w:t>
      </w:r>
      <w:r w:rsidRPr="003271F0">
        <w:t xml:space="preserve"> lékař</w:t>
      </w:r>
      <w:r>
        <w:t>ů</w:t>
      </w:r>
      <w:r w:rsidRPr="003271F0">
        <w:t xml:space="preserve"> podle věku</w:t>
      </w:r>
      <w:r>
        <w:t xml:space="preserve"> v </w:t>
      </w:r>
      <w:r w:rsidRPr="00D55E20">
        <w:rPr>
          <w:i/>
        </w:rPr>
        <w:t>Národním registru zdravotnických pracovníků</w:t>
      </w:r>
      <w:r>
        <w:t xml:space="preserve"> (k 1. 6. 2019)</w:t>
      </w:r>
    </w:p>
    <w:p w14:paraId="0B277BB9" w14:textId="77777777" w:rsidR="008E085D" w:rsidRDefault="008E085D" w:rsidP="00C52E7E">
      <w:pPr>
        <w:widowControl/>
      </w:pPr>
      <w:r>
        <w:rPr>
          <w:noProof/>
        </w:rPr>
        <w:drawing>
          <wp:inline distT="0" distB="0" distL="0" distR="0" wp14:anchorId="24DAB0B1" wp14:editId="1644608F">
            <wp:extent cx="5695950" cy="2114550"/>
            <wp:effectExtent l="0" t="0" r="0" b="0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04C20C54" w14:textId="0F2DC9E7" w:rsidR="008E085D" w:rsidRDefault="008E085D" w:rsidP="003417FB">
      <w:pPr>
        <w:pStyle w:val="Poznmka"/>
      </w:pPr>
      <w:r w:rsidRPr="00F418B6">
        <w:rPr>
          <w:b/>
        </w:rPr>
        <w:t>Zdroj:</w:t>
      </w:r>
      <w:r>
        <w:tab/>
      </w:r>
      <w:r w:rsidR="00113A88">
        <w:t>m</w:t>
      </w:r>
      <w:r>
        <w:t xml:space="preserve">ateriály </w:t>
      </w:r>
      <w:proofErr w:type="spellStart"/>
      <w:r>
        <w:t>MZd</w:t>
      </w:r>
      <w:proofErr w:type="spellEnd"/>
      <w:r>
        <w:t xml:space="preserve"> (zpracováno ÚZIS).</w:t>
      </w:r>
    </w:p>
    <w:p w14:paraId="235F94C3" w14:textId="1A028751" w:rsidR="008E085D" w:rsidRDefault="008E085D" w:rsidP="00C52E7E">
      <w:pPr>
        <w:widowControl/>
      </w:pPr>
    </w:p>
    <w:p w14:paraId="413020B6" w14:textId="5A25269B" w:rsidR="008E085D" w:rsidRDefault="008E085D" w:rsidP="00C52E7E">
      <w:pPr>
        <w:pStyle w:val="Graf"/>
        <w:keepNext w:val="0"/>
        <w:widowControl/>
        <w:numPr>
          <w:ilvl w:val="0"/>
          <w:numId w:val="14"/>
        </w:numPr>
        <w:ind w:left="993" w:hanging="993"/>
        <w:jc w:val="left"/>
      </w:pPr>
      <w:r w:rsidRPr="003271F0">
        <w:t>P</w:t>
      </w:r>
      <w:r w:rsidR="00075FD8">
        <w:t xml:space="preserve">očet nelékařských zdravotnických pracovníků </w:t>
      </w:r>
      <w:r w:rsidRPr="003271F0">
        <w:t>podle věku</w:t>
      </w:r>
      <w:r>
        <w:t xml:space="preserve"> v </w:t>
      </w:r>
      <w:r w:rsidRPr="00D55E20">
        <w:rPr>
          <w:i/>
        </w:rPr>
        <w:t>Národním registru zdravotnických pracovníků</w:t>
      </w:r>
      <w:r>
        <w:t xml:space="preserve"> (k 1. 6. 2019)</w:t>
      </w:r>
    </w:p>
    <w:p w14:paraId="6E63AAC0" w14:textId="77777777" w:rsidR="008E085D" w:rsidRDefault="008E085D" w:rsidP="00C52E7E">
      <w:pPr>
        <w:widowControl/>
      </w:pPr>
      <w:r>
        <w:rPr>
          <w:noProof/>
        </w:rPr>
        <w:drawing>
          <wp:inline distT="0" distB="0" distL="0" distR="0" wp14:anchorId="79AC99DF" wp14:editId="5839010D">
            <wp:extent cx="5772150" cy="2181225"/>
            <wp:effectExtent l="0" t="0" r="0" b="0"/>
            <wp:docPr id="11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31F505D0" w14:textId="1872A979" w:rsidR="003271F0" w:rsidRDefault="008E085D" w:rsidP="003417FB">
      <w:pPr>
        <w:pStyle w:val="Poznmka"/>
      </w:pPr>
      <w:r w:rsidRPr="00F418B6">
        <w:rPr>
          <w:b/>
        </w:rPr>
        <w:t>Zdroj:</w:t>
      </w:r>
      <w:r>
        <w:tab/>
      </w:r>
      <w:r w:rsidR="00113A88">
        <w:t>m</w:t>
      </w:r>
      <w:r>
        <w:t xml:space="preserve">ateriály </w:t>
      </w:r>
      <w:proofErr w:type="spellStart"/>
      <w:r>
        <w:t>MZd</w:t>
      </w:r>
      <w:proofErr w:type="spellEnd"/>
      <w:r>
        <w:t xml:space="preserve"> (zpracováno ÚZIS).</w:t>
      </w:r>
    </w:p>
    <w:p w14:paraId="2D1805D0" w14:textId="77777777" w:rsidR="005A18D4" w:rsidRDefault="005A18D4" w:rsidP="00C52E7E">
      <w:pPr>
        <w:widowControl/>
      </w:pPr>
    </w:p>
    <w:p w14:paraId="25E611DE" w14:textId="18EFCCFE" w:rsidR="001C2518" w:rsidRPr="005A18D4" w:rsidRDefault="001C2518" w:rsidP="00D55E20">
      <w:pPr>
        <w:pStyle w:val="Nadpis3"/>
        <w:widowControl/>
        <w:numPr>
          <w:ilvl w:val="0"/>
          <w:numId w:val="12"/>
        </w:numPr>
        <w:ind w:left="425" w:hanging="357"/>
        <w:rPr>
          <w:u w:val="single"/>
        </w:rPr>
      </w:pPr>
      <w:r w:rsidRPr="005A18D4">
        <w:rPr>
          <w:u w:val="single"/>
        </w:rPr>
        <w:t>Odměňování lékařů</w:t>
      </w:r>
      <w:r w:rsidR="00D7099D">
        <w:rPr>
          <w:u w:val="single"/>
        </w:rPr>
        <w:t xml:space="preserve"> a </w:t>
      </w:r>
      <w:r w:rsidR="00113A88">
        <w:rPr>
          <w:u w:val="single"/>
        </w:rPr>
        <w:t xml:space="preserve">zdravotních </w:t>
      </w:r>
      <w:r w:rsidR="00D7099D">
        <w:rPr>
          <w:u w:val="single"/>
        </w:rPr>
        <w:t>sester</w:t>
      </w:r>
      <w:r w:rsidRPr="005A18D4">
        <w:rPr>
          <w:u w:val="single"/>
        </w:rPr>
        <w:t xml:space="preserve"> v segmentu lůžkové péče</w:t>
      </w:r>
    </w:p>
    <w:p w14:paraId="737569A2" w14:textId="6601D02E" w:rsidR="00331C42" w:rsidRPr="00C338FF" w:rsidRDefault="00C338FF" w:rsidP="00C52E7E">
      <w:pPr>
        <w:pStyle w:val="Graf"/>
        <w:keepNext w:val="0"/>
        <w:widowControl/>
        <w:numPr>
          <w:ilvl w:val="0"/>
          <w:numId w:val="14"/>
        </w:numPr>
        <w:ind w:left="993" w:hanging="993"/>
        <w:jc w:val="left"/>
      </w:pPr>
      <w:r w:rsidRPr="00C338FF">
        <w:t xml:space="preserve">Vývoj odměňování lékařů </w:t>
      </w:r>
      <w:r>
        <w:t>(v Kč)</w:t>
      </w:r>
    </w:p>
    <w:p w14:paraId="758B870C" w14:textId="5F701FD0" w:rsidR="00C338FF" w:rsidRDefault="00FD7C67" w:rsidP="00C52E7E">
      <w:pPr>
        <w:widowControl/>
      </w:pPr>
      <w:r w:rsidRPr="00F6702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5D26E" wp14:editId="1DEA24EB">
                <wp:simplePos x="0" y="0"/>
                <wp:positionH relativeFrom="column">
                  <wp:posOffset>757555</wp:posOffset>
                </wp:positionH>
                <wp:positionV relativeFrom="paragraph">
                  <wp:posOffset>398780</wp:posOffset>
                </wp:positionV>
                <wp:extent cx="1960880" cy="409575"/>
                <wp:effectExtent l="0" t="0" r="1270" b="9525"/>
                <wp:wrapNone/>
                <wp:docPr id="10" name="Textové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0880" cy="40957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</wps:spPr>
                      <wps:txbx>
                        <w:txbxContent>
                          <w:p w14:paraId="468DD56B" w14:textId="1A7D66D2" w:rsidR="00197B8E" w:rsidRPr="00F6702D" w:rsidRDefault="00197B8E" w:rsidP="00F6702D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6702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2014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→</w:t>
                            </w:r>
                            <w:r w:rsidRPr="00F6702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2018: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702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+19 500 Kč; +32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702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14:paraId="367F76FB" w14:textId="3DB824C5" w:rsidR="00197B8E" w:rsidRPr="00F6702D" w:rsidRDefault="00197B8E" w:rsidP="00F6702D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6702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2016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→</w:t>
                            </w:r>
                            <w:r w:rsidRPr="00F6702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2019: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702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+16 900 Kč; +25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702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5D26E" id="TextovéPole 7" o:spid="_x0000_s1028" type="#_x0000_t202" style="position:absolute;left:0;text-align:left;margin-left:59.65pt;margin-top:31.4pt;width:154.4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" fillcolor="gray" stroked="f">
                <v:textbox>
                  <w:txbxContent>
                    <w:p w14:paraId="468DD56B" w14:textId="1A7D66D2" w:rsidR="00197B8E" w:rsidRPr="00F6702D" w:rsidRDefault="00197B8E" w:rsidP="00F6702D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6702D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2014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→</w:t>
                      </w:r>
                      <w:r w:rsidRPr="00F6702D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2018: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F6702D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+19 500 Kč; +32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F6702D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%</w:t>
                      </w:r>
                    </w:p>
                    <w:p w14:paraId="367F76FB" w14:textId="3DB824C5" w:rsidR="00197B8E" w:rsidRPr="00F6702D" w:rsidRDefault="00197B8E" w:rsidP="00F6702D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6702D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2016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→</w:t>
                      </w:r>
                      <w:r w:rsidRPr="00F6702D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2019: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F6702D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+16 900 Kč; +25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F6702D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C338FF">
        <w:rPr>
          <w:noProof/>
        </w:rPr>
        <w:drawing>
          <wp:inline distT="0" distB="0" distL="0" distR="0" wp14:anchorId="2CC3FFD9" wp14:editId="3A971301">
            <wp:extent cx="5734050" cy="3067050"/>
            <wp:effectExtent l="0" t="0" r="0" b="0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6D74C85E" w14:textId="099E1BBB" w:rsidR="0028126B" w:rsidRPr="0028126B" w:rsidRDefault="00C338FF" w:rsidP="003417FB">
      <w:pPr>
        <w:pStyle w:val="Poznmka"/>
      </w:pPr>
      <w:r w:rsidRPr="00F418B6">
        <w:rPr>
          <w:b/>
        </w:rPr>
        <w:t>Zdroj:</w:t>
      </w:r>
      <w:r>
        <w:tab/>
      </w:r>
      <w:r w:rsidR="00113A88">
        <w:t>m</w:t>
      </w:r>
      <w:r>
        <w:t xml:space="preserve">ateriály </w:t>
      </w:r>
      <w:proofErr w:type="spellStart"/>
      <w:r>
        <w:t>MZd</w:t>
      </w:r>
      <w:proofErr w:type="spellEnd"/>
      <w:r>
        <w:t xml:space="preserve"> (zpracováno ÚZIS)</w:t>
      </w:r>
      <w:bookmarkStart w:id="0" w:name="_Ref30079321"/>
      <w:r w:rsidR="0028126B">
        <w:rPr>
          <w:rStyle w:val="Znakapoznpodarou"/>
        </w:rPr>
        <w:footnoteReference w:id="23"/>
      </w:r>
      <w:bookmarkEnd w:id="0"/>
      <w:r w:rsidR="0028126B">
        <w:t>.</w:t>
      </w:r>
    </w:p>
    <w:p w14:paraId="16AF5AE0" w14:textId="4CCF8CF8" w:rsidR="00C338FF" w:rsidRDefault="00D84F64" w:rsidP="00D55E20">
      <w:pPr>
        <w:pStyle w:val="Poznmka"/>
      </w:pPr>
      <w:r>
        <w:rPr>
          <w:b/>
        </w:rPr>
        <w:t>*</w:t>
      </w:r>
      <w:r w:rsidR="00C338FF" w:rsidRPr="00D84F64">
        <w:tab/>
      </w:r>
      <w:r w:rsidRPr="00D84F64">
        <w:t>Pravděpodobnostní model výše odměn za celý rok založen</w:t>
      </w:r>
      <w:r w:rsidR="00223C57">
        <w:t>ý</w:t>
      </w:r>
      <w:r w:rsidRPr="00D84F64">
        <w:t xml:space="preserve"> na datech za 1. čtvrtletí </w:t>
      </w:r>
      <w:r w:rsidR="00113A88">
        <w:t xml:space="preserve">roku </w:t>
      </w:r>
      <w:r w:rsidRPr="00D84F64">
        <w:t>2019</w:t>
      </w:r>
      <w:r>
        <w:t>.</w:t>
      </w:r>
    </w:p>
    <w:p w14:paraId="2A1B1F3C" w14:textId="77777777" w:rsidR="003271F0" w:rsidRDefault="003271F0" w:rsidP="00C52E7E">
      <w:pPr>
        <w:widowControl/>
      </w:pPr>
    </w:p>
    <w:p w14:paraId="5CA7A583" w14:textId="30EF594E" w:rsidR="00F6702D" w:rsidRDefault="00F6702D" w:rsidP="00C52E7E">
      <w:pPr>
        <w:pStyle w:val="Graf"/>
        <w:keepNext w:val="0"/>
        <w:widowControl/>
        <w:numPr>
          <w:ilvl w:val="0"/>
          <w:numId w:val="14"/>
        </w:numPr>
        <w:ind w:left="993" w:hanging="993"/>
        <w:jc w:val="left"/>
      </w:pPr>
      <w:r>
        <w:t>Odměňování lékařů</w:t>
      </w:r>
      <w:r w:rsidR="00EA4E59">
        <w:t xml:space="preserve"> – </w:t>
      </w:r>
      <w:r w:rsidRPr="00F6702D">
        <w:t>srovnání s průměrnou mzdou v</w:t>
      </w:r>
      <w:r w:rsidR="001C2518">
        <w:t> </w:t>
      </w:r>
      <w:r w:rsidRPr="00F6702D">
        <w:t>ČR</w:t>
      </w:r>
      <w:r w:rsidR="001C2518">
        <w:t xml:space="preserve"> (v Kč)</w:t>
      </w:r>
    </w:p>
    <w:p w14:paraId="5780A256" w14:textId="31916E67" w:rsidR="00F6702D" w:rsidRDefault="006343FB" w:rsidP="00C52E7E">
      <w:pPr>
        <w:widowControl/>
      </w:pPr>
      <w:r>
        <w:rPr>
          <w:noProof/>
        </w:rPr>
        <w:drawing>
          <wp:inline distT="0" distB="0" distL="0" distR="0" wp14:anchorId="3345385D" wp14:editId="50C0D9B7">
            <wp:extent cx="5734050" cy="2914650"/>
            <wp:effectExtent l="0" t="0" r="0" b="0"/>
            <wp:docPr id="15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52339AA2" w14:textId="1789962F" w:rsidR="00FD7C67" w:rsidRDefault="00FD7C67" w:rsidP="003417FB">
      <w:pPr>
        <w:pStyle w:val="Poznmka"/>
      </w:pPr>
      <w:r w:rsidRPr="00F418B6">
        <w:rPr>
          <w:b/>
        </w:rPr>
        <w:t>Zdroj:</w:t>
      </w:r>
      <w:r>
        <w:tab/>
      </w:r>
      <w:r w:rsidR="00113A88">
        <w:t>m</w:t>
      </w:r>
      <w:r>
        <w:t xml:space="preserve">ateriály </w:t>
      </w:r>
      <w:proofErr w:type="spellStart"/>
      <w:r>
        <w:t>MZd</w:t>
      </w:r>
      <w:proofErr w:type="spellEnd"/>
      <w:r>
        <w:t xml:space="preserve"> (zpracováno ÚZIS)</w:t>
      </w:r>
      <w:r w:rsidR="005A18D4">
        <w:fldChar w:fldCharType="begin"/>
      </w:r>
      <w:r w:rsidR="005A18D4">
        <w:instrText xml:space="preserve"> NOTEREF _Ref30079321 \f \h </w:instrText>
      </w:r>
      <w:r w:rsidR="005A18D4">
        <w:fldChar w:fldCharType="separate"/>
      </w:r>
      <w:r w:rsidR="003E76A3" w:rsidRPr="003E76A3">
        <w:rPr>
          <w:rStyle w:val="Znakapoznpodarou"/>
        </w:rPr>
        <w:t>23</w:t>
      </w:r>
      <w:r w:rsidR="005A18D4">
        <w:fldChar w:fldCharType="end"/>
      </w:r>
      <w:r>
        <w:t>.</w:t>
      </w:r>
    </w:p>
    <w:p w14:paraId="587A5DA2" w14:textId="2E72C11F" w:rsidR="00F6702D" w:rsidRDefault="00F6702D" w:rsidP="00C52E7E">
      <w:pPr>
        <w:widowControl/>
      </w:pPr>
    </w:p>
    <w:p w14:paraId="4B0E4AAC" w14:textId="267671A4" w:rsidR="00C338FF" w:rsidRDefault="00C338FF" w:rsidP="00D55E20">
      <w:pPr>
        <w:pStyle w:val="Graf"/>
        <w:widowControl/>
        <w:numPr>
          <w:ilvl w:val="0"/>
          <w:numId w:val="14"/>
        </w:numPr>
        <w:ind w:left="992" w:hanging="992"/>
      </w:pPr>
      <w:r>
        <w:t>Vývoj o</w:t>
      </w:r>
      <w:r w:rsidRPr="00C338FF">
        <w:t xml:space="preserve">dměňování </w:t>
      </w:r>
      <w:r w:rsidR="00113A88">
        <w:t xml:space="preserve">zdravotních </w:t>
      </w:r>
      <w:r>
        <w:t xml:space="preserve">sester </w:t>
      </w:r>
      <w:r w:rsidR="00113A88">
        <w:t xml:space="preserve">v segmentu </w:t>
      </w:r>
      <w:r w:rsidRPr="00C338FF">
        <w:t>lůžkové péče</w:t>
      </w:r>
      <w:r w:rsidR="00FD7C67">
        <w:t xml:space="preserve"> (v Kč)</w:t>
      </w:r>
    </w:p>
    <w:p w14:paraId="701730DD" w14:textId="6B815D61" w:rsidR="00C338FF" w:rsidRDefault="00FD7C67" w:rsidP="00C52E7E">
      <w:pPr>
        <w:widowControl/>
      </w:pPr>
      <w:r w:rsidRPr="00F6702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11632" wp14:editId="116D1ED8">
                <wp:simplePos x="0" y="0"/>
                <wp:positionH relativeFrom="column">
                  <wp:posOffset>757555</wp:posOffset>
                </wp:positionH>
                <wp:positionV relativeFrom="paragraph">
                  <wp:posOffset>409575</wp:posOffset>
                </wp:positionV>
                <wp:extent cx="1960880" cy="409575"/>
                <wp:effectExtent l="0" t="0" r="1270" b="9525"/>
                <wp:wrapNone/>
                <wp:docPr id="14" name="Textové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0880" cy="40957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</wps:spPr>
                      <wps:txbx>
                        <w:txbxContent>
                          <w:p w14:paraId="1BC7D3A5" w14:textId="6AB0860D" w:rsidR="00197B8E" w:rsidRPr="00F6702D" w:rsidRDefault="00197B8E" w:rsidP="00FD7C6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6702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2014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→</w:t>
                            </w:r>
                            <w:r w:rsidRPr="00F6702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2018: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702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+1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 w:rsidRPr="00F6702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0</w:t>
                            </w:r>
                            <w:r w:rsidRPr="00F6702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00 Kč; +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41 </w:t>
                            </w:r>
                            <w:r w:rsidRPr="00F6702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14:paraId="5C0F1850" w14:textId="12DD990A" w:rsidR="00197B8E" w:rsidRPr="00F6702D" w:rsidRDefault="00197B8E" w:rsidP="00FD7C6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6702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2016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→</w:t>
                            </w:r>
                            <w:r w:rsidRPr="00F6702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2019: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702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+1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 w:rsidRPr="00F6702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  <w:r w:rsidRPr="00F6702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00 Kč; +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39 </w:t>
                            </w:r>
                            <w:r w:rsidRPr="00F6702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11632" id="_x0000_s1029" type="#_x0000_t202" style="position:absolute;left:0;text-align:left;margin-left:59.65pt;margin-top:32.25pt;width:154.4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" fillcolor="gray" stroked="f">
                <v:textbox>
                  <w:txbxContent>
                    <w:p w14:paraId="1BC7D3A5" w14:textId="6AB0860D" w:rsidR="00197B8E" w:rsidRPr="00F6702D" w:rsidRDefault="00197B8E" w:rsidP="00FD7C6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6702D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2014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→</w:t>
                      </w:r>
                      <w:r w:rsidRPr="00F6702D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2018: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F6702D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+1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2</w:t>
                      </w:r>
                      <w:r w:rsidRPr="00F6702D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0</w:t>
                      </w:r>
                      <w:r w:rsidRPr="00F6702D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00 Kč; +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41 </w:t>
                      </w:r>
                      <w:r w:rsidRPr="00F6702D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%</w:t>
                      </w:r>
                    </w:p>
                    <w:p w14:paraId="5C0F1850" w14:textId="12DD990A" w:rsidR="00197B8E" w:rsidRPr="00F6702D" w:rsidRDefault="00197B8E" w:rsidP="00FD7C6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6702D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2016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→</w:t>
                      </w:r>
                      <w:r w:rsidRPr="00F6702D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2019: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F6702D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+1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2</w:t>
                      </w:r>
                      <w:r w:rsidRPr="00F6702D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1</w:t>
                      </w:r>
                      <w:r w:rsidRPr="00F6702D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00 Kč; +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39 </w:t>
                      </w:r>
                      <w:r w:rsidRPr="00F6702D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6B586DC" wp14:editId="22450462">
            <wp:extent cx="5734050" cy="3048000"/>
            <wp:effectExtent l="0" t="0" r="0" b="0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6E0CC460" w14:textId="13A1ED1D" w:rsidR="00FD7C67" w:rsidRDefault="00FD7C67" w:rsidP="003417FB">
      <w:pPr>
        <w:pStyle w:val="Poznmka"/>
      </w:pPr>
      <w:r w:rsidRPr="00F418B6">
        <w:rPr>
          <w:b/>
        </w:rPr>
        <w:t>Zdroj:</w:t>
      </w:r>
      <w:r>
        <w:tab/>
      </w:r>
      <w:r w:rsidR="00113A88">
        <w:t>m</w:t>
      </w:r>
      <w:r>
        <w:t xml:space="preserve">ateriály </w:t>
      </w:r>
      <w:proofErr w:type="spellStart"/>
      <w:r>
        <w:t>MZd</w:t>
      </w:r>
      <w:proofErr w:type="spellEnd"/>
      <w:r>
        <w:t xml:space="preserve"> (zpracováno ÚZIS)</w:t>
      </w:r>
      <w:r w:rsidR="005A18D4">
        <w:fldChar w:fldCharType="begin"/>
      </w:r>
      <w:r w:rsidR="005A18D4">
        <w:instrText xml:space="preserve"> NOTEREF _Ref30079321 \f \h </w:instrText>
      </w:r>
      <w:r w:rsidR="005A18D4">
        <w:fldChar w:fldCharType="separate"/>
      </w:r>
      <w:r w:rsidR="003E76A3" w:rsidRPr="003E76A3">
        <w:rPr>
          <w:rStyle w:val="Znakapoznpodarou"/>
        </w:rPr>
        <w:t>23</w:t>
      </w:r>
      <w:r w:rsidR="005A18D4">
        <w:fldChar w:fldCharType="end"/>
      </w:r>
      <w:r>
        <w:t>.</w:t>
      </w:r>
    </w:p>
    <w:p w14:paraId="3FE1D9A5" w14:textId="54C3D194" w:rsidR="00D84F64" w:rsidRDefault="00D84F64" w:rsidP="00D55E20">
      <w:pPr>
        <w:pStyle w:val="Poznmka"/>
      </w:pPr>
      <w:r>
        <w:rPr>
          <w:b/>
        </w:rPr>
        <w:t>*</w:t>
      </w:r>
      <w:r w:rsidRPr="00D84F64">
        <w:tab/>
        <w:t>Pravděpodobnostní model výše odměn za c</w:t>
      </w:r>
      <w:r w:rsidR="00223C57">
        <w:t>elý rok založený</w:t>
      </w:r>
      <w:r w:rsidRPr="00D84F64">
        <w:t xml:space="preserve"> na datech za 1. čtvrtletí </w:t>
      </w:r>
      <w:r w:rsidR="00113A88">
        <w:t xml:space="preserve">roku </w:t>
      </w:r>
      <w:r w:rsidRPr="00D84F64">
        <w:t>2019</w:t>
      </w:r>
      <w:r>
        <w:t>.</w:t>
      </w:r>
    </w:p>
    <w:p w14:paraId="651BBDEA" w14:textId="0F8A622D" w:rsidR="00331C42" w:rsidRDefault="00331C42" w:rsidP="00C52E7E">
      <w:pPr>
        <w:widowControl/>
      </w:pPr>
    </w:p>
    <w:p w14:paraId="12839765" w14:textId="3760BCF5" w:rsidR="00F6702D" w:rsidRDefault="00F6702D" w:rsidP="00C52E7E">
      <w:pPr>
        <w:pStyle w:val="Graf"/>
        <w:keepNext w:val="0"/>
        <w:widowControl/>
        <w:numPr>
          <w:ilvl w:val="0"/>
          <w:numId w:val="14"/>
        </w:numPr>
        <w:ind w:left="993" w:hanging="993"/>
      </w:pPr>
      <w:r>
        <w:t xml:space="preserve">Odměňování </w:t>
      </w:r>
      <w:r w:rsidR="00113A88">
        <w:t xml:space="preserve">zdravotních </w:t>
      </w:r>
      <w:r>
        <w:t>sester</w:t>
      </w:r>
      <w:r w:rsidR="00EA4E59">
        <w:t xml:space="preserve"> –</w:t>
      </w:r>
      <w:r>
        <w:t xml:space="preserve"> </w:t>
      </w:r>
      <w:r w:rsidRPr="00F6702D">
        <w:t>srovnání s průměrnou mzdou v</w:t>
      </w:r>
      <w:r w:rsidR="007B7B34">
        <w:t> </w:t>
      </w:r>
      <w:r w:rsidRPr="00F6702D">
        <w:t>ČR</w:t>
      </w:r>
      <w:r w:rsidR="007B7B34">
        <w:t xml:space="preserve"> (v Kč)</w:t>
      </w:r>
    </w:p>
    <w:p w14:paraId="2C02229B" w14:textId="7AE2E482" w:rsidR="00331C42" w:rsidRDefault="00502F78" w:rsidP="00C52E7E">
      <w:pPr>
        <w:widowControl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33F126" wp14:editId="4CC5FB1E">
                <wp:simplePos x="0" y="0"/>
                <wp:positionH relativeFrom="column">
                  <wp:posOffset>519430</wp:posOffset>
                </wp:positionH>
                <wp:positionV relativeFrom="paragraph">
                  <wp:posOffset>2127885</wp:posOffset>
                </wp:positionV>
                <wp:extent cx="5057775" cy="190500"/>
                <wp:effectExtent l="0" t="0" r="9525" b="0"/>
                <wp:wrapNone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190500"/>
                        </a:xfrm>
                        <a:prstGeom prst="rect">
                          <a:avLst/>
                        </a:prstGeom>
                        <a:solidFill>
                          <a:srgbClr val="808080">
                            <a:alpha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17B05" w14:textId="4ECAC803" w:rsidR="00197B8E" w:rsidRPr="00B13B7F" w:rsidRDefault="00197B8E" w:rsidP="00B13B7F">
                            <w:pPr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B13B7F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109 %</w:t>
                            </w:r>
                            <w:r w:rsidRPr="00B13B7F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ab/>
                              <w:t>108 %</w:t>
                            </w:r>
                            <w:r w:rsidRPr="00B13B7F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ab/>
                              <w:t>108 %</w:t>
                            </w:r>
                            <w:r w:rsidRPr="00B13B7F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ab/>
                              <w:t>106 %</w:t>
                            </w:r>
                            <w:r w:rsidRPr="00B13B7F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ab/>
                              <w:t>106 %</w:t>
                            </w:r>
                            <w:r w:rsidRPr="00B13B7F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ab/>
                              <w:t>108 %</w:t>
                            </w:r>
                            <w:r w:rsidRPr="00B13B7F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ab/>
                              <w:t>110 %</w:t>
                            </w:r>
                            <w:r w:rsidRPr="00B13B7F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ab/>
                              <w:t>116 %</w:t>
                            </w:r>
                            <w:r w:rsidRPr="00B13B7F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ab/>
                              <w:t>121 %</w:t>
                            </w:r>
                          </w:p>
                        </w:txbxContent>
                      </wps:txbx>
                      <wps:bodyPr rot="0" vert="horz" wrap="square" lIns="115200" tIns="0" rIns="72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3F126" id="_x0000_s1030" type="#_x0000_t202" style="position:absolute;left:0;text-align:left;margin-left:40.9pt;margin-top:167.55pt;width:398.25pt;height: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" fillcolor="gray" stroked="f">
                <v:fill opacity="39321f"/>
                <v:textbox inset="3.2mm,0,2mm,0">
                  <w:txbxContent>
                    <w:p w14:paraId="62517B05" w14:textId="4ECAC803" w:rsidR="00197B8E" w:rsidRPr="00B13B7F" w:rsidRDefault="00197B8E" w:rsidP="00B13B7F">
                      <w:pPr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 w:rsidRPr="00B13B7F">
                        <w:rPr>
                          <w:b/>
                          <w:color w:val="FFFFFF" w:themeColor="background1"/>
                          <w:sz w:val="20"/>
                        </w:rPr>
                        <w:t>109 %</w:t>
                      </w:r>
                      <w:r w:rsidRPr="00B13B7F">
                        <w:rPr>
                          <w:b/>
                          <w:color w:val="FFFFFF" w:themeColor="background1"/>
                          <w:sz w:val="20"/>
                        </w:rPr>
                        <w:tab/>
                        <w:t>108 %</w:t>
                      </w:r>
                      <w:r w:rsidRPr="00B13B7F">
                        <w:rPr>
                          <w:b/>
                          <w:color w:val="FFFFFF" w:themeColor="background1"/>
                          <w:sz w:val="20"/>
                        </w:rPr>
                        <w:tab/>
                        <w:t>108 %</w:t>
                      </w:r>
                      <w:r w:rsidRPr="00B13B7F">
                        <w:rPr>
                          <w:b/>
                          <w:color w:val="FFFFFF" w:themeColor="background1"/>
                          <w:sz w:val="20"/>
                        </w:rPr>
                        <w:tab/>
                        <w:t>106 %</w:t>
                      </w:r>
                      <w:r w:rsidRPr="00B13B7F">
                        <w:rPr>
                          <w:b/>
                          <w:color w:val="FFFFFF" w:themeColor="background1"/>
                          <w:sz w:val="20"/>
                        </w:rPr>
                        <w:tab/>
                        <w:t>106 %</w:t>
                      </w:r>
                      <w:r w:rsidRPr="00B13B7F">
                        <w:rPr>
                          <w:b/>
                          <w:color w:val="FFFFFF" w:themeColor="background1"/>
                          <w:sz w:val="20"/>
                        </w:rPr>
                        <w:tab/>
                        <w:t>108 %</w:t>
                      </w:r>
                      <w:r w:rsidRPr="00B13B7F">
                        <w:rPr>
                          <w:b/>
                          <w:color w:val="FFFFFF" w:themeColor="background1"/>
                          <w:sz w:val="20"/>
                        </w:rPr>
                        <w:tab/>
                        <w:t>110 %</w:t>
                      </w:r>
                      <w:r w:rsidRPr="00B13B7F">
                        <w:rPr>
                          <w:b/>
                          <w:color w:val="FFFFFF" w:themeColor="background1"/>
                          <w:sz w:val="20"/>
                        </w:rPr>
                        <w:tab/>
                        <w:t>116 %</w:t>
                      </w:r>
                      <w:r w:rsidRPr="00B13B7F">
                        <w:rPr>
                          <w:b/>
                          <w:color w:val="FFFFFF" w:themeColor="background1"/>
                          <w:sz w:val="20"/>
                        </w:rPr>
                        <w:tab/>
                        <w:t>121 %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608876A" wp14:editId="623F8DBB">
            <wp:extent cx="5734050" cy="2914650"/>
            <wp:effectExtent l="0" t="0" r="0" b="0"/>
            <wp:docPr id="18" name="Graf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792C6AE5" w14:textId="40C3DA08" w:rsidR="00FD7C67" w:rsidRDefault="00FD7C67" w:rsidP="003417FB">
      <w:pPr>
        <w:pStyle w:val="Poznmka"/>
      </w:pPr>
      <w:r w:rsidRPr="00F418B6">
        <w:rPr>
          <w:b/>
        </w:rPr>
        <w:t>Zdroj:</w:t>
      </w:r>
      <w:r>
        <w:tab/>
      </w:r>
      <w:r w:rsidR="003D441D">
        <w:t>m</w:t>
      </w:r>
      <w:r>
        <w:t xml:space="preserve">ateriály </w:t>
      </w:r>
      <w:proofErr w:type="spellStart"/>
      <w:r>
        <w:t>MZd</w:t>
      </w:r>
      <w:proofErr w:type="spellEnd"/>
      <w:r>
        <w:t xml:space="preserve"> (zpracováno ÚZIS)</w:t>
      </w:r>
      <w:r w:rsidR="005A18D4">
        <w:fldChar w:fldCharType="begin"/>
      </w:r>
      <w:r w:rsidR="005A18D4">
        <w:instrText xml:space="preserve"> NOTEREF _Ref30079321 \f \h </w:instrText>
      </w:r>
      <w:r w:rsidR="005A18D4">
        <w:fldChar w:fldCharType="separate"/>
      </w:r>
      <w:r w:rsidR="003E76A3" w:rsidRPr="003E76A3">
        <w:rPr>
          <w:rStyle w:val="Znakapoznpodarou"/>
        </w:rPr>
        <w:t>23</w:t>
      </w:r>
      <w:r w:rsidR="005A18D4">
        <w:fldChar w:fldCharType="end"/>
      </w:r>
      <w:r>
        <w:t>.</w:t>
      </w:r>
    </w:p>
    <w:p w14:paraId="725CA5A8" w14:textId="506EBD16" w:rsidR="00FD7C67" w:rsidRDefault="00FD7C67" w:rsidP="00C52E7E">
      <w:pPr>
        <w:widowControl/>
      </w:pPr>
      <w:bookmarkStart w:id="1" w:name="_GoBack"/>
      <w:bookmarkEnd w:id="1"/>
    </w:p>
    <w:sectPr w:rsidR="00FD7C67" w:rsidSect="000B6982">
      <w:pgSz w:w="11909" w:h="16838" w:code="9"/>
      <w:pgMar w:top="1417" w:right="1417" w:bottom="1417" w:left="1417" w:header="709" w:footer="709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E0FAF" w14:textId="77777777" w:rsidR="00197B8E" w:rsidRDefault="00197B8E">
      <w:r>
        <w:separator/>
      </w:r>
    </w:p>
  </w:endnote>
  <w:endnote w:type="continuationSeparator" w:id="0">
    <w:p w14:paraId="4222ABB2" w14:textId="77777777" w:rsidR="00197B8E" w:rsidRDefault="0019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94FB7" w14:textId="77777777" w:rsidR="00A12CC5" w:rsidRDefault="00A12C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1825846"/>
      <w:docPartObj>
        <w:docPartGallery w:val="Page Numbers (Bottom of Page)"/>
        <w:docPartUnique/>
      </w:docPartObj>
    </w:sdtPr>
    <w:sdtEndPr/>
    <w:sdtContent>
      <w:p w14:paraId="6EBF6C39" w14:textId="4F03E2E8" w:rsidR="00197B8E" w:rsidRDefault="00197B8E" w:rsidP="0093472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6A3">
          <w:rPr>
            <w:noProof/>
          </w:rPr>
          <w:t>24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D4903" w14:textId="77777777" w:rsidR="00A12CC5" w:rsidRDefault="00A12C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CCAAB" w14:textId="77777777" w:rsidR="00197B8E" w:rsidRDefault="00197B8E" w:rsidP="00FE5C8F">
      <w:r>
        <w:separator/>
      </w:r>
    </w:p>
  </w:footnote>
  <w:footnote w:type="continuationSeparator" w:id="0">
    <w:p w14:paraId="66BDED2B" w14:textId="77777777" w:rsidR="00197B8E" w:rsidRDefault="00197B8E" w:rsidP="00FE5C8F">
      <w:r>
        <w:continuationSeparator/>
      </w:r>
    </w:p>
  </w:footnote>
  <w:footnote w:id="1">
    <w:p w14:paraId="0550A7BD" w14:textId="7CB6F1E7" w:rsidR="00197B8E" w:rsidRPr="001247C0" w:rsidRDefault="00197B8E" w:rsidP="001247C0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Výdaje zahrnuté</w:t>
      </w:r>
      <w:r w:rsidRPr="001247C0">
        <w:t xml:space="preserve"> pod paragrafem 3592 části C</w:t>
      </w:r>
      <w:r>
        <w:t xml:space="preserve">. </w:t>
      </w:r>
      <w:r w:rsidRPr="000B6982">
        <w:rPr>
          <w:i/>
        </w:rPr>
        <w:t>Odvětvové třídění rozpočtové skladby</w:t>
      </w:r>
      <w:r w:rsidRPr="001247C0">
        <w:t xml:space="preserve"> </w:t>
      </w:r>
      <w:r>
        <w:t>přílohy vyhlášky č. </w:t>
      </w:r>
      <w:r w:rsidRPr="001247C0">
        <w:t>323/2002 Sb., o rozpočtové skladbě</w:t>
      </w:r>
      <w:r>
        <w:t>.</w:t>
      </w:r>
    </w:p>
  </w:footnote>
  <w:footnote w:id="2">
    <w:p w14:paraId="2FB2C37B" w14:textId="11E9F6BD" w:rsidR="00197B8E" w:rsidRDefault="00197B8E" w:rsidP="000F5846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</w:t>
      </w:r>
      <w:r w:rsidRPr="004F7D03">
        <w:t>ákon č. 96/2004 Sb., o podmínkách získávání a uznávání způsobilosti k výkonu nelékařských zdravotnických povolání a k výkonu činností souvisejících s poskytováním zdravotní péče a o změně některých souvisejících zákonů (zákon o nelékařs</w:t>
      </w:r>
      <w:r>
        <w:t>kých zdravotnických povoláních), v</w:t>
      </w:r>
      <w:r w:rsidRPr="000F5846">
        <w:t>yhláška č. 186/2009 Sb., o stanovení postupu při vyhlášení výběrového řízení na rezidenční místo, průběhu výběrového řízení na rezidenční místo a základních kritériích výběru rezidenta (o rezidenčních místech).</w:t>
      </w:r>
    </w:p>
  </w:footnote>
  <w:footnote w:id="3">
    <w:p w14:paraId="1F6D0477" w14:textId="4A618FE3" w:rsidR="00197B8E" w:rsidRDefault="00197B8E" w:rsidP="007B7B34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Ustanovení § 44 odst. 1 písm. b) zákona č. 218/2000 Sb., </w:t>
      </w:r>
      <w:r w:rsidRPr="007B7B34">
        <w:t>o rozpočtových pravidlech a o změně některých souvisejících zákonů (rozpočtová pravidla)</w:t>
      </w:r>
      <w:r>
        <w:t>.</w:t>
      </w:r>
    </w:p>
  </w:footnote>
  <w:footnote w:id="4">
    <w:p w14:paraId="023FA53A" w14:textId="77777777" w:rsidR="00197B8E" w:rsidRDefault="00197B8E" w:rsidP="00717713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Zákon č. 95/2004 Sb., </w:t>
      </w:r>
      <w:r w:rsidRPr="00CF2442">
        <w:t>o podmínkách získávání a uznávání odborné způsobilosti a specializované způsobilosti k výkonu zdravotnického povolání lékaře, zubního lékaře a farmaceuta</w:t>
      </w:r>
      <w:r>
        <w:t>.</w:t>
      </w:r>
    </w:p>
  </w:footnote>
  <w:footnote w:id="5">
    <w:p w14:paraId="6C722DF6" w14:textId="20928499" w:rsidR="00197B8E" w:rsidRDefault="00197B8E" w:rsidP="00F51098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Vyhláška</w:t>
      </w:r>
      <w:r w:rsidRPr="00F51098">
        <w:t xml:space="preserve"> č. 282/2019 Sb., o zkouškách lékařů, zubních lékařů a farmaceutů</w:t>
      </w:r>
      <w:r>
        <w:t xml:space="preserve"> a o změně vyhlášky č. 188/2009 </w:t>
      </w:r>
      <w:r w:rsidRPr="00F51098">
        <w:t>Sb., o atestační zkoušce, závěrečné zkoušce certifikovaného kurzu a o postupu ověření znalosti českého jazyka pohovorem lékařů, zubních lékařů a farmaceutů (o zko</w:t>
      </w:r>
      <w:r>
        <w:t>uškách lékařů, zubních lékařů a </w:t>
      </w:r>
      <w:r w:rsidRPr="00F51098">
        <w:t>farmaceutů), ve znění vyhlášky č. 118/2018 Sb.</w:t>
      </w:r>
    </w:p>
  </w:footnote>
  <w:footnote w:id="6">
    <w:p w14:paraId="41167ADC" w14:textId="2F696439" w:rsidR="00197B8E" w:rsidRDefault="00197B8E" w:rsidP="009735CE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Zákon č. 320/2001 Sb., </w:t>
      </w:r>
      <w:r w:rsidRPr="00FE7085">
        <w:t>o finanční kontrole ve veřejné správě a o změně některých zákonů (zákon o finanční kontrole).</w:t>
      </w:r>
    </w:p>
  </w:footnote>
  <w:footnote w:id="7">
    <w:p w14:paraId="76E2DDDB" w14:textId="275F3060" w:rsidR="00197B8E" w:rsidRPr="007B7B34" w:rsidRDefault="00197B8E" w:rsidP="00F51098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7B7B34">
        <w:t>Zákon č. 563/1991 Sb., o účetnictví.</w:t>
      </w:r>
    </w:p>
  </w:footnote>
  <w:footnote w:id="8">
    <w:p w14:paraId="50127DB7" w14:textId="441DCC8B" w:rsidR="00197B8E" w:rsidRDefault="00197B8E" w:rsidP="00F51098">
      <w:pPr>
        <w:pStyle w:val="Textpoznpodarou"/>
        <w:ind w:left="284" w:hanging="284"/>
      </w:pPr>
      <w:r w:rsidRPr="007B7B34">
        <w:rPr>
          <w:rStyle w:val="Znakapoznpodarou"/>
        </w:rPr>
        <w:footnoteRef/>
      </w:r>
      <w:r w:rsidRPr="007B7B34">
        <w:t xml:space="preserve"> </w:t>
      </w:r>
      <w:r w:rsidRPr="007B7B34">
        <w:tab/>
        <w:t>Zákon č. 218/2000 Sb.</w:t>
      </w:r>
    </w:p>
  </w:footnote>
  <w:footnote w:id="9">
    <w:p w14:paraId="5EB251F3" w14:textId="5F40CC76" w:rsidR="00197B8E" w:rsidRDefault="00197B8E" w:rsidP="00357066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Materiál byl schválen usnesením vlády České republiky ze dne 4. září 2018 č. 563, </w:t>
      </w:r>
      <w:r w:rsidRPr="000B6982">
        <w:rPr>
          <w:i/>
        </w:rPr>
        <w:t>k dlouhodobému finančnímu opatření k navýšení kapacit lékařských fakult</w:t>
      </w:r>
      <w:r>
        <w:t>.</w:t>
      </w:r>
    </w:p>
  </w:footnote>
  <w:footnote w:id="10">
    <w:p w14:paraId="39814700" w14:textId="75AE14B8" w:rsidR="00197B8E" w:rsidRDefault="00197B8E" w:rsidP="00FC02E2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Zákon č. 2/1969 Sb., </w:t>
      </w:r>
      <w:r w:rsidRPr="00FC02E2">
        <w:t>o zřízení ministerstev a jiných ústředních orgánů státní správy České republiky</w:t>
      </w:r>
      <w:r>
        <w:t>.</w:t>
      </w:r>
    </w:p>
  </w:footnote>
  <w:footnote w:id="11">
    <w:p w14:paraId="79FEB3BD" w14:textId="09757105" w:rsidR="00197B8E" w:rsidRDefault="00197B8E" w:rsidP="00BC4760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Rezidenčním místem je podle ustanovení § 2 písm. o) zákona č. 95/2004 Sb. školicí místo na akreditovaném pracovišti, které je spolufinancováno ze státního rozpočtu. Rezidenční místa pro nelékařské obory definuje ustanovení § 2 písm. n) zákona č. 96/2004 Sb. Školenec je vůči zařízení s rezidenčním místem v pracovním poměru.</w:t>
      </w:r>
    </w:p>
    <w:p w14:paraId="797D7ABF" w14:textId="45D20D61" w:rsidR="00197B8E" w:rsidRDefault="00197B8E" w:rsidP="00BC4760">
      <w:pPr>
        <w:pStyle w:val="Textpoznpodarou"/>
        <w:ind w:left="284" w:hanging="284"/>
      </w:pPr>
      <w:r>
        <w:tab/>
        <w:t>Pro zjednodušení a větší srozumitelnost širšímu spektru čtenářů je v tomto kontrolním závěru používán obecný pojem „školicí místo“, který zahrnuje jak rezidenční místa definovaná zákony č. 95/2004 Sb. a č. 96/2004 Sb. a spolufinancovaná prostřednictvím pravidelných každoročně vyhlašovaných programů, tak i školicí místa spolufinancovaná z mimořádných programů vypsaných v letech 2017 a 2018 pro lékařské obory.</w:t>
      </w:r>
    </w:p>
  </w:footnote>
  <w:footnote w:id="12">
    <w:p w14:paraId="2A82ED7B" w14:textId="1767C303" w:rsidR="00197B8E" w:rsidRDefault="00197B8E" w:rsidP="0060583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Mezi kritéria hodnocení vždy patřilo regionální kritérium, tedy potřeba odborníků v daném oboru v příslušném regionu, kvalita zajištění průběhu celého vzdělávacího programu, volitelné kritérium akreditační komise a dále byla využívána kritéria zkušeností se školicí činností školitele, délka jeho praxe a penalizace za nedodržení pravidel v předchozím roce.</w:t>
      </w:r>
    </w:p>
  </w:footnote>
  <w:footnote w:id="13">
    <w:p w14:paraId="0BB01EE2" w14:textId="77777777" w:rsidR="00197B8E" w:rsidRDefault="00197B8E" w:rsidP="00A06219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Částka vyjadřuje</w:t>
      </w:r>
      <w:r w:rsidRPr="00B83EAB">
        <w:t xml:space="preserve"> počet vyhlášených školicích míst v m</w:t>
      </w:r>
      <w:r>
        <w:t>imořádných programech násobený</w:t>
      </w:r>
      <w:r w:rsidRPr="00B83EAB">
        <w:t xml:space="preserve"> příslušnou sazbou dotace</w:t>
      </w:r>
      <w:r>
        <w:t>.</w:t>
      </w:r>
    </w:p>
  </w:footnote>
  <w:footnote w:id="14">
    <w:p w14:paraId="399CA855" w14:textId="036DC9EA" w:rsidR="00197B8E" w:rsidRDefault="00197B8E" w:rsidP="00E50815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Ustanovení § 21ab zákona č. 95/2004 Sb.</w:t>
      </w:r>
    </w:p>
  </w:footnote>
  <w:footnote w:id="15">
    <w:p w14:paraId="191439E5" w14:textId="10908BEC" w:rsidR="00197B8E" w:rsidRDefault="00197B8E" w:rsidP="00004A61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Ustanovení § 44 odst. 1 písm. b) zákona č. 218/2000 Sb.</w:t>
      </w:r>
    </w:p>
  </w:footnote>
  <w:footnote w:id="16">
    <w:p w14:paraId="5DE12227" w14:textId="1716C594" w:rsidR="00197B8E" w:rsidRDefault="00197B8E" w:rsidP="00C40B9A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Zákon č. 67/2017 Sb., </w:t>
      </w:r>
      <w:r w:rsidRPr="00C40B9A">
        <w:t>kterým se mění zákon č. 95/2004 Sb., o podmínkách získávání a uznávání odborné způsobilosti a specializované způsobilosti k výkonu zdravotnického po</w:t>
      </w:r>
      <w:r>
        <w:t>volání lékaře, zubního lékaře a </w:t>
      </w:r>
      <w:r w:rsidRPr="00C40B9A">
        <w:t>farmaceuta, ve znění pozdějších předpisů</w:t>
      </w:r>
      <w:r>
        <w:t>.</w:t>
      </w:r>
    </w:p>
  </w:footnote>
  <w:footnote w:id="17">
    <w:p w14:paraId="3562B004" w14:textId="5973FF12" w:rsidR="00197B8E" w:rsidRDefault="00197B8E" w:rsidP="004725B7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Výše n</w:t>
      </w:r>
      <w:r w:rsidRPr="004F0536">
        <w:t>árok</w:t>
      </w:r>
      <w:r>
        <w:t>u</w:t>
      </w:r>
      <w:r w:rsidRPr="004F0536">
        <w:t xml:space="preserve"> měl</w:t>
      </w:r>
      <w:r>
        <w:t>a</w:t>
      </w:r>
      <w:r w:rsidRPr="004F0536">
        <w:t xml:space="preserve"> být </w:t>
      </w:r>
      <w:r>
        <w:t>stanovena na základě výpočtu</w:t>
      </w:r>
      <w:r w:rsidRPr="004F0536">
        <w:t xml:space="preserve"> po jednotlivých měsících</w:t>
      </w:r>
      <w:r>
        <w:t>, a to jako</w:t>
      </w:r>
      <w:r w:rsidRPr="004F0536">
        <w:t xml:space="preserve"> </w:t>
      </w:r>
      <w:r>
        <w:t>počet evidovaných</w:t>
      </w:r>
      <w:r w:rsidRPr="004F0536">
        <w:t xml:space="preserve"> školenců k 15. dni měsíce </w:t>
      </w:r>
      <w:r>
        <w:t>násobený sazbou 250 Kč a</w:t>
      </w:r>
      <w:r w:rsidRPr="004F0536">
        <w:t xml:space="preserve"> celkově jako součet těchto dvanácti částek</w:t>
      </w:r>
      <w:r>
        <w:t>.</w:t>
      </w:r>
    </w:p>
  </w:footnote>
  <w:footnote w:id="18">
    <w:p w14:paraId="2BEEC428" w14:textId="64637118" w:rsidR="00197B8E" w:rsidRDefault="00197B8E" w:rsidP="00031CCB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Např. evidovaný počet školenců k 15. dni v měsíci</w:t>
      </w:r>
      <w:r w:rsidRPr="00961BA0">
        <w:t xml:space="preserve"> uváděn</w:t>
      </w:r>
      <w:r>
        <w:t xml:space="preserve"> v číslech i se dvěma desetinnými místy;</w:t>
      </w:r>
      <w:r w:rsidRPr="00961BA0">
        <w:t xml:space="preserve"> v </w:t>
      </w:r>
      <w:r>
        <w:t>letech</w:t>
      </w:r>
      <w:r w:rsidRPr="00961BA0">
        <w:t xml:space="preserve"> 2015 a 2016</w:t>
      </w:r>
      <w:r>
        <w:t xml:space="preserve"> vykazován</w:t>
      </w:r>
      <w:r w:rsidRPr="00961BA0">
        <w:t xml:space="preserve"> </w:t>
      </w:r>
      <w:r>
        <w:t>počet</w:t>
      </w:r>
      <w:r w:rsidRPr="00961BA0">
        <w:t xml:space="preserve"> školenců v lednu více než čtrnáctinásobný oproti ostatním měsícům v</w:t>
      </w:r>
      <w:r>
        <w:t> </w:t>
      </w:r>
      <w:r w:rsidRPr="00961BA0">
        <w:t>roce</w:t>
      </w:r>
      <w:r>
        <w:t>.</w:t>
      </w:r>
    </w:p>
  </w:footnote>
  <w:footnote w:id="19">
    <w:p w14:paraId="58C083FA" w14:textId="4129B865" w:rsidR="00197B8E" w:rsidRDefault="00197B8E" w:rsidP="00031CCB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</w:t>
      </w:r>
      <w:r w:rsidRPr="000B6611">
        <w:t xml:space="preserve">stanovení § 11 </w:t>
      </w:r>
      <w:r>
        <w:t>zákona č. 320/2001 Sb.</w:t>
      </w:r>
    </w:p>
  </w:footnote>
  <w:footnote w:id="20">
    <w:p w14:paraId="3A6DBC05" w14:textId="651082FD" w:rsidR="00197B8E" w:rsidRDefault="00197B8E" w:rsidP="000B6611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</w:t>
      </w:r>
      <w:r w:rsidRPr="000B6611">
        <w:t>stanovení § 39 odst. 3 zákona č. 218/2000 Sb.</w:t>
      </w:r>
    </w:p>
  </w:footnote>
  <w:footnote w:id="21">
    <w:p w14:paraId="20F0A3DD" w14:textId="1FB7EC49" w:rsidR="00197B8E" w:rsidRDefault="00197B8E" w:rsidP="00103434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Zákon č. 340/2015 Sb., o zvláštních podmínkách účinnosti některých smluv, uveřejňování těchto smluv a o registru smluv (zákon o registru smluv).</w:t>
      </w:r>
    </w:p>
  </w:footnote>
  <w:footnote w:id="22">
    <w:p w14:paraId="025737BE" w14:textId="024FEEA9" w:rsidR="00197B8E" w:rsidRPr="00195E1E" w:rsidRDefault="00197B8E" w:rsidP="00195E1E">
      <w:pPr>
        <w:pStyle w:val="Textpoznpodarou"/>
        <w:ind w:left="284" w:hanging="284"/>
      </w:pPr>
      <w:r w:rsidRPr="00195E1E">
        <w:rPr>
          <w:rStyle w:val="Znakapoznpodarou"/>
        </w:rPr>
        <w:footnoteRef/>
      </w:r>
      <w:r w:rsidRPr="00195E1E">
        <w:t xml:space="preserve"> </w:t>
      </w:r>
      <w:r>
        <w:tab/>
      </w:r>
      <w:r w:rsidRPr="00195E1E">
        <w:t>Personální kapacity v českém zdravotnictví v r. 2017 (</w:t>
      </w:r>
      <w:r>
        <w:t xml:space="preserve">dostupné z </w:t>
      </w:r>
      <w:hyperlink r:id="rId1" w:history="1">
        <w:r w:rsidRPr="00312F50">
          <w:rPr>
            <w:rStyle w:val="Hypertextovodkaz"/>
          </w:rPr>
          <w:t>https://www.uzis.cz/index.php?pg=vystupy--statistika-</w:t>
        </w:r>
        <w:proofErr w:type="spellStart"/>
        <w:r w:rsidRPr="00312F50">
          <w:rPr>
            <w:rStyle w:val="Hypertextovodkaz"/>
          </w:rPr>
          <w:t>vybranych</w:t>
        </w:r>
        <w:proofErr w:type="spellEnd"/>
        <w:r w:rsidRPr="00312F50">
          <w:rPr>
            <w:rStyle w:val="Hypertextovodkaz"/>
          </w:rPr>
          <w:t>-</w:t>
        </w:r>
        <w:proofErr w:type="spellStart"/>
        <w:r w:rsidRPr="00312F50">
          <w:rPr>
            <w:rStyle w:val="Hypertextovodkaz"/>
          </w:rPr>
          <w:t>ekonomickych-temat</w:t>
        </w:r>
        <w:proofErr w:type="spellEnd"/>
        <w:r w:rsidRPr="00312F50">
          <w:rPr>
            <w:rStyle w:val="Hypertextovodkaz"/>
          </w:rPr>
          <w:t>--pracovnici-</w:t>
        </w:r>
        <w:proofErr w:type="spellStart"/>
        <w:r w:rsidRPr="00312F50">
          <w:rPr>
            <w:rStyle w:val="Hypertextovodkaz"/>
          </w:rPr>
          <w:t>odmenovani</w:t>
        </w:r>
        <w:proofErr w:type="spellEnd"/>
      </w:hyperlink>
      <w:hyperlink r:id="rId2" w:history="1"/>
      <w:r w:rsidRPr="00195E1E">
        <w:t>)</w:t>
      </w:r>
      <w:r>
        <w:t>.</w:t>
      </w:r>
    </w:p>
  </w:footnote>
  <w:footnote w:id="23">
    <w:p w14:paraId="0863C2F7" w14:textId="4658F3C2" w:rsidR="00197B8E" w:rsidRDefault="00197B8E" w:rsidP="005E4047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Materiál je dostupný také na internetových stránkách Ministerstva zdravotnictví přes odkaz </w:t>
      </w:r>
      <w:hyperlink r:id="rId3" w:history="1">
        <w:r w:rsidRPr="007F24DB">
          <w:rPr>
            <w:rStyle w:val="Hypertextovodkaz"/>
            <w:i/>
          </w:rPr>
          <w:t>https://www.mzcr.cz/Soubor.ashx?souborID=37371&amp;typ=application/pdf&amp;nazev=Prezentace_odm%C4%9B%C5%88ov%C3%A1n%C3%AD%20zdravotn%C3%ADk%C5%AF%20v%20segmentu%20l%C5%AF%C5%BEkov%C3%A9%20p%C3%A9%C4%8De.pdf</w:t>
        </w:r>
      </w:hyperlink>
      <w:r w:rsidRPr="0028126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7C099" w14:textId="77777777" w:rsidR="00A12CC5" w:rsidRDefault="00A12C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7C13" w14:textId="77777777" w:rsidR="00A12CC5" w:rsidRDefault="00A12CC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D2CF9" w14:textId="77777777" w:rsidR="00197B8E" w:rsidRDefault="00197B8E" w:rsidP="00617D3A">
    <w:pPr>
      <w:pStyle w:val="Zhlav"/>
      <w:jc w:val="right"/>
    </w:pPr>
  </w:p>
  <w:p w14:paraId="4EC358DF" w14:textId="77777777" w:rsidR="00197B8E" w:rsidRDefault="00197B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18D"/>
    <w:multiLevelType w:val="hybridMultilevel"/>
    <w:tmpl w:val="D0A4C636"/>
    <w:lvl w:ilvl="0" w:tplc="12F0E826">
      <w:start w:val="1"/>
      <w:numFmt w:val="decimal"/>
      <w:pStyle w:val="Obrzek"/>
      <w:lvlText w:val="Obrázek č. %1:"/>
      <w:lvlJc w:val="right"/>
      <w:pPr>
        <w:ind w:left="1285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417204D0" w:tentative="1">
      <w:start w:val="1"/>
      <w:numFmt w:val="lowerLetter"/>
      <w:lvlText w:val="%2."/>
      <w:lvlJc w:val="left"/>
      <w:pPr>
        <w:ind w:left="2005" w:hanging="360"/>
      </w:pPr>
    </w:lvl>
    <w:lvl w:ilvl="2" w:tplc="1CE6FC94" w:tentative="1">
      <w:start w:val="1"/>
      <w:numFmt w:val="lowerRoman"/>
      <w:lvlText w:val="%3."/>
      <w:lvlJc w:val="right"/>
      <w:pPr>
        <w:ind w:left="2725" w:hanging="180"/>
      </w:pPr>
    </w:lvl>
    <w:lvl w:ilvl="3" w:tplc="7C043002" w:tentative="1">
      <w:start w:val="1"/>
      <w:numFmt w:val="decimal"/>
      <w:lvlText w:val="%4."/>
      <w:lvlJc w:val="left"/>
      <w:pPr>
        <w:ind w:left="3445" w:hanging="360"/>
      </w:pPr>
    </w:lvl>
    <w:lvl w:ilvl="4" w:tplc="45EE503A" w:tentative="1">
      <w:start w:val="1"/>
      <w:numFmt w:val="lowerLetter"/>
      <w:lvlText w:val="%5."/>
      <w:lvlJc w:val="left"/>
      <w:pPr>
        <w:ind w:left="4165" w:hanging="360"/>
      </w:pPr>
    </w:lvl>
    <w:lvl w:ilvl="5" w:tplc="52EEF0A2" w:tentative="1">
      <w:start w:val="1"/>
      <w:numFmt w:val="lowerRoman"/>
      <w:lvlText w:val="%6."/>
      <w:lvlJc w:val="right"/>
      <w:pPr>
        <w:ind w:left="4885" w:hanging="180"/>
      </w:pPr>
    </w:lvl>
    <w:lvl w:ilvl="6" w:tplc="0114A6F4" w:tentative="1">
      <w:start w:val="1"/>
      <w:numFmt w:val="decimal"/>
      <w:lvlText w:val="%7."/>
      <w:lvlJc w:val="left"/>
      <w:pPr>
        <w:ind w:left="5605" w:hanging="360"/>
      </w:pPr>
    </w:lvl>
    <w:lvl w:ilvl="7" w:tplc="753AB0A4" w:tentative="1">
      <w:start w:val="1"/>
      <w:numFmt w:val="lowerLetter"/>
      <w:lvlText w:val="%8."/>
      <w:lvlJc w:val="left"/>
      <w:pPr>
        <w:ind w:left="6325" w:hanging="360"/>
      </w:pPr>
    </w:lvl>
    <w:lvl w:ilvl="8" w:tplc="0EDA1CD6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1" w15:restartNumberingAfterBreak="0">
    <w:nsid w:val="02DB4870"/>
    <w:multiLevelType w:val="hybridMultilevel"/>
    <w:tmpl w:val="ACCEF0E2"/>
    <w:lvl w:ilvl="0" w:tplc="60889E62">
      <w:start w:val="1"/>
      <w:numFmt w:val="upperRoman"/>
      <w:pStyle w:val="Nadpis1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F7FC0F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7F43F04" w:tentative="1">
      <w:start w:val="1"/>
      <w:numFmt w:val="lowerRoman"/>
      <w:lvlText w:val="%3."/>
      <w:lvlJc w:val="right"/>
      <w:pPr>
        <w:ind w:left="2160" w:hanging="180"/>
      </w:pPr>
    </w:lvl>
    <w:lvl w:ilvl="3" w:tplc="11E4D48A" w:tentative="1">
      <w:start w:val="1"/>
      <w:numFmt w:val="decimal"/>
      <w:lvlText w:val="%4."/>
      <w:lvlJc w:val="left"/>
      <w:pPr>
        <w:ind w:left="2880" w:hanging="360"/>
      </w:pPr>
    </w:lvl>
    <w:lvl w:ilvl="4" w:tplc="4490D3F6" w:tentative="1">
      <w:start w:val="1"/>
      <w:numFmt w:val="lowerLetter"/>
      <w:lvlText w:val="%5."/>
      <w:lvlJc w:val="left"/>
      <w:pPr>
        <w:ind w:left="3600" w:hanging="360"/>
      </w:pPr>
    </w:lvl>
    <w:lvl w:ilvl="5" w:tplc="10D40FE2" w:tentative="1">
      <w:start w:val="1"/>
      <w:numFmt w:val="lowerRoman"/>
      <w:lvlText w:val="%6."/>
      <w:lvlJc w:val="right"/>
      <w:pPr>
        <w:ind w:left="4320" w:hanging="180"/>
      </w:pPr>
    </w:lvl>
    <w:lvl w:ilvl="6" w:tplc="CD4A3540" w:tentative="1">
      <w:start w:val="1"/>
      <w:numFmt w:val="decimal"/>
      <w:lvlText w:val="%7."/>
      <w:lvlJc w:val="left"/>
      <w:pPr>
        <w:ind w:left="5040" w:hanging="360"/>
      </w:pPr>
    </w:lvl>
    <w:lvl w:ilvl="7" w:tplc="57AE1B02" w:tentative="1">
      <w:start w:val="1"/>
      <w:numFmt w:val="lowerLetter"/>
      <w:lvlText w:val="%8."/>
      <w:lvlJc w:val="left"/>
      <w:pPr>
        <w:ind w:left="5760" w:hanging="360"/>
      </w:pPr>
    </w:lvl>
    <w:lvl w:ilvl="8" w:tplc="86CA6A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B55BB"/>
    <w:multiLevelType w:val="hybridMultilevel"/>
    <w:tmpl w:val="68DE7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16592"/>
    <w:multiLevelType w:val="hybridMultilevel"/>
    <w:tmpl w:val="F9EC5C1A"/>
    <w:lvl w:ilvl="0" w:tplc="2CF88E1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D2874"/>
    <w:multiLevelType w:val="hybridMultilevel"/>
    <w:tmpl w:val="B9E61CC2"/>
    <w:lvl w:ilvl="0" w:tplc="A2A62A14">
      <w:start w:val="1"/>
      <w:numFmt w:val="decimal"/>
      <w:pStyle w:val="Nzevtabulky"/>
      <w:lvlText w:val="Tabulka č. %1:"/>
      <w:lvlJc w:val="left"/>
      <w:pPr>
        <w:ind w:left="4897" w:hanging="360"/>
      </w:pPr>
      <w:rPr>
        <w:rFonts w:hint="default"/>
      </w:rPr>
    </w:lvl>
    <w:lvl w:ilvl="1" w:tplc="90AA5F78" w:tentative="1">
      <w:start w:val="1"/>
      <w:numFmt w:val="lowerLetter"/>
      <w:lvlText w:val="%2."/>
      <w:lvlJc w:val="left"/>
      <w:pPr>
        <w:ind w:left="1440" w:hanging="360"/>
      </w:pPr>
    </w:lvl>
    <w:lvl w:ilvl="2" w:tplc="F326B368" w:tentative="1">
      <w:start w:val="1"/>
      <w:numFmt w:val="lowerRoman"/>
      <w:lvlText w:val="%3."/>
      <w:lvlJc w:val="right"/>
      <w:pPr>
        <w:ind w:left="2160" w:hanging="180"/>
      </w:pPr>
    </w:lvl>
    <w:lvl w:ilvl="3" w:tplc="17FA159A" w:tentative="1">
      <w:start w:val="1"/>
      <w:numFmt w:val="decimal"/>
      <w:lvlText w:val="%4."/>
      <w:lvlJc w:val="left"/>
      <w:pPr>
        <w:ind w:left="2880" w:hanging="360"/>
      </w:pPr>
    </w:lvl>
    <w:lvl w:ilvl="4" w:tplc="F2E84B6C" w:tentative="1">
      <w:start w:val="1"/>
      <w:numFmt w:val="lowerLetter"/>
      <w:lvlText w:val="%5."/>
      <w:lvlJc w:val="left"/>
      <w:pPr>
        <w:ind w:left="3600" w:hanging="360"/>
      </w:pPr>
    </w:lvl>
    <w:lvl w:ilvl="5" w:tplc="FFE6B288" w:tentative="1">
      <w:start w:val="1"/>
      <w:numFmt w:val="lowerRoman"/>
      <w:lvlText w:val="%6."/>
      <w:lvlJc w:val="right"/>
      <w:pPr>
        <w:ind w:left="4320" w:hanging="180"/>
      </w:pPr>
    </w:lvl>
    <w:lvl w:ilvl="6" w:tplc="7ABCE8B2" w:tentative="1">
      <w:start w:val="1"/>
      <w:numFmt w:val="decimal"/>
      <w:lvlText w:val="%7."/>
      <w:lvlJc w:val="left"/>
      <w:pPr>
        <w:ind w:left="5040" w:hanging="360"/>
      </w:pPr>
    </w:lvl>
    <w:lvl w:ilvl="7" w:tplc="7910EA32" w:tentative="1">
      <w:start w:val="1"/>
      <w:numFmt w:val="lowerLetter"/>
      <w:lvlText w:val="%8."/>
      <w:lvlJc w:val="left"/>
      <w:pPr>
        <w:ind w:left="5760" w:hanging="360"/>
      </w:pPr>
    </w:lvl>
    <w:lvl w:ilvl="8" w:tplc="FD94A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D5A"/>
    <w:multiLevelType w:val="hybridMultilevel"/>
    <w:tmpl w:val="BE429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21483"/>
    <w:multiLevelType w:val="hybridMultilevel"/>
    <w:tmpl w:val="B3565872"/>
    <w:lvl w:ilvl="0" w:tplc="AFA84400">
      <w:start w:val="1"/>
      <w:numFmt w:val="decimal"/>
      <w:lvlText w:val="Tabulka č. %1: X"/>
      <w:lvlJc w:val="left"/>
      <w:pPr>
        <w:ind w:left="720" w:hanging="360"/>
      </w:pPr>
      <w:rPr>
        <w:rFonts w:hint="default"/>
      </w:rPr>
    </w:lvl>
    <w:lvl w:ilvl="1" w:tplc="0F22C788">
      <w:start w:val="1"/>
      <w:numFmt w:val="decimal"/>
      <w:suff w:val="space"/>
      <w:lvlText w:val="Tabulka č. %2:"/>
      <w:lvlJc w:val="left"/>
      <w:pPr>
        <w:ind w:left="567" w:hanging="567"/>
      </w:pPr>
      <w:rPr>
        <w:rFonts w:hint="default"/>
      </w:rPr>
    </w:lvl>
    <w:lvl w:ilvl="2" w:tplc="2FDC6180">
      <w:start w:val="1"/>
      <w:numFmt w:val="lowerRoman"/>
      <w:lvlText w:val="%3."/>
      <w:lvlJc w:val="right"/>
      <w:pPr>
        <w:ind w:left="2160" w:hanging="180"/>
      </w:pPr>
    </w:lvl>
    <w:lvl w:ilvl="3" w:tplc="058890F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9CC0F438" w:tentative="1">
      <w:start w:val="1"/>
      <w:numFmt w:val="lowerLetter"/>
      <w:lvlText w:val="%5."/>
      <w:lvlJc w:val="left"/>
      <w:pPr>
        <w:ind w:left="3600" w:hanging="360"/>
      </w:pPr>
    </w:lvl>
    <w:lvl w:ilvl="5" w:tplc="8A2C1AAC" w:tentative="1">
      <w:start w:val="1"/>
      <w:numFmt w:val="lowerRoman"/>
      <w:lvlText w:val="%6."/>
      <w:lvlJc w:val="right"/>
      <w:pPr>
        <w:ind w:left="4320" w:hanging="180"/>
      </w:pPr>
    </w:lvl>
    <w:lvl w:ilvl="6" w:tplc="91A87D54" w:tentative="1">
      <w:start w:val="1"/>
      <w:numFmt w:val="decimal"/>
      <w:lvlText w:val="%7."/>
      <w:lvlJc w:val="left"/>
      <w:pPr>
        <w:ind w:left="5040" w:hanging="360"/>
      </w:pPr>
    </w:lvl>
    <w:lvl w:ilvl="7" w:tplc="721AC048" w:tentative="1">
      <w:start w:val="1"/>
      <w:numFmt w:val="lowerLetter"/>
      <w:lvlText w:val="%8."/>
      <w:lvlJc w:val="left"/>
      <w:pPr>
        <w:ind w:left="5760" w:hanging="360"/>
      </w:pPr>
    </w:lvl>
    <w:lvl w:ilvl="8" w:tplc="0DCEE7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17B44"/>
    <w:multiLevelType w:val="hybridMultilevel"/>
    <w:tmpl w:val="BD40B330"/>
    <w:lvl w:ilvl="0" w:tplc="1B9A2876">
      <w:start w:val="1"/>
      <w:numFmt w:val="decimal"/>
      <w:pStyle w:val="Graf"/>
      <w:suff w:val="space"/>
      <w:lvlText w:val="Graf č. %1:"/>
      <w:lvlJc w:val="left"/>
      <w:pPr>
        <w:ind w:left="2152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474A5098" w:tentative="1">
      <w:start w:val="1"/>
      <w:numFmt w:val="lowerLetter"/>
      <w:lvlText w:val="%2."/>
      <w:lvlJc w:val="left"/>
      <w:pPr>
        <w:ind w:left="3232" w:hanging="360"/>
      </w:pPr>
    </w:lvl>
    <w:lvl w:ilvl="2" w:tplc="6D942D9C" w:tentative="1">
      <w:start w:val="1"/>
      <w:numFmt w:val="lowerRoman"/>
      <w:lvlText w:val="%3."/>
      <w:lvlJc w:val="right"/>
      <w:pPr>
        <w:ind w:left="3952" w:hanging="180"/>
      </w:pPr>
    </w:lvl>
    <w:lvl w:ilvl="3" w:tplc="350C9584" w:tentative="1">
      <w:start w:val="1"/>
      <w:numFmt w:val="decimal"/>
      <w:lvlText w:val="%4."/>
      <w:lvlJc w:val="left"/>
      <w:pPr>
        <w:ind w:left="4672" w:hanging="360"/>
      </w:pPr>
    </w:lvl>
    <w:lvl w:ilvl="4" w:tplc="917837B4" w:tentative="1">
      <w:start w:val="1"/>
      <w:numFmt w:val="lowerLetter"/>
      <w:lvlText w:val="%5."/>
      <w:lvlJc w:val="left"/>
      <w:pPr>
        <w:ind w:left="5392" w:hanging="360"/>
      </w:pPr>
    </w:lvl>
    <w:lvl w:ilvl="5" w:tplc="404ACECA" w:tentative="1">
      <w:start w:val="1"/>
      <w:numFmt w:val="lowerRoman"/>
      <w:lvlText w:val="%6."/>
      <w:lvlJc w:val="right"/>
      <w:pPr>
        <w:ind w:left="6112" w:hanging="180"/>
      </w:pPr>
    </w:lvl>
    <w:lvl w:ilvl="6" w:tplc="AFE201C8" w:tentative="1">
      <w:start w:val="1"/>
      <w:numFmt w:val="decimal"/>
      <w:lvlText w:val="%7."/>
      <w:lvlJc w:val="left"/>
      <w:pPr>
        <w:ind w:left="6832" w:hanging="360"/>
      </w:pPr>
    </w:lvl>
    <w:lvl w:ilvl="7" w:tplc="C532C262" w:tentative="1">
      <w:start w:val="1"/>
      <w:numFmt w:val="lowerLetter"/>
      <w:lvlText w:val="%8."/>
      <w:lvlJc w:val="left"/>
      <w:pPr>
        <w:ind w:left="7552" w:hanging="360"/>
      </w:pPr>
    </w:lvl>
    <w:lvl w:ilvl="8" w:tplc="CB88D662" w:tentative="1">
      <w:start w:val="1"/>
      <w:numFmt w:val="lowerRoman"/>
      <w:lvlText w:val="%9."/>
      <w:lvlJc w:val="right"/>
      <w:pPr>
        <w:ind w:left="8272" w:hanging="180"/>
      </w:pPr>
    </w:lvl>
  </w:abstractNum>
  <w:abstractNum w:abstractNumId="8" w15:restartNumberingAfterBreak="0">
    <w:nsid w:val="3CA953BE"/>
    <w:multiLevelType w:val="hybridMultilevel"/>
    <w:tmpl w:val="CB60DC6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A11BC"/>
    <w:multiLevelType w:val="hybridMultilevel"/>
    <w:tmpl w:val="3A02D29A"/>
    <w:lvl w:ilvl="0" w:tplc="0F22C788">
      <w:start w:val="1"/>
      <w:numFmt w:val="decimal"/>
      <w:suff w:val="space"/>
      <w:lvlText w:val="Tabulka č. %1:"/>
      <w:lvlJc w:val="left"/>
      <w:pPr>
        <w:ind w:left="567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43E2A"/>
    <w:multiLevelType w:val="hybridMultilevel"/>
    <w:tmpl w:val="7D3E1ECC"/>
    <w:lvl w:ilvl="0" w:tplc="39FA8A44">
      <w:start w:val="1"/>
      <w:numFmt w:val="decimal"/>
      <w:lvlText w:val="%1."/>
      <w:lvlJc w:val="left"/>
      <w:pPr>
        <w:ind w:left="720" w:hanging="360"/>
      </w:pPr>
    </w:lvl>
    <w:lvl w:ilvl="1" w:tplc="CB644D7E">
      <w:start w:val="1"/>
      <w:numFmt w:val="decimal"/>
      <w:pStyle w:val="Nadpis2"/>
      <w:lvlText w:val="%2."/>
      <w:lvlJc w:val="left"/>
      <w:pPr>
        <w:ind w:left="1440" w:hanging="360"/>
      </w:pPr>
    </w:lvl>
    <w:lvl w:ilvl="2" w:tplc="67D86B2A" w:tentative="1">
      <w:start w:val="1"/>
      <w:numFmt w:val="lowerRoman"/>
      <w:lvlText w:val="%3."/>
      <w:lvlJc w:val="right"/>
      <w:pPr>
        <w:ind w:left="2160" w:hanging="180"/>
      </w:pPr>
    </w:lvl>
    <w:lvl w:ilvl="3" w:tplc="CCB84FCA" w:tentative="1">
      <w:start w:val="1"/>
      <w:numFmt w:val="decimal"/>
      <w:lvlText w:val="%4."/>
      <w:lvlJc w:val="left"/>
      <w:pPr>
        <w:ind w:left="2880" w:hanging="360"/>
      </w:pPr>
    </w:lvl>
    <w:lvl w:ilvl="4" w:tplc="4D8089F4" w:tentative="1">
      <w:start w:val="1"/>
      <w:numFmt w:val="lowerLetter"/>
      <w:lvlText w:val="%5."/>
      <w:lvlJc w:val="left"/>
      <w:pPr>
        <w:ind w:left="3600" w:hanging="360"/>
      </w:pPr>
    </w:lvl>
    <w:lvl w:ilvl="5" w:tplc="D1D46970" w:tentative="1">
      <w:start w:val="1"/>
      <w:numFmt w:val="lowerRoman"/>
      <w:lvlText w:val="%6."/>
      <w:lvlJc w:val="right"/>
      <w:pPr>
        <w:ind w:left="4320" w:hanging="180"/>
      </w:pPr>
    </w:lvl>
    <w:lvl w:ilvl="6" w:tplc="7450B90A" w:tentative="1">
      <w:start w:val="1"/>
      <w:numFmt w:val="decimal"/>
      <w:lvlText w:val="%7."/>
      <w:lvlJc w:val="left"/>
      <w:pPr>
        <w:ind w:left="5040" w:hanging="360"/>
      </w:pPr>
    </w:lvl>
    <w:lvl w:ilvl="7" w:tplc="63BCB906" w:tentative="1">
      <w:start w:val="1"/>
      <w:numFmt w:val="lowerLetter"/>
      <w:lvlText w:val="%8."/>
      <w:lvlJc w:val="left"/>
      <w:pPr>
        <w:ind w:left="5760" w:hanging="360"/>
      </w:pPr>
    </w:lvl>
    <w:lvl w:ilvl="8" w:tplc="9DB48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35B3E"/>
    <w:multiLevelType w:val="hybridMultilevel"/>
    <w:tmpl w:val="41EA2092"/>
    <w:lvl w:ilvl="0" w:tplc="F96AE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B11EB"/>
    <w:multiLevelType w:val="hybridMultilevel"/>
    <w:tmpl w:val="7340FCF6"/>
    <w:lvl w:ilvl="0" w:tplc="6CC894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9278BE"/>
    <w:multiLevelType w:val="hybridMultilevel"/>
    <w:tmpl w:val="D492A60E"/>
    <w:lvl w:ilvl="0" w:tplc="BDDC34BA">
      <w:start w:val="1"/>
      <w:numFmt w:val="decimal"/>
      <w:pStyle w:val="Nadpisshrnut"/>
      <w:lvlText w:val="%1."/>
      <w:lvlJc w:val="left"/>
      <w:pPr>
        <w:ind w:left="720" w:hanging="360"/>
      </w:pPr>
    </w:lvl>
    <w:lvl w:ilvl="1" w:tplc="289A1C68" w:tentative="1">
      <w:start w:val="1"/>
      <w:numFmt w:val="lowerLetter"/>
      <w:lvlText w:val="%2."/>
      <w:lvlJc w:val="left"/>
      <w:pPr>
        <w:ind w:left="1440" w:hanging="360"/>
      </w:pPr>
    </w:lvl>
    <w:lvl w:ilvl="2" w:tplc="1F1A819E" w:tentative="1">
      <w:start w:val="1"/>
      <w:numFmt w:val="lowerRoman"/>
      <w:lvlText w:val="%3."/>
      <w:lvlJc w:val="right"/>
      <w:pPr>
        <w:ind w:left="2160" w:hanging="180"/>
      </w:pPr>
    </w:lvl>
    <w:lvl w:ilvl="3" w:tplc="F6608956" w:tentative="1">
      <w:start w:val="1"/>
      <w:numFmt w:val="decimal"/>
      <w:lvlText w:val="%4."/>
      <w:lvlJc w:val="left"/>
      <w:pPr>
        <w:ind w:left="2880" w:hanging="360"/>
      </w:pPr>
    </w:lvl>
    <w:lvl w:ilvl="4" w:tplc="29A864B8" w:tentative="1">
      <w:start w:val="1"/>
      <w:numFmt w:val="lowerLetter"/>
      <w:lvlText w:val="%5."/>
      <w:lvlJc w:val="left"/>
      <w:pPr>
        <w:ind w:left="3600" w:hanging="360"/>
      </w:pPr>
    </w:lvl>
    <w:lvl w:ilvl="5" w:tplc="733E77EE" w:tentative="1">
      <w:start w:val="1"/>
      <w:numFmt w:val="lowerRoman"/>
      <w:lvlText w:val="%6."/>
      <w:lvlJc w:val="right"/>
      <w:pPr>
        <w:ind w:left="4320" w:hanging="180"/>
      </w:pPr>
    </w:lvl>
    <w:lvl w:ilvl="6" w:tplc="4FE0B2A0" w:tentative="1">
      <w:start w:val="1"/>
      <w:numFmt w:val="decimal"/>
      <w:lvlText w:val="%7."/>
      <w:lvlJc w:val="left"/>
      <w:pPr>
        <w:ind w:left="5040" w:hanging="360"/>
      </w:pPr>
    </w:lvl>
    <w:lvl w:ilvl="7" w:tplc="40A67958" w:tentative="1">
      <w:start w:val="1"/>
      <w:numFmt w:val="lowerLetter"/>
      <w:lvlText w:val="%8."/>
      <w:lvlJc w:val="left"/>
      <w:pPr>
        <w:ind w:left="5760" w:hanging="360"/>
      </w:pPr>
    </w:lvl>
    <w:lvl w:ilvl="8" w:tplc="A9F46A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62CE1"/>
    <w:multiLevelType w:val="multilevel"/>
    <w:tmpl w:val="B6EC0E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4"/>
  </w:num>
  <w:num w:numId="5">
    <w:abstractNumId w:val="14"/>
  </w:num>
  <w:num w:numId="6">
    <w:abstractNumId w:val="6"/>
  </w:num>
  <w:num w:numId="7">
    <w:abstractNumId w:val="13"/>
  </w:num>
  <w:num w:numId="8">
    <w:abstractNumId w:val="3"/>
  </w:num>
  <w:num w:numId="9">
    <w:abstractNumId w:val="5"/>
  </w:num>
  <w:num w:numId="10">
    <w:abstractNumId w:val="2"/>
  </w:num>
  <w:num w:numId="11">
    <w:abstractNumId w:val="9"/>
  </w:num>
  <w:num w:numId="12">
    <w:abstractNumId w:val="8"/>
  </w:num>
  <w:num w:numId="13">
    <w:abstractNumId w:val="0"/>
  </w:num>
  <w:num w:numId="14">
    <w:abstractNumId w:val="7"/>
    <w:lvlOverride w:ilvl="0">
      <w:startOverride w:val="1"/>
    </w:lvlOverride>
  </w:num>
  <w:num w:numId="15">
    <w:abstractNumId w:val="12"/>
  </w:num>
  <w:num w:numId="16">
    <w:abstractNumId w:val="11"/>
  </w:num>
  <w:num w:numId="17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896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8F"/>
    <w:rsid w:val="00000FFE"/>
    <w:rsid w:val="000015CC"/>
    <w:rsid w:val="00001D11"/>
    <w:rsid w:val="00002DB8"/>
    <w:rsid w:val="00004A61"/>
    <w:rsid w:val="000060D1"/>
    <w:rsid w:val="000073B1"/>
    <w:rsid w:val="00007D9A"/>
    <w:rsid w:val="00010034"/>
    <w:rsid w:val="00010B73"/>
    <w:rsid w:val="0001294F"/>
    <w:rsid w:val="00016357"/>
    <w:rsid w:val="0001749F"/>
    <w:rsid w:val="00017687"/>
    <w:rsid w:val="0001797C"/>
    <w:rsid w:val="000216FB"/>
    <w:rsid w:val="0002178C"/>
    <w:rsid w:val="00021C82"/>
    <w:rsid w:val="0002274A"/>
    <w:rsid w:val="00025E8E"/>
    <w:rsid w:val="00026069"/>
    <w:rsid w:val="0003105F"/>
    <w:rsid w:val="00031CCB"/>
    <w:rsid w:val="00032629"/>
    <w:rsid w:val="00032ED4"/>
    <w:rsid w:val="000330A4"/>
    <w:rsid w:val="00040565"/>
    <w:rsid w:val="000408D6"/>
    <w:rsid w:val="00042BE4"/>
    <w:rsid w:val="00042F65"/>
    <w:rsid w:val="0004687D"/>
    <w:rsid w:val="00050212"/>
    <w:rsid w:val="0005095D"/>
    <w:rsid w:val="00050C66"/>
    <w:rsid w:val="0005272F"/>
    <w:rsid w:val="00053A95"/>
    <w:rsid w:val="00054A06"/>
    <w:rsid w:val="00055AC4"/>
    <w:rsid w:val="000567B6"/>
    <w:rsid w:val="000574AB"/>
    <w:rsid w:val="00057731"/>
    <w:rsid w:val="0006108D"/>
    <w:rsid w:val="00062685"/>
    <w:rsid w:val="00063AD6"/>
    <w:rsid w:val="000640EC"/>
    <w:rsid w:val="00064EFB"/>
    <w:rsid w:val="00065116"/>
    <w:rsid w:val="0006583D"/>
    <w:rsid w:val="00065C6E"/>
    <w:rsid w:val="00065CCB"/>
    <w:rsid w:val="000662AD"/>
    <w:rsid w:val="00066E28"/>
    <w:rsid w:val="00067A13"/>
    <w:rsid w:val="0007011A"/>
    <w:rsid w:val="00073931"/>
    <w:rsid w:val="00073F69"/>
    <w:rsid w:val="000740B5"/>
    <w:rsid w:val="000747D8"/>
    <w:rsid w:val="00074C5C"/>
    <w:rsid w:val="00075B4D"/>
    <w:rsid w:val="00075BBE"/>
    <w:rsid w:val="00075DA8"/>
    <w:rsid w:val="00075FD8"/>
    <w:rsid w:val="00077227"/>
    <w:rsid w:val="00077509"/>
    <w:rsid w:val="000778F8"/>
    <w:rsid w:val="000821C1"/>
    <w:rsid w:val="00083C67"/>
    <w:rsid w:val="00084E35"/>
    <w:rsid w:val="0008544F"/>
    <w:rsid w:val="0008633C"/>
    <w:rsid w:val="00087257"/>
    <w:rsid w:val="000878F5"/>
    <w:rsid w:val="00087AB1"/>
    <w:rsid w:val="00091117"/>
    <w:rsid w:val="0009124C"/>
    <w:rsid w:val="00091341"/>
    <w:rsid w:val="00091751"/>
    <w:rsid w:val="000918E2"/>
    <w:rsid w:val="00093208"/>
    <w:rsid w:val="000938EA"/>
    <w:rsid w:val="0009451E"/>
    <w:rsid w:val="000952F4"/>
    <w:rsid w:val="000962B3"/>
    <w:rsid w:val="0009651C"/>
    <w:rsid w:val="000965D8"/>
    <w:rsid w:val="000971D8"/>
    <w:rsid w:val="0009738D"/>
    <w:rsid w:val="00097B44"/>
    <w:rsid w:val="000A0E9E"/>
    <w:rsid w:val="000A1DCD"/>
    <w:rsid w:val="000A26EA"/>
    <w:rsid w:val="000A476F"/>
    <w:rsid w:val="000A6378"/>
    <w:rsid w:val="000A64D4"/>
    <w:rsid w:val="000A6F64"/>
    <w:rsid w:val="000A791D"/>
    <w:rsid w:val="000B0A0A"/>
    <w:rsid w:val="000B1323"/>
    <w:rsid w:val="000B20D3"/>
    <w:rsid w:val="000B3263"/>
    <w:rsid w:val="000B362A"/>
    <w:rsid w:val="000B3E3F"/>
    <w:rsid w:val="000B3F8D"/>
    <w:rsid w:val="000B4501"/>
    <w:rsid w:val="000B6611"/>
    <w:rsid w:val="000B6982"/>
    <w:rsid w:val="000C1D2D"/>
    <w:rsid w:val="000C21A4"/>
    <w:rsid w:val="000C34F8"/>
    <w:rsid w:val="000C470A"/>
    <w:rsid w:val="000C4F6A"/>
    <w:rsid w:val="000C5B31"/>
    <w:rsid w:val="000C6AFE"/>
    <w:rsid w:val="000D052B"/>
    <w:rsid w:val="000D19E4"/>
    <w:rsid w:val="000D2B6A"/>
    <w:rsid w:val="000D2F63"/>
    <w:rsid w:val="000D4D4E"/>
    <w:rsid w:val="000E03CD"/>
    <w:rsid w:val="000E1206"/>
    <w:rsid w:val="000E180C"/>
    <w:rsid w:val="000E271D"/>
    <w:rsid w:val="000E273C"/>
    <w:rsid w:val="000E2DD2"/>
    <w:rsid w:val="000E492F"/>
    <w:rsid w:val="000E54A6"/>
    <w:rsid w:val="000E571E"/>
    <w:rsid w:val="000E65ED"/>
    <w:rsid w:val="000E68D1"/>
    <w:rsid w:val="000E7260"/>
    <w:rsid w:val="000F02A7"/>
    <w:rsid w:val="000F0BAA"/>
    <w:rsid w:val="000F1587"/>
    <w:rsid w:val="000F2AC5"/>
    <w:rsid w:val="000F36E1"/>
    <w:rsid w:val="000F4867"/>
    <w:rsid w:val="000F52D7"/>
    <w:rsid w:val="000F5846"/>
    <w:rsid w:val="000F6176"/>
    <w:rsid w:val="001030E8"/>
    <w:rsid w:val="00103434"/>
    <w:rsid w:val="00103837"/>
    <w:rsid w:val="00103C7E"/>
    <w:rsid w:val="001053E8"/>
    <w:rsid w:val="00107200"/>
    <w:rsid w:val="001106ED"/>
    <w:rsid w:val="00110938"/>
    <w:rsid w:val="00110FF4"/>
    <w:rsid w:val="00111B81"/>
    <w:rsid w:val="001130AA"/>
    <w:rsid w:val="00113A88"/>
    <w:rsid w:val="00114029"/>
    <w:rsid w:val="00114194"/>
    <w:rsid w:val="001205D5"/>
    <w:rsid w:val="00121197"/>
    <w:rsid w:val="00121600"/>
    <w:rsid w:val="001217CA"/>
    <w:rsid w:val="00123728"/>
    <w:rsid w:val="00123C85"/>
    <w:rsid w:val="001247C0"/>
    <w:rsid w:val="00126D3F"/>
    <w:rsid w:val="001279A7"/>
    <w:rsid w:val="00130329"/>
    <w:rsid w:val="001305A0"/>
    <w:rsid w:val="00134A7C"/>
    <w:rsid w:val="00135541"/>
    <w:rsid w:val="00137F31"/>
    <w:rsid w:val="001407E7"/>
    <w:rsid w:val="001409EA"/>
    <w:rsid w:val="00141A4D"/>
    <w:rsid w:val="00143006"/>
    <w:rsid w:val="00143D7C"/>
    <w:rsid w:val="00143F1E"/>
    <w:rsid w:val="00144BEF"/>
    <w:rsid w:val="001472B7"/>
    <w:rsid w:val="0015014E"/>
    <w:rsid w:val="00150998"/>
    <w:rsid w:val="001516DD"/>
    <w:rsid w:val="00151AD0"/>
    <w:rsid w:val="00151C17"/>
    <w:rsid w:val="001520E1"/>
    <w:rsid w:val="001531A2"/>
    <w:rsid w:val="00155EBD"/>
    <w:rsid w:val="00155EC4"/>
    <w:rsid w:val="00156013"/>
    <w:rsid w:val="00157204"/>
    <w:rsid w:val="001610F7"/>
    <w:rsid w:val="00164990"/>
    <w:rsid w:val="00166387"/>
    <w:rsid w:val="00167909"/>
    <w:rsid w:val="00171221"/>
    <w:rsid w:val="00171F77"/>
    <w:rsid w:val="00172DAC"/>
    <w:rsid w:val="001747B8"/>
    <w:rsid w:val="0017660C"/>
    <w:rsid w:val="001812B6"/>
    <w:rsid w:val="00181AF1"/>
    <w:rsid w:val="00181B28"/>
    <w:rsid w:val="00182307"/>
    <w:rsid w:val="00183ACB"/>
    <w:rsid w:val="0018490E"/>
    <w:rsid w:val="001857FE"/>
    <w:rsid w:val="00186051"/>
    <w:rsid w:val="00187065"/>
    <w:rsid w:val="00187AA2"/>
    <w:rsid w:val="00191D5C"/>
    <w:rsid w:val="0019257E"/>
    <w:rsid w:val="00192C15"/>
    <w:rsid w:val="0019495E"/>
    <w:rsid w:val="00195E1E"/>
    <w:rsid w:val="00195F40"/>
    <w:rsid w:val="00197B8E"/>
    <w:rsid w:val="001A2176"/>
    <w:rsid w:val="001A2F1D"/>
    <w:rsid w:val="001A3787"/>
    <w:rsid w:val="001A4FE3"/>
    <w:rsid w:val="001A69FA"/>
    <w:rsid w:val="001A7D02"/>
    <w:rsid w:val="001B0C71"/>
    <w:rsid w:val="001B0CED"/>
    <w:rsid w:val="001B23F5"/>
    <w:rsid w:val="001B5387"/>
    <w:rsid w:val="001B5ABA"/>
    <w:rsid w:val="001B7100"/>
    <w:rsid w:val="001B7D8B"/>
    <w:rsid w:val="001C096D"/>
    <w:rsid w:val="001C2518"/>
    <w:rsid w:val="001C2DD1"/>
    <w:rsid w:val="001C61DB"/>
    <w:rsid w:val="001D61C9"/>
    <w:rsid w:val="001D7239"/>
    <w:rsid w:val="001D7BDD"/>
    <w:rsid w:val="001E0434"/>
    <w:rsid w:val="001E1506"/>
    <w:rsid w:val="001E16C5"/>
    <w:rsid w:val="001E2EC0"/>
    <w:rsid w:val="001E2F6C"/>
    <w:rsid w:val="001E4863"/>
    <w:rsid w:val="001E64D7"/>
    <w:rsid w:val="001E757E"/>
    <w:rsid w:val="001E7809"/>
    <w:rsid w:val="001E7DC9"/>
    <w:rsid w:val="001F0D69"/>
    <w:rsid w:val="001F21BE"/>
    <w:rsid w:val="001F2289"/>
    <w:rsid w:val="001F3B10"/>
    <w:rsid w:val="001F4451"/>
    <w:rsid w:val="0020427E"/>
    <w:rsid w:val="00204C5B"/>
    <w:rsid w:val="00205C06"/>
    <w:rsid w:val="00211449"/>
    <w:rsid w:val="00212165"/>
    <w:rsid w:val="00212890"/>
    <w:rsid w:val="002155B3"/>
    <w:rsid w:val="00215787"/>
    <w:rsid w:val="00215FA5"/>
    <w:rsid w:val="00216687"/>
    <w:rsid w:val="00216893"/>
    <w:rsid w:val="00216BDB"/>
    <w:rsid w:val="0022028B"/>
    <w:rsid w:val="0022038C"/>
    <w:rsid w:val="00221BE4"/>
    <w:rsid w:val="0022221D"/>
    <w:rsid w:val="00222F37"/>
    <w:rsid w:val="00223565"/>
    <w:rsid w:val="00223758"/>
    <w:rsid w:val="00223C57"/>
    <w:rsid w:val="00223E77"/>
    <w:rsid w:val="00225000"/>
    <w:rsid w:val="00225241"/>
    <w:rsid w:val="002278DA"/>
    <w:rsid w:val="0022799B"/>
    <w:rsid w:val="00230B24"/>
    <w:rsid w:val="00230D72"/>
    <w:rsid w:val="002316B3"/>
    <w:rsid w:val="00231FBD"/>
    <w:rsid w:val="00232298"/>
    <w:rsid w:val="00232B42"/>
    <w:rsid w:val="00233DA2"/>
    <w:rsid w:val="00233EF6"/>
    <w:rsid w:val="00235795"/>
    <w:rsid w:val="00235DA1"/>
    <w:rsid w:val="00236EB3"/>
    <w:rsid w:val="00237F35"/>
    <w:rsid w:val="002400A8"/>
    <w:rsid w:val="00241E74"/>
    <w:rsid w:val="00243441"/>
    <w:rsid w:val="0024390E"/>
    <w:rsid w:val="00243FAA"/>
    <w:rsid w:val="0025129C"/>
    <w:rsid w:val="002513CB"/>
    <w:rsid w:val="002522E0"/>
    <w:rsid w:val="00252898"/>
    <w:rsid w:val="00252FC9"/>
    <w:rsid w:val="0025324F"/>
    <w:rsid w:val="00253C07"/>
    <w:rsid w:val="00256F88"/>
    <w:rsid w:val="002603C2"/>
    <w:rsid w:val="00260734"/>
    <w:rsid w:val="00261B7C"/>
    <w:rsid w:val="00263932"/>
    <w:rsid w:val="002667A1"/>
    <w:rsid w:val="00266DDE"/>
    <w:rsid w:val="0026789D"/>
    <w:rsid w:val="00267FD0"/>
    <w:rsid w:val="00270771"/>
    <w:rsid w:val="002708F1"/>
    <w:rsid w:val="00271C92"/>
    <w:rsid w:val="0027214B"/>
    <w:rsid w:val="00272C1C"/>
    <w:rsid w:val="0027391B"/>
    <w:rsid w:val="0027558E"/>
    <w:rsid w:val="0027743A"/>
    <w:rsid w:val="0028126B"/>
    <w:rsid w:val="00281681"/>
    <w:rsid w:val="002826B8"/>
    <w:rsid w:val="002858B4"/>
    <w:rsid w:val="00286442"/>
    <w:rsid w:val="0028757A"/>
    <w:rsid w:val="002878D7"/>
    <w:rsid w:val="00291397"/>
    <w:rsid w:val="00291503"/>
    <w:rsid w:val="00292171"/>
    <w:rsid w:val="00292BC0"/>
    <w:rsid w:val="002931CD"/>
    <w:rsid w:val="00295D32"/>
    <w:rsid w:val="00297C7B"/>
    <w:rsid w:val="002A1EEC"/>
    <w:rsid w:val="002A269A"/>
    <w:rsid w:val="002A284B"/>
    <w:rsid w:val="002A30CF"/>
    <w:rsid w:val="002A5221"/>
    <w:rsid w:val="002A55FB"/>
    <w:rsid w:val="002A60B9"/>
    <w:rsid w:val="002A647F"/>
    <w:rsid w:val="002A782E"/>
    <w:rsid w:val="002A7B9A"/>
    <w:rsid w:val="002B1615"/>
    <w:rsid w:val="002B2424"/>
    <w:rsid w:val="002B2475"/>
    <w:rsid w:val="002B4E35"/>
    <w:rsid w:val="002B4E7B"/>
    <w:rsid w:val="002B509C"/>
    <w:rsid w:val="002B60A2"/>
    <w:rsid w:val="002B75D8"/>
    <w:rsid w:val="002C0D5F"/>
    <w:rsid w:val="002C17D0"/>
    <w:rsid w:val="002C1AEE"/>
    <w:rsid w:val="002C4768"/>
    <w:rsid w:val="002C4C1A"/>
    <w:rsid w:val="002C548A"/>
    <w:rsid w:val="002C63B7"/>
    <w:rsid w:val="002D017E"/>
    <w:rsid w:val="002D1BE7"/>
    <w:rsid w:val="002D1C73"/>
    <w:rsid w:val="002D38D6"/>
    <w:rsid w:val="002D7C90"/>
    <w:rsid w:val="002D7D46"/>
    <w:rsid w:val="002E0604"/>
    <w:rsid w:val="002E1E8B"/>
    <w:rsid w:val="002E33A7"/>
    <w:rsid w:val="002E506F"/>
    <w:rsid w:val="002E6207"/>
    <w:rsid w:val="002E626E"/>
    <w:rsid w:val="002E6D91"/>
    <w:rsid w:val="002E7539"/>
    <w:rsid w:val="002F0399"/>
    <w:rsid w:val="002F22AA"/>
    <w:rsid w:val="002F2CFC"/>
    <w:rsid w:val="002F36F4"/>
    <w:rsid w:val="002F44DF"/>
    <w:rsid w:val="002F4BA3"/>
    <w:rsid w:val="002F5C7F"/>
    <w:rsid w:val="002F606F"/>
    <w:rsid w:val="002F6DB5"/>
    <w:rsid w:val="003006CC"/>
    <w:rsid w:val="0030181A"/>
    <w:rsid w:val="003026D9"/>
    <w:rsid w:val="003052AB"/>
    <w:rsid w:val="003063CC"/>
    <w:rsid w:val="003065A7"/>
    <w:rsid w:val="0030716F"/>
    <w:rsid w:val="00312F50"/>
    <w:rsid w:val="00315026"/>
    <w:rsid w:val="00315D82"/>
    <w:rsid w:val="00316D6A"/>
    <w:rsid w:val="003205BE"/>
    <w:rsid w:val="003217A6"/>
    <w:rsid w:val="00322CD9"/>
    <w:rsid w:val="00326CD4"/>
    <w:rsid w:val="00326EB8"/>
    <w:rsid w:val="003270AE"/>
    <w:rsid w:val="003271F0"/>
    <w:rsid w:val="00327F0C"/>
    <w:rsid w:val="00330012"/>
    <w:rsid w:val="00330164"/>
    <w:rsid w:val="00331AC6"/>
    <w:rsid w:val="00331C42"/>
    <w:rsid w:val="00332EA4"/>
    <w:rsid w:val="003337F0"/>
    <w:rsid w:val="003357A7"/>
    <w:rsid w:val="003359F6"/>
    <w:rsid w:val="00335CE9"/>
    <w:rsid w:val="00335DF5"/>
    <w:rsid w:val="0033720B"/>
    <w:rsid w:val="003402E1"/>
    <w:rsid w:val="003407E1"/>
    <w:rsid w:val="003409C6"/>
    <w:rsid w:val="003417FB"/>
    <w:rsid w:val="00342814"/>
    <w:rsid w:val="00342F42"/>
    <w:rsid w:val="0034352E"/>
    <w:rsid w:val="00343823"/>
    <w:rsid w:val="003439A7"/>
    <w:rsid w:val="00345176"/>
    <w:rsid w:val="003459DB"/>
    <w:rsid w:val="00345B65"/>
    <w:rsid w:val="0034687B"/>
    <w:rsid w:val="00346A36"/>
    <w:rsid w:val="00346BE2"/>
    <w:rsid w:val="0034708C"/>
    <w:rsid w:val="00347634"/>
    <w:rsid w:val="0035020A"/>
    <w:rsid w:val="00350D6B"/>
    <w:rsid w:val="00352D75"/>
    <w:rsid w:val="0035373A"/>
    <w:rsid w:val="00354044"/>
    <w:rsid w:val="003543A6"/>
    <w:rsid w:val="00355A1E"/>
    <w:rsid w:val="00355A96"/>
    <w:rsid w:val="00356277"/>
    <w:rsid w:val="00356503"/>
    <w:rsid w:val="00357066"/>
    <w:rsid w:val="003572B2"/>
    <w:rsid w:val="0035789B"/>
    <w:rsid w:val="00357EE5"/>
    <w:rsid w:val="00361CEA"/>
    <w:rsid w:val="00361CEF"/>
    <w:rsid w:val="00363D17"/>
    <w:rsid w:val="0036486B"/>
    <w:rsid w:val="003653D7"/>
    <w:rsid w:val="00365CC4"/>
    <w:rsid w:val="00367EB8"/>
    <w:rsid w:val="003708DE"/>
    <w:rsid w:val="003712DC"/>
    <w:rsid w:val="00371E87"/>
    <w:rsid w:val="00373DA6"/>
    <w:rsid w:val="00373FC1"/>
    <w:rsid w:val="003774A6"/>
    <w:rsid w:val="00377E8D"/>
    <w:rsid w:val="0038169B"/>
    <w:rsid w:val="00382755"/>
    <w:rsid w:val="00382F54"/>
    <w:rsid w:val="0038312C"/>
    <w:rsid w:val="003831DC"/>
    <w:rsid w:val="00384C64"/>
    <w:rsid w:val="00384EFC"/>
    <w:rsid w:val="003874E4"/>
    <w:rsid w:val="00387B97"/>
    <w:rsid w:val="00390584"/>
    <w:rsid w:val="003905E0"/>
    <w:rsid w:val="00390AC4"/>
    <w:rsid w:val="00390BAA"/>
    <w:rsid w:val="00390D57"/>
    <w:rsid w:val="00392404"/>
    <w:rsid w:val="00392980"/>
    <w:rsid w:val="00394AA8"/>
    <w:rsid w:val="00394EFF"/>
    <w:rsid w:val="00395450"/>
    <w:rsid w:val="003959CA"/>
    <w:rsid w:val="00396EA5"/>
    <w:rsid w:val="003A034B"/>
    <w:rsid w:val="003A112B"/>
    <w:rsid w:val="003A18C4"/>
    <w:rsid w:val="003A279B"/>
    <w:rsid w:val="003A3420"/>
    <w:rsid w:val="003A3C53"/>
    <w:rsid w:val="003A5D59"/>
    <w:rsid w:val="003A655E"/>
    <w:rsid w:val="003A656C"/>
    <w:rsid w:val="003A76EC"/>
    <w:rsid w:val="003A7D25"/>
    <w:rsid w:val="003B0352"/>
    <w:rsid w:val="003B110A"/>
    <w:rsid w:val="003B1D7B"/>
    <w:rsid w:val="003B1F3E"/>
    <w:rsid w:val="003B1FD7"/>
    <w:rsid w:val="003B304D"/>
    <w:rsid w:val="003B30B9"/>
    <w:rsid w:val="003B3E44"/>
    <w:rsid w:val="003B40AF"/>
    <w:rsid w:val="003B6041"/>
    <w:rsid w:val="003C003C"/>
    <w:rsid w:val="003C104E"/>
    <w:rsid w:val="003C2F8F"/>
    <w:rsid w:val="003C4380"/>
    <w:rsid w:val="003C4AF2"/>
    <w:rsid w:val="003C4E63"/>
    <w:rsid w:val="003C5A48"/>
    <w:rsid w:val="003C5C41"/>
    <w:rsid w:val="003C7776"/>
    <w:rsid w:val="003D3618"/>
    <w:rsid w:val="003D441D"/>
    <w:rsid w:val="003D51D1"/>
    <w:rsid w:val="003D6612"/>
    <w:rsid w:val="003D7D94"/>
    <w:rsid w:val="003E0054"/>
    <w:rsid w:val="003E05C7"/>
    <w:rsid w:val="003E1093"/>
    <w:rsid w:val="003E20E7"/>
    <w:rsid w:val="003E2590"/>
    <w:rsid w:val="003E2BFA"/>
    <w:rsid w:val="003E3547"/>
    <w:rsid w:val="003E6D5E"/>
    <w:rsid w:val="003E76A3"/>
    <w:rsid w:val="003E7B2D"/>
    <w:rsid w:val="003F0F50"/>
    <w:rsid w:val="003F10BB"/>
    <w:rsid w:val="003F1315"/>
    <w:rsid w:val="003F164A"/>
    <w:rsid w:val="003F23AF"/>
    <w:rsid w:val="003F2B2C"/>
    <w:rsid w:val="003F646A"/>
    <w:rsid w:val="003F66D1"/>
    <w:rsid w:val="003F6B23"/>
    <w:rsid w:val="003F6CE5"/>
    <w:rsid w:val="003F769D"/>
    <w:rsid w:val="003F7F29"/>
    <w:rsid w:val="00401533"/>
    <w:rsid w:val="004020CA"/>
    <w:rsid w:val="0040398F"/>
    <w:rsid w:val="00405459"/>
    <w:rsid w:val="004120D0"/>
    <w:rsid w:val="00412F8C"/>
    <w:rsid w:val="0041306F"/>
    <w:rsid w:val="004132CF"/>
    <w:rsid w:val="00420327"/>
    <w:rsid w:val="0042098C"/>
    <w:rsid w:val="00421C70"/>
    <w:rsid w:val="00422358"/>
    <w:rsid w:val="00422483"/>
    <w:rsid w:val="00422558"/>
    <w:rsid w:val="00423644"/>
    <w:rsid w:val="004272C0"/>
    <w:rsid w:val="0042794C"/>
    <w:rsid w:val="00431B26"/>
    <w:rsid w:val="00433D81"/>
    <w:rsid w:val="00434516"/>
    <w:rsid w:val="00435A86"/>
    <w:rsid w:val="00436B21"/>
    <w:rsid w:val="00443988"/>
    <w:rsid w:val="004443BC"/>
    <w:rsid w:val="00445EB8"/>
    <w:rsid w:val="00446FAA"/>
    <w:rsid w:val="004547B0"/>
    <w:rsid w:val="0045712F"/>
    <w:rsid w:val="00457601"/>
    <w:rsid w:val="004609EB"/>
    <w:rsid w:val="00461D4B"/>
    <w:rsid w:val="0046259A"/>
    <w:rsid w:val="00462E43"/>
    <w:rsid w:val="0046426C"/>
    <w:rsid w:val="00464AE8"/>
    <w:rsid w:val="00464FD4"/>
    <w:rsid w:val="00467719"/>
    <w:rsid w:val="004707E7"/>
    <w:rsid w:val="00470962"/>
    <w:rsid w:val="004712AF"/>
    <w:rsid w:val="004725B7"/>
    <w:rsid w:val="0047267B"/>
    <w:rsid w:val="00472A97"/>
    <w:rsid w:val="00473F31"/>
    <w:rsid w:val="00474506"/>
    <w:rsid w:val="00485875"/>
    <w:rsid w:val="00486096"/>
    <w:rsid w:val="004860A5"/>
    <w:rsid w:val="00486826"/>
    <w:rsid w:val="004878A8"/>
    <w:rsid w:val="00487BCE"/>
    <w:rsid w:val="0049135F"/>
    <w:rsid w:val="00491D55"/>
    <w:rsid w:val="00492019"/>
    <w:rsid w:val="004920DF"/>
    <w:rsid w:val="0049314F"/>
    <w:rsid w:val="004938B7"/>
    <w:rsid w:val="00493D5E"/>
    <w:rsid w:val="00495885"/>
    <w:rsid w:val="00495BB1"/>
    <w:rsid w:val="00495FA4"/>
    <w:rsid w:val="00496694"/>
    <w:rsid w:val="004969CF"/>
    <w:rsid w:val="004A095B"/>
    <w:rsid w:val="004A0A32"/>
    <w:rsid w:val="004A0A89"/>
    <w:rsid w:val="004A0D74"/>
    <w:rsid w:val="004A13C1"/>
    <w:rsid w:val="004A6356"/>
    <w:rsid w:val="004A6657"/>
    <w:rsid w:val="004A74ED"/>
    <w:rsid w:val="004B04E7"/>
    <w:rsid w:val="004B09BD"/>
    <w:rsid w:val="004B0F97"/>
    <w:rsid w:val="004B10FD"/>
    <w:rsid w:val="004B3036"/>
    <w:rsid w:val="004B38C9"/>
    <w:rsid w:val="004B633E"/>
    <w:rsid w:val="004B6839"/>
    <w:rsid w:val="004B7F0F"/>
    <w:rsid w:val="004C031F"/>
    <w:rsid w:val="004C0375"/>
    <w:rsid w:val="004C04A0"/>
    <w:rsid w:val="004C23C8"/>
    <w:rsid w:val="004C2E3C"/>
    <w:rsid w:val="004C321A"/>
    <w:rsid w:val="004C38AE"/>
    <w:rsid w:val="004C53ED"/>
    <w:rsid w:val="004C7D0D"/>
    <w:rsid w:val="004D0A56"/>
    <w:rsid w:val="004D3221"/>
    <w:rsid w:val="004D33F6"/>
    <w:rsid w:val="004D390D"/>
    <w:rsid w:val="004D6814"/>
    <w:rsid w:val="004E062A"/>
    <w:rsid w:val="004E2D22"/>
    <w:rsid w:val="004E2E1D"/>
    <w:rsid w:val="004E300D"/>
    <w:rsid w:val="004E384F"/>
    <w:rsid w:val="004E393C"/>
    <w:rsid w:val="004E5FB0"/>
    <w:rsid w:val="004E657F"/>
    <w:rsid w:val="004E7726"/>
    <w:rsid w:val="004F0536"/>
    <w:rsid w:val="004F064A"/>
    <w:rsid w:val="004F2935"/>
    <w:rsid w:val="004F41A6"/>
    <w:rsid w:val="004F6A43"/>
    <w:rsid w:val="004F6CFE"/>
    <w:rsid w:val="004F77A7"/>
    <w:rsid w:val="004F7943"/>
    <w:rsid w:val="004F7D03"/>
    <w:rsid w:val="00500207"/>
    <w:rsid w:val="00500BB4"/>
    <w:rsid w:val="00502ECC"/>
    <w:rsid w:val="00502F78"/>
    <w:rsid w:val="00504CAD"/>
    <w:rsid w:val="00504FD3"/>
    <w:rsid w:val="00505037"/>
    <w:rsid w:val="0050693A"/>
    <w:rsid w:val="0050744F"/>
    <w:rsid w:val="0050784C"/>
    <w:rsid w:val="005079EE"/>
    <w:rsid w:val="00510852"/>
    <w:rsid w:val="0051155E"/>
    <w:rsid w:val="00512467"/>
    <w:rsid w:val="00512665"/>
    <w:rsid w:val="00513540"/>
    <w:rsid w:val="005139DA"/>
    <w:rsid w:val="00514497"/>
    <w:rsid w:val="005176F7"/>
    <w:rsid w:val="00524F89"/>
    <w:rsid w:val="00526333"/>
    <w:rsid w:val="0053013C"/>
    <w:rsid w:val="00530B11"/>
    <w:rsid w:val="00531E8D"/>
    <w:rsid w:val="0053273C"/>
    <w:rsid w:val="00532BF9"/>
    <w:rsid w:val="00532D9F"/>
    <w:rsid w:val="0053358B"/>
    <w:rsid w:val="005342C6"/>
    <w:rsid w:val="00535186"/>
    <w:rsid w:val="005363CB"/>
    <w:rsid w:val="00536A2C"/>
    <w:rsid w:val="00537BA9"/>
    <w:rsid w:val="00540B97"/>
    <w:rsid w:val="00541EE9"/>
    <w:rsid w:val="0054276A"/>
    <w:rsid w:val="00543D1E"/>
    <w:rsid w:val="00544050"/>
    <w:rsid w:val="00546682"/>
    <w:rsid w:val="0054780F"/>
    <w:rsid w:val="00553E0B"/>
    <w:rsid w:val="00554C7E"/>
    <w:rsid w:val="00555C22"/>
    <w:rsid w:val="00555E03"/>
    <w:rsid w:val="00556AFA"/>
    <w:rsid w:val="005579E6"/>
    <w:rsid w:val="005600B6"/>
    <w:rsid w:val="0056160B"/>
    <w:rsid w:val="00563A9D"/>
    <w:rsid w:val="00564162"/>
    <w:rsid w:val="00565D0A"/>
    <w:rsid w:val="005666C4"/>
    <w:rsid w:val="00567757"/>
    <w:rsid w:val="00567B1E"/>
    <w:rsid w:val="005709EF"/>
    <w:rsid w:val="005716BE"/>
    <w:rsid w:val="00574814"/>
    <w:rsid w:val="00580759"/>
    <w:rsid w:val="005808B1"/>
    <w:rsid w:val="00580C5E"/>
    <w:rsid w:val="00580CBC"/>
    <w:rsid w:val="005818DA"/>
    <w:rsid w:val="00581FCD"/>
    <w:rsid w:val="00583192"/>
    <w:rsid w:val="005858FC"/>
    <w:rsid w:val="00585C75"/>
    <w:rsid w:val="00585E62"/>
    <w:rsid w:val="005872C0"/>
    <w:rsid w:val="00591B94"/>
    <w:rsid w:val="00591FDD"/>
    <w:rsid w:val="00592CD4"/>
    <w:rsid w:val="00594364"/>
    <w:rsid w:val="00594F35"/>
    <w:rsid w:val="00595526"/>
    <w:rsid w:val="00597075"/>
    <w:rsid w:val="005A18D4"/>
    <w:rsid w:val="005A2344"/>
    <w:rsid w:val="005A2D53"/>
    <w:rsid w:val="005A330B"/>
    <w:rsid w:val="005A3540"/>
    <w:rsid w:val="005A38BA"/>
    <w:rsid w:val="005A39BD"/>
    <w:rsid w:val="005A3F85"/>
    <w:rsid w:val="005A680F"/>
    <w:rsid w:val="005A6B3B"/>
    <w:rsid w:val="005A770C"/>
    <w:rsid w:val="005A7CC8"/>
    <w:rsid w:val="005B000D"/>
    <w:rsid w:val="005B36C5"/>
    <w:rsid w:val="005B4DF4"/>
    <w:rsid w:val="005B76EF"/>
    <w:rsid w:val="005C2912"/>
    <w:rsid w:val="005C4047"/>
    <w:rsid w:val="005C4179"/>
    <w:rsid w:val="005C5BA9"/>
    <w:rsid w:val="005C5CD4"/>
    <w:rsid w:val="005D1BF1"/>
    <w:rsid w:val="005D6F38"/>
    <w:rsid w:val="005D7197"/>
    <w:rsid w:val="005E07FD"/>
    <w:rsid w:val="005E19E2"/>
    <w:rsid w:val="005E265A"/>
    <w:rsid w:val="005E284B"/>
    <w:rsid w:val="005E4047"/>
    <w:rsid w:val="005E5081"/>
    <w:rsid w:val="005E5F8A"/>
    <w:rsid w:val="005E606F"/>
    <w:rsid w:val="005E620A"/>
    <w:rsid w:val="005E7B94"/>
    <w:rsid w:val="005F0349"/>
    <w:rsid w:val="005F7323"/>
    <w:rsid w:val="00600C4D"/>
    <w:rsid w:val="00602673"/>
    <w:rsid w:val="00602D0E"/>
    <w:rsid w:val="0060319D"/>
    <w:rsid w:val="00603587"/>
    <w:rsid w:val="00604AC4"/>
    <w:rsid w:val="0060583C"/>
    <w:rsid w:val="006064A6"/>
    <w:rsid w:val="00606568"/>
    <w:rsid w:val="00607C26"/>
    <w:rsid w:val="00607D38"/>
    <w:rsid w:val="00611164"/>
    <w:rsid w:val="00611B00"/>
    <w:rsid w:val="00613171"/>
    <w:rsid w:val="00614971"/>
    <w:rsid w:val="00615883"/>
    <w:rsid w:val="00615C45"/>
    <w:rsid w:val="006160C5"/>
    <w:rsid w:val="00617D3A"/>
    <w:rsid w:val="00620444"/>
    <w:rsid w:val="006213E8"/>
    <w:rsid w:val="006275C4"/>
    <w:rsid w:val="00630637"/>
    <w:rsid w:val="00632833"/>
    <w:rsid w:val="00633BE1"/>
    <w:rsid w:val="00634108"/>
    <w:rsid w:val="006343FB"/>
    <w:rsid w:val="0063495E"/>
    <w:rsid w:val="00634DA8"/>
    <w:rsid w:val="0064054A"/>
    <w:rsid w:val="00640C19"/>
    <w:rsid w:val="00643CB7"/>
    <w:rsid w:val="00645AA4"/>
    <w:rsid w:val="00647A01"/>
    <w:rsid w:val="00650E27"/>
    <w:rsid w:val="006514C8"/>
    <w:rsid w:val="006521F1"/>
    <w:rsid w:val="006525AC"/>
    <w:rsid w:val="00652606"/>
    <w:rsid w:val="00653636"/>
    <w:rsid w:val="0065373F"/>
    <w:rsid w:val="006544CC"/>
    <w:rsid w:val="0066015F"/>
    <w:rsid w:val="00661133"/>
    <w:rsid w:val="006614AD"/>
    <w:rsid w:val="00661FC2"/>
    <w:rsid w:val="00664535"/>
    <w:rsid w:val="0066723A"/>
    <w:rsid w:val="00670C8F"/>
    <w:rsid w:val="00671458"/>
    <w:rsid w:val="0067232F"/>
    <w:rsid w:val="006740AF"/>
    <w:rsid w:val="00675498"/>
    <w:rsid w:val="00675D1B"/>
    <w:rsid w:val="00675D39"/>
    <w:rsid w:val="006760AE"/>
    <w:rsid w:val="00676EBE"/>
    <w:rsid w:val="006770F8"/>
    <w:rsid w:val="0067723C"/>
    <w:rsid w:val="006777BB"/>
    <w:rsid w:val="00681470"/>
    <w:rsid w:val="00681ECE"/>
    <w:rsid w:val="0068546E"/>
    <w:rsid w:val="00686C58"/>
    <w:rsid w:val="00687365"/>
    <w:rsid w:val="00690CE2"/>
    <w:rsid w:val="00690E0F"/>
    <w:rsid w:val="0069205A"/>
    <w:rsid w:val="006921D7"/>
    <w:rsid w:val="00693E4D"/>
    <w:rsid w:val="006948F9"/>
    <w:rsid w:val="006949B9"/>
    <w:rsid w:val="00696710"/>
    <w:rsid w:val="006977C6"/>
    <w:rsid w:val="0069789B"/>
    <w:rsid w:val="00697A86"/>
    <w:rsid w:val="00697B8C"/>
    <w:rsid w:val="006A0AA4"/>
    <w:rsid w:val="006A4452"/>
    <w:rsid w:val="006A5788"/>
    <w:rsid w:val="006A59B1"/>
    <w:rsid w:val="006A7E8A"/>
    <w:rsid w:val="006A7F36"/>
    <w:rsid w:val="006A7F3B"/>
    <w:rsid w:val="006B044B"/>
    <w:rsid w:val="006B1EC0"/>
    <w:rsid w:val="006B6621"/>
    <w:rsid w:val="006B6E15"/>
    <w:rsid w:val="006B761D"/>
    <w:rsid w:val="006C2C4B"/>
    <w:rsid w:val="006C3B64"/>
    <w:rsid w:val="006C54D7"/>
    <w:rsid w:val="006C746A"/>
    <w:rsid w:val="006D0C0D"/>
    <w:rsid w:val="006D0DB3"/>
    <w:rsid w:val="006D0DBD"/>
    <w:rsid w:val="006D231C"/>
    <w:rsid w:val="006D26A6"/>
    <w:rsid w:val="006D39EE"/>
    <w:rsid w:val="006D3F3B"/>
    <w:rsid w:val="006D493C"/>
    <w:rsid w:val="006D507E"/>
    <w:rsid w:val="006D595D"/>
    <w:rsid w:val="006D672C"/>
    <w:rsid w:val="006D6E9C"/>
    <w:rsid w:val="006D7447"/>
    <w:rsid w:val="006E1F31"/>
    <w:rsid w:val="006E2EB8"/>
    <w:rsid w:val="006E4C93"/>
    <w:rsid w:val="006E5C32"/>
    <w:rsid w:val="006E61F2"/>
    <w:rsid w:val="006E6BAC"/>
    <w:rsid w:val="006E7466"/>
    <w:rsid w:val="006F179D"/>
    <w:rsid w:val="006F1AEC"/>
    <w:rsid w:val="006F2081"/>
    <w:rsid w:val="006F41EB"/>
    <w:rsid w:val="006F54AB"/>
    <w:rsid w:val="006F693F"/>
    <w:rsid w:val="006F710F"/>
    <w:rsid w:val="006F7AE7"/>
    <w:rsid w:val="00700607"/>
    <w:rsid w:val="007016D7"/>
    <w:rsid w:val="00701E0C"/>
    <w:rsid w:val="00702808"/>
    <w:rsid w:val="0070490A"/>
    <w:rsid w:val="00707C04"/>
    <w:rsid w:val="007135DC"/>
    <w:rsid w:val="00713E76"/>
    <w:rsid w:val="007153B4"/>
    <w:rsid w:val="00715C02"/>
    <w:rsid w:val="00717461"/>
    <w:rsid w:val="00717713"/>
    <w:rsid w:val="00717FC8"/>
    <w:rsid w:val="00720598"/>
    <w:rsid w:val="007207D3"/>
    <w:rsid w:val="00721668"/>
    <w:rsid w:val="00723265"/>
    <w:rsid w:val="0072334E"/>
    <w:rsid w:val="0072668B"/>
    <w:rsid w:val="00726E55"/>
    <w:rsid w:val="007275FE"/>
    <w:rsid w:val="00727EC5"/>
    <w:rsid w:val="00732A3F"/>
    <w:rsid w:val="007331F4"/>
    <w:rsid w:val="007360AA"/>
    <w:rsid w:val="00737B76"/>
    <w:rsid w:val="00743025"/>
    <w:rsid w:val="00743C55"/>
    <w:rsid w:val="007459D2"/>
    <w:rsid w:val="00751020"/>
    <w:rsid w:val="00751305"/>
    <w:rsid w:val="0075571E"/>
    <w:rsid w:val="00755785"/>
    <w:rsid w:val="00760898"/>
    <w:rsid w:val="00760922"/>
    <w:rsid w:val="00761ABC"/>
    <w:rsid w:val="00764B33"/>
    <w:rsid w:val="00765E04"/>
    <w:rsid w:val="00766588"/>
    <w:rsid w:val="00767729"/>
    <w:rsid w:val="0077043E"/>
    <w:rsid w:val="00771FDC"/>
    <w:rsid w:val="00773338"/>
    <w:rsid w:val="007736DB"/>
    <w:rsid w:val="00773E95"/>
    <w:rsid w:val="00774253"/>
    <w:rsid w:val="00776644"/>
    <w:rsid w:val="00776B61"/>
    <w:rsid w:val="0077725D"/>
    <w:rsid w:val="007776CC"/>
    <w:rsid w:val="00777D95"/>
    <w:rsid w:val="00780980"/>
    <w:rsid w:val="007817BB"/>
    <w:rsid w:val="00784D73"/>
    <w:rsid w:val="0078659D"/>
    <w:rsid w:val="00786B75"/>
    <w:rsid w:val="0079459D"/>
    <w:rsid w:val="00794C09"/>
    <w:rsid w:val="00795034"/>
    <w:rsid w:val="00795C4C"/>
    <w:rsid w:val="007977BB"/>
    <w:rsid w:val="007A0B77"/>
    <w:rsid w:val="007A3DDA"/>
    <w:rsid w:val="007A480A"/>
    <w:rsid w:val="007A5C8B"/>
    <w:rsid w:val="007A6948"/>
    <w:rsid w:val="007A70C2"/>
    <w:rsid w:val="007A7618"/>
    <w:rsid w:val="007B0A5B"/>
    <w:rsid w:val="007B1586"/>
    <w:rsid w:val="007B2043"/>
    <w:rsid w:val="007B214D"/>
    <w:rsid w:val="007B260F"/>
    <w:rsid w:val="007B30BE"/>
    <w:rsid w:val="007B35E9"/>
    <w:rsid w:val="007B50F6"/>
    <w:rsid w:val="007B5100"/>
    <w:rsid w:val="007B567A"/>
    <w:rsid w:val="007B6600"/>
    <w:rsid w:val="007B7B34"/>
    <w:rsid w:val="007C27B2"/>
    <w:rsid w:val="007C4E24"/>
    <w:rsid w:val="007C6FD1"/>
    <w:rsid w:val="007D1E85"/>
    <w:rsid w:val="007D2070"/>
    <w:rsid w:val="007D51F9"/>
    <w:rsid w:val="007D53C2"/>
    <w:rsid w:val="007D5C7E"/>
    <w:rsid w:val="007D5E53"/>
    <w:rsid w:val="007D6D40"/>
    <w:rsid w:val="007D6F7D"/>
    <w:rsid w:val="007E0EA0"/>
    <w:rsid w:val="007E3DC2"/>
    <w:rsid w:val="007E3DD8"/>
    <w:rsid w:val="007E43EE"/>
    <w:rsid w:val="007F0175"/>
    <w:rsid w:val="007F0966"/>
    <w:rsid w:val="007F1327"/>
    <w:rsid w:val="007F1512"/>
    <w:rsid w:val="007F2E68"/>
    <w:rsid w:val="007F3027"/>
    <w:rsid w:val="007F30C3"/>
    <w:rsid w:val="007F3FF7"/>
    <w:rsid w:val="007F563F"/>
    <w:rsid w:val="007F581C"/>
    <w:rsid w:val="007F6484"/>
    <w:rsid w:val="007F717D"/>
    <w:rsid w:val="00802E41"/>
    <w:rsid w:val="008032DC"/>
    <w:rsid w:val="008036AB"/>
    <w:rsid w:val="00804542"/>
    <w:rsid w:val="00804764"/>
    <w:rsid w:val="00804C37"/>
    <w:rsid w:val="008053F5"/>
    <w:rsid w:val="00805DEF"/>
    <w:rsid w:val="00810776"/>
    <w:rsid w:val="00812B1A"/>
    <w:rsid w:val="00812E20"/>
    <w:rsid w:val="0081325C"/>
    <w:rsid w:val="008136C2"/>
    <w:rsid w:val="00814FFA"/>
    <w:rsid w:val="00815014"/>
    <w:rsid w:val="0081633D"/>
    <w:rsid w:val="00816579"/>
    <w:rsid w:val="00820FCA"/>
    <w:rsid w:val="00821781"/>
    <w:rsid w:val="0082276C"/>
    <w:rsid w:val="00822E25"/>
    <w:rsid w:val="00822EE4"/>
    <w:rsid w:val="00822F41"/>
    <w:rsid w:val="0082466B"/>
    <w:rsid w:val="00825123"/>
    <w:rsid w:val="008260EE"/>
    <w:rsid w:val="008264DD"/>
    <w:rsid w:val="00826B13"/>
    <w:rsid w:val="00830382"/>
    <w:rsid w:val="00831755"/>
    <w:rsid w:val="00831FF6"/>
    <w:rsid w:val="00832633"/>
    <w:rsid w:val="0083270C"/>
    <w:rsid w:val="0083556F"/>
    <w:rsid w:val="00836992"/>
    <w:rsid w:val="00837457"/>
    <w:rsid w:val="008407AD"/>
    <w:rsid w:val="008411C2"/>
    <w:rsid w:val="008411D3"/>
    <w:rsid w:val="0084275B"/>
    <w:rsid w:val="008468EF"/>
    <w:rsid w:val="008477EF"/>
    <w:rsid w:val="008519F2"/>
    <w:rsid w:val="00852461"/>
    <w:rsid w:val="00852899"/>
    <w:rsid w:val="008532AB"/>
    <w:rsid w:val="00855FA7"/>
    <w:rsid w:val="00862733"/>
    <w:rsid w:val="00863CF9"/>
    <w:rsid w:val="00863D58"/>
    <w:rsid w:val="00864B70"/>
    <w:rsid w:val="008655FF"/>
    <w:rsid w:val="00867EF4"/>
    <w:rsid w:val="0087019B"/>
    <w:rsid w:val="0087075B"/>
    <w:rsid w:val="00870D39"/>
    <w:rsid w:val="00873C98"/>
    <w:rsid w:val="00875C70"/>
    <w:rsid w:val="0087673B"/>
    <w:rsid w:val="00877079"/>
    <w:rsid w:val="00877877"/>
    <w:rsid w:val="0088160B"/>
    <w:rsid w:val="008862DA"/>
    <w:rsid w:val="00886711"/>
    <w:rsid w:val="00887618"/>
    <w:rsid w:val="008903CD"/>
    <w:rsid w:val="008910F6"/>
    <w:rsid w:val="008912B8"/>
    <w:rsid w:val="00893124"/>
    <w:rsid w:val="008956BF"/>
    <w:rsid w:val="00897658"/>
    <w:rsid w:val="00897897"/>
    <w:rsid w:val="00897F54"/>
    <w:rsid w:val="008A1A37"/>
    <w:rsid w:val="008A27F8"/>
    <w:rsid w:val="008A2957"/>
    <w:rsid w:val="008A315F"/>
    <w:rsid w:val="008A4167"/>
    <w:rsid w:val="008A5248"/>
    <w:rsid w:val="008A74A4"/>
    <w:rsid w:val="008B0A3F"/>
    <w:rsid w:val="008B12AB"/>
    <w:rsid w:val="008B2124"/>
    <w:rsid w:val="008B4B31"/>
    <w:rsid w:val="008B5202"/>
    <w:rsid w:val="008B5BA6"/>
    <w:rsid w:val="008C0F6F"/>
    <w:rsid w:val="008C1BD2"/>
    <w:rsid w:val="008C1CDF"/>
    <w:rsid w:val="008C2505"/>
    <w:rsid w:val="008C2A4C"/>
    <w:rsid w:val="008C3189"/>
    <w:rsid w:val="008C446E"/>
    <w:rsid w:val="008C6401"/>
    <w:rsid w:val="008C7D20"/>
    <w:rsid w:val="008D0687"/>
    <w:rsid w:val="008D15C8"/>
    <w:rsid w:val="008D1AC0"/>
    <w:rsid w:val="008D1D45"/>
    <w:rsid w:val="008D2B58"/>
    <w:rsid w:val="008D5700"/>
    <w:rsid w:val="008D68B9"/>
    <w:rsid w:val="008D6E18"/>
    <w:rsid w:val="008D7016"/>
    <w:rsid w:val="008E085D"/>
    <w:rsid w:val="008E149F"/>
    <w:rsid w:val="008E431F"/>
    <w:rsid w:val="008E63A3"/>
    <w:rsid w:val="008E66BA"/>
    <w:rsid w:val="008F05CC"/>
    <w:rsid w:val="008F07EB"/>
    <w:rsid w:val="008F4D29"/>
    <w:rsid w:val="008F5F65"/>
    <w:rsid w:val="008F7ABF"/>
    <w:rsid w:val="009011C5"/>
    <w:rsid w:val="00902074"/>
    <w:rsid w:val="00903BBE"/>
    <w:rsid w:val="00907340"/>
    <w:rsid w:val="009073EE"/>
    <w:rsid w:val="00907AF8"/>
    <w:rsid w:val="00907CFC"/>
    <w:rsid w:val="00910875"/>
    <w:rsid w:val="00912AE0"/>
    <w:rsid w:val="00913703"/>
    <w:rsid w:val="009145FE"/>
    <w:rsid w:val="0091561B"/>
    <w:rsid w:val="00915AE8"/>
    <w:rsid w:val="009161CC"/>
    <w:rsid w:val="00917A19"/>
    <w:rsid w:val="00917CF3"/>
    <w:rsid w:val="00917EBB"/>
    <w:rsid w:val="0092098E"/>
    <w:rsid w:val="009212E7"/>
    <w:rsid w:val="00921A9A"/>
    <w:rsid w:val="009232EF"/>
    <w:rsid w:val="00923837"/>
    <w:rsid w:val="00924392"/>
    <w:rsid w:val="009262EA"/>
    <w:rsid w:val="0092651A"/>
    <w:rsid w:val="00926B7A"/>
    <w:rsid w:val="009272A1"/>
    <w:rsid w:val="00927CF3"/>
    <w:rsid w:val="00931C23"/>
    <w:rsid w:val="00932AE4"/>
    <w:rsid w:val="00934725"/>
    <w:rsid w:val="00937B68"/>
    <w:rsid w:val="00940F6E"/>
    <w:rsid w:val="00941466"/>
    <w:rsid w:val="009425A5"/>
    <w:rsid w:val="009439C9"/>
    <w:rsid w:val="0094449D"/>
    <w:rsid w:val="00944FB4"/>
    <w:rsid w:val="009450D3"/>
    <w:rsid w:val="00945477"/>
    <w:rsid w:val="00945C61"/>
    <w:rsid w:val="0094636F"/>
    <w:rsid w:val="00946506"/>
    <w:rsid w:val="00946586"/>
    <w:rsid w:val="009472D6"/>
    <w:rsid w:val="0094776A"/>
    <w:rsid w:val="009478D5"/>
    <w:rsid w:val="00947D84"/>
    <w:rsid w:val="00950EE9"/>
    <w:rsid w:val="00952155"/>
    <w:rsid w:val="00952C53"/>
    <w:rsid w:val="00954198"/>
    <w:rsid w:val="00955B84"/>
    <w:rsid w:val="009612A5"/>
    <w:rsid w:val="00961BA0"/>
    <w:rsid w:val="009650F1"/>
    <w:rsid w:val="00965B3A"/>
    <w:rsid w:val="009663EC"/>
    <w:rsid w:val="00966FCA"/>
    <w:rsid w:val="0096780A"/>
    <w:rsid w:val="0096786E"/>
    <w:rsid w:val="00967F42"/>
    <w:rsid w:val="009708D0"/>
    <w:rsid w:val="009709C9"/>
    <w:rsid w:val="00971070"/>
    <w:rsid w:val="00972FC7"/>
    <w:rsid w:val="009735CE"/>
    <w:rsid w:val="00974B9B"/>
    <w:rsid w:val="009866C0"/>
    <w:rsid w:val="009867D7"/>
    <w:rsid w:val="0098709A"/>
    <w:rsid w:val="009873CD"/>
    <w:rsid w:val="00990F18"/>
    <w:rsid w:val="00992896"/>
    <w:rsid w:val="00994707"/>
    <w:rsid w:val="00994D20"/>
    <w:rsid w:val="0099784A"/>
    <w:rsid w:val="00997CA2"/>
    <w:rsid w:val="009A03C0"/>
    <w:rsid w:val="009A11DB"/>
    <w:rsid w:val="009A2EE8"/>
    <w:rsid w:val="009A36A2"/>
    <w:rsid w:val="009A4462"/>
    <w:rsid w:val="009A5B12"/>
    <w:rsid w:val="009B16C9"/>
    <w:rsid w:val="009B1DB1"/>
    <w:rsid w:val="009B34E0"/>
    <w:rsid w:val="009B3CED"/>
    <w:rsid w:val="009B44A3"/>
    <w:rsid w:val="009B7C62"/>
    <w:rsid w:val="009B7F41"/>
    <w:rsid w:val="009C082F"/>
    <w:rsid w:val="009C3853"/>
    <w:rsid w:val="009C59B6"/>
    <w:rsid w:val="009C5FCC"/>
    <w:rsid w:val="009D0ABA"/>
    <w:rsid w:val="009D13DF"/>
    <w:rsid w:val="009D1B1F"/>
    <w:rsid w:val="009D1E0A"/>
    <w:rsid w:val="009D327E"/>
    <w:rsid w:val="009D3463"/>
    <w:rsid w:val="009D3E12"/>
    <w:rsid w:val="009D68FA"/>
    <w:rsid w:val="009D7413"/>
    <w:rsid w:val="009D7533"/>
    <w:rsid w:val="009D783D"/>
    <w:rsid w:val="009E2D22"/>
    <w:rsid w:val="009E2DCC"/>
    <w:rsid w:val="009E366B"/>
    <w:rsid w:val="009E4D76"/>
    <w:rsid w:val="009E5345"/>
    <w:rsid w:val="009E5FED"/>
    <w:rsid w:val="009E6823"/>
    <w:rsid w:val="009E7103"/>
    <w:rsid w:val="009E7F13"/>
    <w:rsid w:val="009F4590"/>
    <w:rsid w:val="009F6925"/>
    <w:rsid w:val="009F6A41"/>
    <w:rsid w:val="009F76DB"/>
    <w:rsid w:val="009F7990"/>
    <w:rsid w:val="00A00403"/>
    <w:rsid w:val="00A004C1"/>
    <w:rsid w:val="00A00787"/>
    <w:rsid w:val="00A011DB"/>
    <w:rsid w:val="00A012E1"/>
    <w:rsid w:val="00A040B2"/>
    <w:rsid w:val="00A05D58"/>
    <w:rsid w:val="00A0600E"/>
    <w:rsid w:val="00A06219"/>
    <w:rsid w:val="00A06C53"/>
    <w:rsid w:val="00A0782D"/>
    <w:rsid w:val="00A0789C"/>
    <w:rsid w:val="00A07F90"/>
    <w:rsid w:val="00A120B0"/>
    <w:rsid w:val="00A12766"/>
    <w:rsid w:val="00A12CC5"/>
    <w:rsid w:val="00A13246"/>
    <w:rsid w:val="00A137EF"/>
    <w:rsid w:val="00A13A0B"/>
    <w:rsid w:val="00A2003D"/>
    <w:rsid w:val="00A254FD"/>
    <w:rsid w:val="00A259E1"/>
    <w:rsid w:val="00A26B8D"/>
    <w:rsid w:val="00A27AF5"/>
    <w:rsid w:val="00A30442"/>
    <w:rsid w:val="00A306DE"/>
    <w:rsid w:val="00A307B7"/>
    <w:rsid w:val="00A325EE"/>
    <w:rsid w:val="00A32CF2"/>
    <w:rsid w:val="00A3445D"/>
    <w:rsid w:val="00A34AF0"/>
    <w:rsid w:val="00A34C6C"/>
    <w:rsid w:val="00A365C1"/>
    <w:rsid w:val="00A373DB"/>
    <w:rsid w:val="00A377B1"/>
    <w:rsid w:val="00A4159B"/>
    <w:rsid w:val="00A429F7"/>
    <w:rsid w:val="00A43552"/>
    <w:rsid w:val="00A43CBB"/>
    <w:rsid w:val="00A45112"/>
    <w:rsid w:val="00A4517F"/>
    <w:rsid w:val="00A45DBD"/>
    <w:rsid w:val="00A47C2C"/>
    <w:rsid w:val="00A5091B"/>
    <w:rsid w:val="00A50A50"/>
    <w:rsid w:val="00A50E75"/>
    <w:rsid w:val="00A53E7E"/>
    <w:rsid w:val="00A5481D"/>
    <w:rsid w:val="00A54AB2"/>
    <w:rsid w:val="00A54FFC"/>
    <w:rsid w:val="00A56FE3"/>
    <w:rsid w:val="00A57787"/>
    <w:rsid w:val="00A60BDC"/>
    <w:rsid w:val="00A610A0"/>
    <w:rsid w:val="00A6209F"/>
    <w:rsid w:val="00A624E4"/>
    <w:rsid w:val="00A625E6"/>
    <w:rsid w:val="00A658AF"/>
    <w:rsid w:val="00A66404"/>
    <w:rsid w:val="00A67D02"/>
    <w:rsid w:val="00A75403"/>
    <w:rsid w:val="00A75860"/>
    <w:rsid w:val="00A76BE7"/>
    <w:rsid w:val="00A76DCE"/>
    <w:rsid w:val="00A77C14"/>
    <w:rsid w:val="00A808FF"/>
    <w:rsid w:val="00A81951"/>
    <w:rsid w:val="00A81AD2"/>
    <w:rsid w:val="00A820F7"/>
    <w:rsid w:val="00A8212D"/>
    <w:rsid w:val="00A82821"/>
    <w:rsid w:val="00A83561"/>
    <w:rsid w:val="00A83FDB"/>
    <w:rsid w:val="00A8577B"/>
    <w:rsid w:val="00A90CF9"/>
    <w:rsid w:val="00A92A6C"/>
    <w:rsid w:val="00A93120"/>
    <w:rsid w:val="00A94750"/>
    <w:rsid w:val="00A95CED"/>
    <w:rsid w:val="00A963E4"/>
    <w:rsid w:val="00AA0988"/>
    <w:rsid w:val="00AA0EC1"/>
    <w:rsid w:val="00AA1422"/>
    <w:rsid w:val="00AA2467"/>
    <w:rsid w:val="00AA2C88"/>
    <w:rsid w:val="00AA326A"/>
    <w:rsid w:val="00AA475D"/>
    <w:rsid w:val="00AA483F"/>
    <w:rsid w:val="00AA4C76"/>
    <w:rsid w:val="00AA7159"/>
    <w:rsid w:val="00AB02F9"/>
    <w:rsid w:val="00AB24E1"/>
    <w:rsid w:val="00AB26CD"/>
    <w:rsid w:val="00AB371A"/>
    <w:rsid w:val="00AB5F6D"/>
    <w:rsid w:val="00AB62B6"/>
    <w:rsid w:val="00AB6342"/>
    <w:rsid w:val="00AC24F5"/>
    <w:rsid w:val="00AC271A"/>
    <w:rsid w:val="00AC3549"/>
    <w:rsid w:val="00AC376D"/>
    <w:rsid w:val="00AC446C"/>
    <w:rsid w:val="00AC5071"/>
    <w:rsid w:val="00AC797B"/>
    <w:rsid w:val="00AD0B6B"/>
    <w:rsid w:val="00AD3C1B"/>
    <w:rsid w:val="00AD4240"/>
    <w:rsid w:val="00AD7AD3"/>
    <w:rsid w:val="00AD7F6B"/>
    <w:rsid w:val="00AE0CAF"/>
    <w:rsid w:val="00AE2374"/>
    <w:rsid w:val="00AE2E2C"/>
    <w:rsid w:val="00AE3D85"/>
    <w:rsid w:val="00AE3DAC"/>
    <w:rsid w:val="00AE57C6"/>
    <w:rsid w:val="00AE6F04"/>
    <w:rsid w:val="00AE71FA"/>
    <w:rsid w:val="00AF0DFA"/>
    <w:rsid w:val="00AF1B11"/>
    <w:rsid w:val="00AF26CD"/>
    <w:rsid w:val="00AF2B86"/>
    <w:rsid w:val="00AF2BCA"/>
    <w:rsid w:val="00AF383E"/>
    <w:rsid w:val="00AF40A0"/>
    <w:rsid w:val="00AF5326"/>
    <w:rsid w:val="00AF60D4"/>
    <w:rsid w:val="00AF6222"/>
    <w:rsid w:val="00AF644A"/>
    <w:rsid w:val="00AF7C17"/>
    <w:rsid w:val="00AF7C70"/>
    <w:rsid w:val="00B008DE"/>
    <w:rsid w:val="00B00AF2"/>
    <w:rsid w:val="00B01DA5"/>
    <w:rsid w:val="00B050E7"/>
    <w:rsid w:val="00B059D3"/>
    <w:rsid w:val="00B05FDE"/>
    <w:rsid w:val="00B0620A"/>
    <w:rsid w:val="00B06775"/>
    <w:rsid w:val="00B06A9C"/>
    <w:rsid w:val="00B06B0F"/>
    <w:rsid w:val="00B10650"/>
    <w:rsid w:val="00B13703"/>
    <w:rsid w:val="00B13B7F"/>
    <w:rsid w:val="00B14D52"/>
    <w:rsid w:val="00B16601"/>
    <w:rsid w:val="00B1674D"/>
    <w:rsid w:val="00B1677F"/>
    <w:rsid w:val="00B171E4"/>
    <w:rsid w:val="00B2071C"/>
    <w:rsid w:val="00B2271E"/>
    <w:rsid w:val="00B2287B"/>
    <w:rsid w:val="00B24032"/>
    <w:rsid w:val="00B242FA"/>
    <w:rsid w:val="00B247DD"/>
    <w:rsid w:val="00B24916"/>
    <w:rsid w:val="00B26212"/>
    <w:rsid w:val="00B27358"/>
    <w:rsid w:val="00B3174E"/>
    <w:rsid w:val="00B319DB"/>
    <w:rsid w:val="00B31FF4"/>
    <w:rsid w:val="00B322FC"/>
    <w:rsid w:val="00B32568"/>
    <w:rsid w:val="00B32A2A"/>
    <w:rsid w:val="00B344D9"/>
    <w:rsid w:val="00B34C74"/>
    <w:rsid w:val="00B371B4"/>
    <w:rsid w:val="00B37224"/>
    <w:rsid w:val="00B3783B"/>
    <w:rsid w:val="00B37891"/>
    <w:rsid w:val="00B408F8"/>
    <w:rsid w:val="00B40A66"/>
    <w:rsid w:val="00B40BC6"/>
    <w:rsid w:val="00B40DF0"/>
    <w:rsid w:val="00B434D8"/>
    <w:rsid w:val="00B45E18"/>
    <w:rsid w:val="00B46413"/>
    <w:rsid w:val="00B46A2C"/>
    <w:rsid w:val="00B50A6D"/>
    <w:rsid w:val="00B51207"/>
    <w:rsid w:val="00B53E32"/>
    <w:rsid w:val="00B553BF"/>
    <w:rsid w:val="00B559B4"/>
    <w:rsid w:val="00B56DA6"/>
    <w:rsid w:val="00B573DD"/>
    <w:rsid w:val="00B57CA2"/>
    <w:rsid w:val="00B57E3A"/>
    <w:rsid w:val="00B6171E"/>
    <w:rsid w:val="00B61815"/>
    <w:rsid w:val="00B62039"/>
    <w:rsid w:val="00B625BD"/>
    <w:rsid w:val="00B6274D"/>
    <w:rsid w:val="00B633D0"/>
    <w:rsid w:val="00B6343C"/>
    <w:rsid w:val="00B63B41"/>
    <w:rsid w:val="00B63D19"/>
    <w:rsid w:val="00B65405"/>
    <w:rsid w:val="00B65678"/>
    <w:rsid w:val="00B65A61"/>
    <w:rsid w:val="00B65E1D"/>
    <w:rsid w:val="00B72987"/>
    <w:rsid w:val="00B74D84"/>
    <w:rsid w:val="00B750D4"/>
    <w:rsid w:val="00B75C18"/>
    <w:rsid w:val="00B75DD2"/>
    <w:rsid w:val="00B77CD8"/>
    <w:rsid w:val="00B83572"/>
    <w:rsid w:val="00B83E17"/>
    <w:rsid w:val="00B841BC"/>
    <w:rsid w:val="00B86AC6"/>
    <w:rsid w:val="00B87044"/>
    <w:rsid w:val="00B8741A"/>
    <w:rsid w:val="00B903D8"/>
    <w:rsid w:val="00B9118A"/>
    <w:rsid w:val="00B93D8C"/>
    <w:rsid w:val="00B9510E"/>
    <w:rsid w:val="00B97000"/>
    <w:rsid w:val="00B979AC"/>
    <w:rsid w:val="00BA08BE"/>
    <w:rsid w:val="00BA20C6"/>
    <w:rsid w:val="00BA2F3C"/>
    <w:rsid w:val="00BA533D"/>
    <w:rsid w:val="00BA74DA"/>
    <w:rsid w:val="00BB0609"/>
    <w:rsid w:val="00BB083A"/>
    <w:rsid w:val="00BB0971"/>
    <w:rsid w:val="00BB09D6"/>
    <w:rsid w:val="00BB0AC8"/>
    <w:rsid w:val="00BB21FB"/>
    <w:rsid w:val="00BB4795"/>
    <w:rsid w:val="00BB4C71"/>
    <w:rsid w:val="00BB6714"/>
    <w:rsid w:val="00BB739C"/>
    <w:rsid w:val="00BB7484"/>
    <w:rsid w:val="00BB7A3E"/>
    <w:rsid w:val="00BC01B1"/>
    <w:rsid w:val="00BC072A"/>
    <w:rsid w:val="00BC12C7"/>
    <w:rsid w:val="00BC210F"/>
    <w:rsid w:val="00BC30CF"/>
    <w:rsid w:val="00BC3A46"/>
    <w:rsid w:val="00BC408D"/>
    <w:rsid w:val="00BC41AF"/>
    <w:rsid w:val="00BC4760"/>
    <w:rsid w:val="00BC638B"/>
    <w:rsid w:val="00BC6D1C"/>
    <w:rsid w:val="00BC7056"/>
    <w:rsid w:val="00BD09E8"/>
    <w:rsid w:val="00BD2BDE"/>
    <w:rsid w:val="00BD3454"/>
    <w:rsid w:val="00BD3F9E"/>
    <w:rsid w:val="00BD5D8F"/>
    <w:rsid w:val="00BD5DB5"/>
    <w:rsid w:val="00BD67CF"/>
    <w:rsid w:val="00BD685E"/>
    <w:rsid w:val="00BD7110"/>
    <w:rsid w:val="00BE1713"/>
    <w:rsid w:val="00BE29F7"/>
    <w:rsid w:val="00BE2F41"/>
    <w:rsid w:val="00BE7345"/>
    <w:rsid w:val="00BF09B9"/>
    <w:rsid w:val="00BF2437"/>
    <w:rsid w:val="00BF4024"/>
    <w:rsid w:val="00BF6E2B"/>
    <w:rsid w:val="00C0197B"/>
    <w:rsid w:val="00C028F0"/>
    <w:rsid w:val="00C03164"/>
    <w:rsid w:val="00C04212"/>
    <w:rsid w:val="00C05BF3"/>
    <w:rsid w:val="00C077E9"/>
    <w:rsid w:val="00C07E4C"/>
    <w:rsid w:val="00C10C53"/>
    <w:rsid w:val="00C116E6"/>
    <w:rsid w:val="00C11F5B"/>
    <w:rsid w:val="00C126BC"/>
    <w:rsid w:val="00C12CBD"/>
    <w:rsid w:val="00C13809"/>
    <w:rsid w:val="00C13D8A"/>
    <w:rsid w:val="00C15F36"/>
    <w:rsid w:val="00C16E5B"/>
    <w:rsid w:val="00C16EE4"/>
    <w:rsid w:val="00C17EF5"/>
    <w:rsid w:val="00C17F72"/>
    <w:rsid w:val="00C20539"/>
    <w:rsid w:val="00C20A1A"/>
    <w:rsid w:val="00C21219"/>
    <w:rsid w:val="00C21FC4"/>
    <w:rsid w:val="00C227AD"/>
    <w:rsid w:val="00C24A5B"/>
    <w:rsid w:val="00C25BFA"/>
    <w:rsid w:val="00C260E3"/>
    <w:rsid w:val="00C26C36"/>
    <w:rsid w:val="00C273C7"/>
    <w:rsid w:val="00C274F7"/>
    <w:rsid w:val="00C30734"/>
    <w:rsid w:val="00C3301A"/>
    <w:rsid w:val="00C338AB"/>
    <w:rsid w:val="00C338FF"/>
    <w:rsid w:val="00C33F18"/>
    <w:rsid w:val="00C33F5D"/>
    <w:rsid w:val="00C3476C"/>
    <w:rsid w:val="00C347AC"/>
    <w:rsid w:val="00C3512B"/>
    <w:rsid w:val="00C359C7"/>
    <w:rsid w:val="00C36345"/>
    <w:rsid w:val="00C40307"/>
    <w:rsid w:val="00C40850"/>
    <w:rsid w:val="00C408C4"/>
    <w:rsid w:val="00C40B9A"/>
    <w:rsid w:val="00C414FE"/>
    <w:rsid w:val="00C42390"/>
    <w:rsid w:val="00C44873"/>
    <w:rsid w:val="00C44FC6"/>
    <w:rsid w:val="00C45602"/>
    <w:rsid w:val="00C5266B"/>
    <w:rsid w:val="00C52E7E"/>
    <w:rsid w:val="00C53727"/>
    <w:rsid w:val="00C53892"/>
    <w:rsid w:val="00C54905"/>
    <w:rsid w:val="00C54FE7"/>
    <w:rsid w:val="00C555C9"/>
    <w:rsid w:val="00C55B06"/>
    <w:rsid w:val="00C61879"/>
    <w:rsid w:val="00C622AF"/>
    <w:rsid w:val="00C627C6"/>
    <w:rsid w:val="00C65099"/>
    <w:rsid w:val="00C651BE"/>
    <w:rsid w:val="00C6554F"/>
    <w:rsid w:val="00C664FD"/>
    <w:rsid w:val="00C66B99"/>
    <w:rsid w:val="00C66C8A"/>
    <w:rsid w:val="00C66D02"/>
    <w:rsid w:val="00C67CED"/>
    <w:rsid w:val="00C714D7"/>
    <w:rsid w:val="00C71663"/>
    <w:rsid w:val="00C73868"/>
    <w:rsid w:val="00C74011"/>
    <w:rsid w:val="00C7654E"/>
    <w:rsid w:val="00C76BBA"/>
    <w:rsid w:val="00C775E9"/>
    <w:rsid w:val="00C81C5A"/>
    <w:rsid w:val="00C82708"/>
    <w:rsid w:val="00C836A5"/>
    <w:rsid w:val="00C83833"/>
    <w:rsid w:val="00C84DBA"/>
    <w:rsid w:val="00C87EBC"/>
    <w:rsid w:val="00C91649"/>
    <w:rsid w:val="00C92874"/>
    <w:rsid w:val="00C92C92"/>
    <w:rsid w:val="00C93BB9"/>
    <w:rsid w:val="00C95AFF"/>
    <w:rsid w:val="00C96ACA"/>
    <w:rsid w:val="00CA04EE"/>
    <w:rsid w:val="00CA0748"/>
    <w:rsid w:val="00CA3CB4"/>
    <w:rsid w:val="00CA4C5A"/>
    <w:rsid w:val="00CA7985"/>
    <w:rsid w:val="00CA7F1C"/>
    <w:rsid w:val="00CB0183"/>
    <w:rsid w:val="00CB03D3"/>
    <w:rsid w:val="00CB08B4"/>
    <w:rsid w:val="00CB17E6"/>
    <w:rsid w:val="00CB2E41"/>
    <w:rsid w:val="00CB304A"/>
    <w:rsid w:val="00CB3202"/>
    <w:rsid w:val="00CB542F"/>
    <w:rsid w:val="00CB7D3E"/>
    <w:rsid w:val="00CB7D5C"/>
    <w:rsid w:val="00CC09E7"/>
    <w:rsid w:val="00CC0B5F"/>
    <w:rsid w:val="00CC0F47"/>
    <w:rsid w:val="00CC2C1D"/>
    <w:rsid w:val="00CC4145"/>
    <w:rsid w:val="00CC6B75"/>
    <w:rsid w:val="00CC7A8E"/>
    <w:rsid w:val="00CD1BBF"/>
    <w:rsid w:val="00CD2E54"/>
    <w:rsid w:val="00CD4A59"/>
    <w:rsid w:val="00CD67FD"/>
    <w:rsid w:val="00CD6C90"/>
    <w:rsid w:val="00CD7B65"/>
    <w:rsid w:val="00CE0912"/>
    <w:rsid w:val="00CE171E"/>
    <w:rsid w:val="00CE2528"/>
    <w:rsid w:val="00CE46C2"/>
    <w:rsid w:val="00CE669C"/>
    <w:rsid w:val="00CE6F80"/>
    <w:rsid w:val="00CE735F"/>
    <w:rsid w:val="00CE75EC"/>
    <w:rsid w:val="00CE7B19"/>
    <w:rsid w:val="00CF04E3"/>
    <w:rsid w:val="00CF2075"/>
    <w:rsid w:val="00CF2442"/>
    <w:rsid w:val="00CF3742"/>
    <w:rsid w:val="00CF4071"/>
    <w:rsid w:val="00CF4DAB"/>
    <w:rsid w:val="00CF58C9"/>
    <w:rsid w:val="00CF5E69"/>
    <w:rsid w:val="00CF761D"/>
    <w:rsid w:val="00D00EBB"/>
    <w:rsid w:val="00D01C47"/>
    <w:rsid w:val="00D01D84"/>
    <w:rsid w:val="00D057DC"/>
    <w:rsid w:val="00D10863"/>
    <w:rsid w:val="00D110DA"/>
    <w:rsid w:val="00D111F7"/>
    <w:rsid w:val="00D14B4F"/>
    <w:rsid w:val="00D16ACA"/>
    <w:rsid w:val="00D175B5"/>
    <w:rsid w:val="00D17E33"/>
    <w:rsid w:val="00D22830"/>
    <w:rsid w:val="00D2285E"/>
    <w:rsid w:val="00D24B58"/>
    <w:rsid w:val="00D2653F"/>
    <w:rsid w:val="00D27945"/>
    <w:rsid w:val="00D31D29"/>
    <w:rsid w:val="00D32193"/>
    <w:rsid w:val="00D3256B"/>
    <w:rsid w:val="00D325BA"/>
    <w:rsid w:val="00D3398F"/>
    <w:rsid w:val="00D339AF"/>
    <w:rsid w:val="00D34F0E"/>
    <w:rsid w:val="00D3586A"/>
    <w:rsid w:val="00D41E20"/>
    <w:rsid w:val="00D42C76"/>
    <w:rsid w:val="00D43F11"/>
    <w:rsid w:val="00D4423C"/>
    <w:rsid w:val="00D45913"/>
    <w:rsid w:val="00D46339"/>
    <w:rsid w:val="00D46C92"/>
    <w:rsid w:val="00D47F11"/>
    <w:rsid w:val="00D51521"/>
    <w:rsid w:val="00D54AA7"/>
    <w:rsid w:val="00D5586D"/>
    <w:rsid w:val="00D55D9D"/>
    <w:rsid w:val="00D55E20"/>
    <w:rsid w:val="00D60C4D"/>
    <w:rsid w:val="00D60F7B"/>
    <w:rsid w:val="00D61065"/>
    <w:rsid w:val="00D624C1"/>
    <w:rsid w:val="00D647DB"/>
    <w:rsid w:val="00D64DE3"/>
    <w:rsid w:val="00D66013"/>
    <w:rsid w:val="00D66E24"/>
    <w:rsid w:val="00D7099D"/>
    <w:rsid w:val="00D7174C"/>
    <w:rsid w:val="00D719A6"/>
    <w:rsid w:val="00D72EB6"/>
    <w:rsid w:val="00D72F8A"/>
    <w:rsid w:val="00D7301B"/>
    <w:rsid w:val="00D772E3"/>
    <w:rsid w:val="00D8070A"/>
    <w:rsid w:val="00D80F6D"/>
    <w:rsid w:val="00D82566"/>
    <w:rsid w:val="00D82AD7"/>
    <w:rsid w:val="00D82F38"/>
    <w:rsid w:val="00D8306A"/>
    <w:rsid w:val="00D834EF"/>
    <w:rsid w:val="00D83DE5"/>
    <w:rsid w:val="00D84F64"/>
    <w:rsid w:val="00D90160"/>
    <w:rsid w:val="00D901EB"/>
    <w:rsid w:val="00D903CE"/>
    <w:rsid w:val="00D92178"/>
    <w:rsid w:val="00D9388F"/>
    <w:rsid w:val="00D93DBC"/>
    <w:rsid w:val="00D94BCC"/>
    <w:rsid w:val="00D94CF1"/>
    <w:rsid w:val="00D9506B"/>
    <w:rsid w:val="00D95701"/>
    <w:rsid w:val="00D96144"/>
    <w:rsid w:val="00D9617B"/>
    <w:rsid w:val="00DA05E0"/>
    <w:rsid w:val="00DA1335"/>
    <w:rsid w:val="00DA38B3"/>
    <w:rsid w:val="00DA61D9"/>
    <w:rsid w:val="00DA70E1"/>
    <w:rsid w:val="00DB2687"/>
    <w:rsid w:val="00DB41C9"/>
    <w:rsid w:val="00DB43F2"/>
    <w:rsid w:val="00DB5937"/>
    <w:rsid w:val="00DB5C26"/>
    <w:rsid w:val="00DB61CA"/>
    <w:rsid w:val="00DC0157"/>
    <w:rsid w:val="00DC01BD"/>
    <w:rsid w:val="00DC09D9"/>
    <w:rsid w:val="00DC0C53"/>
    <w:rsid w:val="00DC0D17"/>
    <w:rsid w:val="00DC3291"/>
    <w:rsid w:val="00DC4543"/>
    <w:rsid w:val="00DC4A84"/>
    <w:rsid w:val="00DC4DDB"/>
    <w:rsid w:val="00DC663F"/>
    <w:rsid w:val="00DC6CA2"/>
    <w:rsid w:val="00DC741A"/>
    <w:rsid w:val="00DD067F"/>
    <w:rsid w:val="00DD1499"/>
    <w:rsid w:val="00DD1DA6"/>
    <w:rsid w:val="00DD1FF5"/>
    <w:rsid w:val="00DD39F8"/>
    <w:rsid w:val="00DD41C4"/>
    <w:rsid w:val="00DD4EA2"/>
    <w:rsid w:val="00DD5399"/>
    <w:rsid w:val="00DD54FB"/>
    <w:rsid w:val="00DD6BB4"/>
    <w:rsid w:val="00DE072B"/>
    <w:rsid w:val="00DE3FB3"/>
    <w:rsid w:val="00DE509E"/>
    <w:rsid w:val="00DE5C63"/>
    <w:rsid w:val="00DE61CD"/>
    <w:rsid w:val="00DE6489"/>
    <w:rsid w:val="00DE6BD1"/>
    <w:rsid w:val="00DF03B2"/>
    <w:rsid w:val="00DF0A54"/>
    <w:rsid w:val="00DF3EEC"/>
    <w:rsid w:val="00DF469A"/>
    <w:rsid w:val="00DF4B39"/>
    <w:rsid w:val="00DF706D"/>
    <w:rsid w:val="00E00900"/>
    <w:rsid w:val="00E01043"/>
    <w:rsid w:val="00E01559"/>
    <w:rsid w:val="00E01752"/>
    <w:rsid w:val="00E02265"/>
    <w:rsid w:val="00E033F9"/>
    <w:rsid w:val="00E04309"/>
    <w:rsid w:val="00E058F9"/>
    <w:rsid w:val="00E070B5"/>
    <w:rsid w:val="00E07563"/>
    <w:rsid w:val="00E07702"/>
    <w:rsid w:val="00E11E17"/>
    <w:rsid w:val="00E13CC9"/>
    <w:rsid w:val="00E13E8F"/>
    <w:rsid w:val="00E1478E"/>
    <w:rsid w:val="00E1598B"/>
    <w:rsid w:val="00E17A5A"/>
    <w:rsid w:val="00E2114B"/>
    <w:rsid w:val="00E219B9"/>
    <w:rsid w:val="00E25BD5"/>
    <w:rsid w:val="00E27F58"/>
    <w:rsid w:val="00E30716"/>
    <w:rsid w:val="00E30D9C"/>
    <w:rsid w:val="00E30F45"/>
    <w:rsid w:val="00E31069"/>
    <w:rsid w:val="00E31596"/>
    <w:rsid w:val="00E32D12"/>
    <w:rsid w:val="00E32F95"/>
    <w:rsid w:val="00E35466"/>
    <w:rsid w:val="00E35DDC"/>
    <w:rsid w:val="00E40A0F"/>
    <w:rsid w:val="00E414ED"/>
    <w:rsid w:val="00E42ECB"/>
    <w:rsid w:val="00E43C23"/>
    <w:rsid w:val="00E46C18"/>
    <w:rsid w:val="00E50815"/>
    <w:rsid w:val="00E5265F"/>
    <w:rsid w:val="00E53209"/>
    <w:rsid w:val="00E54A8E"/>
    <w:rsid w:val="00E54F91"/>
    <w:rsid w:val="00E557FA"/>
    <w:rsid w:val="00E558BC"/>
    <w:rsid w:val="00E60948"/>
    <w:rsid w:val="00E620F7"/>
    <w:rsid w:val="00E6391E"/>
    <w:rsid w:val="00E66C00"/>
    <w:rsid w:val="00E66D04"/>
    <w:rsid w:val="00E70493"/>
    <w:rsid w:val="00E7105A"/>
    <w:rsid w:val="00E710D3"/>
    <w:rsid w:val="00E72394"/>
    <w:rsid w:val="00E72B84"/>
    <w:rsid w:val="00E72EAD"/>
    <w:rsid w:val="00E72F66"/>
    <w:rsid w:val="00E73A72"/>
    <w:rsid w:val="00E745AC"/>
    <w:rsid w:val="00E76D02"/>
    <w:rsid w:val="00E77971"/>
    <w:rsid w:val="00E80BAA"/>
    <w:rsid w:val="00E80E40"/>
    <w:rsid w:val="00E81DB0"/>
    <w:rsid w:val="00E82CA7"/>
    <w:rsid w:val="00E831C5"/>
    <w:rsid w:val="00E85102"/>
    <w:rsid w:val="00E86C33"/>
    <w:rsid w:val="00E90EC9"/>
    <w:rsid w:val="00E917B7"/>
    <w:rsid w:val="00E92647"/>
    <w:rsid w:val="00E92E6B"/>
    <w:rsid w:val="00E93832"/>
    <w:rsid w:val="00E9599F"/>
    <w:rsid w:val="00EA0D45"/>
    <w:rsid w:val="00EA1B24"/>
    <w:rsid w:val="00EA339D"/>
    <w:rsid w:val="00EA4E59"/>
    <w:rsid w:val="00EA7995"/>
    <w:rsid w:val="00EB1768"/>
    <w:rsid w:val="00EB2285"/>
    <w:rsid w:val="00EB3682"/>
    <w:rsid w:val="00EB7114"/>
    <w:rsid w:val="00EC23F8"/>
    <w:rsid w:val="00EC30FF"/>
    <w:rsid w:val="00EC31BC"/>
    <w:rsid w:val="00EC3235"/>
    <w:rsid w:val="00EC3F2B"/>
    <w:rsid w:val="00EC403D"/>
    <w:rsid w:val="00EC64A2"/>
    <w:rsid w:val="00EC7011"/>
    <w:rsid w:val="00ED004D"/>
    <w:rsid w:val="00ED0C7F"/>
    <w:rsid w:val="00ED25F1"/>
    <w:rsid w:val="00ED3B16"/>
    <w:rsid w:val="00ED44CB"/>
    <w:rsid w:val="00ED52D9"/>
    <w:rsid w:val="00ED56E5"/>
    <w:rsid w:val="00ED6901"/>
    <w:rsid w:val="00ED6EFB"/>
    <w:rsid w:val="00ED7016"/>
    <w:rsid w:val="00ED704B"/>
    <w:rsid w:val="00EE1FF0"/>
    <w:rsid w:val="00EE2189"/>
    <w:rsid w:val="00EE38F6"/>
    <w:rsid w:val="00EE70A7"/>
    <w:rsid w:val="00EE7366"/>
    <w:rsid w:val="00EF0D64"/>
    <w:rsid w:val="00EF1640"/>
    <w:rsid w:val="00EF1ED5"/>
    <w:rsid w:val="00EF2497"/>
    <w:rsid w:val="00EF2F8F"/>
    <w:rsid w:val="00EF39CB"/>
    <w:rsid w:val="00EF4B56"/>
    <w:rsid w:val="00EF6FEA"/>
    <w:rsid w:val="00EF74B7"/>
    <w:rsid w:val="00EF76A0"/>
    <w:rsid w:val="00EF79D1"/>
    <w:rsid w:val="00F01E3D"/>
    <w:rsid w:val="00F02649"/>
    <w:rsid w:val="00F02897"/>
    <w:rsid w:val="00F04FED"/>
    <w:rsid w:val="00F07761"/>
    <w:rsid w:val="00F0778A"/>
    <w:rsid w:val="00F11305"/>
    <w:rsid w:val="00F11B73"/>
    <w:rsid w:val="00F11F70"/>
    <w:rsid w:val="00F13760"/>
    <w:rsid w:val="00F149DE"/>
    <w:rsid w:val="00F14A23"/>
    <w:rsid w:val="00F14F8D"/>
    <w:rsid w:val="00F15712"/>
    <w:rsid w:val="00F17EE8"/>
    <w:rsid w:val="00F218FA"/>
    <w:rsid w:val="00F23063"/>
    <w:rsid w:val="00F247E7"/>
    <w:rsid w:val="00F24ABF"/>
    <w:rsid w:val="00F25294"/>
    <w:rsid w:val="00F25A4E"/>
    <w:rsid w:val="00F26425"/>
    <w:rsid w:val="00F3290E"/>
    <w:rsid w:val="00F335B3"/>
    <w:rsid w:val="00F3388E"/>
    <w:rsid w:val="00F36DF8"/>
    <w:rsid w:val="00F3770F"/>
    <w:rsid w:val="00F37F68"/>
    <w:rsid w:val="00F4060B"/>
    <w:rsid w:val="00F40648"/>
    <w:rsid w:val="00F40EB9"/>
    <w:rsid w:val="00F4141B"/>
    <w:rsid w:val="00F418B6"/>
    <w:rsid w:val="00F41D91"/>
    <w:rsid w:val="00F41E55"/>
    <w:rsid w:val="00F42057"/>
    <w:rsid w:val="00F42802"/>
    <w:rsid w:val="00F458A7"/>
    <w:rsid w:val="00F4778B"/>
    <w:rsid w:val="00F5099D"/>
    <w:rsid w:val="00F50A62"/>
    <w:rsid w:val="00F51098"/>
    <w:rsid w:val="00F53B44"/>
    <w:rsid w:val="00F54269"/>
    <w:rsid w:val="00F542E8"/>
    <w:rsid w:val="00F552DC"/>
    <w:rsid w:val="00F55A9D"/>
    <w:rsid w:val="00F568A2"/>
    <w:rsid w:val="00F57669"/>
    <w:rsid w:val="00F628E8"/>
    <w:rsid w:val="00F63043"/>
    <w:rsid w:val="00F63715"/>
    <w:rsid w:val="00F64C4E"/>
    <w:rsid w:val="00F6634D"/>
    <w:rsid w:val="00F66737"/>
    <w:rsid w:val="00F6702D"/>
    <w:rsid w:val="00F701DB"/>
    <w:rsid w:val="00F71B99"/>
    <w:rsid w:val="00F74D52"/>
    <w:rsid w:val="00F75177"/>
    <w:rsid w:val="00F7553D"/>
    <w:rsid w:val="00F7684C"/>
    <w:rsid w:val="00F7725F"/>
    <w:rsid w:val="00F77CB6"/>
    <w:rsid w:val="00F77CC1"/>
    <w:rsid w:val="00F80B71"/>
    <w:rsid w:val="00F82A64"/>
    <w:rsid w:val="00F82E8F"/>
    <w:rsid w:val="00F8357A"/>
    <w:rsid w:val="00F8552B"/>
    <w:rsid w:val="00F85758"/>
    <w:rsid w:val="00F85CCD"/>
    <w:rsid w:val="00F86B6E"/>
    <w:rsid w:val="00F875B9"/>
    <w:rsid w:val="00F911EA"/>
    <w:rsid w:val="00F91E58"/>
    <w:rsid w:val="00F93E92"/>
    <w:rsid w:val="00F9572A"/>
    <w:rsid w:val="00F961F2"/>
    <w:rsid w:val="00F9673C"/>
    <w:rsid w:val="00FA0836"/>
    <w:rsid w:val="00FA2D2A"/>
    <w:rsid w:val="00FA465B"/>
    <w:rsid w:val="00FA534C"/>
    <w:rsid w:val="00FA6635"/>
    <w:rsid w:val="00FB0487"/>
    <w:rsid w:val="00FB05AE"/>
    <w:rsid w:val="00FB080C"/>
    <w:rsid w:val="00FB0CE0"/>
    <w:rsid w:val="00FB519C"/>
    <w:rsid w:val="00FB5C2F"/>
    <w:rsid w:val="00FB643F"/>
    <w:rsid w:val="00FB68D1"/>
    <w:rsid w:val="00FB7332"/>
    <w:rsid w:val="00FB7393"/>
    <w:rsid w:val="00FC02E2"/>
    <w:rsid w:val="00FC0773"/>
    <w:rsid w:val="00FC213B"/>
    <w:rsid w:val="00FC33D5"/>
    <w:rsid w:val="00FC4138"/>
    <w:rsid w:val="00FC49A3"/>
    <w:rsid w:val="00FC7CC3"/>
    <w:rsid w:val="00FC7D39"/>
    <w:rsid w:val="00FC7D78"/>
    <w:rsid w:val="00FD11CA"/>
    <w:rsid w:val="00FD1D94"/>
    <w:rsid w:val="00FD296F"/>
    <w:rsid w:val="00FD39AD"/>
    <w:rsid w:val="00FD4DE0"/>
    <w:rsid w:val="00FD4E18"/>
    <w:rsid w:val="00FD7579"/>
    <w:rsid w:val="00FD7BF0"/>
    <w:rsid w:val="00FD7C67"/>
    <w:rsid w:val="00FE122A"/>
    <w:rsid w:val="00FE31C6"/>
    <w:rsid w:val="00FE31ED"/>
    <w:rsid w:val="00FE5C8F"/>
    <w:rsid w:val="00FE6CC9"/>
    <w:rsid w:val="00FE7085"/>
    <w:rsid w:val="00FE76B9"/>
    <w:rsid w:val="00FF24B4"/>
    <w:rsid w:val="00FF5858"/>
    <w:rsid w:val="00FF6D81"/>
    <w:rsid w:val="00FF7424"/>
    <w:rsid w:val="00FF79DD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8AFAEB6"/>
  <w15:chartTrackingRefBased/>
  <w15:docId w15:val="{188C079F-C69C-4325-8676-CEB26446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5C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Arial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32633"/>
    <w:pPr>
      <w:numPr>
        <w:numId w:val="2"/>
      </w:numPr>
      <w:spacing w:after="240"/>
      <w:jc w:val="center"/>
      <w:outlineLvl w:val="0"/>
    </w:pPr>
    <w:rPr>
      <w:rFonts w:cs="Calibr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16BE"/>
    <w:pPr>
      <w:keepNext/>
      <w:numPr>
        <w:ilvl w:val="1"/>
        <w:numId w:val="3"/>
      </w:numPr>
      <w:spacing w:after="120"/>
      <w:ind w:left="357" w:hanging="357"/>
      <w:outlineLvl w:val="1"/>
    </w:pPr>
    <w:rPr>
      <w:rFonts w:cs="Calibri"/>
      <w:b/>
      <w:bCs/>
      <w:color w:val="000000"/>
      <w:sz w:val="26"/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DD39F8"/>
    <w:pPr>
      <w:numPr>
        <w:numId w:val="5"/>
      </w:numPr>
      <w:ind w:left="425" w:hanging="431"/>
      <w:outlineLvl w:val="2"/>
    </w:pPr>
    <w:rPr>
      <w:rFonts w:eastAsiaTheme="majorEastAsia" w:cstheme="majorBidi"/>
      <w:bCs w:val="0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43552"/>
    <w:pPr>
      <w:keepNext/>
      <w:outlineLvl w:val="3"/>
    </w:pPr>
    <w:rPr>
      <w:b/>
      <w:u w:val="singl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E384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raf">
    <w:name w:val="Graf"/>
    <w:basedOn w:val="Normln"/>
    <w:qFormat/>
    <w:rsid w:val="00D24B58"/>
    <w:pPr>
      <w:keepNext/>
      <w:numPr>
        <w:numId w:val="1"/>
      </w:numPr>
    </w:pPr>
    <w:rPr>
      <w:b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832633"/>
    <w:rPr>
      <w:rFonts w:ascii="Calibri" w:eastAsia="Times New Roman" w:hAnsi="Calibri" w:cs="Calibri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716BE"/>
    <w:rPr>
      <w:rFonts w:ascii="Calibri" w:eastAsia="Times New Roman" w:hAnsi="Calibri" w:cs="Calibri"/>
      <w:b/>
      <w:bCs/>
      <w:color w:val="000000"/>
      <w:sz w:val="26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D39F8"/>
    <w:rPr>
      <w:rFonts w:ascii="Calibri" w:eastAsiaTheme="majorEastAsia" w:hAnsi="Calibri" w:cstheme="majorBidi"/>
      <w:b/>
      <w:color w:val="000000"/>
      <w:sz w:val="26"/>
      <w:szCs w:val="26"/>
      <w:lang w:eastAsia="cs-CZ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"/>
    <w:link w:val="Textpoznpodarou"/>
    <w:uiPriority w:val="99"/>
    <w:locked/>
    <w:rsid w:val="00291397"/>
    <w:rPr>
      <w:rFonts w:cs="Times New Roman"/>
      <w:sz w:val="20"/>
    </w:rPr>
  </w:style>
  <w:style w:type="paragraph" w:styleId="Textpoznpodarou">
    <w:name w:val="footnote text"/>
    <w:aliases w:val="Footnote,Podrozdzia3,Podrozdział,Schriftart: 10 pt,Schriftart: 8 pt,Schriftart: 9 pt,pozn. pod čarou"/>
    <w:basedOn w:val="Normln"/>
    <w:link w:val="TextpoznpodarouChar"/>
    <w:uiPriority w:val="99"/>
    <w:unhideWhenUsed/>
    <w:rsid w:val="00291397"/>
    <w:pPr>
      <w:widowControl/>
      <w:autoSpaceDE/>
      <w:autoSpaceDN/>
      <w:adjustRightInd/>
    </w:pPr>
    <w:rPr>
      <w:rFonts w:asciiTheme="minorHAnsi" w:eastAsiaTheme="minorHAnsi" w:hAnsiTheme="minorHAnsi" w:cs="Times New Roman"/>
      <w:sz w:val="20"/>
      <w:szCs w:val="22"/>
      <w:lang w:eastAsia="en-US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FE5C8F"/>
    <w:rPr>
      <w:rFonts w:ascii="Calibri" w:eastAsia="Times New Roman" w:hAnsi="Calibri" w:cs="Arial"/>
      <w:sz w:val="20"/>
      <w:szCs w:val="20"/>
      <w:lang w:eastAsia="cs-CZ"/>
    </w:rPr>
  </w:style>
  <w:style w:type="character" w:styleId="Znakapoznpodarou">
    <w:name w:val="footnote reference"/>
    <w:aliases w:val="PGI Fußnote Ziffer"/>
    <w:uiPriority w:val="99"/>
    <w:rsid w:val="00FE5C8F"/>
    <w:rPr>
      <w:rFonts w:cs="Times New Roman"/>
      <w:vertAlign w:val="superscript"/>
    </w:rPr>
  </w:style>
  <w:style w:type="paragraph" w:styleId="Odstavecseseznamem">
    <w:name w:val="List Paragraph"/>
    <w:aliases w:val="List Paragraph_0,List Paragraph_1,List Paragraph_2,Nadpis pro KZ,Odrážky,Odstavec se seznamem1,Odstavec se seznamem2,můj Nadpis 2,odrážky"/>
    <w:basedOn w:val="Normln"/>
    <w:link w:val="OdstavecseseznamemChar"/>
    <w:uiPriority w:val="34"/>
    <w:qFormat/>
    <w:rsid w:val="00C6554F"/>
    <w:pPr>
      <w:widowControl/>
      <w:autoSpaceDE/>
      <w:autoSpaceDN/>
      <w:adjustRightInd/>
      <w:contextualSpacing/>
    </w:pPr>
    <w:rPr>
      <w:rFonts w:cs="Times New Roman"/>
      <w:szCs w:val="22"/>
      <w:lang w:eastAsia="en-US"/>
    </w:rPr>
  </w:style>
  <w:style w:type="character" w:customStyle="1" w:styleId="OdstavecseseznamemChar">
    <w:name w:val="Odstavec se seznamem Char"/>
    <w:aliases w:val="List Paragraph_0 Char,List Paragraph_1 Char,List Paragraph_2 Char,Nadpis pro KZ Char,Odrážky Char,Odstavec se seznamem1 Char,Odstavec se seznamem2 Char,můj Nadpis 2 Char,odrážky Char"/>
    <w:link w:val="Odstavecseseznamem"/>
    <w:uiPriority w:val="34"/>
    <w:locked/>
    <w:rsid w:val="00C6554F"/>
    <w:rPr>
      <w:rFonts w:ascii="Calibri" w:eastAsia="Times New Roman" w:hAnsi="Calibri" w:cs="Times New Roman"/>
      <w:sz w:val="24"/>
    </w:rPr>
  </w:style>
  <w:style w:type="table" w:styleId="Mkatabulky">
    <w:name w:val="Table Grid"/>
    <w:basedOn w:val="Normlntabulka"/>
    <w:uiPriority w:val="39"/>
    <w:rsid w:val="00FE5C8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FE5C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5C8F"/>
    <w:rPr>
      <w:rFonts w:ascii="Calibri" w:eastAsia="Times New Roman" w:hAnsi="Calibri" w:cs="Arial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E5C8F"/>
    <w:pPr>
      <w:widowControl/>
      <w:autoSpaceDE/>
      <w:autoSpaceDN/>
      <w:adjustRightInd/>
      <w:spacing w:after="120"/>
      <w:ind w:left="283"/>
    </w:pPr>
    <w:rPr>
      <w:rFonts w:cs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E5C8F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tabulka">
    <w:name w:val="tabulka"/>
    <w:basedOn w:val="Normln"/>
    <w:link w:val="tabulkaChar"/>
    <w:qFormat/>
    <w:rsid w:val="00CF761D"/>
    <w:pPr>
      <w:keepNext/>
      <w:widowControl/>
      <w:autoSpaceDE/>
      <w:autoSpaceDN/>
      <w:adjustRightInd/>
    </w:pPr>
    <w:rPr>
      <w:sz w:val="22"/>
      <w:szCs w:val="18"/>
      <w:lang w:eastAsia="en-US"/>
    </w:rPr>
  </w:style>
  <w:style w:type="character" w:customStyle="1" w:styleId="tabulkaChar">
    <w:name w:val="tabulka Char"/>
    <w:link w:val="tabulka"/>
    <w:rsid w:val="00CF761D"/>
    <w:rPr>
      <w:rFonts w:ascii="Calibri" w:eastAsia="Times New Roman" w:hAnsi="Calibri" w:cs="Arial"/>
      <w:szCs w:val="18"/>
    </w:rPr>
  </w:style>
  <w:style w:type="paragraph" w:customStyle="1" w:styleId="Poznmka">
    <w:name w:val="Poznámka"/>
    <w:basedOn w:val="Normln"/>
    <w:link w:val="PoznmkaChar"/>
    <w:autoRedefine/>
    <w:qFormat/>
    <w:rsid w:val="003417FB"/>
    <w:pPr>
      <w:widowControl/>
      <w:autoSpaceDE/>
      <w:autoSpaceDN/>
      <w:adjustRightInd/>
      <w:ind w:left="567" w:hanging="567"/>
    </w:pPr>
    <w:rPr>
      <w:rFonts w:asciiTheme="minorHAnsi" w:hAnsiTheme="minorHAnsi" w:cstheme="minorHAnsi"/>
      <w:sz w:val="20"/>
      <w:szCs w:val="18"/>
    </w:rPr>
  </w:style>
  <w:style w:type="character" w:customStyle="1" w:styleId="PoznmkaChar">
    <w:name w:val="Poznámka Char"/>
    <w:link w:val="Poznmka"/>
    <w:rsid w:val="003417FB"/>
    <w:rPr>
      <w:rFonts w:eastAsia="Times New Roman" w:cstheme="minorHAnsi"/>
      <w:sz w:val="20"/>
      <w:szCs w:val="18"/>
      <w:lang w:eastAsia="cs-CZ"/>
    </w:rPr>
  </w:style>
  <w:style w:type="paragraph" w:customStyle="1" w:styleId="Nzevtabulky">
    <w:name w:val="Název tabulky"/>
    <w:basedOn w:val="Normln"/>
    <w:qFormat/>
    <w:rsid w:val="00B05FDE"/>
    <w:pPr>
      <w:keepNext/>
      <w:widowControl/>
      <w:numPr>
        <w:numId w:val="4"/>
      </w:numPr>
      <w:autoSpaceDE/>
      <w:autoSpaceDN/>
      <w:adjustRightInd/>
    </w:pPr>
    <w:rPr>
      <w:b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3636"/>
    <w:rPr>
      <w:rFonts w:ascii="Arial" w:hAnsi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3636"/>
    <w:rPr>
      <w:rFonts w:ascii="Arial" w:eastAsia="Times New Roman" w:hAnsi="Arial" w:cs="Arial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F15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1512"/>
    <w:rPr>
      <w:rFonts w:ascii="Calibri" w:eastAsia="Times New Roman" w:hAnsi="Calibri" w:cs="Arial"/>
      <w:sz w:val="24"/>
      <w:szCs w:val="20"/>
      <w:lang w:eastAsia="cs-CZ"/>
    </w:rPr>
  </w:style>
  <w:style w:type="paragraph" w:customStyle="1" w:styleId="Obrzek">
    <w:name w:val="Obrázek"/>
    <w:basedOn w:val="Graf"/>
    <w:qFormat/>
    <w:rsid w:val="00D9506B"/>
    <w:pPr>
      <w:numPr>
        <w:numId w:val="13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9678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780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780A"/>
    <w:rPr>
      <w:rFonts w:ascii="Calibri" w:eastAsia="Times New Roman" w:hAnsi="Calibri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0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0F97"/>
    <w:rPr>
      <w:rFonts w:ascii="Calibri" w:eastAsia="Times New Roman" w:hAnsi="Calibri" w:cs="Arial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E02265"/>
    <w:pPr>
      <w:spacing w:after="0" w:line="240" w:lineRule="auto"/>
      <w:jc w:val="both"/>
    </w:pPr>
    <w:rPr>
      <w:rFonts w:eastAsia="Times New Roman" w:cs="Arial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43552"/>
    <w:rPr>
      <w:rFonts w:ascii="Calibri" w:eastAsia="Times New Roman" w:hAnsi="Calibri" w:cs="Arial"/>
      <w:b/>
      <w:sz w:val="24"/>
      <w:szCs w:val="20"/>
      <w:u w:val="single"/>
      <w:lang w:eastAsia="cs-CZ"/>
    </w:rPr>
  </w:style>
  <w:style w:type="character" w:styleId="Siln">
    <w:name w:val="Strong"/>
    <w:uiPriority w:val="22"/>
    <w:qFormat/>
    <w:rsid w:val="0034352E"/>
    <w:rPr>
      <w:b/>
      <w:bCs/>
    </w:rPr>
  </w:style>
  <w:style w:type="paragraph" w:customStyle="1" w:styleId="Nadpisshrnut">
    <w:name w:val="Nadpis shrnutí"/>
    <w:basedOn w:val="Normln"/>
    <w:qFormat/>
    <w:rsid w:val="00BA2F3C"/>
    <w:pPr>
      <w:numPr>
        <w:numId w:val="7"/>
      </w:numPr>
      <w:spacing w:after="60"/>
      <w:ind w:left="357" w:hanging="357"/>
    </w:pPr>
    <w:rPr>
      <w:b/>
      <w:szCs w:val="25"/>
    </w:rPr>
  </w:style>
  <w:style w:type="character" w:customStyle="1" w:styleId="Nadpis6Char">
    <w:name w:val="Nadpis 6 Char"/>
    <w:basedOn w:val="Standardnpsmoodstavce"/>
    <w:link w:val="Nadpis6"/>
    <w:uiPriority w:val="9"/>
    <w:rsid w:val="004E384F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27AD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40545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304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diagramLayout" Target="diagrams/layout1.xml"/><Relationship Id="rId26" Type="http://schemas.microsoft.com/office/2007/relationships/diagramDrawing" Target="diagrams/drawing2.xml"/><Relationship Id="rId39" Type="http://schemas.openxmlformats.org/officeDocument/2006/relationships/chart" Target="charts/chart4.xml"/><Relationship Id="rId21" Type="http://schemas.microsoft.com/office/2007/relationships/diagramDrawing" Target="diagrams/drawing1.xml"/><Relationship Id="rId34" Type="http://schemas.openxmlformats.org/officeDocument/2006/relationships/header" Target="header2.xml"/><Relationship Id="rId42" Type="http://schemas.openxmlformats.org/officeDocument/2006/relationships/chart" Target="charts/chart7.xml"/><Relationship Id="rId47" Type="http://schemas.openxmlformats.org/officeDocument/2006/relationships/chart" Target="charts/chart12.xm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diagramQuickStyle" Target="diagrams/quickStyle2.xml"/><Relationship Id="rId32" Type="http://schemas.openxmlformats.org/officeDocument/2006/relationships/image" Target="media/image5.png"/><Relationship Id="rId37" Type="http://schemas.openxmlformats.org/officeDocument/2006/relationships/header" Target="header3.xml"/><Relationship Id="rId40" Type="http://schemas.openxmlformats.org/officeDocument/2006/relationships/chart" Target="charts/chart5.xml"/><Relationship Id="rId45" Type="http://schemas.openxmlformats.org/officeDocument/2006/relationships/chart" Target="charts/chart10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diagramLayout" Target="diagrams/layout2.xml"/><Relationship Id="rId36" Type="http://schemas.openxmlformats.org/officeDocument/2006/relationships/footer" Target="footer2.xml"/><Relationship Id="rId49" Type="http://schemas.openxmlformats.org/officeDocument/2006/relationships/chart" Target="charts/chart14.xml"/><Relationship Id="rId10" Type="http://schemas.openxmlformats.org/officeDocument/2006/relationships/endnotes" Target="endnotes.xml"/><Relationship Id="rId19" Type="http://schemas.openxmlformats.org/officeDocument/2006/relationships/diagramQuickStyle" Target="diagrams/quickStyle1.xml"/><Relationship Id="rId31" Type="http://schemas.openxmlformats.org/officeDocument/2006/relationships/image" Target="media/image4.png"/><Relationship Id="rId44" Type="http://schemas.openxmlformats.org/officeDocument/2006/relationships/chart" Target="charts/chart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Relationship Id="rId22" Type="http://schemas.openxmlformats.org/officeDocument/2006/relationships/diagramData" Target="diagrams/data2.xml"/><Relationship Id="rId35" Type="http://schemas.openxmlformats.org/officeDocument/2006/relationships/footer" Target="footer1.xml"/><Relationship Id="rId43" Type="http://schemas.openxmlformats.org/officeDocument/2006/relationships/chart" Target="charts/chart8.xml"/><Relationship Id="rId48" Type="http://schemas.openxmlformats.org/officeDocument/2006/relationships/chart" Target="charts/chart13.xml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chart" Target="charts/chart1.xml"/><Relationship Id="rId17" Type="http://schemas.openxmlformats.org/officeDocument/2006/relationships/diagramData" Target="diagrams/data1.xml"/><Relationship Id="rId25" Type="http://schemas.openxmlformats.org/officeDocument/2006/relationships/diagramColors" Target="diagrams/colors2.xm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46" Type="http://schemas.openxmlformats.org/officeDocument/2006/relationships/chart" Target="charts/chart11.xml"/><Relationship Id="rId20" Type="http://schemas.openxmlformats.org/officeDocument/2006/relationships/diagramColors" Target="diagrams/colors1.xml"/><Relationship Id="rId41" Type="http://schemas.openxmlformats.org/officeDocument/2006/relationships/chart" Target="charts/chart6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zcr.cz/Soubor.ashx?souborID=37371&amp;typ=application/pdf&amp;nazev=Prezentace_odm%C4%9B%C5%88ov%C3%A1n%C3%AD%20zdravotn%C3%ADk%C5%AF%20v%20segmentu%20l%C5%AF%C5%BEkov%C3%A9%20p%C3%A9%C4%8De.pdf" TargetMode="External"/><Relationship Id="rId2" Type="http://schemas.openxmlformats.org/officeDocument/2006/relationships/hyperlink" Target="https://www.uzis.cz/category/tematicke-rady/ekonomika-financni-analyzy/pracovnici-ve-zdravotnictvi" TargetMode="External"/><Relationship Id="rId1" Type="http://schemas.openxmlformats.org/officeDocument/2006/relationships/hyperlink" Target="https://www.uzis.cz/index.php?pg=vystupy--statistika-vybranych-ekonomickych-temat--pracovnici-odmenovani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8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9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10.xlsx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chartUserShapes" Target="../drawings/drawing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11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12.xlsx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chartUserShapes" Target="../drawings/drawing3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3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4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5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6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7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Zabezpečení specializačního vzdělávání lékařů – univerzity, IPVZ</c:v>
                </c:pt>
              </c:strCache>
            </c:strRef>
          </c:tx>
          <c:spPr>
            <a:solidFill>
              <a:srgbClr val="004595"/>
            </a:solidFill>
            <a:ln>
              <a:solidFill>
                <a:srgbClr val="004595"/>
              </a:solidFill>
            </a:ln>
            <a:effectLst/>
          </c:spPr>
          <c:invertIfNegative val="0"/>
          <c:dLbls>
            <c:delete val="1"/>
          </c:dLbls>
          <c:cat>
            <c:numRef>
              <c:f>List1!$A$2:$A$5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List1!$B$2:$B$5</c:f>
              <c:numCache>
                <c:formatCode>General</c:formatCode>
                <c:ptCount val="4"/>
                <c:pt idx="0">
                  <c:v>38372</c:v>
                </c:pt>
                <c:pt idx="1">
                  <c:v>44917</c:v>
                </c:pt>
                <c:pt idx="2">
                  <c:v>51516</c:v>
                </c:pt>
                <c:pt idx="3">
                  <c:v>60595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D7-4427-960D-5EE7478C589D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Školicí místa – lékaři</c:v>
                </c:pt>
              </c:strCache>
            </c:strRef>
          </c:tx>
          <c:spPr>
            <a:solidFill>
              <a:srgbClr val="004595">
                <a:alpha val="80000"/>
              </a:srgbClr>
            </a:solidFill>
            <a:ln>
              <a:solidFill>
                <a:srgbClr val="004595"/>
              </a:solidFill>
            </a:ln>
            <a:effectLst/>
          </c:spPr>
          <c:invertIfNegative val="0"/>
          <c:dLbls>
            <c:delete val="1"/>
          </c:dLbls>
          <c:cat>
            <c:numRef>
              <c:f>List1!$A$2:$A$5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List1!$C$2:$C$5</c:f>
              <c:numCache>
                <c:formatCode>General</c:formatCode>
                <c:ptCount val="4"/>
                <c:pt idx="0">
                  <c:v>149125</c:v>
                </c:pt>
                <c:pt idx="1">
                  <c:v>189143</c:v>
                </c:pt>
                <c:pt idx="2">
                  <c:v>320028</c:v>
                </c:pt>
                <c:pt idx="3">
                  <c:v>423303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D7-4427-960D-5EE7478C589D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Školicí místa ─ nelékaři</c:v>
                </c:pt>
              </c:strCache>
            </c:strRef>
          </c:tx>
          <c:spPr>
            <a:solidFill>
              <a:srgbClr val="004595">
                <a:alpha val="60000"/>
              </a:srgbClr>
            </a:solidFill>
            <a:ln>
              <a:solidFill>
                <a:srgbClr val="004595"/>
              </a:solidFill>
            </a:ln>
            <a:effectLst/>
          </c:spPr>
          <c:invertIfNegative val="0"/>
          <c:dLbls>
            <c:delete val="1"/>
          </c:dLbls>
          <c:cat>
            <c:numRef>
              <c:f>List1!$A$2:$A$5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List1!$D$2:$D$5</c:f>
              <c:numCache>
                <c:formatCode>General</c:formatCode>
                <c:ptCount val="4"/>
                <c:pt idx="0">
                  <c:v>40957</c:v>
                </c:pt>
                <c:pt idx="1">
                  <c:v>33071</c:v>
                </c:pt>
                <c:pt idx="2">
                  <c:v>32686</c:v>
                </c:pt>
                <c:pt idx="3">
                  <c:v>36439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DD7-4427-960D-5EE7478C589D}"/>
            </c:ext>
          </c:extLst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Atestační zkoušky – nelékaři</c:v>
                </c:pt>
              </c:strCache>
            </c:strRef>
          </c:tx>
          <c:spPr>
            <a:solidFill>
              <a:srgbClr val="004595">
                <a:alpha val="40000"/>
              </a:srgbClr>
            </a:solidFill>
            <a:ln>
              <a:solidFill>
                <a:srgbClr val="004595"/>
              </a:solidFill>
            </a:ln>
            <a:effectLst/>
          </c:spPr>
          <c:invertIfNegative val="0"/>
          <c:dLbls>
            <c:delete val="1"/>
          </c:dLbls>
          <c:cat>
            <c:numRef>
              <c:f>List1!$A$2:$A$5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List1!$E$2:$E$5</c:f>
              <c:numCache>
                <c:formatCode>General</c:formatCode>
                <c:ptCount val="4"/>
                <c:pt idx="0">
                  <c:v>5431</c:v>
                </c:pt>
                <c:pt idx="1">
                  <c:v>4834</c:v>
                </c:pt>
                <c:pt idx="2">
                  <c:v>4290</c:v>
                </c:pt>
                <c:pt idx="3">
                  <c:v>3618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DD7-4427-960D-5EE7478C589D}"/>
            </c:ext>
          </c:extLst>
        </c:ser>
        <c:ser>
          <c:idx val="4"/>
          <c:order val="4"/>
          <c:tx>
            <c:strRef>
              <c:f>List1!$F$1</c:f>
              <c:strCache>
                <c:ptCount val="1"/>
                <c:pt idx="0">
                  <c:v>Příspěvek na činnost – IPVZ, NCONZO</c:v>
                </c:pt>
              </c:strCache>
            </c:strRef>
          </c:tx>
          <c:spPr>
            <a:solidFill>
              <a:srgbClr val="004595">
                <a:alpha val="20000"/>
              </a:srgbClr>
            </a:solidFill>
            <a:ln>
              <a:solidFill>
                <a:srgbClr val="004595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8.791208791208794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313 mil.</a:t>
                    </a:r>
                    <a:r>
                      <a:rPr lang="en-US" baseline="0"/>
                      <a:t> Kč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3DD7-4427-960D-5EE7478C589D}"/>
                </c:ext>
              </c:extLst>
            </c:dLbl>
            <c:dLbl>
              <c:idx val="1"/>
              <c:layout>
                <c:manualLayout>
                  <c:x val="-2.2038567493113757E-3"/>
                  <c:y val="-8.0586080586080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348 mil. Kč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3DD7-4427-960D-5EE7478C589D}"/>
                </c:ext>
              </c:extLst>
            </c:dLbl>
            <c:dLbl>
              <c:idx val="2"/>
              <c:layout>
                <c:manualLayout>
                  <c:x val="-2.2038567493112946E-3"/>
                  <c:y val="-7.32600732600732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484 mil. Kč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3DD7-4427-960D-5EE7478C589D}"/>
                </c:ext>
              </c:extLst>
            </c:dLbl>
            <c:dLbl>
              <c:idx val="3"/>
              <c:layout>
                <c:manualLayout>
                  <c:x val="-1.6161429463403891E-16"/>
                  <c:y val="-7.692307692307694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603 mil. Kč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3DD7-4427-960D-5EE7478C589D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004595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List1!$F$2:$F$5</c:f>
              <c:numCache>
                <c:formatCode>General</c:formatCode>
                <c:ptCount val="4"/>
                <c:pt idx="0">
                  <c:v>79000</c:v>
                </c:pt>
                <c:pt idx="1">
                  <c:v>75839</c:v>
                </c:pt>
                <c:pt idx="2">
                  <c:v>75500</c:v>
                </c:pt>
                <c:pt idx="3">
                  <c:v>78764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DD7-4427-960D-5EE7478C589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8"/>
        <c:overlap val="100"/>
        <c:axId val="1156986015"/>
        <c:axId val="1156990175"/>
      </c:barChart>
      <c:catAx>
        <c:axId val="11569860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004595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156990175"/>
        <c:crosses val="autoZero"/>
        <c:auto val="1"/>
        <c:lblAlgn val="ctr"/>
        <c:lblOffset val="100"/>
        <c:noMultiLvlLbl val="0"/>
      </c:catAx>
      <c:valAx>
        <c:axId val="1156990175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156986015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004595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004595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004595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004595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004595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</c:legendEntry>
      <c:layout>
        <c:manualLayout>
          <c:xMode val="edge"/>
          <c:yMode val="edge"/>
          <c:x val="0.65152381244173263"/>
          <c:y val="0.20256964663982918"/>
          <c:w val="0.33958235765276418"/>
          <c:h val="0.5948603691419601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  <c:userShapes r:id="rId4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NLZP</c:v>
                </c:pt>
              </c:strCache>
            </c:strRef>
          </c:tx>
          <c:spPr>
            <a:solidFill>
              <a:srgbClr val="004595"/>
            </a:solidFill>
            <a:ln>
              <a:noFill/>
            </a:ln>
            <a:effectLst/>
          </c:spPr>
          <c:invertIfNegative val="0"/>
          <c:dPt>
            <c:idx val="6"/>
            <c:invertIfNegative val="0"/>
            <c:bubble3D val="0"/>
            <c:spPr>
              <a:solidFill>
                <a:srgbClr val="00459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CD78-44AC-918E-1ABD4C4DCF73}"/>
              </c:ext>
            </c:extLst>
          </c:dPt>
          <c:dPt>
            <c:idx val="7"/>
            <c:invertIfNegative val="0"/>
            <c:bubble3D val="0"/>
            <c:spPr>
              <a:solidFill>
                <a:srgbClr val="00459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CD78-44AC-918E-1ABD4C4DCF73}"/>
              </c:ext>
            </c:extLst>
          </c:dPt>
          <c:dPt>
            <c:idx val="8"/>
            <c:invertIfNegative val="0"/>
            <c:bubble3D val="0"/>
            <c:spPr>
              <a:solidFill>
                <a:srgbClr val="BD2A3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CD78-44AC-918E-1ABD4C4DCF73}"/>
              </c:ext>
            </c:extLst>
          </c:dPt>
          <c:dPt>
            <c:idx val="9"/>
            <c:invertIfNegative val="0"/>
            <c:bubble3D val="0"/>
            <c:spPr>
              <a:solidFill>
                <a:srgbClr val="BD2A3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CD78-44AC-918E-1ABD4C4DCF73}"/>
              </c:ext>
            </c:extLst>
          </c:dPt>
          <c:dPt>
            <c:idx val="10"/>
            <c:invertIfNegative val="0"/>
            <c:bubble3D val="0"/>
            <c:spPr>
              <a:solidFill>
                <a:srgbClr val="BD2A3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CD78-44AC-918E-1ABD4C4DCF73}"/>
              </c:ext>
            </c:extLst>
          </c:dPt>
          <c:dPt>
            <c:idx val="11"/>
            <c:invertIfNegative val="0"/>
            <c:bubble3D val="0"/>
            <c:spPr>
              <a:solidFill>
                <a:srgbClr val="BD2A3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CD78-44AC-918E-1ABD4C4DCF73}"/>
              </c:ext>
            </c:extLst>
          </c:dPt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List1!$A$2:$A$13</c:f>
              <c:strCache>
                <c:ptCount val="12"/>
                <c:pt idx="0">
                  <c:v>do 24</c:v>
                </c:pt>
                <c:pt idx="1">
                  <c:v>25–29</c:v>
                </c:pt>
                <c:pt idx="2">
                  <c:v>30–34</c:v>
                </c:pt>
                <c:pt idx="3">
                  <c:v>35–39</c:v>
                </c:pt>
                <c:pt idx="4">
                  <c:v>40–44</c:v>
                </c:pt>
                <c:pt idx="5">
                  <c:v>45–49</c:v>
                </c:pt>
                <c:pt idx="6">
                  <c:v>50–54</c:v>
                </c:pt>
                <c:pt idx="7">
                  <c:v>55–59</c:v>
                </c:pt>
                <c:pt idx="8">
                  <c:v>60–64</c:v>
                </c:pt>
                <c:pt idx="9">
                  <c:v>65–69</c:v>
                </c:pt>
                <c:pt idx="10">
                  <c:v>70–74</c:v>
                </c:pt>
                <c:pt idx="11">
                  <c:v>75 a více</c:v>
                </c:pt>
              </c:strCache>
            </c:strRef>
          </c:cat>
          <c:val>
            <c:numRef>
              <c:f>List1!$B$2:$B$13</c:f>
              <c:numCache>
                <c:formatCode>General</c:formatCode>
                <c:ptCount val="12"/>
                <c:pt idx="0">
                  <c:v>11540</c:v>
                </c:pt>
                <c:pt idx="1">
                  <c:v>21215</c:v>
                </c:pt>
                <c:pt idx="2">
                  <c:v>24092</c:v>
                </c:pt>
                <c:pt idx="3">
                  <c:v>25688</c:v>
                </c:pt>
                <c:pt idx="4">
                  <c:v>33086</c:v>
                </c:pt>
                <c:pt idx="5">
                  <c:v>30417</c:v>
                </c:pt>
                <c:pt idx="6">
                  <c:v>22853</c:v>
                </c:pt>
                <c:pt idx="7">
                  <c:v>21058</c:v>
                </c:pt>
                <c:pt idx="8">
                  <c:v>19105</c:v>
                </c:pt>
                <c:pt idx="9">
                  <c:v>12376</c:v>
                </c:pt>
                <c:pt idx="10">
                  <c:v>4729</c:v>
                </c:pt>
                <c:pt idx="11">
                  <c:v>923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D78-44AC-918E-1ABD4C4DCF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2"/>
        <c:overlap val="-27"/>
        <c:axId val="1959218800"/>
        <c:axId val="2051801184"/>
      </c:barChart>
      <c:catAx>
        <c:axId val="1959218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051801184"/>
        <c:crosses val="autoZero"/>
        <c:auto val="1"/>
        <c:lblAlgn val="ctr"/>
        <c:lblOffset val="100"/>
        <c:noMultiLvlLbl val="0"/>
      </c:catAx>
      <c:valAx>
        <c:axId val="2051801184"/>
        <c:scaling>
          <c:orientation val="minMax"/>
        </c:scaling>
        <c:delete val="0"/>
        <c:axPos val="l"/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959218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Plat</c:v>
                </c:pt>
              </c:strCache>
            </c:strRef>
          </c:tx>
          <c:spPr>
            <a:solidFill>
              <a:srgbClr val="004595"/>
            </a:solidFill>
            <a:ln>
              <a:noFill/>
            </a:ln>
            <a:effectLst/>
          </c:spPr>
          <c:invertIfNegative val="0"/>
          <c:cat>
            <c:strRef>
              <c:f>List1!$A$2:$A$21</c:f>
              <c:strCache>
                <c:ptCount val="20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2019*</c:v>
                </c:pt>
              </c:strCache>
            </c:strRef>
          </c:cat>
          <c:val>
            <c:numRef>
              <c:f>List1!$B$2:$B$21</c:f>
              <c:numCache>
                <c:formatCode>General</c:formatCode>
                <c:ptCount val="20"/>
                <c:pt idx="0">
                  <c:v>24936</c:v>
                </c:pt>
                <c:pt idx="1">
                  <c:v>28814</c:v>
                </c:pt>
                <c:pt idx="2">
                  <c:v>33240</c:v>
                </c:pt>
                <c:pt idx="3">
                  <c:v>35814</c:v>
                </c:pt>
                <c:pt idx="4">
                  <c:v>37077</c:v>
                </c:pt>
                <c:pt idx="5">
                  <c:v>38667.74</c:v>
                </c:pt>
                <c:pt idx="6">
                  <c:v>42287</c:v>
                </c:pt>
                <c:pt idx="7">
                  <c:v>43352.54</c:v>
                </c:pt>
                <c:pt idx="8">
                  <c:v>45781.02</c:v>
                </c:pt>
                <c:pt idx="9">
                  <c:v>48723.47</c:v>
                </c:pt>
                <c:pt idx="10">
                  <c:v>49584</c:v>
                </c:pt>
                <c:pt idx="11">
                  <c:v>57197</c:v>
                </c:pt>
                <c:pt idx="12">
                  <c:v>60546</c:v>
                </c:pt>
                <c:pt idx="13">
                  <c:v>60023</c:v>
                </c:pt>
                <c:pt idx="14">
                  <c:v>60881</c:v>
                </c:pt>
                <c:pt idx="15">
                  <c:v>66015</c:v>
                </c:pt>
                <c:pt idx="16">
                  <c:v>69151</c:v>
                </c:pt>
                <c:pt idx="17">
                  <c:v>74267</c:v>
                </c:pt>
                <c:pt idx="18">
                  <c:v>80412</c:v>
                </c:pt>
                <c:pt idx="19">
                  <c:v>85835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AA-4EB4-8EF6-EE694C490BAE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Mzda</c:v>
                </c:pt>
              </c:strCache>
            </c:strRef>
          </c:tx>
          <c:spPr>
            <a:solidFill>
              <a:srgbClr val="BD2A33"/>
            </a:solidFill>
            <a:ln>
              <a:noFill/>
            </a:ln>
            <a:effectLst/>
          </c:spPr>
          <c:invertIfNegative val="0"/>
          <c:cat>
            <c:strRef>
              <c:f>List1!$A$2:$A$21</c:f>
              <c:strCache>
                <c:ptCount val="20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2019*</c:v>
                </c:pt>
              </c:strCache>
            </c:strRef>
          </c:cat>
          <c:val>
            <c:numRef>
              <c:f>List1!$C$2:$C$21</c:f>
              <c:numCache>
                <c:formatCode>General</c:formatCode>
                <c:ptCount val="20"/>
                <c:pt idx="0">
                  <c:v>25288</c:v>
                </c:pt>
                <c:pt idx="1">
                  <c:v>27593</c:v>
                </c:pt>
                <c:pt idx="2">
                  <c:v>30361</c:v>
                </c:pt>
                <c:pt idx="3">
                  <c:v>32546</c:v>
                </c:pt>
                <c:pt idx="4">
                  <c:v>35136</c:v>
                </c:pt>
                <c:pt idx="5">
                  <c:v>37659</c:v>
                </c:pt>
                <c:pt idx="6">
                  <c:v>39962</c:v>
                </c:pt>
                <c:pt idx="7">
                  <c:v>40549</c:v>
                </c:pt>
                <c:pt idx="8">
                  <c:v>43767.34</c:v>
                </c:pt>
                <c:pt idx="9">
                  <c:v>47266</c:v>
                </c:pt>
                <c:pt idx="10">
                  <c:v>49371</c:v>
                </c:pt>
                <c:pt idx="11">
                  <c:v>55838</c:v>
                </c:pt>
                <c:pt idx="12">
                  <c:v>58149</c:v>
                </c:pt>
                <c:pt idx="13">
                  <c:v>56372</c:v>
                </c:pt>
                <c:pt idx="14">
                  <c:v>56324</c:v>
                </c:pt>
                <c:pt idx="15">
                  <c:v>60466</c:v>
                </c:pt>
                <c:pt idx="16">
                  <c:v>63329</c:v>
                </c:pt>
                <c:pt idx="17">
                  <c:v>68477</c:v>
                </c:pt>
                <c:pt idx="18">
                  <c:v>73523</c:v>
                </c:pt>
                <c:pt idx="19">
                  <c:v>80574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AA-4EB4-8EF6-EE694C490B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overlap val="-10"/>
        <c:axId val="1911802320"/>
        <c:axId val="1911806896"/>
      </c:barChart>
      <c:catAx>
        <c:axId val="1911802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911806896"/>
        <c:crosses val="autoZero"/>
        <c:auto val="1"/>
        <c:lblAlgn val="ctr"/>
        <c:lblOffset val="100"/>
        <c:noMultiLvlLbl val="0"/>
      </c:catAx>
      <c:valAx>
        <c:axId val="1911806896"/>
        <c:scaling>
          <c:orientation val="minMax"/>
        </c:scaling>
        <c:delete val="0"/>
        <c:axPos val="l"/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911802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423876666579468"/>
          <c:y val="0.37309316727565917"/>
          <c:w val="0.14379592085872986"/>
          <c:h val="6.9876265466816662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Průměrné odměňování lékařů a zubních lékařů</c:v>
                </c:pt>
              </c:strCache>
            </c:strRef>
          </c:tx>
          <c:spPr>
            <a:ln w="28575" cap="rnd">
              <a:solidFill>
                <a:srgbClr val="004595"/>
              </a:solidFill>
              <a:round/>
            </a:ln>
            <a:effectLst/>
          </c:spPr>
          <c:marker>
            <c:symbol val="none"/>
          </c:marker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List1!$A$2:$A$10</c:f>
              <c:strCache>
                <c:ptCount val="9"/>
                <c:pt idx="0">
                  <c:v>2010 </c:v>
                </c:pt>
                <c:pt idx="1">
                  <c:v>2011 </c:v>
                </c:pt>
                <c:pt idx="2">
                  <c:v>2012 </c:v>
                </c:pt>
                <c:pt idx="3">
                  <c:v>2013 </c:v>
                </c:pt>
                <c:pt idx="4">
                  <c:v>2014 </c:v>
                </c:pt>
                <c:pt idx="5">
                  <c:v>2015 </c:v>
                </c:pt>
                <c:pt idx="6">
                  <c:v>2016 </c:v>
                </c:pt>
                <c:pt idx="7">
                  <c:v>2017</c:v>
                </c:pt>
                <c:pt idx="8">
                  <c:v>2018</c:v>
                </c:pt>
              </c:strCache>
            </c:strRef>
          </c:cat>
          <c:val>
            <c:numRef>
              <c:f>List1!$B$2:$B$10</c:f>
              <c:numCache>
                <c:formatCode>General</c:formatCode>
                <c:ptCount val="9"/>
                <c:pt idx="0">
                  <c:v>49500.353871426167</c:v>
                </c:pt>
                <c:pt idx="1">
                  <c:v>56659.480301927804</c:v>
                </c:pt>
                <c:pt idx="2">
                  <c:v>59577.012847610109</c:v>
                </c:pt>
                <c:pt idx="3">
                  <c:v>58547.454064908205</c:v>
                </c:pt>
                <c:pt idx="4">
                  <c:v>59026.089023634886</c:v>
                </c:pt>
                <c:pt idx="5">
                  <c:v>63755.118551775879</c:v>
                </c:pt>
                <c:pt idx="6">
                  <c:v>66763.505275904943</c:v>
                </c:pt>
                <c:pt idx="7">
                  <c:v>71851.35246467877</c:v>
                </c:pt>
                <c:pt idx="8">
                  <c:v>77595.705437605546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C7E-43E2-9258-915FA14BEB37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Průměrná mzda v ČR</c:v>
                </c:pt>
              </c:strCache>
            </c:strRef>
          </c:tx>
          <c:spPr>
            <a:ln w="28575" cap="rnd">
              <a:solidFill>
                <a:srgbClr val="BD2A33"/>
              </a:solidFill>
              <a:round/>
            </a:ln>
            <a:effectLst/>
          </c:spPr>
          <c:marker>
            <c:symbol val="none"/>
          </c:marker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List1!$A$2:$A$10</c:f>
              <c:strCache>
                <c:ptCount val="9"/>
                <c:pt idx="0">
                  <c:v>2010 </c:v>
                </c:pt>
                <c:pt idx="1">
                  <c:v>2011 </c:v>
                </c:pt>
                <c:pt idx="2">
                  <c:v>2012 </c:v>
                </c:pt>
                <c:pt idx="3">
                  <c:v>2013 </c:v>
                </c:pt>
                <c:pt idx="4">
                  <c:v>2014 </c:v>
                </c:pt>
                <c:pt idx="5">
                  <c:v>2015 </c:v>
                </c:pt>
                <c:pt idx="6">
                  <c:v>2016 </c:v>
                </c:pt>
                <c:pt idx="7">
                  <c:v>2017</c:v>
                </c:pt>
                <c:pt idx="8">
                  <c:v>2018</c:v>
                </c:pt>
              </c:strCache>
            </c:strRef>
          </c:cat>
          <c:val>
            <c:numRef>
              <c:f>List1!$C$2:$C$10</c:f>
              <c:numCache>
                <c:formatCode>General</c:formatCode>
                <c:ptCount val="9"/>
                <c:pt idx="0">
                  <c:v>23864</c:v>
                </c:pt>
                <c:pt idx="1">
                  <c:v>24455</c:v>
                </c:pt>
                <c:pt idx="2">
                  <c:v>25067</c:v>
                </c:pt>
                <c:pt idx="3">
                  <c:v>25035</c:v>
                </c:pt>
                <c:pt idx="4">
                  <c:v>25768</c:v>
                </c:pt>
                <c:pt idx="5">
                  <c:v>26591</c:v>
                </c:pt>
                <c:pt idx="6">
                  <c:v>27764</c:v>
                </c:pt>
                <c:pt idx="7">
                  <c:v>29496</c:v>
                </c:pt>
                <c:pt idx="8">
                  <c:v>31885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C7E-43E2-9258-915FA14BEB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11796080"/>
        <c:axId val="1911786096"/>
      </c:lineChart>
      <c:catAx>
        <c:axId val="1911796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911786096"/>
        <c:crosses val="autoZero"/>
        <c:auto val="1"/>
        <c:lblAlgn val="ctr"/>
        <c:lblOffset val="100"/>
        <c:noMultiLvlLbl val="0"/>
      </c:catAx>
      <c:valAx>
        <c:axId val="1911786096"/>
        <c:scaling>
          <c:orientation val="minMax"/>
        </c:scaling>
        <c:delete val="0"/>
        <c:axPos val="l"/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911796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  <c:userShapes r:id="rId4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Plat</c:v>
                </c:pt>
              </c:strCache>
            </c:strRef>
          </c:tx>
          <c:spPr>
            <a:solidFill>
              <a:srgbClr val="004595"/>
            </a:solidFill>
            <a:ln>
              <a:noFill/>
            </a:ln>
            <a:effectLst/>
          </c:spPr>
          <c:invertIfNegative val="0"/>
          <c:cat>
            <c:strRef>
              <c:f>List1!$A$2:$A$21</c:f>
              <c:strCache>
                <c:ptCount val="20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2019*</c:v>
                </c:pt>
              </c:strCache>
            </c:strRef>
          </c:cat>
          <c:val>
            <c:numRef>
              <c:f>List1!$B$2:$B$21</c:f>
              <c:numCache>
                <c:formatCode>General</c:formatCode>
                <c:ptCount val="20"/>
                <c:pt idx="0">
                  <c:v>12211</c:v>
                </c:pt>
                <c:pt idx="1">
                  <c:v>14326</c:v>
                </c:pt>
                <c:pt idx="2">
                  <c:v>16418</c:v>
                </c:pt>
                <c:pt idx="3">
                  <c:v>17837</c:v>
                </c:pt>
                <c:pt idx="4">
                  <c:v>17950</c:v>
                </c:pt>
                <c:pt idx="5">
                  <c:v>18787</c:v>
                </c:pt>
                <c:pt idx="6">
                  <c:v>21298</c:v>
                </c:pt>
                <c:pt idx="7">
                  <c:v>22990</c:v>
                </c:pt>
                <c:pt idx="8">
                  <c:v>24221</c:v>
                </c:pt>
                <c:pt idx="9">
                  <c:v>26261</c:v>
                </c:pt>
                <c:pt idx="10">
                  <c:v>27423</c:v>
                </c:pt>
                <c:pt idx="11">
                  <c:v>28071</c:v>
                </c:pt>
                <c:pt idx="12">
                  <c:v>29100</c:v>
                </c:pt>
                <c:pt idx="13">
                  <c:v>28606</c:v>
                </c:pt>
                <c:pt idx="14">
                  <c:v>29197</c:v>
                </c:pt>
                <c:pt idx="15">
                  <c:v>30765</c:v>
                </c:pt>
                <c:pt idx="16">
                  <c:v>32768</c:v>
                </c:pt>
                <c:pt idx="17">
                  <c:v>36726</c:v>
                </c:pt>
                <c:pt idx="18">
                  <c:v>41188</c:v>
                </c:pt>
                <c:pt idx="19">
                  <c:v>45732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5C-4C50-A99E-C41616ED68A0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Mzda</c:v>
                </c:pt>
              </c:strCache>
            </c:strRef>
          </c:tx>
          <c:spPr>
            <a:solidFill>
              <a:srgbClr val="BD2A33"/>
            </a:solidFill>
            <a:ln>
              <a:noFill/>
            </a:ln>
            <a:effectLst/>
          </c:spPr>
          <c:invertIfNegative val="0"/>
          <c:cat>
            <c:strRef>
              <c:f>List1!$A$2:$A$21</c:f>
              <c:strCache>
                <c:ptCount val="20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2019*</c:v>
                </c:pt>
              </c:strCache>
            </c:strRef>
          </c:cat>
          <c:val>
            <c:numRef>
              <c:f>List1!$C$2:$C$21</c:f>
              <c:numCache>
                <c:formatCode>General</c:formatCode>
                <c:ptCount val="20"/>
                <c:pt idx="0">
                  <c:v>10885</c:v>
                </c:pt>
                <c:pt idx="1">
                  <c:v>11876</c:v>
                </c:pt>
                <c:pt idx="2">
                  <c:v>12988</c:v>
                </c:pt>
                <c:pt idx="3">
                  <c:v>13802</c:v>
                </c:pt>
                <c:pt idx="4">
                  <c:v>15052</c:v>
                </c:pt>
                <c:pt idx="5">
                  <c:v>15750</c:v>
                </c:pt>
                <c:pt idx="6">
                  <c:v>17023</c:v>
                </c:pt>
                <c:pt idx="7">
                  <c:v>18873</c:v>
                </c:pt>
                <c:pt idx="8">
                  <c:v>20504</c:v>
                </c:pt>
                <c:pt idx="9">
                  <c:v>22371</c:v>
                </c:pt>
                <c:pt idx="10">
                  <c:v>23723</c:v>
                </c:pt>
                <c:pt idx="11">
                  <c:v>23983</c:v>
                </c:pt>
                <c:pt idx="12">
                  <c:v>24034</c:v>
                </c:pt>
                <c:pt idx="13">
                  <c:v>23953</c:v>
                </c:pt>
                <c:pt idx="14">
                  <c:v>24549</c:v>
                </c:pt>
                <c:pt idx="15">
                  <c:v>25920</c:v>
                </c:pt>
                <c:pt idx="16">
                  <c:v>27411</c:v>
                </c:pt>
                <c:pt idx="17">
                  <c:v>31159</c:v>
                </c:pt>
                <c:pt idx="18">
                  <c:v>34828</c:v>
                </c:pt>
                <c:pt idx="19">
                  <c:v>38569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5C-4C50-A99E-C41616ED68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overlap val="-10"/>
        <c:axId val="1911793584"/>
        <c:axId val="1911794416"/>
      </c:barChart>
      <c:catAx>
        <c:axId val="1911793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911794416"/>
        <c:crosses val="autoZero"/>
        <c:auto val="1"/>
        <c:lblAlgn val="ctr"/>
        <c:lblOffset val="100"/>
        <c:noMultiLvlLbl val="0"/>
      </c:catAx>
      <c:valAx>
        <c:axId val="1911794416"/>
        <c:scaling>
          <c:orientation val="minMax"/>
        </c:scaling>
        <c:delete val="0"/>
        <c:axPos val="l"/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911793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3131346953723808"/>
          <c:y val="0.3616346258604467"/>
          <c:w val="0.14379592085872986"/>
          <c:h val="7.0312992125984256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Průměrné odměňování sester</c:v>
                </c:pt>
              </c:strCache>
            </c:strRef>
          </c:tx>
          <c:spPr>
            <a:ln w="28575" cap="rnd">
              <a:solidFill>
                <a:srgbClr val="004595"/>
              </a:solidFill>
              <a:round/>
            </a:ln>
            <a:effectLst/>
          </c:spPr>
          <c:marker>
            <c:symbol val="none"/>
          </c:marker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List1!$A$2:$A$10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List1!$B$2:$B$10</c:f>
              <c:numCache>
                <c:formatCode>General</c:formatCode>
                <c:ptCount val="9"/>
                <c:pt idx="0">
                  <c:v>25904</c:v>
                </c:pt>
                <c:pt idx="1">
                  <c:v>26375</c:v>
                </c:pt>
                <c:pt idx="2">
                  <c:v>26950</c:v>
                </c:pt>
                <c:pt idx="3">
                  <c:v>26648</c:v>
                </c:pt>
                <c:pt idx="4">
                  <c:v>27236</c:v>
                </c:pt>
                <c:pt idx="5">
                  <c:v>28712</c:v>
                </c:pt>
                <c:pt idx="6">
                  <c:v>30505</c:v>
                </c:pt>
                <c:pt idx="7">
                  <c:v>34333</c:v>
                </c:pt>
                <c:pt idx="8">
                  <c:v>38162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6CD-4226-9FFC-8AE834E0836D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Průměrná mzda v ČR</c:v>
                </c:pt>
              </c:strCache>
            </c:strRef>
          </c:tx>
          <c:spPr>
            <a:ln w="28575" cap="rnd">
              <a:solidFill>
                <a:srgbClr val="BD2A33"/>
              </a:solidFill>
              <a:round/>
            </a:ln>
            <a:effectLst/>
          </c:spPr>
          <c:marker>
            <c:symbol val="none"/>
          </c:marker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List1!$A$2:$A$10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List1!$C$2:$C$10</c:f>
              <c:numCache>
                <c:formatCode>General</c:formatCode>
                <c:ptCount val="9"/>
                <c:pt idx="0">
                  <c:v>23864</c:v>
                </c:pt>
                <c:pt idx="1">
                  <c:v>24455</c:v>
                </c:pt>
                <c:pt idx="2">
                  <c:v>25067</c:v>
                </c:pt>
                <c:pt idx="3">
                  <c:v>25035</c:v>
                </c:pt>
                <c:pt idx="4">
                  <c:v>25768</c:v>
                </c:pt>
                <c:pt idx="5">
                  <c:v>26591</c:v>
                </c:pt>
                <c:pt idx="6">
                  <c:v>27764</c:v>
                </c:pt>
                <c:pt idx="7">
                  <c:v>29496</c:v>
                </c:pt>
                <c:pt idx="8">
                  <c:v>31885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6CD-4226-9FFC-8AE834E083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11796080"/>
        <c:axId val="1911786096"/>
      </c:lineChart>
      <c:catAx>
        <c:axId val="1911796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911786096"/>
        <c:crosses val="autoZero"/>
        <c:auto val="1"/>
        <c:lblAlgn val="ctr"/>
        <c:lblOffset val="100"/>
        <c:noMultiLvlLbl val="0"/>
      </c:catAx>
      <c:valAx>
        <c:axId val="1911786096"/>
        <c:scaling>
          <c:orientation val="minMax"/>
        </c:scaling>
        <c:delete val="0"/>
        <c:axPos val="l"/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911796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046809813330296"/>
          <c:y val="7.6030072512122418E-2"/>
          <c:w val="0.84445864361891476"/>
          <c:h val="0.61426175541616623"/>
        </c:manualLayout>
      </c:layout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Dotace na vzdělávání v základním kmeni
(tis. Kč/osoba/měsíc)</c:v>
                </c:pt>
              </c:strCache>
            </c:strRef>
          </c:tx>
          <c:spPr>
            <a:ln w="28575" cap="rnd">
              <a:solidFill>
                <a:srgbClr val="004595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004595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List1!$A$2:$A$5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List1!$B$2:$B$5</c:f>
              <c:numCache>
                <c:formatCode>General</c:formatCode>
                <c:ptCount val="4"/>
                <c:pt idx="0">
                  <c:v>10</c:v>
                </c:pt>
                <c:pt idx="1">
                  <c:v>13</c:v>
                </c:pt>
                <c:pt idx="2">
                  <c:v>25</c:v>
                </c:pt>
                <c:pt idx="3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EED-44FD-AC4E-2C58B51394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22132032"/>
        <c:axId val="1022132448"/>
      </c:lineChart>
      <c:catAx>
        <c:axId val="1022132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004595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22132448"/>
        <c:crosses val="autoZero"/>
        <c:auto val="1"/>
        <c:lblAlgn val="ctr"/>
        <c:lblOffset val="100"/>
        <c:noMultiLvlLbl val="0"/>
      </c:catAx>
      <c:valAx>
        <c:axId val="102213244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022132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004595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</c:legendEntry>
      <c:layout>
        <c:manualLayout>
          <c:xMode val="edge"/>
          <c:yMode val="edge"/>
          <c:x val="6.3562386980108493E-2"/>
          <c:y val="0.80961022395565041"/>
          <c:w val="0.9"/>
          <c:h val="0.1517335064299758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1091500232234091E-2"/>
          <c:y val="6.8535825545171333E-2"/>
          <c:w val="0.89781699953553185"/>
          <c:h val="0.62025854244854917"/>
        </c:manualLayout>
      </c:layout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Dotace na celé specializační vzdělávání v oboru chirurgie (tis. Kč/osoba/celé období)</c:v>
                </c:pt>
              </c:strCache>
            </c:strRef>
          </c:tx>
          <c:spPr>
            <a:ln w="28575" cap="rnd">
              <a:solidFill>
                <a:srgbClr val="004595"/>
              </a:solidFill>
              <a:round/>
            </a:ln>
            <a:effectLst/>
          </c:spPr>
          <c:marker>
            <c:symbol val="none"/>
          </c:marker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004595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List1!$A$2:$A$5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List1!$B$2:$B$5</c:f>
              <c:numCache>
                <c:formatCode>General</c:formatCode>
                <c:ptCount val="4"/>
                <c:pt idx="0">
                  <c:v>864</c:v>
                </c:pt>
                <c:pt idx="1">
                  <c:v>2160</c:v>
                </c:pt>
                <c:pt idx="2">
                  <c:v>2520</c:v>
                </c:pt>
                <c:pt idx="3">
                  <c:v>2100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A53-474B-BAC3-D9FE4665EA58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419049567"/>
        <c:axId val="1419045823"/>
      </c:lineChart>
      <c:catAx>
        <c:axId val="14190495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004595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419045823"/>
        <c:crosses val="autoZero"/>
        <c:auto val="1"/>
        <c:lblAlgn val="ctr"/>
        <c:lblOffset val="100"/>
        <c:noMultiLvlLbl val="0"/>
      </c:catAx>
      <c:valAx>
        <c:axId val="1419045823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4190495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9999817138510275E-2"/>
          <c:y val="0.80840974317462655"/>
          <c:w val="0.94645153597549114"/>
          <c:h val="0.172898668040326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rgbClr val="004595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[Výpočty KZ.xlsx]List2!Kontingenční tabulka13</c:name>
    <c:fmtId val="-1"/>
  </c:pivotSource>
  <c:chart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2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2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2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2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2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2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2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2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2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2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3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3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3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  <c:dLblPos val="ctr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  <c:showLegendKey val="0"/>
          <c:showVal val="0"/>
          <c:showCatName val="1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Rect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3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3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3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  <c:showLegendKey val="0"/>
          <c:showVal val="0"/>
          <c:showCatName val="1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Rect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3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3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4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  <c:showLegendKey val="0"/>
          <c:showVal val="0"/>
          <c:showCatName val="1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Rect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</c:pivotFmts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List2!$B$1</c:f>
              <c:strCache>
                <c:ptCount val="1"/>
                <c:pt idx="0">
                  <c:v>Dotace na LF</c:v>
                </c:pt>
              </c:strCache>
            </c:strRef>
          </c:tx>
          <c:spPr>
            <a:solidFill>
              <a:srgbClr val="004595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multiLvlStrRef>
              <c:f>List2!$A$2:$A$22</c:f>
              <c:multiLvlStrCache>
                <c:ptCount val="16"/>
                <c:lvl>
                  <c:pt idx="0">
                    <c:v>2015</c:v>
                  </c:pt>
                  <c:pt idx="1">
                    <c:v>2016</c:v>
                  </c:pt>
                  <c:pt idx="2">
                    <c:v>2017</c:v>
                  </c:pt>
                  <c:pt idx="3">
                    <c:v>2018</c:v>
                  </c:pt>
                  <c:pt idx="4">
                    <c:v>2015</c:v>
                  </c:pt>
                  <c:pt idx="5">
                    <c:v>2016</c:v>
                  </c:pt>
                  <c:pt idx="6">
                    <c:v>2017</c:v>
                  </c:pt>
                  <c:pt idx="7">
                    <c:v>2018</c:v>
                  </c:pt>
                  <c:pt idx="8">
                    <c:v>2015</c:v>
                  </c:pt>
                  <c:pt idx="9">
                    <c:v>2016</c:v>
                  </c:pt>
                  <c:pt idx="10">
                    <c:v>2017</c:v>
                  </c:pt>
                  <c:pt idx="11">
                    <c:v>2018</c:v>
                  </c:pt>
                  <c:pt idx="12">
                    <c:v>2015</c:v>
                  </c:pt>
                  <c:pt idx="13">
                    <c:v>2016</c:v>
                  </c:pt>
                  <c:pt idx="14">
                    <c:v>2017</c:v>
                  </c:pt>
                  <c:pt idx="15">
                    <c:v>2018</c:v>
                  </c:pt>
                </c:lvl>
                <c:lvl>
                  <c:pt idx="0">
                    <c:v>Masarykova univerzita</c:v>
                  </c:pt>
                  <c:pt idx="4">
                    <c:v>Ostravská univerzita</c:v>
                  </c:pt>
                  <c:pt idx="8">
                    <c:v>Univerzita Karlova</c:v>
                  </c:pt>
                  <c:pt idx="12">
                    <c:v>Univerzita Palackého
v Olomouci</c:v>
                  </c:pt>
                </c:lvl>
              </c:multiLvlStrCache>
            </c:multiLvlStrRef>
          </c:cat>
          <c:val>
            <c:numRef>
              <c:f>List2!$B$2:$B$22</c:f>
              <c:numCache>
                <c:formatCode>General</c:formatCode>
                <c:ptCount val="16"/>
                <c:pt idx="0">
                  <c:v>2300</c:v>
                </c:pt>
                <c:pt idx="1">
                  <c:v>2300</c:v>
                </c:pt>
                <c:pt idx="2">
                  <c:v>2683.33</c:v>
                </c:pt>
                <c:pt idx="3">
                  <c:v>3450</c:v>
                </c:pt>
                <c:pt idx="4">
                  <c:v>0</c:v>
                </c:pt>
                <c:pt idx="5">
                  <c:v>1975.81</c:v>
                </c:pt>
                <c:pt idx="6">
                  <c:v>2683.33</c:v>
                </c:pt>
                <c:pt idx="7">
                  <c:v>3450</c:v>
                </c:pt>
                <c:pt idx="8">
                  <c:v>11500</c:v>
                </c:pt>
                <c:pt idx="9">
                  <c:v>11500</c:v>
                </c:pt>
                <c:pt idx="10">
                  <c:v>13416.67</c:v>
                </c:pt>
                <c:pt idx="11">
                  <c:v>17250</c:v>
                </c:pt>
                <c:pt idx="12">
                  <c:v>2300</c:v>
                </c:pt>
                <c:pt idx="13">
                  <c:v>2300</c:v>
                </c:pt>
                <c:pt idx="14">
                  <c:v>2683.33</c:v>
                </c:pt>
                <c:pt idx="15">
                  <c:v>3450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02-4167-9F2A-5D2A4E891BB4}"/>
            </c:ext>
          </c:extLst>
        </c:ser>
        <c:ser>
          <c:idx val="1"/>
          <c:order val="1"/>
          <c:tx>
            <c:strRef>
              <c:f>List2!$C$1</c:f>
              <c:strCache>
                <c:ptCount val="1"/>
                <c:pt idx="0">
                  <c:v>Dotace na školence</c:v>
                </c:pt>
              </c:strCache>
            </c:strRef>
          </c:tx>
          <c:spPr>
            <a:solidFill>
              <a:srgbClr val="004595">
                <a:alpha val="60000"/>
              </a:srgb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multiLvlStrRef>
              <c:f>List2!$A$2:$A$22</c:f>
              <c:multiLvlStrCache>
                <c:ptCount val="16"/>
                <c:lvl>
                  <c:pt idx="0">
                    <c:v>2015</c:v>
                  </c:pt>
                  <c:pt idx="1">
                    <c:v>2016</c:v>
                  </c:pt>
                  <c:pt idx="2">
                    <c:v>2017</c:v>
                  </c:pt>
                  <c:pt idx="3">
                    <c:v>2018</c:v>
                  </c:pt>
                  <c:pt idx="4">
                    <c:v>2015</c:v>
                  </c:pt>
                  <c:pt idx="5">
                    <c:v>2016</c:v>
                  </c:pt>
                  <c:pt idx="6">
                    <c:v>2017</c:v>
                  </c:pt>
                  <c:pt idx="7">
                    <c:v>2018</c:v>
                  </c:pt>
                  <c:pt idx="8">
                    <c:v>2015</c:v>
                  </c:pt>
                  <c:pt idx="9">
                    <c:v>2016</c:v>
                  </c:pt>
                  <c:pt idx="10">
                    <c:v>2017</c:v>
                  </c:pt>
                  <c:pt idx="11">
                    <c:v>2018</c:v>
                  </c:pt>
                  <c:pt idx="12">
                    <c:v>2015</c:v>
                  </c:pt>
                  <c:pt idx="13">
                    <c:v>2016</c:v>
                  </c:pt>
                  <c:pt idx="14">
                    <c:v>2017</c:v>
                  </c:pt>
                  <c:pt idx="15">
                    <c:v>2018</c:v>
                  </c:pt>
                </c:lvl>
                <c:lvl>
                  <c:pt idx="0">
                    <c:v>Masarykova univerzita</c:v>
                  </c:pt>
                  <c:pt idx="4">
                    <c:v>Ostravská univerzita</c:v>
                  </c:pt>
                  <c:pt idx="8">
                    <c:v>Univerzita Karlova</c:v>
                  </c:pt>
                  <c:pt idx="12">
                    <c:v>Univerzita Palackého
v Olomouci</c:v>
                  </c:pt>
                </c:lvl>
              </c:multiLvlStrCache>
            </c:multiLvlStrRef>
          </c:cat>
          <c:val>
            <c:numRef>
              <c:f>List2!$C$2:$C$22</c:f>
              <c:numCache>
                <c:formatCode>General</c:formatCode>
                <c:ptCount val="16"/>
                <c:pt idx="0">
                  <c:v>3252.75</c:v>
                </c:pt>
                <c:pt idx="1">
                  <c:v>3950.5</c:v>
                </c:pt>
                <c:pt idx="2">
                  <c:v>4826.75</c:v>
                </c:pt>
                <c:pt idx="3">
                  <c:v>5352.75</c:v>
                </c:pt>
                <c:pt idx="4">
                  <c:v>0</c:v>
                </c:pt>
                <c:pt idx="5">
                  <c:v>120</c:v>
                </c:pt>
                <c:pt idx="6">
                  <c:v>229.75</c:v>
                </c:pt>
                <c:pt idx="7">
                  <c:v>431.75</c:v>
                </c:pt>
                <c:pt idx="8">
                  <c:v>12007.25</c:v>
                </c:pt>
                <c:pt idx="9">
                  <c:v>14319.49</c:v>
                </c:pt>
                <c:pt idx="10">
                  <c:v>16260</c:v>
                </c:pt>
                <c:pt idx="11">
                  <c:v>17847.5</c:v>
                </c:pt>
                <c:pt idx="12">
                  <c:v>2598</c:v>
                </c:pt>
                <c:pt idx="13">
                  <c:v>3051.25</c:v>
                </c:pt>
                <c:pt idx="14">
                  <c:v>3450.63</c:v>
                </c:pt>
                <c:pt idx="15">
                  <c:v>3743.75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302-4167-9F2A-5D2A4E891BB4}"/>
            </c:ext>
          </c:extLst>
        </c:ser>
        <c:ser>
          <c:idx val="2"/>
          <c:order val="2"/>
          <c:tx>
            <c:strRef>
              <c:f>List2!$D$1</c:f>
              <c:strCache>
                <c:ptCount val="1"/>
                <c:pt idx="0">
                  <c:v>Dotace na atestační zkoušku</c:v>
                </c:pt>
              </c:strCache>
            </c:strRef>
          </c:tx>
          <c:spPr>
            <a:solidFill>
              <a:srgbClr val="004595">
                <a:alpha val="20000"/>
              </a:srgbClr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5,98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inBase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17304"/>
                        <a:gd name="adj2" fmla="val -122154"/>
                      </a:avLst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2-6302-4167-9F2A-5D2A4E891BB4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6,64</a:t>
                    </a:r>
                  </a:p>
                </c:rich>
              </c:tx>
              <c:dLblPos val="inBase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302-4167-9F2A-5D2A4E891BB4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7,90</a:t>
                    </a:r>
                  </a:p>
                </c:rich>
              </c:tx>
              <c:dLblPos val="inBase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302-4167-9F2A-5D2A4E891BB4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9,14</a:t>
                    </a:r>
                  </a:p>
                </c:rich>
              </c:tx>
              <c:dLblPos val="inBase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302-4167-9F2A-5D2A4E891BB4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0,00</a:t>
                    </a:r>
                  </a:p>
                </c:rich>
              </c:tx>
              <c:dLblPos val="inBase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6302-4167-9F2A-5D2A4E891BB4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2,10</a:t>
                    </a:r>
                  </a:p>
                </c:rich>
              </c:tx>
              <c:dLblPos val="inBase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6302-4167-9F2A-5D2A4E891BB4}"/>
                </c:ext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3,12</a:t>
                    </a:r>
                  </a:p>
                </c:rich>
              </c:tx>
              <c:dLblPos val="inBase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302-4167-9F2A-5D2A4E891BB4}"/>
                </c:ext>
              </c:extLst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/>
                      <a:t>4,03</a:t>
                    </a:r>
                  </a:p>
                </c:rich>
              </c:tx>
              <c:dLblPos val="inBase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302-4167-9F2A-5D2A4E891BB4}"/>
                </c:ext>
              </c:extLst>
            </c:dLbl>
            <c:dLbl>
              <c:idx val="8"/>
              <c:layout>
                <c:manualLayout>
                  <c:x val="0"/>
                  <c:y val="-5.395904107304312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25,30</a:t>
                    </a:r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302-4167-9F2A-5D2A4E891BB4}"/>
                </c:ext>
              </c:extLst>
            </c:dLbl>
            <c:dLbl>
              <c:idx val="9"/>
              <c:layout>
                <c:manualLayout>
                  <c:x val="2.2259321090706734E-3"/>
                  <c:y val="-4.903519167127522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27,67</a:t>
                    </a:r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302-4167-9F2A-5D2A4E891BB4}"/>
                </c:ext>
              </c:extLst>
            </c:dLbl>
            <c:dLbl>
              <c:idx val="10"/>
              <c:layout>
                <c:manualLayout>
                  <c:x val="0"/>
                  <c:y val="-5.789446887700910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31,99</a:t>
                    </a:r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302-4167-9F2A-5D2A4E891BB4}"/>
                </c:ext>
              </c:extLst>
            </c:dLbl>
            <c:dLbl>
              <c:idx val="11"/>
              <c:layout>
                <c:manualLayout>
                  <c:x val="-8.161656782436857E-17"/>
                  <c:y val="-5.738603744766018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37,</a:t>
                    </a:r>
                    <a:r>
                      <a:rPr lang="en-US" baseline="0"/>
                      <a:t>63</a:t>
                    </a:r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302-4167-9F2A-5D2A4E891BB4}"/>
                </c:ext>
              </c:extLst>
            </c:dLbl>
            <c:dLbl>
              <c:idx val="12"/>
              <c:layout/>
              <c:tx>
                <c:rich>
                  <a:bodyPr/>
                  <a:lstStyle/>
                  <a:p>
                    <a:r>
                      <a:rPr lang="en-US"/>
                      <a:t>5,22</a:t>
                    </a:r>
                  </a:p>
                </c:rich>
              </c:tx>
              <c:dLblPos val="inBase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6302-4167-9F2A-5D2A4E891BB4}"/>
                </c:ext>
              </c:extLst>
            </c:dLbl>
            <c:dLbl>
              <c:idx val="13"/>
              <c:layout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en-US" baseline="0"/>
                      <a:t>,92</a:t>
                    </a:r>
                    <a:endParaRPr lang="en-US"/>
                  </a:p>
                </c:rich>
              </c:tx>
              <c:dLblPos val="inBase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6302-4167-9F2A-5D2A4E891BB4}"/>
                </c:ext>
              </c:extLst>
            </c:dLbl>
            <c:dLbl>
              <c:idx val="14"/>
              <c:layout/>
              <c:tx>
                <c:rich>
                  <a:bodyPr/>
                  <a:lstStyle/>
                  <a:p>
                    <a:r>
                      <a:rPr lang="en-US"/>
                      <a:t>6,69</a:t>
                    </a:r>
                  </a:p>
                </c:rich>
              </c:tx>
              <c:dLblPos val="inBase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302-4167-9F2A-5D2A4E891BB4}"/>
                </c:ext>
              </c:extLst>
            </c:dLbl>
            <c:dLbl>
              <c:idx val="15"/>
              <c:layout/>
              <c:tx>
                <c:rich>
                  <a:bodyPr/>
                  <a:lstStyle/>
                  <a:p>
                    <a:r>
                      <a:rPr lang="en-US"/>
                      <a:t>7,70</a:t>
                    </a:r>
                  </a:p>
                </c:rich>
              </c:tx>
              <c:dLblPos val="inBase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302-4167-9F2A-5D2A4E891B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Base"/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multiLvlStrRef>
              <c:f>List2!$A$2:$A$22</c:f>
              <c:multiLvlStrCache>
                <c:ptCount val="16"/>
                <c:lvl>
                  <c:pt idx="0">
                    <c:v>2015</c:v>
                  </c:pt>
                  <c:pt idx="1">
                    <c:v>2016</c:v>
                  </c:pt>
                  <c:pt idx="2">
                    <c:v>2017</c:v>
                  </c:pt>
                  <c:pt idx="3">
                    <c:v>2018</c:v>
                  </c:pt>
                  <c:pt idx="4">
                    <c:v>2015</c:v>
                  </c:pt>
                  <c:pt idx="5">
                    <c:v>2016</c:v>
                  </c:pt>
                  <c:pt idx="6">
                    <c:v>2017</c:v>
                  </c:pt>
                  <c:pt idx="7">
                    <c:v>2018</c:v>
                  </c:pt>
                  <c:pt idx="8">
                    <c:v>2015</c:v>
                  </c:pt>
                  <c:pt idx="9">
                    <c:v>2016</c:v>
                  </c:pt>
                  <c:pt idx="10">
                    <c:v>2017</c:v>
                  </c:pt>
                  <c:pt idx="11">
                    <c:v>2018</c:v>
                  </c:pt>
                  <c:pt idx="12">
                    <c:v>2015</c:v>
                  </c:pt>
                  <c:pt idx="13">
                    <c:v>2016</c:v>
                  </c:pt>
                  <c:pt idx="14">
                    <c:v>2017</c:v>
                  </c:pt>
                  <c:pt idx="15">
                    <c:v>2018</c:v>
                  </c:pt>
                </c:lvl>
                <c:lvl>
                  <c:pt idx="0">
                    <c:v>Masarykova univerzita</c:v>
                  </c:pt>
                  <c:pt idx="4">
                    <c:v>Ostravská univerzita</c:v>
                  </c:pt>
                  <c:pt idx="8">
                    <c:v>Univerzita Karlova</c:v>
                  </c:pt>
                  <c:pt idx="12">
                    <c:v>Univerzita Palackého
v Olomouci</c:v>
                  </c:pt>
                </c:lvl>
              </c:multiLvlStrCache>
            </c:multiLvlStrRef>
          </c:cat>
          <c:val>
            <c:numRef>
              <c:f>List2!$D$2:$D$22</c:f>
              <c:numCache>
                <c:formatCode>General</c:formatCode>
                <c:ptCount val="16"/>
                <c:pt idx="0">
                  <c:v>426</c:v>
                </c:pt>
                <c:pt idx="1">
                  <c:v>393</c:v>
                </c:pt>
                <c:pt idx="2">
                  <c:v>390</c:v>
                </c:pt>
                <c:pt idx="3">
                  <c:v>336</c:v>
                </c:pt>
                <c:pt idx="4">
                  <c:v>0</c:v>
                </c:pt>
                <c:pt idx="5">
                  <c:v>0</c:v>
                </c:pt>
                <c:pt idx="6">
                  <c:v>207.5</c:v>
                </c:pt>
                <c:pt idx="7">
                  <c:v>144</c:v>
                </c:pt>
                <c:pt idx="8">
                  <c:v>1791</c:v>
                </c:pt>
                <c:pt idx="9">
                  <c:v>1854</c:v>
                </c:pt>
                <c:pt idx="10">
                  <c:v>2467</c:v>
                </c:pt>
                <c:pt idx="11">
                  <c:v>2536</c:v>
                </c:pt>
                <c:pt idx="12">
                  <c:v>318</c:v>
                </c:pt>
                <c:pt idx="13">
                  <c:v>564</c:v>
                </c:pt>
                <c:pt idx="14">
                  <c:v>556</c:v>
                </c:pt>
                <c:pt idx="15">
                  <c:v>508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6302-4167-9F2A-5D2A4E891BB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0"/>
        <c:overlap val="100"/>
        <c:axId val="2116731615"/>
        <c:axId val="2116731199"/>
      </c:barChart>
      <c:catAx>
        <c:axId val="21167316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116731199"/>
        <c:crosses val="autoZero"/>
        <c:auto val="1"/>
        <c:lblAlgn val="ctr"/>
        <c:lblOffset val="100"/>
        <c:noMultiLvlLbl val="0"/>
      </c:catAx>
      <c:valAx>
        <c:axId val="2116731199"/>
        <c:scaling>
          <c:orientation val="minMax"/>
        </c:scaling>
        <c:delete val="1"/>
        <c:axPos val="l"/>
        <c:numFmt formatCode="#,##0" sourceLinked="0"/>
        <c:majorTickMark val="none"/>
        <c:minorTickMark val="none"/>
        <c:tickLblPos val="nextTo"/>
        <c:crossAx val="21167316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3.2538570408248174E-2"/>
          <c:y val="6.1593237300186988E-2"/>
          <c:w val="0.26629281523448967"/>
          <c:h val="0.25921840415109404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Practising</c:v>
                </c:pt>
              </c:strCache>
            </c:strRef>
          </c:tx>
          <c:spPr>
            <a:solidFill>
              <a:srgbClr val="004595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80808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794A-4B0E-9049-259F76FC0087}"/>
              </c:ext>
            </c:extLst>
          </c:dPt>
          <c:dPt>
            <c:idx val="8"/>
            <c:invertIfNegative val="0"/>
            <c:bubble3D val="0"/>
            <c:spPr>
              <a:solidFill>
                <a:srgbClr val="80808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794A-4B0E-9049-259F76FC0087}"/>
              </c:ext>
            </c:extLst>
          </c:dPt>
          <c:dPt>
            <c:idx val="20"/>
            <c:invertIfNegative val="0"/>
            <c:bubble3D val="0"/>
            <c:spPr>
              <a:solidFill>
                <a:srgbClr val="BD2A3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794A-4B0E-9049-259F76FC0087}"/>
              </c:ext>
            </c:extLst>
          </c:dPt>
          <c:dPt>
            <c:idx val="26"/>
            <c:invertIfNegative val="0"/>
            <c:bubble3D val="0"/>
            <c:spPr>
              <a:solidFill>
                <a:srgbClr val="80808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94A-4B0E-9049-259F76FC0087}"/>
              </c:ext>
            </c:extLst>
          </c:dPt>
          <c:dPt>
            <c:idx val="31"/>
            <c:invertIfNegative val="0"/>
            <c:bubble3D val="0"/>
            <c:spPr>
              <a:solidFill>
                <a:srgbClr val="80808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794A-4B0E-9049-259F76FC0087}"/>
              </c:ext>
            </c:extLst>
          </c:dPt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List1!$A$2:$A$33</c:f>
              <c:strCache>
                <c:ptCount val="32"/>
                <c:pt idx="0">
                  <c:v>Albánie</c:v>
                </c:pt>
                <c:pt idx="1">
                  <c:v>Polsko</c:v>
                </c:pt>
                <c:pt idx="2">
                  <c:v>Černá Hora</c:v>
                </c:pt>
                <c:pt idx="3">
                  <c:v>Rumunsko</c:v>
                </c:pt>
                <c:pt idx="4">
                  <c:v>Velká Británie</c:v>
                </c:pt>
                <c:pt idx="5">
                  <c:v>Slovinsko</c:v>
                </c:pt>
                <c:pt idx="6">
                  <c:v>Irsko</c:v>
                </c:pt>
                <c:pt idx="7">
                  <c:v>Lucembursko</c:v>
                </c:pt>
                <c:pt idx="8">
                  <c:v>Slovensko</c:v>
                </c:pt>
                <c:pt idx="9">
                  <c:v>Belgie</c:v>
                </c:pt>
                <c:pt idx="10">
                  <c:v>Maďarsko</c:v>
                </c:pt>
                <c:pt idx="11">
                  <c:v>Francie</c:v>
                </c:pt>
                <c:pt idx="12">
                  <c:v>Chorvatsko</c:v>
                </c:pt>
                <c:pt idx="13">
                  <c:v>Lotyšsko</c:v>
                </c:pt>
                <c:pt idx="14">
                  <c:v>Lichtenštejnsko</c:v>
                </c:pt>
                <c:pt idx="15">
                  <c:v>Finsko</c:v>
                </c:pt>
                <c:pt idx="16">
                  <c:v>Estonsko</c:v>
                </c:pt>
                <c:pt idx="17">
                  <c:v>Nizozemsko</c:v>
                </c:pt>
                <c:pt idx="18">
                  <c:v>Kypr</c:v>
                </c:pt>
                <c:pt idx="19">
                  <c:v>Dánsko</c:v>
                </c:pt>
                <c:pt idx="20">
                  <c:v>Česká republika</c:v>
                </c:pt>
                <c:pt idx="21">
                  <c:v>Island</c:v>
                </c:pt>
                <c:pt idx="22">
                  <c:v>Malta</c:v>
                </c:pt>
                <c:pt idx="23">
                  <c:v>Itálie</c:v>
                </c:pt>
                <c:pt idx="24">
                  <c:v>Španělsko</c:v>
                </c:pt>
                <c:pt idx="25">
                  <c:v>Bulharsko</c:v>
                </c:pt>
                <c:pt idx="26">
                  <c:v>Německo</c:v>
                </c:pt>
                <c:pt idx="27">
                  <c:v>Švédsko</c:v>
                </c:pt>
                <c:pt idx="28">
                  <c:v>Švýcarsko</c:v>
                </c:pt>
                <c:pt idx="29">
                  <c:v>Litva</c:v>
                </c:pt>
                <c:pt idx="30">
                  <c:v>Norsko</c:v>
                </c:pt>
                <c:pt idx="31">
                  <c:v>Rakousko</c:v>
                </c:pt>
              </c:strCache>
            </c:strRef>
          </c:cat>
          <c:val>
            <c:numRef>
              <c:f>List1!$B$2:$B$33</c:f>
              <c:numCache>
                <c:formatCode>#,##0.00</c:formatCode>
                <c:ptCount val="32"/>
                <c:pt idx="0">
                  <c:v>114.7</c:v>
                </c:pt>
                <c:pt idx="1">
                  <c:v>232.81</c:v>
                </c:pt>
                <c:pt idx="2">
                  <c:v>235.63</c:v>
                </c:pt>
                <c:pt idx="3">
                  <c:v>276.58999999999997</c:v>
                </c:pt>
                <c:pt idx="4">
                  <c:v>278.94</c:v>
                </c:pt>
                <c:pt idx="5">
                  <c:v>282.52999999999997</c:v>
                </c:pt>
                <c:pt idx="6">
                  <c:v>287.5</c:v>
                </c:pt>
                <c:pt idx="7">
                  <c:v>290.73</c:v>
                </c:pt>
                <c:pt idx="8">
                  <c:v>300.17</c:v>
                </c:pt>
                <c:pt idx="9">
                  <c:v>301.75</c:v>
                </c:pt>
                <c:pt idx="10">
                  <c:v>309.72000000000003</c:v>
                </c:pt>
                <c:pt idx="11">
                  <c:v>311.88</c:v>
                </c:pt>
                <c:pt idx="12">
                  <c:v>319.14999999999998</c:v>
                </c:pt>
                <c:pt idx="13">
                  <c:v>319.79000000000002</c:v>
                </c:pt>
                <c:pt idx="14">
                  <c:v>320.05</c:v>
                </c:pt>
                <c:pt idx="15">
                  <c:v>320.63</c:v>
                </c:pt>
                <c:pt idx="16">
                  <c:v>342.25</c:v>
                </c:pt>
                <c:pt idx="17">
                  <c:v>347.45</c:v>
                </c:pt>
                <c:pt idx="18">
                  <c:v>357.69</c:v>
                </c:pt>
                <c:pt idx="19">
                  <c:v>365.71</c:v>
                </c:pt>
                <c:pt idx="20">
                  <c:v>368.79</c:v>
                </c:pt>
                <c:pt idx="21">
                  <c:v>377.55</c:v>
                </c:pt>
                <c:pt idx="22">
                  <c:v>378.81</c:v>
                </c:pt>
                <c:pt idx="23">
                  <c:v>383.83</c:v>
                </c:pt>
                <c:pt idx="24">
                  <c:v>384.52</c:v>
                </c:pt>
                <c:pt idx="25">
                  <c:v>404.54</c:v>
                </c:pt>
                <c:pt idx="26">
                  <c:v>413.93</c:v>
                </c:pt>
                <c:pt idx="27">
                  <c:v>419.11</c:v>
                </c:pt>
                <c:pt idx="28">
                  <c:v>419.71</c:v>
                </c:pt>
                <c:pt idx="29">
                  <c:v>433.92</c:v>
                </c:pt>
                <c:pt idx="30">
                  <c:v>440.35</c:v>
                </c:pt>
                <c:pt idx="31">
                  <c:v>509.69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4A-4B0E-9049-259F76FC00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1797084896"/>
        <c:axId val="1797086144"/>
      </c:barChart>
      <c:catAx>
        <c:axId val="17970848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797086144"/>
        <c:crosses val="autoZero"/>
        <c:auto val="1"/>
        <c:lblAlgn val="ctr"/>
        <c:lblOffset val="100"/>
        <c:noMultiLvlLbl val="0"/>
      </c:catAx>
      <c:valAx>
        <c:axId val="1797086144"/>
        <c:scaling>
          <c:orientation val="minMax"/>
        </c:scaling>
        <c:delete val="1"/>
        <c:axPos val="b"/>
        <c:numFmt formatCode="#,##0" sourceLinked="0"/>
        <c:majorTickMark val="none"/>
        <c:minorTickMark val="none"/>
        <c:tickLblPos val="nextTo"/>
        <c:crossAx val="1797084896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Practising</c:v>
                </c:pt>
              </c:strCache>
            </c:strRef>
          </c:tx>
          <c:spPr>
            <a:solidFill>
              <a:srgbClr val="004595"/>
            </a:solidFill>
            <a:ln>
              <a:noFill/>
            </a:ln>
            <a:effectLst/>
          </c:spPr>
          <c:invertIfNegative val="0"/>
          <c:dPt>
            <c:idx val="5"/>
            <c:invertIfNegative val="0"/>
            <c:bubble3D val="0"/>
            <c:spPr>
              <a:solidFill>
                <a:srgbClr val="80808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7BDA-4D95-A33A-147D47E425D7}"/>
              </c:ext>
            </c:extLst>
          </c:dPt>
          <c:dPt>
            <c:idx val="17"/>
            <c:invertIfNegative val="0"/>
            <c:bubble3D val="0"/>
            <c:spPr>
              <a:solidFill>
                <a:srgbClr val="BD2A3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7BDA-4D95-A33A-147D47E425D7}"/>
              </c:ext>
            </c:extLst>
          </c:dPt>
          <c:dPt>
            <c:idx val="18"/>
            <c:invertIfNegative val="0"/>
            <c:bubble3D val="0"/>
            <c:spPr>
              <a:solidFill>
                <a:srgbClr val="80808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BDA-4D95-A33A-147D47E425D7}"/>
              </c:ext>
            </c:extLst>
          </c:dPt>
          <c:dPt>
            <c:idx val="24"/>
            <c:invertIfNegative val="0"/>
            <c:bubble3D val="0"/>
            <c:spPr>
              <a:solidFill>
                <a:srgbClr val="80808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7BDA-4D95-A33A-147D47E425D7}"/>
              </c:ext>
            </c:extLst>
          </c:dPt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List1!$A$2:$A$31</c:f>
              <c:strCache>
                <c:ptCount val="30"/>
                <c:pt idx="0">
                  <c:v>Řecko</c:v>
                </c:pt>
                <c:pt idx="1">
                  <c:v>Albánie</c:v>
                </c:pt>
                <c:pt idx="2">
                  <c:v>Bulharsko</c:v>
                </c:pt>
                <c:pt idx="3">
                  <c:v>Lotyšsko</c:v>
                </c:pt>
                <c:pt idx="4">
                  <c:v>Černá Hora</c:v>
                </c:pt>
                <c:pt idx="5">
                  <c:v>Polsko</c:v>
                </c:pt>
                <c:pt idx="6">
                  <c:v>Kypr</c:v>
                </c:pt>
                <c:pt idx="7">
                  <c:v>Španělsko</c:v>
                </c:pt>
                <c:pt idx="8">
                  <c:v>Itálie</c:v>
                </c:pt>
                <c:pt idx="9">
                  <c:v>Chorvatsko</c:v>
                </c:pt>
                <c:pt idx="10">
                  <c:v>Estonsko</c:v>
                </c:pt>
                <c:pt idx="11">
                  <c:v>Rumunsko</c:v>
                </c:pt>
                <c:pt idx="12">
                  <c:v>Maďarsko</c:v>
                </c:pt>
                <c:pt idx="13">
                  <c:v>Litva</c:v>
                </c:pt>
                <c:pt idx="14">
                  <c:v>Velká Británie</c:v>
                </c:pt>
                <c:pt idx="15">
                  <c:v>Malta</c:v>
                </c:pt>
                <c:pt idx="16">
                  <c:v>Lichtenštejnsko</c:v>
                </c:pt>
                <c:pt idx="17">
                  <c:v>Česká republika</c:v>
                </c:pt>
                <c:pt idx="18">
                  <c:v>Rakousko</c:v>
                </c:pt>
                <c:pt idx="19">
                  <c:v>Slovinsko</c:v>
                </c:pt>
                <c:pt idx="20">
                  <c:v>Nizozemsko</c:v>
                </c:pt>
                <c:pt idx="21">
                  <c:v>Belgie</c:v>
                </c:pt>
                <c:pt idx="22">
                  <c:v>Švédsko</c:v>
                </c:pt>
                <c:pt idx="23">
                  <c:v>Lucembursko</c:v>
                </c:pt>
                <c:pt idx="24">
                  <c:v>Německo</c:v>
                </c:pt>
                <c:pt idx="25">
                  <c:v>Finsko</c:v>
                </c:pt>
                <c:pt idx="26">
                  <c:v>Island</c:v>
                </c:pt>
                <c:pt idx="27">
                  <c:v>Dánsko</c:v>
                </c:pt>
                <c:pt idx="28">
                  <c:v>Norsko</c:v>
                </c:pt>
                <c:pt idx="29">
                  <c:v>Švýcarsko</c:v>
                </c:pt>
              </c:strCache>
            </c:strRef>
          </c:cat>
          <c:val>
            <c:numRef>
              <c:f>List1!$B$2:$B$31</c:f>
              <c:numCache>
                <c:formatCode>General</c:formatCode>
                <c:ptCount val="30"/>
                <c:pt idx="0">
                  <c:v>320.83999999999997</c:v>
                </c:pt>
                <c:pt idx="1">
                  <c:v>403.18</c:v>
                </c:pt>
                <c:pt idx="2">
                  <c:v>437.41</c:v>
                </c:pt>
                <c:pt idx="3">
                  <c:v>468.41</c:v>
                </c:pt>
                <c:pt idx="4">
                  <c:v>498.26</c:v>
                </c:pt>
                <c:pt idx="5">
                  <c:v>519.61</c:v>
                </c:pt>
                <c:pt idx="6">
                  <c:v>523.08000000000004</c:v>
                </c:pt>
                <c:pt idx="7">
                  <c:v>528.62</c:v>
                </c:pt>
                <c:pt idx="8">
                  <c:v>544.37</c:v>
                </c:pt>
                <c:pt idx="9">
                  <c:v>583.46</c:v>
                </c:pt>
                <c:pt idx="10">
                  <c:v>601.03</c:v>
                </c:pt>
                <c:pt idx="11">
                  <c:v>640.97</c:v>
                </c:pt>
                <c:pt idx="12">
                  <c:v>646.88</c:v>
                </c:pt>
                <c:pt idx="13">
                  <c:v>766.29</c:v>
                </c:pt>
                <c:pt idx="14">
                  <c:v>790.19</c:v>
                </c:pt>
                <c:pt idx="15">
                  <c:v>794.44</c:v>
                </c:pt>
                <c:pt idx="16">
                  <c:v>794.79</c:v>
                </c:pt>
                <c:pt idx="17">
                  <c:v>800.77</c:v>
                </c:pt>
                <c:pt idx="18">
                  <c:v>805.22</c:v>
                </c:pt>
                <c:pt idx="19">
                  <c:v>878.2</c:v>
                </c:pt>
                <c:pt idx="20" formatCode="#,##0.00">
                  <c:v>1046.6600000000001</c:v>
                </c:pt>
                <c:pt idx="21" formatCode="#,##0.00">
                  <c:v>1083.24</c:v>
                </c:pt>
                <c:pt idx="22" formatCode="#,##0.00">
                  <c:v>1113.72</c:v>
                </c:pt>
                <c:pt idx="23" formatCode="#,##0.00">
                  <c:v>1190.83</c:v>
                </c:pt>
                <c:pt idx="24" formatCode="#,##0.00">
                  <c:v>1334.37</c:v>
                </c:pt>
                <c:pt idx="25" formatCode="#,##0.00">
                  <c:v>1466.35</c:v>
                </c:pt>
                <c:pt idx="26" formatCode="#,##0.00">
                  <c:v>1545.27</c:v>
                </c:pt>
                <c:pt idx="27" formatCode="#,##0.00">
                  <c:v>1670.11</c:v>
                </c:pt>
                <c:pt idx="28" formatCode="#,##0.00">
                  <c:v>1733.91</c:v>
                </c:pt>
                <c:pt idx="29" formatCode="#,##0.00">
                  <c:v>1795.31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DA-4D95-A33A-147D47E425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1883375264"/>
        <c:axId val="1883378176"/>
      </c:barChart>
      <c:catAx>
        <c:axId val="18833752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883378176"/>
        <c:crosses val="autoZero"/>
        <c:auto val="1"/>
        <c:lblAlgn val="ctr"/>
        <c:lblOffset val="100"/>
        <c:noMultiLvlLbl val="0"/>
      </c:catAx>
      <c:valAx>
        <c:axId val="188337817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883375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lek</c:v>
                </c:pt>
              </c:strCache>
            </c:strRef>
          </c:tx>
          <c:spPr>
            <a:solidFill>
              <a:srgbClr val="004595"/>
            </a:solidFill>
            <a:ln>
              <a:noFill/>
            </a:ln>
            <a:effectLst/>
          </c:spPr>
          <c:invertIfNegative val="0"/>
          <c:dPt>
            <c:idx val="6"/>
            <c:invertIfNegative val="0"/>
            <c:bubble3D val="0"/>
            <c:spPr>
              <a:solidFill>
                <a:srgbClr val="BD2A3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8DF6-4DF0-B854-D49CCB8C1007}"/>
              </c:ext>
            </c:extLst>
          </c:dPt>
          <c:dPt>
            <c:idx val="7"/>
            <c:invertIfNegative val="0"/>
            <c:bubble3D val="0"/>
            <c:spPr>
              <a:solidFill>
                <a:srgbClr val="BD2A3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8DF6-4DF0-B854-D49CCB8C1007}"/>
              </c:ext>
            </c:extLst>
          </c:dPt>
          <c:dPt>
            <c:idx val="8"/>
            <c:invertIfNegative val="0"/>
            <c:bubble3D val="0"/>
            <c:spPr>
              <a:solidFill>
                <a:srgbClr val="BD2A3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8DF6-4DF0-B854-D49CCB8C1007}"/>
              </c:ext>
            </c:extLst>
          </c:dPt>
          <c:dPt>
            <c:idx val="9"/>
            <c:invertIfNegative val="0"/>
            <c:bubble3D val="0"/>
            <c:spPr>
              <a:solidFill>
                <a:srgbClr val="BD2A3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8DF6-4DF0-B854-D49CCB8C1007}"/>
              </c:ext>
            </c:extLst>
          </c:dPt>
          <c:dPt>
            <c:idx val="10"/>
            <c:invertIfNegative val="0"/>
            <c:bubble3D val="0"/>
            <c:spPr>
              <a:solidFill>
                <a:srgbClr val="BD2A3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8DF6-4DF0-B854-D49CCB8C1007}"/>
              </c:ext>
            </c:extLst>
          </c:dPt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List1!$A$2:$A$12</c:f>
              <c:strCache>
                <c:ptCount val="11"/>
                <c:pt idx="0">
                  <c:v>do 34</c:v>
                </c:pt>
                <c:pt idx="1">
                  <c:v>35–39</c:v>
                </c:pt>
                <c:pt idx="2">
                  <c:v>40–44</c:v>
                </c:pt>
                <c:pt idx="3">
                  <c:v>45–49</c:v>
                </c:pt>
                <c:pt idx="4">
                  <c:v>50–54</c:v>
                </c:pt>
                <c:pt idx="5">
                  <c:v>55–59</c:v>
                </c:pt>
                <c:pt idx="6">
                  <c:v>60–64</c:v>
                </c:pt>
                <c:pt idx="7">
                  <c:v>65–69</c:v>
                </c:pt>
                <c:pt idx="8">
                  <c:v>70–74</c:v>
                </c:pt>
                <c:pt idx="9">
                  <c:v>75–79</c:v>
                </c:pt>
                <c:pt idx="10">
                  <c:v>80 a více</c:v>
                </c:pt>
              </c:strCache>
            </c:strRef>
          </c:cat>
          <c:val>
            <c:numRef>
              <c:f>List1!$B$2:$B$12</c:f>
              <c:numCache>
                <c:formatCode>General</c:formatCode>
                <c:ptCount val="11"/>
                <c:pt idx="0">
                  <c:v>478</c:v>
                </c:pt>
                <c:pt idx="1">
                  <c:v>711</c:v>
                </c:pt>
                <c:pt idx="2">
                  <c:v>591</c:v>
                </c:pt>
                <c:pt idx="3">
                  <c:v>681</c:v>
                </c:pt>
                <c:pt idx="4">
                  <c:v>626</c:v>
                </c:pt>
                <c:pt idx="5">
                  <c:v>686</c:v>
                </c:pt>
                <c:pt idx="6">
                  <c:v>1309</c:v>
                </c:pt>
                <c:pt idx="7">
                  <c:v>1097</c:v>
                </c:pt>
                <c:pt idx="8">
                  <c:v>625</c:v>
                </c:pt>
                <c:pt idx="9">
                  <c:v>308</c:v>
                </c:pt>
                <c:pt idx="10">
                  <c:v>147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F6-4DF0-B854-D49CCB8C10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2"/>
        <c:overlap val="-27"/>
        <c:axId val="1959218800"/>
        <c:axId val="2051801184"/>
      </c:barChart>
      <c:catAx>
        <c:axId val="1959218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051801184"/>
        <c:crosses val="autoZero"/>
        <c:auto val="1"/>
        <c:lblAlgn val="ctr"/>
        <c:lblOffset val="100"/>
        <c:noMultiLvlLbl val="0"/>
      </c:catAx>
      <c:valAx>
        <c:axId val="2051801184"/>
        <c:scaling>
          <c:orientation val="minMax"/>
        </c:scaling>
        <c:delete val="0"/>
        <c:axPos val="l"/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959218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lek</c:v>
                </c:pt>
              </c:strCache>
            </c:strRef>
          </c:tx>
          <c:spPr>
            <a:solidFill>
              <a:srgbClr val="004595"/>
            </a:solidFill>
            <a:ln>
              <a:noFill/>
            </a:ln>
            <a:effectLst/>
          </c:spPr>
          <c:invertIfNegative val="0"/>
          <c:dPt>
            <c:idx val="6"/>
            <c:invertIfNegative val="0"/>
            <c:bubble3D val="0"/>
            <c:spPr>
              <a:solidFill>
                <a:srgbClr val="BD2A3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9005-46BC-8E59-2C5E041E8534}"/>
              </c:ext>
            </c:extLst>
          </c:dPt>
          <c:dPt>
            <c:idx val="7"/>
            <c:invertIfNegative val="0"/>
            <c:bubble3D val="0"/>
            <c:spPr>
              <a:solidFill>
                <a:srgbClr val="BD2A3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9005-46BC-8E59-2C5E041E8534}"/>
              </c:ext>
            </c:extLst>
          </c:dPt>
          <c:dPt>
            <c:idx val="8"/>
            <c:invertIfNegative val="0"/>
            <c:bubble3D val="0"/>
            <c:spPr>
              <a:solidFill>
                <a:srgbClr val="BD2A3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9005-46BC-8E59-2C5E041E8534}"/>
              </c:ext>
            </c:extLst>
          </c:dPt>
          <c:dPt>
            <c:idx val="9"/>
            <c:invertIfNegative val="0"/>
            <c:bubble3D val="0"/>
            <c:spPr>
              <a:solidFill>
                <a:srgbClr val="BD2A3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9005-46BC-8E59-2C5E041E8534}"/>
              </c:ext>
            </c:extLst>
          </c:dPt>
          <c:dPt>
            <c:idx val="10"/>
            <c:invertIfNegative val="0"/>
            <c:bubble3D val="0"/>
            <c:spPr>
              <a:solidFill>
                <a:srgbClr val="BD2A3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9005-46BC-8E59-2C5E041E853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List1!$A$2:$A$12</c:f>
              <c:strCache>
                <c:ptCount val="11"/>
                <c:pt idx="0">
                  <c:v>do 34</c:v>
                </c:pt>
                <c:pt idx="1">
                  <c:v>35–39</c:v>
                </c:pt>
                <c:pt idx="2">
                  <c:v>40–44</c:v>
                </c:pt>
                <c:pt idx="3">
                  <c:v>45–49</c:v>
                </c:pt>
                <c:pt idx="4">
                  <c:v>50–54</c:v>
                </c:pt>
                <c:pt idx="5">
                  <c:v>55–59</c:v>
                </c:pt>
                <c:pt idx="6">
                  <c:v>60–64</c:v>
                </c:pt>
                <c:pt idx="7">
                  <c:v>65–69</c:v>
                </c:pt>
                <c:pt idx="8">
                  <c:v>70–74</c:v>
                </c:pt>
                <c:pt idx="9">
                  <c:v>75–79</c:v>
                </c:pt>
                <c:pt idx="10">
                  <c:v>80 a více</c:v>
                </c:pt>
              </c:strCache>
            </c:strRef>
          </c:cat>
          <c:val>
            <c:numRef>
              <c:f>List1!$B$2:$B$12</c:f>
              <c:numCache>
                <c:formatCode>General</c:formatCode>
                <c:ptCount val="11"/>
                <c:pt idx="0">
                  <c:v>193</c:v>
                </c:pt>
                <c:pt idx="1">
                  <c:v>452</c:v>
                </c:pt>
                <c:pt idx="2">
                  <c:v>329</c:v>
                </c:pt>
                <c:pt idx="3">
                  <c:v>363</c:v>
                </c:pt>
                <c:pt idx="4">
                  <c:v>347</c:v>
                </c:pt>
                <c:pt idx="5">
                  <c:v>573</c:v>
                </c:pt>
                <c:pt idx="6">
                  <c:v>747</c:v>
                </c:pt>
                <c:pt idx="7">
                  <c:v>778</c:v>
                </c:pt>
                <c:pt idx="8">
                  <c:v>401</c:v>
                </c:pt>
                <c:pt idx="9">
                  <c:v>179</c:v>
                </c:pt>
                <c:pt idx="10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005-46BC-8E59-2C5E041E85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2"/>
        <c:overlap val="-27"/>
        <c:axId val="1959218800"/>
        <c:axId val="2051801184"/>
      </c:barChart>
      <c:catAx>
        <c:axId val="1959218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051801184"/>
        <c:crosses val="autoZero"/>
        <c:auto val="1"/>
        <c:lblAlgn val="ctr"/>
        <c:lblOffset val="100"/>
        <c:noMultiLvlLbl val="0"/>
      </c:catAx>
      <c:valAx>
        <c:axId val="2051801184"/>
        <c:scaling>
          <c:orientation val="minMax"/>
        </c:scaling>
        <c:delete val="0"/>
        <c:axPos val="l"/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959218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zub</c:v>
                </c:pt>
              </c:strCache>
            </c:strRef>
          </c:tx>
          <c:spPr>
            <a:solidFill>
              <a:srgbClr val="BD2A33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459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062C-4CBC-A151-B20A3CA419D9}"/>
              </c:ext>
            </c:extLst>
          </c:dPt>
          <c:dPt>
            <c:idx val="1"/>
            <c:invertIfNegative val="0"/>
            <c:bubble3D val="0"/>
            <c:spPr>
              <a:solidFill>
                <a:srgbClr val="00459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2-062C-4CBC-A151-B20A3CA419D9}"/>
              </c:ext>
            </c:extLst>
          </c:dPt>
          <c:dPt>
            <c:idx val="2"/>
            <c:invertIfNegative val="0"/>
            <c:bubble3D val="0"/>
            <c:spPr>
              <a:solidFill>
                <a:srgbClr val="00459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062C-4CBC-A151-B20A3CA419D9}"/>
              </c:ext>
            </c:extLst>
          </c:dPt>
          <c:dPt>
            <c:idx val="3"/>
            <c:invertIfNegative val="0"/>
            <c:bubble3D val="0"/>
            <c:spPr>
              <a:solidFill>
                <a:srgbClr val="00459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0-062C-4CBC-A151-B20A3CA419D9}"/>
              </c:ext>
            </c:extLst>
          </c:dPt>
          <c:dPt>
            <c:idx val="4"/>
            <c:invertIfNegative val="0"/>
            <c:bubble3D val="0"/>
            <c:spPr>
              <a:solidFill>
                <a:srgbClr val="00459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062C-4CBC-A151-B20A3CA419D9}"/>
              </c:ext>
            </c:extLst>
          </c:dPt>
          <c:dPt>
            <c:idx val="5"/>
            <c:invertIfNegative val="0"/>
            <c:bubble3D val="0"/>
            <c:spPr>
              <a:solidFill>
                <a:srgbClr val="00459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E-062C-4CBC-A151-B20A3CA419D9}"/>
              </c:ext>
            </c:extLst>
          </c:dPt>
          <c:dPt>
            <c:idx val="6"/>
            <c:invertIfNegative val="0"/>
            <c:bubble3D val="0"/>
            <c:spPr>
              <a:solidFill>
                <a:srgbClr val="00459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062C-4CBC-A151-B20A3CA419D9}"/>
              </c:ext>
            </c:extLst>
          </c:dPt>
          <c:dPt>
            <c:idx val="7"/>
            <c:invertIfNegative val="0"/>
            <c:bubble3D val="0"/>
            <c:spPr>
              <a:solidFill>
                <a:srgbClr val="BD2A3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062C-4CBC-A151-B20A3CA419D9}"/>
              </c:ext>
            </c:extLst>
          </c:dPt>
          <c:dPt>
            <c:idx val="8"/>
            <c:invertIfNegative val="0"/>
            <c:bubble3D val="0"/>
            <c:spPr>
              <a:solidFill>
                <a:srgbClr val="BD2A3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062C-4CBC-A151-B20A3CA419D9}"/>
              </c:ext>
            </c:extLst>
          </c:dPt>
          <c:dPt>
            <c:idx val="9"/>
            <c:invertIfNegative val="0"/>
            <c:bubble3D val="0"/>
            <c:spPr>
              <a:solidFill>
                <a:srgbClr val="BD2A3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062C-4CBC-A151-B20A3CA419D9}"/>
              </c:ext>
            </c:extLst>
          </c:dPt>
          <c:dPt>
            <c:idx val="10"/>
            <c:invertIfNegative val="0"/>
            <c:bubble3D val="0"/>
            <c:spPr>
              <a:solidFill>
                <a:srgbClr val="BD2A3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062C-4CBC-A151-B20A3CA419D9}"/>
              </c:ext>
            </c:extLst>
          </c:dPt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List1!$A$2:$A$13</c:f>
              <c:strCache>
                <c:ptCount val="12"/>
                <c:pt idx="0">
                  <c:v>do 29</c:v>
                </c:pt>
                <c:pt idx="1">
                  <c:v>30–34</c:v>
                </c:pt>
                <c:pt idx="2">
                  <c:v>35–39</c:v>
                </c:pt>
                <c:pt idx="3">
                  <c:v>40–44</c:v>
                </c:pt>
                <c:pt idx="4">
                  <c:v>45–49</c:v>
                </c:pt>
                <c:pt idx="5">
                  <c:v>50–54</c:v>
                </c:pt>
                <c:pt idx="6">
                  <c:v>55–59</c:v>
                </c:pt>
                <c:pt idx="7">
                  <c:v>60–64</c:v>
                </c:pt>
                <c:pt idx="8">
                  <c:v>65–69</c:v>
                </c:pt>
                <c:pt idx="9">
                  <c:v>70–74</c:v>
                </c:pt>
                <c:pt idx="10">
                  <c:v>75–79</c:v>
                </c:pt>
                <c:pt idx="11">
                  <c:v>80 a více</c:v>
                </c:pt>
              </c:strCache>
            </c:strRef>
          </c:cat>
          <c:val>
            <c:numRef>
              <c:f>List1!$B$2:$B$13</c:f>
              <c:numCache>
                <c:formatCode>General</c:formatCode>
                <c:ptCount val="12"/>
                <c:pt idx="0">
                  <c:v>1036</c:v>
                </c:pt>
                <c:pt idx="1">
                  <c:v>1447</c:v>
                </c:pt>
                <c:pt idx="2">
                  <c:v>950</c:v>
                </c:pt>
                <c:pt idx="3">
                  <c:v>661</c:v>
                </c:pt>
                <c:pt idx="4">
                  <c:v>626</c:v>
                </c:pt>
                <c:pt idx="5">
                  <c:v>578</c:v>
                </c:pt>
                <c:pt idx="6">
                  <c:v>464</c:v>
                </c:pt>
                <c:pt idx="7">
                  <c:v>1190</c:v>
                </c:pt>
                <c:pt idx="8">
                  <c:v>1707</c:v>
                </c:pt>
                <c:pt idx="9">
                  <c:v>655</c:v>
                </c:pt>
                <c:pt idx="10">
                  <c:v>295</c:v>
                </c:pt>
                <c:pt idx="11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62C-4CBC-A151-B20A3CA419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2"/>
        <c:overlap val="-27"/>
        <c:axId val="1959218800"/>
        <c:axId val="2051801184"/>
      </c:barChart>
      <c:catAx>
        <c:axId val="1959218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051801184"/>
        <c:crosses val="autoZero"/>
        <c:auto val="1"/>
        <c:lblAlgn val="ctr"/>
        <c:lblOffset val="100"/>
        <c:noMultiLvlLbl val="0"/>
      </c:catAx>
      <c:valAx>
        <c:axId val="2051801184"/>
        <c:scaling>
          <c:orientation val="minMax"/>
        </c:scaling>
        <c:delete val="0"/>
        <c:axPos val="l"/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959218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84D25C3-8767-4A59-B52A-E4764E38BF3D}" type="doc">
      <dgm:prSet loTypeId="urn:microsoft.com/office/officeart/2005/8/layout/radial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6ED28A23-7636-4772-801F-94CDFA4D273A}">
      <dgm:prSet phldrT="[Text]" custT="1"/>
      <dgm:spPr>
        <a:solidFill>
          <a:srgbClr val="004595"/>
        </a:solidFill>
      </dgm:spPr>
      <dgm:t>
        <a:bodyPr/>
        <a:lstStyle/>
        <a:p>
          <a:r>
            <a:rPr lang="cs-CZ" sz="1100" b="1">
              <a:solidFill>
                <a:schemeClr val="bg1"/>
              </a:solidFill>
            </a:rPr>
            <a:t>NELÉKAŘI</a:t>
          </a:r>
          <a:endParaRPr lang="cs-CZ" sz="1050" b="1">
            <a:solidFill>
              <a:schemeClr val="bg1"/>
            </a:solidFill>
          </a:endParaRPr>
        </a:p>
      </dgm:t>
    </dgm:pt>
    <dgm:pt modelId="{F1733597-D48B-465C-9FBC-4A6128F22631}" type="parTrans" cxnId="{557DAD7C-0C05-42DB-BED3-AE62F685057E}">
      <dgm:prSet/>
      <dgm:spPr/>
      <dgm:t>
        <a:bodyPr/>
        <a:lstStyle/>
        <a:p>
          <a:endParaRPr lang="cs-CZ"/>
        </a:p>
      </dgm:t>
    </dgm:pt>
    <dgm:pt modelId="{C927CFCB-281D-4009-81F5-219402293E22}" type="sibTrans" cxnId="{557DAD7C-0C05-42DB-BED3-AE62F685057E}">
      <dgm:prSet/>
      <dgm:spPr/>
      <dgm:t>
        <a:bodyPr/>
        <a:lstStyle/>
        <a:p>
          <a:endParaRPr lang="cs-CZ"/>
        </a:p>
      </dgm:t>
    </dgm:pt>
    <dgm:pt modelId="{899C781C-A7B0-46B2-8AA4-9F68CCBFB909}">
      <dgm:prSet phldrT="[Text]" custT="1"/>
      <dgm:spPr>
        <a:solidFill>
          <a:srgbClr val="004595">
            <a:alpha val="50000"/>
          </a:srgbClr>
        </a:solidFill>
      </dgm:spPr>
      <dgm:t>
        <a:bodyPr lIns="0" rIns="0"/>
        <a:lstStyle/>
        <a:p>
          <a:r>
            <a:rPr lang="cs-CZ" sz="1000" b="1">
              <a:solidFill>
                <a:schemeClr val="bg1"/>
              </a:solidFill>
            </a:rPr>
            <a:t>MZD</a:t>
          </a:r>
        </a:p>
      </dgm:t>
    </dgm:pt>
    <dgm:pt modelId="{5FACC542-68BF-41B5-AC72-09BA84AFC853}" type="parTrans" cxnId="{12DB3A75-BBAE-403C-9C7A-EABBF7FB8CEF}">
      <dgm:prSet/>
      <dgm:spPr/>
      <dgm:t>
        <a:bodyPr/>
        <a:lstStyle/>
        <a:p>
          <a:endParaRPr lang="cs-CZ"/>
        </a:p>
      </dgm:t>
    </dgm:pt>
    <dgm:pt modelId="{D54BC1ED-91E4-4B32-879A-C4346BD79A2E}" type="sibTrans" cxnId="{12DB3A75-BBAE-403C-9C7A-EABBF7FB8CEF}">
      <dgm:prSet/>
      <dgm:spPr/>
      <dgm:t>
        <a:bodyPr/>
        <a:lstStyle/>
        <a:p>
          <a:endParaRPr lang="cs-CZ"/>
        </a:p>
      </dgm:t>
    </dgm:pt>
    <dgm:pt modelId="{835F5357-928D-43D3-8BEF-7D6CF4F23B3D}">
      <dgm:prSet phldrT="[Text]" custT="1"/>
      <dgm:spPr>
        <a:solidFill>
          <a:srgbClr val="004595">
            <a:alpha val="50000"/>
          </a:srgbClr>
        </a:solidFill>
      </dgm:spPr>
      <dgm:t>
        <a:bodyPr lIns="0" rIns="0"/>
        <a:lstStyle/>
        <a:p>
          <a:r>
            <a:rPr lang="cs-CZ" sz="1000" b="1">
              <a:solidFill>
                <a:schemeClr val="bg1"/>
              </a:solidFill>
            </a:rPr>
            <a:t>NCONZO</a:t>
          </a:r>
        </a:p>
      </dgm:t>
    </dgm:pt>
    <dgm:pt modelId="{8BEBECD6-ADFE-448E-8D05-281C3D66A386}" type="parTrans" cxnId="{AF959C73-E497-444C-BB54-8CE75DCBE710}">
      <dgm:prSet/>
      <dgm:spPr/>
      <dgm:t>
        <a:bodyPr/>
        <a:lstStyle/>
        <a:p>
          <a:endParaRPr lang="cs-CZ"/>
        </a:p>
      </dgm:t>
    </dgm:pt>
    <dgm:pt modelId="{D674C164-8E86-4DDD-80BA-8A697F8F5AD4}" type="sibTrans" cxnId="{AF959C73-E497-444C-BB54-8CE75DCBE710}">
      <dgm:prSet/>
      <dgm:spPr/>
      <dgm:t>
        <a:bodyPr/>
        <a:lstStyle/>
        <a:p>
          <a:endParaRPr lang="cs-CZ"/>
        </a:p>
      </dgm:t>
    </dgm:pt>
    <dgm:pt modelId="{D820E7BF-FE58-4236-9C59-AA1677EA3AEC}">
      <dgm:prSet phldrT="[Text]" custT="1"/>
      <dgm:spPr>
        <a:solidFill>
          <a:srgbClr val="004595">
            <a:alpha val="50000"/>
          </a:srgbClr>
        </a:solidFill>
      </dgm:spPr>
      <dgm:t>
        <a:bodyPr lIns="0" rIns="0"/>
        <a:lstStyle/>
        <a:p>
          <a:r>
            <a:rPr lang="cs-CZ" sz="1000" b="1">
              <a:solidFill>
                <a:schemeClr val="bg1"/>
              </a:solidFill>
            </a:rPr>
            <a:t>IPVZ</a:t>
          </a:r>
        </a:p>
      </dgm:t>
    </dgm:pt>
    <dgm:pt modelId="{C08D37BD-C366-4E2C-8753-090EF8E1AADD}" type="parTrans" cxnId="{6FE94E25-896A-4E7C-AF02-AD5516A1B0B8}">
      <dgm:prSet/>
      <dgm:spPr/>
      <dgm:t>
        <a:bodyPr/>
        <a:lstStyle/>
        <a:p>
          <a:endParaRPr lang="cs-CZ"/>
        </a:p>
      </dgm:t>
    </dgm:pt>
    <dgm:pt modelId="{2CCF0DFA-E29C-47DE-AFFA-4C7F1E4EFCD1}" type="sibTrans" cxnId="{6FE94E25-896A-4E7C-AF02-AD5516A1B0B8}">
      <dgm:prSet/>
      <dgm:spPr/>
      <dgm:t>
        <a:bodyPr/>
        <a:lstStyle/>
        <a:p>
          <a:endParaRPr lang="cs-CZ"/>
        </a:p>
      </dgm:t>
    </dgm:pt>
    <dgm:pt modelId="{CC8841CB-D955-4FA9-B016-218D9D26651A}">
      <dgm:prSet phldrT="[Text]" custT="1"/>
      <dgm:spPr>
        <a:solidFill>
          <a:srgbClr val="004595">
            <a:alpha val="50000"/>
          </a:srgbClr>
        </a:solidFill>
      </dgm:spPr>
      <dgm:t>
        <a:bodyPr lIns="0" rIns="0"/>
        <a:lstStyle/>
        <a:p>
          <a:r>
            <a:rPr lang="cs-CZ" sz="900" b="1">
              <a:solidFill>
                <a:schemeClr val="bg1"/>
              </a:solidFill>
            </a:rPr>
            <a:t>ZDRAVOTNICKÁ ZAŘÍZENÍ</a:t>
          </a:r>
        </a:p>
      </dgm:t>
    </dgm:pt>
    <dgm:pt modelId="{58EE6FDC-05C0-43DD-8BA3-48A1FF561DCA}" type="parTrans" cxnId="{0C290094-9FE7-4056-A674-8B6980F28E8D}">
      <dgm:prSet/>
      <dgm:spPr/>
      <dgm:t>
        <a:bodyPr/>
        <a:lstStyle/>
        <a:p>
          <a:endParaRPr lang="cs-CZ"/>
        </a:p>
      </dgm:t>
    </dgm:pt>
    <dgm:pt modelId="{623FFED2-A1ED-4314-8317-5D6A2F878EFC}" type="sibTrans" cxnId="{0C290094-9FE7-4056-A674-8B6980F28E8D}">
      <dgm:prSet/>
      <dgm:spPr/>
      <dgm:t>
        <a:bodyPr/>
        <a:lstStyle/>
        <a:p>
          <a:endParaRPr lang="cs-CZ"/>
        </a:p>
      </dgm:t>
    </dgm:pt>
    <dgm:pt modelId="{7F709179-28F0-4EF1-AB89-07F9F5BBE948}" type="pres">
      <dgm:prSet presAssocID="{E84D25C3-8767-4A59-B52A-E4764E38BF3D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3C3A273F-992C-420E-979F-23BFB8E13046}" type="pres">
      <dgm:prSet presAssocID="{E84D25C3-8767-4A59-B52A-E4764E38BF3D}" presName="radial" presStyleCnt="0">
        <dgm:presLayoutVars>
          <dgm:animLvl val="ctr"/>
        </dgm:presLayoutVars>
      </dgm:prSet>
      <dgm:spPr/>
    </dgm:pt>
    <dgm:pt modelId="{B5760108-CC83-451E-94CC-F378C9227CC3}" type="pres">
      <dgm:prSet presAssocID="{6ED28A23-7636-4772-801F-94CDFA4D273A}" presName="centerShape" presStyleLbl="vennNode1" presStyleIdx="0" presStyleCnt="5"/>
      <dgm:spPr/>
      <dgm:t>
        <a:bodyPr/>
        <a:lstStyle/>
        <a:p>
          <a:endParaRPr lang="cs-CZ"/>
        </a:p>
      </dgm:t>
    </dgm:pt>
    <dgm:pt modelId="{1D1766BA-7027-46E5-8CF1-A1F7A7CED073}" type="pres">
      <dgm:prSet presAssocID="{899C781C-A7B0-46B2-8AA4-9F68CCBFB909}" presName="node" presStyleLbl="vennNode1" presStyleIdx="1" presStyleCnt="5" custScaleX="131695" custScaleY="131695" custRadScaleRad="84914" custRadScaleInc="872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EA7119FE-48FB-46BD-A423-60BB169601D0}" type="pres">
      <dgm:prSet presAssocID="{835F5357-928D-43D3-8BEF-7D6CF4F23B3D}" presName="node" presStyleLbl="vennNode1" presStyleIdx="2" presStyleCnt="5" custScaleX="131695" custScaleY="131802" custRadScaleRad="84955" custRadScaleInc="33819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9CEDD6E2-8FB8-43B3-8BBA-67BB1F598FA8}" type="pres">
      <dgm:prSet presAssocID="{D820E7BF-FE58-4236-9C59-AA1677EA3AEC}" presName="node" presStyleLbl="vennNode1" presStyleIdx="3" presStyleCnt="5" custScaleX="131695" custScaleY="131695" custRadScaleRad="89034" custRadScaleInc="-27457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710265B0-4087-49BF-B813-D8AA13FB2425}" type="pres">
      <dgm:prSet presAssocID="{CC8841CB-D955-4FA9-B016-218D9D26651A}" presName="node" presStyleLbl="vennNode1" presStyleIdx="4" presStyleCnt="5" custScaleX="148377" custScaleY="148377" custRadScaleRad="87538" custRadScaleInc="-32721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AE1267B7-E212-4E72-9AFC-E7DD622F1A24}" type="presOf" srcId="{6ED28A23-7636-4772-801F-94CDFA4D273A}" destId="{B5760108-CC83-451E-94CC-F378C9227CC3}" srcOrd="0" destOrd="0" presId="urn:microsoft.com/office/officeart/2005/8/layout/radial3"/>
    <dgm:cxn modelId="{AF959C73-E497-444C-BB54-8CE75DCBE710}" srcId="{6ED28A23-7636-4772-801F-94CDFA4D273A}" destId="{835F5357-928D-43D3-8BEF-7D6CF4F23B3D}" srcOrd="1" destOrd="0" parTransId="{8BEBECD6-ADFE-448E-8D05-281C3D66A386}" sibTransId="{D674C164-8E86-4DDD-80BA-8A697F8F5AD4}"/>
    <dgm:cxn modelId="{12DB3A75-BBAE-403C-9C7A-EABBF7FB8CEF}" srcId="{6ED28A23-7636-4772-801F-94CDFA4D273A}" destId="{899C781C-A7B0-46B2-8AA4-9F68CCBFB909}" srcOrd="0" destOrd="0" parTransId="{5FACC542-68BF-41B5-AC72-09BA84AFC853}" sibTransId="{D54BC1ED-91E4-4B32-879A-C4346BD79A2E}"/>
    <dgm:cxn modelId="{6FE94E25-896A-4E7C-AF02-AD5516A1B0B8}" srcId="{6ED28A23-7636-4772-801F-94CDFA4D273A}" destId="{D820E7BF-FE58-4236-9C59-AA1677EA3AEC}" srcOrd="2" destOrd="0" parTransId="{C08D37BD-C366-4E2C-8753-090EF8E1AADD}" sibTransId="{2CCF0DFA-E29C-47DE-AFFA-4C7F1E4EFCD1}"/>
    <dgm:cxn modelId="{90BC8C58-FDA4-4462-B6E5-CB269C0D611A}" type="presOf" srcId="{D820E7BF-FE58-4236-9C59-AA1677EA3AEC}" destId="{9CEDD6E2-8FB8-43B3-8BBA-67BB1F598FA8}" srcOrd="0" destOrd="0" presId="urn:microsoft.com/office/officeart/2005/8/layout/radial3"/>
    <dgm:cxn modelId="{C494D990-4BC5-48E4-9C13-E9EBB297F47A}" type="presOf" srcId="{899C781C-A7B0-46B2-8AA4-9F68CCBFB909}" destId="{1D1766BA-7027-46E5-8CF1-A1F7A7CED073}" srcOrd="0" destOrd="0" presId="urn:microsoft.com/office/officeart/2005/8/layout/radial3"/>
    <dgm:cxn modelId="{1FEEEAD4-AA67-4360-AAA7-79CE9F5D1454}" type="presOf" srcId="{835F5357-928D-43D3-8BEF-7D6CF4F23B3D}" destId="{EA7119FE-48FB-46BD-A423-60BB169601D0}" srcOrd="0" destOrd="0" presId="urn:microsoft.com/office/officeart/2005/8/layout/radial3"/>
    <dgm:cxn modelId="{1828BD78-FA37-4F37-806D-35ADC5BE6AC5}" type="presOf" srcId="{CC8841CB-D955-4FA9-B016-218D9D26651A}" destId="{710265B0-4087-49BF-B813-D8AA13FB2425}" srcOrd="0" destOrd="0" presId="urn:microsoft.com/office/officeart/2005/8/layout/radial3"/>
    <dgm:cxn modelId="{33D6475E-7811-4035-9585-FF466E4D7DD6}" type="presOf" srcId="{E84D25C3-8767-4A59-B52A-E4764E38BF3D}" destId="{7F709179-28F0-4EF1-AB89-07F9F5BBE948}" srcOrd="0" destOrd="0" presId="urn:microsoft.com/office/officeart/2005/8/layout/radial3"/>
    <dgm:cxn modelId="{0C290094-9FE7-4056-A674-8B6980F28E8D}" srcId="{6ED28A23-7636-4772-801F-94CDFA4D273A}" destId="{CC8841CB-D955-4FA9-B016-218D9D26651A}" srcOrd="3" destOrd="0" parTransId="{58EE6FDC-05C0-43DD-8BA3-48A1FF561DCA}" sibTransId="{623FFED2-A1ED-4314-8317-5D6A2F878EFC}"/>
    <dgm:cxn modelId="{557DAD7C-0C05-42DB-BED3-AE62F685057E}" srcId="{E84D25C3-8767-4A59-B52A-E4764E38BF3D}" destId="{6ED28A23-7636-4772-801F-94CDFA4D273A}" srcOrd="0" destOrd="0" parTransId="{F1733597-D48B-465C-9FBC-4A6128F22631}" sibTransId="{C927CFCB-281D-4009-81F5-219402293E22}"/>
    <dgm:cxn modelId="{BE387BF7-8F28-423F-8725-E052CF094C93}" type="presParOf" srcId="{7F709179-28F0-4EF1-AB89-07F9F5BBE948}" destId="{3C3A273F-992C-420E-979F-23BFB8E13046}" srcOrd="0" destOrd="0" presId="urn:microsoft.com/office/officeart/2005/8/layout/radial3"/>
    <dgm:cxn modelId="{9FAE3A3C-5CE9-4AFE-8E94-5D487016A9F9}" type="presParOf" srcId="{3C3A273F-992C-420E-979F-23BFB8E13046}" destId="{B5760108-CC83-451E-94CC-F378C9227CC3}" srcOrd="0" destOrd="0" presId="urn:microsoft.com/office/officeart/2005/8/layout/radial3"/>
    <dgm:cxn modelId="{B4AF2859-1681-44E1-BCCD-E23FDDB09439}" type="presParOf" srcId="{3C3A273F-992C-420E-979F-23BFB8E13046}" destId="{1D1766BA-7027-46E5-8CF1-A1F7A7CED073}" srcOrd="1" destOrd="0" presId="urn:microsoft.com/office/officeart/2005/8/layout/radial3"/>
    <dgm:cxn modelId="{BDE3A2E1-D519-4140-8216-2D94B69ED285}" type="presParOf" srcId="{3C3A273F-992C-420E-979F-23BFB8E13046}" destId="{EA7119FE-48FB-46BD-A423-60BB169601D0}" srcOrd="2" destOrd="0" presId="urn:microsoft.com/office/officeart/2005/8/layout/radial3"/>
    <dgm:cxn modelId="{D67710C2-81ED-496F-A3CC-A988B0392B09}" type="presParOf" srcId="{3C3A273F-992C-420E-979F-23BFB8E13046}" destId="{9CEDD6E2-8FB8-43B3-8BBA-67BB1F598FA8}" srcOrd="3" destOrd="0" presId="urn:microsoft.com/office/officeart/2005/8/layout/radial3"/>
    <dgm:cxn modelId="{012A0891-3E86-4DB0-B177-32C0E8D70E2C}" type="presParOf" srcId="{3C3A273F-992C-420E-979F-23BFB8E13046}" destId="{710265B0-4087-49BF-B813-D8AA13FB2425}" srcOrd="4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84D25C3-8767-4A59-B52A-E4764E38BF3D}" type="doc">
      <dgm:prSet loTypeId="urn:microsoft.com/office/officeart/2005/8/layout/radial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6ED28A23-7636-4772-801F-94CDFA4D273A}">
      <dgm:prSet phldrT="[Text]" custT="1"/>
      <dgm:spPr>
        <a:solidFill>
          <a:srgbClr val="004595"/>
        </a:solidFill>
      </dgm:spPr>
      <dgm:t>
        <a:bodyPr/>
        <a:lstStyle/>
        <a:p>
          <a:r>
            <a:rPr lang="cs-CZ" sz="1100" b="1">
              <a:solidFill>
                <a:schemeClr val="bg1"/>
              </a:solidFill>
            </a:rPr>
            <a:t>LÉKAŘI</a:t>
          </a:r>
          <a:endParaRPr lang="cs-CZ" sz="950" b="1">
            <a:solidFill>
              <a:schemeClr val="bg1"/>
            </a:solidFill>
          </a:endParaRPr>
        </a:p>
      </dgm:t>
    </dgm:pt>
    <dgm:pt modelId="{F1733597-D48B-465C-9FBC-4A6128F22631}" type="parTrans" cxnId="{557DAD7C-0C05-42DB-BED3-AE62F685057E}">
      <dgm:prSet/>
      <dgm:spPr/>
      <dgm:t>
        <a:bodyPr/>
        <a:lstStyle/>
        <a:p>
          <a:endParaRPr lang="cs-CZ"/>
        </a:p>
      </dgm:t>
    </dgm:pt>
    <dgm:pt modelId="{C927CFCB-281D-4009-81F5-219402293E22}" type="sibTrans" cxnId="{557DAD7C-0C05-42DB-BED3-AE62F685057E}">
      <dgm:prSet/>
      <dgm:spPr/>
      <dgm:t>
        <a:bodyPr/>
        <a:lstStyle/>
        <a:p>
          <a:endParaRPr lang="cs-CZ"/>
        </a:p>
      </dgm:t>
    </dgm:pt>
    <dgm:pt modelId="{899C781C-A7B0-46B2-8AA4-9F68CCBFB909}">
      <dgm:prSet phldrT="[Text]" custT="1"/>
      <dgm:spPr>
        <a:solidFill>
          <a:srgbClr val="004595">
            <a:alpha val="50000"/>
          </a:srgbClr>
        </a:solidFill>
      </dgm:spPr>
      <dgm:t>
        <a:bodyPr lIns="0" rIns="0"/>
        <a:lstStyle/>
        <a:p>
          <a:r>
            <a:rPr lang="cs-CZ" sz="1000" b="1">
              <a:solidFill>
                <a:schemeClr val="bg1"/>
              </a:solidFill>
            </a:rPr>
            <a:t>MZD</a:t>
          </a:r>
        </a:p>
      </dgm:t>
    </dgm:pt>
    <dgm:pt modelId="{5FACC542-68BF-41B5-AC72-09BA84AFC853}" type="parTrans" cxnId="{12DB3A75-BBAE-403C-9C7A-EABBF7FB8CEF}">
      <dgm:prSet/>
      <dgm:spPr/>
      <dgm:t>
        <a:bodyPr/>
        <a:lstStyle/>
        <a:p>
          <a:endParaRPr lang="cs-CZ"/>
        </a:p>
      </dgm:t>
    </dgm:pt>
    <dgm:pt modelId="{D54BC1ED-91E4-4B32-879A-C4346BD79A2E}" type="sibTrans" cxnId="{12DB3A75-BBAE-403C-9C7A-EABBF7FB8CEF}">
      <dgm:prSet/>
      <dgm:spPr/>
      <dgm:t>
        <a:bodyPr/>
        <a:lstStyle/>
        <a:p>
          <a:endParaRPr lang="cs-CZ"/>
        </a:p>
      </dgm:t>
    </dgm:pt>
    <dgm:pt modelId="{835F5357-928D-43D3-8BEF-7D6CF4F23B3D}">
      <dgm:prSet phldrT="[Text]" custT="1"/>
      <dgm:spPr>
        <a:solidFill>
          <a:srgbClr val="004595">
            <a:alpha val="50000"/>
          </a:srgbClr>
        </a:solidFill>
      </dgm:spPr>
      <dgm:t>
        <a:bodyPr lIns="0" rIns="0"/>
        <a:lstStyle/>
        <a:p>
          <a:r>
            <a:rPr lang="cs-CZ" sz="1000" b="1">
              <a:solidFill>
                <a:schemeClr val="bg1"/>
              </a:solidFill>
            </a:rPr>
            <a:t>LÉKAŘSKÉ FAKULTY</a:t>
          </a:r>
        </a:p>
      </dgm:t>
    </dgm:pt>
    <dgm:pt modelId="{8BEBECD6-ADFE-448E-8D05-281C3D66A386}" type="parTrans" cxnId="{AF959C73-E497-444C-BB54-8CE75DCBE710}">
      <dgm:prSet/>
      <dgm:spPr/>
      <dgm:t>
        <a:bodyPr/>
        <a:lstStyle/>
        <a:p>
          <a:endParaRPr lang="cs-CZ"/>
        </a:p>
      </dgm:t>
    </dgm:pt>
    <dgm:pt modelId="{D674C164-8E86-4DDD-80BA-8A697F8F5AD4}" type="sibTrans" cxnId="{AF959C73-E497-444C-BB54-8CE75DCBE710}">
      <dgm:prSet/>
      <dgm:spPr/>
      <dgm:t>
        <a:bodyPr/>
        <a:lstStyle/>
        <a:p>
          <a:endParaRPr lang="cs-CZ"/>
        </a:p>
      </dgm:t>
    </dgm:pt>
    <dgm:pt modelId="{D820E7BF-FE58-4236-9C59-AA1677EA3AEC}">
      <dgm:prSet phldrT="[Text]" custT="1"/>
      <dgm:spPr>
        <a:solidFill>
          <a:srgbClr val="004595">
            <a:alpha val="50000"/>
          </a:srgbClr>
        </a:solidFill>
      </dgm:spPr>
      <dgm:t>
        <a:bodyPr lIns="0" rIns="0"/>
        <a:lstStyle/>
        <a:p>
          <a:r>
            <a:rPr lang="cs-CZ" sz="1000" b="1">
              <a:solidFill>
                <a:schemeClr val="bg1"/>
              </a:solidFill>
            </a:rPr>
            <a:t>IPVZ</a:t>
          </a:r>
        </a:p>
      </dgm:t>
    </dgm:pt>
    <dgm:pt modelId="{C08D37BD-C366-4E2C-8753-090EF8E1AADD}" type="parTrans" cxnId="{6FE94E25-896A-4E7C-AF02-AD5516A1B0B8}">
      <dgm:prSet/>
      <dgm:spPr/>
      <dgm:t>
        <a:bodyPr/>
        <a:lstStyle/>
        <a:p>
          <a:endParaRPr lang="cs-CZ"/>
        </a:p>
      </dgm:t>
    </dgm:pt>
    <dgm:pt modelId="{2CCF0DFA-E29C-47DE-AFFA-4C7F1E4EFCD1}" type="sibTrans" cxnId="{6FE94E25-896A-4E7C-AF02-AD5516A1B0B8}">
      <dgm:prSet/>
      <dgm:spPr/>
      <dgm:t>
        <a:bodyPr/>
        <a:lstStyle/>
        <a:p>
          <a:endParaRPr lang="cs-CZ"/>
        </a:p>
      </dgm:t>
    </dgm:pt>
    <dgm:pt modelId="{CC8841CB-D955-4FA9-B016-218D9D26651A}">
      <dgm:prSet phldrT="[Text]" custT="1"/>
      <dgm:spPr>
        <a:solidFill>
          <a:srgbClr val="004595">
            <a:alpha val="50000"/>
          </a:srgbClr>
        </a:solidFill>
      </dgm:spPr>
      <dgm:t>
        <a:bodyPr lIns="0" rIns="0"/>
        <a:lstStyle/>
        <a:p>
          <a:r>
            <a:rPr lang="cs-CZ" sz="900" b="1">
              <a:solidFill>
                <a:schemeClr val="bg1"/>
              </a:solidFill>
            </a:rPr>
            <a:t>ZDRAVOTNICKÁ ZAŘÍZENÍ</a:t>
          </a:r>
        </a:p>
      </dgm:t>
    </dgm:pt>
    <dgm:pt modelId="{58EE6FDC-05C0-43DD-8BA3-48A1FF561DCA}" type="parTrans" cxnId="{0C290094-9FE7-4056-A674-8B6980F28E8D}">
      <dgm:prSet/>
      <dgm:spPr/>
      <dgm:t>
        <a:bodyPr/>
        <a:lstStyle/>
        <a:p>
          <a:endParaRPr lang="cs-CZ"/>
        </a:p>
      </dgm:t>
    </dgm:pt>
    <dgm:pt modelId="{623FFED2-A1ED-4314-8317-5D6A2F878EFC}" type="sibTrans" cxnId="{0C290094-9FE7-4056-A674-8B6980F28E8D}">
      <dgm:prSet/>
      <dgm:spPr/>
      <dgm:t>
        <a:bodyPr/>
        <a:lstStyle/>
        <a:p>
          <a:endParaRPr lang="cs-CZ"/>
        </a:p>
      </dgm:t>
    </dgm:pt>
    <dgm:pt modelId="{7F709179-28F0-4EF1-AB89-07F9F5BBE948}" type="pres">
      <dgm:prSet presAssocID="{E84D25C3-8767-4A59-B52A-E4764E38BF3D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3C3A273F-992C-420E-979F-23BFB8E13046}" type="pres">
      <dgm:prSet presAssocID="{E84D25C3-8767-4A59-B52A-E4764E38BF3D}" presName="radial" presStyleCnt="0">
        <dgm:presLayoutVars>
          <dgm:animLvl val="ctr"/>
        </dgm:presLayoutVars>
      </dgm:prSet>
      <dgm:spPr/>
    </dgm:pt>
    <dgm:pt modelId="{B5760108-CC83-451E-94CC-F378C9227CC3}" type="pres">
      <dgm:prSet presAssocID="{6ED28A23-7636-4772-801F-94CDFA4D273A}" presName="centerShape" presStyleLbl="vennNode1" presStyleIdx="0" presStyleCnt="5"/>
      <dgm:spPr/>
      <dgm:t>
        <a:bodyPr/>
        <a:lstStyle/>
        <a:p>
          <a:endParaRPr lang="cs-CZ"/>
        </a:p>
      </dgm:t>
    </dgm:pt>
    <dgm:pt modelId="{1D1766BA-7027-46E5-8CF1-A1F7A7CED073}" type="pres">
      <dgm:prSet presAssocID="{899C781C-A7B0-46B2-8AA4-9F68CCBFB909}" presName="node" presStyleLbl="vennNode1" presStyleIdx="1" presStyleCnt="5" custScaleX="131695" custScaleY="131695" custRadScaleRad="84914" custRadScaleInc="872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EA7119FE-48FB-46BD-A423-60BB169601D0}" type="pres">
      <dgm:prSet presAssocID="{835F5357-928D-43D3-8BEF-7D6CF4F23B3D}" presName="node" presStyleLbl="vennNode1" presStyleIdx="2" presStyleCnt="5" custScaleX="131695" custScaleY="131802" custRadScaleRad="86709" custRadScaleInc="34321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9CEDD6E2-8FB8-43B3-8BBA-67BB1F598FA8}" type="pres">
      <dgm:prSet presAssocID="{D820E7BF-FE58-4236-9C59-AA1677EA3AEC}" presName="node" presStyleLbl="vennNode1" presStyleIdx="3" presStyleCnt="5" custScaleX="68711" custScaleY="68711" custRadScaleRad="98542" custRadScaleInc="-15087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710265B0-4087-49BF-B813-D8AA13FB2425}" type="pres">
      <dgm:prSet presAssocID="{CC8841CB-D955-4FA9-B016-218D9D26651A}" presName="node" presStyleLbl="vennNode1" presStyleIdx="4" presStyleCnt="5" custScaleX="148294" custScaleY="148294" custRadScaleRad="84266" custRadScaleInc="-3539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AE1267B7-E212-4E72-9AFC-E7DD622F1A24}" type="presOf" srcId="{6ED28A23-7636-4772-801F-94CDFA4D273A}" destId="{B5760108-CC83-451E-94CC-F378C9227CC3}" srcOrd="0" destOrd="0" presId="urn:microsoft.com/office/officeart/2005/8/layout/radial3"/>
    <dgm:cxn modelId="{AF959C73-E497-444C-BB54-8CE75DCBE710}" srcId="{6ED28A23-7636-4772-801F-94CDFA4D273A}" destId="{835F5357-928D-43D3-8BEF-7D6CF4F23B3D}" srcOrd="1" destOrd="0" parTransId="{8BEBECD6-ADFE-448E-8D05-281C3D66A386}" sibTransId="{D674C164-8E86-4DDD-80BA-8A697F8F5AD4}"/>
    <dgm:cxn modelId="{12DB3A75-BBAE-403C-9C7A-EABBF7FB8CEF}" srcId="{6ED28A23-7636-4772-801F-94CDFA4D273A}" destId="{899C781C-A7B0-46B2-8AA4-9F68CCBFB909}" srcOrd="0" destOrd="0" parTransId="{5FACC542-68BF-41B5-AC72-09BA84AFC853}" sibTransId="{D54BC1ED-91E4-4B32-879A-C4346BD79A2E}"/>
    <dgm:cxn modelId="{6FE94E25-896A-4E7C-AF02-AD5516A1B0B8}" srcId="{6ED28A23-7636-4772-801F-94CDFA4D273A}" destId="{D820E7BF-FE58-4236-9C59-AA1677EA3AEC}" srcOrd="2" destOrd="0" parTransId="{C08D37BD-C366-4E2C-8753-090EF8E1AADD}" sibTransId="{2CCF0DFA-E29C-47DE-AFFA-4C7F1E4EFCD1}"/>
    <dgm:cxn modelId="{90BC8C58-FDA4-4462-B6E5-CB269C0D611A}" type="presOf" srcId="{D820E7BF-FE58-4236-9C59-AA1677EA3AEC}" destId="{9CEDD6E2-8FB8-43B3-8BBA-67BB1F598FA8}" srcOrd="0" destOrd="0" presId="urn:microsoft.com/office/officeart/2005/8/layout/radial3"/>
    <dgm:cxn modelId="{C494D990-4BC5-48E4-9C13-E9EBB297F47A}" type="presOf" srcId="{899C781C-A7B0-46B2-8AA4-9F68CCBFB909}" destId="{1D1766BA-7027-46E5-8CF1-A1F7A7CED073}" srcOrd="0" destOrd="0" presId="urn:microsoft.com/office/officeart/2005/8/layout/radial3"/>
    <dgm:cxn modelId="{1FEEEAD4-AA67-4360-AAA7-79CE9F5D1454}" type="presOf" srcId="{835F5357-928D-43D3-8BEF-7D6CF4F23B3D}" destId="{EA7119FE-48FB-46BD-A423-60BB169601D0}" srcOrd="0" destOrd="0" presId="urn:microsoft.com/office/officeart/2005/8/layout/radial3"/>
    <dgm:cxn modelId="{1828BD78-FA37-4F37-806D-35ADC5BE6AC5}" type="presOf" srcId="{CC8841CB-D955-4FA9-B016-218D9D26651A}" destId="{710265B0-4087-49BF-B813-D8AA13FB2425}" srcOrd="0" destOrd="0" presId="urn:microsoft.com/office/officeart/2005/8/layout/radial3"/>
    <dgm:cxn modelId="{33D6475E-7811-4035-9585-FF466E4D7DD6}" type="presOf" srcId="{E84D25C3-8767-4A59-B52A-E4764E38BF3D}" destId="{7F709179-28F0-4EF1-AB89-07F9F5BBE948}" srcOrd="0" destOrd="0" presId="urn:microsoft.com/office/officeart/2005/8/layout/radial3"/>
    <dgm:cxn modelId="{0C290094-9FE7-4056-A674-8B6980F28E8D}" srcId="{6ED28A23-7636-4772-801F-94CDFA4D273A}" destId="{CC8841CB-D955-4FA9-B016-218D9D26651A}" srcOrd="3" destOrd="0" parTransId="{58EE6FDC-05C0-43DD-8BA3-48A1FF561DCA}" sibTransId="{623FFED2-A1ED-4314-8317-5D6A2F878EFC}"/>
    <dgm:cxn modelId="{557DAD7C-0C05-42DB-BED3-AE62F685057E}" srcId="{E84D25C3-8767-4A59-B52A-E4764E38BF3D}" destId="{6ED28A23-7636-4772-801F-94CDFA4D273A}" srcOrd="0" destOrd="0" parTransId="{F1733597-D48B-465C-9FBC-4A6128F22631}" sibTransId="{C927CFCB-281D-4009-81F5-219402293E22}"/>
    <dgm:cxn modelId="{BE387BF7-8F28-423F-8725-E052CF094C93}" type="presParOf" srcId="{7F709179-28F0-4EF1-AB89-07F9F5BBE948}" destId="{3C3A273F-992C-420E-979F-23BFB8E13046}" srcOrd="0" destOrd="0" presId="urn:microsoft.com/office/officeart/2005/8/layout/radial3"/>
    <dgm:cxn modelId="{9FAE3A3C-5CE9-4AFE-8E94-5D487016A9F9}" type="presParOf" srcId="{3C3A273F-992C-420E-979F-23BFB8E13046}" destId="{B5760108-CC83-451E-94CC-F378C9227CC3}" srcOrd="0" destOrd="0" presId="urn:microsoft.com/office/officeart/2005/8/layout/radial3"/>
    <dgm:cxn modelId="{B4AF2859-1681-44E1-BCCD-E23FDDB09439}" type="presParOf" srcId="{3C3A273F-992C-420E-979F-23BFB8E13046}" destId="{1D1766BA-7027-46E5-8CF1-A1F7A7CED073}" srcOrd="1" destOrd="0" presId="urn:microsoft.com/office/officeart/2005/8/layout/radial3"/>
    <dgm:cxn modelId="{BDE3A2E1-D519-4140-8216-2D94B69ED285}" type="presParOf" srcId="{3C3A273F-992C-420E-979F-23BFB8E13046}" destId="{EA7119FE-48FB-46BD-A423-60BB169601D0}" srcOrd="2" destOrd="0" presId="urn:microsoft.com/office/officeart/2005/8/layout/radial3"/>
    <dgm:cxn modelId="{D67710C2-81ED-496F-A3CC-A988B0392B09}" type="presParOf" srcId="{3C3A273F-992C-420E-979F-23BFB8E13046}" destId="{9CEDD6E2-8FB8-43B3-8BBA-67BB1F598FA8}" srcOrd="3" destOrd="0" presId="urn:microsoft.com/office/officeart/2005/8/layout/radial3"/>
    <dgm:cxn modelId="{012A0891-3E86-4DB0-B177-32C0E8D70E2C}" type="presParOf" srcId="{3C3A273F-992C-420E-979F-23BFB8E13046}" destId="{710265B0-4087-49BF-B813-D8AA13FB2425}" srcOrd="4" destOrd="0" presId="urn:microsoft.com/office/officeart/2005/8/layout/radial3"/>
  </dgm:cxnLst>
  <dgm:bg>
    <a:noFill/>
  </dgm:bg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760108-CC83-451E-94CC-F378C9227CC3}">
      <dsp:nvSpPr>
        <dsp:cNvPr id="0" name=""/>
        <dsp:cNvSpPr/>
      </dsp:nvSpPr>
      <dsp:spPr>
        <a:xfrm>
          <a:off x="769032" y="584068"/>
          <a:ext cx="1455047" cy="1455047"/>
        </a:xfrm>
        <a:prstGeom prst="ellipse">
          <a:avLst/>
        </a:prstGeom>
        <a:solidFill>
          <a:srgbClr val="00459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1" kern="1200">
              <a:solidFill>
                <a:schemeClr val="bg1"/>
              </a:solidFill>
            </a:rPr>
            <a:t>NELÉKAŘI</a:t>
          </a:r>
          <a:endParaRPr lang="cs-CZ" sz="1050" b="1" kern="1200">
            <a:solidFill>
              <a:schemeClr val="bg1"/>
            </a:solidFill>
          </a:endParaRPr>
        </a:p>
      </dsp:txBody>
      <dsp:txXfrm>
        <a:off x="982119" y="797155"/>
        <a:ext cx="1028873" cy="1028873"/>
      </dsp:txXfrm>
    </dsp:sp>
    <dsp:sp modelId="{1D1766BA-7027-46E5-8CF1-A1F7A7CED073}">
      <dsp:nvSpPr>
        <dsp:cNvPr id="0" name=""/>
        <dsp:cNvSpPr/>
      </dsp:nvSpPr>
      <dsp:spPr>
        <a:xfrm>
          <a:off x="1028520" y="27991"/>
          <a:ext cx="958112" cy="958112"/>
        </a:xfrm>
        <a:prstGeom prst="ellipse">
          <a:avLst/>
        </a:prstGeom>
        <a:solidFill>
          <a:srgbClr val="004595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12700" rIns="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>
              <a:solidFill>
                <a:schemeClr val="bg1"/>
              </a:solidFill>
            </a:rPr>
            <a:t>MZD</a:t>
          </a:r>
        </a:p>
      </dsp:txBody>
      <dsp:txXfrm>
        <a:off x="1168832" y="168303"/>
        <a:ext cx="677488" cy="677488"/>
      </dsp:txXfrm>
    </dsp:sp>
    <dsp:sp modelId="{EA7119FE-48FB-46BD-A423-60BB169601D0}">
      <dsp:nvSpPr>
        <dsp:cNvPr id="0" name=""/>
        <dsp:cNvSpPr/>
      </dsp:nvSpPr>
      <dsp:spPr>
        <a:xfrm>
          <a:off x="1711567" y="1239958"/>
          <a:ext cx="958112" cy="958891"/>
        </a:xfrm>
        <a:prstGeom prst="ellipse">
          <a:avLst/>
        </a:prstGeom>
        <a:solidFill>
          <a:srgbClr val="004595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12700" rIns="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>
              <a:solidFill>
                <a:schemeClr val="bg1"/>
              </a:solidFill>
            </a:rPr>
            <a:t>NCONZO</a:t>
          </a:r>
        </a:p>
      </dsp:txBody>
      <dsp:txXfrm>
        <a:off x="1851879" y="1380384"/>
        <a:ext cx="677488" cy="678039"/>
      </dsp:txXfrm>
    </dsp:sp>
    <dsp:sp modelId="{9CEDD6E2-8FB8-43B3-8BBA-67BB1F598FA8}">
      <dsp:nvSpPr>
        <dsp:cNvPr id="0" name=""/>
        <dsp:cNvSpPr/>
      </dsp:nvSpPr>
      <dsp:spPr>
        <a:xfrm>
          <a:off x="1370189" y="1598938"/>
          <a:ext cx="958112" cy="958112"/>
        </a:xfrm>
        <a:prstGeom prst="ellipse">
          <a:avLst/>
        </a:prstGeom>
        <a:solidFill>
          <a:srgbClr val="004595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12700" rIns="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>
              <a:solidFill>
                <a:schemeClr val="bg1"/>
              </a:solidFill>
            </a:rPr>
            <a:t>IPVZ</a:t>
          </a:r>
        </a:p>
      </dsp:txBody>
      <dsp:txXfrm>
        <a:off x="1510501" y="1739250"/>
        <a:ext cx="677488" cy="677488"/>
      </dsp:txXfrm>
    </dsp:sp>
    <dsp:sp modelId="{710265B0-4087-49BF-B813-D8AA13FB2425}">
      <dsp:nvSpPr>
        <dsp:cNvPr id="0" name=""/>
        <dsp:cNvSpPr/>
      </dsp:nvSpPr>
      <dsp:spPr>
        <a:xfrm>
          <a:off x="234506" y="1179667"/>
          <a:ext cx="1079478" cy="1079478"/>
        </a:xfrm>
        <a:prstGeom prst="ellipse">
          <a:avLst/>
        </a:prstGeom>
        <a:solidFill>
          <a:srgbClr val="004595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11430" rIns="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kern="1200">
              <a:solidFill>
                <a:schemeClr val="bg1"/>
              </a:solidFill>
            </a:rPr>
            <a:t>ZDRAVOTNICKÁ ZAŘÍZENÍ</a:t>
          </a:r>
        </a:p>
      </dsp:txBody>
      <dsp:txXfrm>
        <a:off x="392592" y="1337753"/>
        <a:ext cx="763306" cy="76330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760108-CC83-451E-94CC-F378C9227CC3}">
      <dsp:nvSpPr>
        <dsp:cNvPr id="0" name=""/>
        <dsp:cNvSpPr/>
      </dsp:nvSpPr>
      <dsp:spPr>
        <a:xfrm>
          <a:off x="720750" y="699131"/>
          <a:ext cx="1456104" cy="1456104"/>
        </a:xfrm>
        <a:prstGeom prst="ellipse">
          <a:avLst/>
        </a:prstGeom>
        <a:solidFill>
          <a:srgbClr val="00459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1" kern="1200">
              <a:solidFill>
                <a:schemeClr val="bg1"/>
              </a:solidFill>
            </a:rPr>
            <a:t>LÉKAŘI</a:t>
          </a:r>
          <a:endParaRPr lang="cs-CZ" sz="950" b="1" kern="1200">
            <a:solidFill>
              <a:schemeClr val="bg1"/>
            </a:solidFill>
          </a:endParaRPr>
        </a:p>
      </dsp:txBody>
      <dsp:txXfrm>
        <a:off x="933991" y="912372"/>
        <a:ext cx="1029622" cy="1029622"/>
      </dsp:txXfrm>
    </dsp:sp>
    <dsp:sp modelId="{1D1766BA-7027-46E5-8CF1-A1F7A7CED073}">
      <dsp:nvSpPr>
        <dsp:cNvPr id="0" name=""/>
        <dsp:cNvSpPr/>
      </dsp:nvSpPr>
      <dsp:spPr>
        <a:xfrm>
          <a:off x="980426" y="142650"/>
          <a:ext cx="958808" cy="958808"/>
        </a:xfrm>
        <a:prstGeom prst="ellipse">
          <a:avLst/>
        </a:prstGeom>
        <a:solidFill>
          <a:srgbClr val="004595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12700" rIns="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>
              <a:solidFill>
                <a:schemeClr val="bg1"/>
              </a:solidFill>
            </a:rPr>
            <a:t>MZD</a:t>
          </a:r>
        </a:p>
      </dsp:txBody>
      <dsp:txXfrm>
        <a:off x="1120840" y="283064"/>
        <a:ext cx="677980" cy="677980"/>
      </dsp:txXfrm>
    </dsp:sp>
    <dsp:sp modelId="{EA7119FE-48FB-46BD-A423-60BB169601D0}">
      <dsp:nvSpPr>
        <dsp:cNvPr id="0" name=""/>
        <dsp:cNvSpPr/>
      </dsp:nvSpPr>
      <dsp:spPr>
        <a:xfrm>
          <a:off x="1675003" y="1369500"/>
          <a:ext cx="958808" cy="959587"/>
        </a:xfrm>
        <a:prstGeom prst="ellipse">
          <a:avLst/>
        </a:prstGeom>
        <a:solidFill>
          <a:srgbClr val="004595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12700" rIns="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>
              <a:solidFill>
                <a:schemeClr val="bg1"/>
              </a:solidFill>
            </a:rPr>
            <a:t>LÉKAŘSKÉ FAKULTY</a:t>
          </a:r>
        </a:p>
      </dsp:txBody>
      <dsp:txXfrm>
        <a:off x="1815417" y="1510028"/>
        <a:ext cx="677980" cy="678531"/>
      </dsp:txXfrm>
    </dsp:sp>
    <dsp:sp modelId="{9CEDD6E2-8FB8-43B3-8BBA-67BB1F598FA8}">
      <dsp:nvSpPr>
        <dsp:cNvPr id="0" name=""/>
        <dsp:cNvSpPr/>
      </dsp:nvSpPr>
      <dsp:spPr>
        <a:xfrm>
          <a:off x="1418056" y="2085374"/>
          <a:ext cx="500252" cy="500252"/>
        </a:xfrm>
        <a:prstGeom prst="ellipse">
          <a:avLst/>
        </a:prstGeom>
        <a:solidFill>
          <a:srgbClr val="004595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12700" rIns="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>
              <a:solidFill>
                <a:schemeClr val="bg1"/>
              </a:solidFill>
            </a:rPr>
            <a:t>IPVZ</a:t>
          </a:r>
        </a:p>
      </dsp:txBody>
      <dsp:txXfrm>
        <a:off x="1491316" y="2158634"/>
        <a:ext cx="353732" cy="353732"/>
      </dsp:txXfrm>
    </dsp:sp>
    <dsp:sp modelId="{710265B0-4087-49BF-B813-D8AA13FB2425}">
      <dsp:nvSpPr>
        <dsp:cNvPr id="0" name=""/>
        <dsp:cNvSpPr/>
      </dsp:nvSpPr>
      <dsp:spPr>
        <a:xfrm>
          <a:off x="230259" y="1309071"/>
          <a:ext cx="1079657" cy="1079657"/>
        </a:xfrm>
        <a:prstGeom prst="ellipse">
          <a:avLst/>
        </a:prstGeom>
        <a:solidFill>
          <a:srgbClr val="004595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11430" rIns="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kern="1200">
              <a:solidFill>
                <a:schemeClr val="bg1"/>
              </a:solidFill>
            </a:rPr>
            <a:t>ZDRAVOTNICKÁ ZAŘÍZENÍ</a:t>
          </a:r>
        </a:p>
      </dsp:txBody>
      <dsp:txXfrm>
        <a:off x="388371" y="1467183"/>
        <a:ext cx="763433" cy="7634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0.06027</cdr:x>
      <cdr:y>0.60375</cdr:y>
    </cdr:from>
    <cdr:to>
      <cdr:x>0.59293</cdr:x>
      <cdr:y>0.64934</cdr:y>
    </cdr:to>
    <cdr:sp macro="" textlink="">
      <cdr:nvSpPr>
        <cdr:cNvPr id="4" name="Šipka doprava 3"/>
        <cdr:cNvSpPr/>
      </cdr:nvSpPr>
      <cdr:spPr>
        <a:xfrm xmlns:a="http://schemas.openxmlformats.org/drawingml/2006/main" rot="20416659">
          <a:off x="357645" y="1748226"/>
          <a:ext cx="3160841" cy="132003"/>
        </a:xfrm>
        <a:prstGeom xmlns:a="http://schemas.openxmlformats.org/drawingml/2006/main" prst="rightArrow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rgbClr val="004595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0.0897</cdr:x>
      <cdr:y>0.64379</cdr:y>
    </cdr:from>
    <cdr:to>
      <cdr:x>1</cdr:x>
      <cdr:y>0.70348</cdr:y>
    </cdr:to>
    <cdr:sp macro="" textlink="">
      <cdr:nvSpPr>
        <cdr:cNvPr id="3" name="TextovéPole 7">
          <a:extLst xmlns:a="http://schemas.openxmlformats.org/drawingml/2006/main">
            <a:ext uri="{FF2B5EF4-FFF2-40B4-BE49-F238E27FC236}">
              <a16:creationId xmlns:a16="http://schemas.microsoft.com/office/drawing/2014/main" id="{93698CFF-F9FD-4404-A403-BC3483CF6257}"/>
            </a:ext>
          </a:extLst>
        </cdr:cNvPr>
        <cdr:cNvSpPr txBox="1"/>
      </cdr:nvSpPr>
      <cdr:spPr>
        <a:xfrm xmlns:a="http://schemas.openxmlformats.org/drawingml/2006/main">
          <a:off x="514350" y="1876425"/>
          <a:ext cx="5219700" cy="173961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>
          <a:noAutofit/>
        </a:bodyPr>
        <a:lstStyle xmlns:a="http://schemas.openxmlformats.org/drawingml/2006/main">
          <a:defPPr>
            <a:defRPr lang="cs-CZ"/>
          </a:defPPr>
          <a:lvl1pPr marL="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lvl="0" indent="0" algn="l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862" b="0" i="0" u="none" strike="noStrike" kern="1200" spc="0" baseline="0">
              <a:solidFill>
                <a:srgbClr val="292929">
                  <a:lumMod val="65000"/>
                  <a:lumOff val="35000"/>
                </a:srgbClr>
              </a:solidFill>
              <a:latin typeface="+mn-lt"/>
              <a:ea typeface="+mn-ea"/>
              <a:cs typeface="+mn-cs"/>
            </a:defRPr>
          </a:pPr>
          <a:r>
            <a:rPr kumimoji="0" lang="cs-CZ" sz="1000" b="1" i="1" u="none" strike="noStrike" kern="1200" cap="none" spc="0" normalizeH="0" baseline="0" noProof="0" dirty="0">
              <a:ln>
                <a:noFill/>
              </a:ln>
              <a:solidFill>
                <a:srgbClr val="000000"/>
              </a:solidFill>
              <a:effectLst/>
              <a:uLnTx/>
              <a:uFillTx/>
              <a:latin typeface="+mn-lt"/>
              <a:ea typeface="+mn-ea"/>
              <a:cs typeface="+mn-cs"/>
            </a:rPr>
            <a:t>Odměňování </a:t>
          </a:r>
          <a:r>
            <a:rPr kumimoji="0" lang="cs-CZ" sz="1000" b="1" i="1" u="none" strike="noStrike" kern="1200" cap="none" spc="0" normalizeH="0" baseline="0" noProof="0" dirty="0" smtClean="0">
              <a:ln>
                <a:noFill/>
              </a:ln>
              <a:solidFill>
                <a:srgbClr val="000000"/>
              </a:solidFill>
              <a:effectLst/>
              <a:uLnTx/>
              <a:uFillTx/>
              <a:latin typeface="+mn-lt"/>
              <a:ea typeface="+mn-ea"/>
              <a:cs typeface="+mn-cs"/>
            </a:rPr>
            <a:t>lékařů a zubních lékařů oproti průměrným mzdám v ČR v %</a:t>
          </a:r>
          <a:endParaRPr kumimoji="0" lang="cs-CZ" sz="1000" b="1" i="1" u="none" strike="noStrike" kern="1200" cap="none" spc="0" normalizeH="0" baseline="0" noProof="0" dirty="0">
            <a:ln>
              <a:noFill/>
            </a:ln>
            <a:solidFill>
              <a:srgbClr val="000000"/>
            </a:solidFill>
            <a:effectLst/>
            <a:uLnTx/>
            <a:uFillTx/>
            <a:latin typeface="+mn-lt"/>
            <a:ea typeface="+mn-ea"/>
            <a:cs typeface="+mn-cs"/>
          </a:endParaRPr>
        </a:p>
      </cdr:txBody>
    </cdr:sp>
  </cdr:relSizeAnchor>
  <cdr:relSizeAnchor xmlns:cdr="http://schemas.openxmlformats.org/drawingml/2006/chartDrawing">
    <cdr:from>
      <cdr:x>0.08306</cdr:x>
      <cdr:y>0.72549</cdr:y>
    </cdr:from>
    <cdr:to>
      <cdr:x>0.96512</cdr:x>
      <cdr:y>0.79085</cdr:y>
    </cdr:to>
    <cdr:sp macro="" textlink="">
      <cdr:nvSpPr>
        <cdr:cNvPr id="5" name="Textové pole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76250" y="2114550"/>
          <a:ext cx="5057775" cy="190500"/>
        </a:xfrm>
        <a:prstGeom xmlns:a="http://schemas.openxmlformats.org/drawingml/2006/main" prst="rect">
          <a:avLst/>
        </a:prstGeom>
        <a:solidFill xmlns:a="http://schemas.openxmlformats.org/drawingml/2006/main">
          <a:srgbClr val="808080">
            <a:alpha val="60000"/>
          </a:srgbClr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115200" tIns="0" rIns="72000" bIns="0" anchor="ctr" anchorCtr="0">
          <a:noAutofit/>
        </a:bodyPr>
        <a:lstStyle xmlns:a="http://schemas.openxmlformats.org/drawingml/2006/main"/>
        <a:p xmlns:a="http://schemas.openxmlformats.org/drawingml/2006/main">
          <a:pPr algn="just" defTabSz="568800">
            <a:spcAft>
              <a:spcPts val="0"/>
            </a:spcAft>
          </a:pPr>
          <a:r>
            <a:rPr lang="cs-CZ" sz="1000" b="1">
              <a:solidFill>
                <a:srgbClr val="FFFFFF"/>
              </a:solidFill>
              <a:effectLst/>
              <a:latin typeface="Calibri" panose="020F050202020403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207 %	232 %	238 %	234 %	229 %	240 %	240 %	244 %	243 %</a:t>
          </a:r>
          <a:endParaRPr lang="en-GB" sz="1200">
            <a:effectLst/>
            <a:latin typeface="Calibri" panose="020F0502020204030204" pitchFamily="34" charset="0"/>
            <a:ea typeface="Times New Roman" panose="02020603050405020304" pitchFamily="18" charset="0"/>
            <a:cs typeface="Arial" panose="020B0604020202020204" pitchFamily="34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0.0897</cdr:x>
      <cdr:y>0.64379</cdr:y>
    </cdr:from>
    <cdr:to>
      <cdr:x>1</cdr:x>
      <cdr:y>0.70348</cdr:y>
    </cdr:to>
    <cdr:sp macro="" textlink="">
      <cdr:nvSpPr>
        <cdr:cNvPr id="3" name="TextovéPole 7">
          <a:extLst xmlns:a="http://schemas.openxmlformats.org/drawingml/2006/main">
            <a:ext uri="{FF2B5EF4-FFF2-40B4-BE49-F238E27FC236}">
              <a16:creationId xmlns:a16="http://schemas.microsoft.com/office/drawing/2014/main" id="{93698CFF-F9FD-4404-A403-BC3483CF6257}"/>
            </a:ext>
          </a:extLst>
        </cdr:cNvPr>
        <cdr:cNvSpPr txBox="1"/>
      </cdr:nvSpPr>
      <cdr:spPr>
        <a:xfrm xmlns:a="http://schemas.openxmlformats.org/drawingml/2006/main">
          <a:off x="514350" y="1876425"/>
          <a:ext cx="5219700" cy="173961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>
          <a:noAutofit/>
        </a:bodyPr>
        <a:lstStyle xmlns:a="http://schemas.openxmlformats.org/drawingml/2006/main">
          <a:defPPr>
            <a:defRPr lang="cs-CZ"/>
          </a:defPPr>
          <a:lvl1pPr marL="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lvl="0" indent="0" algn="l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862" b="0" i="0" u="none" strike="noStrike" kern="1200" spc="0" baseline="0">
              <a:solidFill>
                <a:srgbClr val="292929">
                  <a:lumMod val="65000"/>
                  <a:lumOff val="35000"/>
                </a:srgbClr>
              </a:solidFill>
              <a:latin typeface="+mn-lt"/>
              <a:ea typeface="+mn-ea"/>
              <a:cs typeface="+mn-cs"/>
            </a:defRPr>
          </a:pPr>
          <a:r>
            <a:rPr kumimoji="0" lang="cs-CZ" sz="1000" b="1" i="1" u="none" strike="noStrike" kern="1200" cap="none" spc="0" normalizeH="0" baseline="0" noProof="0" dirty="0">
              <a:ln>
                <a:noFill/>
              </a:ln>
              <a:solidFill>
                <a:srgbClr val="000000"/>
              </a:solidFill>
              <a:effectLst/>
              <a:uLnTx/>
              <a:uFillTx/>
              <a:latin typeface="+mn-lt"/>
              <a:ea typeface="+mn-ea"/>
              <a:cs typeface="+mn-cs"/>
            </a:rPr>
            <a:t>Odměňování </a:t>
          </a:r>
          <a:r>
            <a:rPr kumimoji="0" lang="cs-CZ" sz="1000" b="1" i="1" u="none" strike="noStrike" kern="1200" cap="none" spc="0" normalizeH="0" baseline="0" noProof="0" dirty="0" smtClean="0">
              <a:ln>
                <a:noFill/>
              </a:ln>
              <a:solidFill>
                <a:srgbClr val="000000"/>
              </a:solidFill>
              <a:effectLst/>
              <a:uLnTx/>
              <a:uFillTx/>
              <a:latin typeface="+mn-lt"/>
              <a:ea typeface="+mn-ea"/>
              <a:cs typeface="+mn-cs"/>
            </a:rPr>
            <a:t>sester oproti průměrným mzdám v ČR v %</a:t>
          </a:r>
          <a:endParaRPr kumimoji="0" lang="cs-CZ" sz="1000" b="1" i="1" u="none" strike="noStrike" kern="1200" cap="none" spc="0" normalizeH="0" baseline="0" noProof="0" dirty="0">
            <a:ln>
              <a:noFill/>
            </a:ln>
            <a:solidFill>
              <a:srgbClr val="000000"/>
            </a:solidFill>
            <a:effectLst/>
            <a:uLnTx/>
            <a:uFillTx/>
            <a:latin typeface="+mn-lt"/>
            <a:ea typeface="+mn-ea"/>
            <a:cs typeface="+mn-cs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9FC85-9480-420F-B53F-1F5360BAE2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11AA7C-0434-4684-86DB-0FDC8F1C5AEF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sharepoint/v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D01DFAC-23B1-4C7F-B274-ECE4100AB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109456-A5D8-4EF8-85DA-5DD2EF72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4B9FBDD0.dotm</Template>
  <TotalTime>8</TotalTime>
  <Pages>28</Pages>
  <Words>8382</Words>
  <Characters>49459</Characters>
  <Application>Microsoft Office Word</Application>
  <DocSecurity>0</DocSecurity>
  <Lines>412</Lines>
  <Paragraphs>115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19/06 - Peněžní prostředky poskytované k zajištění vzdělávání pracovníků ve zdravotnictví</vt:lpstr>
    </vt:vector>
  </TitlesOfParts>
  <Company>NKU</Company>
  <LinksUpToDate>false</LinksUpToDate>
  <CharactersWithSpaces>57726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19/06 - Peněžní prostředky poskytované k zajištění vzdělávání pracovníků ve zdravotnictví</dc:title>
  <dc:subject/>
  <dc:creator>Nejvyšší kontrolní úřad</dc:creator>
  <cp:keywords>kontrolní závěr; vzdělávání; zdravotnictví; vzdělávání lékařů</cp:keywords>
  <dc:description/>
  <cp:lastModifiedBy>KOKRDA Daniel</cp:lastModifiedBy>
  <cp:revision>5</cp:revision>
  <cp:lastPrinted>2020-03-10T09:11:00Z</cp:lastPrinted>
  <dcterms:created xsi:type="dcterms:W3CDTF">2020-03-10T09:09:00Z</dcterms:created>
  <dcterms:modified xsi:type="dcterms:W3CDTF">2020-03-10T09:11:00Z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18/11-NKU30/12/19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860/92/18</vt:lpwstr>
  </property>
  <property fmtid="{D5CDD505-2E9C-101B-9397-08002B2CF9AE}" pid="7" name="Contact_PostaOdes_All">
    <vt:lpwstr>ROZDĚLOVNÍK...</vt:lpwstr>
  </property>
  <property fmtid="{D5CDD505-2E9C-101B-9397-08002B2CF9AE}" pid="8" name="ContentTypeId">
    <vt:lpwstr>0x0101002F7A625AE9F5AB4A939F92BCAA7FEC02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4.1.2019</vt:lpwstr>
  </property>
  <property fmtid="{D5CDD505-2E9C-101B-9397-08002B2CF9AE}" pid="12" name="DisplayName_CJCol">
    <vt:lpwstr>18/11-NKU30/12/19</vt:lpwstr>
  </property>
  <property fmtid="{D5CDD505-2E9C-101B-9397-08002B2CF9AE}" pid="13" name="DisplayName_SlozkaStupenUtajeniCollection_Slozka_Pisemnost">
    <vt:lpwstr/>
  </property>
  <property fmtid="{D5CDD505-2E9C-101B-9397-08002B2CF9AE}" pid="14" name="DisplayName_SpisovyUzel_PoziceZodpo_Pisemnost">
    <vt:lpwstr>Členové Úřadu</vt:lpwstr>
  </property>
  <property fmtid="{D5CDD505-2E9C-101B-9397-08002B2CF9AE}" pid="15" name="DisplayName_UserPoriz_Pisemnost">
    <vt:lpwstr>Bc. Jana Pokorná</vt:lpwstr>
  </property>
  <property fmtid="{D5CDD505-2E9C-101B-9397-08002B2CF9AE}" pid="16" name="DuvodZmeny_SlozkaStupenUtajeniCollection_Slozka_Pisemnost">
    <vt:lpwstr/>
  </property>
  <property fmtid="{D5CDD505-2E9C-101B-9397-08002B2CF9AE}" pid="17" name="EC_Pisemnost">
    <vt:lpwstr>19-172/NKU</vt:lpwstr>
  </property>
  <property fmtid="{D5CDD505-2E9C-101B-9397-08002B2CF9AE}" pid="18" name="Key_BarCode_Pisemnost">
    <vt:lpwstr>*B000327562*</vt:lpwstr>
  </property>
  <property fmtid="{D5CDD505-2E9C-101B-9397-08002B2CF9AE}" pid="19" name="KRukam">
    <vt:lpwstr>{KRukam}</vt:lpwstr>
  </property>
  <property fmtid="{D5CDD505-2E9C-101B-9397-08002B2CF9AE}" pid="20" name="NameAddress_Contact_SpisovyUzel_PoziceZodpo_Pisemnost">
    <vt:lpwstr>ADRESÁT SU...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1</vt:lpwstr>
  </property>
  <property fmtid="{D5CDD505-2E9C-101B-9397-08002B2CF9AE}" pid="24" name="PocetListu_Pisemnost">
    <vt:lpwstr>1</vt:lpwstr>
  </property>
  <property fmtid="{D5CDD505-2E9C-101B-9397-08002B2CF9AE}" pid="25" name="PocetPriloh_Pisemnost">
    <vt:lpwstr>POČET PŘÍLOH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?/?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18/11</vt:lpwstr>
  </property>
  <property fmtid="{D5CDD505-2E9C-101B-9397-08002B2CF9AE}" pid="32" name="TEST">
    <vt:lpwstr>testovací pole</vt:lpwstr>
  </property>
  <property fmtid="{D5CDD505-2E9C-101B-9397-08002B2CF9AE}" pid="33" name="TypPrilohy_Pisemnost">
    <vt:lpwstr>TYP PŘÍLOHY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Návrh kontrolního závěru 18/11 - do připomínek</vt:lpwstr>
  </property>
  <property fmtid="{D5CDD505-2E9C-101B-9397-08002B2CF9AE}" pid="36" name="Zkratka_SpisovyUzel_PoziceZodpo_Pisemnost">
    <vt:lpwstr>30</vt:lpwstr>
  </property>
</Properties>
</file>