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9C34A" w14:textId="77777777" w:rsidR="00291417" w:rsidRPr="00291417" w:rsidRDefault="00291417" w:rsidP="00291417">
      <w:pPr>
        <w:spacing w:after="0"/>
        <w:jc w:val="center"/>
      </w:pPr>
      <w:r w:rsidRPr="00291417">
        <w:rPr>
          <w:noProof/>
          <w:lang w:eastAsia="cs-CZ"/>
        </w:rPr>
        <w:drawing>
          <wp:anchor distT="0" distB="0" distL="114300" distR="114300" simplePos="0" relativeHeight="251673600" behindDoc="0" locked="0" layoutInCell="1" allowOverlap="1" wp14:anchorId="5A7F7772" wp14:editId="67164633">
            <wp:simplePos x="0" y="0"/>
            <wp:positionH relativeFrom="margin">
              <wp:align>center</wp:align>
            </wp:positionH>
            <wp:positionV relativeFrom="paragraph">
              <wp:posOffset>31750</wp:posOffset>
            </wp:positionV>
            <wp:extent cx="792480" cy="559435"/>
            <wp:effectExtent l="0" t="0" r="762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310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480" cy="559435"/>
                    </a:xfrm>
                    <a:prstGeom prst="rect">
                      <a:avLst/>
                    </a:prstGeom>
                    <a:noFill/>
                  </pic:spPr>
                </pic:pic>
              </a:graphicData>
            </a:graphic>
            <wp14:sizeRelV relativeFrom="margin">
              <wp14:pctHeight>0</wp14:pctHeight>
            </wp14:sizeRelV>
          </wp:anchor>
        </w:drawing>
      </w:r>
    </w:p>
    <w:p w14:paraId="6E35BECE" w14:textId="77777777" w:rsidR="00291417" w:rsidRPr="00291417" w:rsidRDefault="00291417" w:rsidP="00291417">
      <w:pPr>
        <w:spacing w:after="0"/>
        <w:jc w:val="center"/>
      </w:pPr>
    </w:p>
    <w:p w14:paraId="1EE5C545" w14:textId="77777777" w:rsidR="00291417" w:rsidRPr="00291417" w:rsidRDefault="00291417" w:rsidP="00291417">
      <w:pPr>
        <w:spacing w:after="0"/>
        <w:jc w:val="center"/>
      </w:pPr>
    </w:p>
    <w:p w14:paraId="6FCDB936" w14:textId="77777777" w:rsidR="00291417" w:rsidRPr="00291417" w:rsidRDefault="00291417" w:rsidP="00291417">
      <w:pPr>
        <w:spacing w:after="0"/>
        <w:jc w:val="center"/>
        <w:rPr>
          <w:rFonts w:asciiTheme="minorHAnsi" w:eastAsiaTheme="minorHAnsi" w:hAnsiTheme="minorHAnsi" w:cstheme="minorHAnsi"/>
          <w:b/>
          <w:sz w:val="28"/>
          <w:szCs w:val="28"/>
        </w:rPr>
      </w:pPr>
      <w:bookmarkStart w:id="0" w:name="_GoBack"/>
      <w:r w:rsidRPr="00291417">
        <w:rPr>
          <w:rFonts w:asciiTheme="minorHAnsi" w:eastAsiaTheme="minorHAnsi" w:hAnsiTheme="minorHAnsi" w:cstheme="minorHAnsi"/>
          <w:b/>
          <w:sz w:val="28"/>
          <w:szCs w:val="28"/>
        </w:rPr>
        <w:t>Kontrolní závěr z kontrolní akce</w:t>
      </w:r>
    </w:p>
    <w:p w14:paraId="424741F5" w14:textId="77777777" w:rsidR="00031FF6" w:rsidRDefault="00031FF6" w:rsidP="00031FF6">
      <w:pPr>
        <w:spacing w:after="0"/>
        <w:jc w:val="center"/>
      </w:pPr>
    </w:p>
    <w:p w14:paraId="42BA18DD" w14:textId="77777777" w:rsidR="00EC3A0D" w:rsidRPr="00EC3A0D" w:rsidRDefault="00A640AE" w:rsidP="00031FF6">
      <w:pPr>
        <w:spacing w:after="0"/>
        <w:jc w:val="center"/>
        <w:rPr>
          <w:rFonts w:asciiTheme="minorHAnsi" w:eastAsiaTheme="minorHAnsi" w:hAnsiTheme="minorHAnsi" w:cstheme="minorHAnsi"/>
          <w:b/>
          <w:sz w:val="28"/>
          <w:szCs w:val="28"/>
        </w:rPr>
      </w:pPr>
      <w:r w:rsidRPr="00EC3A0D">
        <w:rPr>
          <w:rFonts w:asciiTheme="minorHAnsi" w:eastAsiaTheme="minorHAnsi" w:hAnsiTheme="minorHAnsi" w:cstheme="minorHAnsi"/>
          <w:b/>
          <w:sz w:val="28"/>
          <w:szCs w:val="28"/>
        </w:rPr>
        <w:t>1</w:t>
      </w:r>
      <w:r w:rsidR="004907BB">
        <w:rPr>
          <w:rFonts w:asciiTheme="minorHAnsi" w:eastAsiaTheme="minorHAnsi" w:hAnsiTheme="minorHAnsi" w:cstheme="minorHAnsi"/>
          <w:b/>
          <w:sz w:val="28"/>
          <w:szCs w:val="28"/>
        </w:rPr>
        <w:t>9</w:t>
      </w:r>
      <w:r w:rsidRPr="00EC3A0D">
        <w:rPr>
          <w:rFonts w:asciiTheme="minorHAnsi" w:eastAsiaTheme="minorHAnsi" w:hAnsiTheme="minorHAnsi" w:cstheme="minorHAnsi"/>
          <w:b/>
          <w:sz w:val="28"/>
          <w:szCs w:val="28"/>
        </w:rPr>
        <w:t>/</w:t>
      </w:r>
      <w:r w:rsidR="00DB6C92">
        <w:rPr>
          <w:rFonts w:asciiTheme="minorHAnsi" w:eastAsiaTheme="minorHAnsi" w:hAnsiTheme="minorHAnsi" w:cstheme="minorHAnsi"/>
          <w:b/>
          <w:sz w:val="28"/>
          <w:szCs w:val="28"/>
        </w:rPr>
        <w:t>21</w:t>
      </w:r>
    </w:p>
    <w:p w14:paraId="7858AD59" w14:textId="77777777" w:rsidR="00031FF6" w:rsidRDefault="00031FF6" w:rsidP="00031FF6">
      <w:pPr>
        <w:spacing w:after="0"/>
        <w:jc w:val="center"/>
      </w:pPr>
    </w:p>
    <w:p w14:paraId="7CFF3214" w14:textId="14AD82E4" w:rsidR="00DB6C92" w:rsidRPr="00DB6C92" w:rsidRDefault="00DB6C92" w:rsidP="00DB6C92">
      <w:pPr>
        <w:spacing w:after="0"/>
        <w:jc w:val="center"/>
        <w:rPr>
          <w:rFonts w:asciiTheme="minorHAnsi" w:eastAsiaTheme="minorHAnsi" w:hAnsiTheme="minorHAnsi" w:cstheme="minorHAnsi"/>
          <w:b/>
          <w:sz w:val="28"/>
          <w:szCs w:val="28"/>
        </w:rPr>
      </w:pPr>
      <w:r w:rsidRPr="00DB6C92">
        <w:rPr>
          <w:rFonts w:asciiTheme="minorHAnsi" w:eastAsiaTheme="minorHAnsi" w:hAnsiTheme="minorHAnsi" w:cstheme="minorHAnsi"/>
          <w:b/>
          <w:sz w:val="28"/>
          <w:szCs w:val="28"/>
        </w:rPr>
        <w:t>Závěrečný účet kapitoly státního rozpočtu Mi</w:t>
      </w:r>
      <w:r w:rsidR="00EC339E">
        <w:rPr>
          <w:rFonts w:asciiTheme="minorHAnsi" w:eastAsiaTheme="minorHAnsi" w:hAnsiTheme="minorHAnsi" w:cstheme="minorHAnsi"/>
          <w:b/>
          <w:sz w:val="28"/>
          <w:szCs w:val="28"/>
        </w:rPr>
        <w:t>nisterstvo pro místní rozvoj za </w:t>
      </w:r>
      <w:r w:rsidRPr="00DB6C92">
        <w:rPr>
          <w:rFonts w:asciiTheme="minorHAnsi" w:eastAsiaTheme="minorHAnsi" w:hAnsiTheme="minorHAnsi" w:cstheme="minorHAnsi"/>
          <w:b/>
          <w:sz w:val="28"/>
          <w:szCs w:val="28"/>
        </w:rPr>
        <w:t>rok 2018, účetní závěrka Ministerstva pro místní rozvoj za rok 2018 a údaje předkládané Ministerstvem pro místní rozvoj</w:t>
      </w:r>
    </w:p>
    <w:p w14:paraId="6531281E" w14:textId="77777777" w:rsidR="00937A73" w:rsidRPr="00937A73" w:rsidRDefault="00DB6C92" w:rsidP="00DB6C92">
      <w:pPr>
        <w:spacing w:after="0"/>
        <w:jc w:val="center"/>
        <w:rPr>
          <w:rFonts w:asciiTheme="minorHAnsi" w:eastAsiaTheme="minorHAnsi" w:hAnsiTheme="minorHAnsi" w:cstheme="minorHAnsi"/>
          <w:b/>
          <w:sz w:val="28"/>
          <w:szCs w:val="28"/>
        </w:rPr>
      </w:pPr>
      <w:r w:rsidRPr="00DB6C92">
        <w:rPr>
          <w:rFonts w:asciiTheme="minorHAnsi" w:eastAsiaTheme="minorHAnsi" w:hAnsiTheme="minorHAnsi" w:cstheme="minorHAnsi"/>
          <w:b/>
          <w:sz w:val="28"/>
          <w:szCs w:val="28"/>
        </w:rPr>
        <w:t>pro hodnocení plnění státního rozpočtu za rok 2018</w:t>
      </w:r>
    </w:p>
    <w:bookmarkEnd w:id="0"/>
    <w:p w14:paraId="29DCF4AC" w14:textId="6050EB29" w:rsidR="00937A73" w:rsidRDefault="00937A73" w:rsidP="00031FF6">
      <w:pPr>
        <w:spacing w:after="0"/>
        <w:jc w:val="both"/>
      </w:pPr>
    </w:p>
    <w:p w14:paraId="1B5A6D2C" w14:textId="77777777" w:rsidR="00E86085" w:rsidRDefault="00E86085" w:rsidP="00031FF6">
      <w:pPr>
        <w:spacing w:after="0"/>
        <w:jc w:val="both"/>
      </w:pPr>
    </w:p>
    <w:p w14:paraId="1CA321EF" w14:textId="77777777" w:rsidR="00EC3A0D" w:rsidRDefault="00DB6C92" w:rsidP="00031FF6">
      <w:pPr>
        <w:spacing w:after="0"/>
        <w:jc w:val="both"/>
        <w:rPr>
          <w:rFonts w:asciiTheme="minorHAnsi" w:eastAsiaTheme="minorHAnsi" w:hAnsiTheme="minorHAnsi" w:cstheme="minorHAnsi"/>
        </w:rPr>
      </w:pPr>
      <w:r w:rsidRPr="00DB6C92">
        <w:rPr>
          <w:rFonts w:asciiTheme="minorHAnsi" w:eastAsiaTheme="minorHAnsi" w:hAnsiTheme="minorHAnsi" w:cstheme="minorHAnsi"/>
        </w:rPr>
        <w:t>Kontrolní akce byla zařazena do plánu kontrolní činnosti Nejvyššího kontrolního úřadu (dále jen „NKÚ“) na rok 2019 pod číslem 19/21. Kontrolní akci řídila a kontrolní závěr vypracovala členka NKÚ Ing. Jaromíra Steidlová.</w:t>
      </w:r>
    </w:p>
    <w:p w14:paraId="3959912F" w14:textId="77777777" w:rsidR="00031FF6" w:rsidRPr="00EC3A0D" w:rsidRDefault="00031FF6" w:rsidP="00031FF6">
      <w:pPr>
        <w:spacing w:after="0"/>
        <w:jc w:val="both"/>
        <w:rPr>
          <w:rFonts w:asciiTheme="minorHAnsi" w:eastAsiaTheme="minorHAnsi" w:hAnsiTheme="minorHAnsi" w:cstheme="minorHAnsi"/>
        </w:rPr>
      </w:pPr>
    </w:p>
    <w:p w14:paraId="3C239D3A" w14:textId="77777777" w:rsidR="00CC0706" w:rsidRPr="00DB6C92" w:rsidRDefault="00DB6C92" w:rsidP="00CC0706">
      <w:pPr>
        <w:spacing w:after="0"/>
        <w:jc w:val="both"/>
        <w:rPr>
          <w:rFonts w:asciiTheme="minorHAnsi" w:eastAsiaTheme="minorHAnsi" w:hAnsiTheme="minorHAnsi" w:cstheme="minorHAnsi"/>
          <w:bCs/>
          <w:highlight w:val="yellow"/>
        </w:rPr>
      </w:pPr>
      <w:r w:rsidRPr="00DB6C92">
        <w:rPr>
          <w:rFonts w:asciiTheme="minorHAnsi" w:eastAsiaTheme="minorHAnsi" w:hAnsiTheme="minorHAnsi" w:cstheme="minorHAnsi"/>
        </w:rPr>
        <w:t>Cílem kontroly bylo prověřit, zda Ministerstvo pro místní rozvoj při sestavení závěrečného účtu a při vedení účetnictví a sestavení účetní závěrky a předkládání údajů pro hodnocení plnění státního rozpočtu za rok 2018 postupovalo v souladu s příslušnými právními předpisy.</w:t>
      </w:r>
    </w:p>
    <w:p w14:paraId="3D539C27" w14:textId="77777777" w:rsidR="00031FF6" w:rsidRPr="00DB6C92" w:rsidRDefault="00031FF6" w:rsidP="00031FF6">
      <w:pPr>
        <w:spacing w:after="0"/>
        <w:jc w:val="both"/>
        <w:rPr>
          <w:rFonts w:asciiTheme="minorHAnsi" w:eastAsiaTheme="minorHAnsi" w:hAnsiTheme="minorHAnsi" w:cstheme="minorHAnsi"/>
          <w:bCs/>
          <w:highlight w:val="yellow"/>
        </w:rPr>
      </w:pPr>
    </w:p>
    <w:p w14:paraId="4B9A5517" w14:textId="77777777" w:rsidR="00EC3A0D" w:rsidRPr="00DB6C92" w:rsidRDefault="00A640AE" w:rsidP="00031FF6">
      <w:pPr>
        <w:spacing w:after="0"/>
        <w:jc w:val="both"/>
        <w:rPr>
          <w:rFonts w:asciiTheme="minorHAnsi" w:eastAsiaTheme="minorHAnsi" w:hAnsiTheme="minorHAnsi" w:cstheme="minorHAnsi"/>
        </w:rPr>
      </w:pPr>
      <w:r w:rsidRPr="00DB6C92">
        <w:rPr>
          <w:rFonts w:asciiTheme="minorHAnsi" w:eastAsiaTheme="minorHAnsi" w:hAnsiTheme="minorHAnsi" w:cstheme="minorHAnsi"/>
          <w:b/>
        </w:rPr>
        <w:t>Kontrolovaná osoba:</w:t>
      </w:r>
    </w:p>
    <w:p w14:paraId="7ABF33C9" w14:textId="77777777" w:rsidR="00EC3A0D" w:rsidRPr="00DB6C92" w:rsidRDefault="00DB6C92" w:rsidP="00031FF6">
      <w:pPr>
        <w:spacing w:after="0"/>
        <w:jc w:val="both"/>
        <w:rPr>
          <w:rFonts w:asciiTheme="minorHAnsi" w:eastAsiaTheme="minorHAnsi" w:hAnsiTheme="minorHAnsi" w:cstheme="minorHAnsi"/>
          <w:highlight w:val="yellow"/>
        </w:rPr>
      </w:pPr>
      <w:r w:rsidRPr="00DB6C92">
        <w:rPr>
          <w:rFonts w:asciiTheme="minorHAnsi" w:eastAsiaTheme="minorHAnsi" w:hAnsiTheme="minorHAnsi" w:cstheme="minorHAnsi"/>
        </w:rPr>
        <w:t>Ministerstvo pro místní rozvoj (dále také „MMR“).</w:t>
      </w:r>
    </w:p>
    <w:p w14:paraId="14329D75" w14:textId="77777777" w:rsidR="00031FF6" w:rsidRPr="00DB6C92" w:rsidRDefault="00031FF6" w:rsidP="00031FF6">
      <w:pPr>
        <w:spacing w:after="0"/>
        <w:jc w:val="both"/>
        <w:rPr>
          <w:rFonts w:asciiTheme="minorHAnsi" w:eastAsiaTheme="minorHAnsi" w:hAnsiTheme="minorHAnsi" w:cstheme="minorHAnsi"/>
          <w:highlight w:val="yellow"/>
        </w:rPr>
      </w:pPr>
    </w:p>
    <w:p w14:paraId="74CF59A8" w14:textId="77777777" w:rsidR="00EC3A0D" w:rsidRPr="00DB6C92" w:rsidRDefault="00A640AE" w:rsidP="00031FF6">
      <w:pPr>
        <w:spacing w:after="0"/>
        <w:jc w:val="both"/>
        <w:rPr>
          <w:rFonts w:asciiTheme="minorHAnsi" w:eastAsiaTheme="minorHAnsi" w:hAnsiTheme="minorHAnsi" w:cstheme="minorHAnsi"/>
        </w:rPr>
      </w:pPr>
      <w:r w:rsidRPr="00DB6C92">
        <w:rPr>
          <w:rFonts w:asciiTheme="minorHAnsi" w:eastAsiaTheme="minorHAnsi" w:hAnsiTheme="minorHAnsi" w:cstheme="minorHAnsi"/>
        </w:rPr>
        <w:t>Kontrolováno bylo období roku 201</w:t>
      </w:r>
      <w:r w:rsidR="00CC0706" w:rsidRPr="00DB6C92">
        <w:rPr>
          <w:rFonts w:asciiTheme="minorHAnsi" w:eastAsiaTheme="minorHAnsi" w:hAnsiTheme="minorHAnsi" w:cstheme="minorHAnsi"/>
        </w:rPr>
        <w:t>8</w:t>
      </w:r>
      <w:r w:rsidR="004E3929" w:rsidRPr="00DB6C92">
        <w:rPr>
          <w:rFonts w:asciiTheme="minorHAnsi" w:eastAsiaTheme="minorHAnsi" w:hAnsiTheme="minorHAnsi" w:cstheme="minorHAnsi"/>
        </w:rPr>
        <w:t xml:space="preserve"> včetně</w:t>
      </w:r>
      <w:r w:rsidRPr="00DB6C92">
        <w:rPr>
          <w:rFonts w:asciiTheme="minorHAnsi" w:eastAsiaTheme="minorHAnsi" w:hAnsiTheme="minorHAnsi" w:cstheme="minorHAnsi"/>
        </w:rPr>
        <w:t xml:space="preserve"> související</w:t>
      </w:r>
      <w:r w:rsidR="004E3929" w:rsidRPr="00DB6C92">
        <w:rPr>
          <w:rFonts w:asciiTheme="minorHAnsi" w:eastAsiaTheme="minorHAnsi" w:hAnsiTheme="minorHAnsi" w:cstheme="minorHAnsi"/>
        </w:rPr>
        <w:t>ch</w:t>
      </w:r>
      <w:r w:rsidRPr="00DB6C92">
        <w:rPr>
          <w:rFonts w:asciiTheme="minorHAnsi" w:eastAsiaTheme="minorHAnsi" w:hAnsiTheme="minorHAnsi" w:cstheme="minorHAnsi"/>
        </w:rPr>
        <w:t xml:space="preserve"> skutečnost</w:t>
      </w:r>
      <w:r w:rsidR="004E3929" w:rsidRPr="00DB6C92">
        <w:rPr>
          <w:rFonts w:asciiTheme="minorHAnsi" w:eastAsiaTheme="minorHAnsi" w:hAnsiTheme="minorHAnsi" w:cstheme="minorHAnsi"/>
        </w:rPr>
        <w:t>í</w:t>
      </w:r>
      <w:r w:rsidRPr="00DB6C92">
        <w:rPr>
          <w:rFonts w:asciiTheme="minorHAnsi" w:eastAsiaTheme="minorHAnsi" w:hAnsiTheme="minorHAnsi" w:cstheme="minorHAnsi"/>
        </w:rPr>
        <w:t xml:space="preserve"> </w:t>
      </w:r>
      <w:r w:rsidRPr="00DB6C92">
        <w:rPr>
          <w:rFonts w:asciiTheme="minorHAnsi" w:eastAsiaTheme="minorHAnsi" w:hAnsiTheme="minorHAnsi" w:cstheme="minorHAnsi"/>
          <w:spacing w:val="-2"/>
        </w:rPr>
        <w:t>z let předchozích a roku následujícího</w:t>
      </w:r>
      <w:r w:rsidRPr="00DB6C92">
        <w:rPr>
          <w:rFonts w:asciiTheme="minorHAnsi" w:eastAsiaTheme="minorHAnsi" w:hAnsiTheme="minorHAnsi" w:cstheme="minorHAnsi"/>
        </w:rPr>
        <w:t>.</w:t>
      </w:r>
    </w:p>
    <w:p w14:paraId="51AF7F29" w14:textId="77777777" w:rsidR="00031FF6" w:rsidRPr="00DB6C92" w:rsidRDefault="00031FF6" w:rsidP="00031FF6">
      <w:pPr>
        <w:spacing w:after="0"/>
        <w:jc w:val="both"/>
        <w:rPr>
          <w:rFonts w:asciiTheme="minorHAnsi" w:eastAsiaTheme="minorHAnsi" w:hAnsiTheme="minorHAnsi" w:cstheme="minorHAnsi"/>
        </w:rPr>
      </w:pPr>
    </w:p>
    <w:p w14:paraId="54AE2EEC" w14:textId="77777777" w:rsidR="00EC3A0D" w:rsidRPr="00DB6C92" w:rsidRDefault="00A640AE" w:rsidP="00031FF6">
      <w:pPr>
        <w:spacing w:after="0"/>
        <w:jc w:val="both"/>
        <w:rPr>
          <w:rFonts w:asciiTheme="minorHAnsi" w:eastAsiaTheme="minorHAnsi" w:hAnsiTheme="minorHAnsi" w:cstheme="minorHAnsi"/>
        </w:rPr>
      </w:pPr>
      <w:r w:rsidRPr="00DB6C92">
        <w:rPr>
          <w:rFonts w:asciiTheme="minorHAnsi" w:eastAsiaTheme="minorHAnsi" w:hAnsiTheme="minorHAnsi" w:cstheme="minorHAnsi"/>
        </w:rPr>
        <w:t xml:space="preserve">Kontrola byla prováděna u kontrolované osoby v době od </w:t>
      </w:r>
      <w:r w:rsidR="00CC0706" w:rsidRPr="00DB6C92">
        <w:rPr>
          <w:rFonts w:asciiTheme="minorHAnsi" w:eastAsiaTheme="minorHAnsi" w:hAnsiTheme="minorHAnsi" w:cstheme="minorHAnsi"/>
        </w:rPr>
        <w:t>září</w:t>
      </w:r>
      <w:r w:rsidR="005F2754" w:rsidRPr="00DB6C92">
        <w:rPr>
          <w:rFonts w:asciiTheme="minorHAnsi" w:eastAsiaTheme="minorHAnsi" w:hAnsiTheme="minorHAnsi" w:cstheme="minorHAnsi"/>
        </w:rPr>
        <w:t xml:space="preserve"> 201</w:t>
      </w:r>
      <w:r w:rsidR="00CC0706" w:rsidRPr="00DB6C92">
        <w:rPr>
          <w:rFonts w:asciiTheme="minorHAnsi" w:eastAsiaTheme="minorHAnsi" w:hAnsiTheme="minorHAnsi" w:cstheme="minorHAnsi"/>
        </w:rPr>
        <w:t>9</w:t>
      </w:r>
      <w:r w:rsidR="00DB6C92" w:rsidRPr="00DB6C92">
        <w:rPr>
          <w:rFonts w:asciiTheme="minorHAnsi" w:eastAsiaTheme="minorHAnsi" w:hAnsiTheme="minorHAnsi" w:cstheme="minorHAnsi"/>
        </w:rPr>
        <w:t xml:space="preserve"> do </w:t>
      </w:r>
      <w:r w:rsidR="00DB6C92" w:rsidRPr="004966AD">
        <w:rPr>
          <w:rFonts w:asciiTheme="minorHAnsi" w:eastAsiaTheme="minorHAnsi" w:hAnsiTheme="minorHAnsi" w:cstheme="minorHAnsi"/>
        </w:rPr>
        <w:t>dubna</w:t>
      </w:r>
      <w:r w:rsidR="00DB6C92" w:rsidRPr="00DB6C92">
        <w:rPr>
          <w:rFonts w:asciiTheme="minorHAnsi" w:eastAsiaTheme="minorHAnsi" w:hAnsiTheme="minorHAnsi" w:cstheme="minorHAnsi"/>
        </w:rPr>
        <w:t xml:space="preserve"> 2020</w:t>
      </w:r>
      <w:r w:rsidRPr="00DB6C92">
        <w:rPr>
          <w:rFonts w:asciiTheme="minorHAnsi" w:eastAsiaTheme="minorHAnsi" w:hAnsiTheme="minorHAnsi" w:cstheme="minorHAnsi"/>
        </w:rPr>
        <w:t>.</w:t>
      </w:r>
    </w:p>
    <w:p w14:paraId="394AE435" w14:textId="77777777" w:rsidR="00EC3A0D" w:rsidRPr="00DB6C92" w:rsidRDefault="00EC3A0D" w:rsidP="00031FF6">
      <w:pPr>
        <w:spacing w:after="0"/>
        <w:jc w:val="both"/>
        <w:rPr>
          <w:rFonts w:asciiTheme="minorHAnsi" w:eastAsiaTheme="minorHAnsi" w:hAnsiTheme="minorHAnsi" w:cstheme="minorHAnsi"/>
        </w:rPr>
      </w:pPr>
    </w:p>
    <w:p w14:paraId="0921A23E" w14:textId="77777777" w:rsidR="00031FF6" w:rsidRPr="00F85EEF" w:rsidRDefault="00031FF6" w:rsidP="00031FF6">
      <w:pPr>
        <w:spacing w:after="0"/>
        <w:jc w:val="both"/>
        <w:rPr>
          <w:rFonts w:asciiTheme="minorHAnsi" w:eastAsiaTheme="minorHAnsi" w:hAnsiTheme="minorHAnsi" w:cstheme="minorHAnsi"/>
        </w:rPr>
      </w:pPr>
    </w:p>
    <w:p w14:paraId="6A59E7F5" w14:textId="3F265AEB" w:rsidR="00EC3A0D" w:rsidRPr="00F85EEF" w:rsidRDefault="00A640AE" w:rsidP="00EC3A0D">
      <w:pPr>
        <w:spacing w:line="259" w:lineRule="auto"/>
        <w:jc w:val="both"/>
        <w:rPr>
          <w:rFonts w:asciiTheme="minorHAnsi" w:eastAsiaTheme="minorHAnsi" w:hAnsiTheme="minorHAnsi" w:cstheme="minorHAnsi"/>
        </w:rPr>
      </w:pPr>
      <w:r w:rsidRPr="00F85EEF">
        <w:rPr>
          <w:rFonts w:asciiTheme="minorHAnsi" w:eastAsiaTheme="minorHAnsi" w:hAnsiTheme="minorHAnsi" w:cstheme="minorHAnsi"/>
          <w:b/>
          <w:bCs/>
          <w:i/>
          <w:iCs/>
          <w:spacing w:val="60"/>
        </w:rPr>
        <w:t>Kolegium</w:t>
      </w:r>
      <w:r w:rsidRPr="00F85EEF">
        <w:rPr>
          <w:rFonts w:asciiTheme="minorHAnsi" w:eastAsiaTheme="minorHAnsi" w:hAnsiTheme="minorHAnsi" w:cstheme="minorHAnsi"/>
          <w:b/>
          <w:bCs/>
          <w:i/>
          <w:iCs/>
        </w:rPr>
        <w:t xml:space="preserve">   </w:t>
      </w:r>
      <w:r w:rsidRPr="00F85EEF">
        <w:rPr>
          <w:rFonts w:asciiTheme="minorHAnsi" w:eastAsiaTheme="minorHAnsi" w:hAnsiTheme="minorHAnsi" w:cstheme="minorHAnsi"/>
          <w:b/>
          <w:bCs/>
          <w:i/>
          <w:iCs/>
          <w:spacing w:val="60"/>
        </w:rPr>
        <w:t>NKÚ</w:t>
      </w:r>
      <w:r w:rsidRPr="00F85EEF">
        <w:rPr>
          <w:rFonts w:asciiTheme="minorHAnsi" w:eastAsiaTheme="minorHAnsi" w:hAnsiTheme="minorHAnsi" w:cstheme="minorHAnsi"/>
        </w:rPr>
        <w:t xml:space="preserve">   na svém</w:t>
      </w:r>
      <w:r w:rsidR="00CC0706" w:rsidRPr="00F85EEF">
        <w:rPr>
          <w:rFonts w:asciiTheme="minorHAnsi" w:eastAsiaTheme="minorHAnsi" w:hAnsiTheme="minorHAnsi" w:cstheme="minorHAnsi"/>
        </w:rPr>
        <w:t xml:space="preserve"> </w:t>
      </w:r>
      <w:r w:rsidR="00F85EEF" w:rsidRPr="00F85EEF">
        <w:rPr>
          <w:rFonts w:asciiTheme="minorHAnsi" w:eastAsiaTheme="minorHAnsi" w:hAnsiTheme="minorHAnsi" w:cstheme="minorHAnsi"/>
        </w:rPr>
        <w:t>XI</w:t>
      </w:r>
      <w:r w:rsidR="00CC0706" w:rsidRPr="00F85EEF">
        <w:rPr>
          <w:rFonts w:asciiTheme="minorHAnsi" w:eastAsiaTheme="minorHAnsi" w:hAnsiTheme="minorHAnsi" w:cstheme="minorHAnsi"/>
        </w:rPr>
        <w:t>.</w:t>
      </w:r>
      <w:r w:rsidR="009E57D6" w:rsidRPr="00F85EEF">
        <w:rPr>
          <w:rFonts w:asciiTheme="minorHAnsi" w:eastAsiaTheme="minorHAnsi" w:hAnsiTheme="minorHAnsi" w:cstheme="minorHAnsi"/>
        </w:rPr>
        <w:t xml:space="preserve"> </w:t>
      </w:r>
      <w:r w:rsidRPr="00F85EEF">
        <w:rPr>
          <w:rFonts w:asciiTheme="minorHAnsi" w:eastAsiaTheme="minorHAnsi" w:hAnsiTheme="minorHAnsi" w:cstheme="minorHAnsi"/>
        </w:rPr>
        <w:t>jednání, které se konalo dne</w:t>
      </w:r>
      <w:r w:rsidR="00243613" w:rsidRPr="00F85EEF">
        <w:rPr>
          <w:rFonts w:asciiTheme="minorHAnsi" w:eastAsiaTheme="minorHAnsi" w:hAnsiTheme="minorHAnsi" w:cstheme="minorHAnsi"/>
        </w:rPr>
        <w:t xml:space="preserve"> </w:t>
      </w:r>
      <w:r w:rsidR="00F85EEF" w:rsidRPr="00F85EEF">
        <w:rPr>
          <w:rFonts w:asciiTheme="minorHAnsi" w:eastAsiaTheme="minorHAnsi" w:hAnsiTheme="minorHAnsi" w:cstheme="minorHAnsi"/>
        </w:rPr>
        <w:t xml:space="preserve">20. července </w:t>
      </w:r>
      <w:r w:rsidR="009E57D6" w:rsidRPr="00F85EEF">
        <w:rPr>
          <w:rFonts w:asciiTheme="minorHAnsi" w:eastAsiaTheme="minorHAnsi" w:hAnsiTheme="minorHAnsi" w:cstheme="minorHAnsi"/>
        </w:rPr>
        <w:t>2</w:t>
      </w:r>
      <w:r w:rsidR="00DB6C92" w:rsidRPr="00F85EEF">
        <w:rPr>
          <w:rFonts w:asciiTheme="minorHAnsi" w:eastAsiaTheme="minorHAnsi" w:hAnsiTheme="minorHAnsi" w:cstheme="minorHAnsi"/>
        </w:rPr>
        <w:t>020</w:t>
      </w:r>
      <w:r w:rsidRPr="00F85EEF">
        <w:rPr>
          <w:rFonts w:asciiTheme="minorHAnsi" w:eastAsiaTheme="minorHAnsi" w:hAnsiTheme="minorHAnsi" w:cstheme="minorHAnsi"/>
        </w:rPr>
        <w:t>,</w:t>
      </w:r>
    </w:p>
    <w:p w14:paraId="16248E21" w14:textId="6E462E75" w:rsidR="00EC3A0D" w:rsidRPr="00DB6C92" w:rsidRDefault="00A640AE" w:rsidP="00EC3A0D">
      <w:pPr>
        <w:spacing w:line="259" w:lineRule="auto"/>
        <w:jc w:val="both"/>
        <w:rPr>
          <w:rFonts w:asciiTheme="minorHAnsi" w:eastAsiaTheme="minorHAnsi" w:hAnsiTheme="minorHAnsi" w:cstheme="minorHAnsi"/>
        </w:rPr>
      </w:pPr>
      <w:r w:rsidRPr="00DB6C92">
        <w:rPr>
          <w:rFonts w:asciiTheme="minorHAnsi" w:eastAsiaTheme="minorHAnsi" w:hAnsiTheme="minorHAnsi" w:cstheme="minorHAnsi"/>
          <w:b/>
          <w:bCs/>
          <w:i/>
          <w:iCs/>
          <w:spacing w:val="60"/>
        </w:rPr>
        <w:t>schválilo</w:t>
      </w:r>
      <w:r w:rsidRPr="00DB6C92">
        <w:rPr>
          <w:rFonts w:asciiTheme="minorHAnsi" w:eastAsiaTheme="minorHAnsi" w:hAnsiTheme="minorHAnsi" w:cstheme="minorHAnsi"/>
        </w:rPr>
        <w:t xml:space="preserve">   usnesením č. </w:t>
      </w:r>
      <w:r w:rsidR="00A7261F">
        <w:rPr>
          <w:rFonts w:asciiTheme="minorHAnsi" w:eastAsiaTheme="minorHAnsi" w:hAnsiTheme="minorHAnsi" w:cstheme="minorHAnsi"/>
        </w:rPr>
        <w:t>8</w:t>
      </w:r>
      <w:r w:rsidR="001842ED" w:rsidRPr="00F85EEF">
        <w:rPr>
          <w:rFonts w:asciiTheme="minorHAnsi" w:eastAsiaTheme="minorHAnsi" w:hAnsiTheme="minorHAnsi" w:cstheme="minorHAnsi"/>
        </w:rPr>
        <w:t>/</w:t>
      </w:r>
      <w:r w:rsidR="003B699F">
        <w:rPr>
          <w:rFonts w:asciiTheme="minorHAnsi" w:eastAsiaTheme="minorHAnsi" w:hAnsiTheme="minorHAnsi" w:cstheme="minorHAnsi"/>
        </w:rPr>
        <w:t>XI</w:t>
      </w:r>
      <w:r w:rsidRPr="00DB6C92">
        <w:rPr>
          <w:rFonts w:asciiTheme="minorHAnsi" w:eastAsiaTheme="minorHAnsi" w:hAnsiTheme="minorHAnsi" w:cstheme="minorHAnsi"/>
        </w:rPr>
        <w:t>/20</w:t>
      </w:r>
      <w:r w:rsidR="00DB6C92" w:rsidRPr="00DB6C92">
        <w:rPr>
          <w:rFonts w:asciiTheme="minorHAnsi" w:eastAsiaTheme="minorHAnsi" w:hAnsiTheme="minorHAnsi" w:cstheme="minorHAnsi"/>
        </w:rPr>
        <w:t>20</w:t>
      </w:r>
    </w:p>
    <w:p w14:paraId="136D3F97" w14:textId="77777777" w:rsidR="00EC3A0D" w:rsidRPr="00DB6C92" w:rsidRDefault="00A640AE" w:rsidP="00EC3A0D">
      <w:pPr>
        <w:spacing w:line="259" w:lineRule="auto"/>
        <w:jc w:val="both"/>
        <w:rPr>
          <w:rFonts w:asciiTheme="minorHAnsi" w:eastAsiaTheme="minorHAnsi" w:hAnsiTheme="minorHAnsi" w:cstheme="minorHAnsi"/>
        </w:rPr>
      </w:pPr>
      <w:r w:rsidRPr="00DB6C92">
        <w:rPr>
          <w:rFonts w:asciiTheme="minorHAnsi" w:eastAsiaTheme="minorHAnsi" w:hAnsiTheme="minorHAnsi" w:cstheme="minorHAnsi"/>
          <w:b/>
          <w:bCs/>
          <w:i/>
          <w:iCs/>
          <w:spacing w:val="60"/>
        </w:rPr>
        <w:t>kontrolní</w:t>
      </w:r>
      <w:r w:rsidRPr="00DB6C92">
        <w:rPr>
          <w:rFonts w:asciiTheme="minorHAnsi" w:eastAsiaTheme="minorHAnsi" w:hAnsiTheme="minorHAnsi" w:cstheme="minorHAnsi"/>
          <w:b/>
          <w:bCs/>
          <w:i/>
          <w:iCs/>
        </w:rPr>
        <w:t xml:space="preserve">   </w:t>
      </w:r>
      <w:r w:rsidRPr="00DB6C92">
        <w:rPr>
          <w:rFonts w:asciiTheme="minorHAnsi" w:eastAsiaTheme="minorHAnsi" w:hAnsiTheme="minorHAnsi" w:cstheme="minorHAnsi"/>
          <w:b/>
          <w:bCs/>
          <w:i/>
          <w:iCs/>
          <w:spacing w:val="60"/>
        </w:rPr>
        <w:t>závěr</w:t>
      </w:r>
      <w:r w:rsidRPr="00DB6C92">
        <w:rPr>
          <w:rFonts w:asciiTheme="minorHAnsi" w:eastAsiaTheme="minorHAnsi" w:hAnsiTheme="minorHAnsi" w:cstheme="minorHAnsi"/>
        </w:rPr>
        <w:t xml:space="preserve">   v tomto znění:</w:t>
      </w:r>
    </w:p>
    <w:p w14:paraId="4A3958FC" w14:textId="77777777" w:rsidR="00CA5B95" w:rsidRPr="00DB6C92" w:rsidRDefault="00CA5B95" w:rsidP="00CA5B95">
      <w:pPr>
        <w:spacing w:after="0"/>
        <w:jc w:val="both"/>
        <w:rPr>
          <w:rFonts w:asciiTheme="minorHAnsi" w:eastAsiaTheme="minorHAnsi" w:hAnsiTheme="minorHAnsi" w:cstheme="minorHAnsi"/>
        </w:rPr>
      </w:pPr>
    </w:p>
    <w:p w14:paraId="15179CE2" w14:textId="77777777" w:rsidR="00CA5B95" w:rsidRPr="00F85EEF" w:rsidRDefault="00CA5B95" w:rsidP="00CA5B95">
      <w:pPr>
        <w:spacing w:after="0"/>
        <w:jc w:val="both"/>
        <w:rPr>
          <w:rFonts w:asciiTheme="minorHAnsi" w:eastAsiaTheme="minorHAnsi" w:hAnsiTheme="minorHAnsi" w:cstheme="minorHAnsi"/>
        </w:rPr>
      </w:pPr>
    </w:p>
    <w:p w14:paraId="5A3E9813" w14:textId="0FDD559E" w:rsidR="00CA5B95" w:rsidRDefault="00CA5B95">
      <w:pPr>
        <w:spacing w:after="160" w:line="259" w:lineRule="auto"/>
        <w:rPr>
          <w:rStyle w:val="A4"/>
          <w:rFonts w:eastAsiaTheme="majorEastAsia"/>
          <w:b/>
          <w:color w:val="BDD6EE" w:themeColor="accent1" w:themeTint="66"/>
          <w:sz w:val="40"/>
          <w:szCs w:val="40"/>
        </w:rPr>
      </w:pPr>
      <w:r>
        <w:rPr>
          <w:rStyle w:val="A4"/>
          <w:rFonts w:eastAsiaTheme="majorEastAsia"/>
          <w:b/>
          <w:color w:val="BDD6EE" w:themeColor="accent1" w:themeTint="66"/>
          <w:sz w:val="40"/>
          <w:szCs w:val="40"/>
        </w:rPr>
        <w:br w:type="page"/>
      </w:r>
    </w:p>
    <w:p w14:paraId="0C5F5BB0" w14:textId="7258164E" w:rsidR="00CA5B95" w:rsidRDefault="00597612" w:rsidP="00CA5B95">
      <w:pPr>
        <w:jc w:val="center"/>
        <w:rPr>
          <w:rStyle w:val="A4"/>
          <w:rFonts w:eastAsiaTheme="majorEastAsia"/>
          <w:b/>
          <w:color w:val="BDD6EE" w:themeColor="accent1" w:themeTint="66"/>
          <w:sz w:val="40"/>
          <w:szCs w:val="40"/>
        </w:rPr>
      </w:pPr>
      <w:r>
        <w:rPr>
          <w:rStyle w:val="A4"/>
          <w:rFonts w:eastAsiaTheme="majorEastAsia"/>
          <w:b/>
          <w:color w:val="BDD6EE" w:themeColor="accent1" w:themeTint="66"/>
          <w:sz w:val="40"/>
          <w:szCs w:val="40"/>
        </w:rPr>
        <w:lastRenderedPageBreak/>
        <w:t>Skládání účtů</w:t>
      </w:r>
      <w:r w:rsidR="00AA34F9">
        <w:rPr>
          <w:rStyle w:val="A4"/>
          <w:rFonts w:eastAsiaTheme="majorEastAsia"/>
          <w:b/>
          <w:color w:val="BDD6EE" w:themeColor="accent1" w:themeTint="66"/>
          <w:sz w:val="40"/>
          <w:szCs w:val="40"/>
        </w:rPr>
        <w:t xml:space="preserve"> </w:t>
      </w:r>
      <w:r>
        <w:rPr>
          <w:rStyle w:val="A4"/>
          <w:rFonts w:eastAsiaTheme="majorEastAsia"/>
          <w:b/>
          <w:color w:val="BDD6EE" w:themeColor="accent1" w:themeTint="66"/>
          <w:sz w:val="40"/>
          <w:szCs w:val="40"/>
        </w:rPr>
        <w:t xml:space="preserve">z hospodaření </w:t>
      </w:r>
      <w:r w:rsidR="00AA34F9">
        <w:rPr>
          <w:rStyle w:val="A4"/>
          <w:rFonts w:eastAsiaTheme="majorEastAsia"/>
          <w:b/>
          <w:color w:val="BDD6EE" w:themeColor="accent1" w:themeTint="66"/>
          <w:sz w:val="40"/>
          <w:szCs w:val="40"/>
        </w:rPr>
        <w:t>s majetkem státu</w:t>
      </w:r>
      <w:r w:rsidR="003A2FA5">
        <w:rPr>
          <w:rStyle w:val="Znakapoznpodarou"/>
          <w:rFonts w:eastAsiaTheme="majorEastAsia"/>
          <w:b/>
          <w:color w:val="BDD6EE" w:themeColor="accent1" w:themeTint="66"/>
          <w:sz w:val="40"/>
          <w:szCs w:val="40"/>
        </w:rPr>
        <w:footnoteReference w:id="2"/>
      </w:r>
      <w:r w:rsidR="00171682">
        <w:rPr>
          <w:rStyle w:val="A4"/>
          <w:rFonts w:eastAsiaTheme="majorEastAsia"/>
          <w:b/>
          <w:color w:val="BDD6EE" w:themeColor="accent1" w:themeTint="66"/>
          <w:sz w:val="40"/>
          <w:szCs w:val="40"/>
        </w:rPr>
        <w:t>:</w:t>
      </w:r>
    </w:p>
    <w:p w14:paraId="121DEDF1" w14:textId="2ECC1683" w:rsidR="00597612" w:rsidRPr="0029520A" w:rsidRDefault="0055132B" w:rsidP="00CA5B95">
      <w:pPr>
        <w:jc w:val="center"/>
        <w:rPr>
          <w:rStyle w:val="A4"/>
          <w:rFonts w:eastAsiaTheme="majorEastAsia"/>
          <w:b/>
          <w:color w:val="BDD6EE" w:themeColor="accent1" w:themeTint="66"/>
          <w:sz w:val="40"/>
          <w:szCs w:val="40"/>
        </w:rPr>
      </w:pPr>
      <w:r w:rsidRPr="00AE5596">
        <w:rPr>
          <w:rStyle w:val="A4"/>
          <w:rFonts w:eastAsiaTheme="majorEastAsia"/>
          <w:b/>
          <w:color w:val="BDD6EE" w:themeColor="accent1" w:themeTint="66"/>
          <w:sz w:val="40"/>
          <w:szCs w:val="40"/>
        </w:rPr>
        <w:t xml:space="preserve">MMR </w:t>
      </w:r>
      <w:r w:rsidR="00AA34F9" w:rsidRPr="00AE5596">
        <w:rPr>
          <w:rStyle w:val="A4"/>
          <w:rFonts w:eastAsiaTheme="majorEastAsia"/>
          <w:b/>
          <w:color w:val="BDD6EE" w:themeColor="accent1" w:themeTint="66"/>
          <w:sz w:val="40"/>
          <w:szCs w:val="40"/>
        </w:rPr>
        <w:t>za rok 2018</w:t>
      </w:r>
    </w:p>
    <w:p w14:paraId="213DF139" w14:textId="77777777" w:rsidR="00597612" w:rsidRDefault="00597612" w:rsidP="00597612">
      <w:pPr>
        <w:rPr>
          <w:rStyle w:val="A1"/>
          <w:rFonts w:ascii="Calibri Light" w:hAnsi="Calibri Light" w:cs="Calibri Light"/>
          <w:sz w:val="32"/>
          <w:szCs w:val="3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3020"/>
        <w:gridCol w:w="3021"/>
        <w:gridCol w:w="3021"/>
      </w:tblGrid>
      <w:tr w:rsidR="00597612" w14:paraId="29E9BFE0" w14:textId="77777777" w:rsidTr="00597612">
        <w:trPr>
          <w:trHeight w:val="1363"/>
        </w:trPr>
        <w:tc>
          <w:tcPr>
            <w:tcW w:w="3020" w:type="dxa"/>
          </w:tcPr>
          <w:p w14:paraId="3DD92CE0" w14:textId="53F1ADCB" w:rsidR="00597612" w:rsidRDefault="00597612">
            <w:pPr>
              <w:spacing w:after="0"/>
              <w:jc w:val="center"/>
              <w:rPr>
                <w:rStyle w:val="A5"/>
                <w:rFonts w:asciiTheme="minorHAnsi" w:hAnsiTheme="minorHAnsi" w:cstheme="minorBidi"/>
              </w:rPr>
            </w:pPr>
            <w:r>
              <w:rPr>
                <w:rStyle w:val="A5"/>
              </w:rPr>
              <w:t>5 4</w:t>
            </w:r>
            <w:r w:rsidR="003F40F6">
              <w:rPr>
                <w:rStyle w:val="A5"/>
              </w:rPr>
              <w:t>25</w:t>
            </w:r>
            <w:r>
              <w:rPr>
                <w:rStyle w:val="A5"/>
              </w:rPr>
              <w:t xml:space="preserve"> mil. Kč</w:t>
            </w:r>
          </w:p>
          <w:p w14:paraId="4F9B5934" w14:textId="77777777" w:rsidR="00597612" w:rsidRDefault="00597612">
            <w:pPr>
              <w:spacing w:after="0"/>
              <w:jc w:val="center"/>
              <w:rPr>
                <w:sz w:val="20"/>
                <w:szCs w:val="20"/>
              </w:rPr>
            </w:pPr>
            <w:r>
              <w:rPr>
                <w:b/>
                <w:sz w:val="20"/>
                <w:szCs w:val="20"/>
              </w:rPr>
              <w:t>nesprávnosti</w:t>
            </w:r>
            <w:r>
              <w:rPr>
                <w:rStyle w:val="Znakapoznpodarou"/>
                <w:rFonts w:eastAsia="Calibri"/>
                <w:b/>
                <w:sz w:val="20"/>
                <w:szCs w:val="20"/>
              </w:rPr>
              <w:footnoteReference w:id="3"/>
            </w:r>
            <w:r>
              <w:rPr>
                <w:b/>
                <w:sz w:val="20"/>
                <w:szCs w:val="20"/>
              </w:rPr>
              <w:t xml:space="preserve"> v účetní závěrce </w:t>
            </w:r>
          </w:p>
          <w:p w14:paraId="15B9F2D7" w14:textId="77777777" w:rsidR="00597612" w:rsidRDefault="00597612">
            <w:pPr>
              <w:spacing w:after="0"/>
              <w:jc w:val="center"/>
              <w:rPr>
                <w:sz w:val="20"/>
                <w:szCs w:val="20"/>
              </w:rPr>
            </w:pPr>
          </w:p>
          <w:p w14:paraId="19A5D882" w14:textId="77777777" w:rsidR="00597612" w:rsidRDefault="00597612">
            <w:pPr>
              <w:spacing w:after="0"/>
              <w:jc w:val="center"/>
              <w:rPr>
                <w:rStyle w:val="A1"/>
                <w:b/>
                <w:bCs/>
                <w:sz w:val="40"/>
                <w:szCs w:val="40"/>
              </w:rPr>
            </w:pPr>
          </w:p>
        </w:tc>
        <w:tc>
          <w:tcPr>
            <w:tcW w:w="3021" w:type="dxa"/>
            <w:hideMark/>
          </w:tcPr>
          <w:p w14:paraId="0A6FA1C3" w14:textId="77777777" w:rsidR="00597612" w:rsidRDefault="00597612">
            <w:pPr>
              <w:spacing w:after="0"/>
              <w:jc w:val="center"/>
              <w:rPr>
                <w:rStyle w:val="A5"/>
              </w:rPr>
            </w:pPr>
            <w:r>
              <w:rPr>
                <w:rStyle w:val="A5"/>
              </w:rPr>
              <w:t>450 mil. Kč</w:t>
            </w:r>
          </w:p>
          <w:p w14:paraId="779D6198" w14:textId="77777777" w:rsidR="00597612" w:rsidRDefault="00597612">
            <w:pPr>
              <w:spacing w:after="0"/>
              <w:jc w:val="center"/>
              <w:rPr>
                <w:sz w:val="20"/>
                <w:szCs w:val="20"/>
              </w:rPr>
            </w:pPr>
            <w:r>
              <w:rPr>
                <w:b/>
                <w:sz w:val="20"/>
                <w:szCs w:val="20"/>
              </w:rPr>
              <w:t xml:space="preserve">materialita </w:t>
            </w:r>
          </w:p>
          <w:p w14:paraId="6BB6076A" w14:textId="77777777" w:rsidR="00597612" w:rsidRDefault="00597612">
            <w:pPr>
              <w:spacing w:after="0"/>
              <w:jc w:val="center"/>
              <w:rPr>
                <w:rStyle w:val="A1"/>
                <w:color w:val="auto"/>
                <w:sz w:val="20"/>
                <w:szCs w:val="20"/>
              </w:rPr>
            </w:pPr>
            <w:r>
              <w:rPr>
                <w:sz w:val="20"/>
                <w:szCs w:val="20"/>
              </w:rPr>
              <w:t>(hladina významnosti</w:t>
            </w:r>
            <w:r>
              <w:rPr>
                <w:rStyle w:val="Znakapoznpodarou"/>
                <w:rFonts w:eastAsia="Calibri"/>
                <w:sz w:val="20"/>
                <w:szCs w:val="20"/>
              </w:rPr>
              <w:footnoteReference w:id="4"/>
            </w:r>
            <w:r>
              <w:rPr>
                <w:sz w:val="20"/>
                <w:szCs w:val="20"/>
              </w:rPr>
              <w:t xml:space="preserve"> stanovená pro účetní závěrku</w:t>
            </w:r>
            <w:r>
              <w:rPr>
                <w:rStyle w:val="Znakapoznpodarou"/>
                <w:rFonts w:eastAsia="Calibri"/>
                <w:sz w:val="20"/>
                <w:szCs w:val="20"/>
              </w:rPr>
              <w:footnoteReference w:id="5"/>
            </w:r>
            <w:r>
              <w:rPr>
                <w:sz w:val="20"/>
                <w:szCs w:val="20"/>
              </w:rPr>
              <w:t>)</w:t>
            </w:r>
          </w:p>
        </w:tc>
        <w:tc>
          <w:tcPr>
            <w:tcW w:w="3021" w:type="dxa"/>
          </w:tcPr>
          <w:p w14:paraId="41476FCF" w14:textId="77777777" w:rsidR="00597612" w:rsidRDefault="00597612">
            <w:pPr>
              <w:spacing w:after="0"/>
              <w:jc w:val="center"/>
              <w:rPr>
                <w:rStyle w:val="A5"/>
              </w:rPr>
            </w:pPr>
            <w:r>
              <w:rPr>
                <w:rStyle w:val="A5"/>
              </w:rPr>
              <w:t>9 %</w:t>
            </w:r>
          </w:p>
          <w:p w14:paraId="6C992D3E" w14:textId="77777777" w:rsidR="00597612" w:rsidRDefault="00597612">
            <w:pPr>
              <w:spacing w:after="0"/>
              <w:jc w:val="center"/>
              <w:rPr>
                <w:color w:val="000000" w:themeColor="text1"/>
                <w:sz w:val="20"/>
                <w:szCs w:val="20"/>
                <w14:textOutline w14:w="9525" w14:cap="rnd" w14:cmpd="sng" w14:algn="ctr">
                  <w14:noFill/>
                  <w14:prstDash w14:val="solid"/>
                  <w14:bevel/>
                </w14:textOutline>
              </w:rPr>
            </w:pPr>
            <w:r>
              <w:rPr>
                <w:b/>
                <w:color w:val="000000" w:themeColor="text1"/>
                <w:sz w:val="20"/>
                <w:szCs w:val="20"/>
                <w14:textOutline w14:w="9525" w14:cap="rnd" w14:cmpd="sng" w14:algn="ctr">
                  <w14:noFill/>
                  <w14:prstDash w14:val="solid"/>
                  <w14:bevel/>
                </w14:textOutline>
              </w:rPr>
              <w:t>chybovost v provádění předběžné řídicí kontroly</w:t>
            </w:r>
          </w:p>
          <w:p w14:paraId="4B698395" w14:textId="77777777" w:rsidR="00597612" w:rsidRDefault="001C4BBF">
            <w:pPr>
              <w:spacing w:after="0"/>
              <w:jc w:val="center"/>
              <w:rPr>
                <w:rStyle w:val="A1"/>
                <w:rFonts w:cstheme="minorHAnsi"/>
                <w:sz w:val="20"/>
                <w:szCs w:val="20"/>
              </w:rPr>
            </w:pPr>
            <w:r>
              <w:rPr>
                <w:rStyle w:val="A1"/>
                <w:rFonts w:cstheme="minorHAnsi"/>
                <w:sz w:val="20"/>
                <w:szCs w:val="20"/>
              </w:rPr>
              <w:t>(VKS v této oblasti je účinný s mírnými nedostatky)</w:t>
            </w:r>
          </w:p>
        </w:tc>
      </w:tr>
      <w:tr w:rsidR="00597612" w14:paraId="43ED411E" w14:textId="77777777" w:rsidTr="00597612">
        <w:tc>
          <w:tcPr>
            <w:tcW w:w="3020" w:type="dxa"/>
          </w:tcPr>
          <w:p w14:paraId="0772B890" w14:textId="77777777" w:rsidR="00597612" w:rsidRDefault="00597612">
            <w:pPr>
              <w:spacing w:after="0"/>
              <w:jc w:val="center"/>
              <w:rPr>
                <w:rFonts w:cs="Calibri"/>
                <w:b/>
                <w:bCs/>
                <w:sz w:val="40"/>
                <w:szCs w:val="40"/>
              </w:rPr>
            </w:pPr>
            <w:r>
              <w:rPr>
                <w:rFonts w:cs="Calibri"/>
                <w:b/>
                <w:bCs/>
                <w:color w:val="000000"/>
                <w:sz w:val="40"/>
                <w:szCs w:val="40"/>
              </w:rPr>
              <w:t>11 mil. Kč</w:t>
            </w:r>
          </w:p>
          <w:p w14:paraId="571F2B07" w14:textId="77777777" w:rsidR="00597612" w:rsidRDefault="00597612">
            <w:pPr>
              <w:spacing w:after="0"/>
              <w:jc w:val="center"/>
              <w:rPr>
                <w:rFonts w:asciiTheme="minorHAnsi" w:hAnsiTheme="minorHAnsi" w:cstheme="minorBidi"/>
                <w:b/>
                <w:color w:val="000000" w:themeColor="text1"/>
                <w:sz w:val="20"/>
                <w:szCs w:val="20"/>
                <w14:textOutline w14:w="9525" w14:cap="rnd" w14:cmpd="sng" w14:algn="ctr">
                  <w14:noFill/>
                  <w14:prstDash w14:val="solid"/>
                  <w14:bevel/>
                </w14:textOutline>
              </w:rPr>
            </w:pPr>
            <w:r>
              <w:rPr>
                <w:b/>
                <w:color w:val="000000" w:themeColor="text1"/>
                <w:sz w:val="20"/>
                <w:szCs w:val="20"/>
                <w14:textOutline w14:w="9525" w14:cap="rnd" w14:cmpd="sng" w14:algn="ctr">
                  <w14:noFill/>
                  <w14:prstDash w14:val="solid"/>
                  <w14:bevel/>
                </w14:textOutline>
              </w:rPr>
              <w:t>nesprávnosti ve výkazu pro hodnocení plnění rozpočtu</w:t>
            </w:r>
          </w:p>
          <w:p w14:paraId="61C286A7" w14:textId="77777777" w:rsidR="00597612" w:rsidRDefault="00597612">
            <w:pPr>
              <w:spacing w:after="0"/>
              <w:jc w:val="center"/>
              <w:rPr>
                <w:rStyle w:val="A1"/>
                <w:rFonts w:ascii="Calibri Light" w:hAnsi="Calibri Light" w:cs="Calibri Light"/>
              </w:rPr>
            </w:pPr>
          </w:p>
        </w:tc>
        <w:tc>
          <w:tcPr>
            <w:tcW w:w="3021" w:type="dxa"/>
            <w:hideMark/>
          </w:tcPr>
          <w:p w14:paraId="7EB4B012" w14:textId="77777777" w:rsidR="00597612" w:rsidRDefault="00597612">
            <w:pPr>
              <w:spacing w:after="0"/>
              <w:jc w:val="center"/>
              <w:rPr>
                <w:rStyle w:val="A5"/>
                <w:rFonts w:asciiTheme="minorHAnsi" w:hAnsiTheme="minorHAnsi" w:cstheme="minorBidi"/>
              </w:rPr>
            </w:pPr>
            <w:r>
              <w:rPr>
                <w:rStyle w:val="A5"/>
              </w:rPr>
              <w:t>442 mil. Kč</w:t>
            </w:r>
          </w:p>
          <w:p w14:paraId="74D3A8F5" w14:textId="77777777" w:rsidR="00597612" w:rsidRDefault="00597612">
            <w:pPr>
              <w:spacing w:after="0"/>
              <w:jc w:val="center"/>
              <w:rPr>
                <w:rStyle w:val="A1"/>
                <w:rFonts w:cstheme="minorHAnsi"/>
                <w:sz w:val="20"/>
                <w:szCs w:val="20"/>
              </w:rPr>
            </w:pPr>
            <w:r>
              <w:rPr>
                <w:rStyle w:val="A1"/>
                <w:rFonts w:cstheme="minorHAnsi"/>
                <w:b/>
                <w:sz w:val="20"/>
                <w:szCs w:val="20"/>
              </w:rPr>
              <w:t>materialita</w:t>
            </w:r>
          </w:p>
          <w:p w14:paraId="7705BA1C" w14:textId="77777777" w:rsidR="00597612" w:rsidRDefault="00597612">
            <w:pPr>
              <w:spacing w:after="0"/>
              <w:jc w:val="center"/>
              <w:rPr>
                <w:rStyle w:val="A1"/>
                <w:rFonts w:cstheme="minorHAnsi"/>
                <w:sz w:val="20"/>
                <w:szCs w:val="20"/>
              </w:rPr>
            </w:pPr>
            <w:r>
              <w:rPr>
                <w:rStyle w:val="A1"/>
                <w:rFonts w:cstheme="minorHAnsi"/>
                <w:sz w:val="20"/>
                <w:szCs w:val="20"/>
              </w:rPr>
              <w:t>(hladina významnosti stanovená pro výkaz pro hodnocení plnění rozpočtu</w:t>
            </w:r>
            <w:r>
              <w:rPr>
                <w:rStyle w:val="Znakapoznpodarou"/>
                <w:rFonts w:eastAsia="Calibri"/>
                <w:color w:val="000000"/>
                <w:sz w:val="20"/>
                <w:szCs w:val="20"/>
              </w:rPr>
              <w:footnoteReference w:id="6"/>
            </w:r>
            <w:r>
              <w:rPr>
                <w:rStyle w:val="A1"/>
                <w:rFonts w:cstheme="minorHAnsi"/>
                <w:sz w:val="20"/>
                <w:szCs w:val="20"/>
              </w:rPr>
              <w:t>)</w:t>
            </w:r>
          </w:p>
        </w:tc>
        <w:tc>
          <w:tcPr>
            <w:tcW w:w="3021" w:type="dxa"/>
          </w:tcPr>
          <w:p w14:paraId="31C1AECC" w14:textId="7145400B" w:rsidR="00597612" w:rsidRDefault="00597612">
            <w:pPr>
              <w:spacing w:after="0"/>
              <w:jc w:val="center"/>
              <w:rPr>
                <w:rFonts w:cs="Calibri"/>
                <w:b/>
                <w:bCs/>
                <w:sz w:val="40"/>
                <w:szCs w:val="40"/>
              </w:rPr>
            </w:pPr>
            <w:r>
              <w:rPr>
                <w:rFonts w:cs="Calibri"/>
                <w:b/>
                <w:bCs/>
                <w:color w:val="000000"/>
                <w:sz w:val="40"/>
                <w:szCs w:val="40"/>
              </w:rPr>
              <w:t>4</w:t>
            </w:r>
            <w:r w:rsidR="00E96E6B">
              <w:rPr>
                <w:rFonts w:cs="Calibri"/>
                <w:b/>
                <w:bCs/>
                <w:color w:val="000000"/>
                <w:sz w:val="40"/>
                <w:szCs w:val="40"/>
              </w:rPr>
              <w:t>1</w:t>
            </w:r>
            <w:r>
              <w:rPr>
                <w:rFonts w:cs="Calibri"/>
                <w:b/>
                <w:bCs/>
                <w:color w:val="000000"/>
                <w:sz w:val="40"/>
                <w:szCs w:val="40"/>
              </w:rPr>
              <w:t xml:space="preserve"> mil. Kč</w:t>
            </w:r>
          </w:p>
          <w:p w14:paraId="495E5B9C" w14:textId="725C0766" w:rsidR="00597612" w:rsidRDefault="00597612" w:rsidP="006E6758">
            <w:pPr>
              <w:spacing w:after="0"/>
              <w:jc w:val="center"/>
              <w:rPr>
                <w:rStyle w:val="A1"/>
                <w:rFonts w:ascii="Calibri Light" w:hAnsi="Calibri Light" w:cs="Calibri Light"/>
                <w:sz w:val="20"/>
                <w:szCs w:val="20"/>
              </w:rPr>
            </w:pPr>
            <w:r>
              <w:rPr>
                <w:b/>
                <w:sz w:val="20"/>
                <w:szCs w:val="20"/>
              </w:rPr>
              <w:t xml:space="preserve">neodůvodněné snížení </w:t>
            </w:r>
            <w:r w:rsidR="00E96E6B">
              <w:rPr>
                <w:b/>
                <w:sz w:val="20"/>
                <w:szCs w:val="20"/>
              </w:rPr>
              <w:t xml:space="preserve">výnosů ze státního majetku </w:t>
            </w:r>
            <w:r w:rsidR="00E96E6B">
              <w:rPr>
                <w:sz w:val="20"/>
                <w:szCs w:val="20"/>
              </w:rPr>
              <w:t>(a tím i</w:t>
            </w:r>
            <w:r w:rsidR="006E6758">
              <w:rPr>
                <w:sz w:val="20"/>
                <w:szCs w:val="20"/>
              </w:rPr>
              <w:t> </w:t>
            </w:r>
            <w:r w:rsidR="00E96E6B" w:rsidRPr="00AB50E7">
              <w:rPr>
                <w:sz w:val="20"/>
                <w:szCs w:val="20"/>
              </w:rPr>
              <w:t>příjmů</w:t>
            </w:r>
            <w:r w:rsidR="00E96E6B" w:rsidRPr="00286B8D">
              <w:rPr>
                <w:sz w:val="20"/>
                <w:szCs w:val="20"/>
              </w:rPr>
              <w:t xml:space="preserve"> </w:t>
            </w:r>
            <w:r w:rsidRPr="00286B8D">
              <w:rPr>
                <w:sz w:val="20"/>
                <w:szCs w:val="20"/>
              </w:rPr>
              <w:t>státního rozpočtu</w:t>
            </w:r>
            <w:r w:rsidR="00E96E6B">
              <w:rPr>
                <w:sz w:val="20"/>
                <w:szCs w:val="20"/>
              </w:rPr>
              <w:t>)</w:t>
            </w:r>
          </w:p>
        </w:tc>
      </w:tr>
    </w:tbl>
    <w:p w14:paraId="7FE806BE" w14:textId="77777777" w:rsidR="000F09F5" w:rsidRDefault="000F09F5" w:rsidP="00597612">
      <w:pPr>
        <w:rPr>
          <w:rStyle w:val="A1"/>
          <w:b/>
          <w:sz w:val="32"/>
          <w:szCs w:val="32"/>
        </w:rPr>
      </w:pPr>
    </w:p>
    <w:p w14:paraId="6125AE30" w14:textId="20C5D14D" w:rsidR="00597612" w:rsidRDefault="00597612" w:rsidP="005775F0">
      <w:pPr>
        <w:jc w:val="center"/>
        <w:rPr>
          <w:rStyle w:val="A1"/>
          <w:b/>
          <w:sz w:val="32"/>
          <w:szCs w:val="32"/>
        </w:rPr>
      </w:pPr>
      <w:r>
        <w:rPr>
          <w:rStyle w:val="A1"/>
          <w:b/>
          <w:sz w:val="32"/>
          <w:szCs w:val="32"/>
        </w:rPr>
        <w:t>Spolehlivost ÚZ ve struktuře dle jednotlivých výkazů</w:t>
      </w:r>
    </w:p>
    <w:p w14:paraId="5FFB3B02" w14:textId="77777777" w:rsidR="005775F0" w:rsidRDefault="005775F0" w:rsidP="005775F0">
      <w:pPr>
        <w:jc w:val="both"/>
        <w:rPr>
          <w:rStyle w:val="A1"/>
          <w:b/>
          <w:sz w:val="32"/>
          <w:szCs w:val="32"/>
        </w:rPr>
      </w:pPr>
    </w:p>
    <w:p w14:paraId="7D985BA6" w14:textId="05210A11" w:rsidR="005775F0" w:rsidRDefault="00597612" w:rsidP="004966AD">
      <w:pPr>
        <w:jc w:val="center"/>
        <w:rPr>
          <w:rFonts w:ascii="Calibri Light" w:hAnsi="Calibri Light" w:cs="Calibri Light"/>
          <w:color w:val="000000"/>
        </w:rPr>
      </w:pPr>
      <w:r>
        <w:rPr>
          <w:rFonts w:ascii="Calibri Light" w:hAnsi="Calibri Light" w:cs="Calibri Light"/>
          <w:noProof/>
          <w:color w:val="000000"/>
          <w:sz w:val="28"/>
          <w:szCs w:val="28"/>
          <w:lang w:eastAsia="cs-CZ"/>
        </w:rPr>
        <w:drawing>
          <wp:inline distT="0" distB="0" distL="0" distR="0" wp14:anchorId="5C90010C" wp14:editId="1B850021">
            <wp:extent cx="5762625" cy="19526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1952625"/>
                    </a:xfrm>
                    <a:prstGeom prst="rect">
                      <a:avLst/>
                    </a:prstGeom>
                    <a:noFill/>
                    <a:ln>
                      <a:noFill/>
                    </a:ln>
                  </pic:spPr>
                </pic:pic>
              </a:graphicData>
            </a:graphic>
          </wp:inline>
        </w:drawing>
      </w:r>
    </w:p>
    <w:p w14:paraId="5F8BD7D6" w14:textId="77777777" w:rsidR="005775F0" w:rsidRDefault="005775F0">
      <w:pPr>
        <w:spacing w:after="160" w:line="259" w:lineRule="auto"/>
        <w:rPr>
          <w:rFonts w:ascii="Calibri Light" w:hAnsi="Calibri Light" w:cs="Calibri Light"/>
          <w:color w:val="000000"/>
        </w:rPr>
      </w:pPr>
      <w:r>
        <w:rPr>
          <w:rFonts w:ascii="Calibri Light" w:hAnsi="Calibri Light" w:cs="Calibri Light"/>
          <w:color w:val="000000"/>
        </w:rPr>
        <w:br w:type="page"/>
      </w:r>
    </w:p>
    <w:p w14:paraId="125BD249" w14:textId="77777777" w:rsidR="0033466E" w:rsidRPr="00DB6C92" w:rsidRDefault="00A640AE" w:rsidP="00183D64">
      <w:pPr>
        <w:pStyle w:val="Nadpis1"/>
        <w:spacing w:after="0" w:line="240" w:lineRule="auto"/>
      </w:pPr>
      <w:r w:rsidRPr="00DB6C92">
        <w:lastRenderedPageBreak/>
        <w:t>I. Shrnutí a vyhodnocení</w:t>
      </w:r>
    </w:p>
    <w:p w14:paraId="57B8D169" w14:textId="77777777" w:rsidR="00183D64" w:rsidRPr="007A29CA" w:rsidRDefault="00183D64" w:rsidP="00183D64">
      <w:pPr>
        <w:spacing w:after="0"/>
        <w:jc w:val="both"/>
      </w:pPr>
    </w:p>
    <w:p w14:paraId="59FA2054" w14:textId="4E3A494B" w:rsidR="007668FB" w:rsidRPr="00F94732" w:rsidRDefault="00A640AE" w:rsidP="007A7522">
      <w:pPr>
        <w:spacing w:after="0"/>
        <w:jc w:val="both"/>
        <w:rPr>
          <w:rFonts w:eastAsiaTheme="minorHAnsi" w:cs="Calibri"/>
        </w:rPr>
      </w:pPr>
      <w:r w:rsidRPr="00F94732">
        <w:rPr>
          <w:rFonts w:eastAsiaTheme="minorHAnsi" w:cs="Calibri"/>
        </w:rPr>
        <w:t xml:space="preserve">NKÚ prověřil průkaznost účetního zpracování, spolehlivost finančních informací na výstupu z účetní jednotky </w:t>
      </w:r>
      <w:r w:rsidR="0055132B">
        <w:rPr>
          <w:rFonts w:eastAsiaTheme="minorHAnsi" w:cs="Calibri"/>
        </w:rPr>
        <w:t xml:space="preserve">MMR za rok 2018 </w:t>
      </w:r>
      <w:r w:rsidRPr="00F94732">
        <w:rPr>
          <w:rFonts w:eastAsiaTheme="minorHAnsi" w:cs="Calibri"/>
        </w:rPr>
        <w:t xml:space="preserve">a dodržování vybraných </w:t>
      </w:r>
      <w:r w:rsidR="00EC339E">
        <w:rPr>
          <w:rFonts w:eastAsiaTheme="minorHAnsi" w:cs="Calibri"/>
        </w:rPr>
        <w:t>požadavků právních předpisů při</w:t>
      </w:r>
      <w:r w:rsidR="006E6758">
        <w:rPr>
          <w:rFonts w:eastAsiaTheme="minorHAnsi" w:cs="Calibri"/>
        </w:rPr>
        <w:t xml:space="preserve"> </w:t>
      </w:r>
      <w:r w:rsidRPr="00F94732">
        <w:rPr>
          <w:rFonts w:eastAsiaTheme="minorHAnsi" w:cs="Calibri"/>
        </w:rPr>
        <w:t>hospodaření s majetkem státu. Řádnost těchto postupů je základem řádného finančního řízení v souladu se zákonem č. 320/2001 Sb.</w:t>
      </w:r>
      <w:r w:rsidR="00291417" w:rsidRPr="00F94732">
        <w:rPr>
          <w:rFonts w:eastAsiaTheme="minorHAnsi" w:cs="Calibri"/>
        </w:rPr>
        <w:t>,</w:t>
      </w:r>
      <w:r w:rsidRPr="00F94732">
        <w:rPr>
          <w:rFonts w:eastAsiaTheme="minorHAnsi" w:cs="Calibri"/>
        </w:rPr>
        <w:t xml:space="preserve"> o finanční kontrole ve veřejné správě a o změně některých zákonů (zákon o finanční kontrole).</w:t>
      </w:r>
    </w:p>
    <w:p w14:paraId="6C67FD49" w14:textId="77777777" w:rsidR="001B7E65" w:rsidRPr="007A29CA" w:rsidRDefault="001B7E65" w:rsidP="001B7E65">
      <w:pPr>
        <w:spacing w:after="0"/>
        <w:jc w:val="both"/>
      </w:pPr>
    </w:p>
    <w:p w14:paraId="6C6CBC0C" w14:textId="0BDDA5B1" w:rsidR="0029520A" w:rsidRPr="00621846" w:rsidRDefault="00CD2FE1" w:rsidP="00171682">
      <w:pPr>
        <w:pStyle w:val="Nadpis2"/>
        <w:keepNext/>
        <w:numPr>
          <w:ilvl w:val="0"/>
          <w:numId w:val="0"/>
        </w:numPr>
        <w:spacing w:after="120" w:line="240" w:lineRule="auto"/>
        <w:ind w:left="284" w:hanging="284"/>
        <w:contextualSpacing w:val="0"/>
        <w:jc w:val="left"/>
        <w:rPr>
          <w:rFonts w:ascii="Calibri" w:hAnsi="Calibri" w:cs="Calibri"/>
        </w:rPr>
      </w:pPr>
      <w:r>
        <w:rPr>
          <w:rFonts w:ascii="Calibri" w:hAnsi="Calibri" w:cs="Calibri"/>
        </w:rPr>
        <w:t>1.</w:t>
      </w:r>
      <w:r w:rsidR="007A29CA" w:rsidRPr="001B7E65">
        <w:rPr>
          <w:rFonts w:ascii="Calibri" w:hAnsi="Calibri" w:cs="Calibri"/>
        </w:rPr>
        <w:t xml:space="preserve"> </w:t>
      </w:r>
      <w:r w:rsidR="00D966F6" w:rsidRPr="001B7E65">
        <w:rPr>
          <w:rFonts w:ascii="Calibri" w:hAnsi="Calibri" w:cs="Calibri"/>
        </w:rPr>
        <w:t>Vedení účetnictví a s</w:t>
      </w:r>
      <w:r w:rsidR="00A640AE" w:rsidRPr="001B7E65">
        <w:rPr>
          <w:rFonts w:ascii="Calibri" w:hAnsi="Calibri" w:cs="Calibri"/>
        </w:rPr>
        <w:t xml:space="preserve">polehlivost údajů </w:t>
      </w:r>
      <w:r w:rsidR="00410562">
        <w:rPr>
          <w:rFonts w:ascii="Calibri" w:hAnsi="Calibri" w:cs="Calibri"/>
        </w:rPr>
        <w:t>účetní závěrky MMR sestavené k 31.</w:t>
      </w:r>
      <w:r w:rsidR="00171682">
        <w:rPr>
          <w:rFonts w:ascii="Calibri" w:hAnsi="Calibri" w:cs="Calibri"/>
        </w:rPr>
        <w:t> </w:t>
      </w:r>
      <w:r w:rsidR="00410562">
        <w:rPr>
          <w:rFonts w:ascii="Calibri" w:hAnsi="Calibri" w:cs="Calibri"/>
        </w:rPr>
        <w:t>prosinci</w:t>
      </w:r>
      <w:r w:rsidR="00171682">
        <w:rPr>
          <w:rFonts w:ascii="Calibri" w:hAnsi="Calibri" w:cs="Calibri"/>
        </w:rPr>
        <w:t> </w:t>
      </w:r>
      <w:r w:rsidR="00410562">
        <w:rPr>
          <w:rFonts w:ascii="Calibri" w:hAnsi="Calibri" w:cs="Calibri"/>
        </w:rPr>
        <w:t>2018</w:t>
      </w:r>
    </w:p>
    <w:p w14:paraId="2277132B" w14:textId="667F3F3E" w:rsidR="005C6382" w:rsidRPr="001B7E65" w:rsidRDefault="005C6382" w:rsidP="005C6382">
      <w:pPr>
        <w:spacing w:after="0"/>
        <w:jc w:val="both"/>
        <w:rPr>
          <w:rFonts w:cs="Calibri"/>
          <w:b/>
        </w:rPr>
      </w:pPr>
      <w:r w:rsidRPr="001B7E65">
        <w:rPr>
          <w:rFonts w:cs="Calibri"/>
          <w:b/>
        </w:rPr>
        <w:t>M</w:t>
      </w:r>
      <w:r w:rsidR="001B7E65" w:rsidRPr="001B7E65">
        <w:rPr>
          <w:rFonts w:cs="Calibri"/>
          <w:b/>
        </w:rPr>
        <w:t>MR</w:t>
      </w:r>
      <w:r w:rsidRPr="001B7E65">
        <w:rPr>
          <w:rFonts w:cs="Calibri"/>
          <w:b/>
        </w:rPr>
        <w:t xml:space="preserve"> nevedlo v roce 2018 správné</w:t>
      </w:r>
      <w:r w:rsidR="001B7E65" w:rsidRPr="001B7E65">
        <w:rPr>
          <w:rFonts w:cs="Calibri"/>
          <w:b/>
        </w:rPr>
        <w:t xml:space="preserve">, </w:t>
      </w:r>
      <w:r w:rsidRPr="001B7E65">
        <w:rPr>
          <w:rFonts w:cs="Calibri"/>
          <w:b/>
        </w:rPr>
        <w:t>úplné</w:t>
      </w:r>
      <w:r w:rsidR="001B7E65" w:rsidRPr="001B7E65">
        <w:rPr>
          <w:rFonts w:cs="Calibri"/>
          <w:b/>
        </w:rPr>
        <w:t xml:space="preserve"> a průkazné</w:t>
      </w:r>
      <w:r w:rsidRPr="001B7E65">
        <w:rPr>
          <w:rFonts w:cs="Calibri"/>
          <w:b/>
        </w:rPr>
        <w:t xml:space="preserve"> účet</w:t>
      </w:r>
      <w:r w:rsidR="00413AA2">
        <w:rPr>
          <w:rFonts w:cs="Calibri"/>
          <w:b/>
        </w:rPr>
        <w:t>nictví ve smyslu ustanovení § 8 </w:t>
      </w:r>
      <w:r w:rsidRPr="001B7E65">
        <w:rPr>
          <w:rFonts w:cs="Calibri"/>
          <w:b/>
        </w:rPr>
        <w:t>zákona o účetnictví.</w:t>
      </w:r>
      <w:r w:rsidR="00C34CC0">
        <w:rPr>
          <w:rStyle w:val="Znakapoznpodarou"/>
          <w:rFonts w:cs="Calibri"/>
          <w:b/>
        </w:rPr>
        <w:footnoteReference w:id="7"/>
      </w:r>
    </w:p>
    <w:p w14:paraId="4D27275F" w14:textId="77777777" w:rsidR="00B30899" w:rsidRPr="00DB6C92" w:rsidRDefault="00B30899" w:rsidP="00B30899">
      <w:pPr>
        <w:spacing w:after="0"/>
        <w:jc w:val="both"/>
        <w:rPr>
          <w:rFonts w:eastAsiaTheme="minorHAnsi" w:cs="Calibri"/>
          <w:highlight w:val="yellow"/>
        </w:rPr>
      </w:pPr>
    </w:p>
    <w:p w14:paraId="721E3DAD" w14:textId="4F6CBA65" w:rsidR="009416E0" w:rsidRPr="002C7709" w:rsidRDefault="00A640AE" w:rsidP="00B30899">
      <w:pPr>
        <w:spacing w:after="0"/>
        <w:jc w:val="both"/>
        <w:rPr>
          <w:rFonts w:eastAsia="Calibri" w:cs="Calibri"/>
        </w:rPr>
      </w:pPr>
      <w:r w:rsidRPr="001B7E65">
        <w:rPr>
          <w:rFonts w:eastAsia="Calibri" w:cs="Calibri"/>
        </w:rPr>
        <w:t>V </w:t>
      </w:r>
      <w:r w:rsidR="00410562" w:rsidRPr="00D37A9B">
        <w:rPr>
          <w:rFonts w:cs="Calibri"/>
        </w:rPr>
        <w:t>účetní závěr</w:t>
      </w:r>
      <w:r w:rsidR="00410562">
        <w:rPr>
          <w:rFonts w:cs="Calibri"/>
        </w:rPr>
        <w:t>ce</w:t>
      </w:r>
      <w:r w:rsidR="00410562" w:rsidRPr="00D37A9B">
        <w:rPr>
          <w:rFonts w:cs="Calibri"/>
        </w:rPr>
        <w:t xml:space="preserve"> MMR sestavené k 31. prosinci 2018 (dále také „ÚZ“)</w:t>
      </w:r>
      <w:r w:rsidR="00E81474">
        <w:rPr>
          <w:rStyle w:val="Znakapoznpodarou"/>
          <w:rFonts w:cs="Calibri"/>
        </w:rPr>
        <w:footnoteReference w:id="8"/>
      </w:r>
      <w:r w:rsidRPr="001B7E65">
        <w:rPr>
          <w:rFonts w:eastAsia="Calibri" w:cs="Calibri"/>
        </w:rPr>
        <w:t xml:space="preserve"> bylo k</w:t>
      </w:r>
      <w:r w:rsidR="0033466E" w:rsidRPr="001B7E65">
        <w:rPr>
          <w:rFonts w:eastAsia="Calibri" w:cs="Calibri"/>
        </w:rPr>
        <w:t>ontrolou zjištěno, že některé informace M</w:t>
      </w:r>
      <w:r w:rsidR="001B7E65" w:rsidRPr="001B7E65">
        <w:rPr>
          <w:rFonts w:eastAsia="Calibri" w:cs="Calibri"/>
        </w:rPr>
        <w:t>MR</w:t>
      </w:r>
      <w:r w:rsidRPr="001B7E65">
        <w:rPr>
          <w:rFonts w:eastAsia="Calibri" w:cs="Calibri"/>
        </w:rPr>
        <w:t xml:space="preserve"> nevykázalo</w:t>
      </w:r>
      <w:r w:rsidR="0033466E" w:rsidRPr="001B7E65">
        <w:rPr>
          <w:rFonts w:eastAsia="Calibri" w:cs="Calibri"/>
        </w:rPr>
        <w:t xml:space="preserve"> v souladu s právními předpisy upravujícími vedení účetnictví</w:t>
      </w:r>
      <w:r w:rsidR="001C7DCC" w:rsidRPr="001B7E65">
        <w:rPr>
          <w:rFonts w:eastAsia="Calibri" w:cs="Calibri"/>
        </w:rPr>
        <w:t>. V údajích za běžn</w:t>
      </w:r>
      <w:r w:rsidR="00A42FE7" w:rsidRPr="001B7E65">
        <w:rPr>
          <w:rFonts w:eastAsia="Calibri" w:cs="Calibri"/>
        </w:rPr>
        <w:t>é účetní období byly zjištěny a </w:t>
      </w:r>
      <w:r w:rsidR="001C7DCC" w:rsidRPr="001B7E65">
        <w:rPr>
          <w:rFonts w:eastAsia="Calibri" w:cs="Calibri"/>
        </w:rPr>
        <w:t xml:space="preserve">vyčísleny nesprávnosti v celkové výši </w:t>
      </w:r>
      <w:r w:rsidR="001B7E65" w:rsidRPr="002C7709">
        <w:rPr>
          <w:rFonts w:eastAsia="Calibri" w:cs="Calibri"/>
          <w:b/>
        </w:rPr>
        <w:t>5</w:t>
      </w:r>
      <w:r w:rsidR="001C7DCC" w:rsidRPr="002C7709">
        <w:rPr>
          <w:rFonts w:eastAsia="Calibri" w:cs="Calibri"/>
          <w:b/>
        </w:rPr>
        <w:t> </w:t>
      </w:r>
      <w:r w:rsidR="001B7E65" w:rsidRPr="002C7709">
        <w:rPr>
          <w:rFonts w:eastAsia="Calibri" w:cs="Calibri"/>
          <w:b/>
        </w:rPr>
        <w:t>425</w:t>
      </w:r>
      <w:r w:rsidR="001C7DCC" w:rsidRPr="002C7709">
        <w:rPr>
          <w:rFonts w:eastAsia="Calibri" w:cs="Calibri"/>
          <w:b/>
        </w:rPr>
        <w:t xml:space="preserve"> mil. Kč.</w:t>
      </w:r>
      <w:r w:rsidR="001C7DCC" w:rsidRPr="002C7709">
        <w:rPr>
          <w:rFonts w:eastAsia="Calibri" w:cs="Calibri"/>
        </w:rPr>
        <w:t xml:space="preserve"> </w:t>
      </w:r>
      <w:r w:rsidR="00650CD7" w:rsidRPr="002C7709">
        <w:rPr>
          <w:rFonts w:eastAsia="Calibri" w:cs="Calibri"/>
        </w:rPr>
        <w:t>Blíže</w:t>
      </w:r>
      <w:r w:rsidR="001C7DCC" w:rsidRPr="002C7709">
        <w:rPr>
          <w:rFonts w:eastAsia="Calibri" w:cs="Calibri"/>
        </w:rPr>
        <w:t xml:space="preserve"> viz </w:t>
      </w:r>
      <w:r w:rsidR="001C7DCC" w:rsidRPr="00A71002">
        <w:rPr>
          <w:rFonts w:eastAsia="Calibri" w:cs="Calibri"/>
        </w:rPr>
        <w:t xml:space="preserve">část </w:t>
      </w:r>
      <w:r w:rsidR="00565349" w:rsidRPr="00A71002">
        <w:rPr>
          <w:rFonts w:eastAsia="Calibri" w:cs="Calibri"/>
        </w:rPr>
        <w:t>IV.</w:t>
      </w:r>
      <w:r w:rsidR="00D67801">
        <w:rPr>
          <w:rFonts w:eastAsia="Calibri" w:cs="Calibri"/>
        </w:rPr>
        <w:t>1</w:t>
      </w:r>
      <w:r w:rsidR="00C90E95">
        <w:rPr>
          <w:rFonts w:eastAsia="Calibri" w:cs="Calibri"/>
        </w:rPr>
        <w:t>.</w:t>
      </w:r>
      <w:r w:rsidR="001C7DCC" w:rsidRPr="00A71002">
        <w:rPr>
          <w:rFonts w:eastAsia="Calibri" w:cs="Calibri"/>
        </w:rPr>
        <w:t xml:space="preserve"> tohoto</w:t>
      </w:r>
      <w:r w:rsidR="001C7DCC" w:rsidRPr="002C7709">
        <w:rPr>
          <w:rFonts w:eastAsia="Calibri" w:cs="Calibri"/>
        </w:rPr>
        <w:t xml:space="preserve"> kontrolního závěru.</w:t>
      </w:r>
      <w:r w:rsidR="0033466E" w:rsidRPr="002C7709">
        <w:rPr>
          <w:rFonts w:eastAsia="Calibri" w:cs="Calibri"/>
        </w:rPr>
        <w:t xml:space="preserve"> </w:t>
      </w:r>
    </w:p>
    <w:p w14:paraId="0D3111B5" w14:textId="77777777" w:rsidR="001C7DCC" w:rsidRPr="00DB6C92" w:rsidRDefault="001C7DCC" w:rsidP="00B30899">
      <w:pPr>
        <w:spacing w:after="0"/>
        <w:jc w:val="both"/>
        <w:rPr>
          <w:rFonts w:eastAsia="Calibri" w:cs="Calibri"/>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2"/>
      </w:tblGrid>
      <w:tr w:rsidR="0050080C" w:rsidRPr="00DB6C92" w14:paraId="1ADF96D6" w14:textId="77777777" w:rsidTr="00C32A01">
        <w:tc>
          <w:tcPr>
            <w:tcW w:w="9062" w:type="dxa"/>
            <w:shd w:val="clear" w:color="auto" w:fill="E5F1FF"/>
          </w:tcPr>
          <w:p w14:paraId="2E8109F9" w14:textId="77777777" w:rsidR="00C32A01" w:rsidRDefault="00A640AE" w:rsidP="00C32A01">
            <w:pPr>
              <w:jc w:val="both"/>
              <w:rPr>
                <w:rFonts w:eastAsia="Calibri" w:cs="Calibri"/>
                <w:b/>
              </w:rPr>
            </w:pPr>
            <w:r w:rsidRPr="002C7709">
              <w:rPr>
                <w:rFonts w:eastAsia="Calibri" w:cs="Calibri"/>
                <w:b/>
              </w:rPr>
              <w:t>Při kontrole byly zjištěny nesprávnosti s významným dopadem na ÚZ</w:t>
            </w:r>
            <w:r w:rsidR="002C7709" w:rsidRPr="002C7709">
              <w:rPr>
                <w:rFonts w:eastAsia="Calibri" w:cs="Calibri"/>
                <w:b/>
              </w:rPr>
              <w:t>. Nejvýznamnější nesprávnosti</w:t>
            </w:r>
            <w:r w:rsidR="002257CC">
              <w:rPr>
                <w:rStyle w:val="Znakapoznpodarou"/>
                <w:rFonts w:eastAsia="Calibri" w:cs="Calibri"/>
                <w:b/>
              </w:rPr>
              <w:footnoteReference w:id="9"/>
            </w:r>
            <w:r w:rsidR="002C7709" w:rsidRPr="002C7709">
              <w:rPr>
                <w:rFonts w:eastAsia="Calibri" w:cs="Calibri"/>
                <w:b/>
              </w:rPr>
              <w:t xml:space="preserve"> byly způsobeny tím, že MMR:</w:t>
            </w:r>
          </w:p>
          <w:p w14:paraId="2768584B" w14:textId="61DC37AA" w:rsidR="002C7709" w:rsidRPr="002C7709" w:rsidRDefault="002C7709" w:rsidP="006E6758">
            <w:pPr>
              <w:pStyle w:val="Odstavecseseznamem"/>
              <w:numPr>
                <w:ilvl w:val="0"/>
                <w:numId w:val="10"/>
              </w:numPr>
              <w:ind w:left="314" w:hanging="314"/>
              <w:contextualSpacing w:val="0"/>
              <w:jc w:val="both"/>
              <w:rPr>
                <w:rFonts w:asciiTheme="minorHAnsi" w:hAnsiTheme="minorHAnsi" w:cstheme="minorHAnsi"/>
              </w:rPr>
            </w:pPr>
            <w:r w:rsidRPr="002C7709">
              <w:rPr>
                <w:rFonts w:asciiTheme="minorHAnsi" w:hAnsiTheme="minorHAnsi" w:cstheme="minorHAnsi"/>
                <w:b/>
              </w:rPr>
              <w:t>vedlo nesprávné účetnictví</w:t>
            </w:r>
            <w:r w:rsidRPr="002C7709">
              <w:rPr>
                <w:rFonts w:asciiTheme="minorHAnsi" w:hAnsiTheme="minorHAnsi" w:cstheme="minorHAnsi"/>
              </w:rPr>
              <w:t xml:space="preserve">, když o </w:t>
            </w:r>
            <w:r w:rsidRPr="002C7709">
              <w:rPr>
                <w:rFonts w:asciiTheme="minorHAnsi" w:hAnsiTheme="minorHAnsi" w:cstheme="minorHAnsi"/>
                <w:b/>
              </w:rPr>
              <w:t>nákladech z titulu poskytnutí dotace ze státního rozpočtu účtovalo na účtu 575</w:t>
            </w:r>
            <w:r w:rsidRPr="002C7709">
              <w:rPr>
                <w:rFonts w:asciiTheme="minorHAnsi" w:hAnsiTheme="minorHAnsi" w:cstheme="minorHAnsi"/>
              </w:rPr>
              <w:t xml:space="preserve"> – </w:t>
            </w:r>
            <w:r w:rsidRPr="002C7709">
              <w:rPr>
                <w:rFonts w:asciiTheme="minorHAnsi" w:hAnsiTheme="minorHAnsi" w:cstheme="minorHAnsi"/>
                <w:i/>
              </w:rPr>
              <w:t>Náklady vybraných ústředních vládních institucí na</w:t>
            </w:r>
            <w:r w:rsidR="006E6758">
              <w:rPr>
                <w:rFonts w:asciiTheme="minorHAnsi" w:hAnsiTheme="minorHAnsi" w:cstheme="minorHAnsi"/>
                <w:i/>
              </w:rPr>
              <w:t xml:space="preserve"> </w:t>
            </w:r>
            <w:r w:rsidRPr="002C7709">
              <w:rPr>
                <w:rFonts w:asciiTheme="minorHAnsi" w:hAnsiTheme="minorHAnsi" w:cstheme="minorHAnsi"/>
                <w:i/>
              </w:rPr>
              <w:t>předfinancování transferů</w:t>
            </w:r>
            <w:r w:rsidRPr="002C7709">
              <w:rPr>
                <w:rFonts w:asciiTheme="minorHAnsi" w:hAnsiTheme="minorHAnsi" w:cstheme="minorHAnsi"/>
              </w:rPr>
              <w:t xml:space="preserve"> </w:t>
            </w:r>
            <w:r w:rsidRPr="002C7709">
              <w:rPr>
                <w:rFonts w:asciiTheme="minorHAnsi" w:hAnsiTheme="minorHAnsi" w:cstheme="minorHAnsi"/>
                <w:b/>
              </w:rPr>
              <w:t>namísto na účtu 571</w:t>
            </w:r>
            <w:r w:rsidRPr="002C7709">
              <w:rPr>
                <w:rFonts w:asciiTheme="minorHAnsi" w:hAnsiTheme="minorHAnsi" w:cstheme="minorHAnsi"/>
              </w:rPr>
              <w:t xml:space="preserve"> – </w:t>
            </w:r>
            <w:r w:rsidRPr="002C7709">
              <w:rPr>
                <w:rFonts w:asciiTheme="minorHAnsi" w:hAnsiTheme="minorHAnsi" w:cstheme="minorHAnsi"/>
                <w:i/>
              </w:rPr>
              <w:t>Náklady vybraných ústředních vládních institucí na transfery</w:t>
            </w:r>
            <w:r w:rsidRPr="002C7709">
              <w:rPr>
                <w:rFonts w:asciiTheme="minorHAnsi" w:hAnsiTheme="minorHAnsi" w:cstheme="minorHAnsi"/>
              </w:rPr>
              <w:t xml:space="preserve">. Tento </w:t>
            </w:r>
            <w:r w:rsidRPr="002C7709">
              <w:rPr>
                <w:rFonts w:asciiTheme="minorHAnsi" w:hAnsiTheme="minorHAnsi" w:cstheme="minorHAnsi"/>
                <w:b/>
              </w:rPr>
              <w:t>systémový nedostatek</w:t>
            </w:r>
            <w:r w:rsidRPr="002C7709">
              <w:rPr>
                <w:rFonts w:asciiTheme="minorHAnsi" w:hAnsiTheme="minorHAnsi" w:cstheme="minorHAnsi"/>
              </w:rPr>
              <w:t xml:space="preserve"> byl vyčíslen </w:t>
            </w:r>
            <w:r w:rsidRPr="002C7709">
              <w:rPr>
                <w:rFonts w:asciiTheme="minorHAnsi" w:hAnsiTheme="minorHAnsi" w:cstheme="minorHAnsi"/>
                <w:b/>
              </w:rPr>
              <w:t>v částce 659 </w:t>
            </w:r>
            <w:r>
              <w:rPr>
                <w:rFonts w:asciiTheme="minorHAnsi" w:hAnsiTheme="minorHAnsi" w:cstheme="minorHAnsi"/>
                <w:b/>
              </w:rPr>
              <w:t>mil.</w:t>
            </w:r>
            <w:r w:rsidR="006E6758">
              <w:rPr>
                <w:rFonts w:asciiTheme="minorHAnsi" w:hAnsiTheme="minorHAnsi" w:cstheme="minorHAnsi"/>
                <w:b/>
              </w:rPr>
              <w:t> </w:t>
            </w:r>
            <w:r w:rsidRPr="002C7709">
              <w:rPr>
                <w:rFonts w:asciiTheme="minorHAnsi" w:hAnsiTheme="minorHAnsi" w:cstheme="minorHAnsi"/>
                <w:b/>
              </w:rPr>
              <w:t>Kč</w:t>
            </w:r>
            <w:r w:rsidRPr="002C7709">
              <w:rPr>
                <w:rFonts w:asciiTheme="minorHAnsi" w:hAnsiTheme="minorHAnsi" w:cstheme="minorHAnsi"/>
              </w:rPr>
              <w:t xml:space="preserve"> a</w:t>
            </w:r>
            <w:r w:rsidR="006E6758">
              <w:rPr>
                <w:rFonts w:asciiTheme="minorHAnsi" w:hAnsiTheme="minorHAnsi" w:cstheme="minorHAnsi"/>
              </w:rPr>
              <w:t> </w:t>
            </w:r>
            <w:r w:rsidRPr="002C7709">
              <w:rPr>
                <w:rFonts w:asciiTheme="minorHAnsi" w:hAnsiTheme="minorHAnsi" w:cstheme="minorHAnsi"/>
              </w:rPr>
              <w:t xml:space="preserve">měl dopad na správnost vykázaných zůstatků </w:t>
            </w:r>
            <w:r>
              <w:rPr>
                <w:rFonts w:asciiTheme="minorHAnsi" w:hAnsiTheme="minorHAnsi" w:cstheme="minorHAnsi"/>
              </w:rPr>
              <w:t>v</w:t>
            </w:r>
            <w:r w:rsidR="00413AA2">
              <w:rPr>
                <w:rFonts w:asciiTheme="minorHAnsi" w:hAnsiTheme="minorHAnsi" w:cstheme="minorHAnsi"/>
              </w:rPr>
              <w:t>ýkazu zisku a ztráty, tj. </w:t>
            </w:r>
            <w:r w:rsidRPr="002C7709">
              <w:rPr>
                <w:rFonts w:asciiTheme="minorHAnsi" w:hAnsiTheme="minorHAnsi" w:cstheme="minorHAnsi"/>
              </w:rPr>
              <w:t xml:space="preserve">účtu </w:t>
            </w:r>
            <w:r w:rsidR="0060076C">
              <w:rPr>
                <w:rFonts w:asciiTheme="minorHAnsi" w:hAnsiTheme="minorHAnsi" w:cstheme="minorHAnsi"/>
              </w:rPr>
              <w:br/>
            </w:r>
            <w:r w:rsidRPr="002C7709">
              <w:rPr>
                <w:rFonts w:asciiTheme="minorHAnsi" w:hAnsiTheme="minorHAnsi" w:cstheme="minorHAnsi"/>
              </w:rPr>
              <w:t xml:space="preserve">571 – </w:t>
            </w:r>
            <w:r w:rsidRPr="002C7709">
              <w:rPr>
                <w:rFonts w:asciiTheme="minorHAnsi" w:hAnsiTheme="minorHAnsi" w:cstheme="minorHAnsi"/>
                <w:i/>
              </w:rPr>
              <w:t>Náklady vybraných ústředních vládních institucí na transfery</w:t>
            </w:r>
            <w:r w:rsidRPr="002C7709">
              <w:rPr>
                <w:rFonts w:asciiTheme="minorHAnsi" w:hAnsiTheme="minorHAnsi" w:cstheme="minorHAnsi"/>
              </w:rPr>
              <w:t xml:space="preserve"> a</w:t>
            </w:r>
            <w:r w:rsidR="005F4DAE">
              <w:rPr>
                <w:rFonts w:asciiTheme="minorHAnsi" w:hAnsiTheme="minorHAnsi" w:cstheme="minorHAnsi"/>
              </w:rPr>
              <w:t> </w:t>
            </w:r>
            <w:r w:rsidRPr="002C7709">
              <w:rPr>
                <w:rFonts w:asciiTheme="minorHAnsi" w:hAnsiTheme="minorHAnsi" w:cstheme="minorHAnsi"/>
              </w:rPr>
              <w:t xml:space="preserve">575 – </w:t>
            </w:r>
            <w:r w:rsidRPr="002C7709">
              <w:rPr>
                <w:rFonts w:asciiTheme="minorHAnsi" w:hAnsiTheme="minorHAnsi" w:cstheme="minorHAnsi"/>
                <w:i/>
              </w:rPr>
              <w:t>Náklady vybraných ústředních vládních institucí na předfinancování transferů</w:t>
            </w:r>
            <w:r w:rsidR="00413AA2">
              <w:rPr>
                <w:rFonts w:asciiTheme="minorHAnsi" w:hAnsiTheme="minorHAnsi" w:cstheme="minorHAnsi"/>
                <w:i/>
              </w:rPr>
              <w:t>;</w:t>
            </w:r>
          </w:p>
          <w:p w14:paraId="69100FFB" w14:textId="59475C89" w:rsidR="002C7709" w:rsidRPr="002C7709" w:rsidRDefault="002C7709" w:rsidP="006E6758">
            <w:pPr>
              <w:pStyle w:val="Odstavecseseznamem"/>
              <w:numPr>
                <w:ilvl w:val="0"/>
                <w:numId w:val="10"/>
              </w:numPr>
              <w:ind w:left="314" w:hanging="314"/>
              <w:contextualSpacing w:val="0"/>
              <w:jc w:val="both"/>
              <w:rPr>
                <w:rFonts w:asciiTheme="minorHAnsi" w:hAnsiTheme="minorHAnsi" w:cstheme="minorHAnsi"/>
              </w:rPr>
            </w:pPr>
            <w:r w:rsidRPr="002C7709">
              <w:rPr>
                <w:rFonts w:asciiTheme="minorHAnsi" w:hAnsiTheme="minorHAnsi" w:cstheme="minorHAnsi"/>
                <w:b/>
              </w:rPr>
              <w:t>vedlo nesprávné účetnictví</w:t>
            </w:r>
            <w:r w:rsidRPr="002C7709">
              <w:rPr>
                <w:rFonts w:asciiTheme="minorHAnsi" w:hAnsiTheme="minorHAnsi" w:cstheme="minorHAnsi"/>
              </w:rPr>
              <w:t xml:space="preserve">, když </w:t>
            </w:r>
            <w:r w:rsidRPr="002C7709">
              <w:rPr>
                <w:rFonts w:asciiTheme="minorHAnsi" w:hAnsiTheme="minorHAnsi" w:cstheme="minorHAnsi"/>
                <w:b/>
              </w:rPr>
              <w:t>nesprávně účtovalo o opravách předcházejících účetních období</w:t>
            </w:r>
            <w:r w:rsidRPr="00F06243">
              <w:rPr>
                <w:rFonts w:asciiTheme="minorHAnsi" w:hAnsiTheme="minorHAnsi" w:cstheme="minorHAnsi"/>
                <w:b/>
              </w:rPr>
              <w:t>.</w:t>
            </w:r>
            <w:r w:rsidRPr="002C7709">
              <w:rPr>
                <w:rFonts w:asciiTheme="minorHAnsi" w:hAnsiTheme="minorHAnsi" w:cstheme="minorHAnsi"/>
              </w:rPr>
              <w:t xml:space="preserve"> Tento </w:t>
            </w:r>
            <w:r w:rsidRPr="002C7709">
              <w:rPr>
                <w:rFonts w:asciiTheme="minorHAnsi" w:hAnsiTheme="minorHAnsi" w:cstheme="minorHAnsi"/>
                <w:b/>
              </w:rPr>
              <w:t>systémový nedostatek</w:t>
            </w:r>
            <w:r w:rsidRPr="002C7709">
              <w:rPr>
                <w:rFonts w:asciiTheme="minorHAnsi" w:hAnsiTheme="minorHAnsi" w:cstheme="minorHAnsi"/>
              </w:rPr>
              <w:t xml:space="preserve"> byl vyčíslen </w:t>
            </w:r>
            <w:r w:rsidRPr="002C7709">
              <w:rPr>
                <w:rFonts w:asciiTheme="minorHAnsi" w:hAnsiTheme="minorHAnsi" w:cstheme="minorHAnsi"/>
                <w:b/>
              </w:rPr>
              <w:t>v částce 45</w:t>
            </w:r>
            <w:r>
              <w:rPr>
                <w:rFonts w:asciiTheme="minorHAnsi" w:hAnsiTheme="minorHAnsi" w:cstheme="minorHAnsi"/>
                <w:b/>
              </w:rPr>
              <w:t>3 mil.</w:t>
            </w:r>
            <w:r w:rsidRPr="002C7709">
              <w:rPr>
                <w:rFonts w:asciiTheme="minorHAnsi" w:hAnsiTheme="minorHAnsi" w:cstheme="minorHAnsi"/>
                <w:b/>
              </w:rPr>
              <w:t> Kč</w:t>
            </w:r>
            <w:r w:rsidR="00413AA2">
              <w:rPr>
                <w:rFonts w:asciiTheme="minorHAnsi" w:hAnsiTheme="minorHAnsi" w:cstheme="minorHAnsi"/>
              </w:rPr>
              <w:t xml:space="preserve"> a </w:t>
            </w:r>
            <w:r w:rsidRPr="002C7709">
              <w:rPr>
                <w:rFonts w:asciiTheme="minorHAnsi" w:hAnsiTheme="minorHAnsi" w:cstheme="minorHAnsi"/>
              </w:rPr>
              <w:t xml:space="preserve">měl dopad na správnost vykázaných zůstatků </w:t>
            </w:r>
            <w:r>
              <w:rPr>
                <w:rFonts w:asciiTheme="minorHAnsi" w:hAnsiTheme="minorHAnsi" w:cstheme="minorHAnsi"/>
              </w:rPr>
              <w:t>r</w:t>
            </w:r>
            <w:r w:rsidRPr="002C7709">
              <w:rPr>
                <w:rFonts w:asciiTheme="minorHAnsi" w:hAnsiTheme="minorHAnsi" w:cstheme="minorHAnsi"/>
              </w:rPr>
              <w:t xml:space="preserve">ozvahy a </w:t>
            </w:r>
            <w:r>
              <w:rPr>
                <w:rFonts w:asciiTheme="minorHAnsi" w:hAnsiTheme="minorHAnsi" w:cstheme="minorHAnsi"/>
              </w:rPr>
              <w:t>v</w:t>
            </w:r>
            <w:r w:rsidR="00413AA2">
              <w:rPr>
                <w:rFonts w:asciiTheme="minorHAnsi" w:hAnsiTheme="minorHAnsi" w:cstheme="minorHAnsi"/>
              </w:rPr>
              <w:t>ýkazu zisku a ztráty, tj. </w:t>
            </w:r>
            <w:r w:rsidRPr="002C7709">
              <w:rPr>
                <w:rFonts w:asciiTheme="minorHAnsi" w:hAnsiTheme="minorHAnsi" w:cstheme="minorHAnsi"/>
              </w:rPr>
              <w:t xml:space="preserve">zejména účtu 013 – </w:t>
            </w:r>
            <w:r w:rsidRPr="002C7709">
              <w:rPr>
                <w:rFonts w:asciiTheme="minorHAnsi" w:hAnsiTheme="minorHAnsi" w:cstheme="minorHAnsi"/>
                <w:i/>
              </w:rPr>
              <w:t>Software</w:t>
            </w:r>
            <w:r w:rsidRPr="002C7709">
              <w:rPr>
                <w:rFonts w:asciiTheme="minorHAnsi" w:hAnsiTheme="minorHAnsi" w:cstheme="minorHAnsi"/>
              </w:rPr>
              <w:t xml:space="preserve">, 401 – </w:t>
            </w:r>
            <w:r w:rsidRPr="002C7709">
              <w:rPr>
                <w:rFonts w:asciiTheme="minorHAnsi" w:hAnsiTheme="minorHAnsi" w:cstheme="minorHAnsi"/>
                <w:i/>
              </w:rPr>
              <w:t>Jmění účetní jednotky</w:t>
            </w:r>
            <w:r w:rsidRPr="002C7709">
              <w:rPr>
                <w:rFonts w:asciiTheme="minorHAnsi" w:hAnsiTheme="minorHAnsi" w:cstheme="minorHAnsi"/>
              </w:rPr>
              <w:t xml:space="preserve">, 408 – </w:t>
            </w:r>
            <w:r w:rsidRPr="002C7709">
              <w:rPr>
                <w:rFonts w:asciiTheme="minorHAnsi" w:hAnsiTheme="minorHAnsi" w:cstheme="minorHAnsi"/>
                <w:i/>
              </w:rPr>
              <w:t>Opravy předcházejících účetních období</w:t>
            </w:r>
            <w:r w:rsidRPr="002C7709">
              <w:rPr>
                <w:rFonts w:asciiTheme="minorHAnsi" w:hAnsiTheme="minorHAnsi" w:cstheme="minorHAnsi"/>
              </w:rPr>
              <w:t xml:space="preserve"> a účtu 551 – </w:t>
            </w:r>
            <w:r w:rsidRPr="002C7709">
              <w:rPr>
                <w:rFonts w:asciiTheme="minorHAnsi" w:hAnsiTheme="minorHAnsi" w:cstheme="minorHAnsi"/>
                <w:i/>
              </w:rPr>
              <w:t>Odpisy dlouhodobého majetku</w:t>
            </w:r>
            <w:r w:rsidR="00413AA2">
              <w:rPr>
                <w:rFonts w:asciiTheme="minorHAnsi" w:hAnsiTheme="minorHAnsi" w:cstheme="minorHAnsi"/>
                <w:i/>
              </w:rPr>
              <w:t>;</w:t>
            </w:r>
          </w:p>
          <w:p w14:paraId="28420F1D" w14:textId="1621C9BB" w:rsidR="002C7709" w:rsidRPr="002C7709" w:rsidRDefault="002C7709" w:rsidP="006E6758">
            <w:pPr>
              <w:pStyle w:val="Odstavecseseznamem"/>
              <w:numPr>
                <w:ilvl w:val="0"/>
                <w:numId w:val="10"/>
              </w:numPr>
              <w:ind w:left="314" w:hanging="314"/>
              <w:contextualSpacing w:val="0"/>
              <w:jc w:val="both"/>
              <w:rPr>
                <w:rFonts w:asciiTheme="minorHAnsi" w:hAnsiTheme="minorHAnsi" w:cstheme="minorHAnsi"/>
              </w:rPr>
            </w:pPr>
            <w:r w:rsidRPr="002C7709">
              <w:rPr>
                <w:rFonts w:asciiTheme="minorHAnsi" w:hAnsiTheme="minorHAnsi" w:cstheme="minorHAnsi"/>
                <w:b/>
              </w:rPr>
              <w:t>meziročně významně navýšilo významnost pro účtování na podrozvahových účtech, čímž došlo k významné neúplnosti</w:t>
            </w:r>
            <w:r w:rsidRPr="002C7709">
              <w:rPr>
                <w:rFonts w:asciiTheme="minorHAnsi" w:hAnsiTheme="minorHAnsi" w:cstheme="minorHAnsi"/>
              </w:rPr>
              <w:t xml:space="preserve"> na účtu 956 – </w:t>
            </w:r>
            <w:r w:rsidRPr="002C7709">
              <w:rPr>
                <w:rFonts w:asciiTheme="minorHAnsi" w:hAnsiTheme="minorHAnsi" w:cstheme="minorHAnsi"/>
                <w:i/>
              </w:rPr>
              <w:t>Ostatní dlouhodobé podmíněné závazky z transferů</w:t>
            </w:r>
            <w:r w:rsidRPr="002C7709">
              <w:rPr>
                <w:rFonts w:asciiTheme="minorHAnsi" w:hAnsiTheme="minorHAnsi" w:cstheme="minorHAnsi"/>
              </w:rPr>
              <w:t xml:space="preserve">, 986 – </w:t>
            </w:r>
            <w:r w:rsidRPr="002C7709">
              <w:rPr>
                <w:rFonts w:asciiTheme="minorHAnsi" w:hAnsiTheme="minorHAnsi" w:cstheme="minorHAnsi"/>
                <w:i/>
              </w:rPr>
              <w:t>Dlouhodobé podmíněné závazky ze soudních sporů, správních řízení a jiných řízení</w:t>
            </w:r>
            <w:r w:rsidRPr="002C7709">
              <w:rPr>
                <w:rFonts w:asciiTheme="minorHAnsi" w:hAnsiTheme="minorHAnsi" w:cstheme="minorHAnsi"/>
              </w:rPr>
              <w:t xml:space="preserve"> a 945 – </w:t>
            </w:r>
            <w:r w:rsidRPr="002C7709">
              <w:rPr>
                <w:rFonts w:asciiTheme="minorHAnsi" w:hAnsiTheme="minorHAnsi" w:cstheme="minorHAnsi"/>
                <w:i/>
              </w:rPr>
              <w:t xml:space="preserve">Dlouhodobé podmíněné úhrady pohledávek z přijatých </w:t>
            </w:r>
            <w:r w:rsidRPr="002C7709">
              <w:rPr>
                <w:rFonts w:asciiTheme="minorHAnsi" w:hAnsiTheme="minorHAnsi" w:cstheme="minorHAnsi"/>
                <w:i/>
              </w:rPr>
              <w:lastRenderedPageBreak/>
              <w:t>zajištění</w:t>
            </w:r>
            <w:r w:rsidRPr="002C7709">
              <w:rPr>
                <w:rFonts w:asciiTheme="minorHAnsi" w:hAnsiTheme="minorHAnsi" w:cstheme="minorHAnsi"/>
              </w:rPr>
              <w:t xml:space="preserve"> minimálně ve výši</w:t>
            </w:r>
            <w:r w:rsidRPr="002C7709">
              <w:rPr>
                <w:rFonts w:asciiTheme="minorHAnsi" w:hAnsiTheme="minorHAnsi" w:cstheme="minorHAnsi"/>
                <w:b/>
              </w:rPr>
              <w:t xml:space="preserve"> 1</w:t>
            </w:r>
            <w:r>
              <w:rPr>
                <w:rFonts w:asciiTheme="minorHAnsi" w:hAnsiTheme="minorHAnsi" w:cstheme="minorHAnsi"/>
                <w:b/>
              </w:rPr>
              <w:t> </w:t>
            </w:r>
            <w:r w:rsidRPr="002C7709">
              <w:rPr>
                <w:rFonts w:asciiTheme="minorHAnsi" w:hAnsiTheme="minorHAnsi" w:cstheme="minorHAnsi"/>
                <w:b/>
              </w:rPr>
              <w:t>53</w:t>
            </w:r>
            <w:r>
              <w:rPr>
                <w:rFonts w:asciiTheme="minorHAnsi" w:hAnsiTheme="minorHAnsi" w:cstheme="minorHAnsi"/>
                <w:b/>
              </w:rPr>
              <w:t>7 mil.</w:t>
            </w:r>
            <w:r w:rsidRPr="002C7709">
              <w:rPr>
                <w:rFonts w:asciiTheme="minorHAnsi" w:hAnsiTheme="minorHAnsi" w:cstheme="minorHAnsi"/>
                <w:b/>
              </w:rPr>
              <w:t xml:space="preserve"> Kč</w:t>
            </w:r>
            <w:r w:rsidRPr="002C7709" w:rsidDel="005C252E">
              <w:rPr>
                <w:rFonts w:asciiTheme="minorHAnsi" w:hAnsiTheme="minorHAnsi" w:cstheme="minorHAnsi"/>
                <w:b/>
              </w:rPr>
              <w:t xml:space="preserve"> </w:t>
            </w:r>
            <w:r w:rsidRPr="002C7709">
              <w:rPr>
                <w:rFonts w:asciiTheme="minorHAnsi" w:hAnsiTheme="minorHAnsi" w:cstheme="minorHAnsi"/>
              </w:rPr>
              <w:t xml:space="preserve">a </w:t>
            </w:r>
            <w:r w:rsidRPr="002C7709">
              <w:rPr>
                <w:rFonts w:asciiTheme="minorHAnsi" w:hAnsiTheme="minorHAnsi" w:cstheme="minorHAnsi"/>
                <w:b/>
              </w:rPr>
              <w:t>k vykázání informací v </w:t>
            </w:r>
            <w:r>
              <w:rPr>
                <w:rFonts w:asciiTheme="minorHAnsi" w:hAnsiTheme="minorHAnsi" w:cstheme="minorHAnsi"/>
                <w:b/>
              </w:rPr>
              <w:t>p</w:t>
            </w:r>
            <w:r w:rsidRPr="002C7709">
              <w:rPr>
                <w:rFonts w:asciiTheme="minorHAnsi" w:hAnsiTheme="minorHAnsi" w:cstheme="minorHAnsi"/>
                <w:b/>
              </w:rPr>
              <w:t>říloze ÚZ, které nebyly srovnatelné, srozumitelné a spolehlivé</w:t>
            </w:r>
            <w:r w:rsidR="00413AA2">
              <w:rPr>
                <w:rFonts w:asciiTheme="minorHAnsi" w:hAnsiTheme="minorHAnsi" w:cstheme="minorHAnsi"/>
                <w:b/>
              </w:rPr>
              <w:t>;</w:t>
            </w:r>
          </w:p>
          <w:p w14:paraId="094A99D7" w14:textId="01551B88" w:rsidR="002C7709" w:rsidRPr="002C7709" w:rsidRDefault="002C7709" w:rsidP="0060076C">
            <w:pPr>
              <w:pStyle w:val="Odstavecseseznamem"/>
              <w:numPr>
                <w:ilvl w:val="0"/>
                <w:numId w:val="10"/>
              </w:numPr>
              <w:ind w:left="314" w:hanging="284"/>
              <w:contextualSpacing w:val="0"/>
              <w:jc w:val="both"/>
              <w:rPr>
                <w:rFonts w:asciiTheme="minorHAnsi" w:hAnsiTheme="minorHAnsi" w:cstheme="minorHAnsi"/>
              </w:rPr>
            </w:pPr>
            <w:r w:rsidRPr="002C7709">
              <w:rPr>
                <w:rFonts w:asciiTheme="minorHAnsi" w:hAnsiTheme="minorHAnsi" w:cstheme="minorHAnsi"/>
                <w:b/>
              </w:rPr>
              <w:t>vedlo neúplné účetnictví</w:t>
            </w:r>
            <w:r w:rsidRPr="002C7709">
              <w:rPr>
                <w:rFonts w:asciiTheme="minorHAnsi" w:hAnsiTheme="minorHAnsi" w:cstheme="minorHAnsi"/>
              </w:rPr>
              <w:t xml:space="preserve">, když </w:t>
            </w:r>
            <w:r w:rsidRPr="002C7709">
              <w:rPr>
                <w:rFonts w:asciiTheme="minorHAnsi" w:hAnsiTheme="minorHAnsi" w:cstheme="minorHAnsi"/>
                <w:b/>
              </w:rPr>
              <w:t>neúčtovalo o vzniku významných podmíněných závazků z titulu existujících soudních sporů</w:t>
            </w:r>
            <w:r>
              <w:rPr>
                <w:rStyle w:val="Znakapoznpodarou"/>
                <w:rFonts w:asciiTheme="minorHAnsi" w:hAnsiTheme="minorHAnsi" w:cstheme="minorHAnsi"/>
                <w:b/>
              </w:rPr>
              <w:footnoteReference w:id="10"/>
            </w:r>
            <w:r w:rsidRPr="002C7709">
              <w:rPr>
                <w:rFonts w:asciiTheme="minorHAnsi" w:hAnsiTheme="minorHAnsi" w:cstheme="minorHAnsi"/>
              </w:rPr>
              <w:t xml:space="preserve">. Tento </w:t>
            </w:r>
            <w:r w:rsidRPr="002C7709">
              <w:rPr>
                <w:rFonts w:asciiTheme="minorHAnsi" w:hAnsiTheme="minorHAnsi" w:cstheme="minorHAnsi"/>
                <w:b/>
              </w:rPr>
              <w:t>nedostatek</w:t>
            </w:r>
            <w:r w:rsidRPr="002C7709">
              <w:rPr>
                <w:rFonts w:asciiTheme="minorHAnsi" w:hAnsiTheme="minorHAnsi" w:cstheme="minorHAnsi"/>
              </w:rPr>
              <w:t xml:space="preserve"> byl vyčíslen </w:t>
            </w:r>
            <w:r w:rsidRPr="002C7709">
              <w:rPr>
                <w:rFonts w:asciiTheme="minorHAnsi" w:hAnsiTheme="minorHAnsi" w:cstheme="minorHAnsi"/>
                <w:b/>
              </w:rPr>
              <w:t>v částce 28</w:t>
            </w:r>
            <w:r>
              <w:rPr>
                <w:rFonts w:asciiTheme="minorHAnsi" w:hAnsiTheme="minorHAnsi" w:cstheme="minorHAnsi"/>
                <w:b/>
              </w:rPr>
              <w:t>8</w:t>
            </w:r>
            <w:r w:rsidRPr="002C7709">
              <w:rPr>
                <w:rFonts w:asciiTheme="minorHAnsi" w:hAnsiTheme="minorHAnsi" w:cstheme="minorHAnsi"/>
                <w:b/>
              </w:rPr>
              <w:t> </w:t>
            </w:r>
            <w:r>
              <w:rPr>
                <w:rFonts w:asciiTheme="minorHAnsi" w:hAnsiTheme="minorHAnsi" w:cstheme="minorHAnsi"/>
                <w:b/>
              </w:rPr>
              <w:t>mil.</w:t>
            </w:r>
            <w:r w:rsidRPr="002C7709">
              <w:rPr>
                <w:rFonts w:asciiTheme="minorHAnsi" w:hAnsiTheme="minorHAnsi" w:cstheme="minorHAnsi"/>
                <w:b/>
              </w:rPr>
              <w:t xml:space="preserve"> Kč</w:t>
            </w:r>
            <w:r w:rsidRPr="002C7709">
              <w:rPr>
                <w:rFonts w:asciiTheme="minorHAnsi" w:hAnsiTheme="minorHAnsi" w:cstheme="minorHAnsi"/>
              </w:rPr>
              <w:t xml:space="preserve"> a měl dopad na správnost vykázaného zůstatku </w:t>
            </w:r>
            <w:r>
              <w:rPr>
                <w:rFonts w:asciiTheme="minorHAnsi" w:hAnsiTheme="minorHAnsi" w:cstheme="minorHAnsi"/>
              </w:rPr>
              <w:t>p</w:t>
            </w:r>
            <w:r w:rsidRPr="002C7709">
              <w:rPr>
                <w:rFonts w:asciiTheme="minorHAnsi" w:hAnsiTheme="minorHAnsi" w:cstheme="minorHAnsi"/>
              </w:rPr>
              <w:t xml:space="preserve">řílohy, tj. účtu 986 – </w:t>
            </w:r>
            <w:r w:rsidRPr="002C7709">
              <w:rPr>
                <w:rFonts w:asciiTheme="minorHAnsi" w:hAnsiTheme="minorHAnsi" w:cstheme="minorHAnsi"/>
                <w:i/>
              </w:rPr>
              <w:t>Dlouhodobé podmíněné závazky ze soudních sporů, správních řízení a jiných řízení</w:t>
            </w:r>
            <w:r w:rsidR="00413AA2">
              <w:rPr>
                <w:rFonts w:asciiTheme="minorHAnsi" w:hAnsiTheme="minorHAnsi" w:cstheme="minorHAnsi"/>
                <w:i/>
              </w:rPr>
              <w:t>;</w:t>
            </w:r>
          </w:p>
          <w:p w14:paraId="0DFC7977" w14:textId="282AA403" w:rsidR="002C7709" w:rsidRPr="002C7709" w:rsidRDefault="002C7709" w:rsidP="0060076C">
            <w:pPr>
              <w:pStyle w:val="Odstavecseseznamem"/>
              <w:numPr>
                <w:ilvl w:val="0"/>
                <w:numId w:val="10"/>
              </w:numPr>
              <w:ind w:left="314" w:hanging="284"/>
              <w:contextualSpacing w:val="0"/>
              <w:jc w:val="both"/>
              <w:rPr>
                <w:rFonts w:asciiTheme="minorHAnsi" w:hAnsiTheme="minorHAnsi" w:cstheme="minorHAnsi"/>
              </w:rPr>
            </w:pPr>
            <w:r w:rsidRPr="002C7709">
              <w:rPr>
                <w:rFonts w:asciiTheme="minorHAnsi" w:hAnsiTheme="minorHAnsi" w:cstheme="minorHAnsi"/>
                <w:b/>
              </w:rPr>
              <w:t>vedlo nesprávné účetnictví</w:t>
            </w:r>
            <w:r w:rsidRPr="002C7709">
              <w:rPr>
                <w:rFonts w:asciiTheme="minorHAnsi" w:hAnsiTheme="minorHAnsi" w:cstheme="minorHAnsi"/>
              </w:rPr>
              <w:t>, když</w:t>
            </w:r>
            <w:r w:rsidRPr="002C7709">
              <w:rPr>
                <w:rFonts w:asciiTheme="minorHAnsi" w:hAnsiTheme="minorHAnsi" w:cstheme="minorHAnsi"/>
                <w:b/>
              </w:rPr>
              <w:t xml:space="preserve"> účtovalo o tvorbě rezerv až v okamžiku, kdy již MMR vznikl konkrétní vyčíslený závazek </w:t>
            </w:r>
            <w:r w:rsidRPr="002C7709">
              <w:rPr>
                <w:rFonts w:asciiTheme="minorHAnsi" w:hAnsiTheme="minorHAnsi" w:cstheme="minorHAnsi"/>
              </w:rPr>
              <w:t>vyplývající z pravomocného platebního výměru</w:t>
            </w:r>
            <w:r w:rsidRPr="002C7709">
              <w:rPr>
                <w:rFonts w:asciiTheme="minorHAnsi" w:hAnsiTheme="minorHAnsi" w:cstheme="minorHAnsi"/>
                <w:b/>
              </w:rPr>
              <w:t xml:space="preserve"> a</w:t>
            </w:r>
            <w:r w:rsidR="0060076C">
              <w:rPr>
                <w:rFonts w:asciiTheme="minorHAnsi" w:hAnsiTheme="minorHAnsi" w:cstheme="minorHAnsi"/>
                <w:b/>
              </w:rPr>
              <w:t> </w:t>
            </w:r>
            <w:r w:rsidRPr="002C7709">
              <w:rPr>
                <w:rFonts w:asciiTheme="minorHAnsi" w:hAnsiTheme="minorHAnsi" w:cstheme="minorHAnsi"/>
                <w:b/>
              </w:rPr>
              <w:t xml:space="preserve">související náklad </w:t>
            </w:r>
            <w:r w:rsidRPr="002C7709">
              <w:rPr>
                <w:rFonts w:asciiTheme="minorHAnsi" w:hAnsiTheme="minorHAnsi" w:cstheme="minorHAnsi"/>
              </w:rPr>
              <w:t xml:space="preserve">z titulu odvodu a penále za porušení rozpočtové kázně. Tento </w:t>
            </w:r>
            <w:r w:rsidRPr="002C7709">
              <w:rPr>
                <w:rFonts w:asciiTheme="minorHAnsi" w:hAnsiTheme="minorHAnsi" w:cstheme="minorHAnsi"/>
                <w:b/>
              </w:rPr>
              <w:t>systémový nedostatek</w:t>
            </w:r>
            <w:r w:rsidRPr="002C7709">
              <w:rPr>
                <w:rFonts w:asciiTheme="minorHAnsi" w:hAnsiTheme="minorHAnsi" w:cstheme="minorHAnsi"/>
              </w:rPr>
              <w:t xml:space="preserve"> byl vyčíslen </w:t>
            </w:r>
            <w:r w:rsidRPr="002C7709">
              <w:rPr>
                <w:rFonts w:asciiTheme="minorHAnsi" w:hAnsiTheme="minorHAnsi" w:cstheme="minorHAnsi"/>
                <w:b/>
              </w:rPr>
              <w:t xml:space="preserve">v částce </w:t>
            </w:r>
            <w:r>
              <w:rPr>
                <w:rFonts w:asciiTheme="minorHAnsi" w:hAnsiTheme="minorHAnsi" w:cstheme="minorHAnsi"/>
                <w:b/>
              </w:rPr>
              <w:t>209</w:t>
            </w:r>
            <w:r w:rsidRPr="002C7709">
              <w:rPr>
                <w:rFonts w:asciiTheme="minorHAnsi" w:hAnsiTheme="minorHAnsi" w:cstheme="minorHAnsi"/>
                <w:b/>
              </w:rPr>
              <w:t> </w:t>
            </w:r>
            <w:r>
              <w:rPr>
                <w:rFonts w:asciiTheme="minorHAnsi" w:hAnsiTheme="minorHAnsi" w:cstheme="minorHAnsi"/>
                <w:b/>
              </w:rPr>
              <w:t>mil.</w:t>
            </w:r>
            <w:r w:rsidRPr="002C7709">
              <w:rPr>
                <w:rFonts w:asciiTheme="minorHAnsi" w:hAnsiTheme="minorHAnsi" w:cstheme="minorHAnsi"/>
                <w:b/>
              </w:rPr>
              <w:t xml:space="preserve"> Kč</w:t>
            </w:r>
            <w:r w:rsidRPr="002C7709">
              <w:rPr>
                <w:rFonts w:asciiTheme="minorHAnsi" w:hAnsiTheme="minorHAnsi" w:cstheme="minorHAnsi"/>
              </w:rPr>
              <w:t xml:space="preserve"> a měl dopad na správnost vykázaných zůstatků </w:t>
            </w:r>
            <w:r>
              <w:rPr>
                <w:rFonts w:asciiTheme="minorHAnsi" w:hAnsiTheme="minorHAnsi" w:cstheme="minorHAnsi"/>
              </w:rPr>
              <w:t>r</w:t>
            </w:r>
            <w:r w:rsidRPr="002C7709">
              <w:rPr>
                <w:rFonts w:asciiTheme="minorHAnsi" w:hAnsiTheme="minorHAnsi" w:cstheme="minorHAnsi"/>
              </w:rPr>
              <w:t xml:space="preserve">ozvahy a </w:t>
            </w:r>
            <w:r>
              <w:rPr>
                <w:rFonts w:asciiTheme="minorHAnsi" w:hAnsiTheme="minorHAnsi" w:cstheme="minorHAnsi"/>
              </w:rPr>
              <w:t>v</w:t>
            </w:r>
            <w:r w:rsidRPr="002C7709">
              <w:rPr>
                <w:rFonts w:asciiTheme="minorHAnsi" w:hAnsiTheme="minorHAnsi" w:cstheme="minorHAnsi"/>
              </w:rPr>
              <w:t xml:space="preserve">ýkazu zisku a ztráty, tj. účtů 441 – </w:t>
            </w:r>
            <w:r w:rsidRPr="002C7709">
              <w:rPr>
                <w:rFonts w:asciiTheme="minorHAnsi" w:hAnsiTheme="minorHAnsi" w:cstheme="minorHAnsi"/>
                <w:i/>
              </w:rPr>
              <w:t>Rezervy</w:t>
            </w:r>
            <w:r w:rsidRPr="002C7709">
              <w:rPr>
                <w:rFonts w:asciiTheme="minorHAnsi" w:hAnsiTheme="minorHAnsi" w:cstheme="minorHAnsi"/>
              </w:rPr>
              <w:t xml:space="preserve">, 347 – </w:t>
            </w:r>
            <w:r w:rsidRPr="002C7709">
              <w:rPr>
                <w:rFonts w:asciiTheme="minorHAnsi" w:hAnsiTheme="minorHAnsi" w:cstheme="minorHAnsi"/>
                <w:i/>
              </w:rPr>
              <w:t>Závazky k vybraným ústředním vládním institucím</w:t>
            </w:r>
            <w:r w:rsidRPr="002C7709">
              <w:rPr>
                <w:rFonts w:asciiTheme="minorHAnsi" w:hAnsiTheme="minorHAnsi" w:cstheme="minorHAnsi"/>
              </w:rPr>
              <w:t xml:space="preserve">, 542 – </w:t>
            </w:r>
            <w:r w:rsidRPr="002C7709">
              <w:rPr>
                <w:rFonts w:asciiTheme="minorHAnsi" w:hAnsiTheme="minorHAnsi" w:cstheme="minorHAnsi"/>
                <w:i/>
              </w:rPr>
              <w:t>Jiné pokuty a penále</w:t>
            </w:r>
            <w:r w:rsidRPr="002C7709">
              <w:rPr>
                <w:rFonts w:asciiTheme="minorHAnsi" w:hAnsiTheme="minorHAnsi" w:cstheme="minorHAnsi"/>
              </w:rPr>
              <w:t xml:space="preserve"> a 555 – </w:t>
            </w:r>
            <w:r w:rsidRPr="002C7709">
              <w:rPr>
                <w:rFonts w:asciiTheme="minorHAnsi" w:hAnsiTheme="minorHAnsi" w:cstheme="minorHAnsi"/>
                <w:i/>
              </w:rPr>
              <w:t>Tvorba a</w:t>
            </w:r>
            <w:r w:rsidR="0060076C">
              <w:rPr>
                <w:rFonts w:asciiTheme="minorHAnsi" w:hAnsiTheme="minorHAnsi" w:cstheme="minorHAnsi"/>
                <w:i/>
              </w:rPr>
              <w:t> </w:t>
            </w:r>
            <w:r w:rsidRPr="002C7709">
              <w:rPr>
                <w:rFonts w:asciiTheme="minorHAnsi" w:hAnsiTheme="minorHAnsi" w:cstheme="minorHAnsi"/>
                <w:i/>
              </w:rPr>
              <w:t>zúčtování rezerv</w:t>
            </w:r>
            <w:r w:rsidR="00413AA2">
              <w:rPr>
                <w:rFonts w:asciiTheme="minorHAnsi" w:hAnsiTheme="minorHAnsi" w:cstheme="minorHAnsi"/>
                <w:i/>
              </w:rPr>
              <w:t>;</w:t>
            </w:r>
          </w:p>
          <w:p w14:paraId="29CC9217" w14:textId="05048055" w:rsidR="002C7709" w:rsidRPr="002C7709" w:rsidRDefault="002C7709" w:rsidP="0060076C">
            <w:pPr>
              <w:pStyle w:val="Odstavecseseznamem"/>
              <w:numPr>
                <w:ilvl w:val="0"/>
                <w:numId w:val="10"/>
              </w:numPr>
              <w:spacing w:after="0"/>
              <w:ind w:left="314" w:hanging="284"/>
              <w:contextualSpacing w:val="0"/>
              <w:jc w:val="both"/>
              <w:rPr>
                <w:rFonts w:asciiTheme="minorHAnsi" w:hAnsiTheme="minorHAnsi" w:cstheme="minorHAnsi"/>
              </w:rPr>
            </w:pPr>
            <w:r w:rsidRPr="002C7709">
              <w:rPr>
                <w:rFonts w:asciiTheme="minorHAnsi" w:hAnsiTheme="minorHAnsi" w:cstheme="minorHAnsi"/>
                <w:b/>
              </w:rPr>
              <w:t>vedlo nesprávné účetnictví</w:t>
            </w:r>
            <w:r w:rsidRPr="002C7709">
              <w:rPr>
                <w:rFonts w:asciiTheme="minorHAnsi" w:hAnsiTheme="minorHAnsi" w:cstheme="minorHAnsi"/>
              </w:rPr>
              <w:t>, když</w:t>
            </w:r>
            <w:r w:rsidRPr="002C7709">
              <w:rPr>
                <w:rFonts w:asciiTheme="minorHAnsi" w:hAnsiTheme="minorHAnsi" w:cstheme="minorHAnsi"/>
                <w:b/>
              </w:rPr>
              <w:t xml:space="preserve"> v přehledu o změnách vlastního kapitálu vykázalo poskytování peněžních prostředků zřízeným příspěvkovým organizacím a odvod vratek dotací a likvidačního zůstatku na bankovní účet MF jako změnu příslušnosti hospodařit s majetkem státu </w:t>
            </w:r>
            <w:r w:rsidRPr="002C7709">
              <w:rPr>
                <w:rFonts w:asciiTheme="minorHAnsi" w:hAnsiTheme="minorHAnsi" w:cstheme="minorHAnsi"/>
              </w:rPr>
              <w:t>či jako vznik nebo zánik vlastnického práva státu podle zákona</w:t>
            </w:r>
            <w:r w:rsidR="005A6A6F">
              <w:rPr>
                <w:rFonts w:asciiTheme="minorHAnsi" w:hAnsiTheme="minorHAnsi" w:cstheme="minorHAnsi"/>
              </w:rPr>
              <w:t xml:space="preserve"> č.</w:t>
            </w:r>
            <w:r w:rsidR="0060076C">
              <w:rPr>
                <w:rFonts w:asciiTheme="minorHAnsi" w:hAnsiTheme="minorHAnsi" w:cstheme="minorHAnsi"/>
              </w:rPr>
              <w:t> </w:t>
            </w:r>
            <w:r w:rsidR="005A6A6F">
              <w:rPr>
                <w:rFonts w:asciiTheme="minorHAnsi" w:hAnsiTheme="minorHAnsi" w:cstheme="minorHAnsi"/>
              </w:rPr>
              <w:t>219/2000 Sb.,</w:t>
            </w:r>
            <w:r w:rsidRPr="002C7709">
              <w:rPr>
                <w:rFonts w:asciiTheme="minorHAnsi" w:hAnsiTheme="minorHAnsi" w:cstheme="minorHAnsi"/>
              </w:rPr>
              <w:t xml:space="preserve"> o majetku</w:t>
            </w:r>
            <w:r w:rsidR="005A6A6F">
              <w:rPr>
                <w:rFonts w:asciiTheme="minorHAnsi" w:hAnsiTheme="minorHAnsi" w:cstheme="minorHAnsi"/>
              </w:rPr>
              <w:t xml:space="preserve"> České republiky a jejím vystupování v právních vztazích (dále </w:t>
            </w:r>
            <w:r w:rsidR="008C54C3">
              <w:rPr>
                <w:rFonts w:asciiTheme="minorHAnsi" w:hAnsiTheme="minorHAnsi" w:cstheme="minorHAnsi"/>
              </w:rPr>
              <w:t xml:space="preserve">také </w:t>
            </w:r>
            <w:r w:rsidR="005A6A6F">
              <w:rPr>
                <w:rFonts w:asciiTheme="minorHAnsi" w:hAnsiTheme="minorHAnsi" w:cstheme="minorHAnsi"/>
              </w:rPr>
              <w:t>„zákon o majetku“)</w:t>
            </w:r>
            <w:r w:rsidRPr="002C7709">
              <w:rPr>
                <w:rFonts w:asciiTheme="minorHAnsi" w:hAnsiTheme="minorHAnsi" w:cstheme="minorHAnsi"/>
              </w:rPr>
              <w:t>.</w:t>
            </w:r>
            <w:r w:rsidRPr="00F06243">
              <w:rPr>
                <w:rFonts w:asciiTheme="minorHAnsi" w:hAnsiTheme="minorHAnsi" w:cstheme="minorHAnsi"/>
              </w:rPr>
              <w:t xml:space="preserve"> </w:t>
            </w:r>
            <w:r w:rsidRPr="002C7709">
              <w:rPr>
                <w:rFonts w:asciiTheme="minorHAnsi" w:hAnsiTheme="minorHAnsi" w:cstheme="minorHAnsi"/>
              </w:rPr>
              <w:t xml:space="preserve">Tento </w:t>
            </w:r>
            <w:r w:rsidRPr="002C7709">
              <w:rPr>
                <w:rFonts w:asciiTheme="minorHAnsi" w:hAnsiTheme="minorHAnsi" w:cstheme="minorHAnsi"/>
                <w:b/>
              </w:rPr>
              <w:t>systémový nedostatek</w:t>
            </w:r>
            <w:r w:rsidRPr="002C7709">
              <w:rPr>
                <w:rFonts w:asciiTheme="minorHAnsi" w:hAnsiTheme="minorHAnsi" w:cstheme="minorHAnsi"/>
              </w:rPr>
              <w:t xml:space="preserve"> byl vyčíslen </w:t>
            </w:r>
            <w:r w:rsidRPr="002C7709">
              <w:rPr>
                <w:rFonts w:asciiTheme="minorHAnsi" w:hAnsiTheme="minorHAnsi" w:cstheme="minorHAnsi"/>
                <w:b/>
              </w:rPr>
              <w:t>v částce 208 </w:t>
            </w:r>
            <w:r>
              <w:rPr>
                <w:rFonts w:asciiTheme="minorHAnsi" w:hAnsiTheme="minorHAnsi" w:cstheme="minorHAnsi"/>
                <w:b/>
              </w:rPr>
              <w:t>mil.</w:t>
            </w:r>
            <w:r w:rsidRPr="002C7709">
              <w:rPr>
                <w:rFonts w:asciiTheme="minorHAnsi" w:hAnsiTheme="minorHAnsi" w:cstheme="minorHAnsi"/>
                <w:b/>
              </w:rPr>
              <w:t> Kč</w:t>
            </w:r>
            <w:r w:rsidRPr="002C7709">
              <w:rPr>
                <w:rFonts w:asciiTheme="minorHAnsi" w:hAnsiTheme="minorHAnsi" w:cstheme="minorHAnsi"/>
              </w:rPr>
              <w:t xml:space="preserve"> a měl dopad na správnost vykázaných zůstatků </w:t>
            </w:r>
            <w:r>
              <w:rPr>
                <w:rFonts w:asciiTheme="minorHAnsi" w:hAnsiTheme="minorHAnsi" w:cstheme="minorHAnsi"/>
              </w:rPr>
              <w:t>p</w:t>
            </w:r>
            <w:r w:rsidR="008C54C3">
              <w:rPr>
                <w:rFonts w:asciiTheme="minorHAnsi" w:hAnsiTheme="minorHAnsi" w:cstheme="minorHAnsi"/>
              </w:rPr>
              <w:t>řehledu o </w:t>
            </w:r>
            <w:r w:rsidRPr="002C7709">
              <w:rPr>
                <w:rFonts w:asciiTheme="minorHAnsi" w:hAnsiTheme="minorHAnsi" w:cstheme="minorHAnsi"/>
              </w:rPr>
              <w:t xml:space="preserve">změnách vlastního kapitálu, tj. položky A.I.1. </w:t>
            </w:r>
            <w:r w:rsidRPr="002C7709">
              <w:rPr>
                <w:rFonts w:asciiTheme="minorHAnsi" w:hAnsiTheme="minorHAnsi" w:cstheme="minorHAnsi"/>
                <w:i/>
              </w:rPr>
              <w:t>Změna, vznik nebo zánik příslušnosti hospodařit s majetkem státu</w:t>
            </w:r>
            <w:r w:rsidRPr="002C7709">
              <w:rPr>
                <w:rFonts w:asciiTheme="minorHAnsi" w:hAnsiTheme="minorHAnsi" w:cstheme="minorHAnsi"/>
                <w:b/>
              </w:rPr>
              <w:t xml:space="preserve"> </w:t>
            </w:r>
            <w:r w:rsidRPr="002C7709">
              <w:rPr>
                <w:rFonts w:asciiTheme="minorHAnsi" w:hAnsiTheme="minorHAnsi" w:cstheme="minorHAnsi"/>
              </w:rPr>
              <w:t>a</w:t>
            </w:r>
            <w:r w:rsidR="0060076C">
              <w:rPr>
                <w:rFonts w:asciiTheme="minorHAnsi" w:hAnsiTheme="minorHAnsi" w:cstheme="minorHAnsi"/>
              </w:rPr>
              <w:t> </w:t>
            </w:r>
            <w:r w:rsidRPr="002C7709">
              <w:rPr>
                <w:rFonts w:asciiTheme="minorHAnsi" w:hAnsiTheme="minorHAnsi" w:cstheme="minorHAnsi"/>
              </w:rPr>
              <w:t xml:space="preserve">položky A.I.6. </w:t>
            </w:r>
            <w:r w:rsidRPr="002C7709">
              <w:rPr>
                <w:rFonts w:asciiTheme="minorHAnsi" w:hAnsiTheme="minorHAnsi" w:cstheme="minorHAnsi"/>
                <w:i/>
              </w:rPr>
              <w:t>Ostatní</w:t>
            </w:r>
            <w:r w:rsidRPr="002C7709">
              <w:rPr>
                <w:rFonts w:asciiTheme="minorHAnsi" w:hAnsiTheme="minorHAnsi" w:cstheme="minorHAnsi"/>
              </w:rPr>
              <w:t xml:space="preserve">. </w:t>
            </w:r>
          </w:p>
          <w:p w14:paraId="280D3740" w14:textId="77777777" w:rsidR="002C7709" w:rsidRDefault="002C7709" w:rsidP="00291417">
            <w:pPr>
              <w:spacing w:after="0"/>
              <w:jc w:val="both"/>
              <w:rPr>
                <w:rFonts w:eastAsia="Calibri" w:cs="Calibri"/>
                <w:b/>
                <w:highlight w:val="yellow"/>
              </w:rPr>
            </w:pPr>
          </w:p>
          <w:p w14:paraId="1E0D6340" w14:textId="5EFCBABE" w:rsidR="002C7709" w:rsidRDefault="002C7709" w:rsidP="00291417">
            <w:pPr>
              <w:spacing w:after="0"/>
              <w:jc w:val="both"/>
              <w:rPr>
                <w:rFonts w:asciiTheme="minorHAnsi" w:hAnsiTheme="minorHAnsi" w:cstheme="minorHAnsi"/>
                <w:b/>
              </w:rPr>
            </w:pPr>
            <w:r w:rsidRPr="003777B0">
              <w:rPr>
                <w:rFonts w:asciiTheme="minorHAnsi" w:hAnsiTheme="minorHAnsi" w:cstheme="minorHAnsi"/>
                <w:b/>
              </w:rPr>
              <w:t xml:space="preserve">Uvedené nesprávnosti měly významný vliv na účetní závěrku Ministerstva </w:t>
            </w:r>
            <w:r>
              <w:rPr>
                <w:rFonts w:asciiTheme="minorHAnsi" w:hAnsiTheme="minorHAnsi" w:cstheme="minorHAnsi"/>
                <w:b/>
              </w:rPr>
              <w:t>pro místní rozvoj</w:t>
            </w:r>
            <w:r w:rsidRPr="003777B0">
              <w:rPr>
                <w:rFonts w:asciiTheme="minorHAnsi" w:hAnsiTheme="minorHAnsi" w:cstheme="minorHAnsi"/>
                <w:b/>
              </w:rPr>
              <w:t xml:space="preserve"> sestavenou k 31. </w:t>
            </w:r>
            <w:r w:rsidR="00D67801">
              <w:rPr>
                <w:rFonts w:asciiTheme="minorHAnsi" w:hAnsiTheme="minorHAnsi" w:cstheme="minorHAnsi"/>
                <w:b/>
              </w:rPr>
              <w:t>prosinci</w:t>
            </w:r>
            <w:r w:rsidRPr="003777B0">
              <w:rPr>
                <w:rFonts w:asciiTheme="minorHAnsi" w:hAnsiTheme="minorHAnsi" w:cstheme="minorHAnsi"/>
                <w:b/>
              </w:rPr>
              <w:t xml:space="preserve"> 2018. </w:t>
            </w:r>
            <w:r w:rsidRPr="004966AD">
              <w:rPr>
                <w:rFonts w:asciiTheme="minorHAnsi" w:hAnsiTheme="minorHAnsi" w:cstheme="minorHAnsi"/>
                <w:b/>
                <w:u w:val="single"/>
              </w:rPr>
              <w:t xml:space="preserve">Z tohoto důvodu vyhodnotil NKÚ informace </w:t>
            </w:r>
            <w:r w:rsidRPr="00AE5596">
              <w:rPr>
                <w:rFonts w:asciiTheme="minorHAnsi" w:hAnsiTheme="minorHAnsi" w:cstheme="minorHAnsi"/>
                <w:b/>
              </w:rPr>
              <w:t>v rozvaze, ve výkazu zisku a ztráty, v přehledu</w:t>
            </w:r>
            <w:r w:rsidR="008C54C3">
              <w:rPr>
                <w:rFonts w:asciiTheme="minorHAnsi" w:hAnsiTheme="minorHAnsi" w:cstheme="minorHAnsi"/>
                <w:b/>
              </w:rPr>
              <w:t xml:space="preserve"> o změnách vlastního kapitálu a </w:t>
            </w:r>
            <w:r w:rsidRPr="00AE5596">
              <w:rPr>
                <w:rFonts w:asciiTheme="minorHAnsi" w:hAnsiTheme="minorHAnsi" w:cstheme="minorHAnsi"/>
                <w:b/>
              </w:rPr>
              <w:t>v</w:t>
            </w:r>
            <w:r w:rsidR="0060076C">
              <w:rPr>
                <w:rFonts w:asciiTheme="minorHAnsi" w:hAnsiTheme="minorHAnsi" w:cstheme="minorHAnsi"/>
                <w:b/>
              </w:rPr>
              <w:t> </w:t>
            </w:r>
            <w:r w:rsidRPr="00AE5596">
              <w:rPr>
                <w:rFonts w:asciiTheme="minorHAnsi" w:hAnsiTheme="minorHAnsi" w:cstheme="minorHAnsi"/>
                <w:b/>
              </w:rPr>
              <w:t>příloze</w:t>
            </w:r>
            <w:r w:rsidR="0060076C">
              <w:rPr>
                <w:rFonts w:asciiTheme="minorHAnsi" w:hAnsiTheme="minorHAnsi" w:cstheme="minorHAnsi"/>
                <w:b/>
              </w:rPr>
              <w:t xml:space="preserve"> </w:t>
            </w:r>
            <w:r w:rsidR="008C54C3">
              <w:rPr>
                <w:rFonts w:asciiTheme="minorHAnsi" w:hAnsiTheme="minorHAnsi" w:cstheme="minorHAnsi"/>
                <w:b/>
                <w:u w:val="single"/>
              </w:rPr>
              <w:t>na</w:t>
            </w:r>
            <w:r w:rsidR="0060076C">
              <w:rPr>
                <w:rFonts w:asciiTheme="minorHAnsi" w:hAnsiTheme="minorHAnsi" w:cstheme="minorHAnsi"/>
                <w:b/>
                <w:u w:val="single"/>
              </w:rPr>
              <w:t xml:space="preserve"> </w:t>
            </w:r>
            <w:r w:rsidRPr="004966AD">
              <w:rPr>
                <w:rFonts w:asciiTheme="minorHAnsi" w:hAnsiTheme="minorHAnsi" w:cstheme="minorHAnsi"/>
                <w:b/>
                <w:u w:val="single"/>
              </w:rPr>
              <w:t>uvedených položkách/účtech jako nespolehlivé.</w:t>
            </w:r>
            <w:r w:rsidRPr="003777B0">
              <w:rPr>
                <w:rFonts w:asciiTheme="minorHAnsi" w:hAnsiTheme="minorHAnsi" w:cstheme="minorHAnsi"/>
                <w:b/>
              </w:rPr>
              <w:t xml:space="preserve"> V rozsahu ostatních informací podává účetní závěrka Ministerstva </w:t>
            </w:r>
            <w:r>
              <w:rPr>
                <w:rFonts w:asciiTheme="minorHAnsi" w:hAnsiTheme="minorHAnsi" w:cstheme="minorHAnsi"/>
                <w:b/>
              </w:rPr>
              <w:t>pro místní rozvoj</w:t>
            </w:r>
            <w:r w:rsidRPr="003777B0">
              <w:rPr>
                <w:rFonts w:asciiTheme="minorHAnsi" w:hAnsiTheme="minorHAnsi" w:cstheme="minorHAnsi"/>
                <w:b/>
              </w:rPr>
              <w:t xml:space="preserve"> sestavená k 31. </w:t>
            </w:r>
            <w:r w:rsidR="00D67801">
              <w:rPr>
                <w:rFonts w:asciiTheme="minorHAnsi" w:hAnsiTheme="minorHAnsi" w:cstheme="minorHAnsi"/>
                <w:b/>
              </w:rPr>
              <w:t>prosinci</w:t>
            </w:r>
            <w:r w:rsidRPr="003777B0">
              <w:rPr>
                <w:rFonts w:asciiTheme="minorHAnsi" w:hAnsiTheme="minorHAnsi" w:cstheme="minorHAnsi"/>
                <w:b/>
              </w:rPr>
              <w:t> 2018 věrný a</w:t>
            </w:r>
            <w:r w:rsidR="0060076C">
              <w:rPr>
                <w:rFonts w:asciiTheme="minorHAnsi" w:hAnsiTheme="minorHAnsi" w:cstheme="minorHAnsi"/>
                <w:b/>
              </w:rPr>
              <w:t> </w:t>
            </w:r>
            <w:r w:rsidRPr="003777B0">
              <w:rPr>
                <w:rFonts w:asciiTheme="minorHAnsi" w:hAnsiTheme="minorHAnsi" w:cstheme="minorHAnsi"/>
                <w:b/>
              </w:rPr>
              <w:t xml:space="preserve">poctivý obraz předmětu účetnictví a finanční situace účetní jednotky dle </w:t>
            </w:r>
            <w:r w:rsidR="00054662" w:rsidRPr="00054662">
              <w:rPr>
                <w:rFonts w:asciiTheme="minorHAnsi" w:hAnsiTheme="minorHAnsi" w:cstheme="minorHAnsi"/>
                <w:b/>
              </w:rPr>
              <w:t>právní</w:t>
            </w:r>
            <w:r w:rsidR="00054662">
              <w:rPr>
                <w:rFonts w:asciiTheme="minorHAnsi" w:hAnsiTheme="minorHAnsi" w:cstheme="minorHAnsi"/>
                <w:b/>
              </w:rPr>
              <w:t>ch</w:t>
            </w:r>
            <w:r w:rsidR="00054662" w:rsidRPr="00054662">
              <w:rPr>
                <w:rFonts w:asciiTheme="minorHAnsi" w:hAnsiTheme="minorHAnsi" w:cstheme="minorHAnsi"/>
                <w:b/>
              </w:rPr>
              <w:t xml:space="preserve"> předpis</w:t>
            </w:r>
            <w:r w:rsidR="00054662">
              <w:rPr>
                <w:rFonts w:asciiTheme="minorHAnsi" w:hAnsiTheme="minorHAnsi" w:cstheme="minorHAnsi"/>
                <w:b/>
              </w:rPr>
              <w:t>ů</w:t>
            </w:r>
            <w:r w:rsidR="00054662" w:rsidRPr="00054662">
              <w:rPr>
                <w:rFonts w:asciiTheme="minorHAnsi" w:hAnsiTheme="minorHAnsi" w:cstheme="minorHAnsi"/>
                <w:b/>
              </w:rPr>
              <w:t xml:space="preserve"> upravující</w:t>
            </w:r>
            <w:r w:rsidR="00054662">
              <w:rPr>
                <w:rFonts w:asciiTheme="minorHAnsi" w:hAnsiTheme="minorHAnsi" w:cstheme="minorHAnsi"/>
                <w:b/>
              </w:rPr>
              <w:t>ch</w:t>
            </w:r>
            <w:r w:rsidR="00054662" w:rsidRPr="00054662">
              <w:rPr>
                <w:rFonts w:asciiTheme="minorHAnsi" w:hAnsiTheme="minorHAnsi" w:cstheme="minorHAnsi"/>
                <w:b/>
              </w:rPr>
              <w:t xml:space="preserve"> vedení účetnictví</w:t>
            </w:r>
            <w:r w:rsidRPr="003777B0">
              <w:rPr>
                <w:rFonts w:asciiTheme="minorHAnsi" w:hAnsiTheme="minorHAnsi" w:cstheme="minorHAnsi"/>
                <w:b/>
              </w:rPr>
              <w:t xml:space="preserve"> pro některé vybrané účetní jednotky.</w:t>
            </w:r>
          </w:p>
          <w:p w14:paraId="02A54F4B" w14:textId="77777777" w:rsidR="009B6040" w:rsidRPr="00DB6C92" w:rsidRDefault="009B6040" w:rsidP="00291417">
            <w:pPr>
              <w:spacing w:after="0"/>
              <w:jc w:val="both"/>
              <w:rPr>
                <w:rFonts w:eastAsia="Calibri" w:cs="Calibri"/>
                <w:highlight w:val="yellow"/>
              </w:rPr>
            </w:pPr>
          </w:p>
        </w:tc>
      </w:tr>
    </w:tbl>
    <w:p w14:paraId="0EAA5821" w14:textId="77777777" w:rsidR="00C32A01" w:rsidRPr="00DB6C92" w:rsidRDefault="00C32A01" w:rsidP="00B30899">
      <w:pPr>
        <w:spacing w:after="0"/>
        <w:jc w:val="both"/>
        <w:rPr>
          <w:rFonts w:eastAsia="Calibri" w:cs="Calibri"/>
          <w:highlight w:val="yellow"/>
        </w:rPr>
      </w:pPr>
    </w:p>
    <w:p w14:paraId="7F15CBD7" w14:textId="5ECCF3A9" w:rsidR="0033466E" w:rsidRPr="00F94732" w:rsidRDefault="00BF536A" w:rsidP="00171682">
      <w:pPr>
        <w:pStyle w:val="Nadpis2"/>
        <w:keepNext/>
        <w:numPr>
          <w:ilvl w:val="0"/>
          <w:numId w:val="0"/>
        </w:numPr>
        <w:spacing w:after="120" w:line="240" w:lineRule="auto"/>
        <w:ind w:left="284" w:hanging="284"/>
        <w:contextualSpacing w:val="0"/>
        <w:jc w:val="left"/>
        <w:rPr>
          <w:rFonts w:ascii="Calibri" w:hAnsi="Calibri" w:cs="Calibri"/>
        </w:rPr>
      </w:pPr>
      <w:r>
        <w:rPr>
          <w:rFonts w:ascii="Calibri" w:hAnsi="Calibri" w:cs="Calibri"/>
        </w:rPr>
        <w:t>2</w:t>
      </w:r>
      <w:r w:rsidR="00A640AE" w:rsidRPr="00F94732">
        <w:rPr>
          <w:rFonts w:ascii="Calibri" w:hAnsi="Calibri" w:cs="Calibri"/>
        </w:rPr>
        <w:t>. Údaje předkládané</w:t>
      </w:r>
      <w:r w:rsidR="000D1EC1" w:rsidRPr="00F94732">
        <w:rPr>
          <w:rFonts w:ascii="Calibri" w:hAnsi="Calibri" w:cs="Calibri"/>
        </w:rPr>
        <w:t xml:space="preserve"> </w:t>
      </w:r>
      <w:r w:rsidR="00A1771E" w:rsidRPr="00F94732">
        <w:rPr>
          <w:rFonts w:ascii="Calibri" w:hAnsi="Calibri" w:cs="Calibri"/>
        </w:rPr>
        <w:t xml:space="preserve">Ministerstvem </w:t>
      </w:r>
      <w:r w:rsidR="00F94732" w:rsidRPr="00F94732">
        <w:rPr>
          <w:rFonts w:ascii="Calibri" w:hAnsi="Calibri" w:cs="Calibri"/>
        </w:rPr>
        <w:t xml:space="preserve">pro místní rozvoj </w:t>
      </w:r>
      <w:r w:rsidR="00A640AE" w:rsidRPr="00F94732">
        <w:rPr>
          <w:rFonts w:ascii="Calibri" w:hAnsi="Calibri" w:cs="Calibri"/>
        </w:rPr>
        <w:t>pro hodnocení plnění státního rozpočtu</w:t>
      </w:r>
      <w:r w:rsidR="00081916" w:rsidRPr="00F94732">
        <w:rPr>
          <w:rFonts w:ascii="Calibri" w:hAnsi="Calibri" w:cs="Calibri"/>
        </w:rPr>
        <w:t xml:space="preserve"> za rok </w:t>
      </w:r>
      <w:r w:rsidR="00747FFC" w:rsidRPr="00F94732">
        <w:rPr>
          <w:rFonts w:ascii="Calibri" w:hAnsi="Calibri" w:cs="Calibri"/>
        </w:rPr>
        <w:t>201</w:t>
      </w:r>
      <w:r w:rsidR="00A1771E" w:rsidRPr="00F94732">
        <w:rPr>
          <w:rFonts w:ascii="Calibri" w:hAnsi="Calibri" w:cs="Calibri"/>
        </w:rPr>
        <w:t>8</w:t>
      </w:r>
      <w:r w:rsidR="00A640AE" w:rsidRPr="00F94732">
        <w:rPr>
          <w:rFonts w:ascii="Calibri" w:hAnsi="Calibri" w:cs="Calibri"/>
          <w:vertAlign w:val="superscript"/>
        </w:rPr>
        <w:footnoteReference w:id="11"/>
      </w:r>
    </w:p>
    <w:p w14:paraId="0239FFEE" w14:textId="77AC7C06" w:rsidR="00100FAA" w:rsidRPr="00DB6C92" w:rsidRDefault="00100FAA" w:rsidP="00100FAA">
      <w:pPr>
        <w:spacing w:after="0"/>
        <w:jc w:val="both"/>
        <w:rPr>
          <w:rFonts w:cs="Calibri"/>
          <w:highlight w:val="yellow"/>
        </w:rPr>
      </w:pPr>
      <w:r w:rsidRPr="006D3799">
        <w:rPr>
          <w:rFonts w:cs="Calibri"/>
        </w:rPr>
        <w:t>V údajích předložených M</w:t>
      </w:r>
      <w:r w:rsidR="00F94732" w:rsidRPr="006D3799">
        <w:rPr>
          <w:rFonts w:cs="Calibri"/>
        </w:rPr>
        <w:t>MR</w:t>
      </w:r>
      <w:r w:rsidRPr="006D3799">
        <w:rPr>
          <w:rFonts w:cs="Calibri"/>
        </w:rPr>
        <w:t xml:space="preserve"> pro hodnocení plnění státního rozpočtu za rok 2018 byl</w:t>
      </w:r>
      <w:r w:rsidR="006D3799" w:rsidRPr="006D3799">
        <w:rPr>
          <w:rFonts w:cs="Calibri"/>
        </w:rPr>
        <w:t xml:space="preserve">a zjištěna nesprávnost </w:t>
      </w:r>
      <w:r w:rsidRPr="006D3799">
        <w:rPr>
          <w:rFonts w:cs="Calibri"/>
        </w:rPr>
        <w:t xml:space="preserve">v celkové výši </w:t>
      </w:r>
      <w:r w:rsidR="006D3799" w:rsidRPr="006D3799">
        <w:rPr>
          <w:rFonts w:cs="Calibri"/>
          <w:b/>
        </w:rPr>
        <w:t>11</w:t>
      </w:r>
      <w:r w:rsidR="006D3799" w:rsidRPr="006D3799">
        <w:rPr>
          <w:rFonts w:cs="Calibri"/>
        </w:rPr>
        <w:t xml:space="preserve"> </w:t>
      </w:r>
      <w:r w:rsidRPr="006D3799">
        <w:rPr>
          <w:rFonts w:cs="Calibri"/>
          <w:b/>
        </w:rPr>
        <w:t>mil. Kč</w:t>
      </w:r>
      <w:r w:rsidRPr="006D3799">
        <w:rPr>
          <w:rFonts w:cs="Calibri"/>
        </w:rPr>
        <w:t xml:space="preserve"> (viz </w:t>
      </w:r>
      <w:r w:rsidRPr="00A71002">
        <w:rPr>
          <w:rFonts w:cs="Calibri"/>
        </w:rPr>
        <w:t>část IV.</w:t>
      </w:r>
      <w:r w:rsidR="00B6192D">
        <w:rPr>
          <w:rFonts w:cs="Calibri"/>
        </w:rPr>
        <w:t>2</w:t>
      </w:r>
      <w:r w:rsidRPr="00A71002">
        <w:rPr>
          <w:rFonts w:cs="Calibri"/>
        </w:rPr>
        <w:t>. t</w:t>
      </w:r>
      <w:r w:rsidRPr="006D3799">
        <w:rPr>
          <w:rFonts w:cs="Calibri"/>
        </w:rPr>
        <w:t>ohoto kontrolního závěru).</w:t>
      </w:r>
    </w:p>
    <w:p w14:paraId="061BF4A7" w14:textId="77777777" w:rsidR="001A2929" w:rsidRPr="00DB6C92" w:rsidRDefault="001A2929" w:rsidP="00100FAA">
      <w:pPr>
        <w:spacing w:after="0"/>
        <w:jc w:val="both"/>
        <w:rPr>
          <w:rFonts w:cs="Calibri"/>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2"/>
      </w:tblGrid>
      <w:tr w:rsidR="00DA7442" w:rsidRPr="00DB6C92" w14:paraId="41D37B78" w14:textId="77777777" w:rsidTr="00DA7442">
        <w:tc>
          <w:tcPr>
            <w:tcW w:w="9062" w:type="dxa"/>
            <w:shd w:val="clear" w:color="auto" w:fill="E5F1FF"/>
          </w:tcPr>
          <w:p w14:paraId="79855E11" w14:textId="3BC362BC" w:rsidR="00DA7442" w:rsidRPr="00DB6C92" w:rsidRDefault="006D3799" w:rsidP="00DA7442">
            <w:pPr>
              <w:spacing w:after="0"/>
              <w:jc w:val="both"/>
              <w:rPr>
                <w:rFonts w:cs="Calibri"/>
                <w:b/>
                <w:highlight w:val="yellow"/>
              </w:rPr>
            </w:pPr>
            <w:r w:rsidRPr="006D3799">
              <w:rPr>
                <w:rFonts w:cs="Calibri"/>
                <w:b/>
              </w:rPr>
              <w:t>NKÚ nezjistil žádné skutečnosti svědčící o tom, že údaj</w:t>
            </w:r>
            <w:r w:rsidR="008C54C3">
              <w:rPr>
                <w:rFonts w:cs="Calibri"/>
                <w:b/>
              </w:rPr>
              <w:t>e předkládané Ministerstvem pro</w:t>
            </w:r>
            <w:r w:rsidR="0060076C">
              <w:rPr>
                <w:rFonts w:cs="Calibri"/>
                <w:b/>
              </w:rPr>
              <w:t xml:space="preserve"> </w:t>
            </w:r>
            <w:r w:rsidRPr="006D3799">
              <w:rPr>
                <w:rFonts w:cs="Calibri"/>
                <w:b/>
              </w:rPr>
              <w:t>místní rozvoj pro hodnocení plnění státního rozpočtu za rok 2018 by nebyly tříděny ve všech významných ohledech v souladu s vyhláškou č. 323/2002 Sb.</w:t>
            </w:r>
            <w:r w:rsidR="00EA06A4">
              <w:rPr>
                <w:rFonts w:cs="Calibri"/>
                <w:b/>
              </w:rPr>
              <w:t>, o rozpočtové skladbě.</w:t>
            </w:r>
          </w:p>
          <w:p w14:paraId="0C76BA3D" w14:textId="77777777" w:rsidR="00DA7442" w:rsidRPr="00DB6C92" w:rsidRDefault="00DA7442" w:rsidP="00100FAA">
            <w:pPr>
              <w:spacing w:after="0"/>
              <w:jc w:val="both"/>
              <w:rPr>
                <w:rFonts w:cs="Calibri"/>
                <w:sz w:val="6"/>
                <w:szCs w:val="6"/>
                <w:highlight w:val="yellow"/>
              </w:rPr>
            </w:pPr>
          </w:p>
        </w:tc>
      </w:tr>
    </w:tbl>
    <w:p w14:paraId="1EE346D6" w14:textId="77777777" w:rsidR="0029520A" w:rsidRDefault="0029520A" w:rsidP="00063528">
      <w:pPr>
        <w:pStyle w:val="Nadpis2"/>
        <w:numPr>
          <w:ilvl w:val="0"/>
          <w:numId w:val="0"/>
        </w:numPr>
        <w:spacing w:after="0" w:line="240" w:lineRule="auto"/>
        <w:contextualSpacing w:val="0"/>
        <w:rPr>
          <w:rFonts w:ascii="Calibri" w:hAnsi="Calibri" w:cs="Calibri"/>
        </w:rPr>
      </w:pPr>
    </w:p>
    <w:p w14:paraId="1021340C" w14:textId="2F1EE605" w:rsidR="00A50B68" w:rsidRPr="006D3799" w:rsidRDefault="00BF536A" w:rsidP="00BC6C74">
      <w:pPr>
        <w:pStyle w:val="Nadpis2"/>
        <w:keepNext/>
        <w:numPr>
          <w:ilvl w:val="0"/>
          <w:numId w:val="0"/>
        </w:numPr>
        <w:spacing w:after="120" w:line="240" w:lineRule="auto"/>
        <w:ind w:left="284" w:hanging="284"/>
        <w:contextualSpacing w:val="0"/>
        <w:rPr>
          <w:rFonts w:ascii="Calibri" w:hAnsi="Calibri" w:cs="Calibri"/>
        </w:rPr>
      </w:pPr>
      <w:r>
        <w:rPr>
          <w:rFonts w:ascii="Calibri" w:hAnsi="Calibri" w:cs="Calibri"/>
        </w:rPr>
        <w:t>3</w:t>
      </w:r>
      <w:r w:rsidR="00A640AE" w:rsidRPr="006D3799">
        <w:rPr>
          <w:rFonts w:ascii="Calibri" w:hAnsi="Calibri" w:cs="Calibri"/>
        </w:rPr>
        <w:t xml:space="preserve">. Vyhodnocení opatření </w:t>
      </w:r>
      <w:r w:rsidR="00261A10" w:rsidRPr="006D3799">
        <w:rPr>
          <w:rFonts w:ascii="Calibri" w:hAnsi="Calibri" w:cs="Calibri"/>
        </w:rPr>
        <w:t xml:space="preserve">přijatých </w:t>
      </w:r>
      <w:r w:rsidR="00A640AE" w:rsidRPr="006D3799">
        <w:rPr>
          <w:rFonts w:ascii="Calibri" w:hAnsi="Calibri" w:cs="Calibri"/>
        </w:rPr>
        <w:t>k</w:t>
      </w:r>
      <w:r w:rsidR="00360D8E" w:rsidRPr="006D3799">
        <w:rPr>
          <w:rFonts w:ascii="Calibri" w:hAnsi="Calibri" w:cs="Calibri"/>
        </w:rPr>
        <w:t xml:space="preserve"> nápravě </w:t>
      </w:r>
      <w:r w:rsidR="00A640AE" w:rsidRPr="006D3799">
        <w:rPr>
          <w:rFonts w:ascii="Calibri" w:hAnsi="Calibri" w:cs="Calibri"/>
        </w:rPr>
        <w:t>nedostatků z kontrolní akc</w:t>
      </w:r>
      <w:r w:rsidR="00261A10" w:rsidRPr="006D3799">
        <w:rPr>
          <w:rFonts w:ascii="Calibri" w:hAnsi="Calibri" w:cs="Calibri"/>
        </w:rPr>
        <w:t>e</w:t>
      </w:r>
      <w:r w:rsidR="00A640AE" w:rsidRPr="006D3799">
        <w:rPr>
          <w:rFonts w:ascii="Calibri" w:hAnsi="Calibri" w:cs="Calibri"/>
        </w:rPr>
        <w:t xml:space="preserve"> č. </w:t>
      </w:r>
      <w:r w:rsidR="000D1EC1" w:rsidRPr="006D3799">
        <w:rPr>
          <w:rFonts w:ascii="Calibri" w:hAnsi="Calibri" w:cs="Calibri"/>
        </w:rPr>
        <w:t>1</w:t>
      </w:r>
      <w:r w:rsidR="006D3799">
        <w:rPr>
          <w:rFonts w:ascii="Calibri" w:hAnsi="Calibri" w:cs="Calibri"/>
        </w:rPr>
        <w:t>7</w:t>
      </w:r>
      <w:r w:rsidR="000D1EC1" w:rsidRPr="006D3799">
        <w:rPr>
          <w:rFonts w:ascii="Calibri" w:hAnsi="Calibri" w:cs="Calibri"/>
        </w:rPr>
        <w:t>/</w:t>
      </w:r>
      <w:r w:rsidR="006D3799">
        <w:rPr>
          <w:rFonts w:ascii="Calibri" w:hAnsi="Calibri" w:cs="Calibri"/>
        </w:rPr>
        <w:t>08</w:t>
      </w:r>
      <w:r w:rsidR="0029520A">
        <w:rPr>
          <w:rStyle w:val="Znakapoznpodarou"/>
          <w:rFonts w:ascii="Calibri" w:hAnsi="Calibri" w:cs="Calibri"/>
        </w:rPr>
        <w:footnoteReference w:id="12"/>
      </w:r>
    </w:p>
    <w:p w14:paraId="64D65B97" w14:textId="708D0B41" w:rsidR="006335D5" w:rsidRPr="00DB6C92" w:rsidRDefault="001C718B" w:rsidP="00AE5596">
      <w:pPr>
        <w:keepNext/>
        <w:spacing w:after="0"/>
        <w:jc w:val="both"/>
        <w:rPr>
          <w:b/>
          <w:highlight w:val="yellow"/>
        </w:rPr>
      </w:pPr>
      <w:r w:rsidRPr="006D3799">
        <w:rPr>
          <w:rFonts w:cs="Calibri"/>
        </w:rPr>
        <w:t xml:space="preserve">Vláda ČR stanovila usnesením </w:t>
      </w:r>
      <w:r w:rsidR="00A640AE" w:rsidRPr="006D3799">
        <w:rPr>
          <w:rFonts w:cs="Calibri"/>
        </w:rPr>
        <w:t xml:space="preserve">ze dne </w:t>
      </w:r>
      <w:r w:rsidR="006D3799" w:rsidRPr="006D3799">
        <w:rPr>
          <w:rFonts w:cs="Calibri"/>
        </w:rPr>
        <w:t>27. března 201</w:t>
      </w:r>
      <w:r w:rsidR="00EA06A4">
        <w:rPr>
          <w:rFonts w:cs="Calibri"/>
        </w:rPr>
        <w:t>8</w:t>
      </w:r>
      <w:r w:rsidR="006D3799" w:rsidRPr="006D3799">
        <w:rPr>
          <w:rFonts w:cs="Calibri"/>
        </w:rPr>
        <w:t xml:space="preserve"> č. 203</w:t>
      </w:r>
      <w:r w:rsidR="00A640AE" w:rsidRPr="006D3799">
        <w:rPr>
          <w:rFonts w:cs="Calibri"/>
        </w:rPr>
        <w:t xml:space="preserve"> ke </w:t>
      </w:r>
      <w:r w:rsidR="00081916" w:rsidRPr="006D3799">
        <w:rPr>
          <w:rFonts w:cs="Calibri"/>
        </w:rPr>
        <w:t>k</w:t>
      </w:r>
      <w:r w:rsidR="00A640AE" w:rsidRPr="006D3799">
        <w:rPr>
          <w:rFonts w:cs="Calibri"/>
        </w:rPr>
        <w:t>ontrolnímu závěru Nejvyššího kontrolního úřadu z kontrolní akce č. 1</w:t>
      </w:r>
      <w:r w:rsidR="006D3799" w:rsidRPr="006D3799">
        <w:rPr>
          <w:rFonts w:cs="Calibri"/>
        </w:rPr>
        <w:t>7</w:t>
      </w:r>
      <w:r w:rsidR="00A640AE" w:rsidRPr="006D3799">
        <w:rPr>
          <w:rFonts w:cs="Calibri"/>
        </w:rPr>
        <w:t>/</w:t>
      </w:r>
      <w:r w:rsidR="008A0176" w:rsidRPr="006D3799">
        <w:rPr>
          <w:rFonts w:cs="Calibri"/>
        </w:rPr>
        <w:t>08</w:t>
      </w:r>
      <w:r w:rsidR="008A0176">
        <w:rPr>
          <w:rFonts w:cs="Calibri"/>
        </w:rPr>
        <w:t xml:space="preserve"> (dále také „KA 17/08“) </w:t>
      </w:r>
      <w:r w:rsidR="00A640AE" w:rsidRPr="006D3799">
        <w:rPr>
          <w:rFonts w:cs="Calibri"/>
        </w:rPr>
        <w:t>pro M</w:t>
      </w:r>
      <w:r w:rsidR="006D3799" w:rsidRPr="006D3799">
        <w:rPr>
          <w:rFonts w:cs="Calibri"/>
        </w:rPr>
        <w:t>MR</w:t>
      </w:r>
      <w:r w:rsidR="00A640AE" w:rsidRPr="006D3799">
        <w:rPr>
          <w:rFonts w:cs="Calibri"/>
        </w:rPr>
        <w:t xml:space="preserve"> 1</w:t>
      </w:r>
      <w:r w:rsidR="006D3799" w:rsidRPr="006D3799">
        <w:rPr>
          <w:rFonts w:cs="Calibri"/>
        </w:rPr>
        <w:t>7</w:t>
      </w:r>
      <w:r w:rsidR="00A640AE" w:rsidRPr="006D3799">
        <w:rPr>
          <w:rFonts w:cs="Calibri"/>
        </w:rPr>
        <w:t xml:space="preserve"> opatření</w:t>
      </w:r>
      <w:r w:rsidR="007F40EC">
        <w:rPr>
          <w:rFonts w:cs="Calibri"/>
        </w:rPr>
        <w:t xml:space="preserve"> přijatých</w:t>
      </w:r>
      <w:r w:rsidR="00A640AE" w:rsidRPr="006D3799">
        <w:rPr>
          <w:rFonts w:cs="Calibri"/>
        </w:rPr>
        <w:t xml:space="preserve"> </w:t>
      </w:r>
      <w:r w:rsidR="008C54C3">
        <w:rPr>
          <w:rFonts w:cs="Calibri"/>
        </w:rPr>
        <w:t>k </w:t>
      </w:r>
      <w:r w:rsidR="00360D8E" w:rsidRPr="006D3799">
        <w:rPr>
          <w:rFonts w:cs="Calibri"/>
        </w:rPr>
        <w:t>nápravě</w:t>
      </w:r>
      <w:r w:rsidR="00A640AE" w:rsidRPr="006D3799">
        <w:rPr>
          <w:rFonts w:cs="Calibri"/>
        </w:rPr>
        <w:t xml:space="preserve"> nedostatků.</w:t>
      </w:r>
      <w:r w:rsidR="006D3799">
        <w:rPr>
          <w:rFonts w:cs="Calibri"/>
        </w:rPr>
        <w:t xml:space="preserve"> </w:t>
      </w:r>
      <w:r w:rsidR="006D3799" w:rsidRPr="00286B8D">
        <w:rPr>
          <w:rFonts w:eastAsiaTheme="minorHAnsi" w:cs="Calibri"/>
          <w:b/>
          <w:bCs/>
        </w:rPr>
        <w:t>MMR z celkem 17 opatření</w:t>
      </w:r>
      <w:r w:rsidR="007F40EC" w:rsidRPr="00286B8D">
        <w:rPr>
          <w:rFonts w:eastAsiaTheme="minorHAnsi" w:cs="Calibri"/>
          <w:b/>
          <w:bCs/>
        </w:rPr>
        <w:t xml:space="preserve"> přijatých k nápravě nedostatků </w:t>
      </w:r>
      <w:r w:rsidR="00F63871" w:rsidRPr="00286B8D">
        <w:rPr>
          <w:rFonts w:eastAsiaTheme="minorHAnsi" w:cs="Calibri"/>
          <w:b/>
          <w:bCs/>
        </w:rPr>
        <w:t>realizovalo úplně a správně 11 </w:t>
      </w:r>
      <w:r w:rsidR="006D3799" w:rsidRPr="00286B8D">
        <w:rPr>
          <w:rFonts w:eastAsiaTheme="minorHAnsi" w:cs="Calibri"/>
          <w:b/>
          <w:bCs/>
        </w:rPr>
        <w:t>opatření, 5 opatření realizovalo částečně a 1 opatření realizováno nebylo</w:t>
      </w:r>
      <w:r w:rsidR="006D3799" w:rsidRPr="00BF536A">
        <w:rPr>
          <w:rFonts w:eastAsiaTheme="minorHAnsi" w:cs="Calibri"/>
          <w:b/>
          <w:bCs/>
        </w:rPr>
        <w:t>.</w:t>
      </w:r>
      <w:r w:rsidR="006D3799" w:rsidRPr="00DA13E2">
        <w:rPr>
          <w:rFonts w:eastAsiaTheme="minorHAnsi" w:cs="Calibri"/>
          <w:b/>
          <w:bCs/>
        </w:rPr>
        <w:t xml:space="preserve"> </w:t>
      </w:r>
      <w:r w:rsidR="00743797" w:rsidRPr="00F30BA1">
        <w:rPr>
          <w:rFonts w:cs="Calibri"/>
        </w:rPr>
        <w:t>Pokud by MMR například plně realizovalo</w:t>
      </w:r>
      <w:r w:rsidR="00743797" w:rsidRPr="00743797">
        <w:rPr>
          <w:rFonts w:cs="Calibri"/>
        </w:rPr>
        <w:t xml:space="preserve"> opatření týkající se nesprávného nákladového účtu při účtování transferů, mohlo předejít nesprávnostem v ÚZ ve výši 659 mil. Kč.</w:t>
      </w:r>
    </w:p>
    <w:p w14:paraId="0E84A8A5" w14:textId="77777777" w:rsidR="006548B8" w:rsidRDefault="006548B8" w:rsidP="008827CC">
      <w:pPr>
        <w:spacing w:after="0"/>
        <w:rPr>
          <w:b/>
        </w:rPr>
      </w:pPr>
    </w:p>
    <w:p w14:paraId="12466DED" w14:textId="092C0981" w:rsidR="00612A11" w:rsidRDefault="00F94EE7" w:rsidP="008827CC">
      <w:pPr>
        <w:spacing w:after="0"/>
        <w:rPr>
          <w:b/>
        </w:rPr>
      </w:pPr>
      <w:r w:rsidRPr="00743797">
        <w:rPr>
          <w:b/>
        </w:rPr>
        <w:t>V</w:t>
      </w:r>
      <w:r w:rsidR="00A640AE" w:rsidRPr="00743797">
        <w:rPr>
          <w:b/>
        </w:rPr>
        <w:t>yhodnocení</w:t>
      </w:r>
      <w:r w:rsidR="00BF7606" w:rsidRPr="00743797">
        <w:rPr>
          <w:b/>
        </w:rPr>
        <w:t xml:space="preserve"> realizace</w:t>
      </w:r>
      <w:r w:rsidR="00A640AE" w:rsidRPr="00743797">
        <w:rPr>
          <w:b/>
        </w:rPr>
        <w:t xml:space="preserve"> </w:t>
      </w:r>
      <w:r w:rsidR="00BE1F4E" w:rsidRPr="00743797">
        <w:rPr>
          <w:b/>
        </w:rPr>
        <w:t xml:space="preserve">těchto </w:t>
      </w:r>
      <w:r w:rsidR="00A640AE" w:rsidRPr="00743797">
        <w:rPr>
          <w:b/>
        </w:rPr>
        <w:t>opatření</w:t>
      </w:r>
      <w:r w:rsidRPr="00743797">
        <w:rPr>
          <w:b/>
        </w:rPr>
        <w:t>:</w:t>
      </w:r>
      <w:r w:rsidR="00A640AE" w:rsidRPr="00BF7606">
        <w:rPr>
          <w:b/>
        </w:rPr>
        <w:t xml:space="preserve"> </w:t>
      </w:r>
    </w:p>
    <w:p w14:paraId="79754073" w14:textId="77777777" w:rsidR="000015DC" w:rsidRDefault="000015DC" w:rsidP="008827CC">
      <w:pPr>
        <w:spacing w:after="0"/>
      </w:pPr>
    </w:p>
    <w:p w14:paraId="2177401C" w14:textId="309F9945" w:rsidR="006D28BD" w:rsidRDefault="00BA0F46" w:rsidP="000015DC">
      <w:pPr>
        <w:tabs>
          <w:tab w:val="left" w:pos="6645"/>
        </w:tabs>
        <w:spacing w:after="0"/>
        <w:rPr>
          <w:rFonts w:cs="Calibri"/>
        </w:rPr>
      </w:pPr>
      <w:r w:rsidRPr="00CB7B14">
        <w:rPr>
          <w:rFonts w:cs="Calibri"/>
          <w:noProof/>
          <w:lang w:eastAsia="cs-CZ"/>
        </w:rPr>
        <w:drawing>
          <wp:anchor distT="0" distB="0" distL="114300" distR="114300" simplePos="0" relativeHeight="251671552" behindDoc="1" locked="0" layoutInCell="1" allowOverlap="1" wp14:anchorId="5862B280" wp14:editId="76B6BEAF">
            <wp:simplePos x="0" y="0"/>
            <wp:positionH relativeFrom="column">
              <wp:posOffset>-45407</wp:posOffset>
            </wp:positionH>
            <wp:positionV relativeFrom="paragraph">
              <wp:posOffset>37770</wp:posOffset>
            </wp:positionV>
            <wp:extent cx="5486400" cy="2286635"/>
            <wp:effectExtent l="0" t="0" r="0" b="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14:paraId="76E34916" w14:textId="1F9B8B28" w:rsidR="00612A11" w:rsidRPr="00DB6C92" w:rsidRDefault="00F94EE7" w:rsidP="00C910FE">
      <w:pPr>
        <w:rPr>
          <w:rFonts w:cs="Calibri"/>
          <w:highlight w:val="yellow"/>
        </w:rPr>
      </w:pPr>
      <w:r w:rsidRPr="006D3799">
        <w:rPr>
          <w:rFonts w:cs="Calibri"/>
        </w:rPr>
        <w:t>Blíže</w:t>
      </w:r>
      <w:r w:rsidR="00BF7606" w:rsidRPr="006D3799">
        <w:rPr>
          <w:rFonts w:cs="Calibri"/>
        </w:rPr>
        <w:t xml:space="preserve"> viz </w:t>
      </w:r>
      <w:r w:rsidR="00BF7606" w:rsidRPr="00A71002">
        <w:rPr>
          <w:rFonts w:cs="Calibri"/>
        </w:rPr>
        <w:t>část IV.</w:t>
      </w:r>
      <w:r w:rsidR="00B6192D">
        <w:rPr>
          <w:rFonts w:cs="Calibri"/>
        </w:rPr>
        <w:t>3</w:t>
      </w:r>
      <w:r w:rsidR="00A71002" w:rsidRPr="00A71002">
        <w:rPr>
          <w:rFonts w:cs="Calibri"/>
        </w:rPr>
        <w:t>.</w:t>
      </w:r>
      <w:r w:rsidR="00BF7606" w:rsidRPr="00A71002">
        <w:rPr>
          <w:rFonts w:cs="Calibri"/>
        </w:rPr>
        <w:t xml:space="preserve"> tohoto</w:t>
      </w:r>
      <w:r w:rsidR="00BF7606" w:rsidRPr="006D3799">
        <w:rPr>
          <w:rFonts w:cs="Calibri"/>
        </w:rPr>
        <w:t xml:space="preserve"> kontrolního závěru.</w:t>
      </w:r>
    </w:p>
    <w:p w14:paraId="0877C5CF" w14:textId="77777777" w:rsidR="006335D5" w:rsidRPr="00DB6C92" w:rsidRDefault="006335D5" w:rsidP="000015DC">
      <w:pPr>
        <w:spacing w:after="0"/>
        <w:jc w:val="both"/>
        <w:rPr>
          <w:highlight w:val="yellow"/>
        </w:rPr>
      </w:pPr>
    </w:p>
    <w:p w14:paraId="75EC5091" w14:textId="04AD93B1" w:rsidR="0033466E" w:rsidRPr="00743797" w:rsidRDefault="00BF536A" w:rsidP="00BA0F46">
      <w:pPr>
        <w:pStyle w:val="Nadpis2"/>
        <w:keepNext/>
        <w:numPr>
          <w:ilvl w:val="0"/>
          <w:numId w:val="0"/>
        </w:numPr>
        <w:spacing w:after="120" w:line="240" w:lineRule="auto"/>
        <w:ind w:left="284" w:hanging="284"/>
        <w:contextualSpacing w:val="0"/>
        <w:rPr>
          <w:rFonts w:ascii="Calibri" w:hAnsi="Calibri" w:cs="Calibri"/>
        </w:rPr>
      </w:pPr>
      <w:r>
        <w:rPr>
          <w:rFonts w:ascii="Calibri" w:hAnsi="Calibri" w:cs="Calibri"/>
        </w:rPr>
        <w:t>4</w:t>
      </w:r>
      <w:r w:rsidR="00A640AE" w:rsidRPr="00743797">
        <w:rPr>
          <w:rFonts w:ascii="Calibri" w:hAnsi="Calibri" w:cs="Calibri"/>
        </w:rPr>
        <w:t xml:space="preserve">. </w:t>
      </w:r>
      <w:r w:rsidR="00564E8F">
        <w:rPr>
          <w:rFonts w:ascii="Calibri" w:hAnsi="Calibri" w:cs="Calibri"/>
        </w:rPr>
        <w:tab/>
      </w:r>
      <w:r w:rsidR="00A640AE" w:rsidRPr="00743797">
        <w:rPr>
          <w:rFonts w:cs="Calibri"/>
        </w:rPr>
        <w:t>Závěrečný</w:t>
      </w:r>
      <w:r w:rsidR="00A640AE" w:rsidRPr="00743797">
        <w:rPr>
          <w:rFonts w:ascii="Calibri" w:hAnsi="Calibri" w:cs="Calibri"/>
        </w:rPr>
        <w:t xml:space="preserve"> účet kapitoly </w:t>
      </w:r>
      <w:r w:rsidR="000D1EC1" w:rsidRPr="00743797">
        <w:rPr>
          <w:rFonts w:ascii="Calibri" w:hAnsi="Calibri" w:cs="Calibri"/>
        </w:rPr>
        <w:t>3</w:t>
      </w:r>
      <w:r w:rsidR="00743797" w:rsidRPr="00743797">
        <w:rPr>
          <w:rFonts w:ascii="Calibri" w:hAnsi="Calibri" w:cs="Calibri"/>
        </w:rPr>
        <w:t>17</w:t>
      </w:r>
      <w:r w:rsidR="00B022F8">
        <w:rPr>
          <w:rFonts w:ascii="Calibri" w:hAnsi="Calibri" w:cs="Calibri"/>
        </w:rPr>
        <w:t xml:space="preserve"> –</w:t>
      </w:r>
      <w:r w:rsidR="00A640AE" w:rsidRPr="00743797">
        <w:rPr>
          <w:rFonts w:ascii="Calibri" w:hAnsi="Calibri" w:cs="Calibri"/>
        </w:rPr>
        <w:t xml:space="preserve"> </w:t>
      </w:r>
      <w:r w:rsidR="00A640AE" w:rsidRPr="00F06243">
        <w:rPr>
          <w:rFonts w:ascii="Calibri" w:hAnsi="Calibri" w:cs="Calibri"/>
          <w:i/>
        </w:rPr>
        <w:t>M</w:t>
      </w:r>
      <w:r w:rsidR="00B022F8" w:rsidRPr="00F06243">
        <w:rPr>
          <w:rFonts w:ascii="Calibri" w:hAnsi="Calibri" w:cs="Calibri"/>
          <w:i/>
        </w:rPr>
        <w:t>inisterstvo pro místní rozvoj</w:t>
      </w:r>
      <w:r w:rsidR="00A640AE" w:rsidRPr="00743797">
        <w:rPr>
          <w:rFonts w:ascii="Calibri" w:hAnsi="Calibri" w:cs="Calibri"/>
        </w:rPr>
        <w:t xml:space="preserve"> </w:t>
      </w:r>
      <w:r w:rsidR="00564E8F">
        <w:rPr>
          <w:rFonts w:ascii="Calibri" w:hAnsi="Calibri" w:cs="Calibri"/>
        </w:rPr>
        <w:t xml:space="preserve">(dále také „317 MMR) </w:t>
      </w:r>
      <w:r w:rsidR="00A640AE" w:rsidRPr="00743797">
        <w:rPr>
          <w:rFonts w:ascii="Calibri" w:hAnsi="Calibri" w:cs="Calibri"/>
        </w:rPr>
        <w:t>za rok 201</w:t>
      </w:r>
      <w:r w:rsidR="00BD1756" w:rsidRPr="00743797">
        <w:rPr>
          <w:rFonts w:ascii="Calibri" w:hAnsi="Calibri" w:cs="Calibri"/>
        </w:rPr>
        <w:t>8</w:t>
      </w:r>
    </w:p>
    <w:p w14:paraId="05DBB7A0" w14:textId="12D7CD57" w:rsidR="005D79F3" w:rsidRPr="00743797" w:rsidRDefault="00BF536A" w:rsidP="00BA0F46">
      <w:pPr>
        <w:pStyle w:val="Nadpis3"/>
        <w:numPr>
          <w:ilvl w:val="0"/>
          <w:numId w:val="0"/>
        </w:numPr>
        <w:spacing w:after="120"/>
        <w:ind w:left="357" w:hanging="357"/>
        <w:contextualSpacing w:val="0"/>
      </w:pPr>
      <w:r>
        <w:t>4</w:t>
      </w:r>
      <w:r w:rsidR="005D79F3" w:rsidRPr="00743797">
        <w:t>.1 Shrnutí</w:t>
      </w:r>
    </w:p>
    <w:p w14:paraId="59202CCC" w14:textId="77777777" w:rsidR="00BA6E7E" w:rsidRPr="00C33362" w:rsidRDefault="00BA6E7E" w:rsidP="00BA0F46">
      <w:pPr>
        <w:keepNext/>
        <w:spacing w:after="0"/>
        <w:jc w:val="both"/>
        <w:rPr>
          <w:rFonts w:cs="Calibri"/>
        </w:rPr>
      </w:pPr>
      <w:r w:rsidRPr="00C33362">
        <w:rPr>
          <w:rFonts w:cs="Calibri"/>
        </w:rPr>
        <w:t>Za rok 2018 byly v souladu s vyhláškou č. 419/2001 Sb.</w:t>
      </w:r>
      <w:r w:rsidR="00563BEB">
        <w:rPr>
          <w:rFonts w:cs="Calibri"/>
        </w:rPr>
        <w:t>,</w:t>
      </w:r>
      <w:r w:rsidR="00563BEB" w:rsidRPr="00563BEB">
        <w:t xml:space="preserve"> </w:t>
      </w:r>
      <w:r w:rsidR="00563BEB" w:rsidRPr="00563BEB">
        <w:rPr>
          <w:rFonts w:cs="Calibri"/>
        </w:rPr>
        <w:t>o rozsahu, struktuře a termínech údajů předkládaných pro vypracování návrhu státního závěrečného účtu a o rozsahu a termínech sestavení návrhů závěrečných účtů kapitol státního rozpočtu</w:t>
      </w:r>
      <w:r w:rsidR="00563BEB">
        <w:rPr>
          <w:rFonts w:cs="Calibri"/>
        </w:rPr>
        <w:t>,</w:t>
      </w:r>
      <w:r w:rsidRPr="00C33362">
        <w:rPr>
          <w:rFonts w:cs="Calibri"/>
        </w:rPr>
        <w:t xml:space="preserve"> podkladem pro sestavení </w:t>
      </w:r>
      <w:r w:rsidRPr="00C33362">
        <w:rPr>
          <w:rFonts w:cs="Calibri"/>
        </w:rPr>
        <w:lastRenderedPageBreak/>
        <w:t>závěrečného účtu vstupní údaje v rozpočtovém systému, finanční výkazy</w:t>
      </w:r>
      <w:r w:rsidRPr="00C33362">
        <w:rPr>
          <w:rStyle w:val="Znakapoznpodarou"/>
          <w:rFonts w:cs="Calibri"/>
        </w:rPr>
        <w:footnoteReference w:id="13"/>
      </w:r>
      <w:r w:rsidRPr="00C33362">
        <w:rPr>
          <w:rFonts w:cs="Calibri"/>
        </w:rPr>
        <w:t xml:space="preserve"> a údaje analytických evidencí.</w:t>
      </w:r>
    </w:p>
    <w:p w14:paraId="42636660" w14:textId="77777777" w:rsidR="00C159BE" w:rsidRPr="00DB6C92" w:rsidRDefault="00A640AE" w:rsidP="00B30899">
      <w:pPr>
        <w:spacing w:after="0"/>
        <w:jc w:val="both"/>
        <w:rPr>
          <w:rFonts w:cs="Calibri"/>
          <w:highlight w:val="yellow"/>
        </w:rPr>
      </w:pPr>
      <w:r w:rsidRPr="00DB6C92">
        <w:rPr>
          <w:rFonts w:cs="Calibri"/>
          <w:noProof/>
          <w:highlight w:val="yellow"/>
          <w:lang w:eastAsia="cs-CZ"/>
        </w:rPr>
        <mc:AlternateContent>
          <mc:Choice Requires="wps">
            <w:drawing>
              <wp:anchor distT="0" distB="0" distL="114300" distR="114300" simplePos="0" relativeHeight="251661312" behindDoc="0" locked="0" layoutInCell="1" allowOverlap="1" wp14:anchorId="4A164B48" wp14:editId="7C4B87AC">
                <wp:simplePos x="0" y="0"/>
                <wp:positionH relativeFrom="margin">
                  <wp:align>left</wp:align>
                </wp:positionH>
                <wp:positionV relativeFrom="paragraph">
                  <wp:posOffset>190500</wp:posOffset>
                </wp:positionV>
                <wp:extent cx="5762625" cy="1057275"/>
                <wp:effectExtent l="0" t="0" r="9525" b="9525"/>
                <wp:wrapTopAndBottom/>
                <wp:docPr id="3" name="Textové pole 3"/>
                <wp:cNvGraphicFramePr/>
                <a:graphic xmlns:a="http://schemas.openxmlformats.org/drawingml/2006/main">
                  <a:graphicData uri="http://schemas.microsoft.com/office/word/2010/wordprocessingShape">
                    <wps:wsp>
                      <wps:cNvSpPr txBox="1"/>
                      <wps:spPr>
                        <a:xfrm>
                          <a:off x="0" y="0"/>
                          <a:ext cx="5762625" cy="1057275"/>
                        </a:xfrm>
                        <a:prstGeom prst="rect">
                          <a:avLst/>
                        </a:prstGeom>
                        <a:solidFill>
                          <a:srgbClr val="E5F1FF"/>
                        </a:solidFill>
                        <a:ln w="6350">
                          <a:noFill/>
                        </a:ln>
                      </wps:spPr>
                      <wps:txbx>
                        <w:txbxContent>
                          <w:p w14:paraId="7C9E1CBA" w14:textId="305E40FB" w:rsidR="00E71D49" w:rsidRPr="00C33362" w:rsidRDefault="00E71D49" w:rsidP="00BD1756">
                            <w:pPr>
                              <w:shd w:val="clear" w:color="auto" w:fill="E5F1FF"/>
                              <w:spacing w:before="40" w:after="40"/>
                              <w:jc w:val="both"/>
                              <w:rPr>
                                <w:rFonts w:cs="Arial"/>
                              </w:rPr>
                            </w:pPr>
                            <w:r>
                              <w:rPr>
                                <w:rFonts w:cs="Arial"/>
                                <w:b/>
                              </w:rPr>
                              <w:t>Kontrolou závěrečného účtu kapitoly 317 MMR za rok 2018 byla zjištěna neúplnost některých povinně uváděných údajů. Některé informace</w:t>
                            </w:r>
                            <w:r>
                              <w:rPr>
                                <w:rFonts w:cs="Arial"/>
                              </w:rPr>
                              <w:t xml:space="preserve"> </w:t>
                            </w:r>
                            <w:r w:rsidRPr="00752A7B">
                              <w:rPr>
                                <w:rFonts w:cs="Arial"/>
                                <w:b/>
                              </w:rPr>
                              <w:t>byl</w:t>
                            </w:r>
                            <w:r>
                              <w:rPr>
                                <w:rFonts w:cs="Arial"/>
                                <w:b/>
                              </w:rPr>
                              <w:t>y navíc zatíženy nesprávnostmi,</w:t>
                            </w:r>
                            <w:r w:rsidRPr="00E153D6">
                              <w:rPr>
                                <w:b/>
                              </w:rPr>
                              <w:t xml:space="preserve"> </w:t>
                            </w:r>
                            <w:r>
                              <w:rPr>
                                <w:b/>
                              </w:rPr>
                              <w:t xml:space="preserve">které ale v souhrnu neměly dopad na celkovou vypovídací schopnost závěrečného účtu </w:t>
                            </w:r>
                            <w:r w:rsidRPr="00C33362">
                              <w:rPr>
                                <w:rFonts w:cs="Arial"/>
                              </w:rPr>
                              <w:t>(viz část IV.</w:t>
                            </w:r>
                            <w:r>
                              <w:rPr>
                                <w:rFonts w:cs="Arial"/>
                              </w:rPr>
                              <w:t>4</w:t>
                            </w:r>
                            <w:r w:rsidRPr="00C33362">
                              <w:rPr>
                                <w:rFonts w:cs="Arial"/>
                              </w:rPr>
                              <w:t>. tohoto kontrolního závěru).</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4B48" id="_x0000_t202" coordsize="21600,21600" o:spt="202" path="m,l,21600r21600,l21600,xe">
                <v:stroke joinstyle="miter"/>
                <v:path gradientshapeok="t" o:connecttype="rect"/>
              </v:shapetype>
              <v:shape id="Textové pole 3" o:spid="_x0000_s1026" type="#_x0000_t202" style="position:absolute;left:0;text-align:left;margin-left:0;margin-top:15pt;width:453.75pt;height:8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" fillcolor="#e5f1ff" stroked="f" strokeweight=".5pt">
                <v:textbox>
                  <w:txbxContent>
                    <w:p w14:paraId="7C9E1CBA" w14:textId="305E40FB" w:rsidR="00E71D49" w:rsidRPr="00C33362" w:rsidRDefault="00E71D49" w:rsidP="00BD1756">
                      <w:pPr>
                        <w:shd w:val="clear" w:color="auto" w:fill="E5F1FF"/>
                        <w:spacing w:before="40" w:after="40"/>
                        <w:jc w:val="both"/>
                        <w:rPr>
                          <w:rFonts w:cs="Arial"/>
                        </w:rPr>
                      </w:pPr>
                      <w:r>
                        <w:rPr>
                          <w:rFonts w:cs="Arial"/>
                          <w:b/>
                        </w:rPr>
                        <w:t>Kontrolou závěrečného účtu kapitoly 317 MMR za rok 2018 byla zjištěna neúplnost některých povinně uváděných údajů. Některé informace</w:t>
                      </w:r>
                      <w:r>
                        <w:rPr>
                          <w:rFonts w:cs="Arial"/>
                        </w:rPr>
                        <w:t xml:space="preserve"> </w:t>
                      </w:r>
                      <w:r w:rsidRPr="00752A7B">
                        <w:rPr>
                          <w:rFonts w:cs="Arial"/>
                          <w:b/>
                        </w:rPr>
                        <w:t>byl</w:t>
                      </w:r>
                      <w:r>
                        <w:rPr>
                          <w:rFonts w:cs="Arial"/>
                          <w:b/>
                        </w:rPr>
                        <w:t>y navíc zatíženy nesprávnostmi,</w:t>
                      </w:r>
                      <w:r w:rsidRPr="00E153D6">
                        <w:rPr>
                          <w:b/>
                        </w:rPr>
                        <w:t xml:space="preserve"> </w:t>
                      </w:r>
                      <w:r>
                        <w:rPr>
                          <w:b/>
                        </w:rPr>
                        <w:t xml:space="preserve">které ale v souhrnu neměly dopad na celkovou vypovídací schopnost závěrečného účtu </w:t>
                      </w:r>
                      <w:r w:rsidRPr="00C33362">
                        <w:rPr>
                          <w:rFonts w:cs="Arial"/>
                        </w:rPr>
                        <w:t>(viz část IV.</w:t>
                      </w:r>
                      <w:r>
                        <w:rPr>
                          <w:rFonts w:cs="Arial"/>
                        </w:rPr>
                        <w:t>4</w:t>
                      </w:r>
                      <w:r w:rsidRPr="00C33362">
                        <w:rPr>
                          <w:rFonts w:cs="Arial"/>
                        </w:rPr>
                        <w:t>. tohoto kontrolního závěru).</w:t>
                      </w:r>
                    </w:p>
                  </w:txbxContent>
                </v:textbox>
                <w10:wrap type="topAndBottom" anchorx="margin"/>
              </v:shape>
            </w:pict>
          </mc:Fallback>
        </mc:AlternateContent>
      </w:r>
    </w:p>
    <w:p w14:paraId="7A5B49A9" w14:textId="77777777" w:rsidR="00C801D9" w:rsidRPr="00DB6C92" w:rsidRDefault="00C801D9" w:rsidP="00C801D9">
      <w:pPr>
        <w:spacing w:after="0"/>
        <w:jc w:val="both"/>
        <w:rPr>
          <w:rFonts w:cs="Calibri"/>
          <w:highlight w:val="yellow"/>
        </w:rPr>
      </w:pPr>
    </w:p>
    <w:p w14:paraId="1B25E1F7" w14:textId="59B30D99" w:rsidR="005D79F3" w:rsidRPr="00135042" w:rsidRDefault="00BF536A" w:rsidP="005D79F3">
      <w:pPr>
        <w:pStyle w:val="Nadpis3"/>
        <w:numPr>
          <w:ilvl w:val="0"/>
          <w:numId w:val="0"/>
        </w:numPr>
        <w:spacing w:after="120"/>
        <w:ind w:left="357" w:hanging="357"/>
        <w:contextualSpacing w:val="0"/>
      </w:pPr>
      <w:r>
        <w:t>4</w:t>
      </w:r>
      <w:r w:rsidR="005D79F3" w:rsidRPr="00135042">
        <w:t>.2 Vyhodnocení</w:t>
      </w:r>
    </w:p>
    <w:p w14:paraId="175A8717" w14:textId="79F04A8D" w:rsidR="005D79F3" w:rsidRPr="00774805" w:rsidRDefault="005D79F3" w:rsidP="005D79F3">
      <w:pPr>
        <w:spacing w:after="0"/>
        <w:jc w:val="both"/>
        <w:rPr>
          <w:rFonts w:cs="Calibri"/>
          <w:b/>
        </w:rPr>
      </w:pPr>
      <w:r w:rsidRPr="00774805">
        <w:rPr>
          <w:rFonts w:cs="Calibri"/>
          <w:b/>
        </w:rPr>
        <w:t>NKÚ dlouhodobě</w:t>
      </w:r>
      <w:r w:rsidRPr="00774805">
        <w:rPr>
          <w:rStyle w:val="Znakapoznpodarou"/>
          <w:rFonts w:cs="Calibri"/>
        </w:rPr>
        <w:footnoteReference w:id="14"/>
      </w:r>
      <w:r w:rsidRPr="00774805">
        <w:rPr>
          <w:rFonts w:cs="Calibri"/>
          <w:b/>
        </w:rPr>
        <w:t xml:space="preserve"> upozorňuje na </w:t>
      </w:r>
      <w:r w:rsidR="002D0C97">
        <w:rPr>
          <w:rFonts w:cs="Calibri"/>
          <w:b/>
        </w:rPr>
        <w:t>skutečnost</w:t>
      </w:r>
      <w:r w:rsidRPr="00774805">
        <w:rPr>
          <w:rFonts w:cs="Calibri"/>
          <w:b/>
        </w:rPr>
        <w:t>,</w:t>
      </w:r>
      <w:r w:rsidRPr="00774805">
        <w:rPr>
          <w:rFonts w:cs="Calibri"/>
        </w:rPr>
        <w:t xml:space="preserve"> </w:t>
      </w:r>
      <w:r w:rsidRPr="00774805">
        <w:rPr>
          <w:rFonts w:cs="Calibri"/>
          <w:b/>
        </w:rPr>
        <w:t>že rozsah informací,</w:t>
      </w:r>
      <w:r w:rsidRPr="00774805">
        <w:rPr>
          <w:rFonts w:cs="Calibri"/>
        </w:rPr>
        <w:t xml:space="preserve"> kt</w:t>
      </w:r>
      <w:r w:rsidR="004C25B7" w:rsidRPr="00774805">
        <w:rPr>
          <w:rFonts w:cs="Calibri"/>
        </w:rPr>
        <w:t>eré jsou stanoveny vyhláškou č. </w:t>
      </w:r>
      <w:r w:rsidRPr="00774805">
        <w:rPr>
          <w:rFonts w:cs="Calibri"/>
        </w:rPr>
        <w:t>419/2001 Sb. jako povinně zveřejňované v závěrečném účtu</w:t>
      </w:r>
      <w:r w:rsidR="008D49BB">
        <w:rPr>
          <w:rFonts w:cs="Calibri"/>
        </w:rPr>
        <w:t xml:space="preserve"> kapitoly státního rozpočtu</w:t>
      </w:r>
      <w:r w:rsidRPr="00774805">
        <w:rPr>
          <w:rFonts w:cs="Calibri"/>
        </w:rPr>
        <w:t xml:space="preserve">, </w:t>
      </w:r>
      <w:r w:rsidR="004C25B7" w:rsidRPr="00774805">
        <w:rPr>
          <w:rFonts w:cs="Calibri"/>
          <w:b/>
        </w:rPr>
        <w:t>nebyl po roce 2010 doplněn o </w:t>
      </w:r>
      <w:r w:rsidRPr="00774805">
        <w:rPr>
          <w:rFonts w:cs="Calibri"/>
          <w:b/>
        </w:rPr>
        <w:t>další údaje, jejichž vykazování bylo účetní reformou v oblasti veřejných financí stanoveno a které o hospodaření s rozpočtovými prostředky</w:t>
      </w:r>
      <w:r w:rsidRPr="00774805">
        <w:rPr>
          <w:rStyle w:val="Znakapoznpodarou"/>
          <w:rFonts w:cs="Calibri"/>
          <w:b/>
        </w:rPr>
        <w:footnoteReference w:id="15"/>
      </w:r>
      <w:r w:rsidRPr="00774805">
        <w:rPr>
          <w:rFonts w:cs="Calibri"/>
          <w:b/>
        </w:rPr>
        <w:t xml:space="preserve"> v příslušném rozpočtovém roce vypovídají lépe než jen peněžní toky.</w:t>
      </w:r>
      <w:r w:rsidRPr="00774805">
        <w:rPr>
          <w:rFonts w:cs="Calibri"/>
        </w:rPr>
        <w:t xml:space="preserve"> Ukazují totiž nejen peněžní toky, ale i náklady a výnosy za příslušné rozpočtové období</w:t>
      </w:r>
      <w:r w:rsidR="002014C2" w:rsidRPr="00774805">
        <w:rPr>
          <w:rFonts w:cs="Calibri"/>
        </w:rPr>
        <w:t>,</w:t>
      </w:r>
      <w:r w:rsidRPr="00774805">
        <w:rPr>
          <w:rFonts w:cs="Calibri"/>
        </w:rPr>
        <w:t xml:space="preserve"> nároky (pohledávky)</w:t>
      </w:r>
      <w:r w:rsidRPr="00774805">
        <w:rPr>
          <w:rStyle w:val="Znakapoznpodarou"/>
          <w:rFonts w:cs="Calibri"/>
        </w:rPr>
        <w:footnoteReference w:id="16"/>
      </w:r>
      <w:r w:rsidRPr="00774805">
        <w:rPr>
          <w:rFonts w:cs="Calibri"/>
        </w:rPr>
        <w:t xml:space="preserve"> a</w:t>
      </w:r>
      <w:r w:rsidR="00F63871">
        <w:rPr>
          <w:rFonts w:cs="Calibri"/>
        </w:rPr>
        <w:t> </w:t>
      </w:r>
      <w:r w:rsidRPr="00774805">
        <w:rPr>
          <w:rFonts w:cs="Calibri"/>
        </w:rPr>
        <w:t xml:space="preserve">závazky existující ke konci rozpočtového roku a </w:t>
      </w:r>
      <w:r w:rsidR="002014C2" w:rsidRPr="00774805">
        <w:rPr>
          <w:rFonts w:cs="Calibri"/>
        </w:rPr>
        <w:t>také</w:t>
      </w:r>
      <w:r w:rsidRPr="00774805">
        <w:rPr>
          <w:rFonts w:cs="Calibri"/>
        </w:rPr>
        <w:t xml:space="preserve"> potenciální nároky (podmíněné pohledávky) a potenciální závazky (podmíněné závazky).</w:t>
      </w:r>
    </w:p>
    <w:p w14:paraId="06FD4657" w14:textId="77777777" w:rsidR="005D79F3" w:rsidRPr="00DB6C92" w:rsidRDefault="005D79F3" w:rsidP="005D79F3">
      <w:pPr>
        <w:spacing w:after="0"/>
        <w:jc w:val="both"/>
        <w:rPr>
          <w:rFonts w:cs="Calibri"/>
          <w:highlight w:val="yellow"/>
        </w:rPr>
      </w:pPr>
    </w:p>
    <w:p w14:paraId="3D8027EF" w14:textId="04CFA8E8" w:rsidR="005D79F3" w:rsidRPr="00DB6C92" w:rsidRDefault="005D79F3" w:rsidP="005D79F3">
      <w:pPr>
        <w:spacing w:after="0"/>
        <w:jc w:val="both"/>
        <w:rPr>
          <w:rFonts w:cs="Calibri"/>
          <w:b/>
          <w:highlight w:val="yellow"/>
        </w:rPr>
      </w:pPr>
      <w:r w:rsidRPr="00774805">
        <w:rPr>
          <w:rFonts w:cs="Calibri"/>
          <w:b/>
        </w:rPr>
        <w:t>Všechny tyto informace umožňují podat celkový obraz o výsledku hospodaření v daném roce nezkreslený o ekonomické dopady a zátěže působící na jiná období</w:t>
      </w:r>
      <w:r w:rsidR="00F63871" w:rsidRPr="00F06243">
        <w:rPr>
          <w:rFonts w:cs="Calibri"/>
          <w:b/>
        </w:rPr>
        <w:t>.</w:t>
      </w:r>
      <w:r w:rsidR="00F63871">
        <w:rPr>
          <w:rFonts w:cs="Calibri"/>
        </w:rPr>
        <w:t xml:space="preserve"> Zatímco např. </w:t>
      </w:r>
      <w:r w:rsidRPr="00774805">
        <w:rPr>
          <w:rFonts w:cs="Calibri"/>
        </w:rPr>
        <w:t>odložení úhrady závazků vede u peněžně založeného systému, tedy i v případě finančních výkazů, k dosažení rozpočtově lepšího výsledku hospodaření, v akruálně</w:t>
      </w:r>
      <w:r w:rsidRPr="00774805">
        <w:rPr>
          <w:rStyle w:val="Znakapoznpodarou"/>
          <w:rFonts w:cs="Calibri"/>
        </w:rPr>
        <w:footnoteReference w:id="17"/>
      </w:r>
      <w:r w:rsidRPr="00774805">
        <w:rPr>
          <w:rFonts w:cs="Calibri"/>
        </w:rPr>
        <w:t xml:space="preserve"> založeném účetnictví takový postup k dosažení lepšího výsledku hospodaření nevede</w:t>
      </w:r>
      <w:r w:rsidRPr="00774805">
        <w:rPr>
          <w:rStyle w:val="Znakapoznpodarou"/>
          <w:rFonts w:cs="Calibri"/>
        </w:rPr>
        <w:footnoteReference w:id="18"/>
      </w:r>
      <w:r w:rsidRPr="00774805">
        <w:rPr>
          <w:rFonts w:cs="Calibri"/>
        </w:rPr>
        <w:t>. Náklady zatíží výsledek hospodaření již při vzniku závazku, ne až v okamžiku jeho úhrady.</w:t>
      </w:r>
    </w:p>
    <w:p w14:paraId="7888DBBB" w14:textId="77777777" w:rsidR="005D79F3" w:rsidRPr="00DB6C92" w:rsidRDefault="005D79F3" w:rsidP="005D79F3">
      <w:pPr>
        <w:spacing w:after="0"/>
        <w:jc w:val="both"/>
        <w:rPr>
          <w:rFonts w:cs="Calibri"/>
          <w:highlight w:val="yellow"/>
        </w:rPr>
      </w:pPr>
    </w:p>
    <w:p w14:paraId="356281F5" w14:textId="3F82CDA6" w:rsidR="002D0C97" w:rsidRDefault="005D79F3" w:rsidP="005D79F3">
      <w:pPr>
        <w:spacing w:after="0"/>
        <w:jc w:val="both"/>
        <w:rPr>
          <w:rFonts w:cs="Calibri"/>
        </w:rPr>
      </w:pPr>
      <w:r w:rsidRPr="00774805">
        <w:rPr>
          <w:rFonts w:cs="Calibri"/>
          <w:b/>
        </w:rPr>
        <w:t xml:space="preserve">V případě, že by výsledky rozpočtového hospodaření byly správcem kapitoly státního rozpočtu povinně hodnoceny na bázi peněžních toků i na akruální bázi, </w:t>
      </w:r>
      <w:r w:rsidR="005127E7">
        <w:rPr>
          <w:rFonts w:cs="Calibri"/>
          <w:b/>
        </w:rPr>
        <w:t xml:space="preserve">bylo </w:t>
      </w:r>
      <w:r w:rsidRPr="00774805">
        <w:rPr>
          <w:rFonts w:cs="Calibri"/>
          <w:b/>
        </w:rPr>
        <w:t>by u M</w:t>
      </w:r>
      <w:r w:rsidR="00774805" w:rsidRPr="00774805">
        <w:rPr>
          <w:rFonts w:cs="Calibri"/>
          <w:b/>
        </w:rPr>
        <w:t>MR</w:t>
      </w:r>
      <w:r w:rsidRPr="00774805">
        <w:rPr>
          <w:rFonts w:cs="Calibri"/>
          <w:b/>
        </w:rPr>
        <w:t xml:space="preserve"> za</w:t>
      </w:r>
      <w:r w:rsidR="00A73898" w:rsidRPr="00774805">
        <w:rPr>
          <w:rFonts w:cs="Calibri"/>
          <w:b/>
        </w:rPr>
        <w:t xml:space="preserve"> </w:t>
      </w:r>
      <w:r w:rsidRPr="00774805">
        <w:rPr>
          <w:rFonts w:cs="Calibri"/>
          <w:b/>
        </w:rPr>
        <w:lastRenderedPageBreak/>
        <w:t xml:space="preserve">rok 2018 uvedeno, že výsledné saldo peněžních toků dle finančních výkazů byl </w:t>
      </w:r>
      <w:r w:rsidR="00774805" w:rsidRPr="00774805">
        <w:rPr>
          <w:rFonts w:cs="Calibri"/>
          <w:b/>
        </w:rPr>
        <w:t>přebytek</w:t>
      </w:r>
      <w:r w:rsidRPr="00774805">
        <w:rPr>
          <w:rFonts w:cs="Calibri"/>
          <w:b/>
        </w:rPr>
        <w:t xml:space="preserve"> ve výši </w:t>
      </w:r>
      <w:r w:rsidR="00774805" w:rsidRPr="00774805">
        <w:rPr>
          <w:rFonts w:cs="Calibri"/>
          <w:b/>
        </w:rPr>
        <w:t>2</w:t>
      </w:r>
      <w:r w:rsidR="00563BEB">
        <w:rPr>
          <w:rFonts w:cs="Calibri"/>
          <w:b/>
        </w:rPr>
        <w:t>,</w:t>
      </w:r>
      <w:r w:rsidR="00774805" w:rsidRPr="00774805">
        <w:rPr>
          <w:rFonts w:cs="Calibri"/>
          <w:b/>
        </w:rPr>
        <w:t>01</w:t>
      </w:r>
      <w:r w:rsidR="00563BEB">
        <w:rPr>
          <w:rFonts w:cs="Calibri"/>
          <w:b/>
        </w:rPr>
        <w:t xml:space="preserve"> mld.</w:t>
      </w:r>
      <w:r w:rsidR="00774805" w:rsidRPr="00774805">
        <w:rPr>
          <w:rFonts w:cs="Calibri"/>
          <w:b/>
        </w:rPr>
        <w:t xml:space="preserve"> Kč</w:t>
      </w:r>
      <w:r w:rsidRPr="00774805">
        <w:rPr>
          <w:rFonts w:cs="Calibri"/>
          <w:b/>
        </w:rPr>
        <w:t xml:space="preserve"> a hospodářský výsledek běžného účetního období dle účetního výkazu zisku a ztráty byla ztráta ve výši </w:t>
      </w:r>
      <w:r w:rsidR="00A73898" w:rsidRPr="00774805">
        <w:rPr>
          <w:rFonts w:cs="Calibri"/>
          <w:b/>
        </w:rPr>
        <w:t>−</w:t>
      </w:r>
      <w:r w:rsidR="00774805" w:rsidRPr="00774805">
        <w:rPr>
          <w:rFonts w:cs="Calibri"/>
          <w:b/>
        </w:rPr>
        <w:t>3</w:t>
      </w:r>
      <w:r w:rsidR="00563BEB">
        <w:rPr>
          <w:rFonts w:cs="Calibri"/>
          <w:b/>
        </w:rPr>
        <w:t>,</w:t>
      </w:r>
      <w:r w:rsidR="00774805" w:rsidRPr="00774805">
        <w:rPr>
          <w:rFonts w:cs="Calibri"/>
          <w:b/>
        </w:rPr>
        <w:t>9</w:t>
      </w:r>
      <w:r w:rsidR="00DF573B">
        <w:rPr>
          <w:rFonts w:cs="Calibri"/>
          <w:b/>
        </w:rPr>
        <w:t>0</w:t>
      </w:r>
      <w:r w:rsidR="00563BEB">
        <w:rPr>
          <w:rFonts w:cs="Calibri"/>
          <w:b/>
        </w:rPr>
        <w:t xml:space="preserve"> mld.</w:t>
      </w:r>
      <w:r w:rsidR="00774805" w:rsidRPr="00774805">
        <w:rPr>
          <w:rFonts w:cs="Calibri"/>
          <w:b/>
        </w:rPr>
        <w:t xml:space="preserve"> </w:t>
      </w:r>
      <w:r w:rsidR="00774805" w:rsidRPr="00E6240D">
        <w:rPr>
          <w:rFonts w:cs="Calibri"/>
          <w:b/>
        </w:rPr>
        <w:t>Kč</w:t>
      </w:r>
      <w:r w:rsidRPr="00E6240D">
        <w:rPr>
          <w:rFonts w:cs="Calibri"/>
          <w:b/>
        </w:rPr>
        <w:t xml:space="preserve"> </w:t>
      </w:r>
      <w:r w:rsidRPr="00BE52B3">
        <w:rPr>
          <w:rFonts w:cs="Calibri"/>
        </w:rPr>
        <w:t>(</w:t>
      </w:r>
      <w:r w:rsidR="002014C2" w:rsidRPr="00AE5596">
        <w:rPr>
          <w:rFonts w:cs="Calibri"/>
        </w:rPr>
        <w:t>blíže</w:t>
      </w:r>
      <w:r w:rsidRPr="00AE5596">
        <w:rPr>
          <w:rFonts w:cs="Calibri"/>
        </w:rPr>
        <w:t xml:space="preserve"> viz příloha č.</w:t>
      </w:r>
      <w:r w:rsidR="00A73898" w:rsidRPr="00AE5596">
        <w:rPr>
          <w:rFonts w:cs="Calibri"/>
        </w:rPr>
        <w:t xml:space="preserve"> </w:t>
      </w:r>
      <w:r w:rsidR="005F5320" w:rsidRPr="00AE5596">
        <w:rPr>
          <w:rFonts w:cs="Calibri"/>
        </w:rPr>
        <w:t>2</w:t>
      </w:r>
      <w:r w:rsidRPr="00AE5596">
        <w:rPr>
          <w:rFonts w:cs="Calibri"/>
        </w:rPr>
        <w:t xml:space="preserve"> tohoto kontrolního závěru</w:t>
      </w:r>
      <w:r w:rsidRPr="00E6240D">
        <w:rPr>
          <w:rFonts w:cs="Calibri"/>
        </w:rPr>
        <w:t>).</w:t>
      </w:r>
      <w:r w:rsidRPr="00774805">
        <w:rPr>
          <w:rFonts w:cs="Calibri"/>
        </w:rPr>
        <w:t xml:space="preserve"> </w:t>
      </w:r>
    </w:p>
    <w:p w14:paraId="1F205292" w14:textId="77777777" w:rsidR="002D0C97" w:rsidRDefault="002D0C97" w:rsidP="005D79F3">
      <w:pPr>
        <w:spacing w:after="0"/>
        <w:jc w:val="both"/>
        <w:rPr>
          <w:rFonts w:cs="Calibri"/>
        </w:rPr>
      </w:pPr>
    </w:p>
    <w:p w14:paraId="360C7837" w14:textId="5E75A337" w:rsidR="005D79F3" w:rsidRDefault="005D79F3" w:rsidP="005D79F3">
      <w:pPr>
        <w:spacing w:after="0"/>
        <w:jc w:val="both"/>
        <w:rPr>
          <w:rFonts w:cs="Calibri"/>
        </w:rPr>
      </w:pPr>
      <w:r w:rsidRPr="001118F1">
        <w:rPr>
          <w:rFonts w:cs="Calibri"/>
        </w:rPr>
        <w:t xml:space="preserve">Rozdíl mezi saldem peněžních toků dle finančních výkazů a hospodářským výsledkem běžného účetního období dle výkazu zisku a ztráty </w:t>
      </w:r>
      <w:r w:rsidR="002014C2" w:rsidRPr="001118F1">
        <w:rPr>
          <w:rFonts w:cs="Calibri"/>
        </w:rPr>
        <w:t>vznikl</w:t>
      </w:r>
      <w:r w:rsidRPr="001118F1">
        <w:rPr>
          <w:rFonts w:cs="Calibri"/>
        </w:rPr>
        <w:t xml:space="preserve"> </w:t>
      </w:r>
      <w:r w:rsidR="00774805" w:rsidRPr="001118F1">
        <w:rPr>
          <w:rFonts w:cs="Calibri"/>
          <w:b/>
        </w:rPr>
        <w:t xml:space="preserve">zejména tím, že MMR inkasovalo v roce 2018 peněžní prostředky </w:t>
      </w:r>
      <w:r w:rsidR="000A78B3" w:rsidRPr="001118F1">
        <w:rPr>
          <w:rFonts w:cs="Calibri"/>
          <w:b/>
        </w:rPr>
        <w:t>od</w:t>
      </w:r>
      <w:r w:rsidR="00774805" w:rsidRPr="001118F1">
        <w:rPr>
          <w:rFonts w:cs="Calibri"/>
          <w:b/>
        </w:rPr>
        <w:t xml:space="preserve"> Národního fondu</w:t>
      </w:r>
      <w:r w:rsidR="000A78B3" w:rsidRPr="001118F1">
        <w:rPr>
          <w:rFonts w:cs="Calibri"/>
          <w:b/>
        </w:rPr>
        <w:t xml:space="preserve"> </w:t>
      </w:r>
      <w:r w:rsidR="002D0C97" w:rsidRPr="001118F1">
        <w:rPr>
          <w:rFonts w:cs="Calibri"/>
          <w:b/>
        </w:rPr>
        <w:t>jako náhradu</w:t>
      </w:r>
      <w:r w:rsidR="000A78B3" w:rsidRPr="001118F1">
        <w:rPr>
          <w:rFonts w:cs="Calibri"/>
          <w:b/>
        </w:rPr>
        <w:t xml:space="preserve"> z rozpočtu Evropské unie</w:t>
      </w:r>
      <w:r w:rsidR="002D0C97" w:rsidRPr="001118F1">
        <w:rPr>
          <w:rFonts w:cs="Calibri"/>
          <w:b/>
        </w:rPr>
        <w:t xml:space="preserve"> </w:t>
      </w:r>
      <w:r w:rsidR="00774805" w:rsidRPr="001118F1">
        <w:rPr>
          <w:rFonts w:cs="Calibri"/>
          <w:b/>
        </w:rPr>
        <w:t xml:space="preserve">za </w:t>
      </w:r>
      <w:r w:rsidR="001C4BBF" w:rsidRPr="001118F1">
        <w:rPr>
          <w:rFonts w:cs="Calibri"/>
          <w:b/>
        </w:rPr>
        <w:t xml:space="preserve">transfery </w:t>
      </w:r>
      <w:r w:rsidR="00774805" w:rsidRPr="001118F1">
        <w:rPr>
          <w:rFonts w:cs="Calibri"/>
          <w:b/>
        </w:rPr>
        <w:t>předfinancov</w:t>
      </w:r>
      <w:r w:rsidR="001C4BBF" w:rsidRPr="001118F1">
        <w:rPr>
          <w:rFonts w:cs="Calibri"/>
          <w:b/>
        </w:rPr>
        <w:t xml:space="preserve">ané </w:t>
      </w:r>
      <w:r w:rsidR="002D0C97" w:rsidRPr="001118F1">
        <w:rPr>
          <w:rFonts w:cs="Calibri"/>
          <w:b/>
        </w:rPr>
        <w:t>ze státního rozpočtu.</w:t>
      </w:r>
      <w:r w:rsidR="001118F1" w:rsidRPr="001118F1">
        <w:rPr>
          <w:rFonts w:cs="Calibri"/>
          <w:b/>
        </w:rPr>
        <w:t xml:space="preserve"> </w:t>
      </w:r>
      <w:r w:rsidR="002D0C97" w:rsidRPr="001118F1">
        <w:rPr>
          <w:rFonts w:cs="Calibri"/>
          <w:b/>
        </w:rPr>
        <w:t>P</w:t>
      </w:r>
      <w:r w:rsidR="00774805" w:rsidRPr="001118F1">
        <w:rPr>
          <w:rFonts w:cs="Calibri"/>
          <w:b/>
        </w:rPr>
        <w:t>ohledávku</w:t>
      </w:r>
      <w:r w:rsidR="002D0C97" w:rsidRPr="001118F1">
        <w:rPr>
          <w:rFonts w:cs="Calibri"/>
          <w:b/>
        </w:rPr>
        <w:t xml:space="preserve"> za Národním fondem</w:t>
      </w:r>
      <w:r w:rsidR="00774805" w:rsidRPr="001118F1">
        <w:rPr>
          <w:rFonts w:cs="Calibri"/>
          <w:b/>
        </w:rPr>
        <w:t xml:space="preserve"> a</w:t>
      </w:r>
      <w:r w:rsidR="002D0C97" w:rsidRPr="001118F1">
        <w:rPr>
          <w:rFonts w:cs="Calibri"/>
          <w:b/>
        </w:rPr>
        <w:t xml:space="preserve"> s tím související</w:t>
      </w:r>
      <w:r w:rsidR="00774805" w:rsidRPr="001118F1">
        <w:rPr>
          <w:rFonts w:cs="Calibri"/>
          <w:b/>
        </w:rPr>
        <w:t xml:space="preserve"> výnos zaúčtovalo</w:t>
      </w:r>
      <w:r w:rsidR="002D0C97" w:rsidRPr="001118F1">
        <w:rPr>
          <w:rFonts w:cs="Calibri"/>
          <w:b/>
        </w:rPr>
        <w:t xml:space="preserve"> MMR</w:t>
      </w:r>
      <w:r w:rsidR="00774805" w:rsidRPr="001118F1">
        <w:rPr>
          <w:rFonts w:cs="Calibri"/>
          <w:b/>
        </w:rPr>
        <w:t xml:space="preserve"> již v předchozích letech. </w:t>
      </w:r>
      <w:r w:rsidR="005B70AC" w:rsidRPr="001118F1">
        <w:rPr>
          <w:rFonts w:cs="Calibri"/>
          <w:b/>
        </w:rPr>
        <w:t>T</w:t>
      </w:r>
      <w:r w:rsidR="006A6565" w:rsidRPr="001118F1">
        <w:rPr>
          <w:rFonts w:cs="Calibri"/>
          <w:b/>
        </w:rPr>
        <w:t>ato situace</w:t>
      </w:r>
      <w:r w:rsidR="005B70AC" w:rsidRPr="001118F1">
        <w:rPr>
          <w:rFonts w:cs="Calibri"/>
          <w:b/>
        </w:rPr>
        <w:t xml:space="preserve"> je příkladem rozdílu mezi výnosy</w:t>
      </w:r>
      <w:r w:rsidR="006A6565" w:rsidRPr="001118F1">
        <w:rPr>
          <w:rFonts w:cs="Calibri"/>
          <w:b/>
        </w:rPr>
        <w:t xml:space="preserve"> </w:t>
      </w:r>
      <w:r w:rsidR="005B70AC" w:rsidRPr="001118F1">
        <w:rPr>
          <w:rFonts w:cs="Calibri"/>
          <w:b/>
        </w:rPr>
        <w:t>představují</w:t>
      </w:r>
      <w:r w:rsidR="006A6565" w:rsidRPr="001118F1">
        <w:rPr>
          <w:rFonts w:cs="Calibri"/>
          <w:b/>
        </w:rPr>
        <w:t>cími</w:t>
      </w:r>
      <w:r w:rsidR="005B70AC" w:rsidRPr="001118F1">
        <w:rPr>
          <w:rFonts w:cs="Calibri"/>
          <w:b/>
        </w:rPr>
        <w:t xml:space="preserve"> </w:t>
      </w:r>
      <w:r w:rsidR="009A1F98">
        <w:rPr>
          <w:rFonts w:cs="Calibri"/>
          <w:b/>
        </w:rPr>
        <w:t>přírůstek ekonomického užitku</w:t>
      </w:r>
      <w:r w:rsidR="005B70AC" w:rsidRPr="001118F1">
        <w:rPr>
          <w:rFonts w:cs="Calibri"/>
          <w:b/>
        </w:rPr>
        <w:t xml:space="preserve"> a příjmy</w:t>
      </w:r>
      <w:r w:rsidR="00C91418" w:rsidRPr="001118F1">
        <w:rPr>
          <w:rFonts w:cs="Calibri"/>
          <w:b/>
        </w:rPr>
        <w:t xml:space="preserve">, které </w:t>
      </w:r>
      <w:r w:rsidR="006A6565" w:rsidRPr="001118F1">
        <w:rPr>
          <w:rFonts w:cs="Calibri"/>
          <w:b/>
        </w:rPr>
        <w:t>jsou</w:t>
      </w:r>
      <w:r w:rsidR="00C91418" w:rsidRPr="001118F1">
        <w:rPr>
          <w:rFonts w:cs="Calibri"/>
          <w:b/>
        </w:rPr>
        <w:t xml:space="preserve"> reálný</w:t>
      </w:r>
      <w:r w:rsidR="006A6565" w:rsidRPr="001118F1">
        <w:rPr>
          <w:rFonts w:cs="Calibri"/>
          <w:b/>
        </w:rPr>
        <w:t>m</w:t>
      </w:r>
      <w:r w:rsidR="00C91418" w:rsidRPr="001118F1">
        <w:rPr>
          <w:rFonts w:cs="Calibri"/>
          <w:b/>
        </w:rPr>
        <w:t xml:space="preserve"> pohyb</w:t>
      </w:r>
      <w:r w:rsidR="006A6565" w:rsidRPr="001118F1">
        <w:rPr>
          <w:rFonts w:cs="Calibri"/>
          <w:b/>
        </w:rPr>
        <w:t>em</w:t>
      </w:r>
      <w:r w:rsidR="00C91418" w:rsidRPr="001118F1">
        <w:rPr>
          <w:rFonts w:cs="Calibri"/>
          <w:b/>
        </w:rPr>
        <w:t xml:space="preserve"> peněz</w:t>
      </w:r>
      <w:r w:rsidR="005B70AC" w:rsidRPr="001118F1">
        <w:rPr>
          <w:rFonts w:cs="Calibri"/>
          <w:b/>
        </w:rPr>
        <w:t>.</w:t>
      </w:r>
    </w:p>
    <w:p w14:paraId="176CB345" w14:textId="77777777" w:rsidR="00DB31F1" w:rsidRPr="00DB31F1" w:rsidRDefault="00DB31F1" w:rsidP="005D79F3">
      <w:pPr>
        <w:spacing w:after="0"/>
        <w:jc w:val="both"/>
        <w:rPr>
          <w:rFonts w:cs="Calibri"/>
        </w:rPr>
      </w:pPr>
    </w:p>
    <w:p w14:paraId="40261703" w14:textId="7197D089" w:rsidR="006E504C" w:rsidRDefault="006E504C" w:rsidP="006E504C">
      <w:pPr>
        <w:spacing w:after="0"/>
        <w:jc w:val="both"/>
      </w:pPr>
      <w:r>
        <w:rPr>
          <w:rFonts w:cs="Calibri"/>
          <w:b/>
        </w:rPr>
        <w:t xml:space="preserve">Současně by byly uvedeny i další </w:t>
      </w:r>
      <w:r w:rsidR="002D0C97">
        <w:rPr>
          <w:rFonts w:cs="Calibri"/>
          <w:b/>
        </w:rPr>
        <w:t>informace</w:t>
      </w:r>
      <w:r>
        <w:rPr>
          <w:rFonts w:cs="Calibri"/>
          <w:b/>
        </w:rPr>
        <w:t xml:space="preserve">, např. </w:t>
      </w:r>
      <w:r w:rsidR="002D0C97">
        <w:rPr>
          <w:rFonts w:cs="Calibri"/>
          <w:b/>
        </w:rPr>
        <w:t>skutečnost</w:t>
      </w:r>
      <w:r>
        <w:rPr>
          <w:rFonts w:cs="Calibri"/>
          <w:b/>
        </w:rPr>
        <w:t xml:space="preserve">, že dle ÚZ má MMR k rozvahovému dni podmíněné závazky ve </w:t>
      </w:r>
      <w:r w:rsidRPr="00547F59">
        <w:rPr>
          <w:rFonts w:cs="Calibri"/>
          <w:b/>
        </w:rPr>
        <w:t>výši 48,3 mld. Kč</w:t>
      </w:r>
      <w:r w:rsidR="005127E7">
        <w:rPr>
          <w:rFonts w:cs="Calibri"/>
          <w:b/>
        </w:rPr>
        <w:t>,</w:t>
      </w:r>
      <w:r>
        <w:rPr>
          <w:rFonts w:eastAsiaTheme="minorHAnsi" w:cs="Calibri"/>
        </w:rPr>
        <w:t xml:space="preserve"> </w:t>
      </w:r>
      <w:r w:rsidR="005127E7">
        <w:t>které</w:t>
      </w:r>
      <w:r>
        <w:t xml:space="preserve"> jsou tvořeny </w:t>
      </w:r>
      <w:r w:rsidRPr="00547F59">
        <w:t>z 94,4 % dlouhodobými</w:t>
      </w:r>
      <w:r>
        <w:t xml:space="preserve"> podmíněnými závazky z transferů </w:t>
      </w:r>
      <w:r w:rsidR="0033740F">
        <w:t>z titulu</w:t>
      </w:r>
      <w:r>
        <w:t xml:space="preserve"> již vydan</w:t>
      </w:r>
      <w:r w:rsidR="0033740F">
        <w:t>ých</w:t>
      </w:r>
      <w:r>
        <w:t xml:space="preserve"> </w:t>
      </w:r>
      <w:r w:rsidR="00223E25">
        <w:t>r</w:t>
      </w:r>
      <w:r>
        <w:t xml:space="preserve">ozhodnutí o poskytnutí dotace, </w:t>
      </w:r>
      <w:r w:rsidRPr="004A2DEB">
        <w:t>z 3,5 %</w:t>
      </w:r>
      <w:r>
        <w:t xml:space="preserve"> dlouhodobými podmíněnými závazky ze sou</w:t>
      </w:r>
      <w:r w:rsidR="000E044D">
        <w:t>dních sporů, správních řízení a </w:t>
      </w:r>
      <w:r>
        <w:t xml:space="preserve">jiných řízení a </w:t>
      </w:r>
      <w:r w:rsidRPr="004A2DEB">
        <w:t>z</w:t>
      </w:r>
      <w:r w:rsidR="004A2DEB" w:rsidRPr="004A2DEB">
        <w:t> </w:t>
      </w:r>
      <w:r w:rsidRPr="004A2DEB">
        <w:t>2</w:t>
      </w:r>
      <w:r w:rsidR="004A2DEB" w:rsidRPr="004A2DEB">
        <w:t>,1</w:t>
      </w:r>
      <w:r w:rsidRPr="004A2DEB">
        <w:t> % dlouhodobými</w:t>
      </w:r>
      <w:r>
        <w:t xml:space="preserve"> podmíněnými závazky z jiných smluv. </w:t>
      </w:r>
      <w:r>
        <w:rPr>
          <w:rFonts w:eastAsiaTheme="minorHAnsi" w:cs="Calibri"/>
        </w:rPr>
        <w:t xml:space="preserve">Všechny tyto podmíněné závazky </w:t>
      </w:r>
      <w:r>
        <w:rPr>
          <w:rFonts w:eastAsiaTheme="minorHAnsi" w:cs="Calibri"/>
          <w:b/>
        </w:rPr>
        <w:t>představují potenciální nároky na rozpočty dalších období</w:t>
      </w:r>
      <w:r>
        <w:rPr>
          <w:rStyle w:val="Znakapoznpodarou"/>
          <w:rFonts w:eastAsiaTheme="minorHAnsi" w:cs="Calibri"/>
          <w:b/>
        </w:rPr>
        <w:footnoteReference w:id="19"/>
      </w:r>
      <w:r>
        <w:rPr>
          <w:rFonts w:eastAsiaTheme="minorHAnsi" w:cs="Calibri"/>
          <w:b/>
        </w:rPr>
        <w:t xml:space="preserve">. </w:t>
      </w:r>
    </w:p>
    <w:p w14:paraId="104DA9BB" w14:textId="77777777" w:rsidR="006E504C" w:rsidRDefault="006E504C" w:rsidP="005D79F3">
      <w:pPr>
        <w:spacing w:after="0"/>
        <w:jc w:val="both"/>
        <w:rPr>
          <w:rFonts w:cs="Calibri"/>
          <w:b/>
          <w:highlight w:val="yellow"/>
        </w:rPr>
      </w:pPr>
    </w:p>
    <w:p w14:paraId="0E752408" w14:textId="69EAD3B3" w:rsidR="006E504C" w:rsidRPr="00C90E95" w:rsidRDefault="006E504C" w:rsidP="006E504C">
      <w:pPr>
        <w:spacing w:after="0"/>
        <w:jc w:val="both"/>
        <w:rPr>
          <w:rFonts w:cs="Calibri"/>
        </w:rPr>
      </w:pPr>
      <w:r>
        <w:rPr>
          <w:rFonts w:eastAsiaTheme="minorHAnsi" w:cs="Calibri"/>
          <w:b/>
        </w:rPr>
        <w:t>Stejně tak informace z výkazu zisku a ztráty o výši nákladů z činnosti</w:t>
      </w:r>
      <w:r>
        <w:rPr>
          <w:rStyle w:val="Znakapoznpodarou"/>
          <w:rFonts w:eastAsiaTheme="minorHAnsi"/>
          <w:b/>
        </w:rPr>
        <w:footnoteReference w:id="20"/>
      </w:r>
      <w:r>
        <w:rPr>
          <w:rFonts w:eastAsiaTheme="minorHAnsi" w:cs="Calibri"/>
          <w:b/>
        </w:rPr>
        <w:t xml:space="preserve"> MMR </w:t>
      </w:r>
      <w:r w:rsidRPr="007E6185">
        <w:rPr>
          <w:rFonts w:eastAsiaTheme="minorHAnsi" w:cs="Calibri"/>
          <w:b/>
        </w:rPr>
        <w:t>(1,66 mld. Kč)</w:t>
      </w:r>
      <w:r>
        <w:rPr>
          <w:rFonts w:eastAsiaTheme="minorHAnsi" w:cs="Calibri"/>
          <w:b/>
        </w:rPr>
        <w:t xml:space="preserve"> nevypovídá o realizovaných výdajích na </w:t>
      </w:r>
      <w:r w:rsidRPr="007E6185">
        <w:rPr>
          <w:rFonts w:eastAsiaTheme="minorHAnsi" w:cs="Calibri"/>
          <w:b/>
        </w:rPr>
        <w:t>činnost (1,83 mld. Kč),</w:t>
      </w:r>
      <w:r>
        <w:rPr>
          <w:rFonts w:eastAsiaTheme="minorHAnsi" w:cs="Calibri"/>
          <w:b/>
        </w:rPr>
        <w:t xml:space="preserve"> ale o celkové spotřebě zdrojů na činnost MMR v roce 2018</w:t>
      </w:r>
      <w:r w:rsidRPr="00F06243">
        <w:rPr>
          <w:rFonts w:eastAsiaTheme="minorHAnsi" w:cs="Calibri"/>
          <w:b/>
        </w:rPr>
        <w:t>.</w:t>
      </w:r>
      <w:r>
        <w:rPr>
          <w:rFonts w:eastAsiaTheme="minorHAnsi" w:cs="Calibri"/>
          <w:b/>
        </w:rPr>
        <w:t xml:space="preserve"> </w:t>
      </w:r>
      <w:r w:rsidR="00595357">
        <w:rPr>
          <w:rFonts w:eastAsiaTheme="minorHAnsi" w:cs="Calibri"/>
        </w:rPr>
        <w:t>Ze struktury</w:t>
      </w:r>
      <w:r w:rsidR="00941CA4">
        <w:rPr>
          <w:rFonts w:eastAsiaTheme="minorHAnsi" w:cs="Calibri"/>
        </w:rPr>
        <w:t xml:space="preserve"> těchto</w:t>
      </w:r>
      <w:r w:rsidR="00595357">
        <w:rPr>
          <w:rFonts w:eastAsiaTheme="minorHAnsi" w:cs="Calibri"/>
        </w:rPr>
        <w:t xml:space="preserve"> nákladů je zřejmé, že</w:t>
      </w:r>
      <w:r>
        <w:rPr>
          <w:rFonts w:eastAsiaTheme="minorHAnsi" w:cs="Calibri"/>
        </w:rPr>
        <w:t xml:space="preserve"> </w:t>
      </w:r>
      <w:r w:rsidR="00595357">
        <w:rPr>
          <w:rFonts w:eastAsiaTheme="minorHAnsi" w:cs="Calibri"/>
          <w:b/>
        </w:rPr>
        <w:t>nejvýznamnější položkou</w:t>
      </w:r>
      <w:r w:rsidR="006432CB">
        <w:rPr>
          <w:rFonts w:eastAsiaTheme="minorHAnsi" w:cs="Calibri"/>
          <w:b/>
        </w:rPr>
        <w:t xml:space="preserve"> z hlediska hodnoty</w:t>
      </w:r>
      <w:r w:rsidR="00595357">
        <w:rPr>
          <w:rFonts w:eastAsiaTheme="minorHAnsi" w:cs="Calibri"/>
          <w:b/>
        </w:rPr>
        <w:t xml:space="preserve"> jsou </w:t>
      </w:r>
      <w:r w:rsidRPr="00DA13E2">
        <w:rPr>
          <w:rFonts w:eastAsiaTheme="minorHAnsi" w:cs="Calibri"/>
          <w:b/>
        </w:rPr>
        <w:t xml:space="preserve">služby (36,46 % z celkových nákladů z činnosti) </w:t>
      </w:r>
      <w:r w:rsidR="00595357">
        <w:rPr>
          <w:rFonts w:eastAsiaTheme="minorHAnsi" w:cs="Calibri"/>
          <w:b/>
        </w:rPr>
        <w:t>a z nich přes 50 % tvoří náklady na licence a podporu programo</w:t>
      </w:r>
      <w:r w:rsidR="000E044D">
        <w:rPr>
          <w:rFonts w:eastAsiaTheme="minorHAnsi" w:cs="Calibri"/>
          <w:b/>
        </w:rPr>
        <w:t>vého vybavení a datové služby a </w:t>
      </w:r>
      <w:r w:rsidR="00595357">
        <w:rPr>
          <w:rFonts w:eastAsiaTheme="minorHAnsi" w:cs="Calibri"/>
          <w:b/>
        </w:rPr>
        <w:t>zpracování dat. Až druhé v pořadí jsou</w:t>
      </w:r>
      <w:r w:rsidRPr="00DA13E2">
        <w:rPr>
          <w:rFonts w:eastAsiaTheme="minorHAnsi" w:cs="Calibri"/>
          <w:b/>
        </w:rPr>
        <w:t xml:space="preserve"> mzdové náklady</w:t>
      </w:r>
      <w:r w:rsidR="00941CA4">
        <w:rPr>
          <w:rFonts w:eastAsiaTheme="minorHAnsi" w:cs="Calibri"/>
          <w:b/>
        </w:rPr>
        <w:t>, které tvoří</w:t>
      </w:r>
      <w:r w:rsidR="00621846">
        <w:rPr>
          <w:rFonts w:eastAsiaTheme="minorHAnsi" w:cs="Calibri"/>
          <w:b/>
        </w:rPr>
        <w:t xml:space="preserve"> 2</w:t>
      </w:r>
      <w:r w:rsidRPr="00DA13E2">
        <w:rPr>
          <w:rFonts w:eastAsiaTheme="minorHAnsi" w:cs="Calibri"/>
          <w:b/>
        </w:rPr>
        <w:t>6,96 % z celkových nákladů z</w:t>
      </w:r>
      <w:r w:rsidR="00941CA4">
        <w:rPr>
          <w:rFonts w:eastAsiaTheme="minorHAnsi" w:cs="Calibri"/>
          <w:b/>
        </w:rPr>
        <w:t> </w:t>
      </w:r>
      <w:r w:rsidRPr="00DA13E2">
        <w:rPr>
          <w:rFonts w:eastAsiaTheme="minorHAnsi" w:cs="Calibri"/>
          <w:b/>
        </w:rPr>
        <w:t>činnosti</w:t>
      </w:r>
      <w:r w:rsidR="00941CA4">
        <w:rPr>
          <w:rFonts w:eastAsiaTheme="minorHAnsi" w:cs="Calibri"/>
          <w:b/>
        </w:rPr>
        <w:t xml:space="preserve"> </w:t>
      </w:r>
      <w:r w:rsidR="00941CA4" w:rsidRPr="00BE52B3">
        <w:rPr>
          <w:rFonts w:cs="Calibri"/>
        </w:rPr>
        <w:t>(</w:t>
      </w:r>
      <w:r w:rsidR="00941CA4" w:rsidRPr="00AE5596">
        <w:rPr>
          <w:rFonts w:cs="Calibri"/>
        </w:rPr>
        <w:t>blíže viz příloha č. 2 tohoto kontrolního závěru</w:t>
      </w:r>
      <w:r w:rsidR="00941CA4" w:rsidRPr="00E6240D">
        <w:rPr>
          <w:rFonts w:cs="Calibri"/>
        </w:rPr>
        <w:t>).</w:t>
      </w:r>
      <w:r w:rsidR="00941CA4" w:rsidRPr="00774805">
        <w:rPr>
          <w:rFonts w:cs="Calibri"/>
        </w:rPr>
        <w:t xml:space="preserve"> </w:t>
      </w:r>
    </w:p>
    <w:p w14:paraId="3EF40A1E" w14:textId="77777777" w:rsidR="006E504C" w:rsidRDefault="006E504C" w:rsidP="005D79F3">
      <w:pPr>
        <w:spacing w:after="0"/>
        <w:jc w:val="both"/>
        <w:rPr>
          <w:rFonts w:cs="Calibri"/>
          <w:b/>
          <w:highlight w:val="yellow"/>
        </w:rPr>
      </w:pPr>
    </w:p>
    <w:p w14:paraId="3334F81E" w14:textId="4F6ADD30" w:rsidR="005D79F3" w:rsidRPr="00C33362" w:rsidRDefault="005D79F3" w:rsidP="005D79F3">
      <w:pPr>
        <w:widowControl w:val="0"/>
        <w:spacing w:after="0"/>
        <w:jc w:val="both"/>
        <w:rPr>
          <w:rFonts w:cs="Calibri"/>
          <w:b/>
        </w:rPr>
      </w:pPr>
      <w:r w:rsidRPr="00C33362">
        <w:rPr>
          <w:rFonts w:cs="Calibri"/>
          <w:b/>
        </w:rPr>
        <w:t>Dle názoru NKÚ by povinné uvádění informací,</w:t>
      </w:r>
      <w:r w:rsidR="002F271F" w:rsidRPr="00C33362">
        <w:rPr>
          <w:rFonts w:cs="Calibri"/>
          <w:b/>
        </w:rPr>
        <w:t xml:space="preserve"> jež</w:t>
      </w:r>
      <w:r w:rsidRPr="00C33362">
        <w:rPr>
          <w:rFonts w:cs="Calibri"/>
          <w:b/>
        </w:rPr>
        <w:t xml:space="preserve"> </w:t>
      </w:r>
      <w:r w:rsidR="002F271F" w:rsidRPr="00C33362">
        <w:rPr>
          <w:rFonts w:cs="Calibri"/>
          <w:b/>
        </w:rPr>
        <w:t>vyplývají</w:t>
      </w:r>
      <w:r w:rsidRPr="00C33362">
        <w:rPr>
          <w:rFonts w:cs="Calibri"/>
          <w:b/>
        </w:rPr>
        <w:t xml:space="preserve"> zejména z rozdílů mezi výsledky hospodaření vykazovanými na peněžní a na akruální bázi, vedlo ke zlepšení vypovídací schopnosti informací uváděných v závěrečném účtu kapitoly státního rozpočtu o výsledcích jejího hospodaření. </w:t>
      </w:r>
      <w:r w:rsidR="00DB31F1" w:rsidRPr="001118F1">
        <w:rPr>
          <w:rFonts w:cs="Calibri"/>
          <w:b/>
        </w:rPr>
        <w:t>Povinné komentování rozdílů mezi rozpočtovým a finančním účetnictvím v závěrečném účtu</w:t>
      </w:r>
      <w:r w:rsidR="00DB31F1">
        <w:rPr>
          <w:rFonts w:cs="Calibri"/>
          <w:b/>
        </w:rPr>
        <w:t xml:space="preserve"> by</w:t>
      </w:r>
      <w:r w:rsidR="00DB31F1" w:rsidRPr="001118F1">
        <w:rPr>
          <w:rFonts w:cs="Calibri"/>
          <w:b/>
        </w:rPr>
        <w:t xml:space="preserve"> přispělo k identifiko</w:t>
      </w:r>
      <w:r w:rsidR="000E044D">
        <w:rPr>
          <w:rFonts w:cs="Calibri"/>
          <w:b/>
        </w:rPr>
        <w:t>vání vzájemných souvislostí a </w:t>
      </w:r>
      <w:r w:rsidR="00DB31F1" w:rsidRPr="001118F1">
        <w:rPr>
          <w:rFonts w:cs="Calibri"/>
          <w:b/>
        </w:rPr>
        <w:t>propojení obou těchto systémů pro sledování plnění rozpočtu</w:t>
      </w:r>
      <w:r w:rsidR="000E044D">
        <w:rPr>
          <w:rFonts w:cs="Calibri"/>
          <w:b/>
        </w:rPr>
        <w:t>, a tím ve svém důsledku i </w:t>
      </w:r>
      <w:r w:rsidR="00DB31F1" w:rsidRPr="001118F1">
        <w:rPr>
          <w:rFonts w:cs="Calibri"/>
          <w:b/>
        </w:rPr>
        <w:t>k větší komplexnosti, transparentnosti a důvěryhodnosti skládání účtů z hospodaření s majetkem a peněžními prostředky státního rozpočtu.</w:t>
      </w:r>
      <w:r w:rsidR="00DB31F1">
        <w:rPr>
          <w:rFonts w:cs="Calibri"/>
          <w:b/>
        </w:rPr>
        <w:t xml:space="preserve"> </w:t>
      </w:r>
      <w:r w:rsidRPr="00C33362">
        <w:rPr>
          <w:rFonts w:cs="Calibri"/>
          <w:b/>
        </w:rPr>
        <w:t>Pod</w:t>
      </w:r>
      <w:r w:rsidR="000E044D">
        <w:rPr>
          <w:rFonts w:cs="Calibri"/>
          <w:b/>
        </w:rPr>
        <w:t>le názoru NKÚ se jedná o </w:t>
      </w:r>
      <w:r w:rsidRPr="00C33362">
        <w:rPr>
          <w:rFonts w:cs="Calibri"/>
          <w:b/>
        </w:rPr>
        <w:t>s</w:t>
      </w:r>
      <w:r w:rsidR="00133CBE" w:rsidRPr="00C33362">
        <w:rPr>
          <w:rFonts w:cs="Calibri"/>
          <w:b/>
        </w:rPr>
        <w:t>ystémový nedostatek vyhlášky č. </w:t>
      </w:r>
      <w:r w:rsidRPr="00C33362">
        <w:rPr>
          <w:rFonts w:cs="Calibri"/>
          <w:b/>
        </w:rPr>
        <w:t>419/2001</w:t>
      </w:r>
      <w:r w:rsidR="00C33362" w:rsidRPr="00C33362">
        <w:rPr>
          <w:rFonts w:cs="Calibri"/>
          <w:b/>
        </w:rPr>
        <w:t xml:space="preserve"> Sb., který není dáván k tíži MMR</w:t>
      </w:r>
      <w:r w:rsidRPr="00C33362">
        <w:rPr>
          <w:rFonts w:cs="Calibri"/>
          <w:b/>
        </w:rPr>
        <w:t>.</w:t>
      </w:r>
    </w:p>
    <w:p w14:paraId="121F5ADD" w14:textId="77777777" w:rsidR="00B5096E" w:rsidRPr="00563FEE" w:rsidRDefault="00B5096E" w:rsidP="00B5096E">
      <w:pPr>
        <w:spacing w:after="0"/>
      </w:pPr>
    </w:p>
    <w:p w14:paraId="57ED7A18" w14:textId="0D19C255" w:rsidR="00F30BA1" w:rsidRDefault="00BF536A" w:rsidP="004966AD">
      <w:pPr>
        <w:pStyle w:val="Nadpis2"/>
        <w:keepNext/>
        <w:numPr>
          <w:ilvl w:val="0"/>
          <w:numId w:val="0"/>
        </w:numPr>
        <w:spacing w:after="120" w:line="240" w:lineRule="auto"/>
        <w:contextualSpacing w:val="0"/>
      </w:pPr>
      <w:r>
        <w:rPr>
          <w:rFonts w:cs="Calibri"/>
        </w:rPr>
        <w:lastRenderedPageBreak/>
        <w:t>5</w:t>
      </w:r>
      <w:r w:rsidR="001C4BBF" w:rsidRPr="00C90E95">
        <w:rPr>
          <w:rFonts w:cs="Calibri"/>
        </w:rPr>
        <w:t>.</w:t>
      </w:r>
      <w:r w:rsidR="00DE06F3">
        <w:t xml:space="preserve"> Nedodržení základních povinností při hospodaření s majetkem státu</w:t>
      </w:r>
      <w:r w:rsidR="0029520A">
        <w:t xml:space="preserve"> </w:t>
      </w:r>
    </w:p>
    <w:p w14:paraId="4C71D232" w14:textId="3FBA024A" w:rsidR="005D5FF4" w:rsidRDefault="000E0A92" w:rsidP="001118F1">
      <w:pPr>
        <w:pStyle w:val="Nadpis2"/>
        <w:keepNext/>
        <w:numPr>
          <w:ilvl w:val="0"/>
          <w:numId w:val="0"/>
        </w:numPr>
        <w:spacing w:after="120" w:line="240" w:lineRule="auto"/>
        <w:contextualSpacing w:val="0"/>
      </w:pPr>
      <w:r w:rsidRPr="001D163A">
        <w:t xml:space="preserve">MMR </w:t>
      </w:r>
      <w:r w:rsidR="001C4BBF">
        <w:t>při pronájmu nebytových prostor</w:t>
      </w:r>
      <w:r w:rsidRPr="001D163A">
        <w:t xml:space="preserve"> na Staroměstském náměstí v Praze </w:t>
      </w:r>
      <w:r w:rsidR="001C4BBF">
        <w:t xml:space="preserve">nesjednalo </w:t>
      </w:r>
      <w:r w:rsidRPr="001D163A">
        <w:t>n</w:t>
      </w:r>
      <w:r w:rsidR="001C4BBF">
        <w:t>ájemné</w:t>
      </w:r>
      <w:r w:rsidR="00621846">
        <w:t xml:space="preserve"> </w:t>
      </w:r>
      <w:r w:rsidR="00C23A97">
        <w:t xml:space="preserve">nejméně </w:t>
      </w:r>
      <w:r w:rsidRPr="001D163A">
        <w:t xml:space="preserve">ve výši, která </w:t>
      </w:r>
      <w:r w:rsidR="001C4BBF">
        <w:t>byla</w:t>
      </w:r>
      <w:r w:rsidRPr="001D163A">
        <w:t xml:space="preserve"> v daném místě a čase obvyklá</w:t>
      </w:r>
      <w:r w:rsidR="001C4BBF">
        <w:t>. Navíc</w:t>
      </w:r>
      <w:r w:rsidRPr="001D163A">
        <w:t xml:space="preserve"> u tohoto nájemního vztahu</w:t>
      </w:r>
      <w:r w:rsidR="00223E25">
        <w:t xml:space="preserve"> </w:t>
      </w:r>
      <w:r w:rsidRPr="001D163A">
        <w:t>neuplat</w:t>
      </w:r>
      <w:r w:rsidR="001118F1">
        <w:t>n</w:t>
      </w:r>
      <w:r w:rsidR="001C4BBF">
        <w:t xml:space="preserve">ilo </w:t>
      </w:r>
      <w:r w:rsidRPr="001D163A">
        <w:t>sjednané smluvní sankce</w:t>
      </w:r>
      <w:r w:rsidR="001C4BBF">
        <w:t xml:space="preserve"> vůči nájemci</w:t>
      </w:r>
      <w:r w:rsidRPr="001D163A">
        <w:t>, přestože docházelo k</w:t>
      </w:r>
      <w:r w:rsidR="0021388F">
        <w:t> </w:t>
      </w:r>
      <w:r w:rsidR="001C4BBF">
        <w:t>dlouhodobému</w:t>
      </w:r>
      <w:r w:rsidRPr="001D163A">
        <w:t> porušování sjednaných smluvních podmínek</w:t>
      </w:r>
      <w:r w:rsidRPr="00F06243">
        <w:t>.</w:t>
      </w:r>
      <w:r w:rsidR="00674982" w:rsidRPr="004966AD">
        <w:rPr>
          <w:b w:val="0"/>
        </w:rPr>
        <w:t xml:space="preserve"> Blíže viz část IV.</w:t>
      </w:r>
      <w:r w:rsidR="003F7927">
        <w:rPr>
          <w:b w:val="0"/>
        </w:rPr>
        <w:t>5</w:t>
      </w:r>
      <w:r w:rsidR="00A71002" w:rsidRPr="004966AD">
        <w:rPr>
          <w:b w:val="0"/>
        </w:rPr>
        <w:t>.1</w:t>
      </w:r>
      <w:r w:rsidR="00674982" w:rsidRPr="004966AD">
        <w:rPr>
          <w:b w:val="0"/>
        </w:rPr>
        <w:t xml:space="preserve"> tohoto kontrolního závěru.</w:t>
      </w:r>
    </w:p>
    <w:p w14:paraId="45999C15" w14:textId="3313FE0F" w:rsidR="000E0A92" w:rsidRPr="000E0A92" w:rsidRDefault="00674982" w:rsidP="00F74C0E">
      <w:pPr>
        <w:spacing w:after="0"/>
        <w:jc w:val="both"/>
        <w:rPr>
          <w:rFonts w:cs="Calibri"/>
          <w:b/>
        </w:rPr>
      </w:pPr>
      <w:r w:rsidRPr="00DB6C92">
        <w:rPr>
          <w:rFonts w:cs="Calibri"/>
          <w:noProof/>
          <w:highlight w:val="yellow"/>
          <w:lang w:eastAsia="cs-CZ"/>
        </w:rPr>
        <mc:AlternateContent>
          <mc:Choice Requires="wps">
            <w:drawing>
              <wp:anchor distT="0" distB="0" distL="114300" distR="114300" simplePos="0" relativeHeight="251663360" behindDoc="0" locked="0" layoutInCell="1" allowOverlap="1" wp14:anchorId="0D22A80F" wp14:editId="088D6120">
                <wp:simplePos x="0" y="0"/>
                <wp:positionH relativeFrom="margin">
                  <wp:posOffset>23495</wp:posOffset>
                </wp:positionH>
                <wp:positionV relativeFrom="paragraph">
                  <wp:posOffset>718185</wp:posOffset>
                </wp:positionV>
                <wp:extent cx="5762625" cy="1704975"/>
                <wp:effectExtent l="0" t="0" r="9525" b="9525"/>
                <wp:wrapTopAndBottom/>
                <wp:docPr id="2" name="Textové pole 2"/>
                <wp:cNvGraphicFramePr/>
                <a:graphic xmlns:a="http://schemas.openxmlformats.org/drawingml/2006/main">
                  <a:graphicData uri="http://schemas.microsoft.com/office/word/2010/wordprocessingShape">
                    <wps:wsp>
                      <wps:cNvSpPr txBox="1"/>
                      <wps:spPr>
                        <a:xfrm>
                          <a:off x="0" y="0"/>
                          <a:ext cx="5762625" cy="1704975"/>
                        </a:xfrm>
                        <a:prstGeom prst="rect">
                          <a:avLst/>
                        </a:prstGeom>
                        <a:solidFill>
                          <a:srgbClr val="E5F1FF"/>
                        </a:solidFill>
                        <a:ln w="6350">
                          <a:noFill/>
                        </a:ln>
                      </wps:spPr>
                      <wps:txbx>
                        <w:txbxContent>
                          <w:p w14:paraId="4015B33F" w14:textId="230CBDE8" w:rsidR="00E71D49" w:rsidRDefault="00E71D49" w:rsidP="00F97A53">
                            <w:pPr>
                              <w:shd w:val="clear" w:color="auto" w:fill="E5F1FF"/>
                              <w:spacing w:before="40" w:after="40"/>
                              <w:jc w:val="both"/>
                              <w:rPr>
                                <w:rFonts w:cs="Arial"/>
                              </w:rPr>
                            </w:pPr>
                            <w:r w:rsidRPr="002A2D90">
                              <w:rPr>
                                <w:rFonts w:cs="Arial"/>
                              </w:rPr>
                              <w:t>NKÚ zjistil, že</w:t>
                            </w:r>
                            <w:r>
                              <w:rPr>
                                <w:rFonts w:cs="Arial"/>
                                <w:b/>
                              </w:rPr>
                              <w:t xml:space="preserve"> </w:t>
                            </w:r>
                            <w:r w:rsidRPr="00DA13E2">
                              <w:rPr>
                                <w:rFonts w:cs="Arial"/>
                                <w:b/>
                              </w:rPr>
                              <w:t xml:space="preserve">MMR v uvedených případech postupovalo při hospodaření s majetkem státu v rozporu </w:t>
                            </w:r>
                            <w:r w:rsidRPr="0036124F">
                              <w:rPr>
                                <w:rFonts w:cs="Arial"/>
                                <w:b/>
                              </w:rPr>
                              <w:t xml:space="preserve">se zákonem </w:t>
                            </w:r>
                            <w:r>
                              <w:rPr>
                                <w:rFonts w:cs="Arial"/>
                                <w:b/>
                              </w:rPr>
                              <w:t>o</w:t>
                            </w:r>
                            <w:r w:rsidRPr="0036124F">
                              <w:rPr>
                                <w:rFonts w:cs="Arial"/>
                                <w:b/>
                              </w:rPr>
                              <w:t xml:space="preserve"> majetku</w:t>
                            </w:r>
                            <w:r w:rsidRPr="0021388F">
                              <w:rPr>
                                <w:rFonts w:cs="Arial"/>
                              </w:rPr>
                              <w:t>,</w:t>
                            </w:r>
                            <w:r w:rsidRPr="0036124F">
                              <w:rPr>
                                <w:rFonts w:cs="Arial"/>
                                <w:b/>
                              </w:rPr>
                              <w:t xml:space="preserve"> </w:t>
                            </w:r>
                            <w:r w:rsidRPr="002A2D90">
                              <w:rPr>
                                <w:rFonts w:cs="Arial"/>
                              </w:rPr>
                              <w:t>a to s ustanovením</w:t>
                            </w:r>
                            <w:r>
                              <w:rPr>
                                <w:rFonts w:cs="Arial"/>
                              </w:rPr>
                              <w:t>i o základních povinnostech při </w:t>
                            </w:r>
                            <w:r w:rsidRPr="002A2D90">
                              <w:rPr>
                                <w:rFonts w:cs="Arial"/>
                              </w:rPr>
                              <w:t>hospodaření s tímto majetkem</w:t>
                            </w:r>
                            <w:r>
                              <w:rPr>
                                <w:rFonts w:cs="Arial"/>
                              </w:rPr>
                              <w:t xml:space="preserve">. </w:t>
                            </w:r>
                          </w:p>
                          <w:p w14:paraId="00374272" w14:textId="77777777" w:rsidR="00E71D49" w:rsidRDefault="00E71D49" w:rsidP="00F97A53">
                            <w:pPr>
                              <w:shd w:val="clear" w:color="auto" w:fill="E5F1FF"/>
                              <w:spacing w:before="40" w:after="40"/>
                              <w:jc w:val="both"/>
                              <w:rPr>
                                <w:rFonts w:cs="Arial"/>
                              </w:rPr>
                            </w:pPr>
                          </w:p>
                          <w:p w14:paraId="7D94E336" w14:textId="20E6C960" w:rsidR="00E71D49" w:rsidRPr="00DA13E2" w:rsidRDefault="00E71D49" w:rsidP="00F97A53">
                            <w:pPr>
                              <w:shd w:val="clear" w:color="auto" w:fill="E5F1FF"/>
                              <w:spacing w:before="40" w:after="40"/>
                              <w:jc w:val="both"/>
                              <w:rPr>
                                <w:rFonts w:cs="Arial"/>
                                <w:b/>
                              </w:rPr>
                            </w:pPr>
                            <w:r>
                              <w:rPr>
                                <w:rFonts w:cs="Arial"/>
                              </w:rPr>
                              <w:t>Při pronájmu majetku státu postupovalo MMR</w:t>
                            </w:r>
                            <w:r w:rsidRPr="002A2D90">
                              <w:rPr>
                                <w:rFonts w:cs="Arial"/>
                              </w:rPr>
                              <w:t xml:space="preserve"> </w:t>
                            </w:r>
                            <w:r>
                              <w:rPr>
                                <w:rFonts w:cs="Arial"/>
                              </w:rPr>
                              <w:t>zejména</w:t>
                            </w:r>
                            <w:r w:rsidRPr="002A2D90">
                              <w:rPr>
                                <w:rFonts w:cs="Arial"/>
                              </w:rPr>
                              <w:t xml:space="preserve"> v rozporu s ustano</w:t>
                            </w:r>
                            <w:r>
                              <w:rPr>
                                <w:rFonts w:cs="Arial"/>
                              </w:rPr>
                              <w:t xml:space="preserve">vením o  povinnosti sjednat nájemné nejméně ve výši, která je v daném </w:t>
                            </w:r>
                            <w:r w:rsidRPr="002A2D90">
                              <w:rPr>
                                <w:rFonts w:cs="Arial"/>
                              </w:rPr>
                              <w:t>místě a čase obvykl</w:t>
                            </w:r>
                            <w:r>
                              <w:rPr>
                                <w:rFonts w:cs="Arial"/>
                              </w:rPr>
                              <w:t>á</w:t>
                            </w:r>
                            <w:r w:rsidRPr="002A2D90">
                              <w:rPr>
                                <w:rFonts w:cs="Arial"/>
                              </w:rPr>
                              <w:t>.</w:t>
                            </w:r>
                            <w:r w:rsidRPr="00DA13E2">
                              <w:rPr>
                                <w:rFonts w:cs="Arial"/>
                                <w:b/>
                              </w:rPr>
                              <w:t xml:space="preserve"> V důsledku těchto skutečností MMR neodůvodněně snížilo </w:t>
                            </w:r>
                            <w:r>
                              <w:rPr>
                                <w:rFonts w:cs="Arial"/>
                                <w:b/>
                              </w:rPr>
                              <w:t xml:space="preserve">výnosy ze státního majetku a tím i </w:t>
                            </w:r>
                            <w:r w:rsidRPr="00DA13E2">
                              <w:rPr>
                                <w:rFonts w:cs="Arial"/>
                                <w:b/>
                              </w:rPr>
                              <w:t>příjmy státního rozpočtu nejméně o 4</w:t>
                            </w:r>
                            <w:r>
                              <w:rPr>
                                <w:rFonts w:cs="Arial"/>
                                <w:b/>
                              </w:rPr>
                              <w:t>1</w:t>
                            </w:r>
                            <w:r w:rsidRPr="00DA13E2">
                              <w:rPr>
                                <w:rFonts w:cs="Arial"/>
                                <w:b/>
                              </w:rPr>
                              <w:t xml:space="preserve"> mil. Kč</w:t>
                            </w:r>
                            <w:r>
                              <w:rPr>
                                <w:rFonts w:cs="Arial"/>
                                <w:b/>
                              </w:rPr>
                              <w:t>.</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A80F" id="Textové pole 2" o:spid="_x0000_s1027" type="#_x0000_t202" style="position:absolute;left:0;text-align:left;margin-left:1.85pt;margin-top:56.55pt;width:453.75pt;height:13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" fillcolor="#e5f1ff" stroked="f" strokeweight=".5pt">
                <v:textbox>
                  <w:txbxContent>
                    <w:p w14:paraId="4015B33F" w14:textId="230CBDE8" w:rsidR="00E71D49" w:rsidRDefault="00E71D49" w:rsidP="00F97A53">
                      <w:pPr>
                        <w:shd w:val="clear" w:color="auto" w:fill="E5F1FF"/>
                        <w:spacing w:before="40" w:after="40"/>
                        <w:jc w:val="both"/>
                        <w:rPr>
                          <w:rFonts w:cs="Arial"/>
                        </w:rPr>
                      </w:pPr>
                      <w:r w:rsidRPr="002A2D90">
                        <w:rPr>
                          <w:rFonts w:cs="Arial"/>
                        </w:rPr>
                        <w:t>NKÚ zjistil, že</w:t>
                      </w:r>
                      <w:r>
                        <w:rPr>
                          <w:rFonts w:cs="Arial"/>
                          <w:b/>
                        </w:rPr>
                        <w:t xml:space="preserve"> </w:t>
                      </w:r>
                      <w:r w:rsidRPr="00DA13E2">
                        <w:rPr>
                          <w:rFonts w:cs="Arial"/>
                          <w:b/>
                        </w:rPr>
                        <w:t xml:space="preserve">MMR v uvedených případech postupovalo při hospodaření s majetkem státu v rozporu </w:t>
                      </w:r>
                      <w:r w:rsidRPr="0036124F">
                        <w:rPr>
                          <w:rFonts w:cs="Arial"/>
                          <w:b/>
                        </w:rPr>
                        <w:t xml:space="preserve">se zákonem </w:t>
                      </w:r>
                      <w:r>
                        <w:rPr>
                          <w:rFonts w:cs="Arial"/>
                          <w:b/>
                        </w:rPr>
                        <w:t>o</w:t>
                      </w:r>
                      <w:r w:rsidRPr="0036124F">
                        <w:rPr>
                          <w:rFonts w:cs="Arial"/>
                          <w:b/>
                        </w:rPr>
                        <w:t xml:space="preserve"> majetku</w:t>
                      </w:r>
                      <w:r w:rsidRPr="0021388F">
                        <w:rPr>
                          <w:rFonts w:cs="Arial"/>
                        </w:rPr>
                        <w:t>,</w:t>
                      </w:r>
                      <w:r w:rsidRPr="0036124F">
                        <w:rPr>
                          <w:rFonts w:cs="Arial"/>
                          <w:b/>
                        </w:rPr>
                        <w:t xml:space="preserve"> </w:t>
                      </w:r>
                      <w:r w:rsidRPr="002A2D90">
                        <w:rPr>
                          <w:rFonts w:cs="Arial"/>
                        </w:rPr>
                        <w:t>a to s ustanovením</w:t>
                      </w:r>
                      <w:r>
                        <w:rPr>
                          <w:rFonts w:cs="Arial"/>
                        </w:rPr>
                        <w:t>i o základních povinnostech při </w:t>
                      </w:r>
                      <w:r w:rsidRPr="002A2D90">
                        <w:rPr>
                          <w:rFonts w:cs="Arial"/>
                        </w:rPr>
                        <w:t>hospodaření s tímto majetkem</w:t>
                      </w:r>
                      <w:r>
                        <w:rPr>
                          <w:rFonts w:cs="Arial"/>
                        </w:rPr>
                        <w:t xml:space="preserve">. </w:t>
                      </w:r>
                    </w:p>
                    <w:p w14:paraId="00374272" w14:textId="77777777" w:rsidR="00E71D49" w:rsidRDefault="00E71D49" w:rsidP="00F97A53">
                      <w:pPr>
                        <w:shd w:val="clear" w:color="auto" w:fill="E5F1FF"/>
                        <w:spacing w:before="40" w:after="40"/>
                        <w:jc w:val="both"/>
                        <w:rPr>
                          <w:rFonts w:cs="Arial"/>
                        </w:rPr>
                      </w:pPr>
                    </w:p>
                    <w:p w14:paraId="7D94E336" w14:textId="20E6C960" w:rsidR="00E71D49" w:rsidRPr="00DA13E2" w:rsidRDefault="00E71D49" w:rsidP="00F97A53">
                      <w:pPr>
                        <w:shd w:val="clear" w:color="auto" w:fill="E5F1FF"/>
                        <w:spacing w:before="40" w:after="40"/>
                        <w:jc w:val="both"/>
                        <w:rPr>
                          <w:rFonts w:cs="Arial"/>
                          <w:b/>
                        </w:rPr>
                      </w:pPr>
                      <w:r>
                        <w:rPr>
                          <w:rFonts w:cs="Arial"/>
                        </w:rPr>
                        <w:t>Při pronájmu majetku státu postupovalo MMR</w:t>
                      </w:r>
                      <w:r w:rsidRPr="002A2D90">
                        <w:rPr>
                          <w:rFonts w:cs="Arial"/>
                        </w:rPr>
                        <w:t xml:space="preserve"> </w:t>
                      </w:r>
                      <w:r>
                        <w:rPr>
                          <w:rFonts w:cs="Arial"/>
                        </w:rPr>
                        <w:t>zejména</w:t>
                      </w:r>
                      <w:r w:rsidRPr="002A2D90">
                        <w:rPr>
                          <w:rFonts w:cs="Arial"/>
                        </w:rPr>
                        <w:t xml:space="preserve"> v rozporu s ustano</w:t>
                      </w:r>
                      <w:r>
                        <w:rPr>
                          <w:rFonts w:cs="Arial"/>
                        </w:rPr>
                        <w:t xml:space="preserve">vením o  povinnosti sjednat nájemné nejméně ve výši, která je v daném </w:t>
                      </w:r>
                      <w:r w:rsidRPr="002A2D90">
                        <w:rPr>
                          <w:rFonts w:cs="Arial"/>
                        </w:rPr>
                        <w:t>místě a čase obvykl</w:t>
                      </w:r>
                      <w:r>
                        <w:rPr>
                          <w:rFonts w:cs="Arial"/>
                        </w:rPr>
                        <w:t>á</w:t>
                      </w:r>
                      <w:r w:rsidRPr="002A2D90">
                        <w:rPr>
                          <w:rFonts w:cs="Arial"/>
                        </w:rPr>
                        <w:t>.</w:t>
                      </w:r>
                      <w:r w:rsidRPr="00DA13E2">
                        <w:rPr>
                          <w:rFonts w:cs="Arial"/>
                          <w:b/>
                        </w:rPr>
                        <w:t xml:space="preserve"> V důsledku těchto skutečností MMR neodůvodněně snížilo </w:t>
                      </w:r>
                      <w:r>
                        <w:rPr>
                          <w:rFonts w:cs="Arial"/>
                          <w:b/>
                        </w:rPr>
                        <w:t xml:space="preserve">výnosy ze státního majetku a tím i </w:t>
                      </w:r>
                      <w:r w:rsidRPr="00DA13E2">
                        <w:rPr>
                          <w:rFonts w:cs="Arial"/>
                          <w:b/>
                        </w:rPr>
                        <w:t>příjmy státního rozpočtu nejméně o 4</w:t>
                      </w:r>
                      <w:r>
                        <w:rPr>
                          <w:rFonts w:cs="Arial"/>
                          <w:b/>
                        </w:rPr>
                        <w:t>1</w:t>
                      </w:r>
                      <w:r w:rsidRPr="00DA13E2">
                        <w:rPr>
                          <w:rFonts w:cs="Arial"/>
                          <w:b/>
                        </w:rPr>
                        <w:t xml:space="preserve"> mil. Kč</w:t>
                      </w:r>
                      <w:r>
                        <w:rPr>
                          <w:rFonts w:cs="Arial"/>
                          <w:b/>
                        </w:rPr>
                        <w:t>.</w:t>
                      </w:r>
                    </w:p>
                  </w:txbxContent>
                </v:textbox>
                <w10:wrap type="topAndBottom" anchorx="margin"/>
              </v:shape>
            </w:pict>
          </mc:Fallback>
        </mc:AlternateContent>
      </w:r>
      <w:r w:rsidR="000E0A92" w:rsidRPr="000E0A92">
        <w:rPr>
          <w:rFonts w:cs="Calibri"/>
          <w:b/>
        </w:rPr>
        <w:t xml:space="preserve">MMR nepřistoupilo k soudnímu vymáhání </w:t>
      </w:r>
      <w:r w:rsidR="002A2D90">
        <w:rPr>
          <w:rFonts w:cs="Calibri"/>
          <w:b/>
        </w:rPr>
        <w:t xml:space="preserve">svého nároku </w:t>
      </w:r>
      <w:r w:rsidR="00DE25AC">
        <w:rPr>
          <w:rFonts w:cs="Calibri"/>
          <w:b/>
        </w:rPr>
        <w:t>v podobě</w:t>
      </w:r>
      <w:r w:rsidR="002A2D90">
        <w:rPr>
          <w:rFonts w:cs="Calibri"/>
          <w:b/>
        </w:rPr>
        <w:t xml:space="preserve"> pohledávky z titulu regresní úhrady</w:t>
      </w:r>
      <w:r>
        <w:rPr>
          <w:rFonts w:cs="Calibri"/>
          <w:b/>
        </w:rPr>
        <w:t xml:space="preserve"> ve výši přesahující 8 mil. Kč</w:t>
      </w:r>
      <w:r w:rsidR="000E0A92" w:rsidRPr="000E0A92">
        <w:rPr>
          <w:rFonts w:cs="Calibri"/>
          <w:b/>
        </w:rPr>
        <w:t>, čímž došlo k jejímu promlčení</w:t>
      </w:r>
      <w:r w:rsidR="00CB4ED4">
        <w:rPr>
          <w:rFonts w:cs="Calibri"/>
          <w:b/>
        </w:rPr>
        <w:t>.</w:t>
      </w:r>
      <w:r w:rsidR="002257CC">
        <w:rPr>
          <w:rFonts w:cs="Calibri"/>
          <w:b/>
        </w:rPr>
        <w:t xml:space="preserve"> </w:t>
      </w:r>
      <w:r w:rsidRPr="00674982">
        <w:rPr>
          <w:rFonts w:asciiTheme="minorHAnsi" w:hAnsiTheme="minorHAnsi" w:cstheme="minorHAnsi"/>
        </w:rPr>
        <w:t xml:space="preserve">Blíže viz část </w:t>
      </w:r>
      <w:r w:rsidRPr="00A71002">
        <w:rPr>
          <w:rFonts w:asciiTheme="minorHAnsi" w:hAnsiTheme="minorHAnsi" w:cstheme="minorHAnsi"/>
        </w:rPr>
        <w:t>IV.</w:t>
      </w:r>
      <w:r w:rsidR="003F7927">
        <w:rPr>
          <w:rFonts w:asciiTheme="minorHAnsi" w:hAnsiTheme="minorHAnsi" w:cstheme="minorHAnsi"/>
        </w:rPr>
        <w:t>5</w:t>
      </w:r>
      <w:r w:rsidR="00A71002" w:rsidRPr="00A71002">
        <w:rPr>
          <w:rFonts w:asciiTheme="minorHAnsi" w:hAnsiTheme="minorHAnsi" w:cstheme="minorHAnsi"/>
        </w:rPr>
        <w:t>.2</w:t>
      </w:r>
      <w:r w:rsidRPr="00674982">
        <w:rPr>
          <w:rFonts w:asciiTheme="minorHAnsi" w:hAnsiTheme="minorHAnsi" w:cstheme="minorHAnsi"/>
        </w:rPr>
        <w:t xml:space="preserve"> tohoto kontrolního závěru.</w:t>
      </w:r>
    </w:p>
    <w:p w14:paraId="3105BC41" w14:textId="77777777" w:rsidR="000E0A92" w:rsidRDefault="000E0A92" w:rsidP="00F74C0E">
      <w:pPr>
        <w:spacing w:after="0"/>
        <w:jc w:val="both"/>
        <w:rPr>
          <w:rFonts w:cs="Calibri"/>
          <w:highlight w:val="yellow"/>
        </w:rPr>
      </w:pPr>
    </w:p>
    <w:p w14:paraId="4413CF4C" w14:textId="594703A7" w:rsidR="001C4BBF" w:rsidRPr="00A039F2" w:rsidRDefault="00BF536A" w:rsidP="00286B8D">
      <w:pPr>
        <w:pStyle w:val="Nadpis2"/>
        <w:keepNext/>
        <w:numPr>
          <w:ilvl w:val="0"/>
          <w:numId w:val="0"/>
        </w:numPr>
        <w:tabs>
          <w:tab w:val="center" w:pos="4535"/>
          <w:tab w:val="left" w:pos="5355"/>
          <w:tab w:val="left" w:pos="6525"/>
        </w:tabs>
        <w:spacing w:after="120" w:line="240" w:lineRule="auto"/>
        <w:ind w:left="284" w:hanging="284"/>
        <w:contextualSpacing w:val="0"/>
        <w:rPr>
          <w:rFonts w:ascii="Calibri" w:hAnsi="Calibri" w:cs="Calibri"/>
        </w:rPr>
      </w:pPr>
      <w:r>
        <w:rPr>
          <w:rFonts w:ascii="Calibri" w:hAnsi="Calibri" w:cs="Calibri"/>
        </w:rPr>
        <w:t>6</w:t>
      </w:r>
      <w:r w:rsidR="001C4BBF">
        <w:rPr>
          <w:rFonts w:ascii="Calibri" w:hAnsi="Calibri" w:cs="Calibri"/>
        </w:rPr>
        <w:t xml:space="preserve">. </w:t>
      </w:r>
      <w:r w:rsidR="001C4BBF" w:rsidRPr="00A039F2">
        <w:rPr>
          <w:rFonts w:ascii="Calibri" w:hAnsi="Calibri" w:cs="Calibri"/>
        </w:rPr>
        <w:t>Vnitřní kontrolní systém</w:t>
      </w:r>
      <w:r w:rsidR="00A15F37">
        <w:rPr>
          <w:rFonts w:ascii="Calibri" w:hAnsi="Calibri" w:cs="Calibri"/>
        </w:rPr>
        <w:t xml:space="preserve"> (dále také „VKS“)</w:t>
      </w:r>
    </w:p>
    <w:p w14:paraId="47046D9A" w14:textId="77777777" w:rsidR="00065568" w:rsidRDefault="001C4BBF" w:rsidP="001C4BBF">
      <w:pPr>
        <w:spacing w:after="0"/>
        <w:jc w:val="both"/>
        <w:rPr>
          <w:rFonts w:cs="Calibri"/>
          <w:b/>
        </w:rPr>
      </w:pPr>
      <w:r w:rsidRPr="003F77EA">
        <w:rPr>
          <w:rFonts w:cs="Calibri"/>
          <w:b/>
        </w:rPr>
        <w:t>Jedním z hlavních cílů finanční kontroly je zajistit správnost finančních a majetkových operací</w:t>
      </w:r>
      <w:r w:rsidR="009F485A">
        <w:rPr>
          <w:rFonts w:cs="Calibri"/>
          <w:b/>
        </w:rPr>
        <w:t xml:space="preserve"> (</w:t>
      </w:r>
      <w:r w:rsidRPr="003F77EA">
        <w:rPr>
          <w:rFonts w:cs="Calibri"/>
          <w:b/>
        </w:rPr>
        <w:t>tj. aby probíhaly v souladu s právními předpisy</w:t>
      </w:r>
      <w:r w:rsidR="009F485A">
        <w:rPr>
          <w:rFonts w:cs="Calibri"/>
          <w:b/>
        </w:rPr>
        <w:t>)</w:t>
      </w:r>
      <w:r w:rsidR="007E6100">
        <w:rPr>
          <w:rFonts w:cs="Calibri"/>
          <w:b/>
        </w:rPr>
        <w:t xml:space="preserve">, průkaznost jejich účetního zpracování a spolehlivost informací o </w:t>
      </w:r>
      <w:r w:rsidR="009F485A">
        <w:rPr>
          <w:rFonts w:cs="Calibri"/>
          <w:b/>
        </w:rPr>
        <w:t>nich</w:t>
      </w:r>
      <w:r w:rsidR="007E6100">
        <w:rPr>
          <w:rFonts w:cs="Calibri"/>
          <w:b/>
        </w:rPr>
        <w:t xml:space="preserve"> na výstupu</w:t>
      </w:r>
      <w:r w:rsidRPr="003F77EA">
        <w:rPr>
          <w:rFonts w:cs="Calibri"/>
          <w:b/>
        </w:rPr>
        <w:t xml:space="preserve">. </w:t>
      </w:r>
    </w:p>
    <w:p w14:paraId="0FED825E" w14:textId="77777777" w:rsidR="00F45AA0" w:rsidRDefault="00F45AA0" w:rsidP="00065568">
      <w:pPr>
        <w:spacing w:after="0"/>
        <w:jc w:val="both"/>
        <w:rPr>
          <w:rFonts w:cs="Calibri"/>
          <w:b/>
        </w:rPr>
      </w:pPr>
    </w:p>
    <w:p w14:paraId="25AF0653" w14:textId="43BF4C81" w:rsidR="00F45AA0" w:rsidRPr="003F77EA" w:rsidRDefault="008E4736" w:rsidP="00F45AA0">
      <w:pPr>
        <w:spacing w:after="0"/>
        <w:jc w:val="both"/>
        <w:rPr>
          <w:rFonts w:cs="Calibri"/>
          <w:b/>
        </w:rPr>
      </w:pPr>
      <w:r>
        <w:rPr>
          <w:rFonts w:cs="Calibri"/>
          <w:b/>
        </w:rPr>
        <w:t xml:space="preserve">Informace </w:t>
      </w:r>
      <w:r w:rsidR="00090DB9">
        <w:rPr>
          <w:rFonts w:cs="Calibri"/>
          <w:b/>
        </w:rPr>
        <w:t xml:space="preserve">o finančních a majetkových operacích realizovaných v roce 2018, které byly zveřejněny </w:t>
      </w:r>
      <w:r>
        <w:rPr>
          <w:rFonts w:cs="Calibri"/>
          <w:b/>
        </w:rPr>
        <w:t>v</w:t>
      </w:r>
      <w:r w:rsidR="00090DB9">
        <w:rPr>
          <w:rFonts w:cs="Calibri"/>
          <w:b/>
        </w:rPr>
        <w:t> </w:t>
      </w:r>
      <w:r>
        <w:rPr>
          <w:rFonts w:cs="Calibri"/>
          <w:b/>
        </w:rPr>
        <w:t>ÚZ</w:t>
      </w:r>
      <w:r w:rsidR="00090DB9">
        <w:rPr>
          <w:rFonts w:cs="Calibri"/>
          <w:b/>
        </w:rPr>
        <w:t>,</w:t>
      </w:r>
      <w:r>
        <w:rPr>
          <w:rFonts w:cs="Calibri"/>
          <w:b/>
        </w:rPr>
        <w:t xml:space="preserve"> nebyly v</w:t>
      </w:r>
      <w:r w:rsidR="00090DB9">
        <w:rPr>
          <w:rFonts w:cs="Calibri"/>
          <w:b/>
        </w:rPr>
        <w:t xml:space="preserve">e všech případech </w:t>
      </w:r>
      <w:r>
        <w:rPr>
          <w:rFonts w:cs="Calibri"/>
          <w:b/>
        </w:rPr>
        <w:t xml:space="preserve">spolehlivé. </w:t>
      </w:r>
      <w:r w:rsidR="00065568" w:rsidRPr="009F485A">
        <w:rPr>
          <w:rFonts w:cs="Calibri"/>
          <w:b/>
        </w:rPr>
        <w:t>Jednotlivé kontrolní prvky</w:t>
      </w:r>
      <w:r w:rsidR="00F45AA0" w:rsidRPr="00F06243">
        <w:rPr>
          <w:rFonts w:cs="Calibri"/>
          <w:b/>
        </w:rPr>
        <w:t>,</w:t>
      </w:r>
      <w:r w:rsidR="00F45AA0" w:rsidRPr="00DA13E2">
        <w:rPr>
          <w:rFonts w:cs="Calibri"/>
        </w:rPr>
        <w:t xml:space="preserve"> které jsou</w:t>
      </w:r>
      <w:r w:rsidR="00065568" w:rsidRPr="00DA13E2">
        <w:rPr>
          <w:rFonts w:cs="Calibri"/>
        </w:rPr>
        <w:t xml:space="preserve"> </w:t>
      </w:r>
      <w:r w:rsidR="00F45AA0" w:rsidRPr="00DA13E2">
        <w:rPr>
          <w:rFonts w:cs="Calibri"/>
        </w:rPr>
        <w:t>v rámci vnitřního kontrolního systému stanoveny</w:t>
      </w:r>
      <w:r w:rsidR="00065568" w:rsidRPr="00DA13E2">
        <w:rPr>
          <w:rFonts w:cs="Calibri"/>
        </w:rPr>
        <w:t xml:space="preserve"> právními předpisy pro zajištění</w:t>
      </w:r>
      <w:r w:rsidR="00065568" w:rsidRPr="00F30BA1">
        <w:rPr>
          <w:rFonts w:cs="Calibri"/>
          <w:b/>
        </w:rPr>
        <w:t xml:space="preserve"> </w:t>
      </w:r>
      <w:r w:rsidR="00065568" w:rsidRPr="00DA13E2">
        <w:rPr>
          <w:rFonts w:cs="Calibri"/>
        </w:rPr>
        <w:t xml:space="preserve">spolehlivosti informací v účetní závěrce (inventarizace, interní audit, </w:t>
      </w:r>
      <w:r w:rsidR="00F45AA0" w:rsidRPr="00DA13E2">
        <w:rPr>
          <w:rFonts w:cs="Calibri"/>
        </w:rPr>
        <w:t>předběžná, průběžná a následná</w:t>
      </w:r>
      <w:r w:rsidR="007E6100" w:rsidRPr="00DA13E2">
        <w:rPr>
          <w:rFonts w:cs="Calibri"/>
        </w:rPr>
        <w:t xml:space="preserve"> říd</w:t>
      </w:r>
      <w:r w:rsidR="00CB4ED4">
        <w:rPr>
          <w:rFonts w:cs="Calibri"/>
        </w:rPr>
        <w:t>i</w:t>
      </w:r>
      <w:r w:rsidR="007E6100" w:rsidRPr="00DA13E2">
        <w:rPr>
          <w:rFonts w:cs="Calibri"/>
        </w:rPr>
        <w:t>cí</w:t>
      </w:r>
      <w:r w:rsidR="00F45AA0" w:rsidRPr="00DA13E2">
        <w:rPr>
          <w:rFonts w:cs="Calibri"/>
        </w:rPr>
        <w:t xml:space="preserve"> kontrola a</w:t>
      </w:r>
      <w:r w:rsidR="00065568" w:rsidRPr="00DA13E2">
        <w:rPr>
          <w:rFonts w:cs="Calibri"/>
        </w:rPr>
        <w:t xml:space="preserve"> schvalování účetní závěrky)</w:t>
      </w:r>
      <w:r w:rsidR="00065568" w:rsidRPr="00DA13E2">
        <w:rPr>
          <w:rStyle w:val="Znakapoznpodarou"/>
          <w:rFonts w:cs="Calibri"/>
        </w:rPr>
        <w:footnoteReference w:id="21"/>
      </w:r>
      <w:r w:rsidR="00065568" w:rsidRPr="00F30BA1">
        <w:rPr>
          <w:rFonts w:cs="Calibri"/>
          <w:b/>
        </w:rPr>
        <w:t xml:space="preserve"> </w:t>
      </w:r>
      <w:r w:rsidR="00065568" w:rsidRPr="003D238F">
        <w:rPr>
          <w:rFonts w:cs="Calibri"/>
          <w:b/>
        </w:rPr>
        <w:t>nefungovaly v praxi tak, aby zajistily spolehlivost</w:t>
      </w:r>
      <w:r w:rsidR="00065568">
        <w:rPr>
          <w:rStyle w:val="Znakapoznpodarou"/>
          <w:rFonts w:cs="Calibri"/>
          <w:b/>
        </w:rPr>
        <w:footnoteReference w:id="22"/>
      </w:r>
      <w:r w:rsidR="00F45AA0">
        <w:rPr>
          <w:rFonts w:cs="Calibri"/>
          <w:b/>
        </w:rPr>
        <w:t xml:space="preserve"> </w:t>
      </w:r>
      <w:r w:rsidR="00065568" w:rsidRPr="003D238F">
        <w:rPr>
          <w:rFonts w:cs="Calibri"/>
          <w:b/>
        </w:rPr>
        <w:t>v celém rozsahu</w:t>
      </w:r>
      <w:r w:rsidR="00065568">
        <w:rPr>
          <w:rFonts w:cs="Calibri"/>
          <w:b/>
        </w:rPr>
        <w:t xml:space="preserve"> informací zveřejňovaných v ÚZ</w:t>
      </w:r>
      <w:r w:rsidR="00065568" w:rsidRPr="003D238F">
        <w:rPr>
          <w:rFonts w:cs="Calibri"/>
          <w:b/>
        </w:rPr>
        <w:t>.</w:t>
      </w:r>
      <w:r w:rsidR="00F45AA0" w:rsidRPr="00F45AA0">
        <w:rPr>
          <w:rFonts w:eastAsia="Calibri" w:cs="Calibri"/>
        </w:rPr>
        <w:t xml:space="preserve"> </w:t>
      </w:r>
      <w:r w:rsidR="00F45AA0" w:rsidRPr="002C7709">
        <w:rPr>
          <w:rFonts w:eastAsia="Calibri" w:cs="Calibri"/>
        </w:rPr>
        <w:t xml:space="preserve">Blíže viz </w:t>
      </w:r>
      <w:r w:rsidR="00F45AA0" w:rsidRPr="00A71002">
        <w:rPr>
          <w:rFonts w:eastAsia="Calibri" w:cs="Calibri"/>
        </w:rPr>
        <w:t>část IV.</w:t>
      </w:r>
      <w:r w:rsidR="003F7927">
        <w:rPr>
          <w:rFonts w:eastAsia="Calibri" w:cs="Calibri"/>
        </w:rPr>
        <w:t>6</w:t>
      </w:r>
      <w:r w:rsidR="00F45AA0">
        <w:rPr>
          <w:rFonts w:eastAsia="Calibri" w:cs="Calibri"/>
        </w:rPr>
        <w:t>.</w:t>
      </w:r>
      <w:r w:rsidR="00F45AA0" w:rsidRPr="00A71002">
        <w:rPr>
          <w:rFonts w:eastAsia="Calibri" w:cs="Calibri"/>
        </w:rPr>
        <w:t xml:space="preserve"> tohoto</w:t>
      </w:r>
      <w:r w:rsidR="00F45AA0" w:rsidRPr="002C7709">
        <w:rPr>
          <w:rFonts w:eastAsia="Calibri" w:cs="Calibri"/>
        </w:rPr>
        <w:t xml:space="preserve"> kontrolního závěru.</w:t>
      </w:r>
    </w:p>
    <w:p w14:paraId="46925E24" w14:textId="77777777" w:rsidR="00F45AA0" w:rsidRDefault="00F45AA0" w:rsidP="00F45AA0">
      <w:pPr>
        <w:spacing w:after="0"/>
        <w:jc w:val="both"/>
        <w:rPr>
          <w:rFonts w:cs="Calibri"/>
          <w:b/>
        </w:rPr>
      </w:pPr>
    </w:p>
    <w:p w14:paraId="7832698F" w14:textId="65CD8668" w:rsidR="008E4736" w:rsidRPr="00564E8F" w:rsidRDefault="008E4736" w:rsidP="008E4736">
      <w:pPr>
        <w:spacing w:after="0"/>
        <w:jc w:val="both"/>
        <w:rPr>
          <w:rFonts w:cs="Calibri"/>
        </w:rPr>
      </w:pPr>
      <w:r>
        <w:rPr>
          <w:rFonts w:cs="Calibri"/>
          <w:b/>
        </w:rPr>
        <w:t>Na základě</w:t>
      </w:r>
      <w:r w:rsidR="00BC18A7">
        <w:rPr>
          <w:rFonts w:cs="Calibri"/>
          <w:b/>
        </w:rPr>
        <w:t xml:space="preserve"> výsledků</w:t>
      </w:r>
      <w:r>
        <w:rPr>
          <w:rFonts w:cs="Calibri"/>
          <w:b/>
        </w:rPr>
        <w:t xml:space="preserve"> kontroly provádění říd</w:t>
      </w:r>
      <w:r w:rsidR="00CB4ED4">
        <w:rPr>
          <w:rFonts w:cs="Calibri"/>
          <w:b/>
        </w:rPr>
        <w:t>i</w:t>
      </w:r>
      <w:r>
        <w:rPr>
          <w:rFonts w:cs="Calibri"/>
          <w:b/>
        </w:rPr>
        <w:t>cí kontroly</w:t>
      </w:r>
      <w:r w:rsidR="00090DB9">
        <w:rPr>
          <w:rFonts w:cs="Calibri"/>
          <w:b/>
        </w:rPr>
        <w:t xml:space="preserve"> u vybraných operací</w:t>
      </w:r>
      <w:r w:rsidR="0021388F">
        <w:rPr>
          <w:rFonts w:cs="Calibri"/>
          <w:b/>
        </w:rPr>
        <w:t xml:space="preserve"> před vznikem a </w:t>
      </w:r>
      <w:r>
        <w:rPr>
          <w:rFonts w:cs="Calibri"/>
          <w:b/>
        </w:rPr>
        <w:t>po vzniku závazku na soulad se zákonem o finanční kontrole byl v</w:t>
      </w:r>
      <w:r w:rsidRPr="003F77EA">
        <w:rPr>
          <w:rFonts w:cs="Calibri"/>
          <w:b/>
        </w:rPr>
        <w:t>nitřní kontrolní systém MMR</w:t>
      </w:r>
      <w:r>
        <w:rPr>
          <w:rFonts w:cs="Calibri"/>
          <w:b/>
        </w:rPr>
        <w:t xml:space="preserve"> vyhodnocen jako účinný</w:t>
      </w:r>
      <w:r w:rsidR="007421DB">
        <w:rPr>
          <w:rFonts w:cs="Calibri"/>
          <w:b/>
        </w:rPr>
        <w:t xml:space="preserve"> jen</w:t>
      </w:r>
      <w:r>
        <w:rPr>
          <w:rFonts w:cs="Calibri"/>
          <w:b/>
        </w:rPr>
        <w:t xml:space="preserve"> s mírnými nedostatky. </w:t>
      </w:r>
      <w:r>
        <w:rPr>
          <w:rFonts w:cs="Calibri"/>
        </w:rPr>
        <w:t>NKÚ</w:t>
      </w:r>
      <w:r w:rsidRPr="003F77EA">
        <w:rPr>
          <w:rFonts w:cs="Calibri"/>
        </w:rPr>
        <w:t xml:space="preserve"> zjistil na </w:t>
      </w:r>
      <w:r>
        <w:rPr>
          <w:rFonts w:cs="Calibri"/>
        </w:rPr>
        <w:t xml:space="preserve">kontrolním </w:t>
      </w:r>
      <w:r w:rsidRPr="003F77EA">
        <w:rPr>
          <w:rFonts w:cs="Calibri"/>
        </w:rPr>
        <w:t>vzorku 186 finančních operací</w:t>
      </w:r>
      <w:r>
        <w:rPr>
          <w:rFonts w:cs="Calibri"/>
        </w:rPr>
        <w:t xml:space="preserve"> </w:t>
      </w:r>
      <w:r w:rsidRPr="003D238F">
        <w:rPr>
          <w:rFonts w:cs="Calibri"/>
          <w:b/>
        </w:rPr>
        <w:t>9%</w:t>
      </w:r>
      <w:r>
        <w:rPr>
          <w:rFonts w:cs="Calibri"/>
        </w:rPr>
        <w:t xml:space="preserve"> </w:t>
      </w:r>
      <w:r w:rsidRPr="003D238F">
        <w:rPr>
          <w:rFonts w:cs="Calibri"/>
          <w:b/>
        </w:rPr>
        <w:t>chybovost</w:t>
      </w:r>
      <w:r>
        <w:rPr>
          <w:rFonts w:cs="Calibri"/>
          <w:b/>
        </w:rPr>
        <w:t xml:space="preserve">. </w:t>
      </w:r>
      <w:r w:rsidR="005C56B4">
        <w:rPr>
          <w:rFonts w:cs="Calibri"/>
          <w:b/>
        </w:rPr>
        <w:t>U faktur bylo v této souvis</w:t>
      </w:r>
      <w:r w:rsidR="00A15F37">
        <w:rPr>
          <w:rFonts w:cs="Calibri"/>
          <w:b/>
        </w:rPr>
        <w:t>los</w:t>
      </w:r>
      <w:r w:rsidR="005C56B4">
        <w:rPr>
          <w:rFonts w:cs="Calibri"/>
          <w:b/>
        </w:rPr>
        <w:t>ti</w:t>
      </w:r>
      <w:r>
        <w:rPr>
          <w:rFonts w:cs="Calibri"/>
          <w:b/>
        </w:rPr>
        <w:t xml:space="preserve"> identifikováno riziko vzniku sankcí ze strany dodavatelů</w:t>
      </w:r>
      <w:r w:rsidRPr="00F06243">
        <w:rPr>
          <w:rFonts w:cs="Calibri"/>
          <w:b/>
        </w:rPr>
        <w:t>.</w:t>
      </w:r>
      <w:r w:rsidRPr="003D238F">
        <w:rPr>
          <w:rFonts w:cs="Calibri"/>
        </w:rPr>
        <w:t xml:space="preserve"> Nedodržení</w:t>
      </w:r>
      <w:r>
        <w:rPr>
          <w:rFonts w:cs="Calibri"/>
          <w:b/>
        </w:rPr>
        <w:t xml:space="preserve"> </w:t>
      </w:r>
      <w:r w:rsidRPr="003F77EA">
        <w:rPr>
          <w:rFonts w:cs="Calibri"/>
        </w:rPr>
        <w:t xml:space="preserve">původně stanovené doby splatnosti </w:t>
      </w:r>
      <w:r>
        <w:rPr>
          <w:rFonts w:cs="Calibri"/>
        </w:rPr>
        <w:t xml:space="preserve">bylo </w:t>
      </w:r>
      <w:r>
        <w:rPr>
          <w:rFonts w:cs="Calibri"/>
        </w:rPr>
        <w:lastRenderedPageBreak/>
        <w:t>zjištěno ve významném rozsahu a to u</w:t>
      </w:r>
      <w:r w:rsidRPr="003F77EA">
        <w:rPr>
          <w:rFonts w:cs="Calibri"/>
        </w:rPr>
        <w:t xml:space="preserve"> </w:t>
      </w:r>
      <w:r w:rsidRPr="00DA13E2">
        <w:rPr>
          <w:rFonts w:cs="Calibri"/>
          <w:b/>
        </w:rPr>
        <w:t>19 % faktur</w:t>
      </w:r>
      <w:r w:rsidRPr="003F77EA">
        <w:rPr>
          <w:rFonts w:cs="Calibri"/>
        </w:rPr>
        <w:t xml:space="preserve"> z</w:t>
      </w:r>
      <w:r>
        <w:rPr>
          <w:rFonts w:cs="Calibri"/>
        </w:rPr>
        <w:t> kontrolního vzorku 2 893 faktur.</w:t>
      </w:r>
      <w:r w:rsidRPr="003F77EA">
        <w:rPr>
          <w:rFonts w:cs="Calibri"/>
        </w:rPr>
        <w:t xml:space="preserve"> </w:t>
      </w:r>
      <w:r w:rsidRPr="002C7709">
        <w:rPr>
          <w:rFonts w:eastAsia="Calibri" w:cs="Calibri"/>
        </w:rPr>
        <w:t xml:space="preserve">Blíže viz </w:t>
      </w:r>
      <w:r w:rsidRPr="00A71002">
        <w:rPr>
          <w:rFonts w:eastAsia="Calibri" w:cs="Calibri"/>
        </w:rPr>
        <w:t>část IV.</w:t>
      </w:r>
      <w:r w:rsidR="003F7927">
        <w:rPr>
          <w:rFonts w:eastAsia="Calibri" w:cs="Calibri"/>
        </w:rPr>
        <w:t>6</w:t>
      </w:r>
      <w:r>
        <w:rPr>
          <w:rFonts w:eastAsia="Calibri" w:cs="Calibri"/>
        </w:rPr>
        <w:t>.</w:t>
      </w:r>
      <w:r w:rsidRPr="00A71002">
        <w:rPr>
          <w:rFonts w:eastAsia="Calibri" w:cs="Calibri"/>
        </w:rPr>
        <w:t xml:space="preserve"> tohoto</w:t>
      </w:r>
      <w:r w:rsidRPr="002C7709">
        <w:rPr>
          <w:rFonts w:eastAsia="Calibri" w:cs="Calibri"/>
        </w:rPr>
        <w:t xml:space="preserve"> kontrolního závěru.</w:t>
      </w:r>
    </w:p>
    <w:p w14:paraId="41089506" w14:textId="77777777" w:rsidR="008E4736" w:rsidRPr="00564E8F" w:rsidRDefault="008E4736" w:rsidP="008E4736">
      <w:pPr>
        <w:spacing w:after="0"/>
        <w:jc w:val="both"/>
        <w:rPr>
          <w:rFonts w:cs="Calibri"/>
        </w:rPr>
      </w:pPr>
    </w:p>
    <w:p w14:paraId="0149ED9C" w14:textId="4755AA5C" w:rsidR="008E4736" w:rsidRPr="003F77EA" w:rsidRDefault="008E4736" w:rsidP="008E4736">
      <w:pPr>
        <w:spacing w:after="0"/>
        <w:jc w:val="both"/>
        <w:rPr>
          <w:rFonts w:cs="Calibri"/>
          <w:b/>
        </w:rPr>
      </w:pPr>
      <w:r>
        <w:rPr>
          <w:rFonts w:cs="Calibri"/>
        </w:rPr>
        <w:t>P</w:t>
      </w:r>
      <w:r w:rsidRPr="003D238F">
        <w:rPr>
          <w:rFonts w:cs="Calibri"/>
        </w:rPr>
        <w:t xml:space="preserve">ři kontrole </w:t>
      </w:r>
      <w:r w:rsidRPr="003D238F">
        <w:rPr>
          <w:rFonts w:cs="Calibri"/>
          <w:b/>
        </w:rPr>
        <w:t>vy</w:t>
      </w:r>
      <w:r>
        <w:rPr>
          <w:rFonts w:cs="Calibri"/>
          <w:b/>
        </w:rPr>
        <w:t xml:space="preserve">braných operací při nakládání s majetkem na soulad s právními předpisy </w:t>
      </w:r>
      <w:r w:rsidRPr="003D238F">
        <w:rPr>
          <w:rFonts w:cs="Calibri"/>
        </w:rPr>
        <w:t>NKÚ zjistil</w:t>
      </w:r>
      <w:r>
        <w:rPr>
          <w:rFonts w:cs="Calibri"/>
          <w:b/>
        </w:rPr>
        <w:t xml:space="preserve"> závažné skutečnosti,</w:t>
      </w:r>
      <w:r w:rsidRPr="003F77EA">
        <w:rPr>
          <w:rFonts w:cs="Calibri"/>
          <w:b/>
        </w:rPr>
        <w:t xml:space="preserve"> </w:t>
      </w:r>
      <w:r w:rsidRPr="003D238F">
        <w:rPr>
          <w:rFonts w:cs="Calibri"/>
        </w:rPr>
        <w:t xml:space="preserve">kdy nebyl </w:t>
      </w:r>
      <w:r w:rsidRPr="009F485A">
        <w:rPr>
          <w:rFonts w:cs="Calibri"/>
          <w:b/>
        </w:rPr>
        <w:t>vnitřní kontrolní systém MMR</w:t>
      </w:r>
      <w:r w:rsidR="00286B8D">
        <w:rPr>
          <w:rFonts w:cs="Calibri"/>
          <w:b/>
        </w:rPr>
        <w:t xml:space="preserve"> </w:t>
      </w:r>
      <w:r w:rsidRPr="003D238F">
        <w:rPr>
          <w:rFonts w:cs="Calibri"/>
        </w:rPr>
        <w:t>účinný</w:t>
      </w:r>
      <w:r w:rsidRPr="00F06243">
        <w:rPr>
          <w:rFonts w:cs="Calibri"/>
        </w:rPr>
        <w:t xml:space="preserve">, </w:t>
      </w:r>
      <w:r w:rsidRPr="003D238F">
        <w:rPr>
          <w:rFonts w:cs="Calibri"/>
        </w:rPr>
        <w:t>neboť</w:t>
      </w:r>
      <w:r w:rsidRPr="003F77EA">
        <w:rPr>
          <w:rFonts w:cs="Calibri"/>
          <w:b/>
        </w:rPr>
        <w:t xml:space="preserve"> neidentifikoval postupy realizované v rozporu s právními předpisy</w:t>
      </w:r>
      <w:r>
        <w:rPr>
          <w:rFonts w:cs="Calibri"/>
          <w:b/>
        </w:rPr>
        <w:t xml:space="preserve"> ani</w:t>
      </w:r>
      <w:r w:rsidRPr="003F77EA">
        <w:rPr>
          <w:rFonts w:cs="Calibri"/>
          <w:b/>
        </w:rPr>
        <w:t xml:space="preserve"> neplnění některých zákonných povinností. </w:t>
      </w:r>
      <w:r w:rsidRPr="002C7709">
        <w:rPr>
          <w:rFonts w:eastAsia="Calibri" w:cs="Calibri"/>
        </w:rPr>
        <w:t xml:space="preserve">Blíže viz </w:t>
      </w:r>
      <w:r w:rsidRPr="00A71002">
        <w:rPr>
          <w:rFonts w:eastAsia="Calibri" w:cs="Calibri"/>
        </w:rPr>
        <w:t>část IV.</w:t>
      </w:r>
      <w:r w:rsidR="003F7927">
        <w:rPr>
          <w:rFonts w:eastAsia="Calibri" w:cs="Calibri"/>
        </w:rPr>
        <w:t>5</w:t>
      </w:r>
      <w:r>
        <w:rPr>
          <w:rFonts w:eastAsia="Calibri" w:cs="Calibri"/>
        </w:rPr>
        <w:t>.</w:t>
      </w:r>
      <w:r w:rsidRPr="00A71002">
        <w:rPr>
          <w:rFonts w:eastAsia="Calibri" w:cs="Calibri"/>
        </w:rPr>
        <w:t xml:space="preserve"> tohoto</w:t>
      </w:r>
      <w:r w:rsidRPr="002C7709">
        <w:rPr>
          <w:rFonts w:eastAsia="Calibri" w:cs="Calibri"/>
        </w:rPr>
        <w:t xml:space="preserve"> kontrolního závěru.</w:t>
      </w:r>
    </w:p>
    <w:p w14:paraId="0C2D38C4" w14:textId="77777777" w:rsidR="008E4736" w:rsidRDefault="008E4736" w:rsidP="008E4736">
      <w:pPr>
        <w:spacing w:after="0"/>
        <w:jc w:val="both"/>
        <w:rPr>
          <w:rFonts w:cs="Calibri"/>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2"/>
      </w:tblGrid>
      <w:tr w:rsidR="001C4BBF" w14:paraId="679177B7" w14:textId="77777777" w:rsidTr="001C4BBF">
        <w:trPr>
          <w:trHeight w:val="1354"/>
        </w:trPr>
        <w:tc>
          <w:tcPr>
            <w:tcW w:w="9062" w:type="dxa"/>
            <w:shd w:val="clear" w:color="auto" w:fill="E5F1FF"/>
          </w:tcPr>
          <w:p w14:paraId="719E3643" w14:textId="2BAB0360" w:rsidR="00090DB9" w:rsidRDefault="00DE06F3" w:rsidP="00BC18A7">
            <w:pPr>
              <w:spacing w:after="0"/>
              <w:jc w:val="both"/>
              <w:rPr>
                <w:rFonts w:cs="Calibri"/>
                <w:b/>
              </w:rPr>
            </w:pPr>
            <w:r>
              <w:rPr>
                <w:rFonts w:cs="Calibri"/>
                <w:b/>
              </w:rPr>
              <w:t>Vnitřní kontrolní systém v</w:t>
            </w:r>
            <w:r w:rsidR="00BC18A7">
              <w:rPr>
                <w:rFonts w:cs="Calibri"/>
                <w:b/>
              </w:rPr>
              <w:t xml:space="preserve"> oblasti provádění říd</w:t>
            </w:r>
            <w:r w:rsidR="00CB4ED4">
              <w:rPr>
                <w:rFonts w:cs="Calibri"/>
                <w:b/>
              </w:rPr>
              <w:t>i</w:t>
            </w:r>
            <w:r w:rsidR="00BC18A7">
              <w:rPr>
                <w:rFonts w:cs="Calibri"/>
                <w:b/>
              </w:rPr>
              <w:t xml:space="preserve">cí kontroly </w:t>
            </w:r>
            <w:r w:rsidR="00BC18A7" w:rsidRPr="00DA13E2">
              <w:rPr>
                <w:rFonts w:cs="Calibri"/>
              </w:rPr>
              <w:t>před vznikem a po vzniku závazku</w:t>
            </w:r>
            <w:r w:rsidR="007421DB" w:rsidRPr="00DA13E2">
              <w:rPr>
                <w:rFonts w:cs="Calibri"/>
              </w:rPr>
              <w:t xml:space="preserve"> </w:t>
            </w:r>
            <w:r>
              <w:rPr>
                <w:rFonts w:cs="Calibri"/>
              </w:rPr>
              <w:t xml:space="preserve">byl </w:t>
            </w:r>
            <w:r w:rsidR="00BC18A7" w:rsidRPr="00DA13E2">
              <w:rPr>
                <w:rFonts w:cs="Calibri"/>
              </w:rPr>
              <w:t>účinný</w:t>
            </w:r>
            <w:r w:rsidR="00BC18A7">
              <w:rPr>
                <w:rFonts w:cs="Calibri"/>
                <w:b/>
              </w:rPr>
              <w:t xml:space="preserve"> </w:t>
            </w:r>
            <w:r w:rsidR="007421DB">
              <w:rPr>
                <w:rFonts w:cs="Calibri"/>
                <w:b/>
              </w:rPr>
              <w:t>jen</w:t>
            </w:r>
            <w:r w:rsidR="00090DB9">
              <w:rPr>
                <w:rFonts w:cs="Calibri"/>
                <w:b/>
              </w:rPr>
              <w:t xml:space="preserve"> </w:t>
            </w:r>
            <w:r w:rsidR="00BC18A7">
              <w:rPr>
                <w:rFonts w:cs="Calibri"/>
                <w:b/>
              </w:rPr>
              <w:t>s mírnými nedostatky.</w:t>
            </w:r>
            <w:r w:rsidR="007B1AC1">
              <w:rPr>
                <w:rFonts w:cs="Calibri"/>
                <w:b/>
              </w:rPr>
              <w:t xml:space="preserve"> Na vzorku operací byla</w:t>
            </w:r>
            <w:r>
              <w:rPr>
                <w:rFonts w:cs="Calibri"/>
                <w:b/>
              </w:rPr>
              <w:t xml:space="preserve"> kontrolou</w:t>
            </w:r>
            <w:r w:rsidR="007B1AC1">
              <w:rPr>
                <w:rFonts w:cs="Calibri"/>
                <w:b/>
              </w:rPr>
              <w:t xml:space="preserve"> zjištěna 9%</w:t>
            </w:r>
            <w:r w:rsidR="00D57B0C">
              <w:rPr>
                <w:rFonts w:cs="Calibri"/>
                <w:b/>
              </w:rPr>
              <w:t xml:space="preserve"> chybovost</w:t>
            </w:r>
            <w:r w:rsidR="007B1AC1">
              <w:rPr>
                <w:rFonts w:cs="Calibri"/>
                <w:b/>
              </w:rPr>
              <w:t xml:space="preserve">. </w:t>
            </w:r>
          </w:p>
          <w:p w14:paraId="5D9498E1" w14:textId="77777777" w:rsidR="00090DB9" w:rsidRDefault="00090DB9" w:rsidP="00BC18A7">
            <w:pPr>
              <w:spacing w:after="0"/>
              <w:jc w:val="both"/>
              <w:rPr>
                <w:rFonts w:cs="Calibri"/>
                <w:b/>
              </w:rPr>
            </w:pPr>
          </w:p>
          <w:p w14:paraId="2276FE86" w14:textId="74481814" w:rsidR="00DE06F3" w:rsidRDefault="00DE06F3" w:rsidP="00BC18A7">
            <w:pPr>
              <w:spacing w:after="0"/>
              <w:jc w:val="both"/>
              <w:rPr>
                <w:rFonts w:cs="Calibri"/>
                <w:b/>
              </w:rPr>
            </w:pPr>
            <w:r>
              <w:rPr>
                <w:rFonts w:cs="Calibri"/>
                <w:b/>
              </w:rPr>
              <w:t>Vnitřní kontrolní systém v</w:t>
            </w:r>
            <w:r w:rsidR="007421DB">
              <w:rPr>
                <w:rFonts w:cs="Calibri"/>
                <w:b/>
              </w:rPr>
              <w:t xml:space="preserve"> oblasti </w:t>
            </w:r>
            <w:r w:rsidR="000834FD">
              <w:rPr>
                <w:rFonts w:cs="Calibri"/>
                <w:b/>
              </w:rPr>
              <w:t xml:space="preserve">zajištění spolehlivosti informací na výstupu </w:t>
            </w:r>
            <w:r>
              <w:rPr>
                <w:rFonts w:cs="Calibri"/>
              </w:rPr>
              <w:t>byl</w:t>
            </w:r>
            <w:r w:rsidR="00090DB9" w:rsidRPr="00DA13E2">
              <w:rPr>
                <w:rFonts w:cs="Calibri"/>
              </w:rPr>
              <w:t xml:space="preserve"> </w:t>
            </w:r>
            <w:r w:rsidR="00090DB9" w:rsidRPr="00A959A4">
              <w:rPr>
                <w:rFonts w:cs="Calibri"/>
                <w:b/>
              </w:rPr>
              <w:t>účinný</w:t>
            </w:r>
            <w:r w:rsidR="00A959A4" w:rsidRPr="00A959A4">
              <w:rPr>
                <w:rFonts w:cs="Calibri"/>
                <w:b/>
              </w:rPr>
              <w:t xml:space="preserve"> </w:t>
            </w:r>
            <w:r>
              <w:rPr>
                <w:rFonts w:cs="Calibri"/>
                <w:b/>
              </w:rPr>
              <w:t>pouze v omezeném rozsahu</w:t>
            </w:r>
            <w:r w:rsidR="00A959A4" w:rsidRPr="00F06243">
              <w:rPr>
                <w:rFonts w:cs="Calibri"/>
                <w:b/>
              </w:rPr>
              <w:t>.</w:t>
            </w:r>
            <w:r w:rsidR="00A959A4">
              <w:rPr>
                <w:rFonts w:cs="Calibri"/>
              </w:rPr>
              <w:t xml:space="preserve"> </w:t>
            </w:r>
            <w:r>
              <w:rPr>
                <w:rFonts w:cs="Calibri"/>
              </w:rPr>
              <w:t>V ÚZ byly k</w:t>
            </w:r>
            <w:r w:rsidR="00A959A4" w:rsidRPr="00A959A4">
              <w:rPr>
                <w:rFonts w:cs="Calibri"/>
                <w:b/>
              </w:rPr>
              <w:t>ontro</w:t>
            </w:r>
            <w:r w:rsidR="000834FD" w:rsidRPr="00A959A4">
              <w:rPr>
                <w:rFonts w:cs="Calibri"/>
                <w:b/>
              </w:rPr>
              <w:t>lo</w:t>
            </w:r>
            <w:r w:rsidR="000834FD">
              <w:rPr>
                <w:rFonts w:cs="Calibri"/>
                <w:b/>
              </w:rPr>
              <w:t xml:space="preserve">u </w:t>
            </w:r>
            <w:r w:rsidR="007B1AC1">
              <w:rPr>
                <w:rFonts w:cs="Calibri"/>
                <w:b/>
              </w:rPr>
              <w:t>zjištěny</w:t>
            </w:r>
            <w:r w:rsidR="00A15F37">
              <w:rPr>
                <w:rFonts w:cs="Calibri"/>
                <w:b/>
              </w:rPr>
              <w:t xml:space="preserve"> v</w:t>
            </w:r>
            <w:r w:rsidR="000834FD">
              <w:rPr>
                <w:rFonts w:cs="Calibri"/>
                <w:b/>
              </w:rPr>
              <w:t>ýznamné</w:t>
            </w:r>
            <w:r w:rsidR="00A959A4">
              <w:rPr>
                <w:rFonts w:cs="Calibri"/>
                <w:b/>
              </w:rPr>
              <w:t xml:space="preserve"> nesprávnosti</w:t>
            </w:r>
            <w:r>
              <w:rPr>
                <w:rFonts w:cs="Calibri"/>
                <w:b/>
              </w:rPr>
              <w:t>.</w:t>
            </w:r>
            <w:r w:rsidR="00A15F37">
              <w:rPr>
                <w:rFonts w:cs="Calibri"/>
                <w:b/>
              </w:rPr>
              <w:t xml:space="preserve"> </w:t>
            </w:r>
          </w:p>
          <w:p w14:paraId="414C900B" w14:textId="77777777" w:rsidR="00DE06F3" w:rsidRDefault="00DE06F3" w:rsidP="00BC18A7">
            <w:pPr>
              <w:spacing w:after="0"/>
              <w:jc w:val="both"/>
              <w:rPr>
                <w:rFonts w:cs="Calibri"/>
                <w:b/>
              </w:rPr>
            </w:pPr>
          </w:p>
          <w:p w14:paraId="28B9E959" w14:textId="1900FD95" w:rsidR="00BC18A7" w:rsidRPr="003A2FA5" w:rsidRDefault="00DE06F3" w:rsidP="00BC18A7">
            <w:pPr>
              <w:spacing w:after="0"/>
              <w:jc w:val="both"/>
              <w:rPr>
                <w:rFonts w:cs="Calibri"/>
              </w:rPr>
            </w:pPr>
            <w:r>
              <w:rPr>
                <w:rFonts w:cs="Calibri"/>
                <w:b/>
              </w:rPr>
              <w:t>V</w:t>
            </w:r>
            <w:r w:rsidR="003A2FA5">
              <w:rPr>
                <w:rFonts w:cs="Calibri"/>
                <w:b/>
              </w:rPr>
              <w:t xml:space="preserve">e </w:t>
            </w:r>
            <w:r>
              <w:rPr>
                <w:rFonts w:cs="Calibri"/>
                <w:b/>
              </w:rPr>
              <w:t>dvou případech</w:t>
            </w:r>
            <w:r w:rsidR="003A2FA5">
              <w:rPr>
                <w:rFonts w:cs="Calibri"/>
                <w:b/>
              </w:rPr>
              <w:t xml:space="preserve"> byly</w:t>
            </w:r>
            <w:r>
              <w:rPr>
                <w:rFonts w:cs="Calibri"/>
                <w:b/>
              </w:rPr>
              <w:t xml:space="preserve"> zjištěny závažné </w:t>
            </w:r>
            <w:r w:rsidR="003A2FA5">
              <w:rPr>
                <w:rFonts w:cs="Calibri"/>
                <w:b/>
              </w:rPr>
              <w:t>nedostatky při nakládání s majetkem státu</w:t>
            </w:r>
            <w:r w:rsidR="00DD6B68">
              <w:rPr>
                <w:rFonts w:cs="Calibri"/>
                <w:b/>
              </w:rPr>
              <w:t>.</w:t>
            </w:r>
            <w:r w:rsidR="003A2FA5">
              <w:rPr>
                <w:rFonts w:cs="Calibri"/>
                <w:b/>
              </w:rPr>
              <w:t xml:space="preserve"> </w:t>
            </w:r>
            <w:r w:rsidR="00DD6B68">
              <w:rPr>
                <w:rFonts w:cs="Calibri"/>
                <w:b/>
              </w:rPr>
              <w:t>V</w:t>
            </w:r>
            <w:r w:rsidR="003A2FA5" w:rsidRPr="003A2FA5">
              <w:rPr>
                <w:rFonts w:cs="Calibri"/>
                <w:b/>
              </w:rPr>
              <w:t>nitřní kontrolní systém byl v</w:t>
            </w:r>
            <w:r w:rsidRPr="003A2FA5">
              <w:rPr>
                <w:rFonts w:cs="Calibri"/>
                <w:b/>
              </w:rPr>
              <w:t xml:space="preserve"> těchto případech </w:t>
            </w:r>
            <w:r w:rsidR="003A2FA5" w:rsidRPr="003A2FA5">
              <w:rPr>
                <w:rFonts w:cs="Calibri"/>
                <w:b/>
              </w:rPr>
              <w:t>n</w:t>
            </w:r>
            <w:r w:rsidRPr="003A2FA5">
              <w:rPr>
                <w:rFonts w:cs="Calibri"/>
                <w:b/>
              </w:rPr>
              <w:t>eúčinný</w:t>
            </w:r>
            <w:r w:rsidRPr="00F06243">
              <w:rPr>
                <w:rFonts w:cs="Calibri"/>
                <w:b/>
              </w:rPr>
              <w:t>,</w:t>
            </w:r>
            <w:r w:rsidR="00815346" w:rsidRPr="003A2FA5">
              <w:rPr>
                <w:rFonts w:cs="Calibri"/>
              </w:rPr>
              <w:t xml:space="preserve"> </w:t>
            </w:r>
            <w:r w:rsidRPr="003A2FA5">
              <w:rPr>
                <w:rFonts w:cs="Calibri"/>
              </w:rPr>
              <w:t>neboť</w:t>
            </w:r>
            <w:r w:rsidR="00A15F37" w:rsidRPr="003A2FA5">
              <w:rPr>
                <w:rFonts w:cs="Calibri"/>
              </w:rPr>
              <w:t xml:space="preserve"> </w:t>
            </w:r>
            <w:r w:rsidR="00815346" w:rsidRPr="003A2FA5">
              <w:rPr>
                <w:rFonts w:cs="Calibri"/>
              </w:rPr>
              <w:t xml:space="preserve">těmto nedostatkům </w:t>
            </w:r>
            <w:r w:rsidR="00A15F37" w:rsidRPr="003A2FA5">
              <w:rPr>
                <w:rFonts w:cs="Calibri"/>
              </w:rPr>
              <w:t>nezabránil</w:t>
            </w:r>
            <w:r w:rsidR="00815346" w:rsidRPr="003A2FA5">
              <w:rPr>
                <w:rFonts w:cs="Calibri"/>
              </w:rPr>
              <w:t>,</w:t>
            </w:r>
            <w:r w:rsidR="00A15F37" w:rsidRPr="003A2FA5">
              <w:rPr>
                <w:rFonts w:cs="Calibri"/>
              </w:rPr>
              <w:t xml:space="preserve"> </w:t>
            </w:r>
            <w:r w:rsidR="007B1AC1" w:rsidRPr="003A2FA5">
              <w:rPr>
                <w:rFonts w:cs="Calibri"/>
              </w:rPr>
              <w:t>neidentifikoval</w:t>
            </w:r>
            <w:r w:rsidR="00A15F37" w:rsidRPr="003A2FA5">
              <w:rPr>
                <w:rFonts w:cs="Calibri"/>
              </w:rPr>
              <w:t xml:space="preserve"> je a ani je neodstranil.</w:t>
            </w:r>
          </w:p>
          <w:p w14:paraId="7F39CD9A" w14:textId="77777777" w:rsidR="001C4BBF" w:rsidRDefault="001C4BBF" w:rsidP="00065568">
            <w:pPr>
              <w:spacing w:after="0"/>
              <w:jc w:val="both"/>
              <w:rPr>
                <w:rFonts w:cs="Calibri"/>
                <w:sz w:val="6"/>
                <w:szCs w:val="6"/>
              </w:rPr>
            </w:pPr>
          </w:p>
        </w:tc>
      </w:tr>
    </w:tbl>
    <w:p w14:paraId="52AAA18A" w14:textId="77777777" w:rsidR="00841975" w:rsidRDefault="00841975" w:rsidP="00F74C0E">
      <w:pPr>
        <w:spacing w:after="0"/>
        <w:jc w:val="both"/>
        <w:rPr>
          <w:rFonts w:cs="Calibri"/>
        </w:rPr>
      </w:pPr>
    </w:p>
    <w:p w14:paraId="770400D9" w14:textId="77777777" w:rsidR="00CA1396" w:rsidRPr="00C159BE" w:rsidRDefault="00CA1396" w:rsidP="00B30899">
      <w:pPr>
        <w:spacing w:after="0"/>
        <w:rPr>
          <w:rFonts w:eastAsiaTheme="minorHAnsi" w:cs="Calibri"/>
        </w:rPr>
      </w:pPr>
    </w:p>
    <w:p w14:paraId="6FA17D3D" w14:textId="77777777" w:rsidR="00E91FF5" w:rsidRPr="00C159BE" w:rsidRDefault="00A640AE" w:rsidP="00C159BE">
      <w:pPr>
        <w:pStyle w:val="Nadpis1"/>
        <w:keepNext/>
        <w:spacing w:after="0" w:line="240" w:lineRule="auto"/>
        <w:rPr>
          <w:rFonts w:ascii="Calibri" w:hAnsi="Calibri" w:cs="Calibri"/>
          <w:szCs w:val="24"/>
        </w:rPr>
      </w:pPr>
      <w:r w:rsidRPr="00C159BE">
        <w:rPr>
          <w:rFonts w:ascii="Calibri" w:hAnsi="Calibri" w:cs="Calibri"/>
          <w:szCs w:val="24"/>
        </w:rPr>
        <w:t>II. Informace o kontrolované oblasti</w:t>
      </w:r>
    </w:p>
    <w:p w14:paraId="214E8978" w14:textId="77777777" w:rsidR="00C159BE" w:rsidRDefault="00C159BE" w:rsidP="001A79A3">
      <w:pPr>
        <w:keepNext/>
        <w:spacing w:after="0"/>
        <w:jc w:val="both"/>
        <w:rPr>
          <w:rFonts w:cs="Calibri"/>
        </w:rPr>
      </w:pPr>
    </w:p>
    <w:p w14:paraId="5CFC8141" w14:textId="7C34FDDF" w:rsidR="009F20AA" w:rsidRDefault="00187AEF" w:rsidP="009F20AA">
      <w:pPr>
        <w:spacing w:after="0"/>
        <w:jc w:val="both"/>
        <w:rPr>
          <w:rFonts w:asciiTheme="minorHAnsi" w:hAnsiTheme="minorHAnsi" w:cstheme="minorHAnsi"/>
        </w:rPr>
      </w:pPr>
      <w:r w:rsidRPr="00187AEF">
        <w:rPr>
          <w:rFonts w:asciiTheme="minorHAnsi" w:hAnsiTheme="minorHAnsi" w:cstheme="minorHAnsi"/>
        </w:rPr>
        <w:t>MMR bylo zřízeno zákonem č. 2/1969 Sb., o zřízení ministerstev a jiných ústředních orgánů státní správy České republiky. Podle ustanovení § 14 tohoto zákona je MMR ústředním orgánem státní správy ve věcech regionální politiky, politi</w:t>
      </w:r>
      <w:r w:rsidR="004A4FD6">
        <w:rPr>
          <w:rFonts w:asciiTheme="minorHAnsi" w:hAnsiTheme="minorHAnsi" w:cstheme="minorHAnsi"/>
        </w:rPr>
        <w:t>ky bydlení, rozvoje domovního a </w:t>
      </w:r>
      <w:r w:rsidRPr="00187AEF">
        <w:rPr>
          <w:rFonts w:asciiTheme="minorHAnsi" w:hAnsiTheme="minorHAnsi" w:cstheme="minorHAnsi"/>
        </w:rPr>
        <w:t>bytového fondu a pro věci nájmu bytů a nebytovýc</w:t>
      </w:r>
      <w:r w:rsidR="004A4FD6">
        <w:rPr>
          <w:rFonts w:asciiTheme="minorHAnsi" w:hAnsiTheme="minorHAnsi" w:cstheme="minorHAnsi"/>
        </w:rPr>
        <w:t>h prostor, územního plánování a </w:t>
      </w:r>
      <w:r w:rsidRPr="00187AEF">
        <w:rPr>
          <w:rFonts w:asciiTheme="minorHAnsi" w:hAnsiTheme="minorHAnsi" w:cstheme="minorHAnsi"/>
        </w:rPr>
        <w:t>stavebního řádu, vyvlastnění, investiční politiky, cestovního ruchu a pohřebnictví. MMR spravuje finanční prostředky určené k zabezpečování politiky bydlení a regionální politiky státu a koordinuje činnosti ministerstev a jiných ústředních orgánů státní správy při zabezpečování politiky bydlení a regionální politiky státu, včetně koordinace financování těchto činností, pokud tyto prostředky přímo nespravuje. MMR zabezpečuje informační metodickou pomoc vyšším územním samosprávným celkům, městům, obcím a jejich sdružením a dále zajišťuje činnosti spojené s procesem zapojování územních samosprávných celků do evropských regionálních struktur.</w:t>
      </w:r>
    </w:p>
    <w:p w14:paraId="5DF79173" w14:textId="77777777" w:rsidR="009F20AA" w:rsidRDefault="009F20AA" w:rsidP="009F20AA">
      <w:pPr>
        <w:spacing w:after="0"/>
        <w:jc w:val="both"/>
        <w:rPr>
          <w:rFonts w:asciiTheme="minorHAnsi" w:hAnsiTheme="minorHAnsi" w:cstheme="minorHAnsi"/>
        </w:rPr>
      </w:pPr>
    </w:p>
    <w:p w14:paraId="7D93C5C3" w14:textId="5E34C80B" w:rsidR="009F20AA" w:rsidRPr="00FF714A" w:rsidRDefault="005A6A6F" w:rsidP="00FF714A">
      <w:pPr>
        <w:spacing w:after="0"/>
        <w:jc w:val="both"/>
        <w:rPr>
          <w:rFonts w:asciiTheme="minorHAnsi" w:hAnsiTheme="minorHAnsi" w:cstheme="minorHAnsi"/>
        </w:rPr>
      </w:pPr>
      <w:r>
        <w:rPr>
          <w:rFonts w:asciiTheme="minorHAnsi" w:hAnsiTheme="minorHAnsi" w:cstheme="minorHAnsi"/>
        </w:rPr>
        <w:t>Dle zákona</w:t>
      </w:r>
      <w:r w:rsidR="00534338" w:rsidRPr="00FF714A">
        <w:rPr>
          <w:rFonts w:asciiTheme="minorHAnsi" w:hAnsiTheme="minorHAnsi" w:cstheme="minorHAnsi"/>
        </w:rPr>
        <w:t xml:space="preserve"> o majetku </w:t>
      </w:r>
      <w:r w:rsidR="00A640AE" w:rsidRPr="00FF714A">
        <w:rPr>
          <w:rFonts w:asciiTheme="minorHAnsi" w:hAnsiTheme="minorHAnsi" w:cstheme="minorHAnsi"/>
        </w:rPr>
        <w:t>je M</w:t>
      </w:r>
      <w:r w:rsidR="00534338" w:rsidRPr="00FF714A">
        <w:rPr>
          <w:rFonts w:asciiTheme="minorHAnsi" w:hAnsiTheme="minorHAnsi" w:cstheme="minorHAnsi"/>
        </w:rPr>
        <w:t>MR</w:t>
      </w:r>
      <w:r w:rsidR="00A640AE" w:rsidRPr="00FF714A">
        <w:rPr>
          <w:rFonts w:asciiTheme="minorHAnsi" w:hAnsiTheme="minorHAnsi" w:cstheme="minorHAnsi"/>
        </w:rPr>
        <w:t xml:space="preserve"> organizační složkou státu</w:t>
      </w:r>
      <w:r w:rsidR="00FF714A" w:rsidRPr="00FF714A">
        <w:rPr>
          <w:rFonts w:asciiTheme="minorHAnsi" w:hAnsiTheme="minorHAnsi" w:cstheme="minorHAnsi"/>
        </w:rPr>
        <w:t xml:space="preserve"> </w:t>
      </w:r>
      <w:r w:rsidR="00A640AE" w:rsidRPr="00FF714A">
        <w:rPr>
          <w:rFonts w:asciiTheme="minorHAnsi" w:hAnsiTheme="minorHAnsi" w:cstheme="minorHAnsi"/>
        </w:rPr>
        <w:t xml:space="preserve">a dle zákona </w:t>
      </w:r>
      <w:r w:rsidR="00F0213D">
        <w:rPr>
          <w:rFonts w:asciiTheme="minorHAnsi" w:hAnsiTheme="minorHAnsi" w:cstheme="minorHAnsi"/>
        </w:rPr>
        <w:t xml:space="preserve">o účetnictví </w:t>
      </w:r>
      <w:r w:rsidR="00A640AE" w:rsidRPr="00FF714A">
        <w:rPr>
          <w:rFonts w:asciiTheme="minorHAnsi" w:hAnsiTheme="minorHAnsi" w:cstheme="minorHAnsi"/>
        </w:rPr>
        <w:t>vybranou účetní jednotkou. Dle ustanovení § 10 odst.</w:t>
      </w:r>
      <w:r w:rsidR="00B85D2E">
        <w:rPr>
          <w:rFonts w:asciiTheme="minorHAnsi" w:hAnsiTheme="minorHAnsi" w:cstheme="minorHAnsi"/>
        </w:rPr>
        <w:t xml:space="preserve"> </w:t>
      </w:r>
      <w:r w:rsidR="00A640AE" w:rsidRPr="00FF714A">
        <w:rPr>
          <w:rFonts w:asciiTheme="minorHAnsi" w:hAnsiTheme="minorHAnsi" w:cstheme="minorHAnsi"/>
        </w:rPr>
        <w:t>1</w:t>
      </w:r>
      <w:r w:rsidR="004A4FD6">
        <w:rPr>
          <w:rFonts w:asciiTheme="minorHAnsi" w:hAnsiTheme="minorHAnsi" w:cstheme="minorHAnsi"/>
        </w:rPr>
        <w:t xml:space="preserve"> </w:t>
      </w:r>
      <w:r w:rsidR="00FF714A" w:rsidRPr="00FF714A">
        <w:rPr>
          <w:rFonts w:asciiTheme="minorHAnsi" w:hAnsiTheme="minorHAnsi" w:cstheme="minorHAnsi"/>
        </w:rPr>
        <w:t>rozpočtov</w:t>
      </w:r>
      <w:r w:rsidR="00563BEB">
        <w:rPr>
          <w:rFonts w:asciiTheme="minorHAnsi" w:hAnsiTheme="minorHAnsi" w:cstheme="minorHAnsi"/>
        </w:rPr>
        <w:t>ých</w:t>
      </w:r>
      <w:r w:rsidR="004A4FD6">
        <w:rPr>
          <w:rFonts w:asciiTheme="minorHAnsi" w:hAnsiTheme="minorHAnsi" w:cstheme="minorHAnsi"/>
        </w:rPr>
        <w:t xml:space="preserve"> </w:t>
      </w:r>
      <w:r w:rsidR="00FF714A" w:rsidRPr="00FF714A">
        <w:rPr>
          <w:rFonts w:asciiTheme="minorHAnsi" w:hAnsiTheme="minorHAnsi" w:cstheme="minorHAnsi"/>
        </w:rPr>
        <w:t>pravid</w:t>
      </w:r>
      <w:r w:rsidR="00563BEB">
        <w:rPr>
          <w:rFonts w:asciiTheme="minorHAnsi" w:hAnsiTheme="minorHAnsi" w:cstheme="minorHAnsi"/>
        </w:rPr>
        <w:t>e</w:t>
      </w:r>
      <w:r w:rsidR="00FF714A" w:rsidRPr="00FF714A">
        <w:rPr>
          <w:rFonts w:asciiTheme="minorHAnsi" w:hAnsiTheme="minorHAnsi" w:cstheme="minorHAnsi"/>
        </w:rPr>
        <w:t>l</w:t>
      </w:r>
      <w:r w:rsidR="004A4FD6">
        <w:rPr>
          <w:rFonts w:asciiTheme="minorHAnsi" w:hAnsiTheme="minorHAnsi" w:cstheme="minorHAnsi"/>
        </w:rPr>
        <w:t xml:space="preserve"> </w:t>
      </w:r>
      <w:r w:rsidR="00A640AE" w:rsidRPr="00FF714A">
        <w:rPr>
          <w:rFonts w:asciiTheme="minorHAnsi" w:hAnsiTheme="minorHAnsi" w:cstheme="minorHAnsi"/>
        </w:rPr>
        <w:t>je</w:t>
      </w:r>
      <w:r w:rsidR="004A4FD6">
        <w:rPr>
          <w:rFonts w:asciiTheme="minorHAnsi" w:hAnsiTheme="minorHAnsi" w:cstheme="minorHAnsi"/>
        </w:rPr>
        <w:t xml:space="preserve"> </w:t>
      </w:r>
      <w:r w:rsidR="00A640AE" w:rsidRPr="00FF714A">
        <w:rPr>
          <w:rFonts w:asciiTheme="minorHAnsi" w:hAnsiTheme="minorHAnsi" w:cstheme="minorHAnsi"/>
        </w:rPr>
        <w:t>správcem</w:t>
      </w:r>
      <w:r w:rsidR="004A4FD6">
        <w:rPr>
          <w:rFonts w:asciiTheme="minorHAnsi" w:hAnsiTheme="minorHAnsi" w:cstheme="minorHAnsi"/>
        </w:rPr>
        <w:t xml:space="preserve"> </w:t>
      </w:r>
      <w:r w:rsidR="00A640AE" w:rsidRPr="00FF714A">
        <w:rPr>
          <w:rFonts w:asciiTheme="minorHAnsi" w:hAnsiTheme="minorHAnsi" w:cstheme="minorHAnsi"/>
        </w:rPr>
        <w:t>rozpočtové</w:t>
      </w:r>
      <w:r w:rsidR="004A4FD6">
        <w:rPr>
          <w:rFonts w:asciiTheme="minorHAnsi" w:hAnsiTheme="minorHAnsi" w:cstheme="minorHAnsi"/>
        </w:rPr>
        <w:t xml:space="preserve"> </w:t>
      </w:r>
      <w:r w:rsidR="00A640AE" w:rsidRPr="00FF714A">
        <w:rPr>
          <w:rFonts w:asciiTheme="minorHAnsi" w:hAnsiTheme="minorHAnsi" w:cstheme="minorHAnsi"/>
        </w:rPr>
        <w:t>kapitoly</w:t>
      </w:r>
      <w:r w:rsidR="00B85D2E">
        <w:rPr>
          <w:rFonts w:asciiTheme="minorHAnsi" w:hAnsiTheme="minorHAnsi" w:cstheme="minorHAnsi"/>
        </w:rPr>
        <w:t xml:space="preserve"> </w:t>
      </w:r>
      <w:r w:rsidR="00A640AE" w:rsidRPr="00FF714A">
        <w:rPr>
          <w:rFonts w:asciiTheme="minorHAnsi" w:hAnsiTheme="minorHAnsi" w:cstheme="minorHAnsi"/>
        </w:rPr>
        <w:t>3</w:t>
      </w:r>
      <w:r w:rsidR="00FF714A">
        <w:rPr>
          <w:rFonts w:asciiTheme="minorHAnsi" w:hAnsiTheme="minorHAnsi" w:cstheme="minorHAnsi"/>
        </w:rPr>
        <w:t>17</w:t>
      </w:r>
      <w:r w:rsidR="00A640AE" w:rsidRPr="00FF714A">
        <w:rPr>
          <w:rFonts w:asciiTheme="minorHAnsi" w:hAnsiTheme="minorHAnsi" w:cstheme="minorHAnsi"/>
        </w:rPr>
        <w:t xml:space="preserve"> – </w:t>
      </w:r>
      <w:r w:rsidR="00A640AE" w:rsidRPr="00FF714A">
        <w:rPr>
          <w:rFonts w:asciiTheme="minorHAnsi" w:hAnsiTheme="minorHAnsi" w:cstheme="minorHAnsi"/>
          <w:i/>
        </w:rPr>
        <w:t xml:space="preserve">Ministerstvo </w:t>
      </w:r>
      <w:r w:rsidR="00FF714A">
        <w:rPr>
          <w:rFonts w:asciiTheme="minorHAnsi" w:hAnsiTheme="minorHAnsi" w:cstheme="minorHAnsi"/>
          <w:i/>
        </w:rPr>
        <w:t>pro místní rozvoj</w:t>
      </w:r>
      <w:r w:rsidR="00A640AE" w:rsidRPr="00FF714A">
        <w:rPr>
          <w:rFonts w:asciiTheme="minorHAnsi" w:hAnsiTheme="minorHAnsi" w:cstheme="minorHAnsi"/>
        </w:rPr>
        <w:t>.</w:t>
      </w:r>
    </w:p>
    <w:p w14:paraId="2916B3A4" w14:textId="77777777" w:rsidR="009F20AA" w:rsidRPr="00187AEF" w:rsidRDefault="009F20AA" w:rsidP="009F20AA">
      <w:pPr>
        <w:spacing w:after="0"/>
        <w:jc w:val="both"/>
        <w:rPr>
          <w:rFonts w:asciiTheme="minorHAnsi" w:hAnsiTheme="minorHAnsi" w:cstheme="minorHAnsi"/>
          <w:highlight w:val="red"/>
        </w:rPr>
      </w:pPr>
    </w:p>
    <w:p w14:paraId="66F66056" w14:textId="77777777" w:rsidR="009F20AA" w:rsidRPr="00187AEF" w:rsidRDefault="00FF714A" w:rsidP="009F20AA">
      <w:pPr>
        <w:spacing w:after="0"/>
        <w:jc w:val="both"/>
        <w:rPr>
          <w:rFonts w:asciiTheme="minorHAnsi" w:hAnsiTheme="minorHAnsi" w:cstheme="minorHAnsi"/>
          <w:highlight w:val="red"/>
        </w:rPr>
      </w:pPr>
      <w:r w:rsidRPr="00FF714A">
        <w:rPr>
          <w:rFonts w:asciiTheme="minorHAnsi" w:hAnsiTheme="minorHAnsi" w:cstheme="minorHAnsi"/>
        </w:rPr>
        <w:t>V roce 2018 bylo MMR zřizovatelem dvou organizačních složek státu a dvou příspěvkových organizací.</w:t>
      </w:r>
    </w:p>
    <w:p w14:paraId="14DAA135" w14:textId="77777777" w:rsidR="009F20AA" w:rsidRPr="00187AEF" w:rsidRDefault="009F20AA" w:rsidP="009F20AA">
      <w:pPr>
        <w:spacing w:after="0"/>
        <w:jc w:val="both"/>
        <w:rPr>
          <w:rFonts w:asciiTheme="minorHAnsi" w:hAnsiTheme="minorHAnsi" w:cstheme="minorHAnsi"/>
          <w:highlight w:val="red"/>
        </w:rPr>
      </w:pPr>
    </w:p>
    <w:p w14:paraId="22671931" w14:textId="77777777" w:rsidR="00E91FF5" w:rsidRPr="00D37A9B" w:rsidRDefault="00A640AE" w:rsidP="009F20AA">
      <w:pPr>
        <w:spacing w:after="0"/>
        <w:jc w:val="both"/>
        <w:rPr>
          <w:rFonts w:cs="Calibri"/>
        </w:rPr>
      </w:pPr>
      <w:r w:rsidRPr="00D37A9B">
        <w:rPr>
          <w:rFonts w:cs="Calibri"/>
        </w:rPr>
        <w:lastRenderedPageBreak/>
        <w:t>Přehled základních údajů z </w:t>
      </w:r>
      <w:r w:rsidR="00D37A9B" w:rsidRPr="00D37A9B">
        <w:rPr>
          <w:rFonts w:cs="Calibri"/>
        </w:rPr>
        <w:t xml:space="preserve">ÚZ </w:t>
      </w:r>
      <w:r w:rsidRPr="00D37A9B">
        <w:rPr>
          <w:rFonts w:cs="Calibri"/>
        </w:rPr>
        <w:t>a z výkazu pro hodnocení plnění rozpočtu správců kapitol a</w:t>
      </w:r>
      <w:r w:rsidR="009E57D6" w:rsidRPr="00D37A9B">
        <w:rPr>
          <w:rFonts w:cs="Calibri"/>
        </w:rPr>
        <w:t> </w:t>
      </w:r>
      <w:r w:rsidRPr="00D37A9B">
        <w:rPr>
          <w:rFonts w:cs="Calibri"/>
        </w:rPr>
        <w:t>organizačních složek státu</w:t>
      </w:r>
      <w:r w:rsidR="00D16053">
        <w:rPr>
          <w:rFonts w:cs="Calibri"/>
        </w:rPr>
        <w:t xml:space="preserve"> za rok 2018</w:t>
      </w:r>
      <w:r w:rsidRPr="00D37A9B">
        <w:rPr>
          <w:rFonts w:cs="Calibri"/>
        </w:rPr>
        <w:t xml:space="preserve"> (dále také „výkaz FIN 1-12 OSS“) vygenerovaného z rozpočtového systému</w:t>
      </w:r>
      <w:r w:rsidRPr="00D37A9B">
        <w:rPr>
          <w:rStyle w:val="Znakapoznpodarou"/>
          <w:rFonts w:eastAsiaTheme="minorHAnsi" w:cs="Calibri"/>
        </w:rPr>
        <w:footnoteReference w:id="23"/>
      </w:r>
      <w:r w:rsidRPr="00D37A9B">
        <w:rPr>
          <w:rFonts w:cs="Calibri"/>
        </w:rPr>
        <w:t xml:space="preserve"> je uveden v následujících tabulkách.</w:t>
      </w:r>
    </w:p>
    <w:p w14:paraId="683E2359" w14:textId="77777777" w:rsidR="00BC6C74" w:rsidRPr="009A0289" w:rsidRDefault="00BC6C74" w:rsidP="00BA0F46">
      <w:pPr>
        <w:spacing w:after="0"/>
        <w:ind w:left="1304" w:hanging="1304"/>
        <w:jc w:val="both"/>
        <w:rPr>
          <w:rFonts w:cs="Calibri"/>
          <w:highlight w:val="red"/>
        </w:rPr>
      </w:pPr>
    </w:p>
    <w:p w14:paraId="32DEF02A" w14:textId="77777777" w:rsidR="00494B0F" w:rsidRPr="00D37A9B" w:rsidRDefault="00A640AE" w:rsidP="00C159BE">
      <w:pPr>
        <w:keepNext/>
        <w:spacing w:after="40"/>
        <w:ind w:left="1304" w:hanging="1304"/>
        <w:jc w:val="both"/>
        <w:rPr>
          <w:rFonts w:cs="Calibri"/>
        </w:rPr>
      </w:pPr>
      <w:r w:rsidRPr="00D37A9B">
        <w:rPr>
          <w:rFonts w:cs="Calibri"/>
          <w:b/>
        </w:rPr>
        <w:t xml:space="preserve">Tabulka č. </w:t>
      </w:r>
      <w:r w:rsidR="007A062A" w:rsidRPr="00D37A9B">
        <w:rPr>
          <w:rFonts w:cs="Calibri"/>
          <w:b/>
        </w:rPr>
        <w:t>1</w:t>
      </w:r>
      <w:r w:rsidRPr="00D37A9B">
        <w:rPr>
          <w:rFonts w:cs="Calibri"/>
          <w:b/>
        </w:rPr>
        <w:t xml:space="preserve">: </w:t>
      </w:r>
      <w:r w:rsidRPr="00D37A9B">
        <w:rPr>
          <w:rFonts w:cs="Calibri"/>
          <w:b/>
        </w:rPr>
        <w:tab/>
        <w:t xml:space="preserve">Údaje </w:t>
      </w:r>
      <w:r w:rsidR="000B3825" w:rsidRPr="00D37A9B">
        <w:rPr>
          <w:rFonts w:cs="Calibri"/>
          <w:b/>
        </w:rPr>
        <w:t>ÚZ</w:t>
      </w:r>
      <w:r w:rsidRPr="00D37A9B">
        <w:rPr>
          <w:rFonts w:cs="Calibri"/>
          <w:b/>
        </w:rPr>
        <w:t xml:space="preserve"> – rozvaha a výkaz zisku a</w:t>
      </w:r>
      <w:r w:rsidR="001B1CD4" w:rsidRPr="00D37A9B">
        <w:rPr>
          <w:rFonts w:cs="Calibri"/>
          <w:b/>
        </w:rPr>
        <w:t xml:space="preserve"> </w:t>
      </w:r>
      <w:r w:rsidRPr="00D37A9B">
        <w:rPr>
          <w:rFonts w:cs="Calibri"/>
          <w:b/>
        </w:rPr>
        <w:t xml:space="preserve">ztráty </w:t>
      </w:r>
      <w:r w:rsidR="002F271F" w:rsidRPr="00D37A9B">
        <w:rPr>
          <w:rFonts w:cs="Calibri"/>
          <w:b/>
        </w:rPr>
        <w:t>(</w:t>
      </w:r>
      <w:r w:rsidRPr="00D37A9B">
        <w:rPr>
          <w:rFonts w:cs="Calibri"/>
          <w:b/>
        </w:rPr>
        <w:t>údaje za běžné účetní období</w:t>
      </w:r>
      <w:r w:rsidR="002F271F" w:rsidRPr="00D37A9B">
        <w:rPr>
          <w:rFonts w:cs="Calibri"/>
          <w:b/>
        </w:rPr>
        <w:t>)</w:t>
      </w:r>
    </w:p>
    <w:tbl>
      <w:tblPr>
        <w:tblW w:w="90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4535"/>
        <w:gridCol w:w="4535"/>
      </w:tblGrid>
      <w:tr w:rsidR="0050080C" w:rsidRPr="00187AEF" w14:paraId="1E2BB7CB" w14:textId="77777777" w:rsidTr="000015DC">
        <w:trPr>
          <w:trHeight w:val="283"/>
        </w:trPr>
        <w:tc>
          <w:tcPr>
            <w:tcW w:w="4535" w:type="dxa"/>
            <w:shd w:val="clear" w:color="auto" w:fill="E5F1FF"/>
            <w:noWrap/>
            <w:vAlign w:val="center"/>
            <w:hideMark/>
          </w:tcPr>
          <w:p w14:paraId="2DB04523" w14:textId="77777777" w:rsidR="00494B0F" w:rsidRPr="00D37A9B" w:rsidRDefault="00A640AE" w:rsidP="000015DC">
            <w:pPr>
              <w:keepNext/>
              <w:spacing w:after="0"/>
              <w:jc w:val="center"/>
              <w:rPr>
                <w:rFonts w:cs="Arial"/>
                <w:b/>
                <w:bCs/>
                <w:sz w:val="20"/>
                <w:szCs w:val="20"/>
              </w:rPr>
            </w:pPr>
            <w:r w:rsidRPr="00D37A9B">
              <w:rPr>
                <w:rFonts w:cs="Arial"/>
                <w:b/>
                <w:bCs/>
                <w:sz w:val="20"/>
                <w:szCs w:val="20"/>
              </w:rPr>
              <w:t>Ukazatel</w:t>
            </w:r>
          </w:p>
        </w:tc>
        <w:tc>
          <w:tcPr>
            <w:tcW w:w="4535" w:type="dxa"/>
            <w:shd w:val="clear" w:color="auto" w:fill="E5F1FF"/>
            <w:noWrap/>
            <w:vAlign w:val="center"/>
            <w:hideMark/>
          </w:tcPr>
          <w:p w14:paraId="5E592D4C" w14:textId="77777777" w:rsidR="00494B0F" w:rsidRPr="00D37A9B" w:rsidRDefault="00A640AE" w:rsidP="000015DC">
            <w:pPr>
              <w:keepNext/>
              <w:spacing w:after="0"/>
              <w:jc w:val="center"/>
              <w:rPr>
                <w:rFonts w:cs="Arial"/>
                <w:b/>
                <w:bCs/>
                <w:sz w:val="20"/>
                <w:szCs w:val="20"/>
              </w:rPr>
            </w:pPr>
            <w:r w:rsidRPr="00D37A9B">
              <w:rPr>
                <w:rFonts w:cs="Arial"/>
                <w:b/>
                <w:bCs/>
                <w:sz w:val="20"/>
                <w:szCs w:val="20"/>
              </w:rPr>
              <w:t>Částka v</w:t>
            </w:r>
            <w:r w:rsidR="002257CC">
              <w:rPr>
                <w:rFonts w:cs="Arial"/>
                <w:b/>
                <w:bCs/>
                <w:sz w:val="20"/>
                <w:szCs w:val="20"/>
              </w:rPr>
              <w:t> </w:t>
            </w:r>
            <w:r w:rsidRPr="00D37A9B">
              <w:rPr>
                <w:rFonts w:cs="Arial"/>
                <w:b/>
                <w:bCs/>
                <w:sz w:val="20"/>
                <w:szCs w:val="20"/>
              </w:rPr>
              <w:t>Kč</w:t>
            </w:r>
          </w:p>
        </w:tc>
      </w:tr>
      <w:tr w:rsidR="00D37A9B" w:rsidRPr="00187AEF" w14:paraId="1B016E14" w14:textId="77777777" w:rsidTr="000015DC">
        <w:trPr>
          <w:trHeight w:val="283"/>
        </w:trPr>
        <w:tc>
          <w:tcPr>
            <w:tcW w:w="4535" w:type="dxa"/>
            <w:shd w:val="clear" w:color="auto" w:fill="auto"/>
            <w:noWrap/>
            <w:vAlign w:val="center"/>
            <w:hideMark/>
          </w:tcPr>
          <w:p w14:paraId="0E36B1E7" w14:textId="77777777" w:rsidR="00D37A9B" w:rsidRPr="00D37A9B" w:rsidRDefault="00D37A9B" w:rsidP="000015DC">
            <w:pPr>
              <w:keepNext/>
              <w:spacing w:after="0"/>
              <w:rPr>
                <w:rFonts w:cs="Arial"/>
                <w:sz w:val="20"/>
                <w:szCs w:val="20"/>
              </w:rPr>
            </w:pPr>
            <w:r w:rsidRPr="00D37A9B">
              <w:rPr>
                <w:rFonts w:cs="Arial"/>
                <w:sz w:val="20"/>
                <w:szCs w:val="20"/>
              </w:rPr>
              <w:t>Aktiva netto</w:t>
            </w:r>
          </w:p>
        </w:tc>
        <w:tc>
          <w:tcPr>
            <w:tcW w:w="4535" w:type="dxa"/>
            <w:shd w:val="clear" w:color="auto" w:fill="auto"/>
            <w:noWrap/>
            <w:vAlign w:val="center"/>
          </w:tcPr>
          <w:p w14:paraId="6353A583" w14:textId="77777777" w:rsidR="00D37A9B" w:rsidRPr="00187AEF" w:rsidRDefault="00D37A9B" w:rsidP="000015DC">
            <w:pPr>
              <w:keepNext/>
              <w:spacing w:after="0"/>
              <w:ind w:right="787"/>
              <w:jc w:val="right"/>
              <w:rPr>
                <w:rFonts w:cs="Arial"/>
                <w:sz w:val="20"/>
                <w:szCs w:val="20"/>
                <w:highlight w:val="red"/>
              </w:rPr>
            </w:pPr>
            <w:r w:rsidRPr="00AC7991">
              <w:rPr>
                <w:rFonts w:cstheme="minorHAnsi"/>
                <w:color w:val="000000"/>
                <w:sz w:val="20"/>
                <w:szCs w:val="20"/>
              </w:rPr>
              <w:t>13 218 036 428,64</w:t>
            </w:r>
          </w:p>
        </w:tc>
      </w:tr>
      <w:tr w:rsidR="00D37A9B" w:rsidRPr="00187AEF" w14:paraId="49232E36" w14:textId="77777777" w:rsidTr="000015DC">
        <w:trPr>
          <w:trHeight w:val="283"/>
        </w:trPr>
        <w:tc>
          <w:tcPr>
            <w:tcW w:w="4535" w:type="dxa"/>
            <w:shd w:val="clear" w:color="auto" w:fill="auto"/>
            <w:noWrap/>
            <w:vAlign w:val="center"/>
            <w:hideMark/>
          </w:tcPr>
          <w:p w14:paraId="20E8C6CA" w14:textId="77777777" w:rsidR="00D37A9B" w:rsidRPr="00D37A9B" w:rsidRDefault="00D37A9B" w:rsidP="000015DC">
            <w:pPr>
              <w:keepNext/>
              <w:spacing w:after="0"/>
              <w:rPr>
                <w:rFonts w:cs="Arial"/>
                <w:sz w:val="20"/>
                <w:szCs w:val="20"/>
              </w:rPr>
            </w:pPr>
            <w:r w:rsidRPr="00D37A9B">
              <w:rPr>
                <w:rFonts w:cs="Arial"/>
                <w:sz w:val="20"/>
                <w:szCs w:val="20"/>
              </w:rPr>
              <w:t>Pasiva</w:t>
            </w:r>
          </w:p>
        </w:tc>
        <w:tc>
          <w:tcPr>
            <w:tcW w:w="4535" w:type="dxa"/>
            <w:shd w:val="clear" w:color="auto" w:fill="auto"/>
            <w:noWrap/>
            <w:vAlign w:val="center"/>
          </w:tcPr>
          <w:p w14:paraId="1D1EFED7" w14:textId="77777777" w:rsidR="00D37A9B" w:rsidRPr="00187AEF" w:rsidRDefault="00D37A9B" w:rsidP="000015DC">
            <w:pPr>
              <w:keepNext/>
              <w:spacing w:after="0"/>
              <w:ind w:right="787"/>
              <w:jc w:val="right"/>
              <w:rPr>
                <w:rFonts w:cs="Arial"/>
                <w:sz w:val="20"/>
                <w:szCs w:val="20"/>
                <w:highlight w:val="red"/>
              </w:rPr>
            </w:pPr>
            <w:r w:rsidRPr="00AC7991">
              <w:rPr>
                <w:rFonts w:cstheme="minorHAnsi"/>
                <w:color w:val="000000"/>
                <w:sz w:val="20"/>
                <w:szCs w:val="20"/>
              </w:rPr>
              <w:t>13 218 036 428,64</w:t>
            </w:r>
          </w:p>
        </w:tc>
      </w:tr>
      <w:tr w:rsidR="00D37A9B" w:rsidRPr="00187AEF" w14:paraId="07FE8264" w14:textId="77777777" w:rsidTr="000015DC">
        <w:trPr>
          <w:trHeight w:val="283"/>
        </w:trPr>
        <w:tc>
          <w:tcPr>
            <w:tcW w:w="4535" w:type="dxa"/>
            <w:shd w:val="clear" w:color="auto" w:fill="auto"/>
            <w:noWrap/>
            <w:vAlign w:val="center"/>
            <w:hideMark/>
          </w:tcPr>
          <w:p w14:paraId="65B0989E" w14:textId="77777777" w:rsidR="00D37A9B" w:rsidRPr="00D37A9B" w:rsidRDefault="00D37A9B" w:rsidP="000015DC">
            <w:pPr>
              <w:keepNext/>
              <w:spacing w:after="0"/>
              <w:rPr>
                <w:rFonts w:cs="Arial"/>
                <w:sz w:val="20"/>
                <w:szCs w:val="20"/>
              </w:rPr>
            </w:pPr>
            <w:r w:rsidRPr="00D37A9B">
              <w:rPr>
                <w:rFonts w:cs="Arial"/>
                <w:sz w:val="20"/>
                <w:szCs w:val="20"/>
              </w:rPr>
              <w:t>Náklady</w:t>
            </w:r>
          </w:p>
        </w:tc>
        <w:tc>
          <w:tcPr>
            <w:tcW w:w="4535" w:type="dxa"/>
            <w:shd w:val="clear" w:color="auto" w:fill="auto"/>
            <w:noWrap/>
            <w:vAlign w:val="center"/>
          </w:tcPr>
          <w:p w14:paraId="42DBDEC8" w14:textId="77777777" w:rsidR="00D37A9B" w:rsidRPr="00187AEF" w:rsidRDefault="00D37A9B" w:rsidP="000015DC">
            <w:pPr>
              <w:keepNext/>
              <w:spacing w:after="0"/>
              <w:ind w:right="787"/>
              <w:jc w:val="right"/>
              <w:rPr>
                <w:rFonts w:cs="Arial"/>
                <w:sz w:val="20"/>
                <w:szCs w:val="20"/>
                <w:highlight w:val="red"/>
              </w:rPr>
            </w:pPr>
            <w:r w:rsidRPr="00AC7991">
              <w:rPr>
                <w:rFonts w:cstheme="minorHAnsi"/>
                <w:color w:val="000000"/>
                <w:sz w:val="20"/>
                <w:szCs w:val="20"/>
              </w:rPr>
              <w:t>22 345 950 217,52</w:t>
            </w:r>
          </w:p>
        </w:tc>
      </w:tr>
      <w:tr w:rsidR="00D37A9B" w:rsidRPr="00187AEF" w14:paraId="444F28D9" w14:textId="77777777" w:rsidTr="000015DC">
        <w:trPr>
          <w:trHeight w:val="283"/>
        </w:trPr>
        <w:tc>
          <w:tcPr>
            <w:tcW w:w="4535" w:type="dxa"/>
            <w:shd w:val="clear" w:color="auto" w:fill="auto"/>
            <w:noWrap/>
            <w:vAlign w:val="center"/>
            <w:hideMark/>
          </w:tcPr>
          <w:p w14:paraId="49DCE0BD" w14:textId="77777777" w:rsidR="00D37A9B" w:rsidRPr="00D37A9B" w:rsidRDefault="00D37A9B" w:rsidP="000015DC">
            <w:pPr>
              <w:keepNext/>
              <w:spacing w:after="0"/>
              <w:rPr>
                <w:rFonts w:cs="Arial"/>
                <w:sz w:val="20"/>
                <w:szCs w:val="20"/>
              </w:rPr>
            </w:pPr>
            <w:r w:rsidRPr="00D37A9B">
              <w:rPr>
                <w:rFonts w:cs="Arial"/>
                <w:sz w:val="20"/>
                <w:szCs w:val="20"/>
              </w:rPr>
              <w:t>Výnosy</w:t>
            </w:r>
          </w:p>
        </w:tc>
        <w:tc>
          <w:tcPr>
            <w:tcW w:w="4535" w:type="dxa"/>
            <w:shd w:val="clear" w:color="auto" w:fill="auto"/>
            <w:noWrap/>
            <w:vAlign w:val="center"/>
          </w:tcPr>
          <w:p w14:paraId="39A68528" w14:textId="77777777" w:rsidR="00D37A9B" w:rsidRPr="00187AEF" w:rsidRDefault="00D37A9B" w:rsidP="000015DC">
            <w:pPr>
              <w:keepNext/>
              <w:spacing w:after="0"/>
              <w:ind w:right="787"/>
              <w:jc w:val="right"/>
              <w:rPr>
                <w:rFonts w:cs="Arial"/>
                <w:sz w:val="20"/>
                <w:szCs w:val="20"/>
                <w:highlight w:val="red"/>
              </w:rPr>
            </w:pPr>
            <w:r w:rsidRPr="00AC7991">
              <w:rPr>
                <w:rFonts w:cstheme="minorHAnsi"/>
                <w:color w:val="000000"/>
                <w:sz w:val="20"/>
                <w:szCs w:val="20"/>
              </w:rPr>
              <w:t>18 445 477 243,67</w:t>
            </w:r>
          </w:p>
        </w:tc>
      </w:tr>
      <w:tr w:rsidR="00D37A9B" w:rsidRPr="00187AEF" w14:paraId="7A421108" w14:textId="77777777" w:rsidTr="000015DC">
        <w:trPr>
          <w:trHeight w:val="283"/>
        </w:trPr>
        <w:tc>
          <w:tcPr>
            <w:tcW w:w="4535" w:type="dxa"/>
            <w:shd w:val="clear" w:color="auto" w:fill="auto"/>
            <w:vAlign w:val="center"/>
            <w:hideMark/>
          </w:tcPr>
          <w:p w14:paraId="2BDED417" w14:textId="77777777" w:rsidR="00D37A9B" w:rsidRPr="00D37A9B" w:rsidRDefault="00D37A9B" w:rsidP="000015DC">
            <w:pPr>
              <w:keepNext/>
              <w:spacing w:after="0"/>
              <w:rPr>
                <w:rFonts w:cs="Arial"/>
                <w:sz w:val="20"/>
                <w:szCs w:val="20"/>
              </w:rPr>
            </w:pPr>
            <w:r w:rsidRPr="00D37A9B">
              <w:rPr>
                <w:rFonts w:cs="Arial"/>
                <w:sz w:val="20"/>
                <w:szCs w:val="20"/>
              </w:rPr>
              <w:t>Výsledek hospodaření běžného účetního období</w:t>
            </w:r>
          </w:p>
        </w:tc>
        <w:tc>
          <w:tcPr>
            <w:tcW w:w="4535" w:type="dxa"/>
            <w:shd w:val="clear" w:color="auto" w:fill="auto"/>
            <w:noWrap/>
            <w:vAlign w:val="center"/>
          </w:tcPr>
          <w:p w14:paraId="1E7B463B" w14:textId="45EB972C" w:rsidR="00D37A9B" w:rsidRPr="00187AEF" w:rsidRDefault="009A0289" w:rsidP="009A0289">
            <w:pPr>
              <w:keepNext/>
              <w:spacing w:after="0"/>
              <w:ind w:right="787"/>
              <w:jc w:val="right"/>
              <w:rPr>
                <w:rFonts w:cs="Arial"/>
                <w:b/>
                <w:sz w:val="20"/>
                <w:szCs w:val="20"/>
                <w:highlight w:val="red"/>
              </w:rPr>
            </w:pPr>
            <w:r>
              <w:rPr>
                <w:rFonts w:asciiTheme="minorHAnsi" w:hAnsiTheme="minorHAnsi" w:cstheme="minorHAnsi"/>
                <w:color w:val="000000"/>
                <w:sz w:val="20"/>
                <w:szCs w:val="20"/>
              </w:rPr>
              <w:sym w:font="Symbol" w:char="F02D"/>
            </w:r>
            <w:r w:rsidR="00D37A9B" w:rsidRPr="00AC7991">
              <w:rPr>
                <w:rFonts w:asciiTheme="minorHAnsi" w:hAnsiTheme="minorHAnsi" w:cstheme="minorHAnsi"/>
                <w:color w:val="000000"/>
                <w:sz w:val="20"/>
                <w:szCs w:val="20"/>
              </w:rPr>
              <w:t>3 900 472 973,85</w:t>
            </w:r>
          </w:p>
        </w:tc>
      </w:tr>
    </w:tbl>
    <w:p w14:paraId="53946AAC" w14:textId="77777777" w:rsidR="00494B0F" w:rsidRPr="00D37A9B" w:rsidRDefault="00A640AE" w:rsidP="005B584C">
      <w:pPr>
        <w:keepNext/>
        <w:spacing w:before="40" w:after="0"/>
        <w:rPr>
          <w:rFonts w:cs="Arial"/>
          <w:sz w:val="20"/>
          <w:szCs w:val="20"/>
        </w:rPr>
      </w:pPr>
      <w:r w:rsidRPr="00D37A9B">
        <w:rPr>
          <w:rFonts w:cs="Arial"/>
          <w:b/>
          <w:sz w:val="20"/>
          <w:szCs w:val="20"/>
        </w:rPr>
        <w:t>Zdroj:</w:t>
      </w:r>
      <w:r w:rsidRPr="00D37A9B">
        <w:rPr>
          <w:rFonts w:cs="Arial"/>
          <w:sz w:val="20"/>
          <w:szCs w:val="20"/>
        </w:rPr>
        <w:t xml:space="preserve"> </w:t>
      </w:r>
      <w:r w:rsidR="000B3825" w:rsidRPr="00D37A9B">
        <w:rPr>
          <w:rFonts w:cs="Arial"/>
          <w:sz w:val="20"/>
          <w:szCs w:val="20"/>
        </w:rPr>
        <w:t>ÚZ</w:t>
      </w:r>
      <w:r w:rsidRPr="00D37A9B">
        <w:rPr>
          <w:rFonts w:cs="Arial"/>
          <w:sz w:val="20"/>
          <w:szCs w:val="20"/>
        </w:rPr>
        <w:t>.</w:t>
      </w:r>
    </w:p>
    <w:p w14:paraId="7FCD319B" w14:textId="77777777" w:rsidR="00494B0F" w:rsidRPr="00D37A9B" w:rsidRDefault="00A640AE" w:rsidP="007012B8">
      <w:pPr>
        <w:spacing w:after="0"/>
        <w:ind w:left="567" w:hanging="567"/>
        <w:jc w:val="both"/>
        <w:rPr>
          <w:rFonts w:cs="Arial"/>
          <w:sz w:val="20"/>
          <w:szCs w:val="20"/>
        </w:rPr>
      </w:pPr>
      <w:r w:rsidRPr="00D37A9B">
        <w:rPr>
          <w:rFonts w:cs="Arial"/>
          <w:b/>
          <w:sz w:val="20"/>
          <w:szCs w:val="20"/>
        </w:rPr>
        <w:t>Pozn.:</w:t>
      </w:r>
      <w:r w:rsidR="000E0B18" w:rsidRPr="00D37A9B">
        <w:rPr>
          <w:rFonts w:cs="Arial"/>
          <w:sz w:val="20"/>
          <w:szCs w:val="20"/>
        </w:rPr>
        <w:t xml:space="preserve"> </w:t>
      </w:r>
      <w:r w:rsidR="000E0B18" w:rsidRPr="00D37A9B">
        <w:rPr>
          <w:rFonts w:cs="Arial"/>
          <w:sz w:val="20"/>
          <w:szCs w:val="20"/>
        </w:rPr>
        <w:tab/>
        <w:t>M</w:t>
      </w:r>
      <w:r w:rsidR="00D37A9B" w:rsidRPr="00D37A9B">
        <w:rPr>
          <w:rFonts w:cs="Arial"/>
          <w:sz w:val="20"/>
          <w:szCs w:val="20"/>
        </w:rPr>
        <w:t>MR</w:t>
      </w:r>
      <w:r w:rsidRPr="00D37A9B">
        <w:rPr>
          <w:rFonts w:cs="Arial"/>
          <w:sz w:val="20"/>
          <w:szCs w:val="20"/>
        </w:rPr>
        <w:t xml:space="preserve"> v ÚZ vykázalo aktiva v hodnotě brutto ve výši</w:t>
      </w:r>
      <w:r w:rsidR="00B92BDD" w:rsidRPr="00D37A9B">
        <w:rPr>
          <w:rFonts w:cs="Arial"/>
          <w:sz w:val="20"/>
          <w:szCs w:val="20"/>
        </w:rPr>
        <w:t xml:space="preserve"> </w:t>
      </w:r>
      <w:r w:rsidR="00D37A9B" w:rsidRPr="00D37A9B">
        <w:rPr>
          <w:rFonts w:cs="Arial"/>
          <w:sz w:val="20"/>
          <w:szCs w:val="20"/>
        </w:rPr>
        <w:t>14 627 465 156,94 Kč</w:t>
      </w:r>
      <w:r w:rsidRPr="00D37A9B">
        <w:rPr>
          <w:rFonts w:cs="Arial"/>
          <w:sz w:val="20"/>
          <w:szCs w:val="20"/>
        </w:rPr>
        <w:t xml:space="preserve"> upravené o korekce ve výši</w:t>
      </w:r>
      <w:r w:rsidR="00B92BDD" w:rsidRPr="00D37A9B">
        <w:rPr>
          <w:rFonts w:cs="Arial"/>
          <w:sz w:val="20"/>
          <w:szCs w:val="20"/>
        </w:rPr>
        <w:t xml:space="preserve"> </w:t>
      </w:r>
      <w:r w:rsidR="00D37A9B" w:rsidRPr="00D37A9B">
        <w:rPr>
          <w:rFonts w:cs="Arial"/>
          <w:sz w:val="20"/>
          <w:szCs w:val="20"/>
        </w:rPr>
        <w:t>1</w:t>
      </w:r>
      <w:r w:rsidR="00D37A9B">
        <w:rPr>
          <w:rFonts w:cs="Arial"/>
          <w:sz w:val="20"/>
          <w:szCs w:val="20"/>
        </w:rPr>
        <w:t> 409 428 728,</w:t>
      </w:r>
      <w:r w:rsidR="00D37A9B" w:rsidRPr="00D37A9B">
        <w:rPr>
          <w:rFonts w:cs="Arial"/>
          <w:sz w:val="20"/>
          <w:szCs w:val="20"/>
        </w:rPr>
        <w:t>30</w:t>
      </w:r>
      <w:r w:rsidRPr="00D37A9B">
        <w:rPr>
          <w:rFonts w:cs="Arial"/>
          <w:sz w:val="20"/>
          <w:szCs w:val="20"/>
        </w:rPr>
        <w:t xml:space="preserve"> Kč.</w:t>
      </w:r>
    </w:p>
    <w:p w14:paraId="7DF50170" w14:textId="77777777" w:rsidR="00CF2F57" w:rsidRPr="00187AEF" w:rsidRDefault="00CF2F57">
      <w:pPr>
        <w:spacing w:after="0"/>
        <w:rPr>
          <w:rFonts w:cs="Arial"/>
          <w:highlight w:val="red"/>
        </w:rPr>
      </w:pPr>
    </w:p>
    <w:p w14:paraId="3B4528E3" w14:textId="77777777" w:rsidR="00494B0F" w:rsidRPr="00D16053" w:rsidRDefault="00A640AE" w:rsidP="00CB541E">
      <w:pPr>
        <w:keepNext/>
        <w:spacing w:after="40"/>
        <w:ind w:left="1304" w:hanging="1304"/>
        <w:jc w:val="both"/>
        <w:rPr>
          <w:rFonts w:cs="Arial"/>
          <w:b/>
          <w:spacing w:val="-4"/>
        </w:rPr>
      </w:pPr>
      <w:r w:rsidRPr="00D16053">
        <w:rPr>
          <w:rFonts w:cs="Arial"/>
          <w:b/>
          <w:spacing w:val="-4"/>
        </w:rPr>
        <w:t xml:space="preserve">Tabulka č. </w:t>
      </w:r>
      <w:r w:rsidR="007A062A" w:rsidRPr="00D16053">
        <w:rPr>
          <w:rFonts w:cs="Arial"/>
          <w:b/>
          <w:spacing w:val="-4"/>
        </w:rPr>
        <w:t>2</w:t>
      </w:r>
      <w:r w:rsidRPr="00D16053">
        <w:rPr>
          <w:rFonts w:cs="Arial"/>
          <w:b/>
          <w:spacing w:val="-4"/>
        </w:rPr>
        <w:t xml:space="preserve">: </w:t>
      </w:r>
      <w:r w:rsidRPr="00D16053">
        <w:rPr>
          <w:rFonts w:cs="Arial"/>
          <w:b/>
          <w:spacing w:val="-4"/>
        </w:rPr>
        <w:tab/>
        <w:t xml:space="preserve">Údaje </w:t>
      </w:r>
      <w:r w:rsidR="000B3825" w:rsidRPr="00D16053">
        <w:rPr>
          <w:rFonts w:cs="Arial"/>
          <w:b/>
          <w:spacing w:val="-4"/>
        </w:rPr>
        <w:t>ÚZ</w:t>
      </w:r>
      <w:r w:rsidRPr="00D16053">
        <w:rPr>
          <w:rFonts w:cs="Arial"/>
          <w:b/>
          <w:spacing w:val="-4"/>
        </w:rPr>
        <w:t xml:space="preserve"> – informace o stavu účtů v knize podrozvahových účtů </w:t>
      </w:r>
      <w:r w:rsidR="002F271F" w:rsidRPr="00D16053">
        <w:rPr>
          <w:rFonts w:cs="Arial"/>
          <w:b/>
          <w:spacing w:val="-4"/>
        </w:rPr>
        <w:t>(</w:t>
      </w:r>
      <w:r w:rsidRPr="00D16053">
        <w:rPr>
          <w:rFonts w:cs="Arial"/>
          <w:b/>
          <w:spacing w:val="-4"/>
        </w:rPr>
        <w:t>údaje za běžné účetní období</w:t>
      </w:r>
      <w:r w:rsidR="002F271F" w:rsidRPr="00D16053">
        <w:rPr>
          <w:rFonts w:cs="Arial"/>
          <w:b/>
          <w:spacing w:val="-4"/>
        </w:rPr>
        <w:t>)</w:t>
      </w:r>
    </w:p>
    <w:tbl>
      <w:tblPr>
        <w:tblW w:w="9072" w:type="dxa"/>
        <w:tblInd w:w="-5" w:type="dxa"/>
        <w:tblCellMar>
          <w:left w:w="70" w:type="dxa"/>
          <w:right w:w="70" w:type="dxa"/>
        </w:tblCellMar>
        <w:tblLook w:val="04A0" w:firstRow="1" w:lastRow="0" w:firstColumn="1" w:lastColumn="0" w:noHBand="0" w:noVBand="1"/>
      </w:tblPr>
      <w:tblGrid>
        <w:gridCol w:w="812"/>
        <w:gridCol w:w="6559"/>
        <w:gridCol w:w="1701"/>
      </w:tblGrid>
      <w:tr w:rsidR="0050080C" w:rsidRPr="00187AEF" w14:paraId="61400B0E" w14:textId="77777777" w:rsidTr="005B584C">
        <w:trPr>
          <w:trHeight w:val="300"/>
          <w:tblHeader/>
        </w:trPr>
        <w:tc>
          <w:tcPr>
            <w:tcW w:w="7371" w:type="dxa"/>
            <w:gridSpan w:val="2"/>
            <w:tcBorders>
              <w:top w:val="single" w:sz="4" w:space="0" w:color="auto"/>
              <w:left w:val="single" w:sz="4" w:space="0" w:color="auto"/>
              <w:bottom w:val="single" w:sz="4" w:space="0" w:color="auto"/>
              <w:right w:val="single" w:sz="4" w:space="0" w:color="auto"/>
            </w:tcBorders>
            <w:shd w:val="clear" w:color="auto" w:fill="E5F1FF"/>
            <w:vAlign w:val="center"/>
            <w:hideMark/>
          </w:tcPr>
          <w:p w14:paraId="673E6866" w14:textId="77777777" w:rsidR="00085D01" w:rsidRPr="00D16053" w:rsidRDefault="00A640AE" w:rsidP="00085D01">
            <w:pPr>
              <w:spacing w:after="0"/>
              <w:jc w:val="center"/>
              <w:rPr>
                <w:rFonts w:cstheme="minorHAnsi"/>
                <w:b/>
                <w:bCs/>
                <w:color w:val="000000"/>
                <w:sz w:val="20"/>
                <w:szCs w:val="20"/>
              </w:rPr>
            </w:pPr>
            <w:r w:rsidRPr="00D16053">
              <w:rPr>
                <w:rFonts w:cstheme="minorHAnsi"/>
                <w:b/>
                <w:bCs/>
                <w:color w:val="000000"/>
                <w:sz w:val="20"/>
                <w:szCs w:val="20"/>
              </w:rPr>
              <w:t>Položka výkazu</w:t>
            </w:r>
          </w:p>
        </w:tc>
        <w:tc>
          <w:tcPr>
            <w:tcW w:w="1701" w:type="dxa"/>
            <w:tcBorders>
              <w:top w:val="single" w:sz="4" w:space="0" w:color="auto"/>
              <w:left w:val="nil"/>
              <w:bottom w:val="single" w:sz="4" w:space="0" w:color="auto"/>
              <w:right w:val="single" w:sz="4" w:space="0" w:color="auto"/>
            </w:tcBorders>
            <w:shd w:val="clear" w:color="auto" w:fill="E5F1FF"/>
            <w:noWrap/>
            <w:vAlign w:val="center"/>
            <w:hideMark/>
          </w:tcPr>
          <w:p w14:paraId="60380C63" w14:textId="77777777" w:rsidR="00085D01" w:rsidRPr="00D16053" w:rsidRDefault="00A640AE" w:rsidP="00085D01">
            <w:pPr>
              <w:spacing w:after="0"/>
              <w:jc w:val="center"/>
              <w:rPr>
                <w:rFonts w:cstheme="minorHAnsi"/>
                <w:b/>
                <w:bCs/>
                <w:color w:val="000000"/>
                <w:sz w:val="20"/>
                <w:szCs w:val="20"/>
              </w:rPr>
            </w:pPr>
            <w:r w:rsidRPr="00D16053">
              <w:rPr>
                <w:rFonts w:cstheme="minorHAnsi"/>
                <w:b/>
                <w:bCs/>
                <w:color w:val="000000"/>
                <w:sz w:val="20"/>
                <w:szCs w:val="20"/>
              </w:rPr>
              <w:t>Částka v</w:t>
            </w:r>
            <w:r w:rsidR="002257CC">
              <w:rPr>
                <w:rFonts w:cstheme="minorHAnsi"/>
                <w:b/>
                <w:bCs/>
                <w:color w:val="000000"/>
                <w:sz w:val="20"/>
                <w:szCs w:val="20"/>
              </w:rPr>
              <w:t> </w:t>
            </w:r>
            <w:r w:rsidRPr="00D16053">
              <w:rPr>
                <w:rFonts w:cstheme="minorHAnsi"/>
                <w:b/>
                <w:bCs/>
                <w:color w:val="000000"/>
                <w:sz w:val="20"/>
                <w:szCs w:val="20"/>
              </w:rPr>
              <w:t>Kč</w:t>
            </w:r>
          </w:p>
        </w:tc>
      </w:tr>
      <w:tr w:rsidR="0050080C" w:rsidRPr="00187AEF" w14:paraId="38D84A22" w14:textId="77777777" w:rsidTr="005B584C">
        <w:trPr>
          <w:trHeight w:val="300"/>
        </w:trPr>
        <w:tc>
          <w:tcPr>
            <w:tcW w:w="812" w:type="dxa"/>
            <w:tcBorders>
              <w:top w:val="nil"/>
              <w:left w:val="single" w:sz="4" w:space="0" w:color="auto"/>
              <w:bottom w:val="single" w:sz="4" w:space="0" w:color="auto"/>
              <w:right w:val="single" w:sz="4" w:space="0" w:color="auto"/>
            </w:tcBorders>
            <w:shd w:val="clear" w:color="auto" w:fill="auto"/>
            <w:noWrap/>
            <w:vAlign w:val="center"/>
          </w:tcPr>
          <w:p w14:paraId="70F4F0CC" w14:textId="77777777" w:rsidR="003D2549" w:rsidRPr="00187AEF" w:rsidRDefault="00A640AE"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P.I.2.</w:t>
            </w:r>
          </w:p>
        </w:tc>
        <w:tc>
          <w:tcPr>
            <w:tcW w:w="6559" w:type="dxa"/>
            <w:tcBorders>
              <w:top w:val="nil"/>
              <w:left w:val="nil"/>
              <w:bottom w:val="single" w:sz="4" w:space="0" w:color="auto"/>
              <w:right w:val="single" w:sz="4" w:space="0" w:color="auto"/>
            </w:tcBorders>
            <w:shd w:val="clear" w:color="auto" w:fill="auto"/>
            <w:noWrap/>
            <w:vAlign w:val="center"/>
          </w:tcPr>
          <w:p w14:paraId="7FC6C4B5" w14:textId="77777777" w:rsidR="003D2549" w:rsidRPr="007E207B" w:rsidRDefault="00A640AE" w:rsidP="005B584C">
            <w:pPr>
              <w:autoSpaceDE w:val="0"/>
              <w:autoSpaceDN w:val="0"/>
              <w:adjustRightInd w:val="0"/>
              <w:spacing w:after="0"/>
              <w:ind w:right="-57"/>
              <w:rPr>
                <w:rFonts w:eastAsiaTheme="minorHAnsi" w:cstheme="minorHAnsi"/>
                <w:sz w:val="20"/>
                <w:szCs w:val="20"/>
              </w:rPr>
            </w:pPr>
            <w:r w:rsidRPr="007E207B">
              <w:rPr>
                <w:rFonts w:eastAsiaTheme="minorHAnsi" w:cstheme="minorHAnsi"/>
                <w:sz w:val="20"/>
                <w:szCs w:val="20"/>
              </w:rPr>
              <w:t>Jiný drobný dlouhodobý hmotný majetek</w:t>
            </w:r>
          </w:p>
        </w:tc>
        <w:tc>
          <w:tcPr>
            <w:tcW w:w="1701" w:type="dxa"/>
            <w:tcBorders>
              <w:top w:val="nil"/>
              <w:left w:val="nil"/>
              <w:bottom w:val="single" w:sz="4" w:space="0" w:color="auto"/>
              <w:right w:val="single" w:sz="4" w:space="0" w:color="auto"/>
            </w:tcBorders>
            <w:shd w:val="clear" w:color="auto" w:fill="auto"/>
            <w:vAlign w:val="center"/>
          </w:tcPr>
          <w:p w14:paraId="077544AD"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10 944 303,63</w:t>
            </w:r>
          </w:p>
        </w:tc>
      </w:tr>
      <w:tr w:rsidR="0050080C" w:rsidRPr="00187AEF" w14:paraId="094C2148" w14:textId="77777777" w:rsidTr="005B584C">
        <w:trPr>
          <w:trHeight w:val="300"/>
        </w:trPr>
        <w:tc>
          <w:tcPr>
            <w:tcW w:w="812" w:type="dxa"/>
            <w:tcBorders>
              <w:top w:val="nil"/>
              <w:left w:val="single" w:sz="4" w:space="0" w:color="auto"/>
              <w:bottom w:val="single" w:sz="4" w:space="0" w:color="auto"/>
              <w:right w:val="single" w:sz="4" w:space="0" w:color="auto"/>
            </w:tcBorders>
            <w:shd w:val="clear" w:color="auto" w:fill="auto"/>
            <w:noWrap/>
            <w:vAlign w:val="center"/>
          </w:tcPr>
          <w:p w14:paraId="5CA0D769" w14:textId="77777777" w:rsidR="003D2549" w:rsidRPr="00187AEF" w:rsidRDefault="00A640AE"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P.I.3.</w:t>
            </w:r>
          </w:p>
        </w:tc>
        <w:tc>
          <w:tcPr>
            <w:tcW w:w="6559" w:type="dxa"/>
            <w:tcBorders>
              <w:top w:val="nil"/>
              <w:left w:val="nil"/>
              <w:bottom w:val="single" w:sz="4" w:space="0" w:color="auto"/>
              <w:right w:val="single" w:sz="4" w:space="0" w:color="auto"/>
            </w:tcBorders>
            <w:shd w:val="clear" w:color="auto" w:fill="auto"/>
            <w:noWrap/>
            <w:vAlign w:val="center"/>
          </w:tcPr>
          <w:p w14:paraId="2174C7EA" w14:textId="77777777" w:rsidR="003D2549" w:rsidRPr="007E207B" w:rsidRDefault="00A640AE" w:rsidP="005B584C">
            <w:pPr>
              <w:autoSpaceDE w:val="0"/>
              <w:autoSpaceDN w:val="0"/>
              <w:adjustRightInd w:val="0"/>
              <w:spacing w:after="0"/>
              <w:ind w:right="-57"/>
              <w:rPr>
                <w:rFonts w:eastAsiaTheme="minorHAnsi" w:cstheme="minorHAnsi"/>
                <w:sz w:val="20"/>
                <w:szCs w:val="20"/>
              </w:rPr>
            </w:pPr>
            <w:r w:rsidRPr="007E207B">
              <w:rPr>
                <w:rFonts w:eastAsiaTheme="minorHAnsi" w:cstheme="minorHAnsi"/>
                <w:sz w:val="20"/>
                <w:szCs w:val="20"/>
              </w:rPr>
              <w:t>Vyřazené pohledávky</w:t>
            </w:r>
          </w:p>
        </w:tc>
        <w:tc>
          <w:tcPr>
            <w:tcW w:w="1701" w:type="dxa"/>
            <w:tcBorders>
              <w:top w:val="nil"/>
              <w:left w:val="nil"/>
              <w:bottom w:val="single" w:sz="4" w:space="0" w:color="auto"/>
              <w:right w:val="single" w:sz="4" w:space="0" w:color="auto"/>
            </w:tcBorders>
            <w:shd w:val="clear" w:color="auto" w:fill="auto"/>
            <w:vAlign w:val="center"/>
          </w:tcPr>
          <w:p w14:paraId="18261DA6"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20 358 020,71</w:t>
            </w:r>
          </w:p>
        </w:tc>
      </w:tr>
      <w:tr w:rsidR="0050080C" w:rsidRPr="00187AEF" w14:paraId="21BEC01F" w14:textId="77777777" w:rsidTr="005B584C">
        <w:trPr>
          <w:trHeight w:val="300"/>
        </w:trPr>
        <w:tc>
          <w:tcPr>
            <w:tcW w:w="812" w:type="dxa"/>
            <w:tcBorders>
              <w:top w:val="nil"/>
              <w:left w:val="single" w:sz="4" w:space="0" w:color="auto"/>
              <w:bottom w:val="single" w:sz="4" w:space="0" w:color="auto"/>
              <w:right w:val="single" w:sz="4" w:space="0" w:color="auto"/>
            </w:tcBorders>
            <w:shd w:val="clear" w:color="auto" w:fill="auto"/>
            <w:noWrap/>
            <w:vAlign w:val="center"/>
          </w:tcPr>
          <w:p w14:paraId="48A56E91" w14:textId="77777777" w:rsidR="003D2549" w:rsidRPr="00187AEF" w:rsidRDefault="007E207B"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P.II.1.</w:t>
            </w:r>
          </w:p>
        </w:tc>
        <w:tc>
          <w:tcPr>
            <w:tcW w:w="6559" w:type="dxa"/>
            <w:tcBorders>
              <w:top w:val="nil"/>
              <w:left w:val="nil"/>
              <w:bottom w:val="single" w:sz="4" w:space="0" w:color="auto"/>
              <w:right w:val="single" w:sz="4" w:space="0" w:color="auto"/>
            </w:tcBorders>
            <w:shd w:val="clear" w:color="auto" w:fill="auto"/>
            <w:noWrap/>
            <w:vAlign w:val="center"/>
          </w:tcPr>
          <w:p w14:paraId="0D8F9F59" w14:textId="77777777" w:rsidR="003D2549" w:rsidRPr="00187AEF" w:rsidRDefault="007E207B"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Krátkodobé podmíněné pohledávky z předfinancování transferů</w:t>
            </w:r>
          </w:p>
        </w:tc>
        <w:tc>
          <w:tcPr>
            <w:tcW w:w="1701" w:type="dxa"/>
            <w:tcBorders>
              <w:top w:val="nil"/>
              <w:left w:val="nil"/>
              <w:bottom w:val="single" w:sz="4" w:space="0" w:color="auto"/>
              <w:right w:val="single" w:sz="4" w:space="0" w:color="auto"/>
            </w:tcBorders>
            <w:shd w:val="clear" w:color="auto" w:fill="auto"/>
            <w:vAlign w:val="center"/>
          </w:tcPr>
          <w:p w14:paraId="59E0D7AC"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34 723 123,20</w:t>
            </w:r>
          </w:p>
        </w:tc>
      </w:tr>
      <w:tr w:rsidR="0050080C" w:rsidRPr="00187AEF" w14:paraId="6E7F7A13" w14:textId="77777777" w:rsidTr="005B584C">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D288C" w14:textId="77777777" w:rsidR="003D2549" w:rsidRPr="00187AEF" w:rsidRDefault="007E207B" w:rsidP="005B584C">
            <w:pPr>
              <w:autoSpaceDE w:val="0"/>
              <w:autoSpaceDN w:val="0"/>
              <w:adjustRightInd w:val="0"/>
              <w:spacing w:after="0"/>
              <w:ind w:right="-57"/>
              <w:rPr>
                <w:rFonts w:eastAsiaTheme="minorHAnsi" w:cstheme="minorHAnsi"/>
                <w:sz w:val="20"/>
                <w:szCs w:val="20"/>
                <w:highlight w:val="red"/>
              </w:rPr>
            </w:pPr>
            <w:r>
              <w:rPr>
                <w:rFonts w:eastAsiaTheme="minorHAnsi" w:cstheme="minorHAnsi"/>
                <w:sz w:val="20"/>
                <w:szCs w:val="20"/>
              </w:rPr>
              <w:t>P.IV</w:t>
            </w:r>
            <w:r w:rsidRPr="007E207B">
              <w:rPr>
                <w:rFonts w:eastAsiaTheme="minorHAnsi" w:cstheme="minorHAnsi"/>
                <w:sz w:val="20"/>
                <w:szCs w:val="20"/>
              </w:rPr>
              <w:t>.</w:t>
            </w:r>
            <w:r>
              <w:rPr>
                <w:rFonts w:eastAsiaTheme="minorHAnsi" w:cstheme="minorHAnsi"/>
                <w:sz w:val="20"/>
                <w:szCs w:val="20"/>
              </w:rPr>
              <w:t>4</w:t>
            </w:r>
            <w:r w:rsidRPr="007E207B">
              <w:rPr>
                <w:rFonts w:eastAsiaTheme="minorHAnsi" w:cstheme="minorHAnsi"/>
                <w:sz w:val="20"/>
                <w:szCs w:val="20"/>
              </w:rPr>
              <w:t>.</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1869610C" w14:textId="77777777" w:rsidR="003D2549" w:rsidRPr="00187AEF" w:rsidRDefault="007E207B"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Dlouhodobé podmíněné pohledávky z jiných smluv</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BCC933"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166 014 108,04</w:t>
            </w:r>
          </w:p>
        </w:tc>
      </w:tr>
      <w:tr w:rsidR="007E207B" w:rsidRPr="00187AEF" w14:paraId="35ADE278" w14:textId="77777777" w:rsidTr="005B584C">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B0EDC" w14:textId="77777777" w:rsidR="007E207B" w:rsidRDefault="007E207B" w:rsidP="005B584C">
            <w:pPr>
              <w:autoSpaceDE w:val="0"/>
              <w:autoSpaceDN w:val="0"/>
              <w:adjustRightInd w:val="0"/>
              <w:spacing w:after="0"/>
              <w:ind w:right="-57"/>
              <w:rPr>
                <w:rFonts w:eastAsiaTheme="minorHAnsi" w:cstheme="minorHAnsi"/>
                <w:sz w:val="20"/>
                <w:szCs w:val="20"/>
                <w:highlight w:val="red"/>
              </w:rPr>
            </w:pPr>
            <w:r>
              <w:rPr>
                <w:rFonts w:eastAsiaTheme="minorHAnsi" w:cstheme="minorHAnsi"/>
                <w:sz w:val="20"/>
                <w:szCs w:val="20"/>
              </w:rPr>
              <w:t>P.IV</w:t>
            </w:r>
            <w:r w:rsidRPr="007E207B">
              <w:rPr>
                <w:rFonts w:eastAsiaTheme="minorHAnsi" w:cstheme="minorHAnsi"/>
                <w:sz w:val="20"/>
                <w:szCs w:val="20"/>
              </w:rPr>
              <w:t>.</w:t>
            </w:r>
            <w:r>
              <w:rPr>
                <w:rFonts w:eastAsiaTheme="minorHAnsi" w:cstheme="minorHAnsi"/>
                <w:sz w:val="20"/>
                <w:szCs w:val="20"/>
              </w:rPr>
              <w:t>10.</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2AF5CD63" w14:textId="77777777" w:rsidR="007E207B" w:rsidRPr="007E207B" w:rsidRDefault="007E207B" w:rsidP="005B584C">
            <w:pPr>
              <w:autoSpaceDE w:val="0"/>
              <w:autoSpaceDN w:val="0"/>
              <w:adjustRightInd w:val="0"/>
              <w:spacing w:after="0"/>
              <w:ind w:right="-57"/>
              <w:rPr>
                <w:rFonts w:eastAsiaTheme="minorHAnsi" w:cstheme="minorHAnsi"/>
                <w:sz w:val="20"/>
                <w:szCs w:val="20"/>
              </w:rPr>
            </w:pPr>
            <w:r w:rsidRPr="007E207B">
              <w:rPr>
                <w:rFonts w:eastAsiaTheme="minorHAnsi" w:cstheme="minorHAnsi"/>
                <w:sz w:val="20"/>
                <w:szCs w:val="20"/>
              </w:rPr>
              <w:t>Dlouhodobé podmíněné úhrady pohledávek z přijatých zajištění</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D52309" w14:textId="77777777" w:rsidR="007E207B" w:rsidRPr="007E207B" w:rsidRDefault="007E207B" w:rsidP="004469C7">
            <w:pPr>
              <w:spacing w:after="0"/>
              <w:ind w:right="57"/>
              <w:jc w:val="right"/>
              <w:rPr>
                <w:rFonts w:asciiTheme="minorHAnsi" w:hAnsiTheme="minorHAnsi" w:cstheme="minorHAnsi"/>
                <w:color w:val="000000"/>
                <w:sz w:val="20"/>
                <w:szCs w:val="20"/>
              </w:rPr>
            </w:pPr>
            <w:r w:rsidRPr="007E207B">
              <w:rPr>
                <w:rFonts w:asciiTheme="minorHAnsi" w:hAnsiTheme="minorHAnsi" w:cstheme="minorHAnsi"/>
                <w:color w:val="000000"/>
                <w:sz w:val="20"/>
                <w:szCs w:val="20"/>
              </w:rPr>
              <w:t>8 805 065 274,74</w:t>
            </w:r>
          </w:p>
        </w:tc>
      </w:tr>
      <w:tr w:rsidR="0050080C" w:rsidRPr="00187AEF" w14:paraId="39EEC3CA" w14:textId="77777777" w:rsidTr="005B584C">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5D308" w14:textId="77777777" w:rsidR="003D2549" w:rsidRPr="007E207B" w:rsidRDefault="007E207B" w:rsidP="005B584C">
            <w:pPr>
              <w:autoSpaceDE w:val="0"/>
              <w:autoSpaceDN w:val="0"/>
              <w:adjustRightInd w:val="0"/>
              <w:spacing w:after="0"/>
              <w:ind w:right="-57"/>
              <w:rPr>
                <w:rFonts w:eastAsiaTheme="minorHAnsi" w:cstheme="minorHAnsi"/>
                <w:sz w:val="20"/>
                <w:szCs w:val="20"/>
              </w:rPr>
            </w:pPr>
            <w:r w:rsidRPr="007E207B">
              <w:rPr>
                <w:rFonts w:eastAsiaTheme="minorHAnsi" w:cstheme="minorHAnsi"/>
                <w:sz w:val="20"/>
                <w:szCs w:val="20"/>
              </w:rPr>
              <w:t>P.V.1.</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280DD803" w14:textId="77777777" w:rsidR="003D2549" w:rsidRPr="00187AEF" w:rsidRDefault="007E207B"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Dlouhodobé podmíněné pohledávky z předfinancování transferů</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24B98A"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13 958 121,25</w:t>
            </w:r>
          </w:p>
        </w:tc>
      </w:tr>
      <w:tr w:rsidR="0050080C" w:rsidRPr="00187AEF" w14:paraId="49115390" w14:textId="77777777" w:rsidTr="005B584C">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A025D" w14:textId="77777777" w:rsidR="003D2549" w:rsidRPr="007E207B" w:rsidRDefault="00D62D53" w:rsidP="005B584C">
            <w:pPr>
              <w:autoSpaceDE w:val="0"/>
              <w:autoSpaceDN w:val="0"/>
              <w:adjustRightInd w:val="0"/>
              <w:spacing w:after="0"/>
              <w:ind w:right="-57"/>
              <w:rPr>
                <w:rFonts w:eastAsiaTheme="minorHAnsi" w:cstheme="minorHAnsi"/>
                <w:sz w:val="20"/>
                <w:szCs w:val="20"/>
              </w:rPr>
            </w:pPr>
            <w:r>
              <w:rPr>
                <w:rFonts w:eastAsiaTheme="minorHAnsi" w:cstheme="minorHAnsi"/>
                <w:sz w:val="20"/>
                <w:szCs w:val="20"/>
              </w:rPr>
              <w:t>P.V.4.</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2199656E" w14:textId="77777777" w:rsidR="003D2549" w:rsidRPr="00187AEF" w:rsidRDefault="007E207B"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Dlouhodobé podmíněné závazky ze zahraničních transferů</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D4F6EB"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25 211 344,33</w:t>
            </w:r>
          </w:p>
        </w:tc>
      </w:tr>
      <w:tr w:rsidR="007E207B" w:rsidRPr="00187AEF" w14:paraId="4F3864A0" w14:textId="77777777" w:rsidTr="005B584C">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F8C03" w14:textId="77777777" w:rsidR="007E207B" w:rsidRPr="007E207B" w:rsidRDefault="00D62D53" w:rsidP="005B584C">
            <w:pPr>
              <w:autoSpaceDE w:val="0"/>
              <w:autoSpaceDN w:val="0"/>
              <w:adjustRightInd w:val="0"/>
              <w:spacing w:after="0"/>
              <w:ind w:right="-57"/>
              <w:rPr>
                <w:rFonts w:eastAsiaTheme="minorHAnsi" w:cstheme="minorHAnsi"/>
                <w:sz w:val="20"/>
                <w:szCs w:val="20"/>
              </w:rPr>
            </w:pPr>
            <w:r>
              <w:rPr>
                <w:rFonts w:eastAsiaTheme="minorHAnsi" w:cstheme="minorHAnsi"/>
                <w:sz w:val="20"/>
                <w:szCs w:val="20"/>
              </w:rPr>
              <w:t>P.V.6.</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276B1A9F" w14:textId="51C2B905" w:rsidR="007E207B" w:rsidRPr="007E207B" w:rsidRDefault="007E207B" w:rsidP="005B584C">
            <w:pPr>
              <w:autoSpaceDE w:val="0"/>
              <w:autoSpaceDN w:val="0"/>
              <w:adjustRightInd w:val="0"/>
              <w:spacing w:after="0"/>
              <w:ind w:right="-57"/>
              <w:rPr>
                <w:rFonts w:eastAsiaTheme="minorHAnsi" w:cstheme="minorHAnsi"/>
                <w:sz w:val="20"/>
                <w:szCs w:val="20"/>
              </w:rPr>
            </w:pPr>
            <w:r w:rsidRPr="007E207B">
              <w:rPr>
                <w:rFonts w:eastAsiaTheme="minorHAnsi" w:cstheme="minorHAnsi"/>
                <w:sz w:val="20"/>
                <w:szCs w:val="20"/>
              </w:rPr>
              <w:t>Ostatní dlouhodobé podmíněné závazky z</w:t>
            </w:r>
            <w:r w:rsidR="009A1F98">
              <w:rPr>
                <w:rFonts w:eastAsiaTheme="minorHAnsi" w:cstheme="minorHAnsi"/>
                <w:sz w:val="20"/>
                <w:szCs w:val="20"/>
              </w:rPr>
              <w:t> </w:t>
            </w:r>
            <w:r w:rsidRPr="007E207B">
              <w:rPr>
                <w:rFonts w:eastAsiaTheme="minorHAnsi" w:cstheme="minorHAnsi"/>
                <w:sz w:val="20"/>
                <w:szCs w:val="20"/>
              </w:rPr>
              <w:t>transferů</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E8FCD5" w14:textId="77777777" w:rsidR="007E207B" w:rsidRPr="007E207B" w:rsidRDefault="007E207B" w:rsidP="004469C7">
            <w:pPr>
              <w:spacing w:after="0"/>
              <w:ind w:right="57"/>
              <w:jc w:val="right"/>
              <w:rPr>
                <w:rFonts w:asciiTheme="minorHAnsi" w:hAnsiTheme="minorHAnsi" w:cstheme="minorHAnsi"/>
                <w:color w:val="000000"/>
                <w:sz w:val="20"/>
                <w:szCs w:val="20"/>
              </w:rPr>
            </w:pPr>
            <w:r w:rsidRPr="007E207B">
              <w:rPr>
                <w:rFonts w:asciiTheme="minorHAnsi" w:hAnsiTheme="minorHAnsi" w:cstheme="minorHAnsi"/>
                <w:color w:val="000000"/>
                <w:sz w:val="20"/>
                <w:szCs w:val="20"/>
              </w:rPr>
              <w:t>45 523 553 519,66</w:t>
            </w:r>
          </w:p>
        </w:tc>
      </w:tr>
      <w:tr w:rsidR="0050080C" w:rsidRPr="00187AEF" w14:paraId="2DB609FD" w14:textId="77777777" w:rsidTr="005B584C">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92185" w14:textId="77777777" w:rsidR="003D2549" w:rsidRPr="007E207B" w:rsidRDefault="00D62D53" w:rsidP="005B584C">
            <w:pPr>
              <w:autoSpaceDE w:val="0"/>
              <w:autoSpaceDN w:val="0"/>
              <w:adjustRightInd w:val="0"/>
              <w:spacing w:after="0"/>
              <w:ind w:right="-57"/>
              <w:rPr>
                <w:rFonts w:eastAsiaTheme="minorHAnsi" w:cstheme="minorHAnsi"/>
                <w:sz w:val="20"/>
                <w:szCs w:val="20"/>
              </w:rPr>
            </w:pPr>
            <w:r>
              <w:rPr>
                <w:rFonts w:eastAsiaTheme="minorHAnsi" w:cstheme="minorHAnsi"/>
                <w:sz w:val="20"/>
                <w:szCs w:val="20"/>
              </w:rPr>
              <w:t>P.VII.4.</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5F07CB86" w14:textId="77777777" w:rsidR="003D2549" w:rsidRPr="00187AEF" w:rsidRDefault="007E207B" w:rsidP="005B584C">
            <w:pPr>
              <w:autoSpaceDE w:val="0"/>
              <w:autoSpaceDN w:val="0"/>
              <w:adjustRightInd w:val="0"/>
              <w:spacing w:after="0"/>
              <w:ind w:right="-57"/>
              <w:rPr>
                <w:rFonts w:eastAsiaTheme="minorHAnsi" w:cstheme="minorHAnsi"/>
                <w:sz w:val="20"/>
                <w:szCs w:val="20"/>
                <w:highlight w:val="red"/>
              </w:rPr>
            </w:pPr>
            <w:r w:rsidRPr="007E207B">
              <w:rPr>
                <w:rFonts w:eastAsiaTheme="minorHAnsi" w:cstheme="minorHAnsi"/>
                <w:sz w:val="20"/>
                <w:szCs w:val="20"/>
              </w:rPr>
              <w:t>Dlouhodobé podmíněné závazky z jiných smluv</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17B636"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1 015 700 538,31</w:t>
            </w:r>
          </w:p>
        </w:tc>
      </w:tr>
      <w:tr w:rsidR="0050080C" w:rsidRPr="00187AEF" w14:paraId="6F719648" w14:textId="77777777" w:rsidTr="005B584C">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9F69E" w14:textId="77777777" w:rsidR="003D2549" w:rsidRPr="007E207B" w:rsidRDefault="00D62D53" w:rsidP="005B584C">
            <w:pPr>
              <w:autoSpaceDE w:val="0"/>
              <w:autoSpaceDN w:val="0"/>
              <w:adjustRightInd w:val="0"/>
              <w:spacing w:after="0"/>
              <w:ind w:right="-57"/>
              <w:rPr>
                <w:rFonts w:eastAsiaTheme="minorHAnsi" w:cstheme="minorHAnsi"/>
                <w:sz w:val="20"/>
                <w:szCs w:val="20"/>
              </w:rPr>
            </w:pPr>
            <w:r>
              <w:rPr>
                <w:rFonts w:eastAsiaTheme="minorHAnsi" w:cstheme="minorHAnsi"/>
                <w:sz w:val="20"/>
                <w:szCs w:val="20"/>
              </w:rPr>
              <w:t>P.VII.14.</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0266DEB9" w14:textId="77777777" w:rsidR="003D2549" w:rsidRPr="009A0289" w:rsidRDefault="007E207B" w:rsidP="005B584C">
            <w:pPr>
              <w:autoSpaceDE w:val="0"/>
              <w:autoSpaceDN w:val="0"/>
              <w:adjustRightInd w:val="0"/>
              <w:spacing w:after="0"/>
              <w:ind w:right="-57"/>
              <w:rPr>
                <w:rFonts w:eastAsiaTheme="minorHAnsi" w:cstheme="minorHAnsi"/>
                <w:spacing w:val="-4"/>
                <w:sz w:val="20"/>
                <w:szCs w:val="20"/>
                <w:highlight w:val="red"/>
              </w:rPr>
            </w:pPr>
            <w:r w:rsidRPr="009A0289">
              <w:rPr>
                <w:rFonts w:eastAsiaTheme="minorHAnsi" w:cstheme="minorHAnsi"/>
                <w:spacing w:val="-4"/>
                <w:sz w:val="20"/>
                <w:szCs w:val="20"/>
              </w:rPr>
              <w:t>Dlouhodobé podmíněné závazky ze soudních sporů, správních řízení a jiných řízení</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7B1215" w14:textId="77777777" w:rsidR="003D2549" w:rsidRPr="00187AEF" w:rsidRDefault="007E207B" w:rsidP="004469C7">
            <w:pPr>
              <w:spacing w:after="0"/>
              <w:ind w:right="57"/>
              <w:jc w:val="right"/>
              <w:rPr>
                <w:rFonts w:asciiTheme="minorHAnsi" w:hAnsiTheme="minorHAnsi" w:cstheme="minorHAnsi"/>
                <w:color w:val="000000"/>
                <w:sz w:val="20"/>
                <w:szCs w:val="20"/>
                <w:highlight w:val="red"/>
              </w:rPr>
            </w:pPr>
            <w:r w:rsidRPr="007E207B">
              <w:rPr>
                <w:rFonts w:asciiTheme="minorHAnsi" w:hAnsiTheme="minorHAnsi" w:cstheme="minorHAnsi"/>
                <w:color w:val="000000"/>
                <w:sz w:val="20"/>
                <w:szCs w:val="20"/>
              </w:rPr>
              <w:t>1 685 566 530,22</w:t>
            </w:r>
          </w:p>
        </w:tc>
      </w:tr>
    </w:tbl>
    <w:p w14:paraId="739F3327" w14:textId="77777777" w:rsidR="00494B0F" w:rsidRPr="00D16053" w:rsidRDefault="00A640AE" w:rsidP="008D6D79">
      <w:pPr>
        <w:spacing w:before="40" w:after="0"/>
        <w:rPr>
          <w:sz w:val="20"/>
        </w:rPr>
      </w:pPr>
      <w:r w:rsidRPr="00D16053">
        <w:rPr>
          <w:b/>
          <w:sz w:val="20"/>
        </w:rPr>
        <w:t>Zdroj:</w:t>
      </w:r>
      <w:r w:rsidRPr="00D16053">
        <w:rPr>
          <w:sz w:val="20"/>
        </w:rPr>
        <w:t xml:space="preserve"> </w:t>
      </w:r>
      <w:r w:rsidR="000B3825" w:rsidRPr="00D16053">
        <w:rPr>
          <w:sz w:val="20"/>
        </w:rPr>
        <w:t>ÚZ</w:t>
      </w:r>
      <w:r w:rsidRPr="00D16053">
        <w:rPr>
          <w:sz w:val="20"/>
        </w:rPr>
        <w:t>.</w:t>
      </w:r>
    </w:p>
    <w:p w14:paraId="3D7A47B2" w14:textId="77777777" w:rsidR="00494B0F" w:rsidRPr="00187AEF" w:rsidRDefault="00494B0F" w:rsidP="007C7C81">
      <w:pPr>
        <w:spacing w:after="0"/>
        <w:rPr>
          <w:highlight w:val="red"/>
        </w:rPr>
      </w:pPr>
    </w:p>
    <w:p w14:paraId="171D3A21" w14:textId="77777777" w:rsidR="00494B0F" w:rsidRPr="00D16053" w:rsidRDefault="00A640AE" w:rsidP="00CB541E">
      <w:pPr>
        <w:keepNext/>
        <w:spacing w:after="40"/>
        <w:rPr>
          <w:rFonts w:cs="Arial"/>
          <w:b/>
        </w:rPr>
      </w:pPr>
      <w:r w:rsidRPr="00D16053">
        <w:rPr>
          <w:rFonts w:cs="Arial"/>
          <w:b/>
        </w:rPr>
        <w:t xml:space="preserve">Tabulka č. </w:t>
      </w:r>
      <w:r w:rsidR="007A062A" w:rsidRPr="00D16053">
        <w:rPr>
          <w:rFonts w:cs="Arial"/>
          <w:b/>
        </w:rPr>
        <w:t>3</w:t>
      </w:r>
      <w:r w:rsidRPr="00D16053">
        <w:rPr>
          <w:rFonts w:cs="Arial"/>
          <w:b/>
        </w:rPr>
        <w:t>:</w:t>
      </w:r>
      <w:r w:rsidRPr="00D16053">
        <w:rPr>
          <w:rFonts w:cs="Arial"/>
        </w:rPr>
        <w:t xml:space="preserve"> </w:t>
      </w:r>
      <w:r w:rsidRPr="00D16053">
        <w:rPr>
          <w:rFonts w:cs="Arial"/>
          <w:b/>
        </w:rPr>
        <w:t xml:space="preserve">Údaje z výkazu </w:t>
      </w:r>
      <w:r w:rsidR="00D16053" w:rsidRPr="00D16053">
        <w:rPr>
          <w:rFonts w:cs="Arial"/>
          <w:b/>
        </w:rPr>
        <w:t>FIN 1-12 OSS</w:t>
      </w:r>
    </w:p>
    <w:tbl>
      <w:tblPr>
        <w:tblW w:w="9070" w:type="dxa"/>
        <w:tblInd w:w="-5" w:type="dxa"/>
        <w:tblLayout w:type="fixed"/>
        <w:tblCellMar>
          <w:left w:w="70" w:type="dxa"/>
          <w:right w:w="70" w:type="dxa"/>
        </w:tblCellMar>
        <w:tblLook w:val="04A0" w:firstRow="1" w:lastRow="0" w:firstColumn="1" w:lastColumn="0" w:noHBand="0" w:noVBand="1"/>
      </w:tblPr>
      <w:tblGrid>
        <w:gridCol w:w="4535"/>
        <w:gridCol w:w="4535"/>
      </w:tblGrid>
      <w:tr w:rsidR="0050080C" w:rsidRPr="00187AEF" w14:paraId="65BDDBDB" w14:textId="77777777" w:rsidTr="004469C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74BBBE2" w14:textId="77777777" w:rsidR="00494B0F" w:rsidRPr="00D16053" w:rsidRDefault="00A640AE" w:rsidP="00B92BDD">
            <w:pPr>
              <w:spacing w:after="0"/>
              <w:jc w:val="center"/>
              <w:rPr>
                <w:rFonts w:cs="Arial"/>
                <w:b/>
                <w:bCs/>
                <w:sz w:val="20"/>
              </w:rPr>
            </w:pPr>
            <w:r w:rsidRPr="00D16053">
              <w:rPr>
                <w:rFonts w:cs="Arial"/>
                <w:b/>
                <w:bCs/>
                <w:sz w:val="20"/>
              </w:rPr>
              <w:t>Ukazatel</w:t>
            </w:r>
          </w:p>
        </w:tc>
        <w:tc>
          <w:tcPr>
            <w:tcW w:w="4535" w:type="dxa"/>
            <w:tcBorders>
              <w:top w:val="single" w:sz="4" w:space="0" w:color="auto"/>
              <w:left w:val="nil"/>
              <w:bottom w:val="single" w:sz="4" w:space="0" w:color="auto"/>
              <w:right w:val="single" w:sz="4" w:space="0" w:color="auto"/>
            </w:tcBorders>
            <w:shd w:val="clear" w:color="auto" w:fill="E5F1FF"/>
            <w:noWrap/>
            <w:vAlign w:val="center"/>
            <w:hideMark/>
          </w:tcPr>
          <w:p w14:paraId="0F73BA46" w14:textId="77777777" w:rsidR="00494B0F" w:rsidRPr="00D16053" w:rsidRDefault="00A640AE" w:rsidP="00EA1F6B">
            <w:pPr>
              <w:spacing w:after="0"/>
              <w:jc w:val="center"/>
              <w:rPr>
                <w:rFonts w:cs="Arial"/>
                <w:b/>
                <w:bCs/>
                <w:sz w:val="20"/>
              </w:rPr>
            </w:pPr>
            <w:r w:rsidRPr="00D16053">
              <w:rPr>
                <w:rFonts w:cs="Arial"/>
                <w:b/>
                <w:bCs/>
                <w:sz w:val="20"/>
              </w:rPr>
              <w:t>Částka v</w:t>
            </w:r>
            <w:r w:rsidR="002257CC">
              <w:rPr>
                <w:rFonts w:cs="Arial"/>
                <w:b/>
                <w:bCs/>
                <w:sz w:val="20"/>
              </w:rPr>
              <w:t> </w:t>
            </w:r>
            <w:r w:rsidRPr="00D16053">
              <w:rPr>
                <w:rFonts w:cs="Arial"/>
                <w:b/>
                <w:bCs/>
                <w:sz w:val="20"/>
              </w:rPr>
              <w:t>Kč</w:t>
            </w:r>
          </w:p>
        </w:tc>
      </w:tr>
      <w:tr w:rsidR="00D16053" w:rsidRPr="00187AEF" w14:paraId="62A39DA7" w14:textId="77777777" w:rsidTr="004469C7">
        <w:trPr>
          <w:trHeight w:val="30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FA844E3" w14:textId="77777777" w:rsidR="00D16053" w:rsidRPr="00D16053" w:rsidRDefault="00D16053" w:rsidP="00D16053">
            <w:pPr>
              <w:spacing w:after="0"/>
              <w:rPr>
                <w:rFonts w:cs="Arial"/>
                <w:sz w:val="20"/>
              </w:rPr>
            </w:pPr>
            <w:r w:rsidRPr="00D16053">
              <w:rPr>
                <w:rFonts w:cs="Arial"/>
                <w:sz w:val="20"/>
              </w:rPr>
              <w:t>Příjmy (skutečnost celkem)</w:t>
            </w:r>
          </w:p>
        </w:tc>
        <w:tc>
          <w:tcPr>
            <w:tcW w:w="4535" w:type="dxa"/>
            <w:tcBorders>
              <w:top w:val="nil"/>
              <w:left w:val="nil"/>
              <w:bottom w:val="single" w:sz="4" w:space="0" w:color="auto"/>
              <w:right w:val="single" w:sz="4" w:space="0" w:color="auto"/>
            </w:tcBorders>
            <w:shd w:val="clear" w:color="auto" w:fill="auto"/>
            <w:noWrap/>
            <w:vAlign w:val="center"/>
          </w:tcPr>
          <w:p w14:paraId="35679A9F" w14:textId="77777777" w:rsidR="00D16053" w:rsidRPr="00187AEF" w:rsidRDefault="00D16053" w:rsidP="00D16053">
            <w:pPr>
              <w:spacing w:after="0"/>
              <w:ind w:right="57"/>
              <w:jc w:val="right"/>
              <w:rPr>
                <w:rFonts w:cs="Arial"/>
                <w:sz w:val="20"/>
                <w:highlight w:val="red"/>
              </w:rPr>
            </w:pPr>
            <w:r>
              <w:rPr>
                <w:rFonts w:cs="Arial"/>
                <w:color w:val="000000"/>
                <w:sz w:val="20"/>
              </w:rPr>
              <w:t>24 102 853 346,68</w:t>
            </w:r>
          </w:p>
        </w:tc>
      </w:tr>
      <w:tr w:rsidR="00D16053" w:rsidRPr="00187AEF" w14:paraId="063D8457" w14:textId="77777777" w:rsidTr="004469C7">
        <w:trPr>
          <w:trHeight w:val="30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9E3EBFB" w14:textId="77777777" w:rsidR="00D16053" w:rsidRPr="00D16053" w:rsidRDefault="00D16053" w:rsidP="00D16053">
            <w:pPr>
              <w:spacing w:after="0"/>
              <w:rPr>
                <w:rFonts w:cs="Arial"/>
                <w:sz w:val="20"/>
              </w:rPr>
            </w:pPr>
            <w:r w:rsidRPr="00D16053">
              <w:rPr>
                <w:rFonts w:cs="Arial"/>
                <w:sz w:val="20"/>
              </w:rPr>
              <w:t>Výdaje (skutečnost celkem)</w:t>
            </w:r>
          </w:p>
        </w:tc>
        <w:tc>
          <w:tcPr>
            <w:tcW w:w="4535" w:type="dxa"/>
            <w:tcBorders>
              <w:top w:val="nil"/>
              <w:left w:val="nil"/>
              <w:bottom w:val="single" w:sz="4" w:space="0" w:color="auto"/>
              <w:right w:val="single" w:sz="4" w:space="0" w:color="auto"/>
            </w:tcBorders>
            <w:shd w:val="clear" w:color="auto" w:fill="auto"/>
            <w:noWrap/>
            <w:vAlign w:val="center"/>
          </w:tcPr>
          <w:p w14:paraId="77E0CDA1" w14:textId="77777777" w:rsidR="00D16053" w:rsidRPr="00187AEF" w:rsidRDefault="00D16053" w:rsidP="00D16053">
            <w:pPr>
              <w:spacing w:after="0"/>
              <w:ind w:right="57"/>
              <w:jc w:val="right"/>
              <w:rPr>
                <w:rFonts w:cs="Arial"/>
                <w:sz w:val="20"/>
                <w:highlight w:val="red"/>
              </w:rPr>
            </w:pPr>
            <w:r>
              <w:rPr>
                <w:rFonts w:cs="Arial"/>
                <w:color w:val="000000"/>
                <w:sz w:val="20"/>
              </w:rPr>
              <w:t>22 088 488 436,90</w:t>
            </w:r>
          </w:p>
        </w:tc>
      </w:tr>
    </w:tbl>
    <w:p w14:paraId="010AB1FC" w14:textId="77777777" w:rsidR="00077ACA" w:rsidRPr="00D16053" w:rsidRDefault="00A640AE" w:rsidP="008D6D79">
      <w:pPr>
        <w:spacing w:before="40" w:after="0"/>
        <w:rPr>
          <w:sz w:val="20"/>
        </w:rPr>
      </w:pPr>
      <w:r w:rsidRPr="00D16053">
        <w:rPr>
          <w:b/>
          <w:sz w:val="20"/>
        </w:rPr>
        <w:t>Zdroj:</w:t>
      </w:r>
      <w:r w:rsidR="00D16053">
        <w:rPr>
          <w:sz w:val="20"/>
        </w:rPr>
        <w:t xml:space="preserve"> výkaz FIN 1-12 OSS</w:t>
      </w:r>
      <w:r w:rsidRPr="00D16053">
        <w:rPr>
          <w:sz w:val="20"/>
        </w:rPr>
        <w:t>.</w:t>
      </w:r>
    </w:p>
    <w:p w14:paraId="125AC2C0" w14:textId="77777777" w:rsidR="00B922BC" w:rsidRPr="00187AEF" w:rsidRDefault="00B922BC" w:rsidP="00911643">
      <w:pPr>
        <w:spacing w:before="40" w:after="0"/>
        <w:rPr>
          <w:rFonts w:asciiTheme="minorHAnsi" w:hAnsiTheme="minorHAnsi" w:cs="Calibri"/>
          <w:highlight w:val="red"/>
        </w:rPr>
      </w:pPr>
    </w:p>
    <w:p w14:paraId="4D9DE6F2" w14:textId="77777777" w:rsidR="008D6D79" w:rsidRPr="00187AEF" w:rsidRDefault="008D6D79" w:rsidP="008D6D79">
      <w:pPr>
        <w:spacing w:after="0"/>
        <w:rPr>
          <w:highlight w:val="red"/>
        </w:rPr>
      </w:pPr>
    </w:p>
    <w:p w14:paraId="3DB1A862" w14:textId="77777777" w:rsidR="0033466E" w:rsidRPr="00D16053" w:rsidRDefault="00A640AE" w:rsidP="00CB541E">
      <w:pPr>
        <w:pStyle w:val="Nadpis1"/>
        <w:keepNext/>
        <w:spacing w:after="0" w:line="240" w:lineRule="auto"/>
      </w:pPr>
      <w:r w:rsidRPr="00D16053">
        <w:t>I</w:t>
      </w:r>
      <w:r w:rsidR="00E91FF5" w:rsidRPr="00D16053">
        <w:t>I</w:t>
      </w:r>
      <w:r w:rsidRPr="00D16053">
        <w:t>I. Rozsah kontroly</w:t>
      </w:r>
    </w:p>
    <w:p w14:paraId="6395829A" w14:textId="77777777" w:rsidR="00F05073" w:rsidRPr="00187AEF" w:rsidRDefault="00F05073" w:rsidP="00CB541E">
      <w:pPr>
        <w:keepNext/>
        <w:spacing w:after="0"/>
        <w:jc w:val="both"/>
        <w:rPr>
          <w:rFonts w:cs="Calibri"/>
          <w:highlight w:val="red"/>
        </w:rPr>
      </w:pPr>
    </w:p>
    <w:p w14:paraId="79C04753" w14:textId="45499E47" w:rsidR="00BF0C81" w:rsidRPr="006C3FC5" w:rsidRDefault="00A640AE" w:rsidP="00BF0C81">
      <w:pPr>
        <w:spacing w:after="0"/>
        <w:jc w:val="both"/>
        <w:rPr>
          <w:rFonts w:eastAsiaTheme="minorHAnsi" w:cs="Calibri"/>
        </w:rPr>
      </w:pPr>
      <w:r w:rsidRPr="006C3FC5">
        <w:rPr>
          <w:rFonts w:cs="Calibri"/>
        </w:rPr>
        <w:t xml:space="preserve">Kontrolní akce byla kontrolou typu finanční audit a jejím cílem bylo </w:t>
      </w:r>
      <w:r w:rsidR="00BF0C81" w:rsidRPr="006C3FC5">
        <w:rPr>
          <w:rFonts w:eastAsiaTheme="minorHAnsi" w:cs="Calibri"/>
        </w:rPr>
        <w:t>prověřit, zda M</w:t>
      </w:r>
      <w:r w:rsidR="006C3FC5" w:rsidRPr="006C3FC5">
        <w:rPr>
          <w:rFonts w:eastAsiaTheme="minorHAnsi" w:cs="Calibri"/>
        </w:rPr>
        <w:t>MR</w:t>
      </w:r>
      <w:r w:rsidR="004A4FD6">
        <w:rPr>
          <w:rFonts w:eastAsiaTheme="minorHAnsi" w:cs="Calibri"/>
        </w:rPr>
        <w:t xml:space="preserve"> při</w:t>
      </w:r>
      <w:r w:rsidR="009A0289">
        <w:rPr>
          <w:rFonts w:eastAsiaTheme="minorHAnsi" w:cs="Calibri"/>
        </w:rPr>
        <w:t xml:space="preserve"> </w:t>
      </w:r>
      <w:r w:rsidR="00BF0C81" w:rsidRPr="006C3FC5">
        <w:rPr>
          <w:rFonts w:eastAsiaTheme="minorHAnsi" w:cs="Calibri"/>
        </w:rPr>
        <w:t>vedení účetnictví v roce 2018 a sestavení účetní z</w:t>
      </w:r>
      <w:r w:rsidR="004A4FD6">
        <w:rPr>
          <w:rFonts w:eastAsiaTheme="minorHAnsi" w:cs="Calibri"/>
        </w:rPr>
        <w:t>ávěrky k 31. prosinci 2018, při</w:t>
      </w:r>
      <w:r w:rsidR="00B03EA6">
        <w:rPr>
          <w:rFonts w:eastAsiaTheme="minorHAnsi" w:cs="Calibri"/>
        </w:rPr>
        <w:t xml:space="preserve"> </w:t>
      </w:r>
      <w:r w:rsidR="00BF0C81" w:rsidRPr="006C3FC5">
        <w:rPr>
          <w:rFonts w:eastAsiaTheme="minorHAnsi" w:cs="Calibri"/>
        </w:rPr>
        <w:t xml:space="preserve">předkládání </w:t>
      </w:r>
      <w:r w:rsidR="00BF0C81" w:rsidRPr="006C3FC5">
        <w:rPr>
          <w:rFonts w:eastAsiaTheme="minorHAnsi" w:cs="Calibri"/>
        </w:rPr>
        <w:lastRenderedPageBreak/>
        <w:t>údajů pro hodnocení plnění</w:t>
      </w:r>
      <w:r w:rsidR="006C3FC5" w:rsidRPr="006C3FC5">
        <w:rPr>
          <w:rFonts w:eastAsiaTheme="minorHAnsi" w:cs="Calibri"/>
        </w:rPr>
        <w:t xml:space="preserve"> státního</w:t>
      </w:r>
      <w:r w:rsidR="00BF0C81" w:rsidRPr="006C3FC5">
        <w:rPr>
          <w:rFonts w:eastAsiaTheme="minorHAnsi" w:cs="Calibri"/>
        </w:rPr>
        <w:t xml:space="preserve"> rozpočtu</w:t>
      </w:r>
      <w:r w:rsidR="00BF0C81" w:rsidRPr="006C3FC5">
        <w:rPr>
          <w:rFonts w:eastAsiaTheme="minorHAnsi" w:cs="Calibri"/>
          <w:vertAlign w:val="superscript"/>
        </w:rPr>
        <w:footnoteReference w:id="24"/>
      </w:r>
      <w:r w:rsidR="00BF0C81" w:rsidRPr="006C3FC5">
        <w:rPr>
          <w:rFonts w:eastAsiaTheme="minorHAnsi" w:cs="Calibri"/>
        </w:rPr>
        <w:t xml:space="preserve"> a při sestavení závěrečného účtu za rok 2018 postupovalo v souladu s příslušnými právními předpisy.</w:t>
      </w:r>
    </w:p>
    <w:p w14:paraId="607D453E" w14:textId="77777777" w:rsidR="00291417" w:rsidRPr="006C3FC5" w:rsidRDefault="00291417" w:rsidP="00BF0C81">
      <w:pPr>
        <w:spacing w:after="0"/>
        <w:jc w:val="both"/>
        <w:rPr>
          <w:rFonts w:eastAsiaTheme="minorHAnsi" w:cs="Calibri"/>
        </w:rPr>
      </w:pPr>
    </w:p>
    <w:p w14:paraId="40D652BC" w14:textId="6EDCE620" w:rsidR="00720C07" w:rsidRPr="00187AEF" w:rsidRDefault="00A640AE" w:rsidP="00F05073">
      <w:pPr>
        <w:spacing w:after="0"/>
        <w:jc w:val="both"/>
        <w:rPr>
          <w:rFonts w:cs="Calibri"/>
          <w:highlight w:val="red"/>
        </w:rPr>
      </w:pPr>
      <w:r w:rsidRPr="00DD516E">
        <w:rPr>
          <w:rFonts w:cs="Calibri"/>
        </w:rPr>
        <w:t>Kontrolovaný objem finančních prostředků a majetku představuje hodnotu aktiv, pasiv, nákladů, výnosů a podrozvahových účtů vykázaných v ÚZ a vyčíslených v </w:t>
      </w:r>
      <w:r w:rsidRPr="00A71002">
        <w:rPr>
          <w:rFonts w:cs="Calibri"/>
        </w:rPr>
        <w:t xml:space="preserve">tabulkách č. </w:t>
      </w:r>
      <w:r w:rsidR="00DD516E" w:rsidRPr="00A71002">
        <w:rPr>
          <w:rFonts w:cs="Calibri"/>
        </w:rPr>
        <w:t>1</w:t>
      </w:r>
      <w:r w:rsidRPr="00A71002">
        <w:rPr>
          <w:rFonts w:cs="Calibri"/>
        </w:rPr>
        <w:t xml:space="preserve"> a </w:t>
      </w:r>
      <w:r w:rsidR="00DD516E" w:rsidRPr="00A71002">
        <w:rPr>
          <w:rFonts w:cs="Calibri"/>
        </w:rPr>
        <w:t>2</w:t>
      </w:r>
      <w:r w:rsidRPr="00A71002">
        <w:rPr>
          <w:rFonts w:cs="Calibri"/>
        </w:rPr>
        <w:t>.</w:t>
      </w:r>
      <w:r w:rsidRPr="00DD516E">
        <w:rPr>
          <w:rFonts w:cs="Calibri"/>
        </w:rPr>
        <w:t xml:space="preserve"> </w:t>
      </w:r>
    </w:p>
    <w:p w14:paraId="7930CFC2" w14:textId="77777777" w:rsidR="00F05073" w:rsidRPr="00187AEF" w:rsidRDefault="00F05073" w:rsidP="00F05073">
      <w:pPr>
        <w:spacing w:after="0"/>
        <w:jc w:val="both"/>
        <w:rPr>
          <w:rFonts w:cs="Calibri"/>
          <w:highlight w:val="red"/>
        </w:rPr>
      </w:pPr>
    </w:p>
    <w:p w14:paraId="609F4108" w14:textId="2F14FB87" w:rsidR="0033466E" w:rsidRPr="00297BF1" w:rsidRDefault="00A640AE" w:rsidP="00F05073">
      <w:pPr>
        <w:spacing w:after="0"/>
        <w:jc w:val="both"/>
        <w:rPr>
          <w:rFonts w:cs="Calibri"/>
          <w:bCs/>
        </w:rPr>
      </w:pPr>
      <w:r w:rsidRPr="00DD516E">
        <w:rPr>
          <w:rFonts w:cs="Calibri"/>
        </w:rPr>
        <w:t xml:space="preserve">Kontrola se zaměřila na činnosti a skutečnosti, které byly </w:t>
      </w:r>
      <w:r w:rsidRPr="00DD516E">
        <w:rPr>
          <w:rFonts w:cs="Calibri"/>
          <w:b/>
        </w:rPr>
        <w:t>předmětem účetnictví</w:t>
      </w:r>
      <w:r w:rsidRPr="00DD516E">
        <w:rPr>
          <w:rStyle w:val="Znakapoznpodarou"/>
          <w:rFonts w:cs="Calibri"/>
        </w:rPr>
        <w:footnoteReference w:id="25"/>
      </w:r>
      <w:r w:rsidR="00291417" w:rsidRPr="00DD516E">
        <w:rPr>
          <w:rFonts w:cs="Calibri"/>
        </w:rPr>
        <w:t xml:space="preserve"> a měly vliv na</w:t>
      </w:r>
      <w:r w:rsidR="00B03EA6">
        <w:rPr>
          <w:rFonts w:cs="Calibri"/>
        </w:rPr>
        <w:t xml:space="preserve"> </w:t>
      </w:r>
      <w:r w:rsidRPr="00DD516E">
        <w:rPr>
          <w:rFonts w:cs="Calibri"/>
        </w:rPr>
        <w:t>hodnotu kontrolovaných významných konečných zůstatků účtů v </w:t>
      </w:r>
      <w:r w:rsidR="000B3825" w:rsidRPr="00DD516E">
        <w:rPr>
          <w:rFonts w:cs="Calibri"/>
        </w:rPr>
        <w:t>ÚZ</w:t>
      </w:r>
      <w:r w:rsidR="00BA10E7">
        <w:rPr>
          <w:rFonts w:cs="Calibri"/>
        </w:rPr>
        <w:t>, které měly vliv na</w:t>
      </w:r>
      <w:r w:rsidR="00B03EA6">
        <w:rPr>
          <w:rFonts w:cs="Calibri"/>
        </w:rPr>
        <w:t xml:space="preserve"> </w:t>
      </w:r>
      <w:r w:rsidRPr="00297BF1">
        <w:rPr>
          <w:rFonts w:cs="Calibri"/>
        </w:rPr>
        <w:t xml:space="preserve">hodnotu významných údajů předkládaných pro hodnocení </w:t>
      </w:r>
      <w:r w:rsidR="005E41D6" w:rsidRPr="00297BF1">
        <w:rPr>
          <w:rFonts w:cs="Calibri"/>
        </w:rPr>
        <w:t>plnění státního rozpočtu za</w:t>
      </w:r>
      <w:r w:rsidR="00BB5BEC" w:rsidRPr="00297BF1">
        <w:rPr>
          <w:rFonts w:cs="Calibri"/>
        </w:rPr>
        <w:t xml:space="preserve"> </w:t>
      </w:r>
      <w:r w:rsidR="001B0BE7" w:rsidRPr="00297BF1">
        <w:rPr>
          <w:rFonts w:cs="Calibri"/>
        </w:rPr>
        <w:t>rok</w:t>
      </w:r>
      <w:r w:rsidR="005F4DAE">
        <w:rPr>
          <w:rFonts w:cs="Calibri"/>
        </w:rPr>
        <w:t> </w:t>
      </w:r>
      <w:r w:rsidRPr="00297BF1">
        <w:rPr>
          <w:rFonts w:cs="Calibri"/>
        </w:rPr>
        <w:t>201</w:t>
      </w:r>
      <w:r w:rsidR="00306CED" w:rsidRPr="00297BF1">
        <w:rPr>
          <w:rFonts w:cs="Calibri"/>
        </w:rPr>
        <w:t>8</w:t>
      </w:r>
      <w:r w:rsidRPr="00297BF1">
        <w:rPr>
          <w:rFonts w:cs="Calibri"/>
        </w:rPr>
        <w:t xml:space="preserve"> a na závěrečný účet kapitoly </w:t>
      </w:r>
      <w:r w:rsidR="00306CED" w:rsidRPr="00297BF1">
        <w:rPr>
          <w:rFonts w:cs="Calibri"/>
        </w:rPr>
        <w:t xml:space="preserve">státního rozpočtu </w:t>
      </w:r>
      <w:r w:rsidRPr="00297BF1">
        <w:rPr>
          <w:rFonts w:cs="Calibri"/>
        </w:rPr>
        <w:t>3</w:t>
      </w:r>
      <w:r w:rsidR="00297BF1" w:rsidRPr="00297BF1">
        <w:rPr>
          <w:rFonts w:cs="Calibri"/>
        </w:rPr>
        <w:t>17</w:t>
      </w:r>
      <w:r w:rsidR="00306CED" w:rsidRPr="00297BF1">
        <w:rPr>
          <w:rFonts w:cs="Calibri"/>
        </w:rPr>
        <w:t xml:space="preserve"> M</w:t>
      </w:r>
      <w:r w:rsidR="00297BF1" w:rsidRPr="00297BF1">
        <w:rPr>
          <w:rFonts w:cs="Calibri"/>
        </w:rPr>
        <w:t>MR</w:t>
      </w:r>
      <w:r w:rsidRPr="00297BF1">
        <w:rPr>
          <w:rFonts w:cs="Calibri"/>
        </w:rPr>
        <w:t xml:space="preserve"> za</w:t>
      </w:r>
      <w:r w:rsidR="00BB5BEC" w:rsidRPr="00297BF1">
        <w:rPr>
          <w:rFonts w:cs="Calibri"/>
        </w:rPr>
        <w:t xml:space="preserve"> </w:t>
      </w:r>
      <w:r w:rsidRPr="00297BF1">
        <w:rPr>
          <w:rFonts w:cs="Calibri"/>
        </w:rPr>
        <w:t>rok 201</w:t>
      </w:r>
      <w:r w:rsidR="00306CED" w:rsidRPr="00297BF1">
        <w:rPr>
          <w:rFonts w:cs="Calibri"/>
        </w:rPr>
        <w:t>8</w:t>
      </w:r>
      <w:r w:rsidRPr="00297BF1">
        <w:rPr>
          <w:rFonts w:cs="Calibri"/>
          <w:bCs/>
        </w:rPr>
        <w:t>.</w:t>
      </w:r>
    </w:p>
    <w:p w14:paraId="588EBDFA" w14:textId="77777777" w:rsidR="00F279C1" w:rsidRPr="00187AEF" w:rsidRDefault="00F279C1" w:rsidP="00F05073">
      <w:pPr>
        <w:spacing w:after="0"/>
        <w:jc w:val="both"/>
        <w:rPr>
          <w:rFonts w:cs="Calibri"/>
          <w:bCs/>
          <w:highlight w:val="red"/>
        </w:rPr>
      </w:pPr>
    </w:p>
    <w:p w14:paraId="771AF323" w14:textId="77777777" w:rsidR="00F279C1" w:rsidRPr="00297BF1" w:rsidRDefault="00F279C1" w:rsidP="00F279C1">
      <w:pPr>
        <w:spacing w:after="0"/>
        <w:jc w:val="both"/>
        <w:rPr>
          <w:rFonts w:cs="Calibri"/>
        </w:rPr>
      </w:pPr>
      <w:r w:rsidRPr="00297BF1">
        <w:rPr>
          <w:rFonts w:cs="Calibri"/>
        </w:rPr>
        <w:t xml:space="preserve">V oblasti vedení účetnictví se kontrola zaměřila na jeho správnost, úplnost, průkaznost a srozumitelnost. Prověřila dodržování směrné účtové osnovy a správnost používání účetních metod. U vybraných účetních případů byla provedena kontrola s cílem prověřit systém účtování a vykazování informací o skutečnostech, které jsou předmětem účetnictví. </w:t>
      </w:r>
    </w:p>
    <w:p w14:paraId="5FEE8551" w14:textId="77777777" w:rsidR="00F279C1" w:rsidRPr="00187AEF" w:rsidRDefault="00F279C1" w:rsidP="00F05073">
      <w:pPr>
        <w:spacing w:after="0"/>
        <w:jc w:val="both"/>
        <w:rPr>
          <w:rFonts w:cs="Calibri"/>
          <w:bCs/>
          <w:highlight w:val="red"/>
        </w:rPr>
      </w:pPr>
    </w:p>
    <w:p w14:paraId="5C7D5B27" w14:textId="77777777" w:rsidR="008D562A" w:rsidRPr="00297BF1" w:rsidRDefault="00A640AE" w:rsidP="00F05073">
      <w:pPr>
        <w:spacing w:after="0"/>
        <w:jc w:val="both"/>
        <w:rPr>
          <w:rFonts w:eastAsiaTheme="minorHAnsi" w:cs="Calibri"/>
        </w:rPr>
      </w:pPr>
      <w:r w:rsidRPr="00297BF1">
        <w:rPr>
          <w:rFonts w:eastAsiaTheme="minorHAnsi" w:cs="Calibri"/>
        </w:rPr>
        <w:t xml:space="preserve">V případě </w:t>
      </w:r>
      <w:r w:rsidRPr="00297BF1">
        <w:rPr>
          <w:rFonts w:eastAsiaTheme="minorHAnsi" w:cs="Calibri"/>
          <w:b/>
        </w:rPr>
        <w:t>údajů předkládaných pro hodnocení plnění státního rozpočtu</w:t>
      </w:r>
      <w:r w:rsidRPr="00297BF1">
        <w:rPr>
          <w:rFonts w:eastAsiaTheme="minorHAnsi" w:cs="Calibri"/>
        </w:rPr>
        <w:t xml:space="preserve"> bylo prověřováno, zda byla dodržena správnost třídění příjmů a výdajů rozpočtovou skladbou v oblasti druhového a</w:t>
      </w:r>
      <w:r w:rsidR="009E57D6" w:rsidRPr="00297BF1">
        <w:rPr>
          <w:rFonts w:eastAsiaTheme="minorHAnsi" w:cs="Calibri"/>
        </w:rPr>
        <w:t> </w:t>
      </w:r>
      <w:r w:rsidRPr="00297BF1">
        <w:rPr>
          <w:rFonts w:eastAsiaTheme="minorHAnsi" w:cs="Calibri"/>
        </w:rPr>
        <w:t>odvětvového třídění dle vyhlášky č. 323/2002 Sb.</w:t>
      </w:r>
    </w:p>
    <w:p w14:paraId="501EC221" w14:textId="77777777" w:rsidR="00F05073" w:rsidRPr="00187AEF" w:rsidRDefault="00F05073" w:rsidP="00F05073">
      <w:pPr>
        <w:spacing w:after="0"/>
        <w:jc w:val="both"/>
        <w:rPr>
          <w:rFonts w:eastAsiaTheme="minorHAnsi" w:cs="Calibri"/>
          <w:highlight w:val="red"/>
        </w:rPr>
      </w:pPr>
    </w:p>
    <w:p w14:paraId="470A5975" w14:textId="77777777" w:rsidR="008465AF" w:rsidRPr="00C66B9F" w:rsidRDefault="00A640AE" w:rsidP="00F05073">
      <w:pPr>
        <w:spacing w:after="0"/>
        <w:jc w:val="both"/>
        <w:rPr>
          <w:rFonts w:cs="Calibri"/>
        </w:rPr>
      </w:pPr>
      <w:r w:rsidRPr="00C66B9F">
        <w:rPr>
          <w:rFonts w:cs="Calibri"/>
        </w:rPr>
        <w:t xml:space="preserve">Výběr položek účetní závěrky a údajů předkládaných </w:t>
      </w:r>
      <w:r w:rsidR="00673AEF" w:rsidRPr="00C66B9F">
        <w:rPr>
          <w:rFonts w:cs="Calibri"/>
        </w:rPr>
        <w:t>M</w:t>
      </w:r>
      <w:r w:rsidR="00C66B9F" w:rsidRPr="00C66B9F">
        <w:rPr>
          <w:rFonts w:cs="Calibri"/>
        </w:rPr>
        <w:t>MR</w:t>
      </w:r>
      <w:r w:rsidRPr="00C66B9F">
        <w:rPr>
          <w:rFonts w:cs="Calibri"/>
        </w:rPr>
        <w:t xml:space="preserve"> pro hodnocení plnění státního rozpočtu proved</w:t>
      </w:r>
      <w:r w:rsidR="00FB15C1" w:rsidRPr="00C66B9F">
        <w:rPr>
          <w:rFonts w:cs="Calibri"/>
        </w:rPr>
        <w:t>l NKÚ</w:t>
      </w:r>
      <w:r w:rsidRPr="00C66B9F">
        <w:rPr>
          <w:rFonts w:cs="Calibri"/>
        </w:rPr>
        <w:t xml:space="preserve"> se zaměřením na vyhodnocená rizika nesprávnosti vykázaných údajů.</w:t>
      </w:r>
    </w:p>
    <w:p w14:paraId="7316C5CD" w14:textId="77777777" w:rsidR="00F05073" w:rsidRPr="00187AEF" w:rsidRDefault="00F05073" w:rsidP="00F05073">
      <w:pPr>
        <w:spacing w:after="0"/>
        <w:jc w:val="both"/>
        <w:rPr>
          <w:rFonts w:eastAsiaTheme="minorHAnsi" w:cs="Calibri"/>
          <w:highlight w:val="red"/>
        </w:rPr>
      </w:pPr>
    </w:p>
    <w:p w14:paraId="4BAF43AE" w14:textId="77777777" w:rsidR="001C649A" w:rsidRPr="00C66B9F" w:rsidRDefault="00A640AE" w:rsidP="00F05073">
      <w:pPr>
        <w:spacing w:after="0"/>
        <w:jc w:val="both"/>
        <w:rPr>
          <w:rFonts w:eastAsiaTheme="minorHAnsi" w:cs="Calibri"/>
        </w:rPr>
      </w:pPr>
      <w:r w:rsidRPr="00C66B9F">
        <w:rPr>
          <w:rFonts w:eastAsiaTheme="minorHAnsi" w:cs="Calibri"/>
        </w:rPr>
        <w:t xml:space="preserve">U </w:t>
      </w:r>
      <w:r w:rsidR="007D0244" w:rsidRPr="00C66B9F">
        <w:rPr>
          <w:rFonts w:eastAsiaTheme="minorHAnsi" w:cs="Calibri"/>
        </w:rPr>
        <w:t xml:space="preserve">relevantních </w:t>
      </w:r>
      <w:r w:rsidRPr="00C66B9F">
        <w:rPr>
          <w:rFonts w:eastAsiaTheme="minorHAnsi" w:cs="Calibri"/>
        </w:rPr>
        <w:t xml:space="preserve">transakcí byl prověřován soulad </w:t>
      </w:r>
      <w:r w:rsidR="00243906" w:rsidRPr="00C66B9F">
        <w:rPr>
          <w:rFonts w:eastAsiaTheme="minorHAnsi" w:cs="Calibri"/>
        </w:rPr>
        <w:t>s</w:t>
      </w:r>
      <w:r w:rsidR="007D0244" w:rsidRPr="00C66B9F">
        <w:rPr>
          <w:rFonts w:eastAsiaTheme="minorHAnsi" w:cs="Calibri"/>
        </w:rPr>
        <w:t> vybranými ustanoveními</w:t>
      </w:r>
      <w:r w:rsidRPr="00C66B9F">
        <w:rPr>
          <w:rFonts w:eastAsiaTheme="minorHAnsi" w:cs="Calibri"/>
        </w:rPr>
        <w:t xml:space="preserve"> další</w:t>
      </w:r>
      <w:r w:rsidR="007D0244" w:rsidRPr="00C66B9F">
        <w:rPr>
          <w:rFonts w:eastAsiaTheme="minorHAnsi" w:cs="Calibri"/>
        </w:rPr>
        <w:t>ch</w:t>
      </w:r>
      <w:r w:rsidRPr="00C66B9F">
        <w:rPr>
          <w:rFonts w:eastAsiaTheme="minorHAnsi" w:cs="Calibri"/>
        </w:rPr>
        <w:t xml:space="preserve"> právní</w:t>
      </w:r>
      <w:r w:rsidR="007D0244" w:rsidRPr="00C66B9F">
        <w:rPr>
          <w:rFonts w:eastAsiaTheme="minorHAnsi" w:cs="Calibri"/>
        </w:rPr>
        <w:t>ch</w:t>
      </w:r>
      <w:r w:rsidRPr="00C66B9F">
        <w:rPr>
          <w:rFonts w:eastAsiaTheme="minorHAnsi" w:cs="Calibri"/>
        </w:rPr>
        <w:t xml:space="preserve"> předpis</w:t>
      </w:r>
      <w:r w:rsidR="007D0244" w:rsidRPr="00C66B9F">
        <w:rPr>
          <w:rFonts w:eastAsiaTheme="minorHAnsi" w:cs="Calibri"/>
        </w:rPr>
        <w:t>ů</w:t>
      </w:r>
      <w:r w:rsidR="001F1F57" w:rsidRPr="00C66B9F">
        <w:rPr>
          <w:rFonts w:eastAsiaTheme="minorHAnsi" w:cs="Calibri"/>
        </w:rPr>
        <w:t>,</w:t>
      </w:r>
      <w:r w:rsidRPr="00C66B9F">
        <w:rPr>
          <w:rFonts w:eastAsiaTheme="minorHAnsi" w:cs="Calibri"/>
        </w:rPr>
        <w:t xml:space="preserve"> a to zejména </w:t>
      </w:r>
      <w:r w:rsidR="00243906" w:rsidRPr="00C66B9F">
        <w:rPr>
          <w:rFonts w:eastAsiaTheme="minorHAnsi" w:cs="Calibri"/>
        </w:rPr>
        <w:t>s</w:t>
      </w:r>
      <w:r w:rsidR="001077EB" w:rsidRPr="00C66B9F">
        <w:rPr>
          <w:rFonts w:eastAsiaTheme="minorHAnsi" w:cs="Calibri"/>
        </w:rPr>
        <w:t xml:space="preserve"> ustanoveními rozpočtových pravidel a zákona </w:t>
      </w:r>
      <w:r w:rsidR="00C66B9F" w:rsidRPr="00C66B9F">
        <w:rPr>
          <w:rFonts w:eastAsiaTheme="minorHAnsi" w:cs="Calibri"/>
        </w:rPr>
        <w:t>o majetku</w:t>
      </w:r>
      <w:r w:rsidR="001077EB" w:rsidRPr="00C66B9F">
        <w:rPr>
          <w:rFonts w:eastAsiaTheme="minorHAnsi" w:cs="Calibri"/>
        </w:rPr>
        <w:t>.</w:t>
      </w:r>
    </w:p>
    <w:p w14:paraId="1DC44DF1" w14:textId="77777777" w:rsidR="00F05073" w:rsidRPr="00187AEF" w:rsidRDefault="00F05073" w:rsidP="00F05073">
      <w:pPr>
        <w:spacing w:after="0"/>
        <w:jc w:val="both"/>
        <w:rPr>
          <w:rFonts w:eastAsiaTheme="minorHAnsi" w:cs="Calibri"/>
          <w:highlight w:val="red"/>
        </w:rPr>
      </w:pPr>
    </w:p>
    <w:p w14:paraId="0EEEE754" w14:textId="77777777" w:rsidR="008F46EE" w:rsidRPr="002F62E6" w:rsidRDefault="00A640AE" w:rsidP="00F05073">
      <w:pPr>
        <w:spacing w:after="0"/>
        <w:jc w:val="both"/>
        <w:rPr>
          <w:rFonts w:eastAsiaTheme="minorHAnsi" w:cs="Calibri"/>
        </w:rPr>
      </w:pPr>
      <w:r w:rsidRPr="002F62E6">
        <w:rPr>
          <w:rFonts w:eastAsiaTheme="minorHAnsi" w:cs="Calibri"/>
        </w:rPr>
        <w:t>V</w:t>
      </w:r>
      <w:r w:rsidR="00E91FF5" w:rsidRPr="002F62E6">
        <w:rPr>
          <w:rFonts w:eastAsiaTheme="minorHAnsi" w:cs="Calibri"/>
        </w:rPr>
        <w:t> </w:t>
      </w:r>
      <w:r w:rsidRPr="002F62E6">
        <w:rPr>
          <w:rFonts w:eastAsiaTheme="minorHAnsi" w:cs="Calibri"/>
        </w:rPr>
        <w:t>případě</w:t>
      </w:r>
      <w:r w:rsidR="00E91FF5" w:rsidRPr="002F62E6">
        <w:rPr>
          <w:rFonts w:eastAsiaTheme="minorHAnsi" w:cs="Calibri"/>
        </w:rPr>
        <w:t xml:space="preserve"> nově</w:t>
      </w:r>
      <w:r w:rsidRPr="002F62E6">
        <w:rPr>
          <w:rFonts w:eastAsiaTheme="minorHAnsi" w:cs="Calibri"/>
        </w:rPr>
        <w:t xml:space="preserve"> uzavřených smluv </w:t>
      </w:r>
      <w:r w:rsidR="001077EB" w:rsidRPr="002F62E6">
        <w:rPr>
          <w:rFonts w:eastAsiaTheme="minorHAnsi" w:cs="Calibri"/>
        </w:rPr>
        <w:t xml:space="preserve">a objednávek </w:t>
      </w:r>
      <w:r w:rsidRPr="002F62E6">
        <w:rPr>
          <w:rFonts w:eastAsiaTheme="minorHAnsi" w:cs="Calibri"/>
        </w:rPr>
        <w:t xml:space="preserve">bylo </w:t>
      </w:r>
      <w:r w:rsidR="001077EB" w:rsidRPr="002F62E6">
        <w:rPr>
          <w:rFonts w:eastAsiaTheme="minorHAnsi" w:cs="Calibri"/>
        </w:rPr>
        <w:t>prověřováno</w:t>
      </w:r>
      <w:r w:rsidRPr="002F62E6">
        <w:rPr>
          <w:rFonts w:eastAsiaTheme="minorHAnsi" w:cs="Calibri"/>
        </w:rPr>
        <w:t xml:space="preserve"> </w:t>
      </w:r>
      <w:r w:rsidR="00E91FF5" w:rsidRPr="002F62E6">
        <w:rPr>
          <w:rFonts w:eastAsiaTheme="minorHAnsi" w:cs="Calibri"/>
        </w:rPr>
        <w:t>jejich uveřejn</w:t>
      </w:r>
      <w:r w:rsidR="00CD2142" w:rsidRPr="002F62E6">
        <w:rPr>
          <w:rFonts w:eastAsiaTheme="minorHAnsi" w:cs="Calibri"/>
        </w:rPr>
        <w:t>ění v registru smluv dle zák</w:t>
      </w:r>
      <w:r w:rsidR="00F14722" w:rsidRPr="002F62E6">
        <w:rPr>
          <w:rFonts w:eastAsiaTheme="minorHAnsi" w:cs="Calibri"/>
        </w:rPr>
        <w:t>ona</w:t>
      </w:r>
      <w:r w:rsidR="00FB6581" w:rsidRPr="002F62E6">
        <w:rPr>
          <w:rFonts w:eastAsiaTheme="minorHAnsi" w:cs="Calibri"/>
        </w:rPr>
        <w:t xml:space="preserve"> č. 340/2015 Sb., o zvláštních podmínkách účinnosti některých smluv, uveřejňování těchto smluv a o registru smluv (zákon o registru smluv).</w:t>
      </w:r>
    </w:p>
    <w:p w14:paraId="7E2D2DA5" w14:textId="77777777" w:rsidR="00F802FB" w:rsidRPr="00187AEF" w:rsidRDefault="00F802FB" w:rsidP="00F05073">
      <w:pPr>
        <w:spacing w:after="0"/>
        <w:jc w:val="both"/>
        <w:rPr>
          <w:rFonts w:eastAsiaTheme="minorHAnsi" w:cs="Calibri"/>
          <w:highlight w:val="red"/>
        </w:rPr>
      </w:pPr>
    </w:p>
    <w:p w14:paraId="263D129F" w14:textId="77777777" w:rsidR="00BF0440" w:rsidRPr="002F62E6" w:rsidRDefault="00A640AE" w:rsidP="00F05073">
      <w:pPr>
        <w:spacing w:after="0"/>
        <w:jc w:val="both"/>
        <w:rPr>
          <w:rFonts w:eastAsiaTheme="minorHAnsi" w:cs="Calibri"/>
        </w:rPr>
      </w:pPr>
      <w:r w:rsidRPr="002F62E6">
        <w:rPr>
          <w:rFonts w:eastAsiaTheme="minorHAnsi" w:cs="Calibri"/>
        </w:rPr>
        <w:t xml:space="preserve">Prověřován byl i soulad </w:t>
      </w:r>
      <w:r w:rsidRPr="002F62E6">
        <w:rPr>
          <w:rFonts w:eastAsiaTheme="minorHAnsi" w:cs="Calibri"/>
          <w:b/>
        </w:rPr>
        <w:t>nastavení v</w:t>
      </w:r>
      <w:r w:rsidR="00673AEF" w:rsidRPr="002F62E6">
        <w:rPr>
          <w:rFonts w:eastAsiaTheme="minorHAnsi" w:cs="Calibri"/>
          <w:b/>
        </w:rPr>
        <w:t>nitřního kontrolního systému</w:t>
      </w:r>
      <w:r w:rsidR="00673AEF" w:rsidRPr="002F62E6">
        <w:rPr>
          <w:rFonts w:eastAsiaTheme="minorHAnsi" w:cs="Calibri"/>
        </w:rPr>
        <w:t xml:space="preserve"> M</w:t>
      </w:r>
      <w:r w:rsidR="002F62E6" w:rsidRPr="002F62E6">
        <w:rPr>
          <w:rFonts w:eastAsiaTheme="minorHAnsi" w:cs="Calibri"/>
        </w:rPr>
        <w:t>MR</w:t>
      </w:r>
      <w:r w:rsidRPr="002F62E6">
        <w:rPr>
          <w:rFonts w:eastAsiaTheme="minorHAnsi" w:cs="Calibri"/>
        </w:rPr>
        <w:t xml:space="preserve"> s</w:t>
      </w:r>
      <w:r w:rsidR="008F46EE" w:rsidRPr="002F62E6">
        <w:rPr>
          <w:rFonts w:eastAsiaTheme="minorHAnsi" w:cs="Calibri"/>
        </w:rPr>
        <w:t xml:space="preserve">e zákonem o finanční kontrole a </w:t>
      </w:r>
      <w:r w:rsidR="004508AB" w:rsidRPr="002F62E6">
        <w:rPr>
          <w:rFonts w:eastAsiaTheme="minorHAnsi" w:cs="Calibri"/>
        </w:rPr>
        <w:t xml:space="preserve">jeho </w:t>
      </w:r>
      <w:r w:rsidR="008F46EE" w:rsidRPr="002F62E6">
        <w:rPr>
          <w:rFonts w:eastAsiaTheme="minorHAnsi" w:cs="Calibri"/>
        </w:rPr>
        <w:t>prováděcí vyhláškou</w:t>
      </w:r>
      <w:r w:rsidR="00A2472A" w:rsidRPr="002F62E6">
        <w:rPr>
          <w:rFonts w:eastAsiaTheme="minorHAnsi" w:cs="Calibri"/>
        </w:rPr>
        <w:t xml:space="preserve"> č. 416/2004 Sb., </w:t>
      </w:r>
      <w:r w:rsidR="00942B30" w:rsidRPr="002F62E6">
        <w:rPr>
          <w:rFonts w:eastAsiaTheme="minorHAnsi" w:cs="Calibri"/>
        </w:rPr>
        <w:t>kterou se provádí zákon č.</w:t>
      </w:r>
      <w:r w:rsidR="009E57D6" w:rsidRPr="002F62E6">
        <w:rPr>
          <w:rFonts w:eastAsiaTheme="minorHAnsi" w:cs="Calibri"/>
        </w:rPr>
        <w:t> </w:t>
      </w:r>
      <w:r w:rsidR="00942B30" w:rsidRPr="002F62E6">
        <w:rPr>
          <w:rFonts w:eastAsiaTheme="minorHAnsi" w:cs="Calibri"/>
        </w:rPr>
        <w:t>320/2001 Sb., o finanční kontrole ve veřejné správě a o změně některých zákonů (zákon o</w:t>
      </w:r>
      <w:r w:rsidR="009E57D6" w:rsidRPr="002F62E6">
        <w:rPr>
          <w:rFonts w:eastAsiaTheme="minorHAnsi" w:cs="Calibri"/>
        </w:rPr>
        <w:t> </w:t>
      </w:r>
      <w:r w:rsidR="00942B30" w:rsidRPr="002F62E6">
        <w:rPr>
          <w:rFonts w:eastAsiaTheme="minorHAnsi" w:cs="Calibri"/>
        </w:rPr>
        <w:t>finanční kontrole), ve znění zákona č. 309/2002 Sb., zákona č. 320/2002 Sb. a zákona č.</w:t>
      </w:r>
      <w:r w:rsidR="009E57D6" w:rsidRPr="002F62E6">
        <w:rPr>
          <w:rFonts w:eastAsiaTheme="minorHAnsi" w:cs="Calibri"/>
        </w:rPr>
        <w:t> </w:t>
      </w:r>
      <w:r w:rsidR="00942B30" w:rsidRPr="002F62E6">
        <w:rPr>
          <w:rFonts w:eastAsiaTheme="minorHAnsi" w:cs="Calibri"/>
        </w:rPr>
        <w:t>123/2003 Sb.,</w:t>
      </w:r>
      <w:r w:rsidR="005C411C" w:rsidRPr="002F62E6">
        <w:rPr>
          <w:rFonts w:eastAsiaTheme="minorHAnsi" w:cs="Calibri"/>
        </w:rPr>
        <w:t xml:space="preserve"> a </w:t>
      </w:r>
      <w:r w:rsidR="00F17530" w:rsidRPr="002F62E6">
        <w:rPr>
          <w:rFonts w:eastAsiaTheme="minorHAnsi" w:cs="Calibri"/>
        </w:rPr>
        <w:t>t</w:t>
      </w:r>
      <w:r w:rsidR="005C411C" w:rsidRPr="002F62E6">
        <w:rPr>
          <w:rFonts w:eastAsiaTheme="minorHAnsi" w:cs="Calibri"/>
        </w:rPr>
        <w:t>o v rozsahu stanoveného předmětu a cíle kontrolní akce</w:t>
      </w:r>
      <w:r w:rsidR="008F46EE" w:rsidRPr="002F62E6">
        <w:rPr>
          <w:rFonts w:eastAsiaTheme="minorHAnsi" w:cs="Calibri"/>
        </w:rPr>
        <w:t>.</w:t>
      </w:r>
      <w:r w:rsidR="00BD55A4" w:rsidRPr="002F62E6">
        <w:rPr>
          <w:rFonts w:eastAsiaTheme="minorHAnsi" w:cs="Calibri"/>
        </w:rPr>
        <w:t xml:space="preserve"> U vybraných transakcí </w:t>
      </w:r>
      <w:r w:rsidRPr="002F62E6">
        <w:rPr>
          <w:rFonts w:eastAsiaTheme="minorHAnsi" w:cs="Calibri"/>
        </w:rPr>
        <w:t>bylo prověřováno i provedení finanční kontroly a funkčnost vnitřního kontrolního systému.</w:t>
      </w:r>
    </w:p>
    <w:p w14:paraId="10002506" w14:textId="77777777" w:rsidR="00BF0440" w:rsidRPr="00187AEF" w:rsidRDefault="00BF0440" w:rsidP="00F05073">
      <w:pPr>
        <w:spacing w:after="0"/>
        <w:jc w:val="both"/>
        <w:rPr>
          <w:rFonts w:eastAsiaTheme="minorHAnsi" w:cs="Calibri"/>
          <w:highlight w:val="red"/>
        </w:rPr>
      </w:pPr>
    </w:p>
    <w:p w14:paraId="709900B0" w14:textId="5DA33699" w:rsidR="00F05073" w:rsidRPr="00B03EA6" w:rsidRDefault="00A640AE" w:rsidP="00F05073">
      <w:pPr>
        <w:spacing w:after="0"/>
        <w:jc w:val="both"/>
        <w:rPr>
          <w:rFonts w:eastAsiaTheme="minorHAnsi" w:cs="Calibri"/>
        </w:rPr>
      </w:pPr>
      <w:r w:rsidRPr="002F62E6">
        <w:rPr>
          <w:rFonts w:eastAsiaTheme="minorHAnsi" w:cs="Calibri"/>
        </w:rPr>
        <w:lastRenderedPageBreak/>
        <w:t xml:space="preserve">V rámci kontroly byla také </w:t>
      </w:r>
      <w:r w:rsidRPr="002F62E6">
        <w:rPr>
          <w:rFonts w:eastAsiaTheme="minorHAnsi" w:cs="Calibri"/>
          <w:b/>
        </w:rPr>
        <w:t xml:space="preserve">vyhodnocena opatření přijatá k nápravě nedostatků zjištěných v rámci </w:t>
      </w:r>
      <w:r w:rsidR="008E5E28">
        <w:rPr>
          <w:rFonts w:eastAsiaTheme="minorHAnsi" w:cs="Calibri"/>
          <w:b/>
        </w:rPr>
        <w:t>KA</w:t>
      </w:r>
      <w:r w:rsidRPr="002F62E6">
        <w:rPr>
          <w:rFonts w:eastAsiaTheme="minorHAnsi" w:cs="Calibri"/>
          <w:b/>
        </w:rPr>
        <w:t xml:space="preserve"> 1</w:t>
      </w:r>
      <w:r w:rsidR="002F62E6" w:rsidRPr="002F62E6">
        <w:rPr>
          <w:rFonts w:eastAsiaTheme="minorHAnsi" w:cs="Calibri"/>
          <w:b/>
        </w:rPr>
        <w:t>7/08</w:t>
      </w:r>
      <w:r w:rsidR="008A0176" w:rsidRPr="00F06243">
        <w:rPr>
          <w:rFonts w:eastAsiaTheme="minorHAnsi" w:cs="Calibri"/>
          <w:b/>
        </w:rPr>
        <w:t>.</w:t>
      </w:r>
    </w:p>
    <w:p w14:paraId="38BC51E7" w14:textId="77777777" w:rsidR="0093276B" w:rsidRPr="00187AEF" w:rsidRDefault="0093276B" w:rsidP="00F05073">
      <w:pPr>
        <w:spacing w:after="0"/>
        <w:jc w:val="both"/>
        <w:rPr>
          <w:rFonts w:eastAsiaTheme="minorHAnsi" w:cs="Calibri"/>
          <w:highlight w:val="red"/>
        </w:rPr>
      </w:pPr>
    </w:p>
    <w:p w14:paraId="4B39C02F" w14:textId="43472A4E" w:rsidR="00C1695F" w:rsidRDefault="00A640AE" w:rsidP="00BA10E7">
      <w:pPr>
        <w:spacing w:after="60"/>
        <w:jc w:val="both"/>
        <w:rPr>
          <w:lang w:eastAsia="cs-CZ"/>
        </w:rPr>
      </w:pPr>
      <w:r w:rsidRPr="002F62E6">
        <w:rPr>
          <w:rFonts w:cs="Calibri"/>
          <w:lang w:eastAsia="cs-CZ"/>
        </w:rPr>
        <w:t xml:space="preserve">Při kontrole </w:t>
      </w:r>
      <w:r w:rsidRPr="002F62E6">
        <w:rPr>
          <w:rFonts w:cs="Calibri"/>
          <w:b/>
          <w:lang w:eastAsia="cs-CZ"/>
        </w:rPr>
        <w:t>závěrečného účtu</w:t>
      </w:r>
      <w:r w:rsidRPr="002F62E6">
        <w:rPr>
          <w:rFonts w:cs="Calibri"/>
          <w:lang w:eastAsia="cs-CZ"/>
        </w:rPr>
        <w:t xml:space="preserve"> kapitoly </w:t>
      </w:r>
      <w:r w:rsidR="00DE6626" w:rsidRPr="002F62E6">
        <w:rPr>
          <w:rFonts w:cs="Calibri"/>
          <w:lang w:eastAsia="cs-CZ"/>
        </w:rPr>
        <w:t>3</w:t>
      </w:r>
      <w:r w:rsidR="002F62E6">
        <w:rPr>
          <w:rFonts w:cs="Calibri"/>
          <w:lang w:eastAsia="cs-CZ"/>
        </w:rPr>
        <w:t>17</w:t>
      </w:r>
      <w:r w:rsidR="00DE6626" w:rsidRPr="002F62E6">
        <w:rPr>
          <w:rFonts w:cs="Calibri"/>
          <w:lang w:eastAsia="cs-CZ"/>
        </w:rPr>
        <w:t xml:space="preserve"> </w:t>
      </w:r>
      <w:r w:rsidR="0093276B" w:rsidRPr="002F62E6">
        <w:rPr>
          <w:rFonts w:cs="Calibri"/>
          <w:lang w:eastAsia="cs-CZ"/>
        </w:rPr>
        <w:t>M</w:t>
      </w:r>
      <w:r w:rsidR="002F62E6">
        <w:rPr>
          <w:rFonts w:cs="Calibri"/>
          <w:lang w:eastAsia="cs-CZ"/>
        </w:rPr>
        <w:t>MR</w:t>
      </w:r>
      <w:r w:rsidRPr="002F62E6">
        <w:rPr>
          <w:rFonts w:cs="Calibri"/>
          <w:lang w:eastAsia="cs-CZ"/>
        </w:rPr>
        <w:t xml:space="preserve"> za rok 201</w:t>
      </w:r>
      <w:r w:rsidR="0093276B" w:rsidRPr="002F62E6">
        <w:rPr>
          <w:rFonts w:cs="Calibri"/>
          <w:lang w:eastAsia="cs-CZ"/>
        </w:rPr>
        <w:t>8 bylo prověřováno, zda je závěrečný účet v souladu s požadavky vyhlášky č. 419/2001 Sb.</w:t>
      </w:r>
      <w:r w:rsidR="00BA10E7">
        <w:rPr>
          <w:rFonts w:cs="Calibri"/>
          <w:lang w:eastAsia="cs-CZ"/>
        </w:rPr>
        <w:t xml:space="preserve"> i v souladu se skutečností, to </w:t>
      </w:r>
      <w:r w:rsidR="0093276B" w:rsidRPr="002F62E6">
        <w:rPr>
          <w:rFonts w:cs="Calibri"/>
          <w:lang w:eastAsia="cs-CZ"/>
        </w:rPr>
        <w:t>znamená, zda vybrané údaje uváděné v závěrečném účtu jsou správné a úplné ve srovnání s finančními výkazy, s údaji v</w:t>
      </w:r>
      <w:r w:rsidRPr="002F62E6">
        <w:rPr>
          <w:rFonts w:cs="Calibri"/>
          <w:lang w:eastAsia="cs-CZ"/>
        </w:rPr>
        <w:t> </w:t>
      </w:r>
      <w:r w:rsidR="0093276B" w:rsidRPr="002F62E6">
        <w:rPr>
          <w:rFonts w:cs="Calibri"/>
          <w:lang w:eastAsia="cs-CZ"/>
        </w:rPr>
        <w:t>účetnictví</w:t>
      </w:r>
      <w:r w:rsidRPr="002F62E6">
        <w:rPr>
          <w:rFonts w:cs="Calibri"/>
          <w:lang w:eastAsia="cs-CZ"/>
        </w:rPr>
        <w:t>, s údaji z účetních závěrek M</w:t>
      </w:r>
      <w:r w:rsidR="002F62E6">
        <w:rPr>
          <w:rFonts w:cs="Calibri"/>
          <w:lang w:eastAsia="cs-CZ"/>
        </w:rPr>
        <w:t>MR</w:t>
      </w:r>
      <w:r w:rsidRPr="002F62E6">
        <w:rPr>
          <w:rFonts w:cs="Calibri"/>
          <w:lang w:eastAsia="cs-CZ"/>
        </w:rPr>
        <w:t xml:space="preserve"> a podřízených organizací v rámci kapitoly státního rozpočtu 3</w:t>
      </w:r>
      <w:r w:rsidR="002F62E6">
        <w:rPr>
          <w:rFonts w:cs="Calibri"/>
          <w:lang w:eastAsia="cs-CZ"/>
        </w:rPr>
        <w:t>17</w:t>
      </w:r>
      <w:r w:rsidRPr="002F62E6">
        <w:rPr>
          <w:rFonts w:cs="Calibri"/>
          <w:lang w:eastAsia="cs-CZ"/>
        </w:rPr>
        <w:t>,</w:t>
      </w:r>
      <w:r w:rsidR="0093276B" w:rsidRPr="002F62E6">
        <w:rPr>
          <w:rFonts w:cs="Calibri"/>
          <w:lang w:eastAsia="cs-CZ"/>
        </w:rPr>
        <w:t xml:space="preserve"> s po</w:t>
      </w:r>
      <w:r w:rsidR="00420E03" w:rsidRPr="002F62E6">
        <w:rPr>
          <w:rFonts w:cs="Calibri"/>
          <w:lang w:eastAsia="cs-CZ"/>
        </w:rPr>
        <w:t>d</w:t>
      </w:r>
      <w:r w:rsidR="0093276B" w:rsidRPr="002F62E6">
        <w:rPr>
          <w:rFonts w:cs="Calibri"/>
          <w:lang w:eastAsia="cs-CZ"/>
        </w:rPr>
        <w:t>klady jednotlivýc</w:t>
      </w:r>
      <w:r w:rsidR="00014250" w:rsidRPr="002F62E6">
        <w:rPr>
          <w:rFonts w:cs="Calibri"/>
          <w:lang w:eastAsia="cs-CZ"/>
        </w:rPr>
        <w:t xml:space="preserve">h věcně příslušných </w:t>
      </w:r>
      <w:r w:rsidR="002F62E6">
        <w:rPr>
          <w:rFonts w:cs="Calibri"/>
          <w:lang w:eastAsia="cs-CZ"/>
        </w:rPr>
        <w:t>útvarů</w:t>
      </w:r>
      <w:r w:rsidR="00014250" w:rsidRPr="002F62E6">
        <w:rPr>
          <w:rFonts w:cs="Calibri"/>
          <w:lang w:eastAsia="cs-CZ"/>
        </w:rPr>
        <w:t xml:space="preserve"> M</w:t>
      </w:r>
      <w:r w:rsidR="002F62E6">
        <w:rPr>
          <w:rFonts w:cs="Calibri"/>
          <w:lang w:eastAsia="cs-CZ"/>
        </w:rPr>
        <w:t>MR</w:t>
      </w:r>
      <w:r w:rsidR="00014250" w:rsidRPr="002F62E6">
        <w:rPr>
          <w:rFonts w:cs="Calibri"/>
          <w:lang w:eastAsia="cs-CZ"/>
        </w:rPr>
        <w:t xml:space="preserve"> a </w:t>
      </w:r>
      <w:r w:rsidR="0093276B" w:rsidRPr="002F62E6">
        <w:rPr>
          <w:rFonts w:cs="Calibri"/>
          <w:lang w:eastAsia="cs-CZ"/>
        </w:rPr>
        <w:t>podřízených organizací</w:t>
      </w:r>
      <w:r w:rsidRPr="002F62E6">
        <w:rPr>
          <w:rFonts w:cs="Calibri"/>
          <w:lang w:eastAsia="cs-CZ"/>
        </w:rPr>
        <w:t xml:space="preserve"> a s </w:t>
      </w:r>
      <w:r w:rsidRPr="002F62E6">
        <w:rPr>
          <w:lang w:eastAsia="cs-CZ"/>
        </w:rPr>
        <w:t>jinými veřejně dostupnými zdroji</w:t>
      </w:r>
      <w:r w:rsidR="001B06A1" w:rsidRPr="002F62E6">
        <w:rPr>
          <w:lang w:eastAsia="cs-CZ"/>
        </w:rPr>
        <w:t>,</w:t>
      </w:r>
      <w:r w:rsidRPr="002F62E6">
        <w:rPr>
          <w:lang w:eastAsia="cs-CZ"/>
        </w:rPr>
        <w:t xml:space="preserve"> např. usneseními vlády ČR, veřejně přístupnými rejstříky apod.</w:t>
      </w:r>
    </w:p>
    <w:p w14:paraId="1C2ED698" w14:textId="77777777" w:rsidR="00006AE8" w:rsidRDefault="00006AE8" w:rsidP="00B03EA6">
      <w:pPr>
        <w:spacing w:after="0"/>
        <w:jc w:val="both"/>
        <w:rPr>
          <w:lang w:eastAsia="cs-CZ"/>
        </w:rPr>
      </w:pPr>
    </w:p>
    <w:p w14:paraId="1A08F7AC" w14:textId="77777777" w:rsidR="00006AE8" w:rsidRPr="00D16053" w:rsidRDefault="00006AE8" w:rsidP="00B03EA6">
      <w:pPr>
        <w:spacing w:after="0"/>
        <w:ind w:left="567" w:hanging="567"/>
        <w:jc w:val="both"/>
        <w:rPr>
          <w:rFonts w:asciiTheme="minorHAnsi" w:hAnsiTheme="minorHAnsi" w:cs="Calibri"/>
          <w:sz w:val="20"/>
          <w:szCs w:val="20"/>
        </w:rPr>
      </w:pPr>
      <w:r w:rsidRPr="00D16053">
        <w:rPr>
          <w:rFonts w:asciiTheme="minorHAnsi" w:hAnsiTheme="minorHAnsi" w:cs="Calibri"/>
          <w:b/>
          <w:sz w:val="20"/>
          <w:szCs w:val="20"/>
        </w:rPr>
        <w:t>Pozn.:</w:t>
      </w:r>
      <w:r w:rsidRPr="00D16053">
        <w:rPr>
          <w:rFonts w:asciiTheme="minorHAnsi" w:hAnsiTheme="minorHAnsi" w:cs="Calibri"/>
          <w:sz w:val="20"/>
          <w:szCs w:val="20"/>
        </w:rPr>
        <w:t xml:space="preserve"> </w:t>
      </w:r>
      <w:r w:rsidRPr="00D16053">
        <w:rPr>
          <w:rFonts w:asciiTheme="minorHAnsi" w:hAnsiTheme="minorHAnsi" w:cs="Calibri"/>
          <w:sz w:val="20"/>
          <w:szCs w:val="20"/>
        </w:rPr>
        <w:tab/>
        <w:t>Všechny právní předpisy uvedené v tomto kontrolním závěru jsou aplikovány ve znění účinném pro</w:t>
      </w:r>
      <w:r>
        <w:rPr>
          <w:rFonts w:asciiTheme="minorHAnsi" w:hAnsiTheme="minorHAnsi" w:cs="Calibri"/>
          <w:sz w:val="20"/>
          <w:szCs w:val="20"/>
        </w:rPr>
        <w:t> </w:t>
      </w:r>
      <w:r w:rsidRPr="00D16053">
        <w:rPr>
          <w:rFonts w:asciiTheme="minorHAnsi" w:hAnsiTheme="minorHAnsi" w:cs="Calibri"/>
          <w:sz w:val="20"/>
          <w:szCs w:val="20"/>
        </w:rPr>
        <w:t>kontrolované období.</w:t>
      </w:r>
    </w:p>
    <w:p w14:paraId="63E4510A" w14:textId="31190039" w:rsidR="00006AE8" w:rsidRDefault="00006AE8" w:rsidP="00B03EA6">
      <w:pPr>
        <w:spacing w:after="0"/>
        <w:jc w:val="both"/>
        <w:rPr>
          <w:lang w:eastAsia="cs-CZ"/>
        </w:rPr>
      </w:pPr>
    </w:p>
    <w:p w14:paraId="272A5796" w14:textId="77777777" w:rsidR="00B03EA6" w:rsidRDefault="00B03EA6" w:rsidP="00B03EA6">
      <w:pPr>
        <w:spacing w:after="0"/>
        <w:jc w:val="both"/>
        <w:rPr>
          <w:lang w:eastAsia="cs-CZ"/>
        </w:rPr>
      </w:pPr>
    </w:p>
    <w:p w14:paraId="018E957B" w14:textId="77777777" w:rsidR="0033466E" w:rsidRPr="002F62E6" w:rsidRDefault="00A640AE" w:rsidP="00CB541E">
      <w:pPr>
        <w:pStyle w:val="Nadpis1"/>
        <w:keepNext/>
        <w:spacing w:after="0" w:line="240" w:lineRule="auto"/>
        <w:rPr>
          <w:rFonts w:ascii="Calibri" w:hAnsi="Calibri" w:cs="Calibri"/>
          <w:sz w:val="24"/>
          <w:szCs w:val="24"/>
        </w:rPr>
      </w:pPr>
      <w:r w:rsidRPr="002F62E6">
        <w:rPr>
          <w:rFonts w:ascii="Calibri" w:hAnsi="Calibri" w:cs="Calibri"/>
          <w:szCs w:val="24"/>
        </w:rPr>
        <w:t>IV. Podrobné skutečnosti zjištěné kontrolou</w:t>
      </w:r>
    </w:p>
    <w:p w14:paraId="56095152" w14:textId="77777777" w:rsidR="00303DFA" w:rsidRPr="00187AEF" w:rsidRDefault="00303DFA" w:rsidP="00CB541E">
      <w:pPr>
        <w:keepNext/>
        <w:spacing w:after="0"/>
        <w:jc w:val="both"/>
        <w:rPr>
          <w:rFonts w:cs="Calibri"/>
          <w:highlight w:val="red"/>
        </w:rPr>
      </w:pPr>
    </w:p>
    <w:p w14:paraId="78AD95EF" w14:textId="1C8DCCFD" w:rsidR="00A7490F" w:rsidRPr="00EA0DB3" w:rsidRDefault="00183D64" w:rsidP="00183D64">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 xml:space="preserve">1. </w:t>
      </w:r>
      <w:r w:rsidR="00A640AE" w:rsidRPr="00EA0DB3">
        <w:rPr>
          <w:rFonts w:ascii="Calibri" w:hAnsi="Calibri" w:cs="Calibri"/>
          <w:lang w:eastAsia="cs-CZ"/>
        </w:rPr>
        <w:t>Nesprávnosti</w:t>
      </w:r>
      <w:r w:rsidR="005377D4" w:rsidRPr="00EA0DB3">
        <w:rPr>
          <w:rFonts w:ascii="Calibri" w:hAnsi="Calibri" w:cs="Calibri"/>
          <w:lang w:eastAsia="cs-CZ"/>
        </w:rPr>
        <w:t xml:space="preserve"> </w:t>
      </w:r>
      <w:r w:rsidR="00A640AE" w:rsidRPr="00EA0DB3">
        <w:rPr>
          <w:rFonts w:ascii="Calibri" w:hAnsi="Calibri" w:cs="Calibri"/>
          <w:lang w:eastAsia="cs-CZ"/>
        </w:rPr>
        <w:t>zjištěné v</w:t>
      </w:r>
      <w:r w:rsidR="005377D4" w:rsidRPr="00EA0DB3">
        <w:rPr>
          <w:rFonts w:ascii="Calibri" w:hAnsi="Calibri" w:cs="Calibri"/>
          <w:lang w:eastAsia="cs-CZ"/>
        </w:rPr>
        <w:t> </w:t>
      </w:r>
      <w:r w:rsidR="00A640AE" w:rsidRPr="00EA0DB3">
        <w:rPr>
          <w:rFonts w:ascii="Calibri" w:hAnsi="Calibri" w:cs="Calibri"/>
          <w:lang w:eastAsia="cs-CZ"/>
        </w:rPr>
        <w:t>účetnictví</w:t>
      </w:r>
      <w:r w:rsidR="00E14F49" w:rsidRPr="00EA0DB3">
        <w:rPr>
          <w:rFonts w:ascii="Calibri" w:hAnsi="Calibri" w:cs="Calibri"/>
          <w:lang w:eastAsia="cs-CZ"/>
        </w:rPr>
        <w:t xml:space="preserve"> </w:t>
      </w:r>
      <w:r w:rsidR="001B06A1" w:rsidRPr="00EA0DB3">
        <w:rPr>
          <w:rFonts w:ascii="Calibri" w:hAnsi="Calibri" w:cs="Calibri"/>
          <w:lang w:eastAsia="cs-CZ"/>
        </w:rPr>
        <w:t xml:space="preserve">a jejich </w:t>
      </w:r>
      <w:r w:rsidR="005377D4" w:rsidRPr="00EA0DB3">
        <w:rPr>
          <w:rFonts w:ascii="Calibri" w:hAnsi="Calibri" w:cs="Calibri"/>
          <w:lang w:eastAsia="cs-CZ"/>
        </w:rPr>
        <w:t>dopad na</w:t>
      </w:r>
      <w:r w:rsidR="00A640AE" w:rsidRPr="00EA0DB3">
        <w:rPr>
          <w:rFonts w:ascii="Calibri" w:hAnsi="Calibri" w:cs="Calibri"/>
          <w:lang w:eastAsia="cs-CZ"/>
        </w:rPr>
        <w:t xml:space="preserve"> účetní závěr</w:t>
      </w:r>
      <w:r w:rsidR="005377D4" w:rsidRPr="00EA0DB3">
        <w:rPr>
          <w:rFonts w:ascii="Calibri" w:hAnsi="Calibri" w:cs="Calibri"/>
          <w:lang w:eastAsia="cs-CZ"/>
        </w:rPr>
        <w:t>ku</w:t>
      </w:r>
      <w:r w:rsidR="00A640AE" w:rsidRPr="00EA0DB3">
        <w:rPr>
          <w:rFonts w:ascii="Calibri" w:hAnsi="Calibri" w:cs="Calibri"/>
          <w:lang w:eastAsia="cs-CZ"/>
        </w:rPr>
        <w:t xml:space="preserve"> </w:t>
      </w:r>
    </w:p>
    <w:p w14:paraId="4C3A9260" w14:textId="0AF9CABE" w:rsidR="00B93CEB" w:rsidRPr="00DA13E2" w:rsidRDefault="00B93CEB" w:rsidP="00B93CEB">
      <w:pPr>
        <w:spacing w:after="0"/>
        <w:jc w:val="both"/>
        <w:rPr>
          <w:rFonts w:asciiTheme="minorHAnsi" w:hAnsiTheme="minorHAnsi" w:cstheme="minorHAnsi"/>
          <w:b/>
        </w:rPr>
      </w:pPr>
      <w:r w:rsidRPr="00BE1F53">
        <w:rPr>
          <w:rFonts w:asciiTheme="minorHAnsi" w:hAnsiTheme="minorHAnsi" w:cstheme="minorHAnsi"/>
          <w:spacing w:val="-2"/>
        </w:rPr>
        <w:t>Kontrolou byly zjištěny nesprávnosti u jednotlivých položek ÚZ v návaznosti na jejich obsahové</w:t>
      </w:r>
      <w:r w:rsidRPr="00BE1F53">
        <w:rPr>
          <w:rFonts w:asciiTheme="minorHAnsi" w:hAnsiTheme="minorHAnsi" w:cstheme="minorHAnsi"/>
        </w:rPr>
        <w:t xml:space="preserve"> vymezení </w:t>
      </w:r>
      <w:r w:rsidR="00BD0DA4">
        <w:rPr>
          <w:rFonts w:asciiTheme="minorHAnsi" w:hAnsiTheme="minorHAnsi" w:cstheme="minorHAnsi"/>
        </w:rPr>
        <w:t>podle vyhlášky č. 410/2009 Sb</w:t>
      </w:r>
      <w:r w:rsidRPr="00BE1F53">
        <w:rPr>
          <w:rFonts w:asciiTheme="minorHAnsi" w:hAnsiTheme="minorHAnsi" w:cstheme="minorHAnsi"/>
        </w:rPr>
        <w:t>.</w:t>
      </w:r>
      <w:r w:rsidR="0090721E">
        <w:rPr>
          <w:rFonts w:asciiTheme="minorHAnsi" w:hAnsiTheme="minorHAnsi" w:cstheme="minorHAnsi"/>
        </w:rPr>
        <w:t>, kterou se provádějí některá ustanovení z</w:t>
      </w:r>
      <w:r w:rsidR="005F4DAE">
        <w:rPr>
          <w:rFonts w:asciiTheme="minorHAnsi" w:hAnsiTheme="minorHAnsi" w:cstheme="minorHAnsi"/>
        </w:rPr>
        <w:t>ákona č. </w:t>
      </w:r>
      <w:r w:rsidR="0090721E">
        <w:rPr>
          <w:rFonts w:asciiTheme="minorHAnsi" w:hAnsiTheme="minorHAnsi" w:cstheme="minorHAnsi"/>
        </w:rPr>
        <w:t>563/1991 Sb., o účetnictví, ve znění pozdějších předpisů, pro některé vybrané účetní jednotky.</w:t>
      </w:r>
      <w:r w:rsidRPr="00BE1F53">
        <w:rPr>
          <w:rFonts w:asciiTheme="minorHAnsi" w:hAnsiTheme="minorHAnsi" w:cstheme="minorHAnsi"/>
        </w:rPr>
        <w:t xml:space="preserve"> Tyto nesprávnosti vznikly nesprávnou aplikací účetních metod a nedodržením některých dalších podmínek stanovených pro vedení účetnictví právními předpisy.</w:t>
      </w:r>
      <w:r w:rsidR="004B4069">
        <w:rPr>
          <w:rFonts w:asciiTheme="minorHAnsi" w:hAnsiTheme="minorHAnsi" w:cstheme="minorHAnsi"/>
        </w:rPr>
        <w:t xml:space="preserve"> </w:t>
      </w:r>
      <w:r w:rsidR="004B4069" w:rsidRPr="00DA13E2">
        <w:rPr>
          <w:rFonts w:asciiTheme="minorHAnsi" w:hAnsiTheme="minorHAnsi" w:cstheme="minorHAnsi"/>
          <w:b/>
        </w:rPr>
        <w:t>V důsledku těchto nesprávností podalo MMR uživatelům ÚZ v níže uvedených případech významně zkreslené a nesprávné informace, které nebyly v souladu se skutečností.</w:t>
      </w:r>
    </w:p>
    <w:p w14:paraId="7E0E5BC4" w14:textId="77777777" w:rsidR="00B93CEB" w:rsidRDefault="00B93CEB" w:rsidP="00B93CEB">
      <w:pPr>
        <w:spacing w:after="0"/>
        <w:jc w:val="both"/>
        <w:rPr>
          <w:lang w:eastAsia="cs-CZ"/>
        </w:rPr>
      </w:pPr>
    </w:p>
    <w:p w14:paraId="07E367D1" w14:textId="77777777" w:rsidR="00DA7442" w:rsidRPr="00DA7442" w:rsidRDefault="00B93CEB" w:rsidP="00B93CEB">
      <w:pPr>
        <w:spacing w:after="0"/>
        <w:jc w:val="both"/>
        <w:rPr>
          <w:lang w:eastAsia="cs-CZ"/>
        </w:rPr>
      </w:pPr>
      <w:r>
        <w:rPr>
          <w:lang w:eastAsia="cs-CZ"/>
        </w:rPr>
        <w:t>D</w:t>
      </w:r>
      <w:r w:rsidR="00DA7442" w:rsidRPr="00EA0DB3">
        <w:rPr>
          <w:lang w:eastAsia="cs-CZ"/>
        </w:rPr>
        <w:t>opad</w:t>
      </w:r>
      <w:r>
        <w:rPr>
          <w:lang w:eastAsia="cs-CZ"/>
        </w:rPr>
        <w:t xml:space="preserve"> zjištěných a vyčíslených nesprávností</w:t>
      </w:r>
      <w:r w:rsidR="00DA7442" w:rsidRPr="00EA0DB3">
        <w:rPr>
          <w:lang w:eastAsia="cs-CZ"/>
        </w:rPr>
        <w:t xml:space="preserve"> na jednotlivé části ÚZ zobrazuje následující tabulka.</w:t>
      </w:r>
    </w:p>
    <w:p w14:paraId="3A1268E9" w14:textId="77777777" w:rsidR="00DA7442" w:rsidRDefault="00DA7442" w:rsidP="00B93CEB">
      <w:pPr>
        <w:shd w:val="clear" w:color="auto" w:fill="FFFFFF" w:themeFill="background1"/>
        <w:tabs>
          <w:tab w:val="right" w:pos="9072"/>
        </w:tabs>
        <w:spacing w:after="0"/>
        <w:jc w:val="both"/>
        <w:rPr>
          <w:rFonts w:eastAsiaTheme="minorHAnsi" w:cs="Calibri"/>
          <w:b/>
        </w:rPr>
      </w:pPr>
    </w:p>
    <w:p w14:paraId="6F4F7E05" w14:textId="2B755B8D" w:rsidR="00DA7442" w:rsidRPr="00F16E98" w:rsidRDefault="00DA7442" w:rsidP="00EA1F6B">
      <w:pPr>
        <w:shd w:val="clear" w:color="auto" w:fill="FFFFFF" w:themeFill="background1"/>
        <w:tabs>
          <w:tab w:val="right" w:pos="9072"/>
        </w:tabs>
        <w:spacing w:after="40"/>
        <w:jc w:val="both"/>
        <w:rPr>
          <w:rFonts w:eastAsiaTheme="minorHAnsi" w:cs="Calibri"/>
          <w:b/>
        </w:rPr>
      </w:pPr>
      <w:r w:rsidRPr="00F16E98">
        <w:rPr>
          <w:rFonts w:eastAsiaTheme="minorHAnsi" w:cs="Calibri"/>
          <w:b/>
        </w:rPr>
        <w:t xml:space="preserve">Tabulka č. </w:t>
      </w:r>
      <w:r w:rsidR="009B60D4">
        <w:rPr>
          <w:rFonts w:eastAsiaTheme="minorHAnsi" w:cs="Calibri"/>
          <w:b/>
        </w:rPr>
        <w:t>4</w:t>
      </w:r>
      <w:r w:rsidRPr="00F16E98">
        <w:rPr>
          <w:rFonts w:eastAsiaTheme="minorHAnsi" w:cs="Calibri"/>
          <w:b/>
        </w:rPr>
        <w:t>: Přehled vyčíslených nesprávností zjištěných v jednotlivých částech ÚZ (v tis. Kč)</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000000" w:themeColor="text1"/>
          <w:insideV w:val="single" w:sz="8" w:space="0" w:color="auto"/>
        </w:tblBorders>
        <w:tblCellMar>
          <w:left w:w="0" w:type="dxa"/>
          <w:right w:w="0" w:type="dxa"/>
        </w:tblCellMar>
        <w:tblLook w:val="04A0" w:firstRow="1" w:lastRow="0" w:firstColumn="1" w:lastColumn="0" w:noHBand="0" w:noVBand="1"/>
      </w:tblPr>
      <w:tblGrid>
        <w:gridCol w:w="5160"/>
        <w:gridCol w:w="3912"/>
      </w:tblGrid>
      <w:tr w:rsidR="00DA7442" w:rsidRPr="002F62E6" w14:paraId="0F6F916A" w14:textId="77777777" w:rsidTr="00B03EA6">
        <w:trPr>
          <w:trHeight w:val="300"/>
        </w:trPr>
        <w:tc>
          <w:tcPr>
            <w:tcW w:w="9072" w:type="dxa"/>
            <w:gridSpan w:val="2"/>
            <w:tcBorders>
              <w:bottom w:val="single" w:sz="4" w:space="0" w:color="000000" w:themeColor="text1"/>
            </w:tcBorders>
            <w:shd w:val="clear" w:color="auto" w:fill="E5F1FF"/>
            <w:tcMar>
              <w:top w:w="0" w:type="dxa"/>
              <w:left w:w="70" w:type="dxa"/>
              <w:bottom w:w="0" w:type="dxa"/>
              <w:right w:w="70" w:type="dxa"/>
            </w:tcMar>
            <w:vAlign w:val="center"/>
            <w:hideMark/>
          </w:tcPr>
          <w:p w14:paraId="57A27BAD" w14:textId="77777777" w:rsidR="00DA7442" w:rsidRPr="00F16E98" w:rsidRDefault="00DA7442" w:rsidP="00B53D75">
            <w:pPr>
              <w:spacing w:after="0"/>
              <w:jc w:val="center"/>
              <w:rPr>
                <w:rFonts w:asciiTheme="minorHAnsi" w:eastAsiaTheme="minorHAnsi" w:hAnsiTheme="minorHAnsi" w:cs="Calibri"/>
                <w:b/>
                <w:bCs/>
                <w:color w:val="000000"/>
                <w:sz w:val="20"/>
                <w:szCs w:val="22"/>
                <w:lang w:eastAsia="cs-CZ"/>
              </w:rPr>
            </w:pPr>
            <w:r w:rsidRPr="00F16E98">
              <w:rPr>
                <w:rFonts w:asciiTheme="minorHAnsi" w:eastAsiaTheme="minorHAnsi" w:hAnsiTheme="minorHAnsi" w:cs="Calibri"/>
                <w:b/>
                <w:bCs/>
                <w:color w:val="000000"/>
                <w:sz w:val="20"/>
                <w:szCs w:val="22"/>
                <w:lang w:eastAsia="cs-CZ"/>
              </w:rPr>
              <w:t>Nesprávnost v účetní závěrce</w:t>
            </w:r>
          </w:p>
        </w:tc>
      </w:tr>
      <w:tr w:rsidR="00DA7442" w:rsidRPr="002F62E6" w14:paraId="3BA7F310" w14:textId="77777777" w:rsidTr="00B03EA6">
        <w:trPr>
          <w:trHeight w:val="300"/>
        </w:trPr>
        <w:tc>
          <w:tcPr>
            <w:tcW w:w="5160" w:type="dxa"/>
            <w:tcBorders>
              <w:top w:val="single" w:sz="4" w:space="0" w:color="000000" w:themeColor="text1"/>
              <w:bottom w:val="single" w:sz="4" w:space="0" w:color="000000" w:themeColor="text1"/>
              <w:right w:val="single" w:sz="4" w:space="0" w:color="000000" w:themeColor="text1"/>
            </w:tcBorders>
            <w:shd w:val="clear" w:color="auto" w:fill="E5F1FF"/>
            <w:vAlign w:val="center"/>
            <w:hideMark/>
          </w:tcPr>
          <w:p w14:paraId="462A42C2" w14:textId="77777777" w:rsidR="00DA7442" w:rsidRPr="00F16E98" w:rsidRDefault="00DA7442" w:rsidP="00B53D75">
            <w:pPr>
              <w:spacing w:after="0"/>
              <w:jc w:val="center"/>
              <w:rPr>
                <w:rFonts w:asciiTheme="minorHAnsi" w:eastAsiaTheme="minorHAnsi" w:hAnsiTheme="minorHAnsi" w:cs="Calibri"/>
                <w:bCs/>
                <w:color w:val="000000"/>
                <w:sz w:val="20"/>
                <w:szCs w:val="22"/>
                <w:lang w:eastAsia="cs-CZ"/>
              </w:rPr>
            </w:pPr>
            <w:r w:rsidRPr="00F16E98">
              <w:rPr>
                <w:rFonts w:asciiTheme="minorHAnsi" w:eastAsiaTheme="minorHAnsi" w:hAnsiTheme="minorHAnsi" w:cs="Calibri"/>
                <w:b/>
                <w:bCs/>
                <w:color w:val="000000"/>
                <w:sz w:val="20"/>
                <w:szCs w:val="22"/>
                <w:lang w:eastAsia="cs-CZ"/>
              </w:rPr>
              <w:t>Výkaz</w:t>
            </w:r>
          </w:p>
        </w:tc>
        <w:tc>
          <w:tcPr>
            <w:tcW w:w="3912" w:type="dxa"/>
            <w:tcBorders>
              <w:top w:val="single" w:sz="4" w:space="0" w:color="000000" w:themeColor="text1"/>
              <w:left w:val="single" w:sz="4" w:space="0" w:color="000000" w:themeColor="text1"/>
              <w:bottom w:val="single" w:sz="4" w:space="0" w:color="000000" w:themeColor="text1"/>
            </w:tcBorders>
            <w:shd w:val="clear" w:color="auto" w:fill="E5F1FF"/>
            <w:vAlign w:val="center"/>
            <w:hideMark/>
          </w:tcPr>
          <w:p w14:paraId="5E4FEF9B" w14:textId="77777777" w:rsidR="00DA7442" w:rsidRPr="002F62E6" w:rsidRDefault="00DA7442" w:rsidP="00B53D75">
            <w:pPr>
              <w:spacing w:after="0"/>
              <w:jc w:val="center"/>
              <w:rPr>
                <w:rFonts w:asciiTheme="minorHAnsi" w:eastAsiaTheme="minorHAnsi" w:hAnsiTheme="minorHAnsi" w:cs="Calibri"/>
                <w:bCs/>
                <w:color w:val="000000"/>
                <w:sz w:val="20"/>
                <w:szCs w:val="22"/>
                <w:highlight w:val="red"/>
                <w:lang w:eastAsia="cs-CZ"/>
              </w:rPr>
            </w:pPr>
            <w:r w:rsidRPr="00F16E98">
              <w:rPr>
                <w:rFonts w:asciiTheme="minorHAnsi" w:eastAsiaTheme="minorHAnsi" w:hAnsiTheme="minorHAnsi" w:cs="Calibri"/>
                <w:b/>
                <w:bCs/>
                <w:color w:val="000000"/>
                <w:sz w:val="20"/>
                <w:szCs w:val="22"/>
                <w:lang w:eastAsia="cs-CZ"/>
              </w:rPr>
              <w:t>Celková nesprávnost</w:t>
            </w:r>
          </w:p>
        </w:tc>
      </w:tr>
      <w:tr w:rsidR="00DA7442" w:rsidRPr="002F62E6" w14:paraId="05C23F96" w14:textId="77777777" w:rsidTr="00B03EA6">
        <w:trPr>
          <w:trHeight w:val="300"/>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352479EA" w14:textId="77777777" w:rsidR="00DA7442" w:rsidRPr="00F16E98" w:rsidRDefault="00DA7442" w:rsidP="00B53D75">
            <w:pPr>
              <w:spacing w:after="0"/>
              <w:rPr>
                <w:rFonts w:asciiTheme="minorHAnsi" w:eastAsiaTheme="minorHAnsi" w:hAnsiTheme="minorHAnsi" w:cs="Calibri"/>
                <w:b/>
                <w:bCs/>
                <w:color w:val="000000"/>
                <w:sz w:val="20"/>
                <w:szCs w:val="22"/>
                <w:lang w:eastAsia="cs-CZ"/>
              </w:rPr>
            </w:pPr>
            <w:r w:rsidRPr="00F16E98">
              <w:rPr>
                <w:rFonts w:asciiTheme="minorHAnsi" w:eastAsiaTheme="minorHAnsi" w:hAnsiTheme="minorHAnsi" w:cs="Calibri"/>
                <w:b/>
                <w:bCs/>
                <w:color w:val="000000"/>
                <w:sz w:val="20"/>
                <w:szCs w:val="22"/>
                <w:lang w:eastAsia="cs-CZ"/>
              </w:rPr>
              <w:t>CELKOVÁ NESPRÁVNOST V ÚČETNÍ ZÁVĚRCE</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5365DC53" w14:textId="77777777" w:rsidR="00DA7442" w:rsidRPr="002F62E6" w:rsidRDefault="00F16E98" w:rsidP="00B53D75">
            <w:pPr>
              <w:spacing w:after="0"/>
              <w:ind w:right="1057"/>
              <w:jc w:val="right"/>
              <w:rPr>
                <w:rFonts w:asciiTheme="minorHAnsi" w:eastAsiaTheme="minorHAnsi" w:hAnsiTheme="minorHAnsi" w:cs="Calibri"/>
                <w:b/>
                <w:bCs/>
                <w:color w:val="000000"/>
                <w:sz w:val="20"/>
                <w:szCs w:val="22"/>
                <w:highlight w:val="red"/>
                <w:lang w:eastAsia="cs-CZ"/>
              </w:rPr>
            </w:pPr>
            <w:r w:rsidRPr="00F16E98">
              <w:rPr>
                <w:rFonts w:asciiTheme="minorHAnsi" w:eastAsiaTheme="minorHAnsi" w:hAnsiTheme="minorHAnsi" w:cs="Calibri"/>
                <w:b/>
                <w:bCs/>
                <w:color w:val="000000"/>
                <w:sz w:val="20"/>
                <w:szCs w:val="22"/>
                <w:lang w:eastAsia="cs-CZ"/>
              </w:rPr>
              <w:t>5 424 572</w:t>
            </w:r>
          </w:p>
        </w:tc>
      </w:tr>
      <w:tr w:rsidR="00DA7442" w:rsidRPr="002F62E6" w14:paraId="3BA8D384" w14:textId="77777777" w:rsidTr="00B03EA6">
        <w:trPr>
          <w:trHeight w:val="300"/>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080E1265" w14:textId="77777777" w:rsidR="00DA7442" w:rsidRPr="00F16E98" w:rsidRDefault="00DA7442" w:rsidP="00B53D75">
            <w:pPr>
              <w:spacing w:after="0"/>
              <w:rPr>
                <w:rFonts w:asciiTheme="minorHAnsi" w:eastAsiaTheme="minorHAnsi" w:hAnsiTheme="minorHAnsi" w:cs="Calibri"/>
                <w:bCs/>
                <w:color w:val="000000"/>
                <w:sz w:val="20"/>
                <w:szCs w:val="22"/>
                <w:lang w:eastAsia="cs-CZ"/>
              </w:rPr>
            </w:pPr>
            <w:r w:rsidRPr="00F16E98">
              <w:rPr>
                <w:rFonts w:asciiTheme="minorHAnsi" w:eastAsiaTheme="minorHAnsi" w:hAnsiTheme="minorHAnsi" w:cs="Calibri"/>
                <w:bCs/>
                <w:color w:val="000000"/>
                <w:sz w:val="20"/>
                <w:szCs w:val="22"/>
                <w:lang w:eastAsia="cs-CZ"/>
              </w:rPr>
              <w:t>Rozvaha</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1EE46950" w14:textId="77777777" w:rsidR="00DA7442" w:rsidRPr="002F62E6" w:rsidRDefault="00F16E98" w:rsidP="00A97504">
            <w:pPr>
              <w:spacing w:after="0"/>
              <w:ind w:right="1057"/>
              <w:jc w:val="right"/>
              <w:rPr>
                <w:rFonts w:asciiTheme="minorHAnsi" w:eastAsiaTheme="minorHAnsi" w:hAnsiTheme="minorHAnsi" w:cs="Calibri"/>
                <w:bCs/>
                <w:color w:val="000000"/>
                <w:sz w:val="20"/>
                <w:szCs w:val="22"/>
                <w:highlight w:val="red"/>
                <w:lang w:eastAsia="cs-CZ"/>
              </w:rPr>
            </w:pPr>
            <w:r w:rsidRPr="00F16E98">
              <w:rPr>
                <w:rFonts w:asciiTheme="minorHAnsi" w:eastAsiaTheme="minorHAnsi" w:hAnsiTheme="minorHAnsi" w:cs="Calibri"/>
                <w:bCs/>
                <w:color w:val="000000"/>
                <w:sz w:val="20"/>
                <w:szCs w:val="22"/>
                <w:lang w:eastAsia="cs-CZ"/>
              </w:rPr>
              <w:t>3 912 020</w:t>
            </w:r>
          </w:p>
        </w:tc>
      </w:tr>
      <w:tr w:rsidR="00DA7442" w:rsidRPr="002F62E6" w14:paraId="06FEC1D3" w14:textId="77777777" w:rsidTr="00B03EA6">
        <w:trPr>
          <w:trHeight w:val="300"/>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56C7444C" w14:textId="77777777" w:rsidR="00DA7442" w:rsidRPr="00F16E98" w:rsidRDefault="00DA7442" w:rsidP="00B53D75">
            <w:pPr>
              <w:spacing w:after="0"/>
              <w:rPr>
                <w:rFonts w:asciiTheme="minorHAnsi" w:eastAsiaTheme="minorHAnsi" w:hAnsiTheme="minorHAnsi" w:cs="Calibri"/>
                <w:bCs/>
                <w:color w:val="000000"/>
                <w:sz w:val="20"/>
                <w:szCs w:val="22"/>
                <w:lang w:eastAsia="cs-CZ"/>
              </w:rPr>
            </w:pPr>
            <w:r w:rsidRPr="00F16E98">
              <w:rPr>
                <w:rFonts w:asciiTheme="minorHAnsi" w:eastAsiaTheme="minorHAnsi" w:hAnsiTheme="minorHAnsi" w:cs="Calibri"/>
                <w:bCs/>
                <w:color w:val="000000"/>
                <w:sz w:val="20"/>
                <w:szCs w:val="22"/>
                <w:lang w:eastAsia="cs-CZ"/>
              </w:rPr>
              <w:t>Výkaz zisku a ztráty</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3593ED2E" w14:textId="77777777" w:rsidR="00DA7442" w:rsidRPr="002F62E6" w:rsidRDefault="00F16E98" w:rsidP="00B53D75">
            <w:pPr>
              <w:spacing w:after="0"/>
              <w:ind w:right="1057"/>
              <w:jc w:val="right"/>
              <w:rPr>
                <w:rFonts w:asciiTheme="minorHAnsi" w:eastAsiaTheme="minorHAnsi" w:hAnsiTheme="minorHAnsi" w:cs="Calibri"/>
                <w:bCs/>
                <w:color w:val="000000"/>
                <w:sz w:val="20"/>
                <w:szCs w:val="22"/>
                <w:highlight w:val="red"/>
                <w:lang w:eastAsia="cs-CZ"/>
              </w:rPr>
            </w:pPr>
            <w:r w:rsidRPr="00F16E98">
              <w:rPr>
                <w:rFonts w:asciiTheme="minorHAnsi" w:eastAsiaTheme="minorHAnsi" w:hAnsiTheme="minorHAnsi" w:cs="Calibri"/>
                <w:bCs/>
                <w:color w:val="000000"/>
                <w:sz w:val="20"/>
                <w:szCs w:val="22"/>
                <w:lang w:eastAsia="cs-CZ"/>
              </w:rPr>
              <w:t>890 234</w:t>
            </w:r>
          </w:p>
        </w:tc>
      </w:tr>
      <w:tr w:rsidR="00DA7442" w:rsidRPr="002F62E6" w14:paraId="1A51BEA1" w14:textId="77777777" w:rsidTr="00B03EA6">
        <w:trPr>
          <w:trHeight w:val="300"/>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tcPr>
          <w:p w14:paraId="765E7365" w14:textId="77777777" w:rsidR="00DA7442" w:rsidRPr="00F16E98" w:rsidRDefault="00DA7442" w:rsidP="00B53D75">
            <w:pPr>
              <w:spacing w:after="0"/>
              <w:rPr>
                <w:rFonts w:asciiTheme="minorHAnsi" w:eastAsiaTheme="minorHAnsi" w:hAnsiTheme="minorHAnsi" w:cs="Calibri"/>
                <w:bCs/>
                <w:color w:val="000000"/>
                <w:sz w:val="20"/>
                <w:szCs w:val="22"/>
                <w:lang w:eastAsia="cs-CZ"/>
              </w:rPr>
            </w:pPr>
            <w:r w:rsidRPr="00F16E98">
              <w:rPr>
                <w:rFonts w:asciiTheme="minorHAnsi" w:eastAsiaTheme="minorHAnsi" w:hAnsiTheme="minorHAnsi" w:cs="Calibri"/>
                <w:bCs/>
                <w:color w:val="000000"/>
                <w:sz w:val="20"/>
                <w:szCs w:val="22"/>
                <w:lang w:eastAsia="cs-CZ"/>
              </w:rPr>
              <w:t>Přehled o peněžních tocích</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207DEF4A" w14:textId="77777777" w:rsidR="00DA7442" w:rsidRPr="002F62E6" w:rsidRDefault="00F16E98" w:rsidP="00B53D75">
            <w:pPr>
              <w:spacing w:after="0"/>
              <w:ind w:right="1057"/>
              <w:jc w:val="right"/>
              <w:rPr>
                <w:rFonts w:asciiTheme="minorHAnsi" w:eastAsiaTheme="minorHAnsi" w:hAnsiTheme="minorHAnsi" w:cs="Calibri"/>
                <w:bCs/>
                <w:color w:val="000000"/>
                <w:sz w:val="20"/>
                <w:szCs w:val="22"/>
                <w:highlight w:val="red"/>
                <w:lang w:eastAsia="cs-CZ"/>
              </w:rPr>
            </w:pPr>
            <w:r w:rsidRPr="00F16E98">
              <w:rPr>
                <w:rFonts w:asciiTheme="minorHAnsi" w:eastAsiaTheme="minorHAnsi" w:hAnsiTheme="minorHAnsi" w:cs="Calibri"/>
                <w:bCs/>
                <w:color w:val="000000"/>
                <w:sz w:val="20"/>
                <w:szCs w:val="22"/>
                <w:lang w:eastAsia="cs-CZ"/>
              </w:rPr>
              <w:t>6 482</w:t>
            </w:r>
          </w:p>
        </w:tc>
      </w:tr>
      <w:tr w:rsidR="00DA7442" w:rsidRPr="002F62E6" w14:paraId="57E4486D" w14:textId="77777777" w:rsidTr="00B03EA6">
        <w:trPr>
          <w:trHeight w:val="300"/>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4D0AEAAC" w14:textId="77777777" w:rsidR="00DA7442" w:rsidRPr="00F16E98" w:rsidRDefault="00DA7442" w:rsidP="00B53D75">
            <w:pPr>
              <w:spacing w:after="0"/>
              <w:rPr>
                <w:rFonts w:asciiTheme="minorHAnsi" w:eastAsiaTheme="minorHAnsi" w:hAnsiTheme="minorHAnsi" w:cs="Calibri"/>
                <w:bCs/>
                <w:color w:val="000000"/>
                <w:sz w:val="20"/>
                <w:szCs w:val="22"/>
                <w:lang w:eastAsia="cs-CZ"/>
              </w:rPr>
            </w:pPr>
            <w:r w:rsidRPr="00F16E98">
              <w:rPr>
                <w:rFonts w:asciiTheme="minorHAnsi" w:eastAsiaTheme="minorHAnsi" w:hAnsiTheme="minorHAnsi" w:cs="Calibri"/>
                <w:bCs/>
                <w:color w:val="000000"/>
                <w:sz w:val="20"/>
                <w:szCs w:val="22"/>
                <w:lang w:eastAsia="cs-CZ"/>
              </w:rPr>
              <w:t>Přehled o změnách vlastního kapitálu</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36D9AD90" w14:textId="77777777" w:rsidR="00DA7442" w:rsidRPr="002F62E6" w:rsidRDefault="00F16E98" w:rsidP="00B53D75">
            <w:pPr>
              <w:spacing w:after="0"/>
              <w:ind w:right="1057"/>
              <w:jc w:val="right"/>
              <w:rPr>
                <w:rFonts w:asciiTheme="minorHAnsi" w:eastAsiaTheme="minorHAnsi" w:hAnsiTheme="minorHAnsi" w:cs="Calibri"/>
                <w:bCs/>
                <w:color w:val="000000"/>
                <w:sz w:val="20"/>
                <w:szCs w:val="22"/>
                <w:highlight w:val="red"/>
                <w:lang w:eastAsia="cs-CZ"/>
              </w:rPr>
            </w:pPr>
            <w:r w:rsidRPr="00F16E98">
              <w:rPr>
                <w:rFonts w:asciiTheme="minorHAnsi" w:eastAsiaTheme="minorHAnsi" w:hAnsiTheme="minorHAnsi" w:cs="Calibri"/>
                <w:bCs/>
                <w:color w:val="000000"/>
                <w:sz w:val="20"/>
                <w:szCs w:val="22"/>
                <w:lang w:eastAsia="cs-CZ"/>
              </w:rPr>
              <w:t>208 033</w:t>
            </w:r>
          </w:p>
        </w:tc>
      </w:tr>
      <w:tr w:rsidR="00DA7442" w:rsidRPr="002F62E6" w14:paraId="166F6AF6" w14:textId="77777777" w:rsidTr="00B03EA6">
        <w:trPr>
          <w:trHeight w:val="300"/>
        </w:trPr>
        <w:tc>
          <w:tcPr>
            <w:tcW w:w="5160" w:type="dxa"/>
            <w:tcBorders>
              <w:top w:val="single" w:sz="4" w:space="0" w:color="000000" w:themeColor="text1"/>
              <w:bottom w:val="single" w:sz="4" w:space="0" w:color="auto"/>
              <w:right w:val="single" w:sz="4" w:space="0" w:color="000000" w:themeColor="text1"/>
            </w:tcBorders>
            <w:noWrap/>
            <w:tcMar>
              <w:top w:w="0" w:type="dxa"/>
              <w:left w:w="70" w:type="dxa"/>
              <w:bottom w:w="0" w:type="dxa"/>
              <w:right w:w="70" w:type="dxa"/>
            </w:tcMar>
            <w:vAlign w:val="center"/>
            <w:hideMark/>
          </w:tcPr>
          <w:p w14:paraId="6BBB52A4" w14:textId="77777777" w:rsidR="00DA7442" w:rsidRPr="00F16E98" w:rsidRDefault="00DA7442" w:rsidP="00B53D75">
            <w:pPr>
              <w:spacing w:after="0"/>
              <w:rPr>
                <w:rFonts w:asciiTheme="minorHAnsi" w:eastAsiaTheme="minorHAnsi" w:hAnsiTheme="minorHAnsi" w:cs="Calibri"/>
                <w:bCs/>
                <w:color w:val="000000"/>
                <w:sz w:val="20"/>
                <w:szCs w:val="22"/>
                <w:lang w:eastAsia="cs-CZ"/>
              </w:rPr>
            </w:pPr>
            <w:r w:rsidRPr="00F16E98">
              <w:rPr>
                <w:rFonts w:asciiTheme="minorHAnsi" w:eastAsiaTheme="minorHAnsi" w:hAnsiTheme="minorHAnsi" w:cs="Calibri"/>
                <w:bCs/>
                <w:color w:val="000000"/>
                <w:sz w:val="20"/>
                <w:szCs w:val="22"/>
                <w:lang w:eastAsia="cs-CZ"/>
              </w:rPr>
              <w:t>Příloha účetní závěrky (podrozvahové účty)</w:t>
            </w:r>
          </w:p>
        </w:tc>
        <w:tc>
          <w:tcPr>
            <w:tcW w:w="3912" w:type="dxa"/>
            <w:tcBorders>
              <w:top w:val="single" w:sz="4" w:space="0" w:color="000000" w:themeColor="text1"/>
              <w:left w:val="single" w:sz="4" w:space="0" w:color="000000" w:themeColor="text1"/>
              <w:bottom w:val="single" w:sz="4" w:space="0" w:color="auto"/>
            </w:tcBorders>
            <w:noWrap/>
            <w:tcMar>
              <w:top w:w="0" w:type="dxa"/>
              <w:left w:w="70" w:type="dxa"/>
              <w:bottom w:w="0" w:type="dxa"/>
              <w:right w:w="70" w:type="dxa"/>
            </w:tcMar>
            <w:vAlign w:val="center"/>
          </w:tcPr>
          <w:p w14:paraId="0C5E3DA4" w14:textId="7A8DBD78" w:rsidR="00DA7442" w:rsidRPr="002F62E6" w:rsidRDefault="005A1523" w:rsidP="00DD7970">
            <w:pPr>
              <w:spacing w:after="0"/>
              <w:ind w:right="917"/>
              <w:jc w:val="right"/>
              <w:rPr>
                <w:rFonts w:asciiTheme="minorHAnsi" w:eastAsiaTheme="minorHAnsi" w:hAnsiTheme="minorHAnsi" w:cs="Calibri"/>
                <w:bCs/>
                <w:color w:val="000000"/>
                <w:sz w:val="20"/>
                <w:szCs w:val="22"/>
                <w:highlight w:val="red"/>
                <w:lang w:eastAsia="cs-CZ"/>
              </w:rPr>
            </w:pPr>
            <w:r w:rsidRPr="005A1523">
              <w:rPr>
                <w:rFonts w:asciiTheme="minorHAnsi" w:eastAsiaTheme="minorHAnsi" w:hAnsiTheme="minorHAnsi" w:cs="Calibri"/>
                <w:bCs/>
                <w:color w:val="000000"/>
                <w:sz w:val="20"/>
                <w:szCs w:val="22"/>
                <w:lang w:eastAsia="cs-CZ"/>
              </w:rPr>
              <w:t>407 803</w:t>
            </w:r>
            <w:r w:rsidR="00A97504">
              <w:rPr>
                <w:rStyle w:val="Znakapoznpodarou"/>
                <w:rFonts w:asciiTheme="minorHAnsi" w:eastAsiaTheme="minorHAnsi" w:hAnsiTheme="minorHAnsi" w:cs="Calibri"/>
                <w:bCs/>
                <w:color w:val="000000"/>
                <w:sz w:val="20"/>
                <w:szCs w:val="22"/>
                <w:lang w:eastAsia="cs-CZ"/>
              </w:rPr>
              <w:footnoteReference w:id="26"/>
            </w:r>
          </w:p>
        </w:tc>
      </w:tr>
    </w:tbl>
    <w:p w14:paraId="4B67238D" w14:textId="46BDF5DA" w:rsidR="00DA7442" w:rsidRPr="00EA0DB3" w:rsidRDefault="00DA7442" w:rsidP="00DA7442">
      <w:pPr>
        <w:spacing w:before="40" w:after="0"/>
        <w:rPr>
          <w:rFonts w:asciiTheme="minorHAnsi" w:eastAsiaTheme="minorHAnsi" w:hAnsiTheme="minorHAnsi" w:cs="Calibri"/>
          <w:sz w:val="20"/>
          <w:szCs w:val="20"/>
        </w:rPr>
      </w:pPr>
      <w:r w:rsidRPr="00EA0DB3">
        <w:rPr>
          <w:rFonts w:asciiTheme="minorHAnsi" w:eastAsiaTheme="minorHAnsi" w:hAnsiTheme="minorHAnsi" w:cs="Calibri"/>
          <w:b/>
          <w:sz w:val="20"/>
          <w:szCs w:val="20"/>
        </w:rPr>
        <w:t>Zdroj:</w:t>
      </w:r>
      <w:r w:rsidRPr="00EA0DB3">
        <w:rPr>
          <w:rFonts w:asciiTheme="minorHAnsi" w:eastAsiaTheme="minorHAnsi" w:hAnsiTheme="minorHAnsi" w:cs="Calibri"/>
          <w:sz w:val="20"/>
          <w:szCs w:val="20"/>
        </w:rPr>
        <w:t xml:space="preserve"> výpočet</w:t>
      </w:r>
      <w:r w:rsidR="009C559B">
        <w:rPr>
          <w:rFonts w:asciiTheme="minorHAnsi" w:eastAsiaTheme="minorHAnsi" w:hAnsiTheme="minorHAnsi" w:cs="Calibri"/>
          <w:sz w:val="20"/>
          <w:szCs w:val="20"/>
        </w:rPr>
        <w:t xml:space="preserve"> vypracoval</w:t>
      </w:r>
      <w:r w:rsidR="001B06A1" w:rsidRPr="00EA0DB3">
        <w:rPr>
          <w:rFonts w:asciiTheme="minorHAnsi" w:eastAsiaTheme="minorHAnsi" w:hAnsiTheme="minorHAnsi" w:cs="Calibri"/>
          <w:sz w:val="20"/>
          <w:szCs w:val="20"/>
        </w:rPr>
        <w:t xml:space="preserve"> NKÚ na základě dat získaných kontrolou</w:t>
      </w:r>
      <w:r w:rsidRPr="00EA0DB3">
        <w:rPr>
          <w:rFonts w:asciiTheme="minorHAnsi" w:eastAsiaTheme="minorHAnsi" w:hAnsiTheme="minorHAnsi" w:cs="Calibri"/>
          <w:sz w:val="20"/>
          <w:szCs w:val="20"/>
        </w:rPr>
        <w:t>.</w:t>
      </w:r>
    </w:p>
    <w:p w14:paraId="4ECBBD4D" w14:textId="77777777" w:rsidR="00DA7442" w:rsidRPr="002F62E6" w:rsidRDefault="00DA7442" w:rsidP="00DA7442">
      <w:pPr>
        <w:spacing w:after="0"/>
        <w:jc w:val="both"/>
        <w:rPr>
          <w:rFonts w:eastAsia="Calibri" w:cs="Calibri"/>
          <w:highlight w:val="red"/>
        </w:rPr>
      </w:pPr>
    </w:p>
    <w:p w14:paraId="792A0E15" w14:textId="3FA435A0" w:rsidR="00DA7442" w:rsidRDefault="00DA7442" w:rsidP="00DA7442">
      <w:pPr>
        <w:spacing w:after="0"/>
        <w:jc w:val="both"/>
        <w:rPr>
          <w:rFonts w:cs="Calibri"/>
          <w:b/>
        </w:rPr>
      </w:pPr>
      <w:r w:rsidRPr="00F16E98">
        <w:rPr>
          <w:rFonts w:cs="Calibri"/>
        </w:rPr>
        <w:t xml:space="preserve">Pro posouzení spolehlivosti informací v účetní závěrce byla stanovena významnost neboli materialita ve výši </w:t>
      </w:r>
      <w:r w:rsidR="00F16E98" w:rsidRPr="00F16E98">
        <w:rPr>
          <w:rFonts w:cs="Calibri"/>
        </w:rPr>
        <w:t>450</w:t>
      </w:r>
      <w:r w:rsidRPr="00F16E98">
        <w:rPr>
          <w:rFonts w:cs="Calibri"/>
        </w:rPr>
        <w:t xml:space="preserve"> mil. Kč. </w:t>
      </w:r>
      <w:r w:rsidRPr="005A1523">
        <w:rPr>
          <w:rFonts w:cs="Calibri"/>
          <w:b/>
        </w:rPr>
        <w:t>Celková částka nesprávností,</w:t>
      </w:r>
      <w:r w:rsidRPr="005A1523">
        <w:rPr>
          <w:rFonts w:cs="Calibri"/>
        </w:rPr>
        <w:t xml:space="preserve"> které byly v této ÚZ zjištěny a </w:t>
      </w:r>
      <w:r w:rsidRPr="00E71D49">
        <w:rPr>
          <w:rFonts w:cs="Calibri"/>
          <w:b/>
        </w:rPr>
        <w:t xml:space="preserve">vyčísleny, tak </w:t>
      </w:r>
      <w:r w:rsidR="005A1523" w:rsidRPr="00E71D49">
        <w:rPr>
          <w:rFonts w:cs="Calibri"/>
          <w:b/>
        </w:rPr>
        <w:t>dosáhla</w:t>
      </w:r>
      <w:r w:rsidR="005A1523" w:rsidRPr="005A1523">
        <w:rPr>
          <w:rFonts w:cs="Calibri"/>
        </w:rPr>
        <w:t xml:space="preserve"> </w:t>
      </w:r>
      <w:r w:rsidR="0026773F" w:rsidRPr="0026773F">
        <w:rPr>
          <w:rFonts w:cs="Calibri"/>
          <w:b/>
        </w:rPr>
        <w:t>dvanáctinásobku</w:t>
      </w:r>
      <w:r w:rsidR="005A1523" w:rsidRPr="0026773F">
        <w:rPr>
          <w:rFonts w:cs="Calibri"/>
          <w:b/>
        </w:rPr>
        <w:t xml:space="preserve"> </w:t>
      </w:r>
      <w:r w:rsidR="005A1523" w:rsidRPr="005A1523">
        <w:rPr>
          <w:rFonts w:cs="Calibri"/>
          <w:b/>
        </w:rPr>
        <w:t>stanovené hladiny významnosti</w:t>
      </w:r>
      <w:r w:rsidRPr="005A1523">
        <w:rPr>
          <w:rFonts w:cs="Calibri"/>
          <w:b/>
        </w:rPr>
        <w:t>.</w:t>
      </w:r>
    </w:p>
    <w:p w14:paraId="5D6B3709" w14:textId="77777777" w:rsidR="008E6E48" w:rsidRPr="005A1523" w:rsidRDefault="008E6E48" w:rsidP="00DA7442">
      <w:pPr>
        <w:spacing w:after="0"/>
        <w:jc w:val="both"/>
        <w:rPr>
          <w:rFonts w:cs="Calibri"/>
        </w:rPr>
      </w:pPr>
    </w:p>
    <w:p w14:paraId="752B3466" w14:textId="77777777" w:rsidR="00E80277" w:rsidRPr="00E80277" w:rsidRDefault="00CD2FE1" w:rsidP="001A79A3">
      <w:pPr>
        <w:pStyle w:val="Nadpis2"/>
        <w:keepNext/>
        <w:numPr>
          <w:ilvl w:val="0"/>
          <w:numId w:val="0"/>
        </w:numPr>
        <w:spacing w:after="120" w:line="240" w:lineRule="auto"/>
        <w:contextualSpacing w:val="0"/>
        <w:rPr>
          <w:rFonts w:ascii="Calibri" w:hAnsi="Calibri" w:cs="Calibri"/>
          <w:lang w:eastAsia="cs-CZ"/>
        </w:rPr>
      </w:pPr>
      <w:r w:rsidRPr="001A79A3">
        <w:rPr>
          <w:rFonts w:cs="Calibri"/>
          <w:lang w:eastAsia="cs-CZ"/>
        </w:rPr>
        <w:t>1</w:t>
      </w:r>
      <w:r w:rsidR="00E80277" w:rsidRPr="008E5E28">
        <w:rPr>
          <w:rFonts w:ascii="Calibri" w:hAnsi="Calibri" w:cs="Calibri"/>
          <w:lang w:eastAsia="cs-CZ"/>
        </w:rPr>
        <w:t>.</w:t>
      </w:r>
      <w:r w:rsidR="00E80277">
        <w:rPr>
          <w:rFonts w:ascii="Calibri" w:hAnsi="Calibri" w:cs="Calibri"/>
          <w:lang w:eastAsia="cs-CZ"/>
        </w:rPr>
        <w:t xml:space="preserve">1 </w:t>
      </w:r>
      <w:r w:rsidR="00976762">
        <w:rPr>
          <w:rFonts w:ascii="Calibri" w:hAnsi="Calibri" w:cs="Calibri"/>
          <w:lang w:eastAsia="cs-CZ"/>
        </w:rPr>
        <w:t>Nesprávný nákladový účet použitý pro účtování transferů</w:t>
      </w:r>
    </w:p>
    <w:p w14:paraId="57C52BD3" w14:textId="64FFE77B" w:rsidR="00E62519" w:rsidRDefault="006B13FF" w:rsidP="00E62519">
      <w:pPr>
        <w:spacing w:after="0"/>
        <w:jc w:val="both"/>
        <w:rPr>
          <w:rFonts w:asciiTheme="minorHAnsi" w:hAnsiTheme="minorHAnsi" w:cstheme="minorHAnsi"/>
        </w:rPr>
      </w:pPr>
      <w:r w:rsidRPr="00B5096E">
        <w:rPr>
          <w:rFonts w:asciiTheme="minorHAnsi" w:hAnsiTheme="minorHAnsi" w:cstheme="minorHAnsi"/>
          <w:b/>
        </w:rPr>
        <w:t>MMR o podílu hrazen</w:t>
      </w:r>
      <w:r w:rsidR="00C90E95">
        <w:rPr>
          <w:rFonts w:asciiTheme="minorHAnsi" w:hAnsiTheme="minorHAnsi" w:cstheme="minorHAnsi"/>
          <w:b/>
        </w:rPr>
        <w:t>é</w:t>
      </w:r>
      <w:r w:rsidR="004B4069">
        <w:rPr>
          <w:rFonts w:asciiTheme="minorHAnsi" w:hAnsiTheme="minorHAnsi" w:cstheme="minorHAnsi"/>
          <w:b/>
        </w:rPr>
        <w:t>m</w:t>
      </w:r>
      <w:r w:rsidRPr="00B5096E">
        <w:rPr>
          <w:rFonts w:asciiTheme="minorHAnsi" w:hAnsiTheme="minorHAnsi" w:cstheme="minorHAnsi"/>
          <w:b/>
        </w:rPr>
        <w:t xml:space="preserve"> ze státního rozpočtu v souvislosti s poskytováním dotací </w:t>
      </w:r>
      <w:r w:rsidR="00034649">
        <w:rPr>
          <w:rFonts w:asciiTheme="minorHAnsi" w:hAnsiTheme="minorHAnsi" w:cstheme="minorHAnsi"/>
        </w:rPr>
        <w:t>na </w:t>
      </w:r>
      <w:r w:rsidRPr="008A3328">
        <w:rPr>
          <w:rFonts w:asciiTheme="minorHAnsi" w:hAnsiTheme="minorHAnsi" w:cstheme="minorHAnsi"/>
        </w:rPr>
        <w:t xml:space="preserve">projekty v rámci </w:t>
      </w:r>
      <w:r w:rsidR="00396FF7">
        <w:rPr>
          <w:rFonts w:asciiTheme="minorHAnsi" w:hAnsiTheme="minorHAnsi" w:cstheme="minorHAnsi"/>
        </w:rPr>
        <w:t>o</w:t>
      </w:r>
      <w:r w:rsidR="00976762" w:rsidRPr="008A3328">
        <w:rPr>
          <w:rFonts w:asciiTheme="minorHAnsi" w:hAnsiTheme="minorHAnsi" w:cstheme="minorHAnsi"/>
        </w:rPr>
        <w:t xml:space="preserve">peračního programu </w:t>
      </w:r>
      <w:r w:rsidR="00976762" w:rsidRPr="0026773F">
        <w:rPr>
          <w:rFonts w:asciiTheme="minorHAnsi" w:hAnsiTheme="minorHAnsi" w:cstheme="minorHAnsi"/>
          <w:i/>
        </w:rPr>
        <w:t>Technická pomoc</w:t>
      </w:r>
      <w:r w:rsidR="002633BE">
        <w:rPr>
          <w:rFonts w:asciiTheme="minorHAnsi" w:hAnsiTheme="minorHAnsi" w:cstheme="minorHAnsi"/>
        </w:rPr>
        <w:t xml:space="preserve"> (dále „OPTP“)</w:t>
      </w:r>
      <w:r w:rsidR="00976762" w:rsidRPr="008A3328">
        <w:rPr>
          <w:rFonts w:asciiTheme="minorHAnsi" w:hAnsiTheme="minorHAnsi" w:cstheme="minorHAnsi"/>
        </w:rPr>
        <w:t xml:space="preserve"> </w:t>
      </w:r>
      <w:r w:rsidRPr="008A3328">
        <w:rPr>
          <w:rFonts w:asciiTheme="minorHAnsi" w:hAnsiTheme="minorHAnsi" w:cstheme="minorHAnsi"/>
        </w:rPr>
        <w:t xml:space="preserve">a </w:t>
      </w:r>
      <w:r w:rsidR="00976762" w:rsidRPr="0026773F">
        <w:rPr>
          <w:rFonts w:asciiTheme="minorHAnsi" w:hAnsiTheme="minorHAnsi" w:cstheme="minorHAnsi"/>
          <w:i/>
        </w:rPr>
        <w:t>Integrovaného regionálního operačního programu</w:t>
      </w:r>
      <w:r w:rsidR="002633BE">
        <w:rPr>
          <w:rFonts w:asciiTheme="minorHAnsi" w:hAnsiTheme="minorHAnsi" w:cstheme="minorHAnsi"/>
        </w:rPr>
        <w:t xml:space="preserve"> (dále „IROP“)</w:t>
      </w:r>
      <w:r w:rsidR="00976762" w:rsidRPr="008A3328">
        <w:rPr>
          <w:rFonts w:asciiTheme="minorHAnsi" w:hAnsiTheme="minorHAnsi" w:cstheme="minorHAnsi"/>
        </w:rPr>
        <w:t xml:space="preserve"> </w:t>
      </w:r>
      <w:r w:rsidRPr="00B5096E">
        <w:rPr>
          <w:rFonts w:asciiTheme="minorHAnsi" w:hAnsiTheme="minorHAnsi" w:cstheme="minorHAnsi"/>
          <w:b/>
        </w:rPr>
        <w:t xml:space="preserve">účtovalo v celkové výši </w:t>
      </w:r>
      <w:r w:rsidR="00976762" w:rsidRPr="00B5096E">
        <w:rPr>
          <w:rFonts w:asciiTheme="minorHAnsi" w:hAnsiTheme="minorHAnsi" w:cstheme="minorHAnsi"/>
          <w:b/>
        </w:rPr>
        <w:t xml:space="preserve">659,1 mil. Kč </w:t>
      </w:r>
      <w:r w:rsidRPr="00B5096E">
        <w:rPr>
          <w:rFonts w:asciiTheme="minorHAnsi" w:hAnsiTheme="minorHAnsi" w:cstheme="minorHAnsi"/>
          <w:b/>
        </w:rPr>
        <w:t xml:space="preserve">nesprávně na </w:t>
      </w:r>
      <w:r w:rsidR="00E62519" w:rsidRPr="00B5096E">
        <w:rPr>
          <w:rFonts w:asciiTheme="minorHAnsi" w:hAnsiTheme="minorHAnsi" w:cstheme="minorHAnsi"/>
          <w:b/>
        </w:rPr>
        <w:t>účtu 575</w:t>
      </w:r>
      <w:r w:rsidR="00E62519" w:rsidRPr="008A3328">
        <w:rPr>
          <w:rFonts w:asciiTheme="minorHAnsi" w:hAnsiTheme="minorHAnsi" w:cstheme="minorHAnsi"/>
        </w:rPr>
        <w:t xml:space="preserve"> – </w:t>
      </w:r>
      <w:r w:rsidR="00E62519" w:rsidRPr="008A3328">
        <w:rPr>
          <w:rFonts w:asciiTheme="minorHAnsi" w:hAnsiTheme="minorHAnsi" w:cstheme="minorHAnsi"/>
          <w:i/>
        </w:rPr>
        <w:t>Náklady vybraných ústředních vládních institucí na předfinancování transferů</w:t>
      </w:r>
      <w:r w:rsidR="00E62519" w:rsidRPr="008A3328">
        <w:rPr>
          <w:rFonts w:asciiTheme="minorHAnsi" w:hAnsiTheme="minorHAnsi" w:cstheme="minorHAnsi"/>
        </w:rPr>
        <w:t xml:space="preserve"> </w:t>
      </w:r>
      <w:r w:rsidR="00E62519" w:rsidRPr="00B5096E">
        <w:rPr>
          <w:rFonts w:asciiTheme="minorHAnsi" w:hAnsiTheme="minorHAnsi" w:cstheme="minorHAnsi"/>
          <w:b/>
        </w:rPr>
        <w:t>namísto na účtu 571</w:t>
      </w:r>
      <w:r w:rsidR="00E62519" w:rsidRPr="008A3328">
        <w:rPr>
          <w:rFonts w:asciiTheme="minorHAnsi" w:hAnsiTheme="minorHAnsi" w:cstheme="minorHAnsi"/>
        </w:rPr>
        <w:t xml:space="preserve"> – </w:t>
      </w:r>
      <w:r w:rsidR="00E62519" w:rsidRPr="008A3328">
        <w:rPr>
          <w:rFonts w:asciiTheme="minorHAnsi" w:hAnsiTheme="minorHAnsi" w:cstheme="minorHAnsi"/>
          <w:i/>
        </w:rPr>
        <w:t>Náklady vybraných ústředních vládních institucí na transfery</w:t>
      </w:r>
      <w:r w:rsidR="00E62519" w:rsidRPr="008A3328">
        <w:rPr>
          <w:rFonts w:asciiTheme="minorHAnsi" w:hAnsiTheme="minorHAnsi" w:cstheme="minorHAnsi"/>
        </w:rPr>
        <w:t>.</w:t>
      </w:r>
      <w:r w:rsidR="00976762" w:rsidRPr="008A3328">
        <w:rPr>
          <w:rFonts w:asciiTheme="minorHAnsi" w:hAnsiTheme="minorHAnsi" w:cstheme="minorHAnsi"/>
        </w:rPr>
        <w:t xml:space="preserve"> Účet 575 – </w:t>
      </w:r>
      <w:r w:rsidR="00976762" w:rsidRPr="008A3328">
        <w:rPr>
          <w:rFonts w:asciiTheme="minorHAnsi" w:hAnsiTheme="minorHAnsi" w:cstheme="minorHAnsi"/>
          <w:i/>
        </w:rPr>
        <w:t>Náklady vybraných</w:t>
      </w:r>
      <w:r w:rsidR="00976762" w:rsidRPr="00F231B2">
        <w:rPr>
          <w:rFonts w:asciiTheme="minorHAnsi" w:hAnsiTheme="minorHAnsi" w:cstheme="minorHAnsi"/>
          <w:i/>
        </w:rPr>
        <w:t xml:space="preserve"> ústředních vládních institucí na předfinancování transferů</w:t>
      </w:r>
      <w:r w:rsidR="00976762">
        <w:rPr>
          <w:rFonts w:asciiTheme="minorHAnsi" w:hAnsiTheme="minorHAnsi" w:cstheme="minorHAnsi"/>
          <w:i/>
        </w:rPr>
        <w:t xml:space="preserve"> </w:t>
      </w:r>
      <w:r w:rsidR="00976762">
        <w:rPr>
          <w:rFonts w:asciiTheme="minorHAnsi" w:hAnsiTheme="minorHAnsi" w:cstheme="minorHAnsi"/>
        </w:rPr>
        <w:t>je vyhláškou č. 410/2009 Sb. určen</w:t>
      </w:r>
      <w:r w:rsidR="00D4489F">
        <w:rPr>
          <w:rFonts w:asciiTheme="minorHAnsi" w:hAnsiTheme="minorHAnsi" w:cstheme="minorHAnsi"/>
        </w:rPr>
        <w:t xml:space="preserve"> u OSS</w:t>
      </w:r>
      <w:r w:rsidR="00976762">
        <w:rPr>
          <w:rFonts w:asciiTheme="minorHAnsi" w:hAnsiTheme="minorHAnsi" w:cstheme="minorHAnsi"/>
        </w:rPr>
        <w:t xml:space="preserve"> výhradně k vykazování </w:t>
      </w:r>
      <w:r w:rsidR="00D4489F">
        <w:rPr>
          <w:rFonts w:asciiTheme="minorHAnsi" w:hAnsiTheme="minorHAnsi" w:cstheme="minorHAnsi"/>
        </w:rPr>
        <w:t xml:space="preserve">nákladů z transferů, poskytovaných výsledně zejména z rozpočtu </w:t>
      </w:r>
      <w:r w:rsidR="00976762">
        <w:rPr>
          <w:rFonts w:asciiTheme="minorHAnsi" w:hAnsiTheme="minorHAnsi" w:cstheme="minorHAnsi"/>
        </w:rPr>
        <w:t>Evropské unie</w:t>
      </w:r>
      <w:r w:rsidR="00D4489F">
        <w:rPr>
          <w:rFonts w:asciiTheme="minorHAnsi" w:hAnsiTheme="minorHAnsi" w:cstheme="minorHAnsi"/>
        </w:rPr>
        <w:t>, které byly těmito OSS předfinancovány ze státního rozpočtu</w:t>
      </w:r>
      <w:r w:rsidR="00976762">
        <w:rPr>
          <w:rStyle w:val="Znakapoznpodarou"/>
          <w:rFonts w:asciiTheme="minorHAnsi" w:hAnsiTheme="minorHAnsi" w:cstheme="minorHAnsi"/>
        </w:rPr>
        <w:footnoteReference w:id="27"/>
      </w:r>
      <w:r w:rsidR="00976762">
        <w:rPr>
          <w:rFonts w:asciiTheme="minorHAnsi" w:hAnsiTheme="minorHAnsi" w:cstheme="minorHAnsi"/>
        </w:rPr>
        <w:t>.</w:t>
      </w:r>
      <w:r w:rsidR="00E62519">
        <w:rPr>
          <w:rFonts w:asciiTheme="minorHAnsi" w:hAnsiTheme="minorHAnsi" w:cstheme="minorHAnsi"/>
        </w:rPr>
        <w:t xml:space="preserve"> </w:t>
      </w:r>
    </w:p>
    <w:p w14:paraId="422F12EC" w14:textId="77777777" w:rsidR="00E62519" w:rsidRDefault="00E62519" w:rsidP="00E62519">
      <w:pPr>
        <w:spacing w:after="0"/>
        <w:jc w:val="both"/>
        <w:rPr>
          <w:rFonts w:asciiTheme="minorHAnsi" w:hAnsiTheme="minorHAnsi" w:cstheme="minorHAnsi"/>
        </w:rPr>
      </w:pPr>
    </w:p>
    <w:p w14:paraId="22F5B656" w14:textId="77777777" w:rsidR="00E80277" w:rsidRPr="001A79A3" w:rsidRDefault="00CD2FE1" w:rsidP="001A79A3">
      <w:r w:rsidRPr="001A79A3">
        <w:rPr>
          <w:b/>
        </w:rPr>
        <w:t>1.</w:t>
      </w:r>
      <w:r w:rsidR="008B4BAA" w:rsidRPr="001A79A3">
        <w:rPr>
          <w:b/>
        </w:rPr>
        <w:t>2</w:t>
      </w:r>
      <w:r w:rsidR="00E80277" w:rsidRPr="001A79A3">
        <w:rPr>
          <w:b/>
        </w:rPr>
        <w:t xml:space="preserve"> </w:t>
      </w:r>
      <w:r w:rsidR="007620B8" w:rsidRPr="001A79A3">
        <w:rPr>
          <w:b/>
        </w:rPr>
        <w:t>Opravy předcházejících účetních období</w:t>
      </w:r>
    </w:p>
    <w:p w14:paraId="671E04B1" w14:textId="77777777" w:rsidR="002B0534" w:rsidRPr="008A3328" w:rsidRDefault="002B0534" w:rsidP="002B0534">
      <w:pPr>
        <w:spacing w:after="0"/>
        <w:jc w:val="both"/>
        <w:rPr>
          <w:rFonts w:cs="Calibri"/>
          <w:i/>
        </w:rPr>
      </w:pPr>
      <w:r w:rsidRPr="00B5096E">
        <w:rPr>
          <w:rFonts w:cs="Calibri"/>
          <w:b/>
        </w:rPr>
        <w:t>MMR</w:t>
      </w:r>
      <w:r>
        <w:rPr>
          <w:rFonts w:cs="Calibri"/>
          <w:b/>
        </w:rPr>
        <w:t xml:space="preserve"> </w:t>
      </w:r>
      <w:r w:rsidRPr="00B5096E">
        <w:rPr>
          <w:rFonts w:cs="Calibri"/>
          <w:b/>
        </w:rPr>
        <w:t>provádělo řadu účetních oprav</w:t>
      </w:r>
      <w:r w:rsidRPr="008A3328">
        <w:rPr>
          <w:rFonts w:cs="Calibri"/>
        </w:rPr>
        <w:t xml:space="preserve"> v souvislosti s realizací opatření přijatých MMR k nápravě nedostatků zjištěných v rámci KA č. 17/08</w:t>
      </w:r>
      <w:r>
        <w:rPr>
          <w:rFonts w:cs="Calibri"/>
        </w:rPr>
        <w:t xml:space="preserve"> zejména v roce 2018</w:t>
      </w:r>
      <w:r w:rsidRPr="008A3328">
        <w:rPr>
          <w:rFonts w:cs="Calibri"/>
        </w:rPr>
        <w:t xml:space="preserve">. </w:t>
      </w:r>
      <w:r w:rsidRPr="00286B8D">
        <w:rPr>
          <w:rFonts w:cs="Calibri"/>
        </w:rPr>
        <w:t>O</w:t>
      </w:r>
      <w:r w:rsidRPr="00C366FC">
        <w:rPr>
          <w:rFonts w:cs="Calibri"/>
        </w:rPr>
        <w:t xml:space="preserve"> t</w:t>
      </w:r>
      <w:r w:rsidRPr="00B5096E">
        <w:rPr>
          <w:rFonts w:cs="Calibri"/>
        </w:rPr>
        <w:t xml:space="preserve">ěchto </w:t>
      </w:r>
      <w:r w:rsidRPr="00B5096E">
        <w:rPr>
          <w:rFonts w:cs="Calibri"/>
          <w:b/>
        </w:rPr>
        <w:t>opravách</w:t>
      </w:r>
      <w:r w:rsidRPr="008A3328">
        <w:rPr>
          <w:rFonts w:cs="Calibri"/>
        </w:rPr>
        <w:t xml:space="preserve"> však MMR </w:t>
      </w:r>
      <w:r w:rsidRPr="00B5096E">
        <w:rPr>
          <w:rFonts w:cs="Calibri"/>
          <w:b/>
        </w:rPr>
        <w:t>v některých případech účtovalo nesprávně</w:t>
      </w:r>
      <w:r w:rsidRPr="0026773F">
        <w:rPr>
          <w:rFonts w:cs="Calibri"/>
          <w:b/>
        </w:rPr>
        <w:t>.</w:t>
      </w:r>
    </w:p>
    <w:p w14:paraId="05A6DD0F" w14:textId="77777777" w:rsidR="002B0534" w:rsidRPr="008A3328" w:rsidRDefault="002B0534" w:rsidP="002B0534">
      <w:pPr>
        <w:spacing w:after="0"/>
        <w:jc w:val="both"/>
        <w:rPr>
          <w:rFonts w:cs="Calibri"/>
          <w:i/>
        </w:rPr>
      </w:pPr>
    </w:p>
    <w:p w14:paraId="6D7B4B5C" w14:textId="1614098E" w:rsidR="002B0534" w:rsidRDefault="002B0534" w:rsidP="002B0534">
      <w:pPr>
        <w:spacing w:after="0"/>
        <w:jc w:val="both"/>
        <w:rPr>
          <w:rFonts w:cs="Calibri"/>
        </w:rPr>
      </w:pPr>
      <w:r w:rsidRPr="008A3328">
        <w:rPr>
          <w:rFonts w:cs="Calibri"/>
        </w:rPr>
        <w:t xml:space="preserve">Například </w:t>
      </w:r>
      <w:r w:rsidRPr="00B5096E">
        <w:rPr>
          <w:rFonts w:cs="Calibri"/>
          <w:b/>
        </w:rPr>
        <w:t>opravu</w:t>
      </w:r>
      <w:r>
        <w:rPr>
          <w:rFonts w:cs="Calibri"/>
          <w:b/>
        </w:rPr>
        <w:t xml:space="preserve"> již</w:t>
      </w:r>
      <w:r w:rsidRPr="00B5096E">
        <w:rPr>
          <w:rFonts w:cs="Calibri"/>
          <w:b/>
        </w:rPr>
        <w:t xml:space="preserve"> v minulosti nadhodnocených nákladů z</w:t>
      </w:r>
      <w:r w:rsidR="00881C61">
        <w:rPr>
          <w:rFonts w:cs="Calibri"/>
          <w:b/>
        </w:rPr>
        <w:t> </w:t>
      </w:r>
      <w:r>
        <w:rPr>
          <w:rFonts w:cs="Calibri"/>
          <w:b/>
        </w:rPr>
        <w:t>titulu</w:t>
      </w:r>
      <w:r w:rsidR="00881C61">
        <w:rPr>
          <w:rFonts w:cs="Calibri"/>
          <w:b/>
        </w:rPr>
        <w:t xml:space="preserve"> </w:t>
      </w:r>
      <w:r w:rsidRPr="00B5096E">
        <w:rPr>
          <w:rFonts w:cs="Calibri"/>
          <w:b/>
        </w:rPr>
        <w:t>odpisů</w:t>
      </w:r>
      <w:r w:rsidRPr="008A3328">
        <w:rPr>
          <w:rFonts w:cs="Calibri"/>
        </w:rPr>
        <w:t xml:space="preserve"> </w:t>
      </w:r>
      <w:r w:rsidRPr="00B5096E">
        <w:rPr>
          <w:rFonts w:cs="Calibri"/>
          <w:b/>
        </w:rPr>
        <w:t>provedlo</w:t>
      </w:r>
      <w:r>
        <w:rPr>
          <w:rFonts w:cs="Calibri"/>
          <w:b/>
        </w:rPr>
        <w:t xml:space="preserve"> MMR</w:t>
      </w:r>
      <w:r w:rsidRPr="00B5096E">
        <w:rPr>
          <w:rFonts w:cs="Calibri"/>
          <w:b/>
        </w:rPr>
        <w:t xml:space="preserve"> tak</w:t>
      </w:r>
      <w:r w:rsidRPr="0026773F">
        <w:rPr>
          <w:rFonts w:cs="Calibri"/>
          <w:b/>
        </w:rPr>
        <w:t>,</w:t>
      </w:r>
      <w:r w:rsidRPr="008A3328">
        <w:rPr>
          <w:rFonts w:cs="Calibri"/>
        </w:rPr>
        <w:t xml:space="preserve"> </w:t>
      </w:r>
      <w:r w:rsidRPr="00987C9F">
        <w:rPr>
          <w:rFonts w:cs="Calibri"/>
          <w:b/>
        </w:rPr>
        <w:t>že</w:t>
      </w:r>
      <w:r w:rsidRPr="008A3328">
        <w:rPr>
          <w:rFonts w:cs="Calibri"/>
        </w:rPr>
        <w:t xml:space="preserve"> tyto </w:t>
      </w:r>
      <w:r w:rsidRPr="00987C9F">
        <w:rPr>
          <w:rFonts w:cs="Calibri"/>
          <w:b/>
        </w:rPr>
        <w:t>náklady</w:t>
      </w:r>
      <w:r w:rsidRPr="008A3328">
        <w:rPr>
          <w:rFonts w:cs="Calibri"/>
        </w:rPr>
        <w:t xml:space="preserve"> v účetním období 2018 </w:t>
      </w:r>
      <w:r w:rsidRPr="00987C9F">
        <w:rPr>
          <w:rFonts w:cs="Calibri"/>
          <w:b/>
        </w:rPr>
        <w:t>znovu zaúčtovalo</w:t>
      </w:r>
      <w:r>
        <w:rPr>
          <w:rFonts w:cs="Calibri"/>
          <w:b/>
        </w:rPr>
        <w:t>. T</w:t>
      </w:r>
      <w:r w:rsidRPr="00987C9F">
        <w:rPr>
          <w:rFonts w:cs="Calibri"/>
          <w:b/>
        </w:rPr>
        <w:t xml:space="preserve">ím je </w:t>
      </w:r>
      <w:r w:rsidR="00034649">
        <w:rPr>
          <w:rFonts w:cs="Calibri"/>
          <w:b/>
        </w:rPr>
        <w:t>znovu nadhodnotilo a v </w:t>
      </w:r>
      <w:r>
        <w:rPr>
          <w:rFonts w:cs="Calibri"/>
          <w:b/>
        </w:rPr>
        <w:t>důsledku toho v ÚZ vykázalo v trojnásobné výši oproti skutečnosti.</w:t>
      </w:r>
      <w:r w:rsidRPr="008A3328">
        <w:rPr>
          <w:rFonts w:cs="Calibri"/>
        </w:rPr>
        <w:t xml:space="preserve"> </w:t>
      </w:r>
      <w:r w:rsidRPr="008A3328">
        <w:rPr>
          <w:rFonts w:eastAsia="Calibri" w:cs="Calibri"/>
          <w:szCs w:val="22"/>
        </w:rPr>
        <w:t xml:space="preserve">Tato nesprávnost měla </w:t>
      </w:r>
      <w:r w:rsidRPr="00987C9F">
        <w:rPr>
          <w:rFonts w:eastAsia="Calibri" w:cs="Calibri"/>
          <w:b/>
          <w:szCs w:val="22"/>
        </w:rPr>
        <w:t>vliv i na významný meziroční</w:t>
      </w:r>
      <w:r w:rsidRPr="008A3328">
        <w:rPr>
          <w:rFonts w:eastAsia="Calibri" w:cs="Calibri"/>
          <w:szCs w:val="22"/>
        </w:rPr>
        <w:t xml:space="preserve"> (</w:t>
      </w:r>
      <w:r>
        <w:rPr>
          <w:rFonts w:eastAsia="Calibri" w:cs="Calibri"/>
          <w:szCs w:val="22"/>
        </w:rPr>
        <w:t xml:space="preserve">v roce </w:t>
      </w:r>
      <w:r w:rsidRPr="008A3328">
        <w:rPr>
          <w:rFonts w:eastAsia="Calibri" w:cs="Calibri"/>
          <w:szCs w:val="22"/>
        </w:rPr>
        <w:t xml:space="preserve">2018 </w:t>
      </w:r>
      <w:r>
        <w:rPr>
          <w:rFonts w:eastAsia="Calibri" w:cs="Calibri"/>
          <w:szCs w:val="22"/>
        </w:rPr>
        <w:t>oproti roku</w:t>
      </w:r>
      <w:r w:rsidRPr="008A3328">
        <w:rPr>
          <w:rFonts w:eastAsia="Calibri" w:cs="Calibri"/>
          <w:szCs w:val="22"/>
        </w:rPr>
        <w:t xml:space="preserve"> 2017) </w:t>
      </w:r>
      <w:r w:rsidRPr="00987C9F">
        <w:rPr>
          <w:rFonts w:eastAsia="Calibri" w:cs="Calibri"/>
          <w:b/>
          <w:szCs w:val="22"/>
        </w:rPr>
        <w:t>nárůst nákladů</w:t>
      </w:r>
      <w:r>
        <w:rPr>
          <w:rFonts w:eastAsia="Calibri" w:cs="Calibri"/>
          <w:b/>
          <w:szCs w:val="22"/>
        </w:rPr>
        <w:t xml:space="preserve"> vykazovaných</w:t>
      </w:r>
      <w:r w:rsidRPr="00987C9F">
        <w:rPr>
          <w:rFonts w:eastAsia="Calibri" w:cs="Calibri"/>
          <w:b/>
          <w:szCs w:val="22"/>
        </w:rPr>
        <w:t xml:space="preserve"> na </w:t>
      </w:r>
      <w:r>
        <w:rPr>
          <w:rFonts w:eastAsia="Calibri" w:cs="Calibri"/>
          <w:b/>
          <w:szCs w:val="22"/>
        </w:rPr>
        <w:t>účtu</w:t>
      </w:r>
      <w:r w:rsidRPr="00987C9F">
        <w:rPr>
          <w:rFonts w:eastAsia="Calibri" w:cs="Calibri"/>
          <w:b/>
          <w:szCs w:val="22"/>
        </w:rPr>
        <w:t xml:space="preserve"> 551</w:t>
      </w:r>
      <w:r w:rsidRPr="008A3328">
        <w:rPr>
          <w:rFonts w:eastAsia="Calibri" w:cs="Calibri"/>
          <w:szCs w:val="22"/>
        </w:rPr>
        <w:t xml:space="preserve"> – </w:t>
      </w:r>
      <w:r w:rsidRPr="008A3328">
        <w:rPr>
          <w:rFonts w:eastAsia="Calibri" w:cs="Calibri"/>
          <w:i/>
          <w:szCs w:val="22"/>
        </w:rPr>
        <w:t>Odpisy dlouhodobého majetku</w:t>
      </w:r>
      <w:r w:rsidRPr="008A3328">
        <w:rPr>
          <w:rFonts w:eastAsia="Calibri" w:cs="Calibri"/>
          <w:szCs w:val="22"/>
        </w:rPr>
        <w:t>.</w:t>
      </w:r>
      <w:r w:rsidRPr="008A3328">
        <w:rPr>
          <w:rFonts w:cs="Calibri"/>
        </w:rPr>
        <w:t xml:space="preserve"> </w:t>
      </w:r>
    </w:p>
    <w:p w14:paraId="2E06EA21" w14:textId="77777777" w:rsidR="002B0534" w:rsidRPr="008A3328" w:rsidRDefault="002B0534" w:rsidP="002B0534">
      <w:pPr>
        <w:spacing w:after="0"/>
        <w:jc w:val="both"/>
        <w:rPr>
          <w:rFonts w:cs="Calibri"/>
        </w:rPr>
      </w:pPr>
    </w:p>
    <w:p w14:paraId="5A50C86E" w14:textId="54194475" w:rsidR="002B0534" w:rsidRPr="001A58EA" w:rsidRDefault="002B0534" w:rsidP="002B0534">
      <w:pPr>
        <w:spacing w:after="0"/>
        <w:jc w:val="both"/>
        <w:rPr>
          <w:rFonts w:cs="Calibri"/>
        </w:rPr>
      </w:pPr>
      <w:r w:rsidRPr="008A3328">
        <w:rPr>
          <w:rFonts w:cs="Calibri"/>
        </w:rPr>
        <w:t xml:space="preserve">MMR dále </w:t>
      </w:r>
      <w:r>
        <w:rPr>
          <w:rFonts w:cs="Calibri"/>
        </w:rPr>
        <w:t xml:space="preserve">také </w:t>
      </w:r>
      <w:r w:rsidRPr="008A3328">
        <w:rPr>
          <w:rFonts w:cs="Calibri"/>
        </w:rPr>
        <w:t xml:space="preserve">například </w:t>
      </w:r>
      <w:r w:rsidRPr="00987C9F">
        <w:rPr>
          <w:rFonts w:cs="Calibri"/>
          <w:b/>
        </w:rPr>
        <w:t xml:space="preserve">účtovalo o </w:t>
      </w:r>
      <w:r>
        <w:rPr>
          <w:rFonts w:cs="Calibri"/>
          <w:b/>
        </w:rPr>
        <w:t>opětovném zařazení již dříve</w:t>
      </w:r>
      <w:r w:rsidRPr="00987C9F">
        <w:rPr>
          <w:rFonts w:cs="Calibri"/>
          <w:b/>
        </w:rPr>
        <w:t xml:space="preserve"> vyřazených majetkových položek </w:t>
      </w:r>
      <w:r>
        <w:rPr>
          <w:rFonts w:cs="Calibri"/>
          <w:b/>
        </w:rPr>
        <w:t>souvisejících s používaným programovým vybavením</w:t>
      </w:r>
      <w:r w:rsidR="0006539C">
        <w:rPr>
          <w:rFonts w:cs="Calibri"/>
          <w:b/>
        </w:rPr>
        <w:t>,</w:t>
      </w:r>
      <w:r>
        <w:rPr>
          <w:rFonts w:cs="Calibri"/>
          <w:b/>
        </w:rPr>
        <w:t xml:space="preserve"> a to nesprávně na účet</w:t>
      </w:r>
      <w:r w:rsidR="00C8761C">
        <w:rPr>
          <w:rFonts w:cs="Calibri"/>
          <w:b/>
        </w:rPr>
        <w:br/>
      </w:r>
      <w:r w:rsidRPr="00987C9F">
        <w:rPr>
          <w:rFonts w:cs="Calibri"/>
          <w:b/>
        </w:rPr>
        <w:t>401</w:t>
      </w:r>
      <w:r w:rsidRPr="008A3328">
        <w:rPr>
          <w:rFonts w:cs="Calibri"/>
        </w:rPr>
        <w:t xml:space="preserve"> – </w:t>
      </w:r>
      <w:r w:rsidRPr="008A3328">
        <w:rPr>
          <w:rFonts w:cs="Calibri"/>
          <w:i/>
        </w:rPr>
        <w:t>Jmění účetní jednotky</w:t>
      </w:r>
      <w:r>
        <w:rPr>
          <w:rFonts w:cs="Calibri"/>
          <w:i/>
        </w:rPr>
        <w:t xml:space="preserve">. </w:t>
      </w:r>
      <w:r>
        <w:rPr>
          <w:rFonts w:cs="Calibri"/>
        </w:rPr>
        <w:t xml:space="preserve">Nejednalo se však o nově pořízený majetek, ani majetek o nově nalezený, ale o sjednocení dílčích majetkových položek pod jedno inventární číslo. Proto mělo být správně účtováno na účet </w:t>
      </w:r>
      <w:r w:rsidRPr="00BD5A43">
        <w:rPr>
          <w:rFonts w:cs="Calibri"/>
          <w:b/>
        </w:rPr>
        <w:t>073</w:t>
      </w:r>
      <w:r>
        <w:rPr>
          <w:rFonts w:cs="Calibri"/>
        </w:rPr>
        <w:t xml:space="preserve"> – </w:t>
      </w:r>
      <w:r w:rsidRPr="00BD5A43">
        <w:rPr>
          <w:rFonts w:cs="Calibri"/>
          <w:i/>
        </w:rPr>
        <w:t>Oprávky software</w:t>
      </w:r>
      <w:r w:rsidR="0006539C">
        <w:rPr>
          <w:rFonts w:cs="Calibri"/>
        </w:rPr>
        <w:t>,</w:t>
      </w:r>
      <w:r>
        <w:rPr>
          <w:rFonts w:cs="Calibri"/>
          <w:i/>
        </w:rPr>
        <w:t xml:space="preserve"> </w:t>
      </w:r>
      <w:r>
        <w:rPr>
          <w:rFonts w:cs="Calibri"/>
        </w:rPr>
        <w:t>a to ve výši již dříve zúčtovaných odpisů tohoto majetku.</w:t>
      </w:r>
    </w:p>
    <w:p w14:paraId="682618FF" w14:textId="77777777" w:rsidR="002B0534" w:rsidRPr="008A3328" w:rsidRDefault="002B0534" w:rsidP="002B0534">
      <w:pPr>
        <w:spacing w:after="0"/>
        <w:jc w:val="both"/>
        <w:rPr>
          <w:rFonts w:cs="Calibri"/>
        </w:rPr>
      </w:pPr>
    </w:p>
    <w:p w14:paraId="1899E434" w14:textId="4700E7C3" w:rsidR="002B0534" w:rsidRPr="008A3328" w:rsidRDefault="002B0534" w:rsidP="002B0534">
      <w:pPr>
        <w:spacing w:after="0"/>
        <w:jc w:val="both"/>
        <w:rPr>
          <w:rFonts w:cs="Calibri"/>
        </w:rPr>
      </w:pPr>
      <w:r w:rsidRPr="008A3328">
        <w:rPr>
          <w:rFonts w:cs="Calibri"/>
        </w:rPr>
        <w:t xml:space="preserve">MMR </w:t>
      </w:r>
      <w:r>
        <w:rPr>
          <w:rFonts w:cs="Calibri"/>
        </w:rPr>
        <w:t xml:space="preserve">dále také </w:t>
      </w:r>
      <w:r w:rsidRPr="00987C9F">
        <w:rPr>
          <w:rFonts w:cs="Calibri"/>
          <w:b/>
        </w:rPr>
        <w:t>o</w:t>
      </w:r>
      <w:r w:rsidRPr="00987C9F">
        <w:rPr>
          <w:rFonts w:eastAsia="Calibri" w:cs="Calibri"/>
          <w:b/>
        </w:rPr>
        <w:t>pravu účetních záznamů, které měly v předchozích účetních obdobích vliv na výši výsledku hospodaření</w:t>
      </w:r>
      <w:r w:rsidRPr="008A3328">
        <w:rPr>
          <w:rFonts w:eastAsia="Calibri" w:cs="Calibri"/>
        </w:rPr>
        <w:t xml:space="preserve"> </w:t>
      </w:r>
      <w:r w:rsidRPr="00987C9F">
        <w:rPr>
          <w:rFonts w:eastAsia="Calibri" w:cs="Calibri"/>
          <w:b/>
        </w:rPr>
        <w:t>a</w:t>
      </w:r>
      <w:r w:rsidRPr="008A3328">
        <w:rPr>
          <w:rFonts w:eastAsia="Calibri" w:cs="Calibri"/>
        </w:rPr>
        <w:t xml:space="preserve"> zároveň </w:t>
      </w:r>
      <w:r w:rsidRPr="00987C9F">
        <w:rPr>
          <w:rFonts w:eastAsia="Calibri" w:cs="Calibri"/>
          <w:b/>
        </w:rPr>
        <w:t>byly významné, nesprávně účtovalo</w:t>
      </w:r>
      <w:r w:rsidRPr="008A3328">
        <w:rPr>
          <w:rFonts w:eastAsia="Calibri" w:cs="Calibri"/>
        </w:rPr>
        <w:t xml:space="preserve"> </w:t>
      </w:r>
      <w:r>
        <w:rPr>
          <w:rFonts w:eastAsia="Calibri" w:cs="Calibri"/>
        </w:rPr>
        <w:t>a vykázalo na</w:t>
      </w:r>
      <w:r w:rsidR="00034649">
        <w:rPr>
          <w:rFonts w:eastAsia="Calibri" w:cs="Calibri"/>
        </w:rPr>
        <w:t> </w:t>
      </w:r>
      <w:r w:rsidRPr="008A3328">
        <w:rPr>
          <w:rFonts w:eastAsia="Calibri" w:cs="Calibri"/>
          <w:szCs w:val="22"/>
        </w:rPr>
        <w:t xml:space="preserve">účtu </w:t>
      </w:r>
      <w:r w:rsidRPr="00987C9F">
        <w:rPr>
          <w:rFonts w:eastAsia="Calibri" w:cs="Calibri"/>
          <w:b/>
          <w:szCs w:val="22"/>
        </w:rPr>
        <w:t>401</w:t>
      </w:r>
      <w:r w:rsidRPr="008A3328">
        <w:rPr>
          <w:rFonts w:eastAsia="Calibri" w:cs="Calibri"/>
          <w:szCs w:val="22"/>
        </w:rPr>
        <w:t xml:space="preserve"> – </w:t>
      </w:r>
      <w:r w:rsidRPr="008A3328">
        <w:rPr>
          <w:rFonts w:eastAsia="Calibri" w:cs="Calibri"/>
          <w:i/>
          <w:szCs w:val="22"/>
        </w:rPr>
        <w:t>Jmění účetní jednotky</w:t>
      </w:r>
      <w:r>
        <w:rPr>
          <w:rFonts w:eastAsia="Calibri" w:cs="Calibri"/>
          <w:szCs w:val="22"/>
        </w:rPr>
        <w:t>, případně na účtech</w:t>
      </w:r>
      <w:r w:rsidRPr="008A3328">
        <w:rPr>
          <w:rFonts w:eastAsia="Calibri" w:cs="Calibri"/>
          <w:szCs w:val="22"/>
        </w:rPr>
        <w:t xml:space="preserve"> </w:t>
      </w:r>
      <w:r w:rsidRPr="00987C9F">
        <w:rPr>
          <w:rFonts w:eastAsia="Calibri" w:cs="Calibri"/>
          <w:b/>
          <w:szCs w:val="22"/>
        </w:rPr>
        <w:t>nákladů namísto</w:t>
      </w:r>
      <w:r>
        <w:rPr>
          <w:rFonts w:eastAsia="Calibri" w:cs="Calibri"/>
          <w:b/>
          <w:szCs w:val="22"/>
        </w:rPr>
        <w:t xml:space="preserve"> na</w:t>
      </w:r>
      <w:r w:rsidRPr="00987C9F">
        <w:rPr>
          <w:rFonts w:eastAsia="Calibri" w:cs="Calibri"/>
          <w:b/>
          <w:szCs w:val="22"/>
        </w:rPr>
        <w:t xml:space="preserve"> účtu</w:t>
      </w:r>
      <w:r w:rsidR="00C8761C">
        <w:rPr>
          <w:rFonts w:eastAsia="Calibri" w:cs="Calibri"/>
          <w:b/>
          <w:szCs w:val="22"/>
        </w:rPr>
        <w:br/>
      </w:r>
      <w:r w:rsidRPr="00987C9F">
        <w:rPr>
          <w:rFonts w:eastAsia="Calibri" w:cs="Calibri"/>
          <w:b/>
          <w:szCs w:val="22"/>
        </w:rPr>
        <w:t>408</w:t>
      </w:r>
      <w:r w:rsidRPr="008A3328">
        <w:rPr>
          <w:rFonts w:eastAsia="Calibri" w:cs="Calibri"/>
          <w:szCs w:val="22"/>
        </w:rPr>
        <w:t xml:space="preserve"> – </w:t>
      </w:r>
      <w:r w:rsidRPr="008A3328">
        <w:rPr>
          <w:rFonts w:eastAsia="Calibri" w:cs="Calibri"/>
          <w:i/>
          <w:szCs w:val="22"/>
        </w:rPr>
        <w:t>Opravy předcházejících účetních období</w:t>
      </w:r>
      <w:r>
        <w:rPr>
          <w:rFonts w:eastAsia="Calibri" w:cs="Calibri"/>
          <w:szCs w:val="22"/>
        </w:rPr>
        <w:t xml:space="preserve"> </w:t>
      </w:r>
      <w:r w:rsidRPr="004E5E06">
        <w:rPr>
          <w:rFonts w:eastAsia="Calibri" w:cs="Calibri"/>
          <w:b/>
          <w:szCs w:val="22"/>
        </w:rPr>
        <w:t>a</w:t>
      </w:r>
      <w:r>
        <w:rPr>
          <w:rFonts w:eastAsia="Calibri" w:cs="Calibri"/>
          <w:szCs w:val="22"/>
        </w:rPr>
        <w:t xml:space="preserve"> naopak </w:t>
      </w:r>
      <w:r w:rsidRPr="004E5E06">
        <w:rPr>
          <w:rFonts w:eastAsia="Calibri" w:cs="Calibri"/>
          <w:b/>
          <w:szCs w:val="22"/>
        </w:rPr>
        <w:t>opravu účetních záznamů, které nebyly významné</w:t>
      </w:r>
      <w:r>
        <w:rPr>
          <w:rFonts w:eastAsia="Calibri" w:cs="Calibri"/>
          <w:b/>
          <w:szCs w:val="22"/>
        </w:rPr>
        <w:t>,</w:t>
      </w:r>
      <w:r>
        <w:rPr>
          <w:rFonts w:eastAsia="Calibri" w:cs="Calibri"/>
          <w:szCs w:val="22"/>
        </w:rPr>
        <w:t xml:space="preserve"> </w:t>
      </w:r>
      <w:r w:rsidRPr="004E5E06">
        <w:rPr>
          <w:rFonts w:eastAsia="Calibri" w:cs="Calibri"/>
          <w:b/>
          <w:szCs w:val="22"/>
        </w:rPr>
        <w:t>nesprávně účtovalo</w:t>
      </w:r>
      <w:r>
        <w:rPr>
          <w:rFonts w:eastAsia="Calibri" w:cs="Calibri"/>
          <w:szCs w:val="22"/>
        </w:rPr>
        <w:t xml:space="preserve"> a vykázalo </w:t>
      </w:r>
      <w:r w:rsidRPr="004E5E06">
        <w:rPr>
          <w:rFonts w:eastAsia="Calibri" w:cs="Calibri"/>
          <w:b/>
          <w:szCs w:val="22"/>
        </w:rPr>
        <w:t>na</w:t>
      </w:r>
      <w:r>
        <w:rPr>
          <w:rFonts w:eastAsia="Calibri" w:cs="Calibri"/>
          <w:szCs w:val="22"/>
        </w:rPr>
        <w:t xml:space="preserve"> účtu </w:t>
      </w:r>
      <w:r w:rsidRPr="00987C9F">
        <w:rPr>
          <w:rFonts w:eastAsia="Calibri" w:cs="Calibri"/>
          <w:b/>
          <w:szCs w:val="22"/>
        </w:rPr>
        <w:t>408</w:t>
      </w:r>
      <w:r w:rsidRPr="008A3328">
        <w:rPr>
          <w:rFonts w:eastAsia="Calibri" w:cs="Calibri"/>
          <w:szCs w:val="22"/>
        </w:rPr>
        <w:t xml:space="preserve"> – </w:t>
      </w:r>
      <w:r w:rsidRPr="008A3328">
        <w:rPr>
          <w:rFonts w:eastAsia="Calibri" w:cs="Calibri"/>
          <w:i/>
          <w:szCs w:val="22"/>
        </w:rPr>
        <w:t>Opravy předcházejících účetních období</w:t>
      </w:r>
      <w:r>
        <w:rPr>
          <w:rFonts w:eastAsia="Calibri" w:cs="Calibri"/>
          <w:szCs w:val="22"/>
        </w:rPr>
        <w:t xml:space="preserve"> </w:t>
      </w:r>
      <w:r w:rsidRPr="004E5E06">
        <w:rPr>
          <w:rFonts w:eastAsia="Calibri" w:cs="Calibri"/>
          <w:b/>
          <w:szCs w:val="22"/>
        </w:rPr>
        <w:t>namísto na účtu 406</w:t>
      </w:r>
      <w:r>
        <w:rPr>
          <w:rFonts w:eastAsia="Calibri" w:cs="Calibri"/>
          <w:szCs w:val="22"/>
        </w:rPr>
        <w:t xml:space="preserve"> – </w:t>
      </w:r>
      <w:r w:rsidRPr="004E5E06">
        <w:rPr>
          <w:rFonts w:eastAsia="Calibri" w:cs="Calibri"/>
          <w:i/>
          <w:szCs w:val="22"/>
        </w:rPr>
        <w:t>Oceňovací rozdíly při prvotním použití metody</w:t>
      </w:r>
      <w:r>
        <w:rPr>
          <w:rFonts w:eastAsia="Calibri" w:cs="Calibri"/>
          <w:szCs w:val="22"/>
        </w:rPr>
        <w:t>.</w:t>
      </w:r>
      <w:r w:rsidRPr="008A3328">
        <w:rPr>
          <w:rFonts w:eastAsia="Calibri" w:cs="Calibri"/>
          <w:szCs w:val="22"/>
        </w:rPr>
        <w:t xml:space="preserve"> </w:t>
      </w:r>
    </w:p>
    <w:p w14:paraId="62D45224" w14:textId="77777777" w:rsidR="002B0534" w:rsidRPr="008A3328" w:rsidRDefault="002B0534" w:rsidP="002B0534">
      <w:pPr>
        <w:spacing w:after="0"/>
        <w:jc w:val="both"/>
        <w:rPr>
          <w:rFonts w:eastAsia="Calibri" w:cs="Calibri"/>
          <w:szCs w:val="22"/>
        </w:rPr>
      </w:pPr>
    </w:p>
    <w:p w14:paraId="06601236" w14:textId="02536DD3" w:rsidR="002B0534" w:rsidRPr="00DD7970" w:rsidRDefault="002B0534" w:rsidP="001A79A3">
      <w:pPr>
        <w:spacing w:after="0"/>
        <w:jc w:val="both"/>
        <w:rPr>
          <w:color w:val="000000" w:themeColor="text1"/>
        </w:rPr>
      </w:pPr>
      <w:r w:rsidRPr="004E5E06">
        <w:t xml:space="preserve">V důsledku uvedených skutečností </w:t>
      </w:r>
      <w:r w:rsidRPr="004E5E06">
        <w:rPr>
          <w:b/>
          <w:bCs/>
        </w:rPr>
        <w:t xml:space="preserve">MMR </w:t>
      </w:r>
      <w:r w:rsidRPr="004E5E06">
        <w:rPr>
          <w:b/>
        </w:rPr>
        <w:t>v rozvaze</w:t>
      </w:r>
      <w:r w:rsidRPr="004E5E06">
        <w:t xml:space="preserve"> v údajích za běžné účetní období </w:t>
      </w:r>
      <w:r w:rsidRPr="004E5E06">
        <w:rPr>
          <w:b/>
          <w:bCs/>
        </w:rPr>
        <w:t>podhodnotilo</w:t>
      </w:r>
      <w:r w:rsidRPr="004E5E06">
        <w:rPr>
          <w:bCs/>
        </w:rPr>
        <w:t xml:space="preserve"> zůstatek účtu </w:t>
      </w:r>
      <w:r w:rsidRPr="004E5E06">
        <w:rPr>
          <w:b/>
          <w:bCs/>
        </w:rPr>
        <w:t>013</w:t>
      </w:r>
      <w:r w:rsidRPr="004E5E06">
        <w:rPr>
          <w:bCs/>
        </w:rPr>
        <w:t xml:space="preserve"> </w:t>
      </w:r>
      <w:r w:rsidRPr="004E5E06">
        <w:t xml:space="preserve">– </w:t>
      </w:r>
      <w:r w:rsidRPr="004E5E06">
        <w:rPr>
          <w:i/>
          <w:iCs/>
        </w:rPr>
        <w:t xml:space="preserve">Software </w:t>
      </w:r>
      <w:r w:rsidRPr="004E5E06">
        <w:rPr>
          <w:b/>
          <w:bCs/>
        </w:rPr>
        <w:t>o 26,9</w:t>
      </w:r>
      <w:r>
        <w:rPr>
          <w:b/>
          <w:bCs/>
        </w:rPr>
        <w:t>1</w:t>
      </w:r>
      <w:r w:rsidRPr="004E5E06">
        <w:rPr>
          <w:b/>
          <w:bCs/>
        </w:rPr>
        <w:t xml:space="preserve"> mil. Kč</w:t>
      </w:r>
      <w:r w:rsidRPr="004E5E06">
        <w:rPr>
          <w:rStyle w:val="Znakapoznpodarou"/>
          <w:b/>
          <w:bCs/>
        </w:rPr>
        <w:footnoteReference w:id="28"/>
      </w:r>
      <w:r w:rsidRPr="004E5E06">
        <w:rPr>
          <w:bCs/>
        </w:rPr>
        <w:t xml:space="preserve">, zůstatek účtu </w:t>
      </w:r>
      <w:r w:rsidRPr="004E5E06">
        <w:rPr>
          <w:b/>
          <w:bCs/>
        </w:rPr>
        <w:t>408</w:t>
      </w:r>
      <w:r w:rsidRPr="004E5E06">
        <w:rPr>
          <w:bCs/>
        </w:rPr>
        <w:t xml:space="preserve"> – </w:t>
      </w:r>
      <w:r w:rsidRPr="004E5E06">
        <w:rPr>
          <w:bCs/>
          <w:i/>
        </w:rPr>
        <w:t>Opravy předcházejících účetních období</w:t>
      </w:r>
      <w:r w:rsidRPr="004E5E06">
        <w:rPr>
          <w:bCs/>
        </w:rPr>
        <w:t xml:space="preserve"> </w:t>
      </w:r>
      <w:r w:rsidRPr="004E5E06">
        <w:rPr>
          <w:b/>
          <w:bCs/>
        </w:rPr>
        <w:t>o 107,1</w:t>
      </w:r>
      <w:r>
        <w:rPr>
          <w:b/>
          <w:bCs/>
        </w:rPr>
        <w:t>2</w:t>
      </w:r>
      <w:r w:rsidRPr="004E5E06">
        <w:rPr>
          <w:b/>
          <w:bCs/>
        </w:rPr>
        <w:t xml:space="preserve"> mil. Kč</w:t>
      </w:r>
      <w:r w:rsidRPr="00BA1610">
        <w:rPr>
          <w:b/>
          <w:bCs/>
        </w:rPr>
        <w:t xml:space="preserve">, </w:t>
      </w:r>
      <w:r w:rsidRPr="004E5E06">
        <w:rPr>
          <w:bCs/>
        </w:rPr>
        <w:t>zůstatek na položce</w:t>
      </w:r>
      <w:r w:rsidRPr="004E5E06">
        <w:rPr>
          <w:b/>
          <w:bCs/>
        </w:rPr>
        <w:t xml:space="preserve"> </w:t>
      </w:r>
      <w:r w:rsidRPr="0026773F">
        <w:rPr>
          <w:b/>
          <w:bCs/>
          <w:i/>
        </w:rPr>
        <w:t>C.III. Výsledek hospodaření</w:t>
      </w:r>
      <w:r w:rsidRPr="004E5E06">
        <w:rPr>
          <w:b/>
          <w:bCs/>
        </w:rPr>
        <w:t xml:space="preserve"> o </w:t>
      </w:r>
      <w:r>
        <w:rPr>
          <w:b/>
          <w:bCs/>
        </w:rPr>
        <w:t>1</w:t>
      </w:r>
      <w:r w:rsidRPr="004E5E06">
        <w:rPr>
          <w:b/>
          <w:bCs/>
        </w:rPr>
        <w:t>,</w:t>
      </w:r>
      <w:r>
        <w:rPr>
          <w:b/>
          <w:bCs/>
        </w:rPr>
        <w:t>09</w:t>
      </w:r>
      <w:r w:rsidRPr="004E5E06">
        <w:rPr>
          <w:b/>
          <w:bCs/>
        </w:rPr>
        <w:t xml:space="preserve"> mil. Kč</w:t>
      </w:r>
      <w:r w:rsidRPr="004E5E06">
        <w:rPr>
          <w:bCs/>
        </w:rPr>
        <w:t xml:space="preserve"> </w:t>
      </w:r>
      <w:r>
        <w:rPr>
          <w:bCs/>
        </w:rPr>
        <w:t xml:space="preserve">a zůstatek účtu </w:t>
      </w:r>
      <w:r w:rsidRPr="004E5E06">
        <w:rPr>
          <w:b/>
          <w:bCs/>
        </w:rPr>
        <w:t>406</w:t>
      </w:r>
      <w:r>
        <w:rPr>
          <w:bCs/>
        </w:rPr>
        <w:t xml:space="preserve"> – </w:t>
      </w:r>
      <w:r w:rsidRPr="004E5E06">
        <w:rPr>
          <w:bCs/>
          <w:i/>
        </w:rPr>
        <w:t>Oceňovací rozdíly při prvotním použití metody</w:t>
      </w:r>
      <w:r>
        <w:rPr>
          <w:bCs/>
        </w:rPr>
        <w:t xml:space="preserve"> </w:t>
      </w:r>
      <w:r w:rsidRPr="004E5E06">
        <w:rPr>
          <w:b/>
          <w:bCs/>
        </w:rPr>
        <w:lastRenderedPageBreak/>
        <w:t>o 0,2 mil. Kč</w:t>
      </w:r>
      <w:r>
        <w:rPr>
          <w:bCs/>
        </w:rPr>
        <w:t xml:space="preserve"> </w:t>
      </w:r>
      <w:r w:rsidRPr="004E5E06">
        <w:rPr>
          <w:bCs/>
        </w:rPr>
        <w:t xml:space="preserve">a </w:t>
      </w:r>
      <w:r w:rsidRPr="004E5E06">
        <w:rPr>
          <w:b/>
          <w:bCs/>
        </w:rPr>
        <w:t>nadhodnotilo</w:t>
      </w:r>
      <w:r w:rsidRPr="004E5E06">
        <w:rPr>
          <w:bCs/>
        </w:rPr>
        <w:t xml:space="preserve"> zůstatek účtu </w:t>
      </w:r>
      <w:r w:rsidRPr="004E5E06">
        <w:rPr>
          <w:b/>
          <w:bCs/>
        </w:rPr>
        <w:t>401</w:t>
      </w:r>
      <w:r w:rsidRPr="004E5E06">
        <w:rPr>
          <w:bCs/>
        </w:rPr>
        <w:t xml:space="preserve"> </w:t>
      </w:r>
      <w:r w:rsidRPr="004E5E06">
        <w:t xml:space="preserve">– </w:t>
      </w:r>
      <w:r w:rsidRPr="004E5E06">
        <w:rPr>
          <w:i/>
          <w:iCs/>
        </w:rPr>
        <w:t>Jmění účetní jednotky</w:t>
      </w:r>
      <w:r w:rsidRPr="004E5E06">
        <w:rPr>
          <w:bCs/>
        </w:rPr>
        <w:t xml:space="preserve"> </w:t>
      </w:r>
      <w:r w:rsidRPr="004E5E06">
        <w:rPr>
          <w:b/>
          <w:bCs/>
        </w:rPr>
        <w:t>o 199,</w:t>
      </w:r>
      <w:r>
        <w:rPr>
          <w:b/>
          <w:bCs/>
        </w:rPr>
        <w:t>47</w:t>
      </w:r>
      <w:r w:rsidRPr="004E5E06">
        <w:rPr>
          <w:b/>
          <w:bCs/>
        </w:rPr>
        <w:t xml:space="preserve"> mil. Kč</w:t>
      </w:r>
      <w:r w:rsidR="00034649">
        <w:rPr>
          <w:bCs/>
        </w:rPr>
        <w:t xml:space="preserve"> a </w:t>
      </w:r>
      <w:r w:rsidR="00034649">
        <w:rPr>
          <w:b/>
        </w:rPr>
        <w:t>ve </w:t>
      </w:r>
      <w:r w:rsidRPr="004E5E06">
        <w:rPr>
          <w:b/>
        </w:rPr>
        <w:t>výkazu zisku a ztráty</w:t>
      </w:r>
      <w:r w:rsidRPr="004E5E06">
        <w:t xml:space="preserve"> v údajích za běžné účetní období </w:t>
      </w:r>
      <w:r w:rsidRPr="004E5E06">
        <w:rPr>
          <w:b/>
        </w:rPr>
        <w:t>nad</w:t>
      </w:r>
      <w:r w:rsidRPr="004E5E06">
        <w:rPr>
          <w:b/>
          <w:bCs/>
        </w:rPr>
        <w:t>hodnotilo</w:t>
      </w:r>
      <w:r w:rsidRPr="004E5E06">
        <w:rPr>
          <w:bCs/>
        </w:rPr>
        <w:t xml:space="preserve"> zůstatek účtu</w:t>
      </w:r>
      <w:r w:rsidR="00F27DC8">
        <w:rPr>
          <w:bCs/>
        </w:rPr>
        <w:br/>
      </w:r>
      <w:r w:rsidRPr="004E5E06">
        <w:rPr>
          <w:b/>
          <w:bCs/>
        </w:rPr>
        <w:t>551</w:t>
      </w:r>
      <w:r w:rsidRPr="004E5E06">
        <w:rPr>
          <w:bCs/>
        </w:rPr>
        <w:t xml:space="preserve"> </w:t>
      </w:r>
      <w:r w:rsidRPr="004E5E06">
        <w:t xml:space="preserve">– </w:t>
      </w:r>
      <w:r w:rsidRPr="004E5E06">
        <w:rPr>
          <w:i/>
          <w:iCs/>
        </w:rPr>
        <w:t>Odpisy dlouhodobého majetku</w:t>
      </w:r>
      <w:r w:rsidRPr="004E5E06">
        <w:t xml:space="preserve"> </w:t>
      </w:r>
      <w:r w:rsidRPr="004E5E06">
        <w:rPr>
          <w:b/>
          <w:bCs/>
        </w:rPr>
        <w:t>o 11</w:t>
      </w:r>
      <w:r>
        <w:rPr>
          <w:b/>
          <w:bCs/>
        </w:rPr>
        <w:t>7,97</w:t>
      </w:r>
      <w:r w:rsidRPr="004E5E06">
        <w:rPr>
          <w:b/>
          <w:bCs/>
        </w:rPr>
        <w:t xml:space="preserve"> mil. Kč</w:t>
      </w:r>
      <w:r w:rsidRPr="0026773F">
        <w:rPr>
          <w:b/>
          <w:bCs/>
          <w:color w:val="000000" w:themeColor="text1"/>
        </w:rPr>
        <w:t>.</w:t>
      </w:r>
    </w:p>
    <w:p w14:paraId="664156D3" w14:textId="77777777" w:rsidR="005A66F4" w:rsidRPr="00DD7970" w:rsidRDefault="005A66F4" w:rsidP="00E62519">
      <w:pPr>
        <w:spacing w:after="0"/>
        <w:jc w:val="both"/>
        <w:rPr>
          <w:rFonts w:cs="Calibri"/>
          <w:color w:val="000000" w:themeColor="text1"/>
        </w:rPr>
      </w:pPr>
    </w:p>
    <w:p w14:paraId="73ACD955" w14:textId="77777777" w:rsidR="00A0762F" w:rsidRDefault="008E6E48" w:rsidP="00881C61">
      <w:pPr>
        <w:pStyle w:val="Odstavecseseznamem"/>
        <w:numPr>
          <w:ilvl w:val="1"/>
          <w:numId w:val="2"/>
        </w:numPr>
        <w:ind w:left="357" w:hanging="357"/>
        <w:contextualSpacing w:val="0"/>
        <w:rPr>
          <w:rFonts w:cs="Calibri"/>
          <w:b/>
        </w:rPr>
      </w:pPr>
      <w:r w:rsidRPr="004D29B1">
        <w:rPr>
          <w:rFonts w:cs="Calibri"/>
          <w:b/>
          <w:lang w:eastAsia="cs-CZ"/>
        </w:rPr>
        <w:t>Meziroční navýšení významnosti stanovené MMR pro účtování na podrozvahových účtech</w:t>
      </w:r>
    </w:p>
    <w:p w14:paraId="1713330A" w14:textId="58236217" w:rsidR="00926B71" w:rsidRPr="001A79A3" w:rsidRDefault="0099645D" w:rsidP="00A0762F">
      <w:pPr>
        <w:spacing w:after="0"/>
        <w:jc w:val="both"/>
        <w:rPr>
          <w:rFonts w:cs="Calibri"/>
          <w:b/>
        </w:rPr>
      </w:pPr>
      <w:r w:rsidRPr="00A0762F">
        <w:rPr>
          <w:rFonts w:cs="Calibri"/>
          <w:b/>
        </w:rPr>
        <w:t xml:space="preserve">ČÚS č. 701 </w:t>
      </w:r>
      <w:r w:rsidR="0006539C">
        <w:rPr>
          <w:bCs/>
        </w:rPr>
        <w:t>–</w:t>
      </w:r>
      <w:r w:rsidRPr="00A0762F">
        <w:rPr>
          <w:rFonts w:cs="Calibri"/>
          <w:b/>
        </w:rPr>
        <w:t xml:space="preserve"> </w:t>
      </w:r>
      <w:r w:rsidR="003873A4" w:rsidRPr="0026773F">
        <w:rPr>
          <w:rFonts w:cs="Calibri"/>
          <w:b/>
          <w:i/>
        </w:rPr>
        <w:t>Účty a zásady účtování na účtech</w:t>
      </w:r>
      <w:r w:rsidR="003873A4" w:rsidRPr="00A0762F">
        <w:rPr>
          <w:rFonts w:cs="Calibri"/>
          <w:b/>
        </w:rPr>
        <w:t xml:space="preserve"> </w:t>
      </w:r>
      <w:r w:rsidRPr="00A0762F">
        <w:rPr>
          <w:rFonts w:cs="Calibri"/>
          <w:b/>
        </w:rPr>
        <w:t>stanovuje</w:t>
      </w:r>
      <w:r w:rsidR="003873A4" w:rsidRPr="00A0762F">
        <w:rPr>
          <w:rFonts w:cs="Calibri"/>
          <w:b/>
        </w:rPr>
        <w:t xml:space="preserve"> </w:t>
      </w:r>
      <w:r w:rsidR="00445CBB">
        <w:rPr>
          <w:rFonts w:cs="Calibri"/>
          <w:b/>
        </w:rPr>
        <w:t xml:space="preserve">pro některé vybrané účetní jednotky </w:t>
      </w:r>
      <w:r w:rsidR="003873A4" w:rsidRPr="00A0762F">
        <w:rPr>
          <w:rFonts w:cs="Calibri"/>
          <w:b/>
        </w:rPr>
        <w:t>mimo jiné i to, kdy se informace považuje za významnou ve vztahu k účtování na</w:t>
      </w:r>
      <w:r w:rsidR="00881C61">
        <w:rPr>
          <w:rFonts w:cs="Calibri"/>
          <w:b/>
        </w:rPr>
        <w:t xml:space="preserve"> </w:t>
      </w:r>
      <w:r w:rsidR="003873A4" w:rsidRPr="00A0762F">
        <w:rPr>
          <w:rFonts w:cs="Calibri"/>
          <w:b/>
        </w:rPr>
        <w:t>podrozvahových účtech</w:t>
      </w:r>
      <w:r w:rsidR="004F0B43">
        <w:rPr>
          <w:rStyle w:val="Znakapoznpodarou"/>
          <w:rFonts w:cs="Calibri"/>
          <w:b/>
        </w:rPr>
        <w:footnoteReference w:id="29"/>
      </w:r>
      <w:r w:rsidR="003873A4" w:rsidRPr="00A0762F">
        <w:rPr>
          <w:rFonts w:cs="Calibri"/>
          <w:b/>
        </w:rPr>
        <w:t>.</w:t>
      </w:r>
    </w:p>
    <w:p w14:paraId="5699CA38" w14:textId="77777777" w:rsidR="008E6E48" w:rsidRDefault="008E6E48" w:rsidP="00A0762F">
      <w:pPr>
        <w:spacing w:after="0"/>
        <w:jc w:val="both"/>
        <w:rPr>
          <w:rFonts w:cs="Calibri"/>
          <w:b/>
          <w:highlight w:val="yellow"/>
        </w:rPr>
      </w:pPr>
    </w:p>
    <w:p w14:paraId="64EF9A09" w14:textId="794A3308" w:rsidR="008E6E48" w:rsidRPr="00AE5596" w:rsidRDefault="008E6E48" w:rsidP="00A0762F">
      <w:pPr>
        <w:spacing w:after="0"/>
        <w:jc w:val="both"/>
        <w:rPr>
          <w:rFonts w:cs="Calibri"/>
          <w:b/>
        </w:rPr>
      </w:pPr>
      <w:r w:rsidRPr="00AE5596">
        <w:rPr>
          <w:rFonts w:cs="Calibri"/>
          <w:b/>
        </w:rPr>
        <w:t>Dle názoru NKÚ musí být</w:t>
      </w:r>
      <w:r w:rsidR="004C5487">
        <w:rPr>
          <w:rFonts w:cs="Calibri"/>
          <w:b/>
        </w:rPr>
        <w:t xml:space="preserve"> významnost </w:t>
      </w:r>
      <w:r w:rsidR="0006539C">
        <w:rPr>
          <w:rFonts w:cs="Calibri"/>
          <w:b/>
        </w:rPr>
        <w:t xml:space="preserve">při </w:t>
      </w:r>
      <w:r w:rsidR="004C5487">
        <w:rPr>
          <w:rFonts w:cs="Calibri"/>
          <w:b/>
        </w:rPr>
        <w:t>účtování stanov</w:t>
      </w:r>
      <w:r w:rsidR="00034649">
        <w:rPr>
          <w:rFonts w:cs="Calibri"/>
          <w:b/>
        </w:rPr>
        <w:t>ena s ohledem na významnost při</w:t>
      </w:r>
      <w:r w:rsidR="00881C61">
        <w:rPr>
          <w:rFonts w:cs="Calibri"/>
          <w:b/>
        </w:rPr>
        <w:t xml:space="preserve"> </w:t>
      </w:r>
      <w:r w:rsidR="004C5487">
        <w:rPr>
          <w:rFonts w:cs="Calibri"/>
          <w:b/>
        </w:rPr>
        <w:t>vykázání v ÚZ.</w:t>
      </w:r>
      <w:r w:rsidR="004C5487">
        <w:rPr>
          <w:rStyle w:val="Znakapoznpodarou"/>
          <w:rFonts w:cs="Calibri"/>
          <w:b/>
        </w:rPr>
        <w:footnoteReference w:id="30"/>
      </w:r>
      <w:r w:rsidR="00876A46" w:rsidRPr="00AE5596">
        <w:rPr>
          <w:rFonts w:cs="Calibri"/>
          <w:b/>
        </w:rPr>
        <w:t xml:space="preserve"> </w:t>
      </w:r>
      <w:r w:rsidR="004C5487">
        <w:rPr>
          <w:rFonts w:cs="Calibri"/>
          <w:b/>
        </w:rPr>
        <w:t>U</w:t>
      </w:r>
      <w:r w:rsidR="00D6379A">
        <w:rPr>
          <w:rFonts w:cs="Calibri"/>
          <w:b/>
        </w:rPr>
        <w:t xml:space="preserve">stanovení o významnosti </w:t>
      </w:r>
      <w:r w:rsidR="00AD7C84" w:rsidRPr="00AE5596">
        <w:rPr>
          <w:rFonts w:cs="Calibri"/>
          <w:b/>
        </w:rPr>
        <w:t xml:space="preserve">v ČÚS </w:t>
      </w:r>
      <w:r w:rsidR="00B93BAE">
        <w:rPr>
          <w:rFonts w:cs="Calibri"/>
          <w:b/>
        </w:rPr>
        <w:t xml:space="preserve">č. </w:t>
      </w:r>
      <w:r w:rsidR="00AD7C84" w:rsidRPr="00AE5596">
        <w:rPr>
          <w:rFonts w:cs="Calibri"/>
          <w:b/>
        </w:rPr>
        <w:t>701</w:t>
      </w:r>
      <w:r w:rsidR="001C456E">
        <w:rPr>
          <w:rFonts w:cs="Calibri"/>
          <w:b/>
        </w:rPr>
        <w:t>,</w:t>
      </w:r>
      <w:r w:rsidR="00AD7C84" w:rsidRPr="00AE5596">
        <w:rPr>
          <w:rFonts w:cs="Calibri"/>
          <w:b/>
        </w:rPr>
        <w:t xml:space="preserve"> </w:t>
      </w:r>
      <w:r w:rsidRPr="00AE5596">
        <w:rPr>
          <w:rFonts w:cs="Calibri"/>
          <w:b/>
        </w:rPr>
        <w:t>a</w:t>
      </w:r>
      <w:r w:rsidR="00AD7C84" w:rsidRPr="00AE5596">
        <w:rPr>
          <w:rFonts w:cs="Calibri"/>
          <w:b/>
        </w:rPr>
        <w:t xml:space="preserve"> tím</w:t>
      </w:r>
      <w:r w:rsidR="00876A46" w:rsidRPr="00AE5596">
        <w:rPr>
          <w:rFonts w:cs="Calibri"/>
          <w:b/>
        </w:rPr>
        <w:t xml:space="preserve"> i</w:t>
      </w:r>
      <w:r w:rsidRPr="00AE5596">
        <w:rPr>
          <w:rFonts w:cs="Calibri"/>
          <w:b/>
        </w:rPr>
        <w:t xml:space="preserve"> </w:t>
      </w:r>
      <w:r w:rsidR="00AD7C84" w:rsidRPr="00AE5596">
        <w:rPr>
          <w:rFonts w:cs="Calibri"/>
          <w:b/>
        </w:rPr>
        <w:t xml:space="preserve">uvedené </w:t>
      </w:r>
      <w:r w:rsidR="00C32364" w:rsidRPr="00AE5596">
        <w:rPr>
          <w:rFonts w:cs="Calibri"/>
          <w:b/>
        </w:rPr>
        <w:t>u</w:t>
      </w:r>
      <w:r w:rsidRPr="00AE5596">
        <w:rPr>
          <w:rFonts w:cs="Calibri"/>
          <w:b/>
        </w:rPr>
        <w:t>stanovení</w:t>
      </w:r>
      <w:r w:rsidR="00C32364" w:rsidRPr="00AE5596">
        <w:rPr>
          <w:rFonts w:cs="Calibri"/>
          <w:b/>
        </w:rPr>
        <w:t xml:space="preserve"> o</w:t>
      </w:r>
      <w:r w:rsidR="00034649">
        <w:rPr>
          <w:rFonts w:cs="Calibri"/>
          <w:b/>
        </w:rPr>
        <w:t> </w:t>
      </w:r>
      <w:r w:rsidRPr="00AE5596">
        <w:rPr>
          <w:rFonts w:cs="Calibri"/>
          <w:b/>
        </w:rPr>
        <w:t>významnosti pro účtování na podrozvahových účtech</w:t>
      </w:r>
      <w:r w:rsidR="00AD7C84" w:rsidRPr="00AE5596">
        <w:rPr>
          <w:rFonts w:cs="Calibri"/>
          <w:b/>
        </w:rPr>
        <w:t>,</w:t>
      </w:r>
      <w:r w:rsidR="004C5487">
        <w:rPr>
          <w:rFonts w:cs="Calibri"/>
          <w:b/>
        </w:rPr>
        <w:t xml:space="preserve"> musí proto</w:t>
      </w:r>
      <w:r w:rsidR="00B93BAE">
        <w:rPr>
          <w:rFonts w:cs="Calibri"/>
          <w:b/>
        </w:rPr>
        <w:t xml:space="preserve"> být</w:t>
      </w:r>
      <w:r w:rsidR="005F327A" w:rsidRPr="00AE5596">
        <w:rPr>
          <w:rFonts w:cs="Calibri"/>
          <w:b/>
        </w:rPr>
        <w:t xml:space="preserve"> aplikován</w:t>
      </w:r>
      <w:r w:rsidR="00AD7C84" w:rsidRPr="00AE5596">
        <w:rPr>
          <w:rFonts w:cs="Calibri"/>
          <w:b/>
        </w:rPr>
        <w:t>a</w:t>
      </w:r>
      <w:r w:rsidR="00876A46" w:rsidRPr="00AE5596">
        <w:rPr>
          <w:rFonts w:cs="Calibri"/>
          <w:b/>
        </w:rPr>
        <w:t xml:space="preserve"> účetní jednotkou</w:t>
      </w:r>
      <w:r w:rsidR="005F327A" w:rsidRPr="00AE5596">
        <w:rPr>
          <w:rFonts w:cs="Calibri"/>
          <w:b/>
        </w:rPr>
        <w:t xml:space="preserve"> </w:t>
      </w:r>
      <w:r w:rsidR="00EA1E03" w:rsidRPr="00AE5596">
        <w:rPr>
          <w:rFonts w:cs="Calibri"/>
          <w:b/>
        </w:rPr>
        <w:t>v</w:t>
      </w:r>
      <w:r w:rsidR="005F327A" w:rsidRPr="00AE5596">
        <w:rPr>
          <w:rFonts w:cs="Calibri"/>
          <w:b/>
        </w:rPr>
        <w:t> </w:t>
      </w:r>
      <w:r w:rsidR="00EA1E03" w:rsidRPr="00AE5596">
        <w:rPr>
          <w:rFonts w:cs="Calibri"/>
          <w:b/>
        </w:rPr>
        <w:t>pojetí</w:t>
      </w:r>
      <w:r w:rsidRPr="00AE5596">
        <w:rPr>
          <w:rFonts w:cs="Calibri"/>
          <w:b/>
        </w:rPr>
        <w:t xml:space="preserve"> </w:t>
      </w:r>
      <w:r w:rsidR="00AD7C84" w:rsidRPr="00AE5596">
        <w:rPr>
          <w:rFonts w:cs="Calibri"/>
          <w:b/>
        </w:rPr>
        <w:t xml:space="preserve">tzv. </w:t>
      </w:r>
      <w:r w:rsidRPr="00AE5596">
        <w:rPr>
          <w:rFonts w:cs="Calibri"/>
          <w:b/>
        </w:rPr>
        <w:t>„de minimis“</w:t>
      </w:r>
      <w:r w:rsidRPr="00AE5596">
        <w:rPr>
          <w:rStyle w:val="Znakapoznpodarou"/>
          <w:rFonts w:cs="Calibri"/>
          <w:b/>
        </w:rPr>
        <w:footnoteReference w:id="31"/>
      </w:r>
      <w:r w:rsidR="005F327A" w:rsidRPr="00AE5596">
        <w:rPr>
          <w:rFonts w:cs="Calibri"/>
          <w:b/>
        </w:rPr>
        <w:t xml:space="preserve">. </w:t>
      </w:r>
      <w:r w:rsidR="004C5487">
        <w:rPr>
          <w:rFonts w:cs="Calibri"/>
          <w:b/>
        </w:rPr>
        <w:t>Tedy tak, aby účetní jednotkou použitý konkrétní způsob stanovení významnosti pro účtování zajistil i výsledné vykázání významných informací v účetní závěrce.</w:t>
      </w:r>
      <w:r w:rsidR="00B93BAE">
        <w:rPr>
          <w:rFonts w:cs="Calibri"/>
          <w:b/>
        </w:rPr>
        <w:t xml:space="preserve"> </w:t>
      </w:r>
      <w:r w:rsidR="00B93BAE" w:rsidRPr="00B93BAE">
        <w:rPr>
          <w:rFonts w:cs="Calibri"/>
          <w:b/>
        </w:rPr>
        <w:t>Izolované a nepropojené zvažování významnosti pro účtování od</w:t>
      </w:r>
      <w:r w:rsidR="00881C61">
        <w:rPr>
          <w:rFonts w:cs="Calibri"/>
          <w:b/>
        </w:rPr>
        <w:t xml:space="preserve"> </w:t>
      </w:r>
      <w:r w:rsidR="00B93BAE" w:rsidRPr="00B93BAE">
        <w:rPr>
          <w:rFonts w:cs="Calibri"/>
          <w:b/>
        </w:rPr>
        <w:t>významnosti pro vykázání v účetní závěrce by jinak</w:t>
      </w:r>
      <w:r w:rsidR="00034649">
        <w:rPr>
          <w:rFonts w:cs="Calibri"/>
          <w:b/>
        </w:rPr>
        <w:t xml:space="preserve"> mohlo zásadním způsobem vést k </w:t>
      </w:r>
      <w:r w:rsidR="00B93BAE" w:rsidRPr="00B93BAE">
        <w:rPr>
          <w:rFonts w:cs="Calibri"/>
          <w:b/>
        </w:rPr>
        <w:t>narušení</w:t>
      </w:r>
      <w:r w:rsidR="00A959A4">
        <w:rPr>
          <w:rFonts w:cs="Calibri"/>
          <w:b/>
        </w:rPr>
        <w:t xml:space="preserve"> hlavního smyslu výkaznictví, což je</w:t>
      </w:r>
      <w:r w:rsidR="00B93BAE" w:rsidRPr="00B93BAE">
        <w:rPr>
          <w:rFonts w:cs="Calibri"/>
          <w:b/>
        </w:rPr>
        <w:t xml:space="preserve"> podat uživatelům účetní závěrky významné informace, o nichž bylo či mělo být účtováno.</w:t>
      </w:r>
      <w:r w:rsidR="004C5487">
        <w:rPr>
          <w:rFonts w:cs="Calibri"/>
          <w:b/>
        </w:rPr>
        <w:t xml:space="preserve"> </w:t>
      </w:r>
    </w:p>
    <w:p w14:paraId="56F5475A" w14:textId="77777777" w:rsidR="00926B71" w:rsidRDefault="00926B71" w:rsidP="007719D3">
      <w:pPr>
        <w:spacing w:after="0"/>
        <w:jc w:val="both"/>
        <w:rPr>
          <w:rFonts w:cs="Calibri"/>
          <w:b/>
          <w:highlight w:val="yellow"/>
        </w:rPr>
      </w:pPr>
    </w:p>
    <w:p w14:paraId="1ABF19BF" w14:textId="0D8AC83A" w:rsidR="001E389E" w:rsidRPr="004966AD" w:rsidRDefault="0018243E" w:rsidP="007719D3">
      <w:pPr>
        <w:spacing w:after="0"/>
        <w:jc w:val="both"/>
        <w:rPr>
          <w:rFonts w:cs="Calibri"/>
          <w:b/>
        </w:rPr>
      </w:pPr>
      <w:r w:rsidRPr="004966AD">
        <w:rPr>
          <w:rFonts w:cs="Calibri"/>
          <w:b/>
        </w:rPr>
        <w:t>MMR</w:t>
      </w:r>
      <w:r w:rsidR="001E389E" w:rsidRPr="004966AD">
        <w:rPr>
          <w:rFonts w:cs="Calibri"/>
          <w:b/>
        </w:rPr>
        <w:t xml:space="preserve"> významnost pro účtování na podrozvahových účtech stanovilo</w:t>
      </w:r>
      <w:r w:rsidR="009D5159">
        <w:rPr>
          <w:rFonts w:cs="Calibri"/>
          <w:b/>
        </w:rPr>
        <w:t xml:space="preserve"> </w:t>
      </w:r>
      <w:r w:rsidR="001E389E" w:rsidRPr="004966AD">
        <w:rPr>
          <w:rFonts w:cs="Calibri"/>
          <w:b/>
        </w:rPr>
        <w:t>na úrovni jednotlivých účetních případů</w:t>
      </w:r>
      <w:r w:rsidR="00B93BAE">
        <w:rPr>
          <w:rFonts w:cs="Calibri"/>
          <w:b/>
        </w:rPr>
        <w:t>.</w:t>
      </w:r>
      <w:r w:rsidR="009D5159">
        <w:rPr>
          <w:rFonts w:cs="Calibri"/>
          <w:b/>
        </w:rPr>
        <w:t xml:space="preserve"> </w:t>
      </w:r>
      <w:r w:rsidR="00B93BAE" w:rsidRPr="00A959A4">
        <w:rPr>
          <w:rFonts w:cs="Calibri"/>
          <w:b/>
        </w:rPr>
        <w:t>S</w:t>
      </w:r>
      <w:r w:rsidR="00AD7C84">
        <w:rPr>
          <w:rFonts w:cs="Calibri"/>
        </w:rPr>
        <w:t xml:space="preserve"> </w:t>
      </w:r>
      <w:r w:rsidR="001E389E" w:rsidRPr="004966AD">
        <w:rPr>
          <w:rFonts w:cs="Calibri"/>
          <w:b/>
        </w:rPr>
        <w:t>účinností od ledna 2018</w:t>
      </w:r>
      <w:r w:rsidR="008E6E48">
        <w:rPr>
          <w:rFonts w:cs="Calibri"/>
          <w:b/>
        </w:rPr>
        <w:t xml:space="preserve"> </w:t>
      </w:r>
      <w:r w:rsidR="00AD7C84">
        <w:rPr>
          <w:rFonts w:cs="Calibri"/>
          <w:b/>
        </w:rPr>
        <w:t>t</w:t>
      </w:r>
      <w:r w:rsidR="009D5159">
        <w:rPr>
          <w:rFonts w:cs="Calibri"/>
          <w:b/>
        </w:rPr>
        <w:t>akto stanovenou významnost</w:t>
      </w:r>
      <w:r w:rsidR="00881C61">
        <w:rPr>
          <w:rFonts w:cs="Calibri"/>
          <w:b/>
        </w:rPr>
        <w:t xml:space="preserve"> </w:t>
      </w:r>
      <w:r w:rsidR="00AD7C84">
        <w:rPr>
          <w:rFonts w:cs="Calibri"/>
          <w:b/>
        </w:rPr>
        <w:t>výrazně zvýšilo</w:t>
      </w:r>
      <w:r w:rsidR="00A959A4">
        <w:rPr>
          <w:rFonts w:cs="Calibri"/>
          <w:b/>
        </w:rPr>
        <w:t>,</w:t>
      </w:r>
      <w:r w:rsidR="00881C61">
        <w:rPr>
          <w:rFonts w:cs="Calibri"/>
          <w:b/>
        </w:rPr>
        <w:t xml:space="preserve"> </w:t>
      </w:r>
      <w:r w:rsidR="008E6E48">
        <w:rPr>
          <w:rFonts w:cs="Calibri"/>
          <w:b/>
        </w:rPr>
        <w:t>z</w:t>
      </w:r>
      <w:r w:rsidR="001E389E" w:rsidRPr="00281B56">
        <w:rPr>
          <w:rFonts w:cs="Calibri"/>
        </w:rPr>
        <w:t xml:space="preserve"> částky přesahující </w:t>
      </w:r>
      <w:r w:rsidR="001E389E" w:rsidRPr="00281B56">
        <w:rPr>
          <w:rFonts w:cs="Calibri"/>
          <w:b/>
        </w:rPr>
        <w:t>2 mil. Kč</w:t>
      </w:r>
      <w:r w:rsidR="001E389E" w:rsidRPr="00281B56">
        <w:rPr>
          <w:rFonts w:cs="Calibri"/>
        </w:rPr>
        <w:t xml:space="preserve"> </w:t>
      </w:r>
      <w:r w:rsidR="001E389E" w:rsidRPr="00281B56">
        <w:rPr>
          <w:rFonts w:cs="Calibri"/>
          <w:b/>
        </w:rPr>
        <w:t>na</w:t>
      </w:r>
      <w:r w:rsidR="001E389E" w:rsidRPr="00281B56">
        <w:rPr>
          <w:rFonts w:cs="Calibri"/>
        </w:rPr>
        <w:t xml:space="preserve"> částku přesahující </w:t>
      </w:r>
      <w:r w:rsidR="001E389E" w:rsidRPr="00281B56">
        <w:rPr>
          <w:rFonts w:cs="Calibri"/>
          <w:b/>
        </w:rPr>
        <w:t>40 mil. Kč</w:t>
      </w:r>
      <w:r w:rsidR="00A959A4">
        <w:rPr>
          <w:rFonts w:cs="Calibri"/>
          <w:b/>
        </w:rPr>
        <w:t>,</w:t>
      </w:r>
      <w:r w:rsidR="00B93BAE">
        <w:rPr>
          <w:rFonts w:cs="Calibri"/>
          <w:b/>
        </w:rPr>
        <w:t xml:space="preserve"> a to bez analýzy dopadu na údaje vykazované v ÚZ.</w:t>
      </w:r>
    </w:p>
    <w:p w14:paraId="304B63E4" w14:textId="77777777" w:rsidR="00281B56" w:rsidRDefault="00281B56" w:rsidP="007719D3">
      <w:pPr>
        <w:spacing w:after="0"/>
        <w:jc w:val="both"/>
        <w:rPr>
          <w:rFonts w:cs="Calibri"/>
          <w:b/>
          <w:highlight w:val="yellow"/>
        </w:rPr>
      </w:pPr>
    </w:p>
    <w:p w14:paraId="574401CF" w14:textId="6C979462" w:rsidR="004219C5" w:rsidRDefault="00281B56" w:rsidP="007719D3">
      <w:pPr>
        <w:spacing w:after="0"/>
        <w:jc w:val="both"/>
        <w:rPr>
          <w:rFonts w:cs="Calibri"/>
          <w:b/>
        </w:rPr>
      </w:pPr>
      <w:r w:rsidRPr="004966AD">
        <w:rPr>
          <w:rFonts w:cs="Calibri"/>
          <w:b/>
        </w:rPr>
        <w:t xml:space="preserve">Tuto významnost </w:t>
      </w:r>
      <w:r>
        <w:rPr>
          <w:rFonts w:cs="Calibri"/>
          <w:b/>
        </w:rPr>
        <w:t>pak v roce 2018</w:t>
      </w:r>
      <w:r w:rsidR="00B93BAE">
        <w:rPr>
          <w:rFonts w:cs="Calibri"/>
          <w:b/>
        </w:rPr>
        <w:t xml:space="preserve"> MMR</w:t>
      </w:r>
      <w:r>
        <w:rPr>
          <w:rFonts w:cs="Calibri"/>
          <w:b/>
        </w:rPr>
        <w:t xml:space="preserve"> </w:t>
      </w:r>
      <w:r w:rsidRPr="004966AD">
        <w:rPr>
          <w:rFonts w:cs="Calibri"/>
          <w:b/>
        </w:rPr>
        <w:t>aplikovalo</w:t>
      </w:r>
      <w:r>
        <w:rPr>
          <w:rFonts w:cs="Calibri"/>
          <w:b/>
        </w:rPr>
        <w:t xml:space="preserve"> </w:t>
      </w:r>
      <w:r w:rsidRPr="004966AD">
        <w:rPr>
          <w:rFonts w:cs="Calibri"/>
          <w:b/>
        </w:rPr>
        <w:t>i pro účtování</w:t>
      </w:r>
      <w:r>
        <w:rPr>
          <w:rFonts w:cs="Calibri"/>
          <w:b/>
        </w:rPr>
        <w:t xml:space="preserve"> </w:t>
      </w:r>
      <w:r w:rsidR="00EA0BDA">
        <w:rPr>
          <w:rFonts w:cs="Calibri"/>
          <w:b/>
        </w:rPr>
        <w:t>o</w:t>
      </w:r>
      <w:r>
        <w:rPr>
          <w:rFonts w:cs="Calibri"/>
          <w:b/>
        </w:rPr>
        <w:t xml:space="preserve"> vedených soudních spor</w:t>
      </w:r>
      <w:r w:rsidR="00EA0BDA">
        <w:rPr>
          <w:rFonts w:cs="Calibri"/>
          <w:b/>
        </w:rPr>
        <w:t>ech</w:t>
      </w:r>
      <w:r w:rsidR="00DA56BB">
        <w:rPr>
          <w:rFonts w:cs="Calibri"/>
          <w:b/>
        </w:rPr>
        <w:t xml:space="preserve"> s MMR, u nichž věcně příslušný útvar nevyloučil riziko neúspěchu</w:t>
      </w:r>
      <w:r w:rsidR="00EA0BDA">
        <w:rPr>
          <w:rStyle w:val="Znakapoznpodarou"/>
          <w:rFonts w:cs="Calibri"/>
          <w:b/>
        </w:rPr>
        <w:footnoteReference w:id="32"/>
      </w:r>
      <w:r w:rsidR="00DA56BB">
        <w:rPr>
          <w:rFonts w:cs="Calibri"/>
          <w:b/>
        </w:rPr>
        <w:t>,</w:t>
      </w:r>
      <w:r>
        <w:rPr>
          <w:rFonts w:cs="Calibri"/>
          <w:b/>
        </w:rPr>
        <w:t xml:space="preserve"> </w:t>
      </w:r>
      <w:r w:rsidR="00595E0E">
        <w:rPr>
          <w:rFonts w:cs="Calibri"/>
          <w:b/>
        </w:rPr>
        <w:t xml:space="preserve">o </w:t>
      </w:r>
      <w:r>
        <w:rPr>
          <w:rFonts w:cs="Calibri"/>
          <w:b/>
        </w:rPr>
        <w:t>plánované</w:t>
      </w:r>
      <w:r w:rsidR="00EA0BDA">
        <w:rPr>
          <w:rFonts w:cs="Calibri"/>
          <w:b/>
        </w:rPr>
        <w:t>m</w:t>
      </w:r>
      <w:r>
        <w:rPr>
          <w:rFonts w:cs="Calibri"/>
          <w:b/>
        </w:rPr>
        <w:t xml:space="preserve"> poskytnutí dotací </w:t>
      </w:r>
      <w:r w:rsidR="00A0762F">
        <w:rPr>
          <w:rFonts w:cs="Calibri"/>
          <w:b/>
        </w:rPr>
        <w:t>na základě</w:t>
      </w:r>
      <w:r>
        <w:rPr>
          <w:rFonts w:cs="Calibri"/>
          <w:b/>
        </w:rPr>
        <w:t xml:space="preserve"> existence již vydaného </w:t>
      </w:r>
      <w:r w:rsidR="00B93BAE">
        <w:rPr>
          <w:rFonts w:cs="Calibri"/>
          <w:b/>
        </w:rPr>
        <w:t>r</w:t>
      </w:r>
      <w:r>
        <w:rPr>
          <w:rFonts w:cs="Calibri"/>
          <w:b/>
        </w:rPr>
        <w:t>ozhodnutí o poskytnutí dotace</w:t>
      </w:r>
      <w:r w:rsidR="00D5627E">
        <w:rPr>
          <w:rFonts w:cs="Calibri"/>
          <w:b/>
          <w:vertAlign w:val="superscript"/>
        </w:rPr>
        <w:t>31</w:t>
      </w:r>
      <w:r w:rsidR="00034649">
        <w:rPr>
          <w:rFonts w:cs="Calibri"/>
          <w:b/>
        </w:rPr>
        <w:t xml:space="preserve"> a </w:t>
      </w:r>
      <w:r w:rsidR="00595E0E">
        <w:rPr>
          <w:rFonts w:cs="Calibri"/>
          <w:b/>
        </w:rPr>
        <w:t>o</w:t>
      </w:r>
      <w:r w:rsidR="00034649">
        <w:rPr>
          <w:rFonts w:cs="Calibri"/>
          <w:b/>
        </w:rPr>
        <w:t> </w:t>
      </w:r>
      <w:r>
        <w:rPr>
          <w:rFonts w:cs="Calibri"/>
          <w:b/>
        </w:rPr>
        <w:t>zástav</w:t>
      </w:r>
      <w:r w:rsidR="00595E0E">
        <w:rPr>
          <w:rFonts w:cs="Calibri"/>
          <w:b/>
        </w:rPr>
        <w:t>ách</w:t>
      </w:r>
      <w:r>
        <w:rPr>
          <w:rFonts w:cs="Calibri"/>
          <w:b/>
        </w:rPr>
        <w:t xml:space="preserve"> zapsaných do katastru nemovitostí na základě platných smluv o zřízení zástavního práva</w:t>
      </w:r>
      <w:r w:rsidR="00EA0BDA">
        <w:rPr>
          <w:rFonts w:cs="Calibri"/>
          <w:b/>
        </w:rPr>
        <w:t xml:space="preserve"> ve prospěch MMR.</w:t>
      </w:r>
      <w:r w:rsidR="00EA0BDA">
        <w:rPr>
          <w:rStyle w:val="Znakapoznpodarou"/>
          <w:rFonts w:cs="Calibri"/>
          <w:b/>
        </w:rPr>
        <w:footnoteReference w:id="33"/>
      </w:r>
      <w:r>
        <w:rPr>
          <w:rFonts w:cs="Calibri"/>
          <w:b/>
        </w:rPr>
        <w:t xml:space="preserve"> </w:t>
      </w:r>
      <w:r w:rsidR="00456FCA">
        <w:rPr>
          <w:rFonts w:cs="Calibri"/>
          <w:b/>
        </w:rPr>
        <w:t>Kontr</w:t>
      </w:r>
      <w:r w:rsidRPr="004966AD">
        <w:rPr>
          <w:rFonts w:cs="Calibri"/>
          <w:b/>
        </w:rPr>
        <w:t>olou bylo zjištěno, že tato aplikace významnosti</w:t>
      </w:r>
      <w:r>
        <w:rPr>
          <w:rFonts w:cs="Calibri"/>
          <w:b/>
        </w:rPr>
        <w:t xml:space="preserve"> vedla</w:t>
      </w:r>
      <w:r w:rsidR="00456FCA">
        <w:rPr>
          <w:rFonts w:cs="Calibri"/>
          <w:b/>
        </w:rPr>
        <w:t xml:space="preserve"> v</w:t>
      </w:r>
      <w:r w:rsidR="006C11D9">
        <w:rPr>
          <w:rFonts w:cs="Calibri"/>
          <w:b/>
        </w:rPr>
        <w:t xml:space="preserve"> jednotlivých výše </w:t>
      </w:r>
      <w:r w:rsidR="00456FCA">
        <w:rPr>
          <w:rFonts w:cs="Calibri"/>
          <w:b/>
        </w:rPr>
        <w:t>uvedených oblastech</w:t>
      </w:r>
      <w:r>
        <w:rPr>
          <w:rFonts w:cs="Calibri"/>
          <w:b/>
        </w:rPr>
        <w:t xml:space="preserve"> </w:t>
      </w:r>
      <w:r w:rsidR="006C11D9">
        <w:rPr>
          <w:rFonts w:cs="Calibri"/>
          <w:b/>
        </w:rPr>
        <w:t>jen za</w:t>
      </w:r>
      <w:r w:rsidR="00B671FC">
        <w:rPr>
          <w:rFonts w:cs="Calibri"/>
          <w:b/>
        </w:rPr>
        <w:t xml:space="preserve"> </w:t>
      </w:r>
      <w:r w:rsidR="004219C5">
        <w:rPr>
          <w:rFonts w:cs="Calibri"/>
          <w:b/>
        </w:rPr>
        <w:t xml:space="preserve">souhrn </w:t>
      </w:r>
      <w:r w:rsidR="006C11D9">
        <w:rPr>
          <w:rFonts w:cs="Calibri"/>
          <w:b/>
        </w:rPr>
        <w:t>vybraných</w:t>
      </w:r>
      <w:r w:rsidR="00456FCA">
        <w:rPr>
          <w:rFonts w:cs="Calibri"/>
          <w:b/>
        </w:rPr>
        <w:t xml:space="preserve"> kontrolovaných</w:t>
      </w:r>
      <w:r w:rsidR="004219C5">
        <w:rPr>
          <w:rFonts w:cs="Calibri"/>
          <w:b/>
        </w:rPr>
        <w:t xml:space="preserve"> případů k nevykázání značného rozsahu skutečností v ÚZ.</w:t>
      </w:r>
      <w:r w:rsidR="00595E0E">
        <w:rPr>
          <w:rFonts w:cs="Calibri"/>
          <w:b/>
        </w:rPr>
        <w:t xml:space="preserve"> </w:t>
      </w:r>
      <w:r w:rsidR="006C11D9">
        <w:rPr>
          <w:rFonts w:cs="Calibri"/>
          <w:b/>
        </w:rPr>
        <w:t>U</w:t>
      </w:r>
      <w:r w:rsidR="00595E0E">
        <w:rPr>
          <w:rFonts w:cs="Calibri"/>
          <w:b/>
        </w:rPr>
        <w:t xml:space="preserve"> soudních sporů </w:t>
      </w:r>
      <w:r w:rsidR="001C456E">
        <w:rPr>
          <w:rFonts w:cs="Calibri"/>
          <w:b/>
        </w:rPr>
        <w:t>vedených</w:t>
      </w:r>
      <w:r w:rsidR="00DA56BB">
        <w:rPr>
          <w:rFonts w:cs="Calibri"/>
          <w:b/>
        </w:rPr>
        <w:t xml:space="preserve"> s</w:t>
      </w:r>
      <w:r w:rsidR="007A64BA">
        <w:rPr>
          <w:rFonts w:cs="Calibri"/>
          <w:b/>
        </w:rPr>
        <w:t> </w:t>
      </w:r>
      <w:r w:rsidR="001C456E">
        <w:rPr>
          <w:rFonts w:cs="Calibri"/>
          <w:b/>
        </w:rPr>
        <w:t xml:space="preserve">MMR </w:t>
      </w:r>
      <w:r w:rsidR="00B671FC">
        <w:rPr>
          <w:rFonts w:cs="Calibri"/>
          <w:b/>
        </w:rPr>
        <w:t xml:space="preserve">to bylo </w:t>
      </w:r>
      <w:r w:rsidR="00595E0E">
        <w:rPr>
          <w:rFonts w:cs="Calibri"/>
          <w:b/>
        </w:rPr>
        <w:t>ve výši 346 mil. Kč, u plánovan</w:t>
      </w:r>
      <w:r w:rsidR="002B6C82">
        <w:rPr>
          <w:rFonts w:cs="Calibri"/>
          <w:b/>
        </w:rPr>
        <w:t>ého</w:t>
      </w:r>
      <w:r w:rsidR="00595E0E">
        <w:rPr>
          <w:rFonts w:cs="Calibri"/>
          <w:b/>
        </w:rPr>
        <w:t xml:space="preserve"> poskytnutí dotací </w:t>
      </w:r>
      <w:r w:rsidR="001C456E">
        <w:rPr>
          <w:rFonts w:cs="Calibri"/>
          <w:b/>
        </w:rPr>
        <w:t xml:space="preserve">dle existujících </w:t>
      </w:r>
      <w:r w:rsidR="00B93BAE">
        <w:rPr>
          <w:rFonts w:cs="Calibri"/>
          <w:b/>
        </w:rPr>
        <w:t>r</w:t>
      </w:r>
      <w:r w:rsidR="001C456E">
        <w:rPr>
          <w:rFonts w:cs="Calibri"/>
          <w:b/>
        </w:rPr>
        <w:t xml:space="preserve">ozhodnutí </w:t>
      </w:r>
      <w:r w:rsidR="006C11D9">
        <w:rPr>
          <w:rFonts w:cs="Calibri"/>
          <w:b/>
        </w:rPr>
        <w:t xml:space="preserve">ve výši </w:t>
      </w:r>
      <w:r w:rsidR="00595E0E">
        <w:rPr>
          <w:rFonts w:cs="Calibri"/>
          <w:b/>
        </w:rPr>
        <w:t xml:space="preserve">624 mil. Kč a u </w:t>
      </w:r>
      <w:r w:rsidR="001C456E">
        <w:rPr>
          <w:rFonts w:cs="Calibri"/>
          <w:b/>
        </w:rPr>
        <w:t>zajištění</w:t>
      </w:r>
      <w:r w:rsidR="00595E0E">
        <w:rPr>
          <w:rFonts w:cs="Calibri"/>
          <w:b/>
        </w:rPr>
        <w:t xml:space="preserve"> pohledáv</w:t>
      </w:r>
      <w:r w:rsidR="001C456E">
        <w:rPr>
          <w:rFonts w:cs="Calibri"/>
          <w:b/>
        </w:rPr>
        <w:t>e</w:t>
      </w:r>
      <w:r w:rsidR="00595E0E">
        <w:rPr>
          <w:rFonts w:cs="Calibri"/>
          <w:b/>
        </w:rPr>
        <w:t xml:space="preserve">k </w:t>
      </w:r>
      <w:r w:rsidR="006C11D9">
        <w:rPr>
          <w:rFonts w:cs="Calibri"/>
          <w:b/>
        </w:rPr>
        <w:t>v</w:t>
      </w:r>
      <w:r w:rsidR="00595E0E">
        <w:rPr>
          <w:rFonts w:cs="Calibri"/>
          <w:b/>
        </w:rPr>
        <w:t xml:space="preserve">e formě zástavního práva </w:t>
      </w:r>
      <w:r w:rsidR="001C456E">
        <w:rPr>
          <w:rFonts w:cs="Calibri"/>
          <w:b/>
        </w:rPr>
        <w:t xml:space="preserve">zapsaného </w:t>
      </w:r>
      <w:r w:rsidR="00595E0E">
        <w:rPr>
          <w:rFonts w:cs="Calibri"/>
          <w:b/>
        </w:rPr>
        <w:lastRenderedPageBreak/>
        <w:t xml:space="preserve">ve prospěch MMR </w:t>
      </w:r>
      <w:r w:rsidR="006C11D9">
        <w:rPr>
          <w:rFonts w:cs="Calibri"/>
          <w:b/>
        </w:rPr>
        <w:t xml:space="preserve">ve výši </w:t>
      </w:r>
      <w:r w:rsidR="00595E0E">
        <w:rPr>
          <w:rFonts w:cs="Calibri"/>
          <w:b/>
        </w:rPr>
        <w:t>567 mil. Kč. Všechny tyto skutečnosti v souhrnné hodnotě přes 1,5 mld. Kč nebyly v ÚZ vykázány</w:t>
      </w:r>
      <w:r w:rsidR="00B93BAE">
        <w:rPr>
          <w:rFonts w:cs="Calibri"/>
          <w:b/>
        </w:rPr>
        <w:t>, přestože jsou dle názoru NKÚ významné</w:t>
      </w:r>
      <w:r w:rsidR="00595E0E">
        <w:rPr>
          <w:rFonts w:cs="Calibri"/>
          <w:b/>
        </w:rPr>
        <w:t xml:space="preserve">. </w:t>
      </w:r>
    </w:p>
    <w:p w14:paraId="67065630" w14:textId="77777777" w:rsidR="004C5487" w:rsidRDefault="004C5487" w:rsidP="007719D3">
      <w:pPr>
        <w:spacing w:after="0"/>
        <w:jc w:val="both"/>
        <w:rPr>
          <w:rFonts w:cs="Calibri"/>
          <w:b/>
        </w:rPr>
      </w:pPr>
    </w:p>
    <w:p w14:paraId="7925502B" w14:textId="6BF6770C" w:rsidR="004C5487" w:rsidRDefault="004C5487" w:rsidP="007719D3">
      <w:pPr>
        <w:spacing w:after="0"/>
        <w:jc w:val="both"/>
        <w:rPr>
          <w:rFonts w:cs="Calibri"/>
          <w:b/>
        </w:rPr>
      </w:pPr>
      <w:r>
        <w:rPr>
          <w:rFonts w:cs="Calibri"/>
          <w:b/>
        </w:rPr>
        <w:t>Z uvedeného je zřejmé, že stanovení významnosti pro účtování bez ohledu na významnost při vykázání v ÚZ vedlo v těchto konkrétních případech k významné neúplnosti informací v ÚZ.</w:t>
      </w:r>
    </w:p>
    <w:p w14:paraId="27816E92" w14:textId="77777777" w:rsidR="004F0B43" w:rsidRDefault="004F0B43" w:rsidP="00F41A40">
      <w:pPr>
        <w:spacing w:after="0"/>
        <w:jc w:val="both"/>
        <w:rPr>
          <w:rFonts w:cs="Calibri"/>
        </w:rPr>
      </w:pPr>
    </w:p>
    <w:p w14:paraId="2B7B8EB6" w14:textId="711049B4" w:rsidR="00F41A40" w:rsidRDefault="00010B7B" w:rsidP="00F41A40">
      <w:pPr>
        <w:spacing w:after="0"/>
        <w:jc w:val="both"/>
        <w:rPr>
          <w:rFonts w:cs="Calibri"/>
        </w:rPr>
      </w:pPr>
      <w:r>
        <w:rPr>
          <w:rFonts w:cs="Calibri"/>
        </w:rPr>
        <w:t xml:space="preserve">V důsledku této </w:t>
      </w:r>
      <w:r w:rsidR="004219C5">
        <w:rPr>
          <w:rFonts w:cs="Calibri"/>
        </w:rPr>
        <w:t xml:space="preserve">aplikace významnosti </w:t>
      </w:r>
      <w:r w:rsidR="007B6924">
        <w:rPr>
          <w:rFonts w:cs="Calibri"/>
        </w:rPr>
        <w:t xml:space="preserve">pro účtování </w:t>
      </w:r>
      <w:r w:rsidR="00456FCA">
        <w:rPr>
          <w:rFonts w:cs="Calibri"/>
        </w:rPr>
        <w:t xml:space="preserve">tak MMR </w:t>
      </w:r>
      <w:r w:rsidR="00921D7F" w:rsidRPr="00987C9F">
        <w:rPr>
          <w:rFonts w:cs="Calibri"/>
          <w:b/>
        </w:rPr>
        <w:t>v</w:t>
      </w:r>
      <w:r>
        <w:rPr>
          <w:rFonts w:cs="Calibri"/>
          <w:b/>
        </w:rPr>
        <w:t> </w:t>
      </w:r>
      <w:r w:rsidR="00921D7F" w:rsidRPr="00987C9F">
        <w:rPr>
          <w:rFonts w:cs="Calibri"/>
          <w:b/>
        </w:rPr>
        <w:t>příloze</w:t>
      </w:r>
      <w:r>
        <w:rPr>
          <w:rFonts w:cs="Calibri"/>
          <w:b/>
        </w:rPr>
        <w:t xml:space="preserve"> účetní závěrky</w:t>
      </w:r>
      <w:r w:rsidR="00456FCA">
        <w:rPr>
          <w:rFonts w:cs="Calibri"/>
          <w:b/>
        </w:rPr>
        <w:t xml:space="preserve"> vykázalo</w:t>
      </w:r>
      <w:r w:rsidR="00921D7F" w:rsidRPr="00987C9F">
        <w:rPr>
          <w:rFonts w:cs="Calibri"/>
          <w:b/>
        </w:rPr>
        <w:t xml:space="preserve"> na</w:t>
      </w:r>
      <w:r w:rsidR="00921D7F">
        <w:rPr>
          <w:rFonts w:cs="Calibri"/>
        </w:rPr>
        <w:t xml:space="preserve"> podrozvahových účtech </w:t>
      </w:r>
      <w:r w:rsidR="00921D7F" w:rsidRPr="00987C9F">
        <w:rPr>
          <w:rFonts w:cs="Calibri"/>
          <w:b/>
        </w:rPr>
        <w:t>956</w:t>
      </w:r>
      <w:r w:rsidR="00921D7F" w:rsidRPr="00921D7F">
        <w:rPr>
          <w:rFonts w:cs="Calibri"/>
        </w:rPr>
        <w:t xml:space="preserve"> – </w:t>
      </w:r>
      <w:r w:rsidR="00921D7F" w:rsidRPr="00921D7F">
        <w:rPr>
          <w:rFonts w:cs="Calibri"/>
          <w:i/>
        </w:rPr>
        <w:t>Ostatní dlouhodobé podmíněné závazky z</w:t>
      </w:r>
      <w:r w:rsidR="00921D7F">
        <w:rPr>
          <w:rFonts w:cs="Calibri"/>
          <w:i/>
        </w:rPr>
        <w:t> </w:t>
      </w:r>
      <w:r w:rsidR="00921D7F" w:rsidRPr="00921D7F">
        <w:rPr>
          <w:rFonts w:cs="Calibri"/>
          <w:i/>
        </w:rPr>
        <w:t>transferů</w:t>
      </w:r>
      <w:r w:rsidR="00921D7F">
        <w:rPr>
          <w:rFonts w:cs="Calibri"/>
        </w:rPr>
        <w:t>,</w:t>
      </w:r>
      <w:r w:rsidR="00F27DC8">
        <w:rPr>
          <w:rFonts w:cs="Calibri"/>
        </w:rPr>
        <w:br/>
      </w:r>
      <w:r w:rsidR="00921D7F" w:rsidRPr="00987C9F">
        <w:rPr>
          <w:rFonts w:cs="Calibri"/>
          <w:b/>
        </w:rPr>
        <w:t>986</w:t>
      </w:r>
      <w:r w:rsidR="00921D7F" w:rsidRPr="00921D7F">
        <w:rPr>
          <w:rFonts w:cs="Calibri"/>
        </w:rPr>
        <w:t xml:space="preserve"> – </w:t>
      </w:r>
      <w:r w:rsidR="00921D7F" w:rsidRPr="00921D7F">
        <w:rPr>
          <w:rFonts w:cs="Calibri"/>
          <w:i/>
        </w:rPr>
        <w:t>Dlouhodobé podmíněné závazky ze soudních sporů, správních řízení a jiných řízení</w:t>
      </w:r>
      <w:r w:rsidR="00F27DC8">
        <w:rPr>
          <w:rFonts w:cs="Calibri"/>
          <w:i/>
        </w:rPr>
        <w:br/>
      </w:r>
      <w:r w:rsidR="00921D7F" w:rsidRPr="00987C9F">
        <w:rPr>
          <w:rFonts w:cs="Calibri"/>
          <w:b/>
        </w:rPr>
        <w:t>a 945</w:t>
      </w:r>
      <w:r w:rsidR="00921D7F" w:rsidRPr="00921D7F">
        <w:rPr>
          <w:rFonts w:cs="Calibri"/>
        </w:rPr>
        <w:t xml:space="preserve"> – </w:t>
      </w:r>
      <w:r w:rsidR="00921D7F" w:rsidRPr="00921D7F">
        <w:rPr>
          <w:rFonts w:cs="Calibri"/>
          <w:i/>
        </w:rPr>
        <w:t>Dlouhodobé podmíněné úhrady pohledávek z přijatých zajištění</w:t>
      </w:r>
      <w:r w:rsidR="00C52804">
        <w:rPr>
          <w:rFonts w:cs="Calibri"/>
        </w:rPr>
        <w:t xml:space="preserve"> </w:t>
      </w:r>
      <w:r w:rsidR="00C52804" w:rsidRPr="00987C9F">
        <w:rPr>
          <w:rFonts w:cs="Calibri"/>
          <w:b/>
        </w:rPr>
        <w:t>nesrovnatelné, nesrozumitelné a nespolehlivé informace</w:t>
      </w:r>
      <w:r w:rsidR="00C52804">
        <w:rPr>
          <w:rFonts w:cs="Calibri"/>
          <w:b/>
        </w:rPr>
        <w:t>.</w:t>
      </w:r>
      <w:r w:rsidR="00921D7F">
        <w:rPr>
          <w:rFonts w:cs="Calibri"/>
        </w:rPr>
        <w:t xml:space="preserve"> </w:t>
      </w:r>
    </w:p>
    <w:p w14:paraId="3E1EB462" w14:textId="77777777" w:rsidR="00C52804" w:rsidRDefault="00C52804" w:rsidP="007719D3">
      <w:pPr>
        <w:spacing w:after="0"/>
        <w:jc w:val="both"/>
        <w:rPr>
          <w:rFonts w:cs="Calibri"/>
        </w:rPr>
      </w:pPr>
    </w:p>
    <w:p w14:paraId="3AFAEC64" w14:textId="750FC7C2" w:rsidR="00C52804" w:rsidRDefault="00921D7F" w:rsidP="007719D3">
      <w:pPr>
        <w:spacing w:after="0"/>
        <w:jc w:val="both"/>
        <w:rPr>
          <w:rFonts w:cs="Calibri"/>
        </w:rPr>
      </w:pPr>
      <w:r w:rsidRPr="00AE5596">
        <w:rPr>
          <w:rFonts w:cs="Calibri"/>
          <w:b/>
        </w:rPr>
        <w:t xml:space="preserve">Informace </w:t>
      </w:r>
      <w:r w:rsidR="00C52804" w:rsidRPr="00AE5596">
        <w:rPr>
          <w:rFonts w:cs="Calibri"/>
          <w:b/>
        </w:rPr>
        <w:t xml:space="preserve">vykázané na těchto účtech </w:t>
      </w:r>
      <w:r w:rsidR="00575E1B">
        <w:rPr>
          <w:rFonts w:cs="Calibri"/>
          <w:b/>
        </w:rPr>
        <w:t>k 31. prosinci</w:t>
      </w:r>
      <w:r w:rsidR="00C52804" w:rsidRPr="00AE5596">
        <w:rPr>
          <w:rFonts w:cs="Calibri"/>
          <w:b/>
        </w:rPr>
        <w:t xml:space="preserve"> 2018 </w:t>
      </w:r>
      <w:r w:rsidR="00F41A40" w:rsidRPr="00AE5596">
        <w:rPr>
          <w:rFonts w:cs="Calibri"/>
          <w:b/>
        </w:rPr>
        <w:t>ne</w:t>
      </w:r>
      <w:r w:rsidR="00C52804" w:rsidRPr="00AE5596">
        <w:rPr>
          <w:rFonts w:cs="Calibri"/>
          <w:b/>
        </w:rPr>
        <w:t>jsou srovnatelné</w:t>
      </w:r>
      <w:r w:rsidR="000A1E9B" w:rsidRPr="00AE5596">
        <w:rPr>
          <w:rFonts w:cs="Calibri"/>
          <w:b/>
        </w:rPr>
        <w:t xml:space="preserve"> </w:t>
      </w:r>
      <w:r w:rsidR="00C52804" w:rsidRPr="00AE5596">
        <w:rPr>
          <w:rFonts w:cs="Calibri"/>
          <w:b/>
        </w:rPr>
        <w:t>s</w:t>
      </w:r>
      <w:r w:rsidR="00575E1B">
        <w:rPr>
          <w:rFonts w:cs="Calibri"/>
          <w:b/>
        </w:rPr>
        <w:t> informacemi vykázanými k 31. prosinci</w:t>
      </w:r>
      <w:r w:rsidR="00B671FC">
        <w:rPr>
          <w:rFonts w:cs="Calibri"/>
          <w:b/>
        </w:rPr>
        <w:t xml:space="preserve"> </w:t>
      </w:r>
      <w:r w:rsidR="00C52804" w:rsidRPr="00AE5596">
        <w:rPr>
          <w:rFonts w:cs="Calibri"/>
          <w:b/>
        </w:rPr>
        <w:t>2017</w:t>
      </w:r>
      <w:r w:rsidR="00575E1B">
        <w:rPr>
          <w:rFonts w:cs="Calibri"/>
          <w:b/>
        </w:rPr>
        <w:t xml:space="preserve"> v ÚZ</w:t>
      </w:r>
      <w:r w:rsidR="000A1E9B" w:rsidRPr="0026773F">
        <w:rPr>
          <w:rFonts w:cs="Calibri"/>
          <w:b/>
        </w:rPr>
        <w:t>,</w:t>
      </w:r>
      <w:r w:rsidR="000A1E9B" w:rsidRPr="00AE5596">
        <w:rPr>
          <w:rFonts w:cs="Calibri"/>
        </w:rPr>
        <w:t xml:space="preserve"> neboť</w:t>
      </w:r>
      <w:r w:rsidR="00C52804" w:rsidRPr="00AE5596">
        <w:rPr>
          <w:rFonts w:cs="Calibri"/>
          <w:b/>
        </w:rPr>
        <w:t xml:space="preserve"> </w:t>
      </w:r>
      <w:r w:rsidRPr="00575E1B">
        <w:rPr>
          <w:rFonts w:cs="Calibri"/>
        </w:rPr>
        <w:t xml:space="preserve">MMR </w:t>
      </w:r>
      <w:r w:rsidR="00D37E4D" w:rsidRPr="00575E1B">
        <w:rPr>
          <w:rFonts w:cs="Calibri"/>
        </w:rPr>
        <w:t xml:space="preserve">na jednom a tom samém řádku/položce </w:t>
      </w:r>
      <w:r w:rsidRPr="00575E1B">
        <w:rPr>
          <w:rFonts w:cs="Calibri"/>
        </w:rPr>
        <w:t>příloh</w:t>
      </w:r>
      <w:r w:rsidR="000A1E9B" w:rsidRPr="00575E1B">
        <w:rPr>
          <w:rFonts w:cs="Calibri"/>
        </w:rPr>
        <w:t>y</w:t>
      </w:r>
      <w:r w:rsidRPr="00575E1B">
        <w:rPr>
          <w:rFonts w:cs="Calibri"/>
        </w:rPr>
        <w:t xml:space="preserve"> </w:t>
      </w:r>
      <w:r w:rsidR="00C52804" w:rsidRPr="00575E1B">
        <w:rPr>
          <w:rFonts w:cs="Calibri"/>
        </w:rPr>
        <w:t xml:space="preserve">účetní závěrky vykázalo </w:t>
      </w:r>
      <w:r w:rsidRPr="00575E1B">
        <w:rPr>
          <w:rFonts w:cs="Calibri"/>
        </w:rPr>
        <w:t xml:space="preserve">ve sloupci </w:t>
      </w:r>
      <w:r w:rsidR="004C0A38" w:rsidRPr="00575E1B">
        <w:rPr>
          <w:rFonts w:cs="Calibri"/>
        </w:rPr>
        <w:t>„</w:t>
      </w:r>
      <w:r w:rsidRPr="00575E1B">
        <w:rPr>
          <w:rFonts w:cs="Calibri"/>
        </w:rPr>
        <w:t>minulé účetní období</w:t>
      </w:r>
      <w:r w:rsidR="004C0A38" w:rsidRPr="00575E1B">
        <w:rPr>
          <w:rFonts w:cs="Calibri"/>
        </w:rPr>
        <w:t>“</w:t>
      </w:r>
      <w:r w:rsidRPr="00575E1B">
        <w:rPr>
          <w:rFonts w:cs="Calibri"/>
        </w:rPr>
        <w:t xml:space="preserve"> </w:t>
      </w:r>
      <w:r w:rsidR="000A1E9B" w:rsidRPr="00575E1B">
        <w:rPr>
          <w:rFonts w:cs="Calibri"/>
        </w:rPr>
        <w:t>konečný zůstatek účetních případů</w:t>
      </w:r>
      <w:r w:rsidR="00401592">
        <w:rPr>
          <w:rFonts w:cs="Calibri"/>
        </w:rPr>
        <w:t>,</w:t>
      </w:r>
      <w:r w:rsidR="004C0A38" w:rsidRPr="00575E1B">
        <w:rPr>
          <w:rFonts w:cs="Calibri"/>
        </w:rPr>
        <w:t xml:space="preserve"> u kterých </w:t>
      </w:r>
      <w:r w:rsidR="000A1E9B" w:rsidRPr="00575E1B">
        <w:rPr>
          <w:rFonts w:cs="Calibri"/>
        </w:rPr>
        <w:t xml:space="preserve">částka v jednotlivém případě </w:t>
      </w:r>
      <w:r w:rsidR="004C0A38" w:rsidRPr="00575E1B">
        <w:rPr>
          <w:rFonts w:cs="Calibri"/>
        </w:rPr>
        <w:t xml:space="preserve">přesáhla </w:t>
      </w:r>
      <w:r w:rsidR="000A1E9B" w:rsidRPr="00575E1B">
        <w:rPr>
          <w:rFonts w:cs="Calibri"/>
        </w:rPr>
        <w:t>2 mil. Kč</w:t>
      </w:r>
      <w:r w:rsidR="008E58FF">
        <w:rPr>
          <w:rFonts w:cs="Calibri"/>
        </w:rPr>
        <w:t>,</w:t>
      </w:r>
      <w:r w:rsidR="000A1E9B" w:rsidRPr="00575E1B">
        <w:rPr>
          <w:rFonts w:cs="Calibri"/>
        </w:rPr>
        <w:t xml:space="preserve"> a</w:t>
      </w:r>
      <w:r w:rsidR="00401592">
        <w:rPr>
          <w:rFonts w:cs="Calibri"/>
        </w:rPr>
        <w:t xml:space="preserve"> </w:t>
      </w:r>
      <w:r w:rsidRPr="00575E1B">
        <w:rPr>
          <w:rFonts w:cs="Calibri"/>
        </w:rPr>
        <w:t xml:space="preserve">ve sloupci </w:t>
      </w:r>
      <w:r w:rsidR="004C0A38" w:rsidRPr="00575E1B">
        <w:rPr>
          <w:rFonts w:cs="Calibri"/>
        </w:rPr>
        <w:t>„</w:t>
      </w:r>
      <w:r w:rsidRPr="00575E1B">
        <w:rPr>
          <w:rFonts w:cs="Calibri"/>
        </w:rPr>
        <w:t>běžné účetní období</w:t>
      </w:r>
      <w:r w:rsidR="004C0A38" w:rsidRPr="00575E1B">
        <w:rPr>
          <w:rFonts w:cs="Calibri"/>
        </w:rPr>
        <w:t>“</w:t>
      </w:r>
      <w:r w:rsidR="00C52804" w:rsidRPr="00575E1B">
        <w:rPr>
          <w:rFonts w:cs="Calibri"/>
        </w:rPr>
        <w:t xml:space="preserve"> vykázalo </w:t>
      </w:r>
      <w:r w:rsidR="004C0A38" w:rsidRPr="00575E1B">
        <w:rPr>
          <w:rFonts w:cs="Calibri"/>
        </w:rPr>
        <w:t>konečný</w:t>
      </w:r>
      <w:r w:rsidR="004C0A38">
        <w:rPr>
          <w:rFonts w:cs="Calibri"/>
        </w:rPr>
        <w:t xml:space="preserve"> zůstatek účetních případů</w:t>
      </w:r>
      <w:r w:rsidR="00401592">
        <w:rPr>
          <w:rFonts w:cs="Calibri"/>
        </w:rPr>
        <w:t>,</w:t>
      </w:r>
      <w:r w:rsidR="004C0A38">
        <w:rPr>
          <w:rFonts w:cs="Calibri"/>
        </w:rPr>
        <w:t xml:space="preserve"> u kterých částka v jednotlivém případě přesáhla </w:t>
      </w:r>
      <w:r w:rsidR="00CD7785">
        <w:rPr>
          <w:rFonts w:cs="Calibri"/>
        </w:rPr>
        <w:t>40 mil. Kč</w:t>
      </w:r>
      <w:r w:rsidR="004C0A38">
        <w:rPr>
          <w:rFonts w:cs="Calibri"/>
        </w:rPr>
        <w:t>.</w:t>
      </w:r>
      <w:r w:rsidRPr="00921D7F">
        <w:rPr>
          <w:rFonts w:cs="Calibri"/>
        </w:rPr>
        <w:t xml:space="preserve"> Taková </w:t>
      </w:r>
      <w:r w:rsidRPr="00987C9F">
        <w:rPr>
          <w:rFonts w:cs="Calibri"/>
          <w:b/>
        </w:rPr>
        <w:t xml:space="preserve">informace neumožňuje provést srovnání údajů za minulé a </w:t>
      </w:r>
      <w:r w:rsidR="004C0A38" w:rsidRPr="001A79A3">
        <w:rPr>
          <w:rFonts w:cs="Calibri"/>
          <w:b/>
        </w:rPr>
        <w:t>běžné období</w:t>
      </w:r>
      <w:r w:rsidR="004C0A38" w:rsidRPr="0026773F">
        <w:rPr>
          <w:rFonts w:cs="Calibri"/>
          <w:b/>
        </w:rPr>
        <w:t>,</w:t>
      </w:r>
      <w:r w:rsidRPr="00921D7F">
        <w:rPr>
          <w:rFonts w:cs="Calibri"/>
        </w:rPr>
        <w:t xml:space="preserve"> resp. takové srovnání by mohlo vést uživatele k nesprávnému rozhodnutí.</w:t>
      </w:r>
      <w:r w:rsidR="00E76D23">
        <w:rPr>
          <w:rFonts w:cs="Calibri"/>
        </w:rPr>
        <w:t xml:space="preserve"> </w:t>
      </w:r>
    </w:p>
    <w:p w14:paraId="474B9B88" w14:textId="77777777" w:rsidR="00C52804" w:rsidRDefault="00C52804" w:rsidP="007719D3">
      <w:pPr>
        <w:spacing w:after="0"/>
        <w:jc w:val="both"/>
        <w:rPr>
          <w:rFonts w:cs="Calibri"/>
        </w:rPr>
      </w:pPr>
    </w:p>
    <w:p w14:paraId="3A9A9D21" w14:textId="7D35CA8F" w:rsidR="00C52804" w:rsidRDefault="00E76D23" w:rsidP="007719D3">
      <w:pPr>
        <w:spacing w:after="0"/>
        <w:jc w:val="both"/>
        <w:rPr>
          <w:rFonts w:cs="Calibri"/>
        </w:rPr>
      </w:pPr>
      <w:r w:rsidRPr="00AE5596">
        <w:rPr>
          <w:rFonts w:cs="Calibri"/>
          <w:b/>
        </w:rPr>
        <w:t xml:space="preserve">Informace </w:t>
      </w:r>
      <w:r w:rsidR="004C0A38" w:rsidRPr="00AE5596">
        <w:rPr>
          <w:rFonts w:cs="Calibri"/>
          <w:b/>
        </w:rPr>
        <w:t xml:space="preserve">vykázané na těchto účtech </w:t>
      </w:r>
      <w:r w:rsidR="008E6E48">
        <w:rPr>
          <w:rFonts w:cs="Calibri"/>
          <w:b/>
        </w:rPr>
        <w:t>ne</w:t>
      </w:r>
      <w:r w:rsidR="004C0A38" w:rsidRPr="00AE5596">
        <w:rPr>
          <w:rFonts w:cs="Calibri"/>
          <w:b/>
        </w:rPr>
        <w:t xml:space="preserve">jsou </w:t>
      </w:r>
      <w:r w:rsidR="004C0A38" w:rsidRPr="00456FCA">
        <w:rPr>
          <w:rFonts w:cs="Calibri"/>
          <w:b/>
        </w:rPr>
        <w:t>srozumitelné</w:t>
      </w:r>
      <w:r w:rsidR="004C0A38" w:rsidRPr="004966AD">
        <w:rPr>
          <w:rFonts w:cs="Calibri"/>
          <w:b/>
        </w:rPr>
        <w:t>,</w:t>
      </w:r>
      <w:r w:rsidR="004C0A38">
        <w:rPr>
          <w:rFonts w:cs="Calibri"/>
        </w:rPr>
        <w:t xml:space="preserve"> neboť</w:t>
      </w:r>
      <w:r>
        <w:rPr>
          <w:rFonts w:cs="Calibri"/>
        </w:rPr>
        <w:t xml:space="preserve"> </w:t>
      </w:r>
      <w:r w:rsidR="00F41A40">
        <w:rPr>
          <w:rFonts w:cs="Calibri"/>
        </w:rPr>
        <w:t xml:space="preserve">z </w:t>
      </w:r>
      <w:r>
        <w:rPr>
          <w:rFonts w:cs="Calibri"/>
        </w:rPr>
        <w:t xml:space="preserve">přílohy </w:t>
      </w:r>
      <w:r w:rsidR="004C0A38">
        <w:rPr>
          <w:rFonts w:cs="Calibri"/>
        </w:rPr>
        <w:t xml:space="preserve">účetní závěrky </w:t>
      </w:r>
      <w:r w:rsidRPr="00E76D23">
        <w:rPr>
          <w:rFonts w:cs="Calibri"/>
        </w:rPr>
        <w:t xml:space="preserve">není zřejmé, jak významné skutečnosti MMR na </w:t>
      </w:r>
      <w:r w:rsidR="004C0A38">
        <w:rPr>
          <w:rFonts w:cs="Calibri"/>
        </w:rPr>
        <w:t>podrozvahových účtech vykázalo</w:t>
      </w:r>
      <w:r w:rsidRPr="00E76D23">
        <w:rPr>
          <w:rFonts w:cs="Calibri"/>
        </w:rPr>
        <w:t xml:space="preserve"> a k jaké významné změně</w:t>
      </w:r>
      <w:r w:rsidR="004C0A38">
        <w:rPr>
          <w:rFonts w:cs="Calibri"/>
        </w:rPr>
        <w:t xml:space="preserve"> meziročně</w:t>
      </w:r>
      <w:r w:rsidRPr="00E76D23">
        <w:rPr>
          <w:rFonts w:cs="Calibri"/>
        </w:rPr>
        <w:t xml:space="preserve"> ve vykazování mezi účetními obdobími 2017 a 2018 </w:t>
      </w:r>
      <w:r w:rsidR="007A64BA">
        <w:rPr>
          <w:rFonts w:cs="Calibri"/>
        </w:rPr>
        <w:t>na</w:t>
      </w:r>
      <w:r w:rsidR="008E58FF">
        <w:rPr>
          <w:rFonts w:cs="Calibri"/>
        </w:rPr>
        <w:t xml:space="preserve"> </w:t>
      </w:r>
      <w:r w:rsidR="004C0A38">
        <w:rPr>
          <w:rFonts w:cs="Calibri"/>
        </w:rPr>
        <w:t xml:space="preserve">podrozvahových účtech </w:t>
      </w:r>
      <w:r w:rsidRPr="00E76D23">
        <w:rPr>
          <w:rFonts w:cs="Calibri"/>
        </w:rPr>
        <w:t xml:space="preserve">došlo. </w:t>
      </w:r>
      <w:r w:rsidRPr="00987C9F">
        <w:rPr>
          <w:rFonts w:cs="Calibri"/>
          <w:b/>
        </w:rPr>
        <w:t xml:space="preserve">Informaci o </w:t>
      </w:r>
      <w:r w:rsidR="004C0A38">
        <w:rPr>
          <w:rFonts w:cs="Calibri"/>
          <w:b/>
        </w:rPr>
        <w:t xml:space="preserve">takové </w:t>
      </w:r>
      <w:r w:rsidRPr="00987C9F">
        <w:rPr>
          <w:rFonts w:cs="Calibri"/>
          <w:b/>
        </w:rPr>
        <w:t>významné</w:t>
      </w:r>
      <w:r w:rsidR="004C0A38">
        <w:rPr>
          <w:rFonts w:cs="Calibri"/>
          <w:b/>
        </w:rPr>
        <w:t xml:space="preserve"> systémové</w:t>
      </w:r>
      <w:r w:rsidRPr="00987C9F">
        <w:rPr>
          <w:rFonts w:cs="Calibri"/>
          <w:b/>
        </w:rPr>
        <w:t xml:space="preserve"> změně</w:t>
      </w:r>
      <w:r w:rsidRPr="00E76D23">
        <w:rPr>
          <w:rFonts w:cs="Calibri"/>
        </w:rPr>
        <w:t xml:space="preserve"> </w:t>
      </w:r>
      <w:r w:rsidRPr="00987C9F">
        <w:rPr>
          <w:rFonts w:cs="Calibri"/>
          <w:b/>
        </w:rPr>
        <w:t>mělo MMR komentovat v</w:t>
      </w:r>
      <w:r w:rsidR="004C0A38">
        <w:rPr>
          <w:rFonts w:cs="Calibri"/>
          <w:b/>
        </w:rPr>
        <w:t> </w:t>
      </w:r>
      <w:r w:rsidR="00B5096E" w:rsidRPr="00987C9F">
        <w:rPr>
          <w:rFonts w:cs="Calibri"/>
          <w:b/>
        </w:rPr>
        <w:t>p</w:t>
      </w:r>
      <w:r w:rsidRPr="00987C9F">
        <w:rPr>
          <w:rFonts w:cs="Calibri"/>
          <w:b/>
        </w:rPr>
        <w:t>říloze</w:t>
      </w:r>
      <w:r w:rsidR="004C0A38">
        <w:rPr>
          <w:rFonts w:cs="Calibri"/>
          <w:b/>
        </w:rPr>
        <w:t xml:space="preserve"> účetní závěrky</w:t>
      </w:r>
      <w:r w:rsidR="00401592">
        <w:rPr>
          <w:rFonts w:cs="Calibri"/>
          <w:b/>
        </w:rPr>
        <w:t>,</w:t>
      </w:r>
      <w:r w:rsidRPr="00E76D23">
        <w:rPr>
          <w:rFonts w:cs="Calibri"/>
        </w:rPr>
        <w:t xml:space="preserve"> neboť taková informace je významná pro správné pochopení údajů</w:t>
      </w:r>
      <w:r w:rsidR="004C0A38">
        <w:rPr>
          <w:rFonts w:cs="Calibri"/>
        </w:rPr>
        <w:t xml:space="preserve"> z podrozvahových účtů</w:t>
      </w:r>
      <w:r w:rsidRPr="00E76D23">
        <w:rPr>
          <w:rFonts w:cs="Calibri"/>
        </w:rPr>
        <w:t xml:space="preserve"> zveřejněných v účetní závěrce </w:t>
      </w:r>
      <w:r w:rsidR="004C0A38">
        <w:rPr>
          <w:rFonts w:cs="Calibri"/>
        </w:rPr>
        <w:t xml:space="preserve">i </w:t>
      </w:r>
      <w:r w:rsidRPr="00E76D23">
        <w:rPr>
          <w:rFonts w:cs="Calibri"/>
        </w:rPr>
        <w:t>pro</w:t>
      </w:r>
      <w:r w:rsidR="004C0A38">
        <w:rPr>
          <w:rFonts w:cs="Calibri"/>
        </w:rPr>
        <w:t xml:space="preserve"> jejich</w:t>
      </w:r>
      <w:r w:rsidRPr="00E76D23">
        <w:rPr>
          <w:rFonts w:cs="Calibri"/>
        </w:rPr>
        <w:t xml:space="preserve"> srovnatelnost</w:t>
      </w:r>
      <w:r w:rsidR="004C0A38">
        <w:rPr>
          <w:rFonts w:cs="Calibri"/>
        </w:rPr>
        <w:t>.</w:t>
      </w:r>
    </w:p>
    <w:p w14:paraId="588AC3F8" w14:textId="77777777" w:rsidR="00C52804" w:rsidRDefault="00C52804" w:rsidP="007719D3">
      <w:pPr>
        <w:spacing w:after="0"/>
        <w:jc w:val="both"/>
        <w:rPr>
          <w:rFonts w:cs="Calibri"/>
        </w:rPr>
      </w:pPr>
    </w:p>
    <w:p w14:paraId="5E8CD7C9" w14:textId="4419AC46" w:rsidR="005B3C72" w:rsidRPr="00AE5596" w:rsidRDefault="00E76D23" w:rsidP="007719D3">
      <w:pPr>
        <w:spacing w:after="0"/>
        <w:jc w:val="both"/>
        <w:rPr>
          <w:rFonts w:cs="Calibri"/>
          <w:b/>
        </w:rPr>
      </w:pPr>
      <w:r w:rsidRPr="00AE5596">
        <w:rPr>
          <w:rFonts w:cs="Calibri"/>
          <w:b/>
        </w:rPr>
        <w:t xml:space="preserve">Informace </w:t>
      </w:r>
      <w:r w:rsidR="004C0A38" w:rsidRPr="00AE5596">
        <w:rPr>
          <w:rFonts w:cs="Calibri"/>
          <w:b/>
        </w:rPr>
        <w:t xml:space="preserve">vykázané na těchto účtech </w:t>
      </w:r>
      <w:r w:rsidR="008E6E48">
        <w:rPr>
          <w:rFonts w:cs="Calibri"/>
          <w:b/>
        </w:rPr>
        <w:t>ne</w:t>
      </w:r>
      <w:r w:rsidR="004C0A38" w:rsidRPr="00AE5596">
        <w:rPr>
          <w:rFonts w:cs="Calibri"/>
          <w:b/>
        </w:rPr>
        <w:t xml:space="preserve">jsou spolehlivé, neboť </w:t>
      </w:r>
      <w:r w:rsidR="004C0A38" w:rsidRPr="00AE5596">
        <w:rPr>
          <w:rFonts w:cs="Calibri"/>
        </w:rPr>
        <w:t>v důsledku tak vysoké významnosti stanovené pro účtování jednotlivých případů na podrozvahových účtech</w:t>
      </w:r>
      <w:r w:rsidRPr="00456FCA">
        <w:rPr>
          <w:rFonts w:cs="Calibri"/>
        </w:rPr>
        <w:t xml:space="preserve"> </w:t>
      </w:r>
      <w:r w:rsidR="005B3C72" w:rsidRPr="00456FCA">
        <w:rPr>
          <w:rFonts w:cs="Calibri"/>
          <w:b/>
        </w:rPr>
        <w:t>vykázalo</w:t>
      </w:r>
      <w:r w:rsidR="00DB49B4">
        <w:rPr>
          <w:rFonts w:cs="Calibri"/>
          <w:b/>
        </w:rPr>
        <w:t xml:space="preserve"> MMR</w:t>
      </w:r>
      <w:r w:rsidRPr="00456FCA">
        <w:rPr>
          <w:rFonts w:cs="Calibri"/>
          <w:b/>
        </w:rPr>
        <w:t xml:space="preserve"> v</w:t>
      </w:r>
      <w:r w:rsidR="005B3C72" w:rsidRPr="00456FCA">
        <w:rPr>
          <w:rFonts w:cs="Calibri"/>
          <w:b/>
        </w:rPr>
        <w:t> </w:t>
      </w:r>
      <w:r w:rsidRPr="00456FCA">
        <w:rPr>
          <w:rFonts w:cs="Calibri"/>
          <w:b/>
        </w:rPr>
        <w:t>příloze</w:t>
      </w:r>
      <w:r w:rsidR="005B3C72" w:rsidRPr="00456FCA">
        <w:rPr>
          <w:rFonts w:cs="Calibri"/>
          <w:b/>
        </w:rPr>
        <w:t xml:space="preserve"> účetní závěrky</w:t>
      </w:r>
      <w:r w:rsidRPr="00456FCA">
        <w:rPr>
          <w:rFonts w:cs="Calibri"/>
          <w:b/>
        </w:rPr>
        <w:t xml:space="preserve"> významně</w:t>
      </w:r>
      <w:r w:rsidRPr="00987C9F">
        <w:rPr>
          <w:rFonts w:cs="Calibri"/>
          <w:b/>
        </w:rPr>
        <w:t xml:space="preserve"> neúplné informace</w:t>
      </w:r>
      <w:r>
        <w:rPr>
          <w:rFonts w:cs="Calibri"/>
        </w:rPr>
        <w:t xml:space="preserve">. Při stanovení významnosti pro účtování na podrozvahových účtech </w:t>
      </w:r>
      <w:r w:rsidRPr="00987C9F">
        <w:rPr>
          <w:rFonts w:cs="Calibri"/>
          <w:b/>
        </w:rPr>
        <w:t>mělo</w:t>
      </w:r>
      <w:r>
        <w:rPr>
          <w:rFonts w:cs="Calibri"/>
        </w:rPr>
        <w:t xml:space="preserve"> MMR</w:t>
      </w:r>
      <w:r w:rsidR="002B6C82">
        <w:rPr>
          <w:rFonts w:cs="Calibri"/>
        </w:rPr>
        <w:t xml:space="preserve"> vzít v úvahu také významnost těchto informací v</w:t>
      </w:r>
      <w:r w:rsidR="008E58FF">
        <w:rPr>
          <w:rFonts w:cs="Calibri"/>
        </w:rPr>
        <w:t> </w:t>
      </w:r>
      <w:r w:rsidR="002B6C82">
        <w:rPr>
          <w:rFonts w:cs="Calibri"/>
        </w:rPr>
        <w:t>ÚZ</w:t>
      </w:r>
      <w:r w:rsidR="008E58FF">
        <w:rPr>
          <w:rFonts w:cs="Calibri"/>
        </w:rPr>
        <w:t>,</w:t>
      </w:r>
      <w:r w:rsidR="002B6C82">
        <w:rPr>
          <w:rFonts w:cs="Calibri"/>
        </w:rPr>
        <w:t xml:space="preserve"> a to v návaznosti na</w:t>
      </w:r>
      <w:r w:rsidR="007719D3">
        <w:rPr>
          <w:rFonts w:cs="Calibri"/>
        </w:rPr>
        <w:t xml:space="preserve"> </w:t>
      </w:r>
      <w:r w:rsidRPr="00987C9F">
        <w:rPr>
          <w:rFonts w:cs="Calibri"/>
          <w:b/>
        </w:rPr>
        <w:t>informační potřeby</w:t>
      </w:r>
      <w:r w:rsidRPr="00C633EB">
        <w:rPr>
          <w:rFonts w:cs="Calibri"/>
        </w:rPr>
        <w:t xml:space="preserve"> samotné účetní </w:t>
      </w:r>
      <w:r w:rsidRPr="00987C9F">
        <w:rPr>
          <w:rFonts w:cs="Calibri"/>
          <w:b/>
        </w:rPr>
        <w:t>jednotky</w:t>
      </w:r>
      <w:r w:rsidR="005B3C72">
        <w:rPr>
          <w:rFonts w:cs="Calibri"/>
          <w:b/>
        </w:rPr>
        <w:t>,</w:t>
      </w:r>
      <w:r w:rsidR="005B3C72">
        <w:rPr>
          <w:rFonts w:cs="Calibri"/>
        </w:rPr>
        <w:t xml:space="preserve"> </w:t>
      </w:r>
      <w:r w:rsidR="00F41A40" w:rsidRPr="00AE5596">
        <w:rPr>
          <w:rFonts w:cs="Calibri"/>
          <w:b/>
        </w:rPr>
        <w:t>externích uživatelů</w:t>
      </w:r>
      <w:r w:rsidR="00F41A40">
        <w:rPr>
          <w:rFonts w:cs="Calibri"/>
        </w:rPr>
        <w:t xml:space="preserve"> a také i </w:t>
      </w:r>
      <w:r w:rsidRPr="00987C9F">
        <w:rPr>
          <w:rFonts w:cs="Calibri"/>
          <w:b/>
        </w:rPr>
        <w:t>informační povinnosti</w:t>
      </w:r>
      <w:r w:rsidRPr="00C633EB">
        <w:rPr>
          <w:rFonts w:cs="Calibri"/>
        </w:rPr>
        <w:t xml:space="preserve"> </w:t>
      </w:r>
      <w:r w:rsidRPr="00AE5596">
        <w:rPr>
          <w:rFonts w:cs="Calibri"/>
          <w:b/>
        </w:rPr>
        <w:t>účetní jednotky</w:t>
      </w:r>
      <w:r w:rsidR="005B3C72" w:rsidRPr="00AE5596">
        <w:rPr>
          <w:rFonts w:cs="Calibri"/>
          <w:b/>
        </w:rPr>
        <w:t xml:space="preserve"> stanovené právními předpisy</w:t>
      </w:r>
      <w:r w:rsidR="00F41A40" w:rsidRPr="00AE5596">
        <w:rPr>
          <w:rFonts w:cs="Calibri"/>
          <w:b/>
        </w:rPr>
        <w:t>.</w:t>
      </w:r>
    </w:p>
    <w:p w14:paraId="5C3F19ED" w14:textId="77777777" w:rsidR="00F41A40" w:rsidRPr="00AE5596" w:rsidRDefault="00F41A40" w:rsidP="007719D3">
      <w:pPr>
        <w:spacing w:after="0"/>
        <w:jc w:val="both"/>
        <w:rPr>
          <w:rFonts w:eastAsiaTheme="minorHAnsi" w:cs="Calibri"/>
          <w:b/>
        </w:rPr>
      </w:pPr>
    </w:p>
    <w:p w14:paraId="7BD2861D" w14:textId="30DE4C77" w:rsidR="00F41A40" w:rsidRPr="008E58FF" w:rsidRDefault="00C633EB" w:rsidP="00E62519">
      <w:pPr>
        <w:spacing w:after="0"/>
        <w:jc w:val="both"/>
        <w:rPr>
          <w:rFonts w:cs="Calibri"/>
        </w:rPr>
      </w:pPr>
      <w:r w:rsidRPr="004966AD">
        <w:rPr>
          <w:rFonts w:eastAsiaTheme="minorHAnsi" w:cs="Calibri"/>
          <w:b/>
        </w:rPr>
        <w:t>Z pohledu informačních potřeb samotné účetní jednotky</w:t>
      </w:r>
      <w:r w:rsidRPr="00C633EB">
        <w:rPr>
          <w:rFonts w:eastAsiaTheme="minorHAnsi" w:cs="Calibri"/>
        </w:rPr>
        <w:t xml:space="preserve"> jde například o užitečné informace </w:t>
      </w:r>
      <w:r w:rsidRPr="00AE5596">
        <w:rPr>
          <w:rFonts w:eastAsiaTheme="minorHAnsi" w:cs="Calibri"/>
        </w:rPr>
        <w:t>o podmíněných závazcích vyplývajících ze soudních sporů</w:t>
      </w:r>
      <w:r w:rsidRPr="00456FCA">
        <w:rPr>
          <w:rFonts w:eastAsiaTheme="minorHAnsi" w:cs="Calibri"/>
        </w:rPr>
        <w:t>, neboť tyto bývají na rozdíl od</w:t>
      </w:r>
      <w:r w:rsidR="008E58FF">
        <w:rPr>
          <w:rFonts w:eastAsiaTheme="minorHAnsi" w:cs="Calibri"/>
        </w:rPr>
        <w:t xml:space="preserve"> </w:t>
      </w:r>
      <w:r w:rsidRPr="00456FCA">
        <w:rPr>
          <w:rFonts w:eastAsiaTheme="minorHAnsi" w:cs="Calibri"/>
        </w:rPr>
        <w:t>podmíněných závazků z transferů nejisté</w:t>
      </w:r>
      <w:r w:rsidR="008E58FF">
        <w:rPr>
          <w:rFonts w:eastAsiaTheme="minorHAnsi" w:cs="Calibri"/>
        </w:rPr>
        <w:t>,</w:t>
      </w:r>
      <w:r w:rsidRPr="00456FCA">
        <w:rPr>
          <w:rFonts w:eastAsiaTheme="minorHAnsi" w:cs="Calibri"/>
        </w:rPr>
        <w:t xml:space="preserve"> a</w:t>
      </w:r>
      <w:r w:rsidR="005B3C72" w:rsidRPr="00456FCA">
        <w:rPr>
          <w:rFonts w:eastAsiaTheme="minorHAnsi" w:cs="Calibri"/>
        </w:rPr>
        <w:t xml:space="preserve"> v důsledku toho</w:t>
      </w:r>
      <w:r w:rsidR="005B3C72">
        <w:rPr>
          <w:rFonts w:eastAsiaTheme="minorHAnsi" w:cs="Calibri"/>
        </w:rPr>
        <w:t xml:space="preserve"> rozpočtovatelné jen s určitou mírou pravděpodobnosti</w:t>
      </w:r>
      <w:r w:rsidR="00DE3CF0">
        <w:rPr>
          <w:rFonts w:eastAsiaTheme="minorHAnsi" w:cs="Calibri"/>
        </w:rPr>
        <w:t>,</w:t>
      </w:r>
      <w:r w:rsidR="005B3C72">
        <w:rPr>
          <w:rFonts w:eastAsiaTheme="minorHAnsi" w:cs="Calibri"/>
        </w:rPr>
        <w:t xml:space="preserve"> </w:t>
      </w:r>
      <w:r w:rsidR="00DE3CF0">
        <w:rPr>
          <w:rFonts w:eastAsiaTheme="minorHAnsi" w:cs="Calibri"/>
        </w:rPr>
        <w:t xml:space="preserve">což </w:t>
      </w:r>
      <w:r w:rsidR="005B3C72">
        <w:rPr>
          <w:rFonts w:eastAsiaTheme="minorHAnsi" w:cs="Calibri"/>
        </w:rPr>
        <w:t>akcentuje interní potřebu</w:t>
      </w:r>
      <w:r w:rsidR="00456FCA">
        <w:rPr>
          <w:rFonts w:eastAsiaTheme="minorHAnsi" w:cs="Calibri"/>
        </w:rPr>
        <w:t xml:space="preserve"> </w:t>
      </w:r>
      <w:r w:rsidRPr="00C633EB">
        <w:rPr>
          <w:rFonts w:eastAsiaTheme="minorHAnsi" w:cs="Calibri"/>
        </w:rPr>
        <w:t>jejich účetního sledování</w:t>
      </w:r>
      <w:r w:rsidRPr="00041308">
        <w:rPr>
          <w:rFonts w:eastAsiaTheme="minorHAnsi" w:cs="Calibri"/>
        </w:rPr>
        <w:t>.</w:t>
      </w:r>
      <w:r w:rsidR="00686CF7" w:rsidRPr="008E58FF">
        <w:rPr>
          <w:rFonts w:cs="Calibri"/>
        </w:rPr>
        <w:t xml:space="preserve"> </w:t>
      </w:r>
    </w:p>
    <w:p w14:paraId="567011C0" w14:textId="77777777" w:rsidR="00F41A40" w:rsidRDefault="00F41A40" w:rsidP="00E62519">
      <w:pPr>
        <w:spacing w:after="0"/>
        <w:jc w:val="both"/>
        <w:rPr>
          <w:rFonts w:cs="Calibri"/>
          <w:b/>
        </w:rPr>
      </w:pPr>
    </w:p>
    <w:p w14:paraId="2465DF79" w14:textId="03FFBD80" w:rsidR="005B3C72" w:rsidRDefault="00F41A40" w:rsidP="00E62519">
      <w:pPr>
        <w:spacing w:after="0"/>
        <w:jc w:val="both"/>
        <w:rPr>
          <w:rFonts w:cs="Calibri"/>
        </w:rPr>
      </w:pPr>
      <w:r>
        <w:rPr>
          <w:rFonts w:cs="Calibri"/>
          <w:b/>
        </w:rPr>
        <w:t xml:space="preserve">Z pohledu informačních potřeb externích uživatelů </w:t>
      </w:r>
      <w:r w:rsidRPr="00AE5596">
        <w:rPr>
          <w:rFonts w:cs="Calibri"/>
        </w:rPr>
        <w:t>jde např</w:t>
      </w:r>
      <w:r w:rsidR="00401592">
        <w:rPr>
          <w:rFonts w:cs="Calibri"/>
        </w:rPr>
        <w:t>íklad</w:t>
      </w:r>
      <w:r w:rsidRPr="00AE5596">
        <w:rPr>
          <w:rFonts w:cs="Calibri"/>
        </w:rPr>
        <w:t xml:space="preserve"> o</w:t>
      </w:r>
      <w:r w:rsidR="00686CF7" w:rsidRPr="00AE5596">
        <w:rPr>
          <w:rFonts w:cs="Calibri"/>
        </w:rPr>
        <w:t xml:space="preserve"> podmíněn</w:t>
      </w:r>
      <w:r w:rsidRPr="00AE5596">
        <w:rPr>
          <w:rFonts w:cs="Calibri"/>
        </w:rPr>
        <w:t>é</w:t>
      </w:r>
      <w:r w:rsidR="00686CF7" w:rsidRPr="00AE5596">
        <w:rPr>
          <w:rFonts w:cs="Calibri"/>
        </w:rPr>
        <w:t xml:space="preserve"> závaz</w:t>
      </w:r>
      <w:r w:rsidRPr="00AE5596">
        <w:rPr>
          <w:rFonts w:cs="Calibri"/>
        </w:rPr>
        <w:t>ky</w:t>
      </w:r>
      <w:r w:rsidR="007A64BA">
        <w:rPr>
          <w:rFonts w:cs="Calibri"/>
        </w:rPr>
        <w:t xml:space="preserve"> a o </w:t>
      </w:r>
      <w:r w:rsidR="00686CF7" w:rsidRPr="00AE5596">
        <w:rPr>
          <w:rFonts w:cs="Calibri"/>
        </w:rPr>
        <w:t>podmíněn</w:t>
      </w:r>
      <w:r w:rsidRPr="00AE5596">
        <w:rPr>
          <w:rFonts w:cs="Calibri"/>
        </w:rPr>
        <w:t>é</w:t>
      </w:r>
      <w:r w:rsidR="00686CF7" w:rsidRPr="00AE5596">
        <w:rPr>
          <w:rFonts w:cs="Calibri"/>
        </w:rPr>
        <w:t xml:space="preserve"> pohledávk</w:t>
      </w:r>
      <w:r w:rsidRPr="00AE5596">
        <w:rPr>
          <w:rFonts w:cs="Calibri"/>
        </w:rPr>
        <w:t>y</w:t>
      </w:r>
      <w:r w:rsidR="00686CF7" w:rsidRPr="00AE5596">
        <w:rPr>
          <w:rFonts w:cs="Calibri"/>
        </w:rPr>
        <w:t xml:space="preserve"> z transfer</w:t>
      </w:r>
      <w:r w:rsidRPr="00AE5596">
        <w:rPr>
          <w:rFonts w:cs="Calibri"/>
        </w:rPr>
        <w:t>u</w:t>
      </w:r>
      <w:r w:rsidR="00686CF7" w:rsidRPr="00456FCA">
        <w:rPr>
          <w:rFonts w:cs="Calibri"/>
        </w:rPr>
        <w:t xml:space="preserve">, který se z části nebo zcela týká prostředků ze zahraničí, </w:t>
      </w:r>
      <w:r w:rsidRPr="00456FCA">
        <w:rPr>
          <w:rFonts w:cs="Calibri"/>
        </w:rPr>
        <w:t xml:space="preserve">neboť v souladu s účetní regulací </w:t>
      </w:r>
      <w:r w:rsidR="00686CF7" w:rsidRPr="00456FCA">
        <w:rPr>
          <w:rFonts w:cs="Calibri"/>
        </w:rPr>
        <w:t>je</w:t>
      </w:r>
      <w:r w:rsidRPr="00456FCA">
        <w:rPr>
          <w:rFonts w:cs="Calibri"/>
        </w:rPr>
        <w:t xml:space="preserve"> o nich </w:t>
      </w:r>
      <w:r w:rsidR="00686CF7" w:rsidRPr="00456FCA">
        <w:rPr>
          <w:rFonts w:cs="Calibri"/>
        </w:rPr>
        <w:t>účetní jednotka povinna</w:t>
      </w:r>
      <w:r w:rsidR="00686CF7" w:rsidRPr="004966AD">
        <w:rPr>
          <w:rFonts w:cs="Calibri"/>
        </w:rPr>
        <w:t xml:space="preserve"> účtovat vždy</w:t>
      </w:r>
      <w:r w:rsidR="00686CF7">
        <w:rPr>
          <w:rFonts w:cs="Calibri"/>
        </w:rPr>
        <w:t xml:space="preserve"> tzn. bez ohledu na významnost.</w:t>
      </w:r>
    </w:p>
    <w:p w14:paraId="733AEDEF" w14:textId="77777777" w:rsidR="00456FCA" w:rsidRDefault="00456FCA" w:rsidP="00E62519">
      <w:pPr>
        <w:spacing w:after="0"/>
        <w:jc w:val="both"/>
        <w:rPr>
          <w:rFonts w:asciiTheme="minorHAnsi" w:hAnsiTheme="minorHAnsi" w:cstheme="minorHAnsi"/>
          <w:bCs/>
          <w:iCs/>
        </w:rPr>
      </w:pPr>
    </w:p>
    <w:p w14:paraId="36C6E6E1" w14:textId="6FBF2404" w:rsidR="00456FCA" w:rsidRDefault="00F41A40" w:rsidP="00BD1935">
      <w:pPr>
        <w:spacing w:after="0"/>
        <w:jc w:val="both"/>
        <w:rPr>
          <w:rFonts w:cs="Calibri"/>
        </w:rPr>
      </w:pPr>
      <w:r w:rsidRPr="004966AD">
        <w:rPr>
          <w:rFonts w:cs="Calibri"/>
          <w:b/>
        </w:rPr>
        <w:lastRenderedPageBreak/>
        <w:t>Z pohledu informačních povinností</w:t>
      </w:r>
      <w:r w:rsidR="00456FCA">
        <w:rPr>
          <w:rFonts w:cs="Calibri"/>
          <w:b/>
        </w:rPr>
        <w:t xml:space="preserve"> stanovených právními předpisy</w:t>
      </w:r>
      <w:r>
        <w:rPr>
          <w:rFonts w:asciiTheme="minorHAnsi" w:hAnsiTheme="minorHAnsi" w:cstheme="minorHAnsi"/>
          <w:bCs/>
          <w:iCs/>
        </w:rPr>
        <w:t xml:space="preserve"> je významná skutečnost, že informace </w:t>
      </w:r>
      <w:r w:rsidR="006A4948">
        <w:rPr>
          <w:rFonts w:asciiTheme="minorHAnsi" w:hAnsiTheme="minorHAnsi" w:cstheme="minorHAnsi"/>
          <w:bCs/>
          <w:iCs/>
        </w:rPr>
        <w:t xml:space="preserve">o podmíněných </w:t>
      </w:r>
      <w:r>
        <w:rPr>
          <w:rFonts w:asciiTheme="minorHAnsi" w:hAnsiTheme="minorHAnsi" w:cstheme="minorHAnsi"/>
          <w:bCs/>
          <w:iCs/>
        </w:rPr>
        <w:t>pohledávkách</w:t>
      </w:r>
      <w:r w:rsidR="006A4948">
        <w:rPr>
          <w:rFonts w:asciiTheme="minorHAnsi" w:hAnsiTheme="minorHAnsi" w:cstheme="minorHAnsi"/>
          <w:bCs/>
          <w:iCs/>
        </w:rPr>
        <w:t xml:space="preserve"> a </w:t>
      </w:r>
      <w:r>
        <w:rPr>
          <w:rFonts w:asciiTheme="minorHAnsi" w:hAnsiTheme="minorHAnsi" w:cstheme="minorHAnsi"/>
          <w:bCs/>
          <w:iCs/>
        </w:rPr>
        <w:t>závazcích</w:t>
      </w:r>
      <w:r w:rsidR="006A4948">
        <w:rPr>
          <w:rFonts w:asciiTheme="minorHAnsi" w:hAnsiTheme="minorHAnsi" w:cstheme="minorHAnsi"/>
          <w:bCs/>
          <w:iCs/>
        </w:rPr>
        <w:t xml:space="preserve"> vykazované v</w:t>
      </w:r>
      <w:r w:rsidR="005B3C72">
        <w:rPr>
          <w:rFonts w:asciiTheme="minorHAnsi" w:hAnsiTheme="minorHAnsi" w:cstheme="minorHAnsi"/>
          <w:bCs/>
          <w:iCs/>
        </w:rPr>
        <w:t> </w:t>
      </w:r>
      <w:r w:rsidR="006A4948">
        <w:rPr>
          <w:rFonts w:asciiTheme="minorHAnsi" w:hAnsiTheme="minorHAnsi" w:cstheme="minorHAnsi"/>
          <w:bCs/>
          <w:iCs/>
        </w:rPr>
        <w:t>příloze</w:t>
      </w:r>
      <w:r w:rsidR="005B3C72">
        <w:rPr>
          <w:rFonts w:asciiTheme="minorHAnsi" w:hAnsiTheme="minorHAnsi" w:cstheme="minorHAnsi"/>
          <w:bCs/>
          <w:iCs/>
        </w:rPr>
        <w:t xml:space="preserve"> účetní závěrky</w:t>
      </w:r>
      <w:r w:rsidR="006A4948">
        <w:rPr>
          <w:rFonts w:asciiTheme="minorHAnsi" w:hAnsiTheme="minorHAnsi" w:cstheme="minorHAnsi"/>
          <w:bCs/>
          <w:iCs/>
        </w:rPr>
        <w:t xml:space="preserve"> </w:t>
      </w:r>
      <w:r w:rsidR="005B3C72">
        <w:rPr>
          <w:rFonts w:asciiTheme="minorHAnsi" w:hAnsiTheme="minorHAnsi" w:cstheme="minorHAnsi"/>
          <w:bCs/>
          <w:iCs/>
        </w:rPr>
        <w:t xml:space="preserve">jsou </w:t>
      </w:r>
      <w:r w:rsidR="005B3C72" w:rsidRPr="00AE5596">
        <w:rPr>
          <w:rFonts w:asciiTheme="minorHAnsi" w:hAnsiTheme="minorHAnsi" w:cstheme="minorHAnsi"/>
          <w:bCs/>
          <w:iCs/>
        </w:rPr>
        <w:t>údaji vstupujícími do souhrnných</w:t>
      </w:r>
      <w:r w:rsidR="005B3C72" w:rsidRPr="00456FCA">
        <w:rPr>
          <w:rFonts w:asciiTheme="minorHAnsi" w:hAnsiTheme="minorHAnsi" w:cstheme="minorHAnsi"/>
          <w:bCs/>
          <w:iCs/>
        </w:rPr>
        <w:t xml:space="preserve"> </w:t>
      </w:r>
      <w:r w:rsidR="005B3C72" w:rsidRPr="00AE5596">
        <w:rPr>
          <w:rFonts w:asciiTheme="minorHAnsi" w:hAnsiTheme="minorHAnsi" w:cstheme="minorHAnsi"/>
          <w:bCs/>
          <w:iCs/>
        </w:rPr>
        <w:t>účetních výkazů za Č</w:t>
      </w:r>
      <w:r w:rsidR="00686CF7" w:rsidRPr="00AE5596">
        <w:rPr>
          <w:rFonts w:asciiTheme="minorHAnsi" w:hAnsiTheme="minorHAnsi" w:cstheme="minorHAnsi"/>
          <w:bCs/>
          <w:iCs/>
        </w:rPr>
        <w:t>eskou republiku</w:t>
      </w:r>
      <w:r w:rsidR="005B3C72" w:rsidRPr="00456FCA">
        <w:rPr>
          <w:rFonts w:asciiTheme="minorHAnsi" w:hAnsiTheme="minorHAnsi" w:cstheme="minorHAnsi"/>
          <w:bCs/>
          <w:iCs/>
        </w:rPr>
        <w:t>, které zpracovává M</w:t>
      </w:r>
      <w:r w:rsidR="00686CF7" w:rsidRPr="00456FCA">
        <w:rPr>
          <w:rFonts w:asciiTheme="minorHAnsi" w:hAnsiTheme="minorHAnsi" w:cstheme="minorHAnsi"/>
          <w:bCs/>
          <w:iCs/>
        </w:rPr>
        <w:t>inisterstvo financí</w:t>
      </w:r>
      <w:r w:rsidR="00401592">
        <w:rPr>
          <w:rFonts w:asciiTheme="minorHAnsi" w:hAnsiTheme="minorHAnsi" w:cstheme="minorHAnsi"/>
          <w:bCs/>
          <w:iCs/>
        </w:rPr>
        <w:t>,</w:t>
      </w:r>
      <w:r w:rsidR="003D2077" w:rsidRPr="00456FCA">
        <w:rPr>
          <w:rFonts w:asciiTheme="minorHAnsi" w:hAnsiTheme="minorHAnsi" w:cstheme="minorHAnsi"/>
          <w:bCs/>
          <w:iCs/>
        </w:rPr>
        <w:t xml:space="preserve"> a to </w:t>
      </w:r>
      <w:r w:rsidR="003D2077" w:rsidRPr="00AE5596">
        <w:rPr>
          <w:rFonts w:asciiTheme="minorHAnsi" w:hAnsiTheme="minorHAnsi" w:cstheme="minorHAnsi"/>
          <w:bCs/>
          <w:iCs/>
        </w:rPr>
        <w:t>na základě zákona o účetnictví a vyhlášky č.</w:t>
      </w:r>
      <w:r w:rsidR="00DB49B4">
        <w:rPr>
          <w:rFonts w:asciiTheme="minorHAnsi" w:hAnsiTheme="minorHAnsi" w:cstheme="minorHAnsi"/>
          <w:bCs/>
          <w:iCs/>
        </w:rPr>
        <w:t xml:space="preserve"> </w:t>
      </w:r>
      <w:r w:rsidR="007A64BA">
        <w:rPr>
          <w:rFonts w:asciiTheme="minorHAnsi" w:hAnsiTheme="minorHAnsi" w:cstheme="minorHAnsi"/>
          <w:bCs/>
          <w:iCs/>
        </w:rPr>
        <w:t>312/2014 Sb., o </w:t>
      </w:r>
      <w:r w:rsidR="003D2077" w:rsidRPr="00AE5596">
        <w:rPr>
          <w:rFonts w:asciiTheme="minorHAnsi" w:hAnsiTheme="minorHAnsi" w:cstheme="minorHAnsi"/>
          <w:bCs/>
          <w:iCs/>
        </w:rPr>
        <w:t>podmínkách sestavení účetních výkazů za Českou republiku (konsolidační vyhláška státu)</w:t>
      </w:r>
      <w:r w:rsidR="003D2077" w:rsidRPr="00456FCA">
        <w:rPr>
          <w:rFonts w:asciiTheme="minorHAnsi" w:hAnsiTheme="minorHAnsi" w:cstheme="minorHAnsi"/>
          <w:bCs/>
          <w:iCs/>
        </w:rPr>
        <w:t>.</w:t>
      </w:r>
      <w:r w:rsidR="006A4948" w:rsidRPr="00456FCA">
        <w:rPr>
          <w:rFonts w:asciiTheme="minorHAnsi" w:hAnsiTheme="minorHAnsi" w:cstheme="minorHAnsi"/>
          <w:bCs/>
          <w:iCs/>
        </w:rPr>
        <w:t xml:space="preserve"> Uživatelem účetních informací</w:t>
      </w:r>
      <w:r w:rsidR="005B3C72" w:rsidRPr="008E6E48">
        <w:rPr>
          <w:rFonts w:asciiTheme="minorHAnsi" w:hAnsiTheme="minorHAnsi" w:cstheme="minorHAnsi"/>
          <w:bCs/>
          <w:iCs/>
        </w:rPr>
        <w:t xml:space="preserve"> individuální účetní závěrky </w:t>
      </w:r>
      <w:r w:rsidR="006A4948" w:rsidRPr="008E6E48">
        <w:rPr>
          <w:rFonts w:asciiTheme="minorHAnsi" w:hAnsiTheme="minorHAnsi" w:cstheme="minorHAnsi"/>
          <w:bCs/>
          <w:iCs/>
        </w:rPr>
        <w:t>je tak</w:t>
      </w:r>
      <w:r w:rsidR="00686CF7" w:rsidRPr="008E6E48">
        <w:rPr>
          <w:rFonts w:asciiTheme="minorHAnsi" w:hAnsiTheme="minorHAnsi" w:cstheme="minorHAnsi"/>
          <w:bCs/>
          <w:iCs/>
        </w:rPr>
        <w:t xml:space="preserve"> v daném případě</w:t>
      </w:r>
      <w:r w:rsidR="006A4948" w:rsidRPr="008E6E48">
        <w:rPr>
          <w:rFonts w:asciiTheme="minorHAnsi" w:hAnsiTheme="minorHAnsi" w:cstheme="minorHAnsi"/>
          <w:bCs/>
          <w:iCs/>
        </w:rPr>
        <w:t xml:space="preserve"> </w:t>
      </w:r>
      <w:r w:rsidR="007A64BA">
        <w:rPr>
          <w:rFonts w:asciiTheme="minorHAnsi" w:hAnsiTheme="minorHAnsi" w:cstheme="minorHAnsi"/>
          <w:bCs/>
          <w:iCs/>
        </w:rPr>
        <w:t>MF na</w:t>
      </w:r>
      <w:r w:rsidR="008E58FF">
        <w:rPr>
          <w:rFonts w:asciiTheme="minorHAnsi" w:hAnsiTheme="minorHAnsi" w:cstheme="minorHAnsi"/>
          <w:bCs/>
          <w:iCs/>
        </w:rPr>
        <w:t xml:space="preserve"> </w:t>
      </w:r>
      <w:r w:rsidR="005B3C72" w:rsidRPr="009D5159">
        <w:rPr>
          <w:rFonts w:asciiTheme="minorHAnsi" w:hAnsiTheme="minorHAnsi" w:cstheme="minorHAnsi"/>
          <w:bCs/>
          <w:iCs/>
        </w:rPr>
        <w:t>vstupu do souhrnných výkazů za Č</w:t>
      </w:r>
      <w:r w:rsidR="00686CF7" w:rsidRPr="00456FCA">
        <w:rPr>
          <w:rFonts w:asciiTheme="minorHAnsi" w:hAnsiTheme="minorHAnsi" w:cstheme="minorHAnsi"/>
          <w:bCs/>
          <w:iCs/>
        </w:rPr>
        <w:t>eskou republiku a</w:t>
      </w:r>
      <w:r w:rsidR="006A4948" w:rsidRPr="00456FCA">
        <w:rPr>
          <w:rFonts w:asciiTheme="minorHAnsi" w:hAnsiTheme="minorHAnsi" w:cstheme="minorHAnsi"/>
          <w:bCs/>
          <w:iCs/>
        </w:rPr>
        <w:t xml:space="preserve"> </w:t>
      </w:r>
      <w:r w:rsidR="00686CF7" w:rsidRPr="00456FCA">
        <w:rPr>
          <w:rFonts w:asciiTheme="minorHAnsi" w:hAnsiTheme="minorHAnsi" w:cstheme="minorHAnsi"/>
          <w:bCs/>
          <w:iCs/>
        </w:rPr>
        <w:t xml:space="preserve">na výstupu </w:t>
      </w:r>
      <w:r w:rsidR="006A4948" w:rsidRPr="00456FCA">
        <w:rPr>
          <w:rFonts w:asciiTheme="minorHAnsi" w:hAnsiTheme="minorHAnsi" w:cstheme="minorHAnsi"/>
          <w:bCs/>
          <w:iCs/>
        </w:rPr>
        <w:t>i</w:t>
      </w:r>
      <w:r w:rsidR="00EE7AF3">
        <w:rPr>
          <w:rFonts w:asciiTheme="minorHAnsi" w:hAnsiTheme="minorHAnsi" w:cstheme="minorHAnsi"/>
          <w:bCs/>
          <w:iCs/>
        </w:rPr>
        <w:t xml:space="preserve"> jejich</w:t>
      </w:r>
      <w:r w:rsidRPr="00456FCA">
        <w:rPr>
          <w:rFonts w:asciiTheme="minorHAnsi" w:hAnsiTheme="minorHAnsi" w:cstheme="minorHAnsi"/>
          <w:bCs/>
          <w:iCs/>
        </w:rPr>
        <w:t xml:space="preserve"> externí</w:t>
      </w:r>
      <w:r w:rsidR="006A4948" w:rsidRPr="00456FCA">
        <w:rPr>
          <w:rFonts w:asciiTheme="minorHAnsi" w:hAnsiTheme="minorHAnsi" w:cstheme="minorHAnsi"/>
          <w:bCs/>
          <w:iCs/>
        </w:rPr>
        <w:t xml:space="preserve"> uživatel</w:t>
      </w:r>
      <w:r w:rsidR="005B3C72" w:rsidRPr="00456FCA">
        <w:rPr>
          <w:rFonts w:asciiTheme="minorHAnsi" w:hAnsiTheme="minorHAnsi" w:cstheme="minorHAnsi"/>
          <w:bCs/>
          <w:iCs/>
        </w:rPr>
        <w:t>é</w:t>
      </w:r>
      <w:r w:rsidR="00EE7AF3">
        <w:rPr>
          <w:rFonts w:asciiTheme="minorHAnsi" w:hAnsiTheme="minorHAnsi" w:cstheme="minorHAnsi"/>
          <w:bCs/>
          <w:iCs/>
        </w:rPr>
        <w:t>.</w:t>
      </w:r>
      <w:r w:rsidR="00AE5596">
        <w:rPr>
          <w:rFonts w:asciiTheme="minorHAnsi" w:hAnsiTheme="minorHAnsi" w:cstheme="minorHAnsi"/>
          <w:bCs/>
          <w:iCs/>
        </w:rPr>
        <w:t xml:space="preserve"> </w:t>
      </w:r>
      <w:r w:rsidR="003D2077" w:rsidRPr="00AE5596">
        <w:rPr>
          <w:rFonts w:cs="Calibri"/>
        </w:rPr>
        <w:t xml:space="preserve">Prostřednictvím souhrnných účetních výkazů za Českou republiku plní Ministerstvo financí navíc také svoji povinnost zveřejňovat </w:t>
      </w:r>
      <w:r w:rsidR="00247A0D" w:rsidRPr="00AE5596">
        <w:rPr>
          <w:rFonts w:cs="Calibri"/>
        </w:rPr>
        <w:t>informace o podmíněných závazcích a o dalších potenciálních povinnostech k plnění s předpokládaným význa</w:t>
      </w:r>
      <w:r w:rsidR="00C633EB" w:rsidRPr="00AE5596">
        <w:rPr>
          <w:rFonts w:cs="Calibri"/>
        </w:rPr>
        <w:t>mným dopadem na veřejné finance</w:t>
      </w:r>
      <w:r w:rsidR="00EE7AF3">
        <w:rPr>
          <w:rFonts w:cs="Calibri"/>
        </w:rPr>
        <w:t xml:space="preserve"> </w:t>
      </w:r>
      <w:r w:rsidR="000E6A8C" w:rsidRPr="00AE5596">
        <w:rPr>
          <w:rFonts w:cs="Calibri"/>
        </w:rPr>
        <w:t>stanovenou</w:t>
      </w:r>
      <w:r w:rsidR="00C633EB" w:rsidRPr="00AE5596">
        <w:rPr>
          <w:rFonts w:cs="Calibri"/>
        </w:rPr>
        <w:t xml:space="preserve"> zákon</w:t>
      </w:r>
      <w:r w:rsidR="000E6A8C" w:rsidRPr="00AE5596">
        <w:rPr>
          <w:rFonts w:cs="Calibri"/>
        </w:rPr>
        <w:t>em</w:t>
      </w:r>
      <w:r w:rsidR="00C633EB" w:rsidRPr="00456FCA">
        <w:rPr>
          <w:rFonts w:cs="Calibri"/>
        </w:rPr>
        <w:t xml:space="preserve"> č. 23/2017 Sb., </w:t>
      </w:r>
      <w:r w:rsidR="00C633EB" w:rsidRPr="00AE5596">
        <w:rPr>
          <w:rFonts w:cs="Calibri"/>
        </w:rPr>
        <w:t>o pravidlech rozpočtové odpovědnosti</w:t>
      </w:r>
      <w:r w:rsidR="00C633EB" w:rsidRPr="00456FCA">
        <w:rPr>
          <w:rFonts w:cs="Calibri"/>
        </w:rPr>
        <w:t>.</w:t>
      </w:r>
    </w:p>
    <w:p w14:paraId="079425BA" w14:textId="77777777" w:rsidR="00456FCA" w:rsidRDefault="00456FCA" w:rsidP="00BD1935">
      <w:pPr>
        <w:spacing w:after="0"/>
        <w:jc w:val="both"/>
        <w:rPr>
          <w:rFonts w:cs="Calibri"/>
        </w:rPr>
      </w:pPr>
    </w:p>
    <w:p w14:paraId="5977F7D5" w14:textId="03B612C1" w:rsidR="004C5487" w:rsidRPr="004966AD" w:rsidRDefault="004219C5" w:rsidP="008E6E48">
      <w:pPr>
        <w:spacing w:after="0"/>
        <w:jc w:val="both"/>
        <w:rPr>
          <w:rFonts w:cs="Calibri"/>
          <w:b/>
        </w:rPr>
      </w:pPr>
      <w:r w:rsidRPr="00AE5596">
        <w:rPr>
          <w:rFonts w:cs="Calibri"/>
          <w:b/>
        </w:rPr>
        <w:t>Z výše uvedeného je zřejmé, že</w:t>
      </w:r>
      <w:r w:rsidR="008E6E48" w:rsidRPr="00AE5596">
        <w:rPr>
          <w:rFonts w:cs="Calibri"/>
          <w:b/>
        </w:rPr>
        <w:t xml:space="preserve"> </w:t>
      </w:r>
      <w:r w:rsidR="00401592">
        <w:rPr>
          <w:rFonts w:cs="Calibri"/>
          <w:b/>
        </w:rPr>
        <w:t xml:space="preserve">se </w:t>
      </w:r>
      <w:r w:rsidR="008E6E48" w:rsidRPr="00AE5596">
        <w:rPr>
          <w:rFonts w:cs="Calibri"/>
          <w:b/>
        </w:rPr>
        <w:t>v</w:t>
      </w:r>
      <w:r w:rsidRPr="00AE5596">
        <w:rPr>
          <w:rFonts w:cs="Calibri"/>
          <w:b/>
        </w:rPr>
        <w:t xml:space="preserve"> těchto </w:t>
      </w:r>
      <w:r w:rsidR="00BD1935" w:rsidRPr="00AE5596">
        <w:rPr>
          <w:rFonts w:cs="Calibri"/>
          <w:b/>
        </w:rPr>
        <w:t>případech</w:t>
      </w:r>
      <w:r w:rsidRPr="00AE5596">
        <w:rPr>
          <w:rFonts w:cs="Calibri"/>
          <w:b/>
        </w:rPr>
        <w:t xml:space="preserve"> </w:t>
      </w:r>
      <w:r w:rsidR="00401592">
        <w:rPr>
          <w:rFonts w:cs="Calibri"/>
          <w:b/>
        </w:rPr>
        <w:t>jedná</w:t>
      </w:r>
      <w:r w:rsidR="00BD1935" w:rsidRPr="00AE5596">
        <w:rPr>
          <w:rFonts w:cs="Calibri"/>
          <w:b/>
        </w:rPr>
        <w:t xml:space="preserve"> o</w:t>
      </w:r>
      <w:r w:rsidRPr="00AE5596">
        <w:rPr>
          <w:rFonts w:cs="Calibri"/>
          <w:b/>
        </w:rPr>
        <w:t xml:space="preserve"> skutečnosti</w:t>
      </w:r>
      <w:r w:rsidR="00401592">
        <w:rPr>
          <w:rFonts w:cs="Calibri"/>
          <w:b/>
        </w:rPr>
        <w:t xml:space="preserve">, které jsou </w:t>
      </w:r>
      <w:r w:rsidR="00BD1935" w:rsidRPr="00AE5596">
        <w:rPr>
          <w:rFonts w:cs="Calibri"/>
          <w:b/>
        </w:rPr>
        <w:t>významné</w:t>
      </w:r>
      <w:r w:rsidR="00401592">
        <w:rPr>
          <w:rFonts w:cs="Calibri"/>
          <w:b/>
        </w:rPr>
        <w:t xml:space="preserve"> nejen z hlediska hodnoty</w:t>
      </w:r>
      <w:r w:rsidRPr="00AE5596">
        <w:rPr>
          <w:rFonts w:cs="Calibri"/>
          <w:b/>
        </w:rPr>
        <w:t>,</w:t>
      </w:r>
      <w:r w:rsidR="00BD1935" w:rsidRPr="00AE5596">
        <w:rPr>
          <w:rFonts w:cs="Calibri"/>
          <w:b/>
        </w:rPr>
        <w:t xml:space="preserve"> ale i </w:t>
      </w:r>
      <w:r w:rsidR="00401592">
        <w:rPr>
          <w:rFonts w:cs="Calibri"/>
          <w:b/>
        </w:rPr>
        <w:t>vzhledem k jejich povaze</w:t>
      </w:r>
      <w:r w:rsidR="00AA3C31">
        <w:rPr>
          <w:rFonts w:cs="Calibri"/>
          <w:b/>
        </w:rPr>
        <w:t xml:space="preserve">. </w:t>
      </w:r>
      <w:r w:rsidR="008E6E48" w:rsidRPr="008E6E48">
        <w:rPr>
          <w:rFonts w:cs="Calibri"/>
          <w:b/>
        </w:rPr>
        <w:t>MMR</w:t>
      </w:r>
      <w:r w:rsidR="008E6E48" w:rsidRPr="00AE5596">
        <w:rPr>
          <w:rFonts w:cs="Calibri"/>
          <w:b/>
        </w:rPr>
        <w:t xml:space="preserve"> </w:t>
      </w:r>
      <w:r w:rsidR="00B1117E">
        <w:rPr>
          <w:rFonts w:cs="Calibri"/>
          <w:b/>
        </w:rPr>
        <w:t xml:space="preserve">proto </w:t>
      </w:r>
      <w:r w:rsidR="00AA3C31">
        <w:rPr>
          <w:rFonts w:cs="Calibri"/>
          <w:b/>
        </w:rPr>
        <w:t xml:space="preserve">musí tyto informace považovat za významné, aby </w:t>
      </w:r>
      <w:r w:rsidR="008E6E48" w:rsidRPr="00AE5596">
        <w:rPr>
          <w:rFonts w:cs="Calibri"/>
          <w:b/>
        </w:rPr>
        <w:t>mohlo řádně plnit uvedené informační povinnosti</w:t>
      </w:r>
      <w:r w:rsidR="00EE7AF3">
        <w:rPr>
          <w:rFonts w:cs="Calibri"/>
          <w:b/>
        </w:rPr>
        <w:t xml:space="preserve"> </w:t>
      </w:r>
      <w:r w:rsidR="005F4DAE">
        <w:rPr>
          <w:rFonts w:cs="Calibri"/>
          <w:b/>
        </w:rPr>
        <w:t>a </w:t>
      </w:r>
      <w:r w:rsidR="007B6924">
        <w:rPr>
          <w:rFonts w:cs="Calibri"/>
          <w:b/>
        </w:rPr>
        <w:t xml:space="preserve">uspokojovat informační </w:t>
      </w:r>
      <w:r w:rsidR="00EE7AF3">
        <w:rPr>
          <w:rFonts w:cs="Calibri"/>
          <w:b/>
        </w:rPr>
        <w:t>potřeby uživatelů</w:t>
      </w:r>
      <w:r w:rsidR="00401592">
        <w:rPr>
          <w:rFonts w:cs="Calibri"/>
          <w:b/>
        </w:rPr>
        <w:t xml:space="preserve"> účetní závěrky</w:t>
      </w:r>
      <w:r w:rsidR="00AA3C31">
        <w:rPr>
          <w:rFonts w:cs="Calibri"/>
          <w:b/>
        </w:rPr>
        <w:t>.</w:t>
      </w:r>
      <w:r w:rsidR="008E6E48" w:rsidRPr="00AE5596">
        <w:rPr>
          <w:rFonts w:cs="Calibri"/>
          <w:b/>
        </w:rPr>
        <w:t xml:space="preserve"> </w:t>
      </w:r>
    </w:p>
    <w:p w14:paraId="6A6B871C" w14:textId="77777777" w:rsidR="007331FA" w:rsidRDefault="007331FA" w:rsidP="00E62519">
      <w:pPr>
        <w:spacing w:after="0"/>
        <w:jc w:val="both"/>
        <w:rPr>
          <w:rFonts w:cs="Calibri"/>
        </w:rPr>
      </w:pPr>
    </w:p>
    <w:p w14:paraId="3A2B2A1E" w14:textId="77777777" w:rsidR="00E80277" w:rsidRPr="00E80277" w:rsidRDefault="00CD2FE1"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w:t>
      </w:r>
      <w:r w:rsidR="00E80277">
        <w:rPr>
          <w:rFonts w:ascii="Calibri" w:hAnsi="Calibri" w:cs="Calibri"/>
          <w:lang w:eastAsia="cs-CZ"/>
        </w:rPr>
        <w:t>.</w:t>
      </w:r>
      <w:r w:rsidR="00A95DCE">
        <w:rPr>
          <w:rFonts w:ascii="Calibri" w:hAnsi="Calibri" w:cs="Calibri"/>
          <w:lang w:eastAsia="cs-CZ"/>
        </w:rPr>
        <w:t>4</w:t>
      </w:r>
      <w:r w:rsidR="00E80277">
        <w:rPr>
          <w:rFonts w:ascii="Calibri" w:hAnsi="Calibri" w:cs="Calibri"/>
          <w:lang w:eastAsia="cs-CZ"/>
        </w:rPr>
        <w:t xml:space="preserve"> </w:t>
      </w:r>
      <w:r w:rsidR="009F35C8" w:rsidRPr="009F35C8">
        <w:rPr>
          <w:rFonts w:ascii="Calibri" w:hAnsi="Calibri" w:cs="Calibri"/>
          <w:lang w:eastAsia="cs-CZ"/>
        </w:rPr>
        <w:t>Neúčtování o významných podmíněných závazcích ze soudních sporů</w:t>
      </w:r>
    </w:p>
    <w:p w14:paraId="64074F59" w14:textId="492DECFD" w:rsidR="00A95DCE" w:rsidRDefault="00A95DCE" w:rsidP="00E62519">
      <w:pPr>
        <w:spacing w:after="0"/>
        <w:jc w:val="both"/>
        <w:rPr>
          <w:rFonts w:cs="Calibri"/>
        </w:rPr>
      </w:pPr>
      <w:r w:rsidRPr="00DE51EE">
        <w:rPr>
          <w:rFonts w:cs="Calibri"/>
          <w:b/>
        </w:rPr>
        <w:t>S MMR</w:t>
      </w:r>
      <w:r w:rsidRPr="00A95DCE">
        <w:rPr>
          <w:rFonts w:cs="Calibri"/>
        </w:rPr>
        <w:t xml:space="preserve"> jako žalovaným </w:t>
      </w:r>
      <w:r w:rsidRPr="00DE51EE">
        <w:rPr>
          <w:rFonts w:cs="Calibri"/>
          <w:b/>
        </w:rPr>
        <w:t>byly</w:t>
      </w:r>
      <w:r w:rsidRPr="00A95DCE">
        <w:rPr>
          <w:rFonts w:cs="Calibri"/>
        </w:rPr>
        <w:t xml:space="preserve"> v účetním období 2018 </w:t>
      </w:r>
      <w:r w:rsidRPr="00DE51EE">
        <w:rPr>
          <w:rFonts w:cs="Calibri"/>
          <w:b/>
        </w:rPr>
        <w:t>vedeny</w:t>
      </w:r>
      <w:r w:rsidRPr="00A95DCE">
        <w:rPr>
          <w:rFonts w:cs="Calibri"/>
        </w:rPr>
        <w:t xml:space="preserve"> </w:t>
      </w:r>
      <w:r w:rsidRPr="00DE51EE">
        <w:rPr>
          <w:rFonts w:cs="Calibri"/>
          <w:b/>
        </w:rPr>
        <w:t>soudní spory</w:t>
      </w:r>
      <w:r w:rsidRPr="00041308">
        <w:rPr>
          <w:rFonts w:cs="Calibri"/>
          <w:b/>
        </w:rPr>
        <w:t>,</w:t>
      </w:r>
      <w:r w:rsidRPr="00A95DCE">
        <w:rPr>
          <w:rFonts w:cs="Calibri"/>
        </w:rPr>
        <w:t xml:space="preserve"> u nichž žalovaná </w:t>
      </w:r>
      <w:r w:rsidRPr="00DE51EE">
        <w:rPr>
          <w:rFonts w:cs="Calibri"/>
          <w:b/>
        </w:rPr>
        <w:t>částka</w:t>
      </w:r>
      <w:r w:rsidR="00211909">
        <w:rPr>
          <w:rFonts w:cs="Calibri"/>
          <w:b/>
        </w:rPr>
        <w:t xml:space="preserve"> v</w:t>
      </w:r>
      <w:r w:rsidR="0018243E">
        <w:rPr>
          <w:rFonts w:cs="Calibri"/>
          <w:b/>
        </w:rPr>
        <w:t> </w:t>
      </w:r>
      <w:r w:rsidR="00211909">
        <w:rPr>
          <w:rFonts w:cs="Calibri"/>
          <w:b/>
        </w:rPr>
        <w:t>některých</w:t>
      </w:r>
      <w:r w:rsidR="0018243E">
        <w:rPr>
          <w:rFonts w:cs="Calibri"/>
          <w:b/>
        </w:rPr>
        <w:t xml:space="preserve"> jednotlivých</w:t>
      </w:r>
      <w:r w:rsidR="00211909">
        <w:rPr>
          <w:rFonts w:cs="Calibri"/>
          <w:b/>
        </w:rPr>
        <w:t xml:space="preserve"> případech</w:t>
      </w:r>
      <w:r w:rsidRPr="00DE51EE">
        <w:rPr>
          <w:rFonts w:cs="Calibri"/>
          <w:b/>
        </w:rPr>
        <w:t xml:space="preserve"> převyšovala významnost</w:t>
      </w:r>
      <w:r w:rsidRPr="00A95DCE">
        <w:rPr>
          <w:rFonts w:cs="Calibri"/>
        </w:rPr>
        <w:t xml:space="preserve"> </w:t>
      </w:r>
      <w:r w:rsidR="0018243E">
        <w:rPr>
          <w:rFonts w:cs="Calibri"/>
        </w:rPr>
        <w:t xml:space="preserve">40 mil. Kč </w:t>
      </w:r>
      <w:r w:rsidRPr="00A95DCE">
        <w:rPr>
          <w:rFonts w:cs="Calibri"/>
        </w:rPr>
        <w:t xml:space="preserve">stanovenou ministerstvem </w:t>
      </w:r>
      <w:r w:rsidRPr="00DE51EE">
        <w:rPr>
          <w:rFonts w:cs="Calibri"/>
          <w:b/>
        </w:rPr>
        <w:t>pro účtování o podmíněných závazcích</w:t>
      </w:r>
      <w:r w:rsidRPr="00A95DCE">
        <w:rPr>
          <w:rFonts w:cs="Calibri"/>
        </w:rPr>
        <w:t xml:space="preserve"> </w:t>
      </w:r>
      <w:r w:rsidRPr="00DE51EE">
        <w:rPr>
          <w:rFonts w:cs="Calibri"/>
          <w:b/>
        </w:rPr>
        <w:t>a</w:t>
      </w:r>
      <w:r w:rsidR="0018243E">
        <w:rPr>
          <w:rFonts w:cs="Calibri"/>
          <w:b/>
        </w:rPr>
        <w:t xml:space="preserve"> současně </w:t>
      </w:r>
      <w:r w:rsidRPr="00A95DCE">
        <w:rPr>
          <w:rFonts w:cs="Calibri"/>
        </w:rPr>
        <w:t xml:space="preserve">u nich věcně </w:t>
      </w:r>
      <w:r w:rsidRPr="00DE51EE">
        <w:rPr>
          <w:rFonts w:cs="Calibri"/>
          <w:b/>
        </w:rPr>
        <w:t>příslušný útvar MMR nevyloučil riziko neúspěchu</w:t>
      </w:r>
      <w:r w:rsidR="0018243E">
        <w:rPr>
          <w:rFonts w:cs="Calibri"/>
          <w:b/>
        </w:rPr>
        <w:t xml:space="preserve"> v soudním sporu</w:t>
      </w:r>
      <w:r w:rsidRPr="00041308">
        <w:rPr>
          <w:rFonts w:cs="Calibri"/>
          <w:b/>
        </w:rPr>
        <w:t>.</w:t>
      </w:r>
      <w:r>
        <w:rPr>
          <w:rFonts w:cs="Calibri"/>
        </w:rPr>
        <w:t xml:space="preserve"> </w:t>
      </w:r>
      <w:r w:rsidRPr="00DE51EE">
        <w:rPr>
          <w:rFonts w:cs="Calibri"/>
          <w:b/>
        </w:rPr>
        <w:t>MMR</w:t>
      </w:r>
      <w:r w:rsidR="00D8683C" w:rsidRPr="00DE51EE">
        <w:rPr>
          <w:rFonts w:cs="Calibri"/>
          <w:b/>
        </w:rPr>
        <w:t xml:space="preserve"> o riziku</w:t>
      </w:r>
      <w:r w:rsidR="00D8683C">
        <w:rPr>
          <w:rFonts w:cs="Calibri"/>
        </w:rPr>
        <w:t xml:space="preserve"> z</w:t>
      </w:r>
      <w:r w:rsidR="00401592">
        <w:rPr>
          <w:rFonts w:cs="Calibri"/>
        </w:rPr>
        <w:t xml:space="preserve"> některých </w:t>
      </w:r>
      <w:r w:rsidR="00514807">
        <w:rPr>
          <w:rFonts w:cs="Calibri"/>
        </w:rPr>
        <w:t xml:space="preserve">těchto </w:t>
      </w:r>
      <w:r w:rsidR="00D8683C">
        <w:rPr>
          <w:rFonts w:cs="Calibri"/>
        </w:rPr>
        <w:t xml:space="preserve">soudních sporů </w:t>
      </w:r>
      <w:r w:rsidR="00D8683C" w:rsidRPr="00DE51EE">
        <w:rPr>
          <w:rFonts w:cs="Calibri"/>
          <w:b/>
        </w:rPr>
        <w:t>neúčtovalo a nevykázalo</w:t>
      </w:r>
      <w:r w:rsidR="00D8683C">
        <w:rPr>
          <w:rFonts w:cs="Calibri"/>
        </w:rPr>
        <w:t xml:space="preserve"> jej v ÚZ</w:t>
      </w:r>
      <w:r w:rsidR="00C424ED">
        <w:rPr>
          <w:rFonts w:cs="Calibri"/>
        </w:rPr>
        <w:t xml:space="preserve"> </w:t>
      </w:r>
      <w:r w:rsidR="00D2056F">
        <w:rPr>
          <w:rFonts w:cs="Calibri"/>
        </w:rPr>
        <w:t xml:space="preserve">na </w:t>
      </w:r>
      <w:r w:rsidR="00C424ED">
        <w:rPr>
          <w:rFonts w:cs="Calibri"/>
        </w:rPr>
        <w:t xml:space="preserve">účtu </w:t>
      </w:r>
      <w:r w:rsidR="00C424ED" w:rsidRPr="00DE51EE">
        <w:rPr>
          <w:rFonts w:cs="Calibri"/>
          <w:b/>
        </w:rPr>
        <w:t>986</w:t>
      </w:r>
      <w:r w:rsidR="00C424ED">
        <w:rPr>
          <w:rFonts w:cs="Calibri"/>
        </w:rPr>
        <w:t xml:space="preserve"> </w:t>
      </w:r>
      <w:r w:rsidR="00C424ED" w:rsidRPr="00C424ED">
        <w:rPr>
          <w:rFonts w:cs="Calibri"/>
        </w:rPr>
        <w:t xml:space="preserve">– </w:t>
      </w:r>
      <w:r w:rsidR="00C424ED" w:rsidRPr="00C424ED">
        <w:rPr>
          <w:rFonts w:cs="Calibri"/>
          <w:i/>
        </w:rPr>
        <w:t>Dlouhodobé podmíněné závazky ze soudních sporů, správních řízení a jiných řízení</w:t>
      </w:r>
      <w:r>
        <w:rPr>
          <w:rFonts w:cs="Calibri"/>
        </w:rPr>
        <w:t>.</w:t>
      </w:r>
      <w:r w:rsidR="00C424ED">
        <w:rPr>
          <w:rFonts w:cs="Calibri"/>
        </w:rPr>
        <w:t xml:space="preserve"> V důsledku této skutečnosti </w:t>
      </w:r>
      <w:r w:rsidR="00C424ED" w:rsidRPr="00DE51EE">
        <w:rPr>
          <w:rFonts w:cs="Calibri"/>
          <w:b/>
        </w:rPr>
        <w:t>MMR v</w:t>
      </w:r>
      <w:r w:rsidR="00211909">
        <w:rPr>
          <w:rFonts w:cs="Calibri"/>
          <w:b/>
        </w:rPr>
        <w:t> </w:t>
      </w:r>
      <w:r w:rsidR="00C424ED" w:rsidRPr="00DE51EE">
        <w:rPr>
          <w:rFonts w:cs="Calibri"/>
          <w:b/>
        </w:rPr>
        <w:t>příloze</w:t>
      </w:r>
      <w:r w:rsidR="00211909">
        <w:rPr>
          <w:rFonts w:cs="Calibri"/>
          <w:b/>
        </w:rPr>
        <w:t xml:space="preserve"> </w:t>
      </w:r>
      <w:r w:rsidR="00D2056F">
        <w:rPr>
          <w:rFonts w:cs="Calibri"/>
          <w:b/>
        </w:rPr>
        <w:t>ÚZ</w:t>
      </w:r>
      <w:r w:rsidR="00C424ED">
        <w:rPr>
          <w:rFonts w:cs="Calibri"/>
        </w:rPr>
        <w:t xml:space="preserve"> v údajích za běžné účetní období </w:t>
      </w:r>
      <w:r w:rsidR="00C424ED" w:rsidRPr="00DE51EE">
        <w:rPr>
          <w:rFonts w:cs="Calibri"/>
          <w:b/>
        </w:rPr>
        <w:t>podhodnotilo</w:t>
      </w:r>
      <w:r w:rsidR="00C424ED">
        <w:rPr>
          <w:rFonts w:cs="Calibri"/>
        </w:rPr>
        <w:t xml:space="preserve"> zůstatek účtu </w:t>
      </w:r>
      <w:r w:rsidR="00C424ED" w:rsidRPr="00DE51EE">
        <w:rPr>
          <w:rFonts w:cs="Calibri"/>
          <w:b/>
        </w:rPr>
        <w:t>986</w:t>
      </w:r>
      <w:r w:rsidR="00C424ED" w:rsidRPr="00C424ED">
        <w:rPr>
          <w:rFonts w:cs="Calibri"/>
        </w:rPr>
        <w:t xml:space="preserve"> – </w:t>
      </w:r>
      <w:r w:rsidR="00C424ED" w:rsidRPr="00C424ED">
        <w:rPr>
          <w:rFonts w:cs="Calibri"/>
          <w:i/>
        </w:rPr>
        <w:t>Dlouhodobé podmíněné závazky ze soudních sporů, správních řízení a jiných řízení</w:t>
      </w:r>
      <w:r w:rsidR="00C424ED">
        <w:rPr>
          <w:rFonts w:cs="Calibri"/>
        </w:rPr>
        <w:t xml:space="preserve"> </w:t>
      </w:r>
      <w:r w:rsidR="00C424ED" w:rsidRPr="00DE51EE">
        <w:rPr>
          <w:rFonts w:cs="Calibri"/>
          <w:b/>
        </w:rPr>
        <w:t>o 288 mil. Kč</w:t>
      </w:r>
      <w:r w:rsidR="00C424ED" w:rsidRPr="00041308">
        <w:rPr>
          <w:rFonts w:cs="Calibri"/>
          <w:b/>
        </w:rPr>
        <w:t>.</w:t>
      </w:r>
    </w:p>
    <w:p w14:paraId="077BEA5E" w14:textId="77777777" w:rsidR="00A95DCE" w:rsidRDefault="00A95DCE" w:rsidP="00E62519">
      <w:pPr>
        <w:spacing w:after="0"/>
        <w:jc w:val="both"/>
        <w:rPr>
          <w:rFonts w:cs="Calibri"/>
        </w:rPr>
      </w:pPr>
    </w:p>
    <w:p w14:paraId="37DAD43E" w14:textId="77777777" w:rsidR="00E80277" w:rsidRPr="00E80277" w:rsidRDefault="00CD2FE1"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w:t>
      </w:r>
      <w:r w:rsidR="00514807">
        <w:rPr>
          <w:rFonts w:ascii="Calibri" w:hAnsi="Calibri" w:cs="Calibri"/>
          <w:lang w:eastAsia="cs-CZ"/>
        </w:rPr>
        <w:t>.5</w:t>
      </w:r>
      <w:r w:rsidR="00E80277">
        <w:rPr>
          <w:rFonts w:ascii="Calibri" w:hAnsi="Calibri" w:cs="Calibri"/>
          <w:lang w:eastAsia="cs-CZ"/>
        </w:rPr>
        <w:t xml:space="preserve"> </w:t>
      </w:r>
      <w:r w:rsidR="00514807">
        <w:rPr>
          <w:rFonts w:ascii="Calibri" w:hAnsi="Calibri" w:cs="Calibri"/>
          <w:lang w:eastAsia="cs-CZ"/>
        </w:rPr>
        <w:t>Nesprávné účtování o rezervách</w:t>
      </w:r>
    </w:p>
    <w:p w14:paraId="4EF51EED" w14:textId="72D48467" w:rsidR="00E62519" w:rsidRPr="00377C5F" w:rsidRDefault="00514807" w:rsidP="00E62519">
      <w:pPr>
        <w:spacing w:after="0"/>
        <w:jc w:val="both"/>
        <w:rPr>
          <w:rFonts w:cs="Calibri"/>
        </w:rPr>
      </w:pPr>
      <w:r w:rsidRPr="00DE51EE">
        <w:rPr>
          <w:rFonts w:cs="Calibri"/>
          <w:b/>
        </w:rPr>
        <w:t>MMR účtovalo o tvorbě rezerv</w:t>
      </w:r>
      <w:r w:rsidRPr="00377C5F">
        <w:rPr>
          <w:rFonts w:cs="Calibri"/>
        </w:rPr>
        <w:t xml:space="preserve"> na odvod a penále v souvislosti s porušením rozpočtové kázně </w:t>
      </w:r>
      <w:r w:rsidRPr="00DE51EE">
        <w:rPr>
          <w:rFonts w:cs="Calibri"/>
          <w:b/>
        </w:rPr>
        <w:t>až v okamžiku</w:t>
      </w:r>
      <w:r w:rsidR="00E62519" w:rsidRPr="00041308">
        <w:rPr>
          <w:rFonts w:cs="Calibri"/>
          <w:b/>
        </w:rPr>
        <w:t>,</w:t>
      </w:r>
      <w:r w:rsidR="00E62519" w:rsidRPr="00377C5F">
        <w:rPr>
          <w:rFonts w:cs="Calibri"/>
        </w:rPr>
        <w:t xml:space="preserve"> kdy již MMR vznikl konkrétní vyčíslený závazek </w:t>
      </w:r>
      <w:r w:rsidRPr="00377C5F">
        <w:rPr>
          <w:rFonts w:cs="Calibri"/>
        </w:rPr>
        <w:t xml:space="preserve">vůči příslušnému finančnímu úřadu </w:t>
      </w:r>
      <w:r w:rsidR="00377C5F" w:rsidRPr="00377C5F">
        <w:rPr>
          <w:rFonts w:cs="Calibri"/>
        </w:rPr>
        <w:t xml:space="preserve">a související náklad z titulu odvodu a penále za porušení rozpočtové kázně </w:t>
      </w:r>
      <w:r w:rsidR="00E62519" w:rsidRPr="00377C5F">
        <w:rPr>
          <w:rFonts w:cs="Calibri"/>
        </w:rPr>
        <w:t>vyplývající z </w:t>
      </w:r>
      <w:r w:rsidR="00E62519" w:rsidRPr="00DE51EE">
        <w:rPr>
          <w:rFonts w:cs="Calibri"/>
          <w:b/>
        </w:rPr>
        <w:t>pravomocného platebního výměru</w:t>
      </w:r>
      <w:r w:rsidR="00E62519" w:rsidRPr="00041308">
        <w:rPr>
          <w:rFonts w:cs="Calibri"/>
          <w:b/>
        </w:rPr>
        <w:t>.</w:t>
      </w:r>
      <w:r w:rsidR="00377C5F">
        <w:rPr>
          <w:rFonts w:cs="Calibri"/>
        </w:rPr>
        <w:t xml:space="preserve"> V důsledku této skutečnosti </w:t>
      </w:r>
      <w:r w:rsidR="00377C5F" w:rsidRPr="00DE51EE">
        <w:rPr>
          <w:rFonts w:cs="Calibri"/>
          <w:b/>
        </w:rPr>
        <w:t>MMR v rozvaze</w:t>
      </w:r>
      <w:r w:rsidR="00377C5F">
        <w:rPr>
          <w:rFonts w:cs="Calibri"/>
        </w:rPr>
        <w:t xml:space="preserve"> v údajích za běžné účetní období </w:t>
      </w:r>
      <w:r w:rsidR="00377C5F" w:rsidRPr="00DE51EE">
        <w:rPr>
          <w:rFonts w:cs="Calibri"/>
          <w:b/>
        </w:rPr>
        <w:t>nadhodnotilo</w:t>
      </w:r>
      <w:r w:rsidR="00377C5F">
        <w:rPr>
          <w:rFonts w:cs="Calibri"/>
        </w:rPr>
        <w:t xml:space="preserve"> zůstatek účtu </w:t>
      </w:r>
      <w:r w:rsidR="00E62519" w:rsidRPr="00DE51EE">
        <w:rPr>
          <w:rFonts w:cs="Calibri"/>
          <w:b/>
        </w:rPr>
        <w:t>441</w:t>
      </w:r>
      <w:r w:rsidR="00E62519" w:rsidRPr="00377C5F">
        <w:rPr>
          <w:rFonts w:cs="Calibri"/>
        </w:rPr>
        <w:t xml:space="preserve"> – </w:t>
      </w:r>
      <w:r w:rsidR="00E62519" w:rsidRPr="00377C5F">
        <w:rPr>
          <w:rFonts w:cs="Calibri"/>
          <w:i/>
        </w:rPr>
        <w:t>Rezervy</w:t>
      </w:r>
      <w:r w:rsidR="00377C5F">
        <w:rPr>
          <w:rFonts w:cs="Calibri"/>
          <w:i/>
        </w:rPr>
        <w:t xml:space="preserve"> </w:t>
      </w:r>
      <w:r w:rsidR="00377C5F" w:rsidRPr="00DE51EE">
        <w:rPr>
          <w:rFonts w:cs="Calibri"/>
          <w:b/>
        </w:rPr>
        <w:t>o 154 mil. Kč</w:t>
      </w:r>
      <w:r w:rsidR="007A64BA">
        <w:rPr>
          <w:rFonts w:cs="Calibri"/>
        </w:rPr>
        <w:t xml:space="preserve"> a </w:t>
      </w:r>
      <w:r w:rsidR="00377C5F" w:rsidRPr="00DE51EE">
        <w:rPr>
          <w:rFonts w:cs="Calibri"/>
          <w:b/>
        </w:rPr>
        <w:t>podhodnotilo</w:t>
      </w:r>
      <w:r w:rsidR="00377C5F">
        <w:rPr>
          <w:rFonts w:cs="Calibri"/>
        </w:rPr>
        <w:t xml:space="preserve"> zůstatek účtu </w:t>
      </w:r>
      <w:r w:rsidR="00E62519" w:rsidRPr="00DE51EE">
        <w:rPr>
          <w:rFonts w:cs="Calibri"/>
          <w:b/>
        </w:rPr>
        <w:t>347</w:t>
      </w:r>
      <w:r w:rsidR="00E62519" w:rsidRPr="00377C5F">
        <w:rPr>
          <w:rFonts w:cs="Calibri"/>
        </w:rPr>
        <w:t xml:space="preserve"> – </w:t>
      </w:r>
      <w:r w:rsidR="00E62519" w:rsidRPr="00377C5F">
        <w:rPr>
          <w:rFonts w:cs="Calibri"/>
          <w:i/>
        </w:rPr>
        <w:t>Závazky k vybraným ústředním vládním institucím</w:t>
      </w:r>
      <w:r w:rsidR="00377C5F">
        <w:rPr>
          <w:rFonts w:cs="Calibri"/>
        </w:rPr>
        <w:t xml:space="preserve"> </w:t>
      </w:r>
      <w:r w:rsidR="007A64BA">
        <w:rPr>
          <w:rFonts w:cs="Calibri"/>
          <w:b/>
        </w:rPr>
        <w:t>o </w:t>
      </w:r>
      <w:r w:rsidR="00377C5F" w:rsidRPr="00DE51EE">
        <w:rPr>
          <w:rFonts w:cs="Calibri"/>
          <w:b/>
        </w:rPr>
        <w:t>stejnou částku</w:t>
      </w:r>
      <w:r w:rsidR="00377C5F">
        <w:rPr>
          <w:rFonts w:cs="Calibri"/>
        </w:rPr>
        <w:t xml:space="preserve"> a </w:t>
      </w:r>
      <w:r w:rsidR="000F7AA7" w:rsidRPr="00DE51EE">
        <w:rPr>
          <w:rFonts w:cs="Calibri"/>
          <w:b/>
        </w:rPr>
        <w:t>ve výkazu zisku a ztráty</w:t>
      </w:r>
      <w:r w:rsidR="000F7AA7">
        <w:rPr>
          <w:rFonts w:cs="Calibri"/>
        </w:rPr>
        <w:t xml:space="preserve"> v údajích za běžné účetní období </w:t>
      </w:r>
      <w:r w:rsidR="000F7AA7" w:rsidRPr="00DE51EE">
        <w:rPr>
          <w:rFonts w:cs="Calibri"/>
          <w:b/>
        </w:rPr>
        <w:t>nadhodnotilo</w:t>
      </w:r>
      <w:r w:rsidR="000F7AA7">
        <w:rPr>
          <w:rFonts w:cs="Calibri"/>
        </w:rPr>
        <w:t xml:space="preserve"> zůstatek účtu </w:t>
      </w:r>
      <w:r w:rsidR="000F7AA7" w:rsidRPr="00DE51EE">
        <w:rPr>
          <w:rFonts w:cs="Calibri"/>
          <w:b/>
        </w:rPr>
        <w:t>555</w:t>
      </w:r>
      <w:r w:rsidR="000F7AA7" w:rsidRPr="00377C5F">
        <w:rPr>
          <w:rFonts w:cs="Calibri"/>
        </w:rPr>
        <w:t xml:space="preserve"> – </w:t>
      </w:r>
      <w:r w:rsidR="000F7AA7" w:rsidRPr="00377C5F">
        <w:rPr>
          <w:rFonts w:cs="Calibri"/>
          <w:i/>
        </w:rPr>
        <w:t>Tvorba a zúčtování rezerv</w:t>
      </w:r>
      <w:r w:rsidR="000F7AA7">
        <w:rPr>
          <w:rFonts w:cs="Calibri"/>
          <w:i/>
        </w:rPr>
        <w:t xml:space="preserve"> </w:t>
      </w:r>
      <w:r w:rsidR="000F7AA7" w:rsidRPr="00DE51EE">
        <w:rPr>
          <w:rFonts w:cs="Calibri"/>
          <w:b/>
        </w:rPr>
        <w:t>o 54,2 mil. Kč a o stejnou částku podhodnotilo</w:t>
      </w:r>
      <w:r w:rsidR="000F7AA7">
        <w:rPr>
          <w:rFonts w:cs="Calibri"/>
        </w:rPr>
        <w:t xml:space="preserve"> zůstatek účtu </w:t>
      </w:r>
      <w:r w:rsidR="00E62519" w:rsidRPr="00DE51EE">
        <w:rPr>
          <w:rFonts w:cs="Calibri"/>
          <w:b/>
        </w:rPr>
        <w:t>542</w:t>
      </w:r>
      <w:r w:rsidR="00E62519" w:rsidRPr="00377C5F">
        <w:rPr>
          <w:rFonts w:cs="Calibri"/>
        </w:rPr>
        <w:t xml:space="preserve"> – </w:t>
      </w:r>
      <w:r w:rsidR="00E62519" w:rsidRPr="00377C5F">
        <w:rPr>
          <w:rFonts w:cs="Calibri"/>
          <w:i/>
        </w:rPr>
        <w:t>Jiné pokuty a penále</w:t>
      </w:r>
      <w:r w:rsidR="000F7AA7">
        <w:rPr>
          <w:rFonts w:cs="Calibri"/>
        </w:rPr>
        <w:t>.</w:t>
      </w:r>
    </w:p>
    <w:p w14:paraId="2CB03D0B" w14:textId="77777777" w:rsidR="00E62519" w:rsidRDefault="00E62519" w:rsidP="00E62519">
      <w:pPr>
        <w:spacing w:after="0"/>
        <w:jc w:val="both"/>
        <w:rPr>
          <w:rFonts w:cs="Calibri"/>
        </w:rPr>
      </w:pPr>
    </w:p>
    <w:p w14:paraId="0022ABC3" w14:textId="77777777" w:rsidR="00E80277" w:rsidRPr="00E80277" w:rsidRDefault="00CD2FE1"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w:t>
      </w:r>
      <w:r w:rsidR="000F7AA7">
        <w:rPr>
          <w:rFonts w:ascii="Calibri" w:hAnsi="Calibri" w:cs="Calibri"/>
          <w:lang w:eastAsia="cs-CZ"/>
        </w:rPr>
        <w:t>.6</w:t>
      </w:r>
      <w:r w:rsidR="00E80277">
        <w:rPr>
          <w:rFonts w:ascii="Calibri" w:hAnsi="Calibri" w:cs="Calibri"/>
          <w:lang w:eastAsia="cs-CZ"/>
        </w:rPr>
        <w:t xml:space="preserve"> </w:t>
      </w:r>
      <w:r w:rsidR="000F7AA7" w:rsidRPr="000F7AA7">
        <w:rPr>
          <w:rFonts w:ascii="Calibri" w:hAnsi="Calibri" w:cs="Calibri"/>
          <w:lang w:eastAsia="cs-CZ"/>
        </w:rPr>
        <w:t>Nesprávnosti v přehledu o změnách vlastního kapitálu</w:t>
      </w:r>
    </w:p>
    <w:p w14:paraId="7A153CA2" w14:textId="77777777" w:rsidR="00DF6276" w:rsidRPr="00DF6276" w:rsidRDefault="00DF6276" w:rsidP="00D92EA4">
      <w:pPr>
        <w:spacing w:after="0"/>
        <w:jc w:val="both"/>
        <w:rPr>
          <w:rFonts w:asciiTheme="minorHAnsi" w:hAnsiTheme="minorHAnsi" w:cstheme="minorHAnsi"/>
        </w:rPr>
      </w:pPr>
      <w:r w:rsidRPr="006F1961">
        <w:rPr>
          <w:rFonts w:asciiTheme="minorHAnsi" w:hAnsiTheme="minorHAnsi" w:cstheme="minorHAnsi"/>
          <w:b/>
        </w:rPr>
        <w:t>V přehledu o změnách vlastního kapitálu</w:t>
      </w:r>
      <w:r w:rsidRPr="00DF6276">
        <w:rPr>
          <w:rFonts w:asciiTheme="minorHAnsi" w:hAnsiTheme="minorHAnsi" w:cstheme="minorHAnsi"/>
        </w:rPr>
        <w:t xml:space="preserve"> byly zjištěny </w:t>
      </w:r>
      <w:r w:rsidRPr="006F1961">
        <w:rPr>
          <w:rFonts w:asciiTheme="minorHAnsi" w:hAnsiTheme="minorHAnsi" w:cstheme="minorHAnsi"/>
          <w:b/>
        </w:rPr>
        <w:t>významné nesprávnosti s významným dopadem</w:t>
      </w:r>
      <w:r w:rsidRPr="00DF6276">
        <w:rPr>
          <w:rFonts w:asciiTheme="minorHAnsi" w:hAnsiTheme="minorHAnsi" w:cstheme="minorHAnsi"/>
        </w:rPr>
        <w:t xml:space="preserve"> na tento účetní výkaz, jež tvoří součást ÚZ. Vlivem těchto nesprávností podalo MMR uživatelům ÚZ </w:t>
      </w:r>
      <w:r w:rsidRPr="006F1961">
        <w:rPr>
          <w:rFonts w:asciiTheme="minorHAnsi" w:hAnsiTheme="minorHAnsi" w:cstheme="minorHAnsi"/>
          <w:b/>
        </w:rPr>
        <w:t>významně zkreslené a nesprávné informace o pohybech vlastního kapitálu</w:t>
      </w:r>
      <w:r w:rsidRPr="00041308">
        <w:rPr>
          <w:rFonts w:asciiTheme="minorHAnsi" w:hAnsiTheme="minorHAnsi" w:cstheme="minorHAnsi"/>
          <w:b/>
        </w:rPr>
        <w:t>.</w:t>
      </w:r>
      <w:r w:rsidRPr="00DF6276">
        <w:rPr>
          <w:rFonts w:asciiTheme="minorHAnsi" w:hAnsiTheme="minorHAnsi" w:cstheme="minorHAnsi"/>
        </w:rPr>
        <w:t xml:space="preserve"> Z takto nesprávně sestaveného účetního výkazu je možné získat informaci například o tom, že MMR v průběhu účetního období 2018:</w:t>
      </w:r>
    </w:p>
    <w:p w14:paraId="1BC3FE14" w14:textId="44B91365" w:rsidR="00DF6276" w:rsidRPr="00DF6276" w:rsidRDefault="00DF6276" w:rsidP="00D92EA4">
      <w:pPr>
        <w:pStyle w:val="Odstavecseseznamem"/>
        <w:numPr>
          <w:ilvl w:val="0"/>
          <w:numId w:val="4"/>
        </w:numPr>
        <w:spacing w:after="0"/>
        <w:ind w:left="284" w:hanging="284"/>
        <w:contextualSpacing w:val="0"/>
        <w:jc w:val="both"/>
        <w:rPr>
          <w:rFonts w:asciiTheme="minorHAnsi" w:hAnsiTheme="minorHAnsi" w:cstheme="minorHAnsi"/>
        </w:rPr>
      </w:pPr>
      <w:r w:rsidRPr="006F1961">
        <w:rPr>
          <w:rFonts w:asciiTheme="minorHAnsi" w:hAnsiTheme="minorHAnsi" w:cstheme="minorHAnsi"/>
          <w:b/>
        </w:rPr>
        <w:t>pozbývalo formou změny příslušnosti hospodařit s majetkem státu</w:t>
      </w:r>
      <w:r w:rsidRPr="00DF6276">
        <w:rPr>
          <w:rFonts w:asciiTheme="minorHAnsi" w:hAnsiTheme="minorHAnsi" w:cstheme="minorHAnsi"/>
        </w:rPr>
        <w:t xml:space="preserve"> nebo formou zániku vlastnického práva státu podle zákona o majetku nebo podle jiného právního předpisu </w:t>
      </w:r>
      <w:r w:rsidRPr="006F1961">
        <w:rPr>
          <w:rFonts w:asciiTheme="minorHAnsi" w:hAnsiTheme="minorHAnsi" w:cstheme="minorHAnsi"/>
          <w:b/>
        </w:rPr>
        <w:lastRenderedPageBreak/>
        <w:t>majetek v hodnotě přesahující 492 mil. Kč</w:t>
      </w:r>
      <w:r w:rsidRPr="00041308">
        <w:rPr>
          <w:rFonts w:asciiTheme="minorHAnsi" w:hAnsiTheme="minorHAnsi" w:cstheme="minorHAnsi"/>
          <w:b/>
        </w:rPr>
        <w:t>,</w:t>
      </w:r>
      <w:r w:rsidRPr="00DF6276">
        <w:rPr>
          <w:rFonts w:asciiTheme="minorHAnsi" w:hAnsiTheme="minorHAnsi" w:cstheme="minorHAnsi"/>
        </w:rPr>
        <w:t xml:space="preserve"> </w:t>
      </w:r>
      <w:r w:rsidRPr="006F1961">
        <w:rPr>
          <w:rFonts w:asciiTheme="minorHAnsi" w:hAnsiTheme="minorHAnsi" w:cstheme="minorHAnsi"/>
          <w:b/>
        </w:rPr>
        <w:t xml:space="preserve">ve skutečnosti </w:t>
      </w:r>
      <w:r w:rsidRPr="006F1961">
        <w:rPr>
          <w:rFonts w:asciiTheme="minorHAnsi" w:hAnsiTheme="minorHAnsi" w:cstheme="minorHAnsi"/>
        </w:rPr>
        <w:t>však</w:t>
      </w:r>
      <w:r w:rsidRPr="006F1961">
        <w:rPr>
          <w:rFonts w:asciiTheme="minorHAnsi" w:hAnsiTheme="minorHAnsi" w:cstheme="minorHAnsi"/>
          <w:b/>
        </w:rPr>
        <w:t xml:space="preserve"> měla být tato částka minimálně o 208 mil. Kč nižší</w:t>
      </w:r>
      <w:r w:rsidR="00D26592" w:rsidRPr="00041308">
        <w:rPr>
          <w:rFonts w:asciiTheme="minorHAnsi" w:hAnsiTheme="minorHAnsi" w:cstheme="minorHAnsi"/>
          <w:b/>
        </w:rPr>
        <w:t>.</w:t>
      </w:r>
      <w:r w:rsidR="00D26592">
        <w:rPr>
          <w:rFonts w:asciiTheme="minorHAnsi" w:hAnsiTheme="minorHAnsi" w:cstheme="minorHAnsi"/>
        </w:rPr>
        <w:t xml:space="preserve"> MMR totiž účetní případy týkající se </w:t>
      </w:r>
      <w:r w:rsidR="0057113F">
        <w:rPr>
          <w:rFonts w:asciiTheme="minorHAnsi" w:hAnsiTheme="minorHAnsi" w:cstheme="minorHAnsi"/>
        </w:rPr>
        <w:t>zejména odvodů vratek z dotací na vypořádací účet Ministerstva financí</w:t>
      </w:r>
      <w:r w:rsidR="00700DDE">
        <w:rPr>
          <w:rFonts w:asciiTheme="minorHAnsi" w:hAnsiTheme="minorHAnsi" w:cstheme="minorHAnsi"/>
        </w:rPr>
        <w:t xml:space="preserve"> a poskytování peněžních prostředků zřízeným příspěvkovým organizacím</w:t>
      </w:r>
      <w:r w:rsidR="007C1E01">
        <w:rPr>
          <w:rFonts w:asciiTheme="minorHAnsi" w:hAnsiTheme="minorHAnsi" w:cstheme="minorHAnsi"/>
        </w:rPr>
        <w:t xml:space="preserve"> vykazovalo v přehledu o </w:t>
      </w:r>
      <w:r w:rsidR="0057113F">
        <w:rPr>
          <w:rFonts w:asciiTheme="minorHAnsi" w:hAnsiTheme="minorHAnsi" w:cstheme="minorHAnsi"/>
        </w:rPr>
        <w:t xml:space="preserve">změnách vlastního kapitálu nesprávně na položce </w:t>
      </w:r>
      <w:r w:rsidR="0057113F" w:rsidRPr="00041308">
        <w:rPr>
          <w:rFonts w:asciiTheme="minorHAnsi" w:hAnsiTheme="minorHAnsi" w:cstheme="minorHAnsi"/>
          <w:i/>
        </w:rPr>
        <w:t>A.I.1. Změna, vznik nebo zánik příslušnosti hospodařit s majetkem státu</w:t>
      </w:r>
      <w:r w:rsidR="00D92EA4">
        <w:rPr>
          <w:rFonts w:asciiTheme="minorHAnsi" w:hAnsiTheme="minorHAnsi" w:cstheme="minorHAnsi"/>
        </w:rPr>
        <w:t>;</w:t>
      </w:r>
    </w:p>
    <w:p w14:paraId="48F6F60B" w14:textId="1EE76A54" w:rsidR="00DF6276" w:rsidRPr="00DF6276" w:rsidRDefault="00DF6276" w:rsidP="00D92EA4">
      <w:pPr>
        <w:pStyle w:val="Odstavecseseznamem"/>
        <w:numPr>
          <w:ilvl w:val="0"/>
          <w:numId w:val="4"/>
        </w:numPr>
        <w:spacing w:after="0"/>
        <w:ind w:left="284" w:hanging="284"/>
        <w:contextualSpacing w:val="0"/>
        <w:jc w:val="both"/>
        <w:rPr>
          <w:rFonts w:asciiTheme="minorHAnsi" w:hAnsiTheme="minorHAnsi" w:cstheme="minorHAnsi"/>
        </w:rPr>
      </w:pPr>
      <w:r w:rsidRPr="006F1961">
        <w:rPr>
          <w:rFonts w:asciiTheme="minorHAnsi" w:hAnsiTheme="minorHAnsi" w:cstheme="minorHAnsi"/>
          <w:b/>
        </w:rPr>
        <w:t>nabývalo formou změny příslušnosti hospodařit s majetkem státu</w:t>
      </w:r>
      <w:r w:rsidRPr="00DF6276">
        <w:rPr>
          <w:rFonts w:asciiTheme="minorHAnsi" w:hAnsiTheme="minorHAnsi" w:cstheme="minorHAnsi"/>
        </w:rPr>
        <w:t xml:space="preserve"> nebo formou vzniku vlastnického práva státu podle zákona o majetku nebo podle jiného právního předpisu </w:t>
      </w:r>
      <w:r w:rsidRPr="006F1961">
        <w:rPr>
          <w:rFonts w:asciiTheme="minorHAnsi" w:hAnsiTheme="minorHAnsi" w:cstheme="minorHAnsi"/>
          <w:b/>
        </w:rPr>
        <w:t>majetek v hodnotě přesahující 550 mil. Kč</w:t>
      </w:r>
      <w:r w:rsidRPr="00041308">
        <w:rPr>
          <w:rFonts w:asciiTheme="minorHAnsi" w:hAnsiTheme="minorHAnsi" w:cstheme="minorHAnsi"/>
          <w:b/>
        </w:rPr>
        <w:t>,</w:t>
      </w:r>
      <w:r w:rsidRPr="00DF6276">
        <w:rPr>
          <w:rFonts w:asciiTheme="minorHAnsi" w:hAnsiTheme="minorHAnsi" w:cstheme="minorHAnsi"/>
        </w:rPr>
        <w:t xml:space="preserve"> </w:t>
      </w:r>
      <w:r w:rsidRPr="006F1961">
        <w:rPr>
          <w:rFonts w:asciiTheme="minorHAnsi" w:hAnsiTheme="minorHAnsi" w:cstheme="minorHAnsi"/>
          <w:b/>
        </w:rPr>
        <w:t xml:space="preserve">ve skutečnosti </w:t>
      </w:r>
      <w:r w:rsidRPr="006F1961">
        <w:rPr>
          <w:rFonts w:asciiTheme="minorHAnsi" w:hAnsiTheme="minorHAnsi" w:cstheme="minorHAnsi"/>
        </w:rPr>
        <w:t>však</w:t>
      </w:r>
      <w:r w:rsidRPr="006F1961">
        <w:rPr>
          <w:rFonts w:asciiTheme="minorHAnsi" w:hAnsiTheme="minorHAnsi" w:cstheme="minorHAnsi"/>
          <w:b/>
        </w:rPr>
        <w:t xml:space="preserve"> měla být tato částka minimálně o </w:t>
      </w:r>
      <w:r w:rsidR="0057113F" w:rsidRPr="006F1961">
        <w:rPr>
          <w:rFonts w:asciiTheme="minorHAnsi" w:hAnsiTheme="minorHAnsi" w:cstheme="minorHAnsi"/>
          <w:b/>
        </w:rPr>
        <w:t>401 mil. Kč nižší</w:t>
      </w:r>
      <w:r w:rsidR="0057113F" w:rsidRPr="00041308">
        <w:rPr>
          <w:rFonts w:asciiTheme="minorHAnsi" w:hAnsiTheme="minorHAnsi" w:cstheme="minorHAnsi"/>
          <w:b/>
        </w:rPr>
        <w:t>.</w:t>
      </w:r>
      <w:r w:rsidR="0057113F">
        <w:rPr>
          <w:rFonts w:asciiTheme="minorHAnsi" w:hAnsiTheme="minorHAnsi" w:cstheme="minorHAnsi"/>
        </w:rPr>
        <w:t xml:space="preserve"> Tato nesprávnost souvisela s nesprávným účtováním oprav předcházejících účetních období (v podrobnostech viz </w:t>
      </w:r>
      <w:r w:rsidR="00700DDE" w:rsidRPr="00DA13E2">
        <w:rPr>
          <w:rFonts w:asciiTheme="minorHAnsi" w:hAnsiTheme="minorHAnsi" w:cstheme="minorHAnsi"/>
        </w:rPr>
        <w:t>část</w:t>
      </w:r>
      <w:r w:rsidR="000B7B7B" w:rsidRPr="00DA13E2">
        <w:rPr>
          <w:rFonts w:asciiTheme="minorHAnsi" w:hAnsiTheme="minorHAnsi" w:cstheme="minorHAnsi"/>
        </w:rPr>
        <w:t xml:space="preserve"> IV.1</w:t>
      </w:r>
      <w:r w:rsidR="0057113F" w:rsidRPr="00DA13E2">
        <w:rPr>
          <w:rFonts w:asciiTheme="minorHAnsi" w:hAnsiTheme="minorHAnsi" w:cstheme="minorHAnsi"/>
        </w:rPr>
        <w:t>.2</w:t>
      </w:r>
      <w:r w:rsidR="00700DDE">
        <w:rPr>
          <w:rFonts w:asciiTheme="minorHAnsi" w:hAnsiTheme="minorHAnsi" w:cstheme="minorHAnsi"/>
        </w:rPr>
        <w:t xml:space="preserve"> tohoto kontrolního závěru</w:t>
      </w:r>
      <w:r w:rsidR="0057113F">
        <w:rPr>
          <w:rFonts w:asciiTheme="minorHAnsi" w:hAnsiTheme="minorHAnsi" w:cstheme="minorHAnsi"/>
        </w:rPr>
        <w:t>)</w:t>
      </w:r>
      <w:r w:rsidR="00D92EA4">
        <w:rPr>
          <w:rFonts w:asciiTheme="minorHAnsi" w:hAnsiTheme="minorHAnsi" w:cstheme="minorHAnsi"/>
        </w:rPr>
        <w:t>;</w:t>
      </w:r>
    </w:p>
    <w:p w14:paraId="4549E75A" w14:textId="01E98D9D" w:rsidR="000F7AA7" w:rsidRPr="00DF6276" w:rsidRDefault="00DF6276" w:rsidP="00D92EA4">
      <w:pPr>
        <w:pStyle w:val="Odstavecseseznamem"/>
        <w:numPr>
          <w:ilvl w:val="0"/>
          <w:numId w:val="4"/>
        </w:numPr>
        <w:spacing w:after="0"/>
        <w:ind w:left="284" w:hanging="284"/>
        <w:jc w:val="both"/>
        <w:rPr>
          <w:rFonts w:asciiTheme="minorHAnsi" w:hAnsiTheme="minorHAnsi" w:cstheme="minorHAnsi"/>
        </w:rPr>
      </w:pPr>
      <w:r w:rsidRPr="006F1961">
        <w:rPr>
          <w:rFonts w:asciiTheme="minorHAnsi" w:hAnsiTheme="minorHAnsi" w:cstheme="minorHAnsi"/>
          <w:b/>
        </w:rPr>
        <w:t>provádělo opravy předcházejících účetních období</w:t>
      </w:r>
      <w:r w:rsidRPr="00DF6276">
        <w:rPr>
          <w:rFonts w:asciiTheme="minorHAnsi" w:hAnsiTheme="minorHAnsi" w:cstheme="minorHAnsi"/>
        </w:rPr>
        <w:t xml:space="preserve"> s vlivem na zvýšení stavu vlastního kapitálu </w:t>
      </w:r>
      <w:r w:rsidRPr="006F1961">
        <w:rPr>
          <w:rFonts w:asciiTheme="minorHAnsi" w:hAnsiTheme="minorHAnsi" w:cstheme="minorHAnsi"/>
          <w:b/>
        </w:rPr>
        <w:t>v hodnotě přesahující 245 mil. Kč</w:t>
      </w:r>
      <w:r w:rsidRPr="00041308">
        <w:rPr>
          <w:rFonts w:asciiTheme="minorHAnsi" w:hAnsiTheme="minorHAnsi" w:cstheme="minorHAnsi"/>
          <w:b/>
        </w:rPr>
        <w:t>,</w:t>
      </w:r>
      <w:r w:rsidRPr="00DF6276">
        <w:rPr>
          <w:rFonts w:asciiTheme="minorHAnsi" w:hAnsiTheme="minorHAnsi" w:cstheme="minorHAnsi"/>
        </w:rPr>
        <w:t xml:space="preserve"> </w:t>
      </w:r>
      <w:r w:rsidRPr="006F1961">
        <w:rPr>
          <w:rFonts w:asciiTheme="minorHAnsi" w:hAnsiTheme="minorHAnsi" w:cstheme="minorHAnsi"/>
          <w:b/>
        </w:rPr>
        <w:t xml:space="preserve">ve skutečnosti </w:t>
      </w:r>
      <w:r w:rsidRPr="006F1961">
        <w:rPr>
          <w:rFonts w:asciiTheme="minorHAnsi" w:hAnsiTheme="minorHAnsi" w:cstheme="minorHAnsi"/>
        </w:rPr>
        <w:t>však</w:t>
      </w:r>
      <w:r w:rsidRPr="006F1961">
        <w:rPr>
          <w:rFonts w:asciiTheme="minorHAnsi" w:hAnsiTheme="minorHAnsi" w:cstheme="minorHAnsi"/>
          <w:b/>
        </w:rPr>
        <w:t xml:space="preserve"> měla být tato částka minimálně o 229 mil. Kč vyšší</w:t>
      </w:r>
      <w:r w:rsidRPr="00041308">
        <w:rPr>
          <w:rFonts w:asciiTheme="minorHAnsi" w:hAnsiTheme="minorHAnsi" w:cstheme="minorHAnsi"/>
          <w:b/>
        </w:rPr>
        <w:t>.</w:t>
      </w:r>
      <w:r w:rsidR="00F24D4F">
        <w:rPr>
          <w:rFonts w:asciiTheme="minorHAnsi" w:hAnsiTheme="minorHAnsi" w:cstheme="minorHAnsi"/>
        </w:rPr>
        <w:t xml:space="preserve"> Tato nesprávnost souvisela s nesprávným účtováním oprav předcházejících účetních období (v podrobnostech viz </w:t>
      </w:r>
      <w:r w:rsidR="00700DDE" w:rsidRPr="00DA13E2">
        <w:rPr>
          <w:rFonts w:asciiTheme="minorHAnsi" w:hAnsiTheme="minorHAnsi" w:cstheme="minorHAnsi"/>
        </w:rPr>
        <w:t xml:space="preserve">část </w:t>
      </w:r>
      <w:r w:rsidR="000B7B7B" w:rsidRPr="00DA13E2">
        <w:rPr>
          <w:rFonts w:asciiTheme="minorHAnsi" w:hAnsiTheme="minorHAnsi" w:cstheme="minorHAnsi"/>
        </w:rPr>
        <w:t>IV.1.</w:t>
      </w:r>
      <w:r w:rsidR="00700DDE" w:rsidRPr="00DA13E2">
        <w:rPr>
          <w:rFonts w:asciiTheme="minorHAnsi" w:hAnsiTheme="minorHAnsi" w:cstheme="minorHAnsi"/>
        </w:rPr>
        <w:t>2</w:t>
      </w:r>
      <w:r w:rsidR="00700DDE">
        <w:rPr>
          <w:rFonts w:asciiTheme="minorHAnsi" w:hAnsiTheme="minorHAnsi" w:cstheme="minorHAnsi"/>
        </w:rPr>
        <w:t xml:space="preserve"> tohoto kontrolního závěru</w:t>
      </w:r>
      <w:r w:rsidR="00F24D4F">
        <w:rPr>
          <w:rFonts w:asciiTheme="minorHAnsi" w:hAnsiTheme="minorHAnsi" w:cstheme="minorHAnsi"/>
        </w:rPr>
        <w:t>).</w:t>
      </w:r>
    </w:p>
    <w:p w14:paraId="3F3D3BFD" w14:textId="77777777" w:rsidR="000F7AA7" w:rsidRDefault="000F7AA7" w:rsidP="005141FD">
      <w:pPr>
        <w:spacing w:after="0"/>
        <w:jc w:val="both"/>
        <w:rPr>
          <w:rFonts w:cs="Calibri"/>
          <w:b/>
        </w:rPr>
      </w:pPr>
    </w:p>
    <w:p w14:paraId="2B334003" w14:textId="77777777" w:rsidR="00E80277" w:rsidRPr="00E80277" w:rsidRDefault="00CD2FE1"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w:t>
      </w:r>
      <w:r w:rsidR="00F24D4F" w:rsidRPr="00F24D4F">
        <w:rPr>
          <w:rFonts w:ascii="Calibri" w:hAnsi="Calibri" w:cs="Calibri"/>
          <w:lang w:eastAsia="cs-CZ"/>
        </w:rPr>
        <w:t>.7</w:t>
      </w:r>
      <w:r w:rsidR="00E80277" w:rsidRPr="00F24D4F">
        <w:rPr>
          <w:rFonts w:ascii="Calibri" w:hAnsi="Calibri" w:cs="Calibri"/>
          <w:lang w:eastAsia="cs-CZ"/>
        </w:rPr>
        <w:t xml:space="preserve"> </w:t>
      </w:r>
      <w:r w:rsidR="00F24D4F" w:rsidRPr="00F24D4F">
        <w:rPr>
          <w:rFonts w:ascii="Calibri" w:hAnsi="Calibri" w:cs="Calibri"/>
          <w:lang w:eastAsia="cs-CZ"/>
        </w:rPr>
        <w:t>Neúčtování o převodu schváleného výsledku hospodaření</w:t>
      </w:r>
    </w:p>
    <w:p w14:paraId="696E5C45" w14:textId="0026CB04" w:rsidR="00E62519" w:rsidRDefault="00F24D4F" w:rsidP="00A0370E">
      <w:pPr>
        <w:spacing w:after="0"/>
        <w:jc w:val="both"/>
        <w:rPr>
          <w:rFonts w:cs="Calibri"/>
        </w:rPr>
      </w:pPr>
      <w:r w:rsidRPr="006F1961">
        <w:rPr>
          <w:rFonts w:cs="Calibri"/>
          <w:b/>
        </w:rPr>
        <w:t>MMR</w:t>
      </w:r>
      <w:r w:rsidRPr="00A0370E">
        <w:rPr>
          <w:rFonts w:cs="Calibri"/>
        </w:rPr>
        <w:t xml:space="preserve"> počínaje rokem 2017 </w:t>
      </w:r>
      <w:r w:rsidRPr="006F1961">
        <w:rPr>
          <w:rFonts w:cs="Calibri"/>
          <w:b/>
        </w:rPr>
        <w:t>nepřevádí schválený výsledek hospodaření za předchozí rok</w:t>
      </w:r>
      <w:r w:rsidR="007C1E01">
        <w:rPr>
          <w:rFonts w:cs="Calibri"/>
        </w:rPr>
        <w:t xml:space="preserve"> z </w:t>
      </w:r>
      <w:r w:rsidRPr="00A0370E">
        <w:rPr>
          <w:rFonts w:cs="Calibri"/>
        </w:rPr>
        <w:t xml:space="preserve">účtu 431 – </w:t>
      </w:r>
      <w:r w:rsidRPr="00A0370E">
        <w:rPr>
          <w:rFonts w:cs="Calibri"/>
          <w:i/>
        </w:rPr>
        <w:t>Výsledek hospodaření ve schvalovacím řízení</w:t>
      </w:r>
      <w:r w:rsidRPr="00A0370E">
        <w:rPr>
          <w:rFonts w:cs="Calibri"/>
        </w:rPr>
        <w:t xml:space="preserve"> na účet 432 – </w:t>
      </w:r>
      <w:r w:rsidRPr="00A0370E">
        <w:rPr>
          <w:rFonts w:cs="Calibri"/>
          <w:i/>
        </w:rPr>
        <w:t>Výsledek hospodaření předcházejících účetních období</w:t>
      </w:r>
      <w:r w:rsidRPr="00A0370E">
        <w:rPr>
          <w:rFonts w:cs="Calibri"/>
        </w:rPr>
        <w:t xml:space="preserve"> </w:t>
      </w:r>
      <w:r w:rsidRPr="006F1961">
        <w:rPr>
          <w:rFonts w:cs="Calibri"/>
          <w:b/>
        </w:rPr>
        <w:t>k okamžiku schválení účetní závěrky</w:t>
      </w:r>
      <w:r w:rsidR="007C1E01" w:rsidRPr="00041308">
        <w:rPr>
          <w:rFonts w:cs="Calibri"/>
          <w:b/>
        </w:rPr>
        <w:t>,</w:t>
      </w:r>
      <w:r w:rsidR="007C1E01">
        <w:rPr>
          <w:rFonts w:cs="Calibri"/>
        </w:rPr>
        <w:t xml:space="preserve"> nýbrž jej převádí až v </w:t>
      </w:r>
      <w:r w:rsidRPr="00A0370E">
        <w:rPr>
          <w:rFonts w:cs="Calibri"/>
        </w:rPr>
        <w:t>rámci nastavení počátečních stavů nového účetního období (</w:t>
      </w:r>
      <w:r w:rsidR="00A0370E" w:rsidRPr="00A0370E">
        <w:rPr>
          <w:rFonts w:cs="Calibri"/>
        </w:rPr>
        <w:t xml:space="preserve">tj. </w:t>
      </w:r>
      <w:r w:rsidRPr="00A0370E">
        <w:rPr>
          <w:rFonts w:cs="Calibri"/>
        </w:rPr>
        <w:t xml:space="preserve">k 1. </w:t>
      </w:r>
      <w:r w:rsidR="0068234C">
        <w:rPr>
          <w:rFonts w:cs="Calibri"/>
        </w:rPr>
        <w:t>lednu</w:t>
      </w:r>
      <w:r w:rsidRPr="00A0370E">
        <w:rPr>
          <w:rFonts w:cs="Calibri"/>
        </w:rPr>
        <w:t xml:space="preserve"> roku následujícího po roce, ve které</w:t>
      </w:r>
      <w:r w:rsidR="00880B4B">
        <w:rPr>
          <w:rFonts w:cs="Calibri"/>
        </w:rPr>
        <w:t>m</w:t>
      </w:r>
      <w:r w:rsidRPr="00A0370E">
        <w:rPr>
          <w:rFonts w:cs="Calibri"/>
        </w:rPr>
        <w:t xml:space="preserve"> došlo ke schválení účetní závěrky). MMR tak </w:t>
      </w:r>
      <w:r w:rsidRPr="006F1961">
        <w:rPr>
          <w:rFonts w:cs="Calibri"/>
          <w:b/>
        </w:rPr>
        <w:t>neúčtuje o skutečnostech</w:t>
      </w:r>
      <w:r w:rsidRPr="00041308">
        <w:rPr>
          <w:rFonts w:cs="Calibri"/>
          <w:b/>
        </w:rPr>
        <w:t>,</w:t>
      </w:r>
      <w:r w:rsidRPr="00A0370E">
        <w:rPr>
          <w:rFonts w:cs="Calibri"/>
        </w:rPr>
        <w:t xml:space="preserve"> které jsou předmětem účetnictví </w:t>
      </w:r>
      <w:r w:rsidRPr="006F1961">
        <w:rPr>
          <w:rFonts w:cs="Calibri"/>
          <w:b/>
        </w:rPr>
        <w:t>do období, s nímž tyto skutečnosti časově a věcně souvisí</w:t>
      </w:r>
      <w:r w:rsidR="00A0370E" w:rsidRPr="00041308">
        <w:rPr>
          <w:rFonts w:cs="Calibri"/>
          <w:b/>
        </w:rPr>
        <w:t>.</w:t>
      </w:r>
      <w:r w:rsidR="00A0370E">
        <w:rPr>
          <w:rFonts w:cs="Calibri"/>
        </w:rPr>
        <w:t xml:space="preserve"> </w:t>
      </w:r>
      <w:r w:rsidR="00A0370E" w:rsidRPr="00A0370E">
        <w:rPr>
          <w:rFonts w:cs="Calibri"/>
        </w:rPr>
        <w:t xml:space="preserve">V důsledku této skutečnosti </w:t>
      </w:r>
      <w:r w:rsidR="00A0370E" w:rsidRPr="006F1961">
        <w:rPr>
          <w:rFonts w:cs="Calibri"/>
          <w:b/>
        </w:rPr>
        <w:t>MMR v rozvaze</w:t>
      </w:r>
      <w:r w:rsidR="00A0370E" w:rsidRPr="00A0370E">
        <w:rPr>
          <w:rFonts w:cs="Calibri"/>
        </w:rPr>
        <w:t xml:space="preserve"> v údajích za běžné účetní období </w:t>
      </w:r>
      <w:r w:rsidR="00A0370E" w:rsidRPr="006F1961">
        <w:rPr>
          <w:rFonts w:cs="Calibri"/>
          <w:b/>
        </w:rPr>
        <w:t>nadhodnotilo</w:t>
      </w:r>
      <w:r w:rsidR="00A0370E" w:rsidRPr="00A0370E">
        <w:rPr>
          <w:rFonts w:cs="Calibri"/>
        </w:rPr>
        <w:t xml:space="preserve"> zůstatek účtu </w:t>
      </w:r>
      <w:r w:rsidR="00A0370E" w:rsidRPr="006F1961">
        <w:rPr>
          <w:rFonts w:cs="Calibri"/>
          <w:b/>
        </w:rPr>
        <w:t>432</w:t>
      </w:r>
      <w:r w:rsidR="00A0370E" w:rsidRPr="00A0370E">
        <w:rPr>
          <w:rFonts w:cs="Calibri"/>
        </w:rPr>
        <w:t xml:space="preserve"> – </w:t>
      </w:r>
      <w:r w:rsidR="00A0370E" w:rsidRPr="00A0370E">
        <w:rPr>
          <w:rFonts w:cs="Calibri"/>
          <w:i/>
        </w:rPr>
        <w:t>Výsledek hospodaření předcházejících účetních období</w:t>
      </w:r>
      <w:r w:rsidR="00A0370E" w:rsidRPr="00A0370E">
        <w:rPr>
          <w:rFonts w:cs="Calibri"/>
        </w:rPr>
        <w:t xml:space="preserve"> </w:t>
      </w:r>
      <w:r w:rsidR="00A0370E" w:rsidRPr="006F1961">
        <w:rPr>
          <w:rFonts w:cs="Calibri"/>
          <w:b/>
        </w:rPr>
        <w:t>o 3 284 mil. Kč</w:t>
      </w:r>
      <w:r w:rsidR="007C1E01">
        <w:rPr>
          <w:rFonts w:cs="Calibri"/>
        </w:rPr>
        <w:t xml:space="preserve"> a </w:t>
      </w:r>
      <w:r w:rsidR="00A0370E" w:rsidRPr="006F1961">
        <w:rPr>
          <w:rFonts w:cs="Calibri"/>
          <w:b/>
        </w:rPr>
        <w:t>podhodnotilo</w:t>
      </w:r>
      <w:r w:rsidR="00A0370E" w:rsidRPr="00A0370E">
        <w:rPr>
          <w:rFonts w:cs="Calibri"/>
        </w:rPr>
        <w:t xml:space="preserve"> zůstatek účtu </w:t>
      </w:r>
      <w:r w:rsidR="00A0370E" w:rsidRPr="006F1961">
        <w:rPr>
          <w:rFonts w:cs="Calibri"/>
          <w:b/>
        </w:rPr>
        <w:t>431</w:t>
      </w:r>
      <w:r w:rsidR="00A0370E" w:rsidRPr="00A0370E">
        <w:rPr>
          <w:rFonts w:cs="Calibri"/>
        </w:rPr>
        <w:t xml:space="preserve"> – </w:t>
      </w:r>
      <w:r w:rsidR="00A0370E" w:rsidRPr="00A0370E">
        <w:rPr>
          <w:rFonts w:cs="Calibri"/>
          <w:i/>
        </w:rPr>
        <w:t xml:space="preserve">Výsledek hospodaření ve schvalovacím řízení </w:t>
      </w:r>
      <w:r w:rsidR="00A0370E" w:rsidRPr="006F1961">
        <w:rPr>
          <w:rFonts w:cs="Calibri"/>
          <w:b/>
        </w:rPr>
        <w:t>o stejnou částku</w:t>
      </w:r>
      <w:r w:rsidR="00A0370E" w:rsidRPr="00041308">
        <w:rPr>
          <w:rFonts w:cs="Calibri"/>
          <w:b/>
        </w:rPr>
        <w:t>.</w:t>
      </w:r>
    </w:p>
    <w:p w14:paraId="4BC0E5C2" w14:textId="77777777" w:rsidR="005465F2" w:rsidRPr="00FD606C" w:rsidRDefault="005465F2" w:rsidP="00FD606C">
      <w:pPr>
        <w:pStyle w:val="Nadpis2"/>
        <w:keepNext/>
        <w:numPr>
          <w:ilvl w:val="0"/>
          <w:numId w:val="0"/>
        </w:numPr>
        <w:spacing w:after="0" w:line="240" w:lineRule="auto"/>
        <w:contextualSpacing w:val="0"/>
        <w:rPr>
          <w:lang w:eastAsia="cs-CZ"/>
        </w:rPr>
      </w:pPr>
    </w:p>
    <w:p w14:paraId="423B3332" w14:textId="77777777" w:rsidR="0068234C" w:rsidRDefault="00CD2FE1"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w:t>
      </w:r>
      <w:r w:rsidR="005465F2" w:rsidRPr="005465F2">
        <w:rPr>
          <w:rFonts w:ascii="Calibri" w:hAnsi="Calibri" w:cs="Calibri"/>
          <w:lang w:eastAsia="cs-CZ"/>
        </w:rPr>
        <w:t>.</w:t>
      </w:r>
      <w:r w:rsidR="000B7B7B">
        <w:rPr>
          <w:rFonts w:ascii="Calibri" w:hAnsi="Calibri" w:cs="Calibri"/>
          <w:lang w:eastAsia="cs-CZ"/>
        </w:rPr>
        <w:t>8</w:t>
      </w:r>
      <w:r w:rsidR="005465F2" w:rsidRPr="005465F2">
        <w:rPr>
          <w:rFonts w:ascii="Calibri" w:hAnsi="Calibri" w:cs="Calibri"/>
          <w:lang w:eastAsia="cs-CZ"/>
        </w:rPr>
        <w:t xml:space="preserve"> </w:t>
      </w:r>
      <w:r w:rsidR="0068234C">
        <w:rPr>
          <w:rFonts w:ascii="Calibri" w:hAnsi="Calibri" w:cs="Calibri"/>
          <w:lang w:eastAsia="cs-CZ"/>
        </w:rPr>
        <w:t>Neúčtování o vzniku podmíněné pohledávky z předfinancování transferů</w:t>
      </w:r>
    </w:p>
    <w:p w14:paraId="37A3268C" w14:textId="429BC67D" w:rsidR="0068234C" w:rsidRDefault="0068234C" w:rsidP="00FD606C">
      <w:pPr>
        <w:spacing w:after="0"/>
        <w:jc w:val="both"/>
        <w:rPr>
          <w:lang w:eastAsia="cs-CZ"/>
        </w:rPr>
      </w:pPr>
      <w:r w:rsidRPr="00205C1D">
        <w:rPr>
          <w:rFonts w:asciiTheme="minorHAnsi" w:hAnsiTheme="minorHAnsi" w:cstheme="minorHAnsi"/>
          <w:b/>
        </w:rPr>
        <w:t>MMR</w:t>
      </w:r>
      <w:r w:rsidRPr="004C4B3D">
        <w:rPr>
          <w:rFonts w:asciiTheme="minorHAnsi" w:hAnsiTheme="minorHAnsi" w:cstheme="minorHAnsi"/>
        </w:rPr>
        <w:t xml:space="preserve"> poskytlo v roce 2018 dotaci v rámci operačního programu </w:t>
      </w:r>
      <w:r w:rsidRPr="00041308">
        <w:rPr>
          <w:rFonts w:asciiTheme="minorHAnsi" w:hAnsiTheme="minorHAnsi" w:cstheme="minorHAnsi"/>
          <w:i/>
        </w:rPr>
        <w:t>Praha – pól růstu</w:t>
      </w:r>
      <w:r w:rsidR="005F4DAE">
        <w:rPr>
          <w:rFonts w:asciiTheme="minorHAnsi" w:hAnsiTheme="minorHAnsi" w:cstheme="minorHAnsi"/>
        </w:rPr>
        <w:t xml:space="preserve"> a </w:t>
      </w:r>
      <w:r w:rsidRPr="00205C1D">
        <w:rPr>
          <w:rFonts w:asciiTheme="minorHAnsi" w:hAnsiTheme="minorHAnsi" w:cstheme="minorHAnsi"/>
          <w:b/>
        </w:rPr>
        <w:t>neúčtovalo</w:t>
      </w:r>
      <w:r>
        <w:rPr>
          <w:rFonts w:asciiTheme="minorHAnsi" w:hAnsiTheme="minorHAnsi" w:cstheme="minorHAnsi"/>
        </w:rPr>
        <w:t xml:space="preserve"> přitom</w:t>
      </w:r>
      <w:r>
        <w:rPr>
          <w:lang w:eastAsia="cs-CZ"/>
        </w:rPr>
        <w:t xml:space="preserve"> </w:t>
      </w:r>
      <w:r w:rsidRPr="00205C1D">
        <w:rPr>
          <w:b/>
          <w:lang w:eastAsia="cs-CZ"/>
        </w:rPr>
        <w:t>o vzniku podmíněné pohledávky za Evropskou unií z titulu předfinancování</w:t>
      </w:r>
      <w:r>
        <w:rPr>
          <w:lang w:eastAsia="cs-CZ"/>
        </w:rPr>
        <w:t xml:space="preserve"> této </w:t>
      </w:r>
      <w:r w:rsidRPr="00205C1D">
        <w:rPr>
          <w:b/>
          <w:lang w:eastAsia="cs-CZ"/>
        </w:rPr>
        <w:t>dotace</w:t>
      </w:r>
      <w:r w:rsidR="009F4763">
        <w:rPr>
          <w:b/>
          <w:lang w:eastAsia="cs-CZ"/>
        </w:rPr>
        <w:t xml:space="preserve"> ze státního rozpočtu</w:t>
      </w:r>
      <w:r w:rsidRPr="00041308">
        <w:rPr>
          <w:b/>
          <w:lang w:eastAsia="cs-CZ"/>
        </w:rPr>
        <w:t>.</w:t>
      </w:r>
      <w:r>
        <w:rPr>
          <w:lang w:eastAsia="cs-CZ"/>
        </w:rPr>
        <w:t xml:space="preserve"> V důsledku této skutečnosti </w:t>
      </w:r>
      <w:r w:rsidRPr="00205C1D">
        <w:rPr>
          <w:b/>
          <w:lang w:eastAsia="cs-CZ"/>
        </w:rPr>
        <w:t>MMR v</w:t>
      </w:r>
      <w:r w:rsidR="009F4763">
        <w:rPr>
          <w:b/>
          <w:lang w:eastAsia="cs-CZ"/>
        </w:rPr>
        <w:t> </w:t>
      </w:r>
      <w:r w:rsidRPr="00205C1D">
        <w:rPr>
          <w:b/>
          <w:lang w:eastAsia="cs-CZ"/>
        </w:rPr>
        <w:t>příloze</w:t>
      </w:r>
      <w:r w:rsidR="009F4763">
        <w:rPr>
          <w:b/>
          <w:lang w:eastAsia="cs-CZ"/>
        </w:rPr>
        <w:t xml:space="preserve"> ÚZ</w:t>
      </w:r>
      <w:r>
        <w:rPr>
          <w:lang w:eastAsia="cs-CZ"/>
        </w:rPr>
        <w:t xml:space="preserve"> v údajích za běžné účetní období </w:t>
      </w:r>
      <w:r w:rsidRPr="00205C1D">
        <w:rPr>
          <w:b/>
          <w:lang w:eastAsia="cs-CZ"/>
        </w:rPr>
        <w:t>podhodnotilo</w:t>
      </w:r>
      <w:r>
        <w:rPr>
          <w:lang w:eastAsia="cs-CZ"/>
        </w:rPr>
        <w:t xml:space="preserve"> zůstatek účtu </w:t>
      </w:r>
      <w:r w:rsidRPr="00205C1D">
        <w:rPr>
          <w:b/>
          <w:lang w:eastAsia="cs-CZ"/>
        </w:rPr>
        <w:t>911</w:t>
      </w:r>
      <w:r>
        <w:rPr>
          <w:lang w:eastAsia="cs-CZ"/>
        </w:rPr>
        <w:t xml:space="preserve"> – </w:t>
      </w:r>
      <w:r w:rsidRPr="005745AB">
        <w:rPr>
          <w:i/>
          <w:lang w:eastAsia="cs-CZ"/>
        </w:rPr>
        <w:t>Krátkodobé podmíněné pohledávky z předfinancování transferů</w:t>
      </w:r>
      <w:r>
        <w:rPr>
          <w:lang w:eastAsia="cs-CZ"/>
        </w:rPr>
        <w:t xml:space="preserve"> </w:t>
      </w:r>
      <w:r w:rsidRPr="00205C1D">
        <w:rPr>
          <w:b/>
          <w:lang w:eastAsia="cs-CZ"/>
        </w:rPr>
        <w:t>o 99 mil. Kč</w:t>
      </w:r>
      <w:r w:rsidRPr="00041308">
        <w:rPr>
          <w:b/>
          <w:lang w:eastAsia="cs-CZ"/>
        </w:rPr>
        <w:t>.</w:t>
      </w:r>
      <w:r w:rsidR="00FD606C">
        <w:rPr>
          <w:lang w:eastAsia="cs-CZ"/>
        </w:rPr>
        <w:t xml:space="preserve"> </w:t>
      </w:r>
    </w:p>
    <w:p w14:paraId="090A9178" w14:textId="77777777" w:rsidR="00FD606C" w:rsidRPr="00FD606C" w:rsidRDefault="00FD606C" w:rsidP="00FD606C">
      <w:pPr>
        <w:spacing w:after="0"/>
        <w:jc w:val="both"/>
        <w:rPr>
          <w:lang w:eastAsia="cs-CZ"/>
        </w:rPr>
      </w:pPr>
    </w:p>
    <w:p w14:paraId="18964F91" w14:textId="752B7854" w:rsidR="005465F2" w:rsidRDefault="00CD2FE1"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w:t>
      </w:r>
      <w:r w:rsidR="005465F2" w:rsidRPr="005465F2">
        <w:rPr>
          <w:rFonts w:ascii="Calibri" w:hAnsi="Calibri" w:cs="Calibri"/>
          <w:lang w:eastAsia="cs-CZ"/>
        </w:rPr>
        <w:t>.</w:t>
      </w:r>
      <w:r w:rsidR="000B7B7B">
        <w:rPr>
          <w:rFonts w:ascii="Calibri" w:hAnsi="Calibri" w:cs="Calibri"/>
          <w:lang w:eastAsia="cs-CZ"/>
        </w:rPr>
        <w:t>9</w:t>
      </w:r>
      <w:r w:rsidR="005465F2" w:rsidRPr="005465F2">
        <w:rPr>
          <w:rFonts w:ascii="Calibri" w:hAnsi="Calibri" w:cs="Calibri"/>
          <w:lang w:eastAsia="cs-CZ"/>
        </w:rPr>
        <w:t xml:space="preserve"> </w:t>
      </w:r>
      <w:r w:rsidR="0068234C">
        <w:rPr>
          <w:rFonts w:ascii="Calibri" w:hAnsi="Calibri" w:cs="Calibri"/>
          <w:lang w:eastAsia="cs-CZ"/>
        </w:rPr>
        <w:t>Nesprávná výše podmíněných závazků z transferů</w:t>
      </w:r>
    </w:p>
    <w:p w14:paraId="4CDA88D6" w14:textId="75C68931" w:rsidR="0068234C" w:rsidRDefault="0068234C" w:rsidP="0068234C">
      <w:pPr>
        <w:spacing w:after="0"/>
        <w:jc w:val="both"/>
        <w:rPr>
          <w:rFonts w:cs="Calibri"/>
        </w:rPr>
      </w:pPr>
      <w:r w:rsidRPr="004707B3">
        <w:rPr>
          <w:rFonts w:cs="Calibri"/>
          <w:b/>
        </w:rPr>
        <w:t>MMR</w:t>
      </w:r>
      <w:r w:rsidRPr="005465F2">
        <w:rPr>
          <w:rFonts w:cs="Calibri"/>
        </w:rPr>
        <w:t xml:space="preserve"> v průběhu roku 2018 </w:t>
      </w:r>
      <w:r w:rsidRPr="004707B3">
        <w:rPr>
          <w:rFonts w:cs="Calibri"/>
          <w:b/>
        </w:rPr>
        <w:t>snižovalo v nesprávné výši hodnotu podmíněných závazků z transferů v souvislosti s průběžným vyplácením dotací</w:t>
      </w:r>
      <w:r w:rsidRPr="00041308">
        <w:rPr>
          <w:rFonts w:cs="Calibri"/>
          <w:b/>
        </w:rPr>
        <w:t>.</w:t>
      </w:r>
      <w:r w:rsidRPr="005465F2">
        <w:rPr>
          <w:rFonts w:cs="Calibri"/>
        </w:rPr>
        <w:t xml:space="preserve"> Na kontrolním vzorku bylo zjištěno, že MMR </w:t>
      </w:r>
      <w:r w:rsidRPr="004707B3">
        <w:rPr>
          <w:rFonts w:cs="Calibri"/>
          <w:b/>
        </w:rPr>
        <w:t>vyplatilo dotace ve výši 86,2 mil. Kč</w:t>
      </w:r>
      <w:r w:rsidRPr="00041308">
        <w:rPr>
          <w:rFonts w:cs="Calibri"/>
          <w:b/>
        </w:rPr>
        <w:t>,</w:t>
      </w:r>
      <w:r w:rsidRPr="005465F2">
        <w:rPr>
          <w:rFonts w:cs="Calibri"/>
        </w:rPr>
        <w:t xml:space="preserve"> avšak </w:t>
      </w:r>
      <w:r w:rsidRPr="004707B3">
        <w:rPr>
          <w:rFonts w:cs="Calibri"/>
          <w:b/>
        </w:rPr>
        <w:t>výši</w:t>
      </w:r>
      <w:r w:rsidRPr="005465F2">
        <w:rPr>
          <w:rFonts w:cs="Calibri"/>
        </w:rPr>
        <w:t xml:space="preserve"> souvisejících </w:t>
      </w:r>
      <w:r w:rsidRPr="004707B3">
        <w:rPr>
          <w:rFonts w:cs="Calibri"/>
          <w:b/>
        </w:rPr>
        <w:t>podmíněných závazků</w:t>
      </w:r>
      <w:r w:rsidRPr="005465F2">
        <w:rPr>
          <w:rFonts w:cs="Calibri"/>
        </w:rPr>
        <w:t xml:space="preserve"> z transferů </w:t>
      </w:r>
      <w:r w:rsidRPr="004707B3">
        <w:rPr>
          <w:rFonts w:cs="Calibri"/>
          <w:b/>
        </w:rPr>
        <w:t>snížilo pouze o</w:t>
      </w:r>
      <w:r w:rsidRPr="005465F2">
        <w:rPr>
          <w:rFonts w:cs="Calibri"/>
        </w:rPr>
        <w:t xml:space="preserve"> částku ve výši </w:t>
      </w:r>
      <w:r w:rsidRPr="004707B3">
        <w:rPr>
          <w:rFonts w:cs="Calibri"/>
          <w:b/>
        </w:rPr>
        <w:t>45,5 mil. Kč</w:t>
      </w:r>
      <w:r w:rsidRPr="00041308">
        <w:rPr>
          <w:rFonts w:cs="Calibri"/>
          <w:b/>
        </w:rPr>
        <w:t>.</w:t>
      </w:r>
    </w:p>
    <w:p w14:paraId="5C8A101D" w14:textId="77777777" w:rsidR="007C1E01" w:rsidRPr="005465F2" w:rsidRDefault="007C1E01" w:rsidP="0068234C">
      <w:pPr>
        <w:spacing w:after="0"/>
        <w:jc w:val="both"/>
        <w:rPr>
          <w:rFonts w:cs="Calibri"/>
        </w:rPr>
      </w:pPr>
    </w:p>
    <w:p w14:paraId="76C05620" w14:textId="66FD15B0" w:rsidR="0068234C" w:rsidRDefault="0068234C" w:rsidP="0068234C">
      <w:pPr>
        <w:spacing w:after="0"/>
        <w:jc w:val="both"/>
        <w:rPr>
          <w:rFonts w:cs="Calibri"/>
        </w:rPr>
      </w:pPr>
      <w:r w:rsidRPr="004707B3">
        <w:rPr>
          <w:rFonts w:cs="Calibri"/>
          <w:b/>
        </w:rPr>
        <w:t>Dále</w:t>
      </w:r>
      <w:r w:rsidR="00C56885">
        <w:rPr>
          <w:rFonts w:cs="Calibri"/>
          <w:b/>
        </w:rPr>
        <w:t xml:space="preserve"> také</w:t>
      </w:r>
      <w:r w:rsidRPr="004707B3">
        <w:rPr>
          <w:rFonts w:cs="Calibri"/>
          <w:b/>
        </w:rPr>
        <w:t xml:space="preserve"> </w:t>
      </w:r>
      <w:r w:rsidRPr="005465F2">
        <w:rPr>
          <w:rFonts w:cs="Calibri"/>
        </w:rPr>
        <w:t>bylo</w:t>
      </w:r>
      <w:r w:rsidR="00C56885">
        <w:rPr>
          <w:rFonts w:cs="Calibri"/>
        </w:rPr>
        <w:t xml:space="preserve"> kontrolou</w:t>
      </w:r>
      <w:r w:rsidRPr="005465F2">
        <w:rPr>
          <w:rFonts w:cs="Calibri"/>
        </w:rPr>
        <w:t xml:space="preserve"> zjištěno, že </w:t>
      </w:r>
      <w:r w:rsidRPr="004707B3">
        <w:rPr>
          <w:rFonts w:cs="Calibri"/>
          <w:b/>
        </w:rPr>
        <w:t xml:space="preserve">MMR neúčtovalo o existenci dlouhodobého podmíněného závazku ve výši 40,3 mil. Kč z titulu vydaného </w:t>
      </w:r>
      <w:r w:rsidR="008F4DAA">
        <w:rPr>
          <w:rFonts w:cs="Calibri"/>
          <w:b/>
        </w:rPr>
        <w:t>r</w:t>
      </w:r>
      <w:r w:rsidRPr="004707B3">
        <w:rPr>
          <w:rFonts w:cs="Calibri"/>
          <w:b/>
        </w:rPr>
        <w:t>ozhodnutí</w:t>
      </w:r>
      <w:r w:rsidR="00C56885">
        <w:rPr>
          <w:rFonts w:cs="Calibri"/>
        </w:rPr>
        <w:t xml:space="preserve"> o poskytnutí dotace</w:t>
      </w:r>
      <w:r w:rsidR="008F4DAA">
        <w:rPr>
          <w:rFonts w:cs="Calibri"/>
        </w:rPr>
        <w:t>,</w:t>
      </w:r>
      <w:r w:rsidR="00C56885">
        <w:rPr>
          <w:rFonts w:cs="Calibri"/>
        </w:rPr>
        <w:t xml:space="preserve"> </w:t>
      </w:r>
      <w:r w:rsidR="00C56885">
        <w:rPr>
          <w:rFonts w:cs="Calibri"/>
        </w:rPr>
        <w:lastRenderedPageBreak/>
        <w:t>a to na tu</w:t>
      </w:r>
      <w:r w:rsidRPr="005465F2">
        <w:rPr>
          <w:rFonts w:cs="Calibri"/>
        </w:rPr>
        <w:t xml:space="preserve"> část dotace</w:t>
      </w:r>
      <w:r w:rsidR="00C56885">
        <w:rPr>
          <w:rFonts w:cs="Calibri"/>
        </w:rPr>
        <w:t>, která měla být</w:t>
      </w:r>
      <w:r w:rsidRPr="005465F2">
        <w:rPr>
          <w:rFonts w:cs="Calibri"/>
        </w:rPr>
        <w:t xml:space="preserve"> poskytnut</w:t>
      </w:r>
      <w:r w:rsidR="00C56885">
        <w:rPr>
          <w:rFonts w:cs="Calibri"/>
        </w:rPr>
        <w:t>a</w:t>
      </w:r>
      <w:r w:rsidRPr="005465F2">
        <w:rPr>
          <w:rFonts w:cs="Calibri"/>
        </w:rPr>
        <w:t xml:space="preserve"> ze státního rozpočtu</w:t>
      </w:r>
      <w:r w:rsidR="00C56885">
        <w:rPr>
          <w:rFonts w:cs="Calibri"/>
        </w:rPr>
        <w:t xml:space="preserve"> a</w:t>
      </w:r>
      <w:r w:rsidR="00C56885">
        <w:rPr>
          <w:rFonts w:cs="Calibri"/>
          <w:b/>
        </w:rPr>
        <w:t xml:space="preserve"> byla ve výši, která převyšovala</w:t>
      </w:r>
      <w:r w:rsidRPr="005465F2">
        <w:rPr>
          <w:rFonts w:cs="Calibri"/>
        </w:rPr>
        <w:t xml:space="preserve"> </w:t>
      </w:r>
      <w:r w:rsidRPr="00205C1D">
        <w:rPr>
          <w:rFonts w:cs="Calibri"/>
          <w:b/>
        </w:rPr>
        <w:t>významnost pro účtování na podrozvahových účtech</w:t>
      </w:r>
      <w:r w:rsidR="00C56885">
        <w:rPr>
          <w:rFonts w:cs="Calibri"/>
          <w:b/>
        </w:rPr>
        <w:t>, kterou si MMR stanovilo</w:t>
      </w:r>
      <w:r w:rsidRPr="00041308">
        <w:rPr>
          <w:rFonts w:cs="Calibri"/>
          <w:b/>
        </w:rPr>
        <w:t>.</w:t>
      </w:r>
    </w:p>
    <w:p w14:paraId="1635F84D" w14:textId="77777777" w:rsidR="00DD7970" w:rsidRPr="005465F2" w:rsidRDefault="00DD7970" w:rsidP="0068234C">
      <w:pPr>
        <w:spacing w:after="0"/>
        <w:jc w:val="both"/>
        <w:rPr>
          <w:rFonts w:cs="Calibri"/>
        </w:rPr>
      </w:pPr>
    </w:p>
    <w:p w14:paraId="4BB50867" w14:textId="7C11128A" w:rsidR="0068234C" w:rsidRDefault="0068234C" w:rsidP="0068234C">
      <w:pPr>
        <w:spacing w:after="0"/>
        <w:jc w:val="both"/>
        <w:rPr>
          <w:rFonts w:cs="Calibri"/>
        </w:rPr>
      </w:pPr>
      <w:r w:rsidRPr="005465F2">
        <w:rPr>
          <w:rFonts w:cs="Calibri"/>
        </w:rPr>
        <w:t xml:space="preserve">V důsledku těchto skutečností </w:t>
      </w:r>
      <w:r w:rsidRPr="00205C1D">
        <w:rPr>
          <w:rFonts w:cs="Calibri"/>
          <w:b/>
        </w:rPr>
        <w:t>MMR v příloze</w:t>
      </w:r>
      <w:r w:rsidRPr="005465F2">
        <w:rPr>
          <w:rFonts w:cs="Calibri"/>
        </w:rPr>
        <w:t xml:space="preserve"> </w:t>
      </w:r>
      <w:r w:rsidR="00C56885">
        <w:rPr>
          <w:rFonts w:cs="Calibri"/>
        </w:rPr>
        <w:t xml:space="preserve">ÚZ </w:t>
      </w:r>
      <w:r w:rsidRPr="005465F2">
        <w:rPr>
          <w:rFonts w:cs="Calibri"/>
        </w:rPr>
        <w:t xml:space="preserve">v údajích za běžné účetní období </w:t>
      </w:r>
      <w:r w:rsidRPr="00205C1D">
        <w:rPr>
          <w:rFonts w:cs="Calibri"/>
          <w:b/>
        </w:rPr>
        <w:t>nadhodnotilo</w:t>
      </w:r>
      <w:r w:rsidR="00C56885">
        <w:rPr>
          <w:rFonts w:cs="Calibri"/>
          <w:b/>
        </w:rPr>
        <w:t xml:space="preserve"> </w:t>
      </w:r>
      <w:r w:rsidRPr="005465F2">
        <w:rPr>
          <w:rFonts w:cs="Calibri"/>
        </w:rPr>
        <w:t xml:space="preserve">zůstatek účtu </w:t>
      </w:r>
      <w:r w:rsidRPr="00205C1D">
        <w:rPr>
          <w:rFonts w:cs="Calibri"/>
          <w:b/>
        </w:rPr>
        <w:t>956</w:t>
      </w:r>
      <w:r w:rsidRPr="005465F2">
        <w:rPr>
          <w:rFonts w:cs="Calibri"/>
        </w:rPr>
        <w:t xml:space="preserve"> – </w:t>
      </w:r>
      <w:r w:rsidRPr="005465F2">
        <w:rPr>
          <w:rFonts w:cs="Calibri"/>
          <w:i/>
        </w:rPr>
        <w:t>Ostatní dlouhodobé podmíněné závazky z transferů</w:t>
      </w:r>
      <w:r w:rsidRPr="005465F2">
        <w:rPr>
          <w:rFonts w:cs="Calibri"/>
        </w:rPr>
        <w:t xml:space="preserve"> </w:t>
      </w:r>
      <w:r w:rsidR="005F4DAE">
        <w:rPr>
          <w:rFonts w:cs="Calibri"/>
          <w:b/>
        </w:rPr>
        <w:t>o 0,4 </w:t>
      </w:r>
      <w:r w:rsidRPr="00205C1D">
        <w:rPr>
          <w:rFonts w:cs="Calibri"/>
          <w:b/>
        </w:rPr>
        <w:t>mil. Kč</w:t>
      </w:r>
      <w:r w:rsidRPr="00041308">
        <w:rPr>
          <w:rFonts w:cs="Calibri"/>
          <w:b/>
        </w:rPr>
        <w:t>.</w:t>
      </w:r>
      <w:r w:rsidRPr="005465F2">
        <w:rPr>
          <w:rFonts w:cs="Calibri"/>
        </w:rPr>
        <w:t xml:space="preserve"> </w:t>
      </w:r>
    </w:p>
    <w:p w14:paraId="7B103E24" w14:textId="77777777" w:rsidR="0068234C" w:rsidRDefault="0068234C" w:rsidP="00B9251A">
      <w:pPr>
        <w:pStyle w:val="Nadpis2"/>
        <w:keepNext/>
        <w:numPr>
          <w:ilvl w:val="0"/>
          <w:numId w:val="0"/>
        </w:numPr>
        <w:spacing w:after="0" w:line="240" w:lineRule="auto"/>
        <w:contextualSpacing w:val="0"/>
        <w:rPr>
          <w:rFonts w:ascii="Calibri" w:hAnsi="Calibri" w:cs="Calibri"/>
          <w:lang w:eastAsia="cs-CZ"/>
        </w:rPr>
      </w:pPr>
    </w:p>
    <w:p w14:paraId="392CEC68" w14:textId="6725A40D" w:rsidR="000B7B7B" w:rsidRDefault="00DD7970" w:rsidP="00DD7970">
      <w:pPr>
        <w:pStyle w:val="Nadpis2"/>
        <w:keepNext/>
        <w:numPr>
          <w:ilvl w:val="0"/>
          <w:numId w:val="0"/>
        </w:numPr>
        <w:spacing w:after="120" w:line="240" w:lineRule="auto"/>
        <w:ind w:left="567" w:hanging="567"/>
        <w:contextualSpacing w:val="0"/>
        <w:jc w:val="left"/>
        <w:rPr>
          <w:rFonts w:ascii="Calibri" w:hAnsi="Calibri" w:cs="Calibri"/>
          <w:lang w:eastAsia="cs-CZ"/>
        </w:rPr>
      </w:pPr>
      <w:r>
        <w:rPr>
          <w:rFonts w:ascii="Calibri" w:hAnsi="Calibri" w:cs="Calibri"/>
          <w:lang w:eastAsia="cs-CZ"/>
        </w:rPr>
        <w:t>1.10</w:t>
      </w:r>
      <w:r>
        <w:rPr>
          <w:rFonts w:ascii="Calibri" w:hAnsi="Calibri" w:cs="Calibri"/>
          <w:lang w:eastAsia="cs-CZ"/>
        </w:rPr>
        <w:tab/>
      </w:r>
      <w:r w:rsidR="000B7B7B" w:rsidRPr="003F36CA">
        <w:rPr>
          <w:rFonts w:ascii="Calibri" w:hAnsi="Calibri" w:cs="Calibri"/>
          <w:lang w:eastAsia="cs-CZ"/>
        </w:rPr>
        <w:t xml:space="preserve">Nesprávné účtování o refundaci vynaložených nákladů a o převodu </w:t>
      </w:r>
      <w:r w:rsidR="00C56885">
        <w:rPr>
          <w:rFonts w:ascii="Calibri" w:hAnsi="Calibri" w:cs="Calibri"/>
          <w:lang w:eastAsia="cs-CZ"/>
        </w:rPr>
        <w:t xml:space="preserve">těchto </w:t>
      </w:r>
      <w:r w:rsidR="000B7B7B" w:rsidRPr="003F36CA">
        <w:rPr>
          <w:rFonts w:ascii="Calibri" w:hAnsi="Calibri" w:cs="Calibri"/>
          <w:lang w:eastAsia="cs-CZ"/>
        </w:rPr>
        <w:t xml:space="preserve">peněžních </w:t>
      </w:r>
      <w:r w:rsidR="000B7B7B">
        <w:rPr>
          <w:rFonts w:ascii="Calibri" w:hAnsi="Calibri" w:cs="Calibri"/>
          <w:lang w:eastAsia="cs-CZ"/>
        </w:rPr>
        <w:t>prostředků na vypořádací účet Ministerstva financí</w:t>
      </w:r>
    </w:p>
    <w:p w14:paraId="4CAB6482" w14:textId="2E687918" w:rsidR="000B7B7B" w:rsidRDefault="000B7B7B" w:rsidP="000B7B7B">
      <w:pPr>
        <w:spacing w:after="0"/>
        <w:jc w:val="both"/>
        <w:rPr>
          <w:lang w:eastAsia="cs-CZ"/>
        </w:rPr>
      </w:pPr>
      <w:r w:rsidRPr="002E391D">
        <w:rPr>
          <w:b/>
          <w:lang w:eastAsia="cs-CZ"/>
        </w:rPr>
        <w:t xml:space="preserve">MMR o přijaté náhradě v minulosti vynaložených nákladů </w:t>
      </w:r>
      <w:r w:rsidR="00C56885">
        <w:rPr>
          <w:b/>
          <w:lang w:eastAsia="cs-CZ"/>
        </w:rPr>
        <w:t xml:space="preserve">ve výši 51 mil. Kč </w:t>
      </w:r>
      <w:r w:rsidRPr="002E391D">
        <w:rPr>
          <w:b/>
          <w:lang w:eastAsia="cs-CZ"/>
        </w:rPr>
        <w:t>neúčtovalo výsledkově na účtu 675</w:t>
      </w:r>
      <w:r>
        <w:rPr>
          <w:lang w:eastAsia="cs-CZ"/>
        </w:rPr>
        <w:t xml:space="preserve"> – </w:t>
      </w:r>
      <w:r w:rsidRPr="004E0EF5">
        <w:rPr>
          <w:i/>
          <w:lang w:eastAsia="cs-CZ"/>
        </w:rPr>
        <w:t>Výnosy vybraných ústředních vládních institucí z předfinancování transferů</w:t>
      </w:r>
      <w:r>
        <w:rPr>
          <w:lang w:eastAsia="cs-CZ"/>
        </w:rPr>
        <w:t xml:space="preserve"> </w:t>
      </w:r>
      <w:r w:rsidRPr="002E391D">
        <w:rPr>
          <w:b/>
          <w:lang w:eastAsia="cs-CZ"/>
        </w:rPr>
        <w:t>a o převodu uvedené částky na vypořádací účet Min</w:t>
      </w:r>
      <w:r w:rsidR="007C1E01">
        <w:rPr>
          <w:b/>
          <w:lang w:eastAsia="cs-CZ"/>
        </w:rPr>
        <w:t>isterstva financí neúčtovalo na </w:t>
      </w:r>
      <w:r w:rsidRPr="002E391D">
        <w:rPr>
          <w:b/>
          <w:lang w:eastAsia="cs-CZ"/>
        </w:rPr>
        <w:t>účtu 401</w:t>
      </w:r>
      <w:r>
        <w:rPr>
          <w:lang w:eastAsia="cs-CZ"/>
        </w:rPr>
        <w:t xml:space="preserve"> – </w:t>
      </w:r>
      <w:r w:rsidRPr="004E0EF5">
        <w:rPr>
          <w:i/>
          <w:lang w:eastAsia="cs-CZ"/>
        </w:rPr>
        <w:t>Jmění účetní jednotky</w:t>
      </w:r>
      <w:r>
        <w:rPr>
          <w:lang w:eastAsia="cs-CZ"/>
        </w:rPr>
        <w:t xml:space="preserve">. V důsledku těchto skutečností </w:t>
      </w:r>
      <w:r w:rsidRPr="002E391D">
        <w:rPr>
          <w:b/>
          <w:lang w:eastAsia="cs-CZ"/>
        </w:rPr>
        <w:t>MMR v rozvaze</w:t>
      </w:r>
      <w:r>
        <w:rPr>
          <w:lang w:eastAsia="cs-CZ"/>
        </w:rPr>
        <w:t xml:space="preserve"> v údajích za běžné účetní období </w:t>
      </w:r>
      <w:r w:rsidRPr="002E391D">
        <w:rPr>
          <w:b/>
          <w:lang w:eastAsia="cs-CZ"/>
        </w:rPr>
        <w:t>nadhodnotilo</w:t>
      </w:r>
      <w:r>
        <w:rPr>
          <w:lang w:eastAsia="cs-CZ"/>
        </w:rPr>
        <w:t xml:space="preserve"> zůstatek účtu </w:t>
      </w:r>
      <w:r w:rsidRPr="002E391D">
        <w:rPr>
          <w:b/>
          <w:lang w:eastAsia="cs-CZ"/>
        </w:rPr>
        <w:t>401</w:t>
      </w:r>
      <w:r>
        <w:rPr>
          <w:lang w:eastAsia="cs-CZ"/>
        </w:rPr>
        <w:t xml:space="preserve"> – </w:t>
      </w:r>
      <w:r w:rsidRPr="004E0EF5">
        <w:rPr>
          <w:i/>
          <w:lang w:eastAsia="cs-CZ"/>
        </w:rPr>
        <w:t>Jmění účetní jednotky</w:t>
      </w:r>
      <w:r>
        <w:rPr>
          <w:lang w:eastAsia="cs-CZ"/>
        </w:rPr>
        <w:t xml:space="preserve"> </w:t>
      </w:r>
      <w:r w:rsidRPr="002E391D">
        <w:rPr>
          <w:b/>
          <w:lang w:eastAsia="cs-CZ"/>
        </w:rPr>
        <w:t>o 51 mil. Kč a o stejnou částku ve výkazu zisku a ztráty</w:t>
      </w:r>
      <w:r>
        <w:rPr>
          <w:lang w:eastAsia="cs-CZ"/>
        </w:rPr>
        <w:t xml:space="preserve"> v údajích za běžné účetní období </w:t>
      </w:r>
      <w:r w:rsidRPr="002E391D">
        <w:rPr>
          <w:b/>
          <w:lang w:eastAsia="cs-CZ"/>
        </w:rPr>
        <w:t>podhodnotilo</w:t>
      </w:r>
      <w:r>
        <w:rPr>
          <w:lang w:eastAsia="cs-CZ"/>
        </w:rPr>
        <w:t xml:space="preserve"> zůstatek účtu </w:t>
      </w:r>
      <w:r w:rsidRPr="002E391D">
        <w:rPr>
          <w:b/>
          <w:lang w:eastAsia="cs-CZ"/>
        </w:rPr>
        <w:t>675</w:t>
      </w:r>
      <w:r>
        <w:rPr>
          <w:lang w:eastAsia="cs-CZ"/>
        </w:rPr>
        <w:t xml:space="preserve"> – </w:t>
      </w:r>
      <w:r w:rsidRPr="004E0EF5">
        <w:rPr>
          <w:i/>
          <w:lang w:eastAsia="cs-CZ"/>
        </w:rPr>
        <w:t>Výnosy vybraných ústředních vládních institucí z předfinancování transferů</w:t>
      </w:r>
      <w:r>
        <w:rPr>
          <w:lang w:eastAsia="cs-CZ"/>
        </w:rPr>
        <w:t xml:space="preserve">.    </w:t>
      </w:r>
    </w:p>
    <w:p w14:paraId="663B9AD4" w14:textId="77777777" w:rsidR="000B7B7B" w:rsidRDefault="000B7B7B" w:rsidP="00B9251A">
      <w:pPr>
        <w:pStyle w:val="Nadpis2"/>
        <w:keepNext/>
        <w:numPr>
          <w:ilvl w:val="0"/>
          <w:numId w:val="0"/>
        </w:numPr>
        <w:spacing w:after="0" w:line="240" w:lineRule="auto"/>
        <w:contextualSpacing w:val="0"/>
        <w:rPr>
          <w:rFonts w:ascii="Calibri" w:hAnsi="Calibri" w:cs="Calibri"/>
          <w:lang w:eastAsia="cs-CZ"/>
        </w:rPr>
      </w:pPr>
    </w:p>
    <w:p w14:paraId="17AF9B6C" w14:textId="62158BFD" w:rsidR="000B7B7B" w:rsidRDefault="000B7B7B"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1.1</w:t>
      </w:r>
      <w:r w:rsidR="001A6A35">
        <w:rPr>
          <w:rFonts w:ascii="Calibri" w:hAnsi="Calibri" w:cs="Calibri"/>
          <w:lang w:eastAsia="cs-CZ"/>
        </w:rPr>
        <w:t>1</w:t>
      </w:r>
      <w:r w:rsidRPr="00F24D4F">
        <w:rPr>
          <w:rFonts w:ascii="Calibri" w:hAnsi="Calibri" w:cs="Calibri"/>
          <w:lang w:eastAsia="cs-CZ"/>
        </w:rPr>
        <w:t xml:space="preserve"> </w:t>
      </w:r>
      <w:r>
        <w:rPr>
          <w:rFonts w:ascii="Calibri" w:hAnsi="Calibri" w:cs="Calibri"/>
          <w:lang w:eastAsia="cs-CZ"/>
        </w:rPr>
        <w:t>Účtování o vratce z finančního vypořádání a vykázání neexistujícího závazku</w:t>
      </w:r>
    </w:p>
    <w:p w14:paraId="23CC4A69" w14:textId="2E0F0BE3" w:rsidR="000B7B7B" w:rsidRDefault="000B7B7B" w:rsidP="000B7B7B">
      <w:pPr>
        <w:spacing w:after="0"/>
        <w:jc w:val="both"/>
        <w:rPr>
          <w:lang w:eastAsia="cs-CZ"/>
        </w:rPr>
      </w:pPr>
      <w:r w:rsidRPr="002E391D">
        <w:rPr>
          <w:b/>
          <w:lang w:eastAsia="cs-CZ"/>
        </w:rPr>
        <w:t>MMR nezaúčtovalo</w:t>
      </w:r>
      <w:r w:rsidRPr="0098384B">
        <w:rPr>
          <w:lang w:eastAsia="cs-CZ"/>
        </w:rPr>
        <w:t xml:space="preserve"> </w:t>
      </w:r>
      <w:r w:rsidRPr="002E391D">
        <w:rPr>
          <w:b/>
          <w:lang w:eastAsia="cs-CZ"/>
        </w:rPr>
        <w:t>a</w:t>
      </w:r>
      <w:r w:rsidRPr="0098384B">
        <w:rPr>
          <w:lang w:eastAsia="cs-CZ"/>
        </w:rPr>
        <w:t xml:space="preserve"> následně </w:t>
      </w:r>
      <w:r w:rsidRPr="002E391D">
        <w:rPr>
          <w:b/>
          <w:lang w:eastAsia="cs-CZ"/>
        </w:rPr>
        <w:t xml:space="preserve">nevykázalo celou částku představující vratku z finančního vypořádání </w:t>
      </w:r>
      <w:r w:rsidRPr="0098384B">
        <w:rPr>
          <w:lang w:eastAsia="cs-CZ"/>
        </w:rPr>
        <w:t xml:space="preserve">předloženého </w:t>
      </w:r>
      <w:r w:rsidR="00815346">
        <w:rPr>
          <w:lang w:eastAsia="cs-CZ"/>
        </w:rPr>
        <w:t xml:space="preserve"> bankovní institucí </w:t>
      </w:r>
      <w:r>
        <w:rPr>
          <w:lang w:eastAsia="cs-CZ"/>
        </w:rPr>
        <w:t xml:space="preserve"> </w:t>
      </w:r>
      <w:r w:rsidRPr="002E391D">
        <w:rPr>
          <w:b/>
          <w:lang w:eastAsia="cs-CZ"/>
        </w:rPr>
        <w:t>na účtu 401</w:t>
      </w:r>
      <w:r w:rsidRPr="0098384B">
        <w:rPr>
          <w:lang w:eastAsia="cs-CZ"/>
        </w:rPr>
        <w:t xml:space="preserve"> – </w:t>
      </w:r>
      <w:r w:rsidRPr="0098384B">
        <w:rPr>
          <w:i/>
          <w:lang w:eastAsia="cs-CZ"/>
        </w:rPr>
        <w:t>Jmění účetní jednotky</w:t>
      </w:r>
      <w:r w:rsidRPr="0098384B">
        <w:rPr>
          <w:lang w:eastAsia="cs-CZ"/>
        </w:rPr>
        <w:t>.</w:t>
      </w:r>
      <w:r>
        <w:rPr>
          <w:lang w:eastAsia="cs-CZ"/>
        </w:rPr>
        <w:t xml:space="preserve"> MMR </w:t>
      </w:r>
      <w:r w:rsidRPr="002E391D">
        <w:rPr>
          <w:b/>
          <w:lang w:eastAsia="cs-CZ"/>
        </w:rPr>
        <w:t>dále vykázalo na účtu 347</w:t>
      </w:r>
      <w:r>
        <w:rPr>
          <w:lang w:eastAsia="cs-CZ"/>
        </w:rPr>
        <w:t xml:space="preserve"> – </w:t>
      </w:r>
      <w:r w:rsidRPr="00BD4B1F">
        <w:rPr>
          <w:i/>
          <w:lang w:eastAsia="cs-CZ"/>
        </w:rPr>
        <w:t>Závazky k vybraným ústředním vládním institucím</w:t>
      </w:r>
      <w:r>
        <w:rPr>
          <w:lang w:eastAsia="cs-CZ"/>
        </w:rPr>
        <w:t xml:space="preserve"> </w:t>
      </w:r>
      <w:r w:rsidR="005F4DAE">
        <w:rPr>
          <w:b/>
          <w:lang w:eastAsia="cs-CZ"/>
        </w:rPr>
        <w:t>závazek ve výši 17 </w:t>
      </w:r>
      <w:r w:rsidRPr="00F754C2">
        <w:rPr>
          <w:b/>
          <w:lang w:eastAsia="cs-CZ"/>
        </w:rPr>
        <w:t>mil. Kč vůči Ministerstvu financí z titulu převodu vratek z</w:t>
      </w:r>
      <w:r w:rsidR="00830DD9">
        <w:rPr>
          <w:b/>
          <w:lang w:eastAsia="cs-CZ"/>
        </w:rPr>
        <w:t xml:space="preserve"> uvedeného </w:t>
      </w:r>
      <w:r w:rsidRPr="00F754C2">
        <w:rPr>
          <w:b/>
          <w:lang w:eastAsia="cs-CZ"/>
        </w:rPr>
        <w:t>finančního vypořádání</w:t>
      </w:r>
      <w:r>
        <w:rPr>
          <w:lang w:eastAsia="cs-CZ"/>
        </w:rPr>
        <w:t xml:space="preserve"> na příjmový účet státního rozpočtu. </w:t>
      </w:r>
      <w:r w:rsidR="007C1E01">
        <w:rPr>
          <w:b/>
          <w:lang w:eastAsia="cs-CZ"/>
        </w:rPr>
        <w:t>Ve </w:t>
      </w:r>
      <w:r w:rsidRPr="00F754C2">
        <w:rPr>
          <w:b/>
          <w:lang w:eastAsia="cs-CZ"/>
        </w:rPr>
        <w:t xml:space="preserve">skutečnosti se </w:t>
      </w:r>
      <w:r w:rsidRPr="00F754C2">
        <w:rPr>
          <w:lang w:eastAsia="cs-CZ"/>
        </w:rPr>
        <w:t>však</w:t>
      </w:r>
      <w:r w:rsidRPr="00F754C2">
        <w:rPr>
          <w:b/>
          <w:lang w:eastAsia="cs-CZ"/>
        </w:rPr>
        <w:t xml:space="preserve"> nejednalo o závazek</w:t>
      </w:r>
      <w:r>
        <w:rPr>
          <w:lang w:eastAsia="cs-CZ"/>
        </w:rPr>
        <w:t xml:space="preserve"> vůči Ministerstvu financí, </w:t>
      </w:r>
      <w:r w:rsidRPr="00F754C2">
        <w:rPr>
          <w:b/>
          <w:lang w:eastAsia="cs-CZ"/>
        </w:rPr>
        <w:t>ale o bankovní poplatky uhrazené Ministerstvem pro místní rozvoj</w:t>
      </w:r>
      <w:r>
        <w:rPr>
          <w:lang w:eastAsia="cs-CZ"/>
        </w:rPr>
        <w:t xml:space="preserve"> </w:t>
      </w:r>
      <w:r w:rsidR="00815346">
        <w:rPr>
          <w:lang w:eastAsia="cs-CZ"/>
        </w:rPr>
        <w:t>bankovní instituci</w:t>
      </w:r>
      <w:r>
        <w:rPr>
          <w:lang w:eastAsia="cs-CZ"/>
        </w:rPr>
        <w:t xml:space="preserve">. </w:t>
      </w:r>
      <w:r>
        <w:rPr>
          <w:rFonts w:cs="Calibri"/>
        </w:rPr>
        <w:t xml:space="preserve">V důsledku těchto skutečností </w:t>
      </w:r>
      <w:r w:rsidRPr="00F754C2">
        <w:rPr>
          <w:rFonts w:cs="Calibri"/>
          <w:b/>
        </w:rPr>
        <w:t>MMR v rozvaze</w:t>
      </w:r>
      <w:r>
        <w:rPr>
          <w:rFonts w:cs="Calibri"/>
        </w:rPr>
        <w:t xml:space="preserve"> v údajích za běžné účetní období </w:t>
      </w:r>
      <w:r w:rsidRPr="00F754C2">
        <w:rPr>
          <w:rFonts w:cs="Calibri"/>
          <w:b/>
        </w:rPr>
        <w:t>nadhodnotilo</w:t>
      </w:r>
      <w:r>
        <w:rPr>
          <w:rFonts w:cs="Calibri"/>
        </w:rPr>
        <w:t xml:space="preserve"> zůstatek účtu </w:t>
      </w:r>
      <w:r w:rsidRPr="00F754C2">
        <w:rPr>
          <w:rFonts w:cs="Calibri"/>
          <w:b/>
        </w:rPr>
        <w:t xml:space="preserve">401 </w:t>
      </w:r>
      <w:r w:rsidRPr="00F754C2">
        <w:rPr>
          <w:rFonts w:cs="Calibri"/>
        </w:rPr>
        <w:t xml:space="preserve">– </w:t>
      </w:r>
      <w:r w:rsidRPr="00F754C2">
        <w:rPr>
          <w:rFonts w:cs="Calibri"/>
          <w:i/>
        </w:rPr>
        <w:t>Jmění účetní jednotky</w:t>
      </w:r>
      <w:r>
        <w:rPr>
          <w:rFonts w:cs="Calibri"/>
        </w:rPr>
        <w:t xml:space="preserve"> </w:t>
      </w:r>
      <w:r w:rsidRPr="00F754C2">
        <w:rPr>
          <w:rFonts w:cs="Calibri"/>
          <w:b/>
        </w:rPr>
        <w:t>o 43 mil. Kč</w:t>
      </w:r>
      <w:r>
        <w:rPr>
          <w:rFonts w:cs="Calibri"/>
        </w:rPr>
        <w:t xml:space="preserve"> </w:t>
      </w:r>
      <w:r w:rsidRPr="00F754C2">
        <w:rPr>
          <w:rFonts w:cs="Calibri"/>
          <w:b/>
        </w:rPr>
        <w:t>a</w:t>
      </w:r>
      <w:r>
        <w:rPr>
          <w:rFonts w:cs="Calibri"/>
        </w:rPr>
        <w:t xml:space="preserve"> zůstatek účtu </w:t>
      </w:r>
      <w:r w:rsidRPr="00F754C2">
        <w:rPr>
          <w:rFonts w:cs="Calibri"/>
          <w:b/>
        </w:rPr>
        <w:t>347</w:t>
      </w:r>
      <w:r>
        <w:rPr>
          <w:rFonts w:cs="Calibri"/>
        </w:rPr>
        <w:t xml:space="preserve"> – </w:t>
      </w:r>
      <w:r w:rsidRPr="00BD4B1F">
        <w:rPr>
          <w:rFonts w:cs="Calibri"/>
          <w:i/>
        </w:rPr>
        <w:t>Závazky k vybraným ústředním vládním institucím</w:t>
      </w:r>
      <w:r>
        <w:rPr>
          <w:rFonts w:cs="Calibri"/>
        </w:rPr>
        <w:t xml:space="preserve"> </w:t>
      </w:r>
      <w:r w:rsidRPr="00F754C2">
        <w:rPr>
          <w:rFonts w:cs="Calibri"/>
          <w:b/>
        </w:rPr>
        <w:t>o 17 mil. Kč</w:t>
      </w:r>
      <w:r w:rsidRPr="00041308">
        <w:rPr>
          <w:rFonts w:cs="Calibri"/>
          <w:b/>
        </w:rPr>
        <w:t>.</w:t>
      </w:r>
      <w:r>
        <w:rPr>
          <w:lang w:eastAsia="cs-CZ"/>
        </w:rPr>
        <w:t xml:space="preserve">  </w:t>
      </w:r>
    </w:p>
    <w:p w14:paraId="6F4F5477" w14:textId="77777777" w:rsidR="001A6A35" w:rsidRDefault="001A6A35" w:rsidP="000B7B7B">
      <w:pPr>
        <w:spacing w:after="0"/>
        <w:jc w:val="both"/>
        <w:rPr>
          <w:lang w:eastAsia="cs-CZ"/>
        </w:rPr>
      </w:pPr>
    </w:p>
    <w:p w14:paraId="51684D85" w14:textId="77777777" w:rsidR="001A6A35" w:rsidRPr="00E80277" w:rsidRDefault="001A6A35"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1.12</w:t>
      </w:r>
      <w:r w:rsidRPr="00F24D4F">
        <w:rPr>
          <w:rFonts w:ascii="Calibri" w:hAnsi="Calibri" w:cs="Calibri"/>
          <w:lang w:eastAsia="cs-CZ"/>
        </w:rPr>
        <w:t xml:space="preserve"> </w:t>
      </w:r>
      <w:r>
        <w:rPr>
          <w:rFonts w:ascii="Calibri" w:hAnsi="Calibri" w:cs="Calibri"/>
          <w:lang w:eastAsia="cs-CZ"/>
        </w:rPr>
        <w:t>Časové rozlišení</w:t>
      </w:r>
    </w:p>
    <w:p w14:paraId="31DEF369" w14:textId="683F9882" w:rsidR="001A6A35" w:rsidRDefault="001A6A35" w:rsidP="001A6A35">
      <w:pPr>
        <w:spacing w:after="0"/>
        <w:jc w:val="both"/>
        <w:rPr>
          <w:rFonts w:cs="Calibri"/>
        </w:rPr>
      </w:pPr>
      <w:r w:rsidRPr="00C40956">
        <w:rPr>
          <w:rFonts w:cs="Calibri"/>
          <w:b/>
        </w:rPr>
        <w:t>MMR o nákladech, které se zčásti nebo zcela týkaly následujícího účetního období,</w:t>
      </w:r>
      <w:r w:rsidRPr="00C40956">
        <w:rPr>
          <w:rFonts w:cstheme="minorHAnsi"/>
          <w:b/>
        </w:rPr>
        <w:t xml:space="preserve"> </w:t>
      </w:r>
      <w:r w:rsidRPr="00C40956">
        <w:rPr>
          <w:rFonts w:cs="Calibri"/>
          <w:b/>
        </w:rPr>
        <w:t>účtovalo nesprávně do nákladů roku 2018</w:t>
      </w:r>
      <w:r w:rsidRPr="003929D8">
        <w:rPr>
          <w:rFonts w:cs="Calibri"/>
        </w:rPr>
        <w:t xml:space="preserve"> na účet 518 – </w:t>
      </w:r>
      <w:r w:rsidRPr="003929D8">
        <w:rPr>
          <w:rFonts w:cs="Calibri"/>
          <w:i/>
        </w:rPr>
        <w:t>Ostatní služby</w:t>
      </w:r>
      <w:r w:rsidR="00D92EA4">
        <w:rPr>
          <w:rFonts w:cs="Calibri"/>
        </w:rPr>
        <w:t>,</w:t>
      </w:r>
      <w:r w:rsidRPr="003929D8">
        <w:rPr>
          <w:rFonts w:cs="Calibri"/>
        </w:rPr>
        <w:t xml:space="preserve"> </w:t>
      </w:r>
      <w:r w:rsidRPr="00C40956">
        <w:rPr>
          <w:rFonts w:cs="Calibri"/>
          <w:b/>
        </w:rPr>
        <w:t>a tyto náklady tak časově nerozlišilo</w:t>
      </w:r>
      <w:r>
        <w:rPr>
          <w:rStyle w:val="Znakapoznpodarou"/>
          <w:rFonts w:cs="Calibri"/>
        </w:rPr>
        <w:footnoteReference w:id="34"/>
      </w:r>
      <w:r w:rsidRPr="003929D8">
        <w:rPr>
          <w:rFonts w:cs="Calibri"/>
        </w:rPr>
        <w:t>.</w:t>
      </w:r>
      <w:r>
        <w:rPr>
          <w:rFonts w:cs="Calibri"/>
        </w:rPr>
        <w:t xml:space="preserve"> V důsledku této skutečnosti </w:t>
      </w:r>
      <w:r w:rsidRPr="00C40956">
        <w:rPr>
          <w:rFonts w:cs="Calibri"/>
          <w:b/>
        </w:rPr>
        <w:t>MMR v rozvaze</w:t>
      </w:r>
      <w:r>
        <w:rPr>
          <w:rFonts w:cs="Calibri"/>
        </w:rPr>
        <w:t xml:space="preserve"> v údajích za běžné účetní období </w:t>
      </w:r>
      <w:r w:rsidRPr="00C40956">
        <w:rPr>
          <w:rFonts w:cs="Calibri"/>
          <w:b/>
        </w:rPr>
        <w:t>podhodnotilo</w:t>
      </w:r>
      <w:r>
        <w:rPr>
          <w:rFonts w:cs="Calibri"/>
        </w:rPr>
        <w:t xml:space="preserve"> zůstatek účtu </w:t>
      </w:r>
      <w:r w:rsidRPr="00C40956">
        <w:rPr>
          <w:rFonts w:cs="Calibri"/>
          <w:b/>
        </w:rPr>
        <w:t>381</w:t>
      </w:r>
      <w:r>
        <w:rPr>
          <w:rFonts w:cs="Calibri"/>
        </w:rPr>
        <w:t xml:space="preserve"> – </w:t>
      </w:r>
      <w:r w:rsidRPr="004776B3">
        <w:rPr>
          <w:rFonts w:cs="Calibri"/>
          <w:i/>
        </w:rPr>
        <w:t>Náklady příštích období</w:t>
      </w:r>
      <w:r>
        <w:rPr>
          <w:rFonts w:cs="Calibri"/>
        </w:rPr>
        <w:t xml:space="preserve"> </w:t>
      </w:r>
      <w:r w:rsidRPr="00C40956">
        <w:rPr>
          <w:rFonts w:cs="Calibri"/>
          <w:b/>
        </w:rPr>
        <w:t>o 29 mil. Kč</w:t>
      </w:r>
      <w:r>
        <w:rPr>
          <w:rFonts w:cs="Calibri"/>
        </w:rPr>
        <w:t xml:space="preserve"> </w:t>
      </w:r>
      <w:r w:rsidRPr="00C40956">
        <w:rPr>
          <w:rFonts w:cs="Calibri"/>
          <w:b/>
        </w:rPr>
        <w:t>a o stejnou částku</w:t>
      </w:r>
      <w:r w:rsidR="007C1E01">
        <w:rPr>
          <w:rFonts w:cs="Calibri"/>
        </w:rPr>
        <w:t xml:space="preserve"> ve </w:t>
      </w:r>
      <w:r w:rsidRPr="00C40956">
        <w:rPr>
          <w:rFonts w:cs="Calibri"/>
          <w:b/>
        </w:rPr>
        <w:t>výkazu zisku a ztráty</w:t>
      </w:r>
      <w:r>
        <w:rPr>
          <w:rFonts w:cs="Calibri"/>
        </w:rPr>
        <w:t xml:space="preserve"> v údajích za běžné účetní období </w:t>
      </w:r>
      <w:r w:rsidRPr="00C40956">
        <w:rPr>
          <w:rFonts w:cs="Calibri"/>
          <w:b/>
        </w:rPr>
        <w:t>nadhodnotilo</w:t>
      </w:r>
      <w:r>
        <w:rPr>
          <w:rFonts w:cs="Calibri"/>
        </w:rPr>
        <w:t xml:space="preserve"> zůstatek účtu </w:t>
      </w:r>
      <w:r w:rsidR="00DD7970">
        <w:rPr>
          <w:rFonts w:cs="Calibri"/>
        </w:rPr>
        <w:br/>
      </w:r>
      <w:r w:rsidRPr="00C40956">
        <w:rPr>
          <w:rFonts w:cs="Calibri"/>
          <w:b/>
        </w:rPr>
        <w:t>518</w:t>
      </w:r>
      <w:r>
        <w:rPr>
          <w:rFonts w:cs="Calibri"/>
        </w:rPr>
        <w:t xml:space="preserve"> – </w:t>
      </w:r>
      <w:r w:rsidRPr="004776B3">
        <w:rPr>
          <w:rFonts w:cs="Calibri"/>
          <w:i/>
        </w:rPr>
        <w:t>Ostatní služby</w:t>
      </w:r>
      <w:r>
        <w:rPr>
          <w:rFonts w:cs="Calibri"/>
        </w:rPr>
        <w:t>.</w:t>
      </w:r>
    </w:p>
    <w:p w14:paraId="41FB37A6" w14:textId="77777777" w:rsidR="000B7B7B" w:rsidRPr="000B7B7B" w:rsidRDefault="000B7B7B" w:rsidP="001A79A3">
      <w:pPr>
        <w:spacing w:after="0"/>
        <w:rPr>
          <w:lang w:eastAsia="cs-CZ"/>
        </w:rPr>
      </w:pPr>
    </w:p>
    <w:p w14:paraId="5D92B6A4" w14:textId="77777777" w:rsidR="00B9251A" w:rsidRPr="00E80277" w:rsidRDefault="00CD2FE1" w:rsidP="001A79A3">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1</w:t>
      </w:r>
      <w:r w:rsidR="005465F2">
        <w:rPr>
          <w:rFonts w:ascii="Calibri" w:hAnsi="Calibri" w:cs="Calibri"/>
          <w:lang w:eastAsia="cs-CZ"/>
        </w:rPr>
        <w:t>.1</w:t>
      </w:r>
      <w:r w:rsidR="000B7B7B">
        <w:rPr>
          <w:rFonts w:ascii="Calibri" w:hAnsi="Calibri" w:cs="Calibri"/>
          <w:lang w:eastAsia="cs-CZ"/>
        </w:rPr>
        <w:t>3</w:t>
      </w:r>
      <w:r w:rsidR="00B9251A" w:rsidRPr="00F24D4F">
        <w:rPr>
          <w:rFonts w:ascii="Calibri" w:hAnsi="Calibri" w:cs="Calibri"/>
          <w:lang w:eastAsia="cs-CZ"/>
        </w:rPr>
        <w:t xml:space="preserve"> Ne</w:t>
      </w:r>
      <w:r w:rsidR="00797997">
        <w:rPr>
          <w:rFonts w:ascii="Calibri" w:hAnsi="Calibri" w:cs="Calibri"/>
          <w:lang w:eastAsia="cs-CZ"/>
        </w:rPr>
        <w:t>správnosti v přehledu o peněžních tocích</w:t>
      </w:r>
    </w:p>
    <w:p w14:paraId="1ADC5DBE" w14:textId="6DCFDBE6" w:rsidR="00797997" w:rsidRDefault="00797997" w:rsidP="00A0370E">
      <w:pPr>
        <w:spacing w:after="0"/>
        <w:jc w:val="both"/>
        <w:rPr>
          <w:rFonts w:cs="Calibri"/>
        </w:rPr>
      </w:pPr>
      <w:r w:rsidRPr="00C96B06">
        <w:rPr>
          <w:rFonts w:cs="Calibri"/>
          <w:b/>
        </w:rPr>
        <w:t>MMR v přehledu o peněžních tocích vykázalo</w:t>
      </w:r>
      <w:r w:rsidR="00A35F6B" w:rsidRPr="00C96B06">
        <w:rPr>
          <w:rFonts w:cs="Calibri"/>
          <w:b/>
        </w:rPr>
        <w:t xml:space="preserve"> nesprávnou výši stavu peněžních prostředků k rozvahovému dni</w:t>
      </w:r>
      <w:r w:rsidR="00A35F6B" w:rsidRPr="00041308">
        <w:rPr>
          <w:rFonts w:cs="Calibri"/>
          <w:b/>
        </w:rPr>
        <w:t>,</w:t>
      </w:r>
      <w:r w:rsidR="00A35F6B">
        <w:rPr>
          <w:rFonts w:cs="Calibri"/>
        </w:rPr>
        <w:t xml:space="preserve"> a to </w:t>
      </w:r>
      <w:r w:rsidR="00A35F6B" w:rsidRPr="00C96B06">
        <w:rPr>
          <w:rFonts w:cs="Calibri"/>
          <w:b/>
        </w:rPr>
        <w:t>o 6,5 mil. Kč vyšší</w:t>
      </w:r>
      <w:r w:rsidR="00F52D53">
        <w:rPr>
          <w:rFonts w:cs="Calibri"/>
          <w:b/>
        </w:rPr>
        <w:t>,</w:t>
      </w:r>
      <w:r w:rsidR="00A35F6B" w:rsidRPr="00C96B06">
        <w:rPr>
          <w:rFonts w:cs="Calibri"/>
          <w:b/>
        </w:rPr>
        <w:t xml:space="preserve"> než odpovídalo skutečnému stavu</w:t>
      </w:r>
      <w:r w:rsidR="00A35F6B" w:rsidRPr="00041308">
        <w:rPr>
          <w:rFonts w:cs="Calibri"/>
          <w:b/>
        </w:rPr>
        <w:t>.</w:t>
      </w:r>
      <w:r w:rsidR="00A35F6B">
        <w:rPr>
          <w:rFonts w:cs="Calibri"/>
        </w:rPr>
        <w:t xml:space="preserve"> Tato nesprávnost byla způsobena zejména </w:t>
      </w:r>
      <w:r w:rsidR="00A35F6B" w:rsidRPr="00A35F6B">
        <w:rPr>
          <w:rFonts w:cs="Calibri"/>
        </w:rPr>
        <w:t xml:space="preserve">nesprávným algoritmem výpočtu položky </w:t>
      </w:r>
      <w:r w:rsidR="00A35F6B" w:rsidRPr="00041308">
        <w:rPr>
          <w:rFonts w:cs="Calibri"/>
          <w:i/>
        </w:rPr>
        <w:t>A.II.2. Změna stavu krátkodobých závazků</w:t>
      </w:r>
      <w:r w:rsidR="00A35F6B">
        <w:rPr>
          <w:rFonts w:cs="Calibri"/>
        </w:rPr>
        <w:t xml:space="preserve">, kdy </w:t>
      </w:r>
      <w:r w:rsidR="00A35F6B" w:rsidRPr="00C96B06">
        <w:rPr>
          <w:rFonts w:cs="Calibri"/>
          <w:b/>
        </w:rPr>
        <w:t>MMR při vylučování některých nepeněžních transakcí tyto naopak opětovně načetlo</w:t>
      </w:r>
      <w:r w:rsidR="00A35F6B" w:rsidRPr="00A35F6B">
        <w:rPr>
          <w:rFonts w:cs="Calibri"/>
        </w:rPr>
        <w:t xml:space="preserve"> </w:t>
      </w:r>
      <w:r w:rsidR="00A35F6B" w:rsidRPr="00CB3EC2">
        <w:rPr>
          <w:rFonts w:cs="Calibri"/>
          <w:b/>
        </w:rPr>
        <w:t>a dále</w:t>
      </w:r>
      <w:r w:rsidR="00A35F6B" w:rsidRPr="00A35F6B">
        <w:rPr>
          <w:rFonts w:cs="Calibri"/>
        </w:rPr>
        <w:t xml:space="preserve"> též </w:t>
      </w:r>
      <w:r w:rsidR="00A35F6B" w:rsidRPr="00CB3EC2">
        <w:rPr>
          <w:rFonts w:cs="Calibri"/>
          <w:b/>
        </w:rPr>
        <w:t xml:space="preserve">zahrnutím změny stavu závazků z titulu zdravotního pojištění, sociálního zabezpečení a zúčtování daní na položku </w:t>
      </w:r>
      <w:r w:rsidR="00A35F6B" w:rsidRPr="00041308">
        <w:rPr>
          <w:rFonts w:cs="Calibri"/>
          <w:b/>
          <w:i/>
        </w:rPr>
        <w:t>A.II.1.</w:t>
      </w:r>
      <w:r w:rsidR="00A35F6B" w:rsidRPr="00041308">
        <w:rPr>
          <w:rFonts w:cs="Calibri"/>
          <w:i/>
        </w:rPr>
        <w:t xml:space="preserve"> Změna stavu </w:t>
      </w:r>
      <w:r w:rsidR="00A35F6B" w:rsidRPr="00041308">
        <w:rPr>
          <w:rFonts w:cs="Calibri"/>
          <w:i/>
        </w:rPr>
        <w:lastRenderedPageBreak/>
        <w:t>krátkodobých pohledávek</w:t>
      </w:r>
      <w:r w:rsidR="00A35F6B" w:rsidRPr="00A35F6B">
        <w:rPr>
          <w:rFonts w:cs="Calibri"/>
        </w:rPr>
        <w:t xml:space="preserve"> </w:t>
      </w:r>
      <w:r w:rsidR="00A35F6B" w:rsidRPr="00CB3EC2">
        <w:rPr>
          <w:rFonts w:cs="Calibri"/>
          <w:b/>
        </w:rPr>
        <w:t>při současném</w:t>
      </w:r>
      <w:r w:rsidR="00A35F6B" w:rsidRPr="00A35F6B">
        <w:rPr>
          <w:rFonts w:cs="Calibri"/>
        </w:rPr>
        <w:t xml:space="preserve"> správném </w:t>
      </w:r>
      <w:r w:rsidR="00A35F6B" w:rsidRPr="00CB3EC2">
        <w:rPr>
          <w:rFonts w:cs="Calibri"/>
          <w:b/>
        </w:rPr>
        <w:t xml:space="preserve">vykázání i na položce </w:t>
      </w:r>
      <w:r w:rsidR="00A35F6B" w:rsidRPr="00041308">
        <w:rPr>
          <w:rFonts w:cs="Calibri"/>
          <w:b/>
          <w:i/>
        </w:rPr>
        <w:t>A.II.2.</w:t>
      </w:r>
      <w:r w:rsidR="00A35F6B" w:rsidRPr="00041308">
        <w:rPr>
          <w:rFonts w:cs="Calibri"/>
          <w:i/>
        </w:rPr>
        <w:t xml:space="preserve"> Změna stavu krátkodobých závazků</w:t>
      </w:r>
      <w:r w:rsidR="00A35F6B">
        <w:rPr>
          <w:rFonts w:cs="Calibri"/>
        </w:rPr>
        <w:t>.</w:t>
      </w:r>
    </w:p>
    <w:p w14:paraId="1304F162" w14:textId="77777777" w:rsidR="00A35F6B" w:rsidRDefault="00A35F6B" w:rsidP="00A0370E">
      <w:pPr>
        <w:spacing w:after="0"/>
        <w:jc w:val="both"/>
        <w:rPr>
          <w:rFonts w:cs="Calibri"/>
        </w:rPr>
      </w:pPr>
    </w:p>
    <w:p w14:paraId="7D17B956" w14:textId="38F7C013" w:rsidR="00ED1ECF" w:rsidRPr="00E80277" w:rsidRDefault="00DD7970" w:rsidP="00DD7970">
      <w:pPr>
        <w:pStyle w:val="Nadpis2"/>
        <w:keepNext/>
        <w:numPr>
          <w:ilvl w:val="0"/>
          <w:numId w:val="0"/>
        </w:numPr>
        <w:spacing w:after="120" w:line="240" w:lineRule="auto"/>
        <w:ind w:left="284" w:hanging="284"/>
        <w:contextualSpacing w:val="0"/>
        <w:jc w:val="left"/>
        <w:rPr>
          <w:rFonts w:ascii="Calibri" w:hAnsi="Calibri" w:cs="Calibri"/>
          <w:lang w:eastAsia="cs-CZ"/>
        </w:rPr>
      </w:pPr>
      <w:r>
        <w:rPr>
          <w:rFonts w:ascii="Calibri" w:hAnsi="Calibri" w:cs="Calibri"/>
          <w:lang w:eastAsia="cs-CZ"/>
        </w:rPr>
        <w:t xml:space="preserve">2. </w:t>
      </w:r>
      <w:r>
        <w:rPr>
          <w:rFonts w:ascii="Calibri" w:hAnsi="Calibri" w:cs="Calibri"/>
          <w:lang w:eastAsia="cs-CZ"/>
        </w:rPr>
        <w:tab/>
      </w:r>
      <w:r w:rsidR="00A640AE" w:rsidRPr="00E80277">
        <w:rPr>
          <w:rFonts w:ascii="Calibri" w:hAnsi="Calibri" w:cs="Calibri"/>
          <w:lang w:eastAsia="cs-CZ"/>
        </w:rPr>
        <w:t xml:space="preserve">Nesprávnosti zjištěné v údajích předkládaných </w:t>
      </w:r>
      <w:r w:rsidR="007A31B7" w:rsidRPr="00E80277">
        <w:rPr>
          <w:rFonts w:ascii="Calibri" w:hAnsi="Calibri" w:cs="Calibri"/>
          <w:lang w:eastAsia="cs-CZ"/>
        </w:rPr>
        <w:t xml:space="preserve">Ministerstvem </w:t>
      </w:r>
      <w:r w:rsidR="00E80277">
        <w:rPr>
          <w:rFonts w:ascii="Calibri" w:hAnsi="Calibri" w:cs="Calibri"/>
          <w:lang w:eastAsia="cs-CZ"/>
        </w:rPr>
        <w:t>pro místní rozvoj</w:t>
      </w:r>
      <w:r w:rsidR="00955E99">
        <w:rPr>
          <w:rFonts w:ascii="Calibri" w:hAnsi="Calibri" w:cs="Calibri"/>
          <w:lang w:eastAsia="cs-CZ"/>
        </w:rPr>
        <w:t xml:space="preserve"> pro</w:t>
      </w:r>
      <w:r>
        <w:rPr>
          <w:rFonts w:ascii="Calibri" w:hAnsi="Calibri" w:cs="Calibri"/>
          <w:lang w:eastAsia="cs-CZ"/>
        </w:rPr>
        <w:t xml:space="preserve"> </w:t>
      </w:r>
      <w:r w:rsidR="00A640AE" w:rsidRPr="00E80277">
        <w:rPr>
          <w:rFonts w:ascii="Calibri" w:hAnsi="Calibri" w:cs="Calibri"/>
          <w:lang w:eastAsia="cs-CZ"/>
        </w:rPr>
        <w:t>hodnocení p</w:t>
      </w:r>
      <w:r w:rsidR="008E2B4A" w:rsidRPr="00E80277">
        <w:rPr>
          <w:rFonts w:ascii="Calibri" w:hAnsi="Calibri" w:cs="Calibri"/>
          <w:lang w:eastAsia="cs-CZ"/>
        </w:rPr>
        <w:t>lnění státního rozpočtu</w:t>
      </w:r>
      <w:r w:rsidR="0053413D" w:rsidRPr="00E80277">
        <w:rPr>
          <w:rFonts w:ascii="Calibri" w:hAnsi="Calibri" w:cs="Calibri"/>
          <w:lang w:eastAsia="cs-CZ"/>
        </w:rPr>
        <w:t xml:space="preserve"> za rok 2018</w:t>
      </w:r>
    </w:p>
    <w:p w14:paraId="0DA91374" w14:textId="1D7D36F8" w:rsidR="0037115E" w:rsidRDefault="0037115E" w:rsidP="00E720D7">
      <w:pPr>
        <w:spacing w:after="0"/>
        <w:jc w:val="both"/>
        <w:rPr>
          <w:rFonts w:cs="Calibri"/>
          <w:bCs/>
          <w:lang w:eastAsia="cs-CZ"/>
        </w:rPr>
      </w:pPr>
      <w:r w:rsidRPr="00CB3EC2">
        <w:rPr>
          <w:rFonts w:cs="Calibri"/>
          <w:b/>
          <w:bCs/>
          <w:lang w:eastAsia="cs-CZ"/>
        </w:rPr>
        <w:t xml:space="preserve">V údajích předkládaných </w:t>
      </w:r>
      <w:r w:rsidRPr="00CB3EC2">
        <w:rPr>
          <w:b/>
        </w:rPr>
        <w:t>pro hodnocení plnění</w:t>
      </w:r>
      <w:r w:rsidR="00EA06A4" w:rsidRPr="00CB3EC2">
        <w:rPr>
          <w:b/>
        </w:rPr>
        <w:t xml:space="preserve"> státního</w:t>
      </w:r>
      <w:r w:rsidRPr="00CB3EC2">
        <w:rPr>
          <w:b/>
        </w:rPr>
        <w:t xml:space="preserve"> rozpočtu </w:t>
      </w:r>
      <w:r w:rsidR="00DC6D7B">
        <w:rPr>
          <w:b/>
        </w:rPr>
        <w:t xml:space="preserve">za rok </w:t>
      </w:r>
      <w:r w:rsidRPr="00CB3EC2">
        <w:rPr>
          <w:b/>
        </w:rPr>
        <w:t>2018 se pozitivně projevilo opatření</w:t>
      </w:r>
      <w:r w:rsidR="00DC6D7B">
        <w:rPr>
          <w:b/>
        </w:rPr>
        <w:t xml:space="preserve"> přijaté</w:t>
      </w:r>
      <w:r w:rsidRPr="00CB3EC2">
        <w:rPr>
          <w:b/>
        </w:rPr>
        <w:t xml:space="preserve"> k nápravě zjištění z KA č. 17/08</w:t>
      </w:r>
      <w:r w:rsidRPr="00041308">
        <w:rPr>
          <w:b/>
        </w:rPr>
        <w:t>.</w:t>
      </w:r>
      <w:r>
        <w:t xml:space="preserve"> </w:t>
      </w:r>
      <w:r w:rsidRPr="00D07DC9">
        <w:rPr>
          <w:rFonts w:cs="Calibri"/>
          <w:bCs/>
          <w:lang w:eastAsia="cs-CZ"/>
        </w:rPr>
        <w:t xml:space="preserve">MMR </w:t>
      </w:r>
      <w:r w:rsidR="00F51365">
        <w:rPr>
          <w:rFonts w:cs="Calibri"/>
          <w:bCs/>
          <w:lang w:eastAsia="cs-CZ"/>
        </w:rPr>
        <w:t xml:space="preserve">v roce 2018 </w:t>
      </w:r>
      <w:r w:rsidR="0092230C">
        <w:rPr>
          <w:rFonts w:cs="Calibri"/>
          <w:bCs/>
          <w:lang w:eastAsia="cs-CZ"/>
        </w:rPr>
        <w:t xml:space="preserve">zatřiďovalo </w:t>
      </w:r>
      <w:r w:rsidRPr="00D07DC9">
        <w:rPr>
          <w:rFonts w:cs="Calibri"/>
          <w:bCs/>
          <w:lang w:eastAsia="cs-CZ"/>
        </w:rPr>
        <w:t xml:space="preserve">výdaje z titulu poskytnutí dotace </w:t>
      </w:r>
      <w:r>
        <w:rPr>
          <w:rFonts w:cs="Calibri"/>
          <w:bCs/>
          <w:lang w:eastAsia="cs-CZ"/>
        </w:rPr>
        <w:t>ve prospěch národních subjektů</w:t>
      </w:r>
      <w:r w:rsidR="0092230C">
        <w:rPr>
          <w:rFonts w:cs="Calibri"/>
          <w:bCs/>
          <w:lang w:eastAsia="cs-CZ"/>
        </w:rPr>
        <w:t xml:space="preserve"> </w:t>
      </w:r>
      <w:r w:rsidR="00F51365">
        <w:rPr>
          <w:rFonts w:cs="Calibri"/>
          <w:bCs/>
          <w:lang w:eastAsia="cs-CZ"/>
        </w:rPr>
        <w:t>na správné fun</w:t>
      </w:r>
      <w:r w:rsidR="00347457">
        <w:rPr>
          <w:rFonts w:cs="Calibri"/>
          <w:bCs/>
          <w:lang w:eastAsia="cs-CZ"/>
        </w:rPr>
        <w:t>k</w:t>
      </w:r>
      <w:r w:rsidR="00F51365">
        <w:rPr>
          <w:rFonts w:cs="Calibri"/>
          <w:bCs/>
          <w:lang w:eastAsia="cs-CZ"/>
        </w:rPr>
        <w:t>ční třídění (paragrafy) dle rozpočtové skladby</w:t>
      </w:r>
      <w:r w:rsidR="008B4910">
        <w:rPr>
          <w:rFonts w:cs="Calibri"/>
          <w:bCs/>
          <w:lang w:eastAsia="cs-CZ"/>
        </w:rPr>
        <w:t>, což se projevil</w:t>
      </w:r>
      <w:r w:rsidR="00955E99">
        <w:rPr>
          <w:rFonts w:cs="Calibri"/>
          <w:bCs/>
          <w:lang w:eastAsia="cs-CZ"/>
        </w:rPr>
        <w:t>o ve výrazné meziroční změně ve</w:t>
      </w:r>
      <w:r w:rsidR="00C331DA">
        <w:rPr>
          <w:rFonts w:cs="Calibri"/>
          <w:bCs/>
          <w:lang w:eastAsia="cs-CZ"/>
        </w:rPr>
        <w:t xml:space="preserve"> </w:t>
      </w:r>
      <w:r w:rsidR="008B4910">
        <w:rPr>
          <w:rFonts w:cs="Calibri"/>
          <w:bCs/>
          <w:lang w:eastAsia="cs-CZ"/>
        </w:rPr>
        <w:t>vykázaných hodnotách.</w:t>
      </w:r>
      <w:r w:rsidR="00FD606C">
        <w:rPr>
          <w:rFonts w:cs="Calibri"/>
          <w:bCs/>
          <w:lang w:eastAsia="cs-CZ"/>
        </w:rPr>
        <w:t xml:space="preserve"> </w:t>
      </w:r>
      <w:r w:rsidR="00B65AA7">
        <w:rPr>
          <w:rFonts w:cs="Calibri"/>
          <w:bCs/>
          <w:lang w:eastAsia="cs-CZ"/>
        </w:rPr>
        <w:t>V roce 2018 byly nejvýznamnější</w:t>
      </w:r>
      <w:r w:rsidR="006432CB">
        <w:rPr>
          <w:rFonts w:cs="Calibri"/>
          <w:bCs/>
          <w:lang w:eastAsia="cs-CZ"/>
        </w:rPr>
        <w:t xml:space="preserve"> z hlediska hodnoty</w:t>
      </w:r>
      <w:r w:rsidR="00B65AA7">
        <w:rPr>
          <w:rFonts w:cs="Calibri"/>
          <w:bCs/>
          <w:lang w:eastAsia="cs-CZ"/>
        </w:rPr>
        <w:t xml:space="preserve"> výdaje MMR</w:t>
      </w:r>
      <w:r w:rsidR="00E50B34">
        <w:rPr>
          <w:rFonts w:cs="Calibri"/>
          <w:bCs/>
          <w:lang w:eastAsia="cs-CZ"/>
        </w:rPr>
        <w:t xml:space="preserve"> </w:t>
      </w:r>
      <w:r w:rsidR="00B65AA7">
        <w:rPr>
          <w:rFonts w:cs="Calibri"/>
          <w:bCs/>
          <w:lang w:eastAsia="cs-CZ"/>
        </w:rPr>
        <w:t xml:space="preserve">do oblasti územního plánování, což odpovídá kontrolované skutečnosti. Oproti tomu v roce 2016 </w:t>
      </w:r>
      <w:r w:rsidR="00E50B34">
        <w:rPr>
          <w:rFonts w:cs="Calibri"/>
          <w:bCs/>
          <w:lang w:eastAsia="cs-CZ"/>
        </w:rPr>
        <w:t xml:space="preserve">i </w:t>
      </w:r>
      <w:r w:rsidR="00B65AA7">
        <w:rPr>
          <w:rFonts w:cs="Calibri"/>
          <w:bCs/>
          <w:lang w:eastAsia="cs-CZ"/>
        </w:rPr>
        <w:t>2017 MMR vykazovalo, že jeho nejvýznamnější výdaje</w:t>
      </w:r>
      <w:r w:rsidR="006432CB">
        <w:rPr>
          <w:rFonts w:cs="Calibri"/>
          <w:bCs/>
          <w:lang w:eastAsia="cs-CZ"/>
        </w:rPr>
        <w:t xml:space="preserve"> z hlediska hodnoty</w:t>
      </w:r>
      <w:r w:rsidR="00B65AA7">
        <w:rPr>
          <w:rFonts w:cs="Calibri"/>
          <w:bCs/>
          <w:lang w:eastAsia="cs-CZ"/>
        </w:rPr>
        <w:t xml:space="preserve"> jsou </w:t>
      </w:r>
      <w:r w:rsidR="008B4910">
        <w:rPr>
          <w:rFonts w:cs="Calibri"/>
          <w:bCs/>
          <w:lang w:eastAsia="cs-CZ"/>
        </w:rPr>
        <w:t>vynakládány na mezinárodní spolupráci</w:t>
      </w:r>
      <w:r w:rsidR="00825348">
        <w:rPr>
          <w:rFonts w:cs="Calibri"/>
          <w:bCs/>
          <w:lang w:eastAsia="cs-CZ"/>
        </w:rPr>
        <w:t>, což</w:t>
      </w:r>
      <w:r w:rsidR="00B65AA7">
        <w:rPr>
          <w:rFonts w:cs="Calibri"/>
          <w:bCs/>
          <w:lang w:eastAsia="cs-CZ"/>
        </w:rPr>
        <w:t xml:space="preserve"> skutečnosti</w:t>
      </w:r>
      <w:r w:rsidR="00825348">
        <w:rPr>
          <w:rFonts w:cs="Calibri"/>
          <w:bCs/>
          <w:lang w:eastAsia="cs-CZ"/>
        </w:rPr>
        <w:t xml:space="preserve"> neodpovídalo</w:t>
      </w:r>
      <w:r w:rsidR="00B65AA7">
        <w:rPr>
          <w:rFonts w:cs="Calibri"/>
          <w:bCs/>
          <w:lang w:eastAsia="cs-CZ"/>
        </w:rPr>
        <w:t xml:space="preserve"> (viz</w:t>
      </w:r>
      <w:r w:rsidR="00C331DA">
        <w:rPr>
          <w:rFonts w:cs="Calibri"/>
          <w:bCs/>
          <w:lang w:eastAsia="cs-CZ"/>
        </w:rPr>
        <w:t xml:space="preserve"> </w:t>
      </w:r>
      <w:r w:rsidR="00D60F5E">
        <w:rPr>
          <w:rFonts w:cs="Calibri"/>
          <w:bCs/>
          <w:lang w:eastAsia="cs-CZ"/>
        </w:rPr>
        <w:t>příloh</w:t>
      </w:r>
      <w:r w:rsidR="00B65AA7">
        <w:rPr>
          <w:rFonts w:cs="Calibri"/>
          <w:bCs/>
          <w:lang w:eastAsia="cs-CZ"/>
        </w:rPr>
        <w:t>a</w:t>
      </w:r>
      <w:r w:rsidR="00D60F5E">
        <w:rPr>
          <w:rFonts w:cs="Calibri"/>
          <w:bCs/>
          <w:lang w:eastAsia="cs-CZ"/>
        </w:rPr>
        <w:t xml:space="preserve"> č.</w:t>
      </w:r>
      <w:r w:rsidR="00347457">
        <w:rPr>
          <w:rFonts w:cs="Calibri"/>
          <w:bCs/>
          <w:lang w:eastAsia="cs-CZ"/>
        </w:rPr>
        <w:t xml:space="preserve"> </w:t>
      </w:r>
      <w:r w:rsidR="00CD2FE1">
        <w:rPr>
          <w:rFonts w:cs="Calibri"/>
          <w:bCs/>
          <w:lang w:eastAsia="cs-CZ"/>
        </w:rPr>
        <w:t>1</w:t>
      </w:r>
      <w:r w:rsidR="00CB3EC2">
        <w:rPr>
          <w:rFonts w:cs="Calibri"/>
          <w:bCs/>
          <w:lang w:eastAsia="cs-CZ"/>
        </w:rPr>
        <w:t xml:space="preserve"> tohoto kontrolního závěru</w:t>
      </w:r>
      <w:r w:rsidR="00B65AA7">
        <w:rPr>
          <w:rFonts w:cs="Calibri"/>
          <w:bCs/>
          <w:lang w:eastAsia="cs-CZ"/>
        </w:rPr>
        <w:t>)</w:t>
      </w:r>
      <w:r w:rsidR="00CD2FE1">
        <w:rPr>
          <w:rFonts w:cs="Calibri"/>
          <w:bCs/>
          <w:lang w:eastAsia="cs-CZ"/>
        </w:rPr>
        <w:t>.</w:t>
      </w:r>
    </w:p>
    <w:p w14:paraId="2A5BF041" w14:textId="77777777" w:rsidR="00124183" w:rsidRDefault="00124183" w:rsidP="00E720D7">
      <w:pPr>
        <w:spacing w:after="0"/>
        <w:jc w:val="both"/>
        <w:rPr>
          <w:rFonts w:cs="Calibri"/>
          <w:highlight w:val="red"/>
        </w:rPr>
      </w:pPr>
    </w:p>
    <w:p w14:paraId="241CC069" w14:textId="6DD0B8BD" w:rsidR="00347457" w:rsidRPr="008B4910" w:rsidRDefault="008B4910" w:rsidP="00347457">
      <w:pPr>
        <w:spacing w:after="0"/>
        <w:jc w:val="both"/>
      </w:pPr>
      <w:r>
        <w:t>V</w:t>
      </w:r>
      <w:r w:rsidR="00347457" w:rsidRPr="00AE5596">
        <w:t> údajích předkládaných pro hodnocení plnění státního rozpočtu</w:t>
      </w:r>
      <w:r>
        <w:t xml:space="preserve"> za rok 2018 byla</w:t>
      </w:r>
      <w:r w:rsidR="00347457" w:rsidRPr="00AE5596">
        <w:t xml:space="preserve"> zjištěna celková nesprávnost pouze ve výši 11 mil.</w:t>
      </w:r>
      <w:r w:rsidR="00347457" w:rsidRPr="00041308">
        <w:rPr>
          <w:color w:val="000000" w:themeColor="text1"/>
        </w:rPr>
        <w:t xml:space="preserve"> </w:t>
      </w:r>
      <w:r w:rsidR="00347457" w:rsidRPr="00AE5596">
        <w:t>Kč</w:t>
      </w:r>
      <w:r w:rsidR="006432CB">
        <w:t>,</w:t>
      </w:r>
      <w:r w:rsidR="00347457" w:rsidRPr="00AE5596">
        <w:t xml:space="preserve"> a to ve výdajích</w:t>
      </w:r>
      <w:r w:rsidR="00347457" w:rsidRPr="00347457">
        <w:t xml:space="preserve">. Na této nesprávnosti má největší podíl </w:t>
      </w:r>
      <w:r w:rsidR="00035C23">
        <w:t>nesprávné</w:t>
      </w:r>
      <w:r w:rsidR="00035C23" w:rsidRPr="00347457">
        <w:t xml:space="preserve"> </w:t>
      </w:r>
      <w:r w:rsidR="00347457" w:rsidRPr="00347457">
        <w:t xml:space="preserve">zatřídění </w:t>
      </w:r>
      <w:r w:rsidR="00347457" w:rsidRPr="008B4910">
        <w:t>výdaje za nákup roční lic</w:t>
      </w:r>
      <w:r w:rsidR="00A30CD9">
        <w:t>ence k programovému vybavení na</w:t>
      </w:r>
      <w:r w:rsidR="00C331DA">
        <w:t xml:space="preserve"> </w:t>
      </w:r>
      <w:r w:rsidR="00347457" w:rsidRPr="008B4910">
        <w:t xml:space="preserve">položku rozpočtové skladby </w:t>
      </w:r>
      <w:r w:rsidR="00347457" w:rsidRPr="00AE5596">
        <w:t>6111</w:t>
      </w:r>
      <w:r w:rsidR="00347457" w:rsidRPr="00347457">
        <w:t xml:space="preserve"> – </w:t>
      </w:r>
      <w:r w:rsidR="00347457" w:rsidRPr="00347457">
        <w:rPr>
          <w:i/>
        </w:rPr>
        <w:t>Programové vybavení</w:t>
      </w:r>
      <w:r w:rsidR="00A30CD9">
        <w:t xml:space="preserve"> (kapitálový výdaj) namísto na</w:t>
      </w:r>
      <w:r w:rsidR="00C331DA">
        <w:t xml:space="preserve"> </w:t>
      </w:r>
      <w:r w:rsidR="00347457" w:rsidRPr="00347457">
        <w:t xml:space="preserve">položku 5172 – </w:t>
      </w:r>
      <w:r w:rsidR="00347457" w:rsidRPr="008B4910">
        <w:rPr>
          <w:i/>
        </w:rPr>
        <w:t>Programové vybavení</w:t>
      </w:r>
      <w:r w:rsidR="00347457" w:rsidRPr="008B4910">
        <w:t xml:space="preserve"> (běžný výdaj) ve výši 7,6 mil. Kč.</w:t>
      </w:r>
    </w:p>
    <w:p w14:paraId="7E0E4AF7" w14:textId="77777777" w:rsidR="00347457" w:rsidRPr="008C5896" w:rsidRDefault="00347457" w:rsidP="00E720D7">
      <w:pPr>
        <w:spacing w:after="0"/>
        <w:jc w:val="both"/>
        <w:rPr>
          <w:rFonts w:cs="Calibri"/>
          <w:highlight w:val="red"/>
        </w:rPr>
      </w:pPr>
    </w:p>
    <w:p w14:paraId="055EE93C" w14:textId="2D0152A1" w:rsidR="0037115E" w:rsidRDefault="0037115E" w:rsidP="00E720D7">
      <w:pPr>
        <w:spacing w:after="0"/>
        <w:jc w:val="both"/>
        <w:rPr>
          <w:rFonts w:asciiTheme="minorHAnsi" w:hAnsiTheme="minorHAnsi" w:cstheme="minorHAnsi"/>
          <w:b/>
        </w:rPr>
      </w:pPr>
      <w:r w:rsidRPr="00CB3EC2">
        <w:rPr>
          <w:rFonts w:asciiTheme="minorHAnsi" w:hAnsiTheme="minorHAnsi" w:cstheme="minorHAnsi"/>
          <w:b/>
        </w:rPr>
        <w:t>NKÚ nezjistil žádné skutečnosti svědčící o tom, že údaj</w:t>
      </w:r>
      <w:r w:rsidR="00C86E71">
        <w:rPr>
          <w:rFonts w:asciiTheme="minorHAnsi" w:hAnsiTheme="minorHAnsi" w:cstheme="minorHAnsi"/>
          <w:b/>
        </w:rPr>
        <w:t>e předkládané Ministerstvem pro</w:t>
      </w:r>
      <w:r w:rsidR="00C331DA">
        <w:rPr>
          <w:rFonts w:asciiTheme="minorHAnsi" w:hAnsiTheme="minorHAnsi" w:cstheme="minorHAnsi"/>
          <w:b/>
        </w:rPr>
        <w:t xml:space="preserve"> </w:t>
      </w:r>
      <w:r w:rsidRPr="00CB3EC2">
        <w:rPr>
          <w:rFonts w:asciiTheme="minorHAnsi" w:hAnsiTheme="minorHAnsi" w:cstheme="minorHAnsi"/>
          <w:b/>
        </w:rPr>
        <w:t>místní rozvoj pro hodnocení plnění státního rozpočtu z</w:t>
      </w:r>
      <w:r w:rsidR="00C86E71">
        <w:rPr>
          <w:rFonts w:asciiTheme="minorHAnsi" w:hAnsiTheme="minorHAnsi" w:cstheme="minorHAnsi"/>
          <w:b/>
        </w:rPr>
        <w:t>a rok 2018 by nebyly tříděny ve</w:t>
      </w:r>
      <w:r w:rsidR="00C331DA">
        <w:rPr>
          <w:rFonts w:asciiTheme="minorHAnsi" w:hAnsiTheme="minorHAnsi" w:cstheme="minorHAnsi"/>
          <w:b/>
        </w:rPr>
        <w:t xml:space="preserve"> </w:t>
      </w:r>
      <w:r w:rsidRPr="00CB3EC2">
        <w:rPr>
          <w:rFonts w:asciiTheme="minorHAnsi" w:hAnsiTheme="minorHAnsi" w:cstheme="minorHAnsi"/>
          <w:b/>
        </w:rPr>
        <w:t>všech významných ohledech v souladu s vyhláškou č. 323/2002 Sb.</w:t>
      </w:r>
    </w:p>
    <w:p w14:paraId="49869B96" w14:textId="77777777" w:rsidR="00D67801" w:rsidRDefault="00D67801" w:rsidP="00C40653">
      <w:pPr>
        <w:pStyle w:val="Nadpis2"/>
        <w:keepNext/>
        <w:numPr>
          <w:ilvl w:val="0"/>
          <w:numId w:val="0"/>
        </w:numPr>
        <w:spacing w:after="0" w:line="240" w:lineRule="auto"/>
        <w:contextualSpacing w:val="0"/>
        <w:rPr>
          <w:rFonts w:ascii="Calibri" w:hAnsi="Calibri" w:cs="Calibri"/>
          <w:lang w:eastAsia="cs-CZ"/>
        </w:rPr>
      </w:pPr>
    </w:p>
    <w:p w14:paraId="4C0BA415" w14:textId="14A74F7A" w:rsidR="007A31B7" w:rsidRPr="000E7644" w:rsidRDefault="00DA609B" w:rsidP="00DD7970">
      <w:pPr>
        <w:pStyle w:val="Nadpis2"/>
        <w:keepNext/>
        <w:numPr>
          <w:ilvl w:val="0"/>
          <w:numId w:val="0"/>
        </w:numPr>
        <w:spacing w:after="120" w:line="240" w:lineRule="auto"/>
        <w:ind w:left="284" w:hanging="284"/>
        <w:contextualSpacing w:val="0"/>
        <w:jc w:val="left"/>
        <w:rPr>
          <w:rFonts w:ascii="Calibri" w:hAnsi="Calibri" w:cs="Calibri"/>
          <w:lang w:eastAsia="cs-CZ"/>
        </w:rPr>
      </w:pPr>
      <w:r>
        <w:rPr>
          <w:rFonts w:ascii="Calibri" w:hAnsi="Calibri" w:cs="Calibri"/>
          <w:lang w:eastAsia="cs-CZ"/>
        </w:rPr>
        <w:t>3</w:t>
      </w:r>
      <w:r w:rsidR="00C40653">
        <w:rPr>
          <w:rFonts w:ascii="Calibri" w:hAnsi="Calibri" w:cs="Calibri"/>
          <w:lang w:eastAsia="cs-CZ"/>
        </w:rPr>
        <w:t xml:space="preserve">. </w:t>
      </w:r>
      <w:r w:rsidR="00DD7970">
        <w:rPr>
          <w:rFonts w:ascii="Calibri" w:hAnsi="Calibri" w:cs="Calibri"/>
          <w:lang w:eastAsia="cs-CZ"/>
        </w:rPr>
        <w:tab/>
      </w:r>
      <w:r w:rsidR="00A640AE" w:rsidRPr="000E7644">
        <w:rPr>
          <w:rFonts w:ascii="Calibri" w:hAnsi="Calibri" w:cs="Calibri"/>
          <w:lang w:eastAsia="cs-CZ"/>
        </w:rPr>
        <w:t>Vyhodnocení opatření přijatých k</w:t>
      </w:r>
      <w:r w:rsidR="00360D8E" w:rsidRPr="000E7644">
        <w:rPr>
          <w:rFonts w:ascii="Calibri" w:hAnsi="Calibri" w:cs="Calibri"/>
          <w:lang w:eastAsia="cs-CZ"/>
        </w:rPr>
        <w:t xml:space="preserve"> nápravě </w:t>
      </w:r>
      <w:r w:rsidR="00A640AE" w:rsidRPr="000E7644">
        <w:rPr>
          <w:rFonts w:ascii="Calibri" w:hAnsi="Calibri" w:cs="Calibri"/>
          <w:lang w:eastAsia="cs-CZ"/>
        </w:rPr>
        <w:t>nedostatků z</w:t>
      </w:r>
      <w:r w:rsidR="005C519D" w:rsidRPr="000E7644">
        <w:rPr>
          <w:rFonts w:ascii="Calibri" w:hAnsi="Calibri" w:cs="Calibri"/>
          <w:lang w:eastAsia="cs-CZ"/>
        </w:rPr>
        <w:t xml:space="preserve">jištěných </w:t>
      </w:r>
      <w:r w:rsidR="008A03BD">
        <w:rPr>
          <w:rFonts w:ascii="Calibri" w:hAnsi="Calibri" w:cs="Calibri"/>
          <w:lang w:eastAsia="cs-CZ"/>
        </w:rPr>
        <w:br/>
      </w:r>
      <w:r w:rsidR="005C519D" w:rsidRPr="000E7644">
        <w:rPr>
          <w:rFonts w:ascii="Calibri" w:hAnsi="Calibri" w:cs="Calibri"/>
          <w:lang w:eastAsia="cs-CZ"/>
        </w:rPr>
        <w:t>kontrolní akcí NKÚ č. </w:t>
      </w:r>
      <w:r w:rsidR="000E7644">
        <w:rPr>
          <w:rFonts w:ascii="Calibri" w:hAnsi="Calibri" w:cs="Calibri"/>
          <w:lang w:eastAsia="cs-CZ"/>
        </w:rPr>
        <w:t>17</w:t>
      </w:r>
      <w:r w:rsidR="00A640AE" w:rsidRPr="000E7644">
        <w:rPr>
          <w:rFonts w:ascii="Calibri" w:hAnsi="Calibri" w:cs="Calibri"/>
          <w:lang w:eastAsia="cs-CZ"/>
        </w:rPr>
        <w:t>/</w:t>
      </w:r>
      <w:r w:rsidR="000E7644">
        <w:rPr>
          <w:rFonts w:ascii="Calibri" w:hAnsi="Calibri" w:cs="Calibri"/>
          <w:lang w:eastAsia="cs-CZ"/>
        </w:rPr>
        <w:t>08</w:t>
      </w:r>
    </w:p>
    <w:p w14:paraId="76B8AE84" w14:textId="77777777" w:rsidR="00B92712" w:rsidRDefault="00B92712" w:rsidP="007A31B7">
      <w:pPr>
        <w:spacing w:after="0"/>
        <w:jc w:val="both"/>
        <w:rPr>
          <w:rFonts w:eastAsiaTheme="minorHAnsi" w:cs="Calibri"/>
          <w:bCs/>
        </w:rPr>
      </w:pPr>
      <w:r w:rsidRPr="00B92712">
        <w:rPr>
          <w:rFonts w:eastAsiaTheme="minorHAnsi" w:cs="Calibri"/>
          <w:bCs/>
        </w:rPr>
        <w:t>Cílem KA č. 17/08 bylo prověřit, zda MMR při sestavení závěrečného účtu a při vedení účetnictví a sestavení účetní závěrky a předkládání údajů pro hodnocení plnění státního rozpočtu za rok 2016 postupovalo v souladu s příslušnými právními předpisy.</w:t>
      </w:r>
    </w:p>
    <w:p w14:paraId="260BF65D" w14:textId="77777777" w:rsidR="00124183" w:rsidRDefault="00124183" w:rsidP="007A31B7">
      <w:pPr>
        <w:spacing w:after="0"/>
        <w:jc w:val="both"/>
        <w:rPr>
          <w:rFonts w:eastAsiaTheme="minorHAnsi" w:cs="Calibri"/>
          <w:bCs/>
        </w:rPr>
      </w:pPr>
    </w:p>
    <w:p w14:paraId="33F723BB" w14:textId="2BBC5E93" w:rsidR="003E2779" w:rsidRDefault="00B92712" w:rsidP="007A31B7">
      <w:pPr>
        <w:spacing w:after="0"/>
        <w:jc w:val="both"/>
        <w:rPr>
          <w:rFonts w:eastAsiaTheme="minorHAnsi" w:cs="Calibri"/>
          <w:bCs/>
        </w:rPr>
      </w:pPr>
      <w:r>
        <w:rPr>
          <w:rFonts w:eastAsiaTheme="minorHAnsi" w:cs="Calibri"/>
          <w:bCs/>
        </w:rPr>
        <w:t>Usnesením vlády ČR ze dne 27. března 201</w:t>
      </w:r>
      <w:r w:rsidR="00EA06A4">
        <w:rPr>
          <w:rFonts w:eastAsiaTheme="minorHAnsi" w:cs="Calibri"/>
          <w:bCs/>
        </w:rPr>
        <w:t>8</w:t>
      </w:r>
      <w:r>
        <w:rPr>
          <w:rFonts w:eastAsiaTheme="minorHAnsi" w:cs="Calibri"/>
          <w:bCs/>
        </w:rPr>
        <w:t xml:space="preserve"> č. 203 bylo MMR uloženo realizovat stanovená opatření </w:t>
      </w:r>
      <w:r w:rsidR="007F40EC">
        <w:rPr>
          <w:rFonts w:eastAsiaTheme="minorHAnsi" w:cs="Calibri"/>
          <w:bCs/>
        </w:rPr>
        <w:t xml:space="preserve">přijatá </w:t>
      </w:r>
      <w:r>
        <w:rPr>
          <w:rFonts w:eastAsiaTheme="minorHAnsi" w:cs="Calibri"/>
          <w:bCs/>
        </w:rPr>
        <w:t>k</w:t>
      </w:r>
      <w:r w:rsidR="007F40EC">
        <w:rPr>
          <w:rFonts w:eastAsiaTheme="minorHAnsi" w:cs="Calibri"/>
          <w:bCs/>
        </w:rPr>
        <w:t> </w:t>
      </w:r>
      <w:r>
        <w:rPr>
          <w:rFonts w:eastAsiaTheme="minorHAnsi" w:cs="Calibri"/>
          <w:bCs/>
        </w:rPr>
        <w:t>nápravě</w:t>
      </w:r>
      <w:r w:rsidR="007F40EC">
        <w:rPr>
          <w:rFonts w:eastAsiaTheme="minorHAnsi" w:cs="Calibri"/>
          <w:bCs/>
        </w:rPr>
        <w:t xml:space="preserve"> nedostatků</w:t>
      </w:r>
      <w:r>
        <w:rPr>
          <w:rFonts w:eastAsiaTheme="minorHAnsi" w:cs="Calibri"/>
          <w:bCs/>
        </w:rPr>
        <w:t xml:space="preserve">. </w:t>
      </w:r>
      <w:r w:rsidRPr="00B92712">
        <w:rPr>
          <w:rFonts w:eastAsiaTheme="minorHAnsi" w:cs="Calibri"/>
          <w:bCs/>
        </w:rPr>
        <w:t xml:space="preserve">Výsledky KA č. 17/08 se dne 10. </w:t>
      </w:r>
      <w:r>
        <w:rPr>
          <w:rFonts w:eastAsiaTheme="minorHAnsi" w:cs="Calibri"/>
          <w:bCs/>
        </w:rPr>
        <w:t>května</w:t>
      </w:r>
      <w:r w:rsidRPr="00B92712">
        <w:rPr>
          <w:rFonts w:eastAsiaTheme="minorHAnsi" w:cs="Calibri"/>
          <w:bCs/>
        </w:rPr>
        <w:t xml:space="preserve"> 2018 dále zabýval </w:t>
      </w:r>
      <w:r w:rsidR="00C331DA">
        <w:rPr>
          <w:rFonts w:eastAsiaTheme="minorHAnsi" w:cs="Calibri"/>
          <w:bCs/>
        </w:rPr>
        <w:t>k</w:t>
      </w:r>
      <w:r w:rsidRPr="00B92712">
        <w:rPr>
          <w:rFonts w:eastAsiaTheme="minorHAnsi" w:cs="Calibri"/>
          <w:bCs/>
        </w:rPr>
        <w:t>ontrolní výbor Poslanecké sněmovny Parlamentu České republiky, který svým</w:t>
      </w:r>
      <w:r w:rsidR="00C86E71">
        <w:rPr>
          <w:rFonts w:eastAsiaTheme="minorHAnsi" w:cs="Calibri"/>
          <w:bCs/>
        </w:rPr>
        <w:t xml:space="preserve"> usnesením č. 32 z 8. schůze ze</w:t>
      </w:r>
      <w:r w:rsidR="00C331DA">
        <w:rPr>
          <w:rFonts w:eastAsiaTheme="minorHAnsi" w:cs="Calibri"/>
          <w:bCs/>
        </w:rPr>
        <w:t xml:space="preserve"> </w:t>
      </w:r>
      <w:r w:rsidRPr="00B92712">
        <w:rPr>
          <w:rFonts w:eastAsiaTheme="minorHAnsi" w:cs="Calibri"/>
          <w:bCs/>
        </w:rPr>
        <w:t>dne 10. května 2018</w:t>
      </w:r>
      <w:r>
        <w:rPr>
          <w:rFonts w:eastAsiaTheme="minorHAnsi" w:cs="Calibri"/>
          <w:bCs/>
        </w:rPr>
        <w:t xml:space="preserve"> požádal MMR o předložení </w:t>
      </w:r>
      <w:r w:rsidRPr="00840B51">
        <w:rPr>
          <w:rFonts w:cs="Calibri"/>
        </w:rPr>
        <w:t>vyhodnocení</w:t>
      </w:r>
      <w:r w:rsidR="00B1117E">
        <w:rPr>
          <w:rFonts w:cs="Calibri"/>
        </w:rPr>
        <w:t xml:space="preserve"> </w:t>
      </w:r>
      <w:r w:rsidRPr="00840B51">
        <w:rPr>
          <w:rFonts w:cs="Calibri"/>
        </w:rPr>
        <w:t>opatření</w:t>
      </w:r>
      <w:r>
        <w:rPr>
          <w:rFonts w:cs="Calibri"/>
        </w:rPr>
        <w:t xml:space="preserve"> </w:t>
      </w:r>
      <w:r w:rsidR="007F40EC" w:rsidRPr="00840B51">
        <w:rPr>
          <w:rFonts w:cs="Calibri"/>
        </w:rPr>
        <w:t>přijatých</w:t>
      </w:r>
      <w:r w:rsidR="00B1117E">
        <w:rPr>
          <w:rFonts w:cs="Calibri"/>
        </w:rPr>
        <w:t xml:space="preserve"> k nápravě nedostatků</w:t>
      </w:r>
      <w:r w:rsidR="007F40EC" w:rsidRPr="00840B51">
        <w:rPr>
          <w:rFonts w:cs="Calibri"/>
        </w:rPr>
        <w:t xml:space="preserve"> </w:t>
      </w:r>
      <w:r>
        <w:rPr>
          <w:rFonts w:cs="Calibri"/>
        </w:rPr>
        <w:t xml:space="preserve">a zároveň podal NKÚ podnět </w:t>
      </w:r>
      <w:r w:rsidRPr="00B92712">
        <w:rPr>
          <w:rFonts w:cs="Calibri"/>
        </w:rPr>
        <w:t xml:space="preserve">k provedení kontroly závěrečného účtu kapitoly státního rozpočtu </w:t>
      </w:r>
      <w:r w:rsidRPr="00041308">
        <w:rPr>
          <w:rFonts w:cs="Calibri"/>
          <w:i/>
        </w:rPr>
        <w:t>Ministerstvo pro místní rozvoj</w:t>
      </w:r>
      <w:r w:rsidRPr="00B92712">
        <w:rPr>
          <w:rFonts w:cs="Calibri"/>
        </w:rPr>
        <w:t xml:space="preserve"> za rok 2018</w:t>
      </w:r>
      <w:r>
        <w:rPr>
          <w:rFonts w:cs="Calibri"/>
        </w:rPr>
        <w:t>.</w:t>
      </w:r>
      <w:r>
        <w:rPr>
          <w:rFonts w:eastAsiaTheme="minorHAnsi" w:cs="Calibri"/>
          <w:bCs/>
        </w:rPr>
        <w:t xml:space="preserve"> </w:t>
      </w:r>
    </w:p>
    <w:p w14:paraId="2B227D86" w14:textId="77777777" w:rsidR="003E2779" w:rsidRDefault="003E2779" w:rsidP="007A31B7">
      <w:pPr>
        <w:spacing w:after="0"/>
        <w:jc w:val="both"/>
        <w:rPr>
          <w:rFonts w:eastAsiaTheme="minorHAnsi" w:cs="Calibri"/>
          <w:bCs/>
        </w:rPr>
      </w:pPr>
    </w:p>
    <w:p w14:paraId="6536472F" w14:textId="22AA61BD" w:rsidR="003E2779" w:rsidRDefault="00B92712" w:rsidP="007A31B7">
      <w:pPr>
        <w:spacing w:after="0"/>
        <w:jc w:val="both"/>
        <w:rPr>
          <w:rFonts w:eastAsiaTheme="minorHAnsi" w:cs="Calibri"/>
          <w:bCs/>
        </w:rPr>
      </w:pPr>
      <w:r w:rsidRPr="00AE5596">
        <w:rPr>
          <w:rFonts w:eastAsiaTheme="minorHAnsi" w:cs="Calibri"/>
          <w:b/>
          <w:bCs/>
        </w:rPr>
        <w:t xml:space="preserve">MMR </w:t>
      </w:r>
      <w:r w:rsidRPr="00B92712">
        <w:rPr>
          <w:rFonts w:eastAsiaTheme="minorHAnsi" w:cs="Calibri"/>
          <w:bCs/>
        </w:rPr>
        <w:t xml:space="preserve">dne 13. </w:t>
      </w:r>
      <w:r>
        <w:rPr>
          <w:rFonts w:eastAsiaTheme="minorHAnsi" w:cs="Calibri"/>
          <w:bCs/>
        </w:rPr>
        <w:t>prosince</w:t>
      </w:r>
      <w:r w:rsidRPr="00B92712">
        <w:rPr>
          <w:rFonts w:eastAsiaTheme="minorHAnsi" w:cs="Calibri"/>
          <w:bCs/>
        </w:rPr>
        <w:t xml:space="preserve"> </w:t>
      </w:r>
      <w:r w:rsidRPr="003E2779">
        <w:rPr>
          <w:rFonts w:eastAsiaTheme="minorHAnsi" w:cs="Calibri"/>
          <w:bCs/>
        </w:rPr>
        <w:t>2018</w:t>
      </w:r>
      <w:r w:rsidRPr="00AE5596">
        <w:rPr>
          <w:rFonts w:eastAsiaTheme="minorHAnsi" w:cs="Calibri"/>
          <w:b/>
          <w:bCs/>
        </w:rPr>
        <w:t xml:space="preserve"> informovalo předsedu </w:t>
      </w:r>
      <w:r w:rsidR="00C331DA">
        <w:rPr>
          <w:rFonts w:eastAsiaTheme="minorHAnsi" w:cs="Calibri"/>
          <w:b/>
          <w:bCs/>
        </w:rPr>
        <w:t>k</w:t>
      </w:r>
      <w:r w:rsidRPr="00AE5596">
        <w:rPr>
          <w:rFonts w:eastAsiaTheme="minorHAnsi" w:cs="Calibri"/>
          <w:b/>
          <w:bCs/>
        </w:rPr>
        <w:t>ontrolního výboru Poslanecké sněmovny Parlamentu České republiky</w:t>
      </w:r>
      <w:r w:rsidR="00D5627E">
        <w:rPr>
          <w:rFonts w:eastAsiaTheme="minorHAnsi" w:cs="Calibri"/>
          <w:b/>
          <w:bCs/>
        </w:rPr>
        <w:t xml:space="preserve"> o</w:t>
      </w:r>
      <w:r w:rsidRPr="00AE5596">
        <w:rPr>
          <w:rFonts w:eastAsiaTheme="minorHAnsi" w:cs="Calibri"/>
          <w:b/>
          <w:bCs/>
        </w:rPr>
        <w:t xml:space="preserve"> opatření</w:t>
      </w:r>
      <w:r w:rsidR="00815346">
        <w:rPr>
          <w:rFonts w:eastAsiaTheme="minorHAnsi" w:cs="Calibri"/>
          <w:b/>
          <w:bCs/>
        </w:rPr>
        <w:t>ch přijatých</w:t>
      </w:r>
      <w:r w:rsidR="003E2779" w:rsidRPr="00AE5596">
        <w:rPr>
          <w:rFonts w:eastAsiaTheme="minorHAnsi" w:cs="Calibri"/>
          <w:b/>
          <w:bCs/>
        </w:rPr>
        <w:t xml:space="preserve"> k</w:t>
      </w:r>
      <w:r w:rsidR="00B1117E">
        <w:rPr>
          <w:rFonts w:eastAsiaTheme="minorHAnsi" w:cs="Calibri"/>
          <w:b/>
          <w:bCs/>
        </w:rPr>
        <w:t> </w:t>
      </w:r>
      <w:r w:rsidR="003E2779" w:rsidRPr="00AE5596">
        <w:rPr>
          <w:rFonts w:eastAsiaTheme="minorHAnsi" w:cs="Calibri"/>
          <w:b/>
          <w:bCs/>
        </w:rPr>
        <w:t>nápravě</w:t>
      </w:r>
      <w:r w:rsidR="00B1117E">
        <w:rPr>
          <w:rFonts w:eastAsiaTheme="minorHAnsi" w:cs="Calibri"/>
          <w:b/>
          <w:bCs/>
        </w:rPr>
        <w:t xml:space="preserve"> nedostatků</w:t>
      </w:r>
      <w:r w:rsidR="003E2779" w:rsidRPr="003E2779">
        <w:rPr>
          <w:rFonts w:eastAsiaTheme="minorHAnsi" w:cs="Calibri"/>
          <w:b/>
          <w:bCs/>
        </w:rPr>
        <w:t>.</w:t>
      </w:r>
      <w:r w:rsidR="00CC75E7">
        <w:rPr>
          <w:rFonts w:eastAsiaTheme="minorHAnsi" w:cs="Calibri"/>
          <w:b/>
          <w:bCs/>
        </w:rPr>
        <w:t xml:space="preserve"> </w:t>
      </w:r>
      <w:r w:rsidRPr="00415138">
        <w:rPr>
          <w:rFonts w:eastAsiaTheme="minorHAnsi" w:cs="Calibri"/>
          <w:b/>
          <w:bCs/>
        </w:rPr>
        <w:t>NKÚ</w:t>
      </w:r>
      <w:r w:rsidR="00CC75E7">
        <w:rPr>
          <w:rFonts w:eastAsiaTheme="minorHAnsi" w:cs="Calibri"/>
          <w:b/>
          <w:bCs/>
        </w:rPr>
        <w:t xml:space="preserve"> kontrolou zjistil a</w:t>
      </w:r>
      <w:r w:rsidRPr="00415138">
        <w:rPr>
          <w:rFonts w:eastAsiaTheme="minorHAnsi" w:cs="Calibri"/>
          <w:b/>
          <w:bCs/>
        </w:rPr>
        <w:t xml:space="preserve"> vyhodnotil, </w:t>
      </w:r>
      <w:r w:rsidRPr="003E2779">
        <w:rPr>
          <w:rFonts w:eastAsiaTheme="minorHAnsi" w:cs="Calibri"/>
          <w:b/>
          <w:bCs/>
        </w:rPr>
        <w:t xml:space="preserve">že </w:t>
      </w:r>
      <w:r w:rsidR="000E7644" w:rsidRPr="003E2779">
        <w:rPr>
          <w:rFonts w:eastAsiaTheme="minorHAnsi" w:cs="Calibri"/>
          <w:b/>
          <w:bCs/>
        </w:rPr>
        <w:t>MMR</w:t>
      </w:r>
      <w:r w:rsidR="000E7644" w:rsidRPr="00AE5596">
        <w:rPr>
          <w:rFonts w:eastAsiaTheme="minorHAnsi" w:cs="Calibri"/>
          <w:bCs/>
        </w:rPr>
        <w:t xml:space="preserve"> </w:t>
      </w:r>
      <w:r w:rsidR="000E7644" w:rsidRPr="00286B8D">
        <w:rPr>
          <w:rFonts w:eastAsiaTheme="minorHAnsi" w:cs="Calibri"/>
          <w:b/>
          <w:bCs/>
        </w:rPr>
        <w:t>z celkem 17 opatření</w:t>
      </w:r>
      <w:r w:rsidR="005F4DAE">
        <w:rPr>
          <w:rFonts w:eastAsiaTheme="minorHAnsi" w:cs="Calibri"/>
          <w:b/>
          <w:bCs/>
        </w:rPr>
        <w:t xml:space="preserve"> realizovalo úplně a správně 11 </w:t>
      </w:r>
      <w:r w:rsidR="000E7644" w:rsidRPr="00286B8D">
        <w:rPr>
          <w:rFonts w:eastAsiaTheme="minorHAnsi" w:cs="Calibri"/>
          <w:b/>
          <w:bCs/>
        </w:rPr>
        <w:t>opatření, 5 opatření realizovalo částečně a 1 opatření realizováno nebylo.</w:t>
      </w:r>
    </w:p>
    <w:p w14:paraId="6E55B72E" w14:textId="77777777" w:rsidR="003E2779" w:rsidRDefault="003E2779" w:rsidP="007A31B7">
      <w:pPr>
        <w:spacing w:after="0"/>
        <w:jc w:val="both"/>
        <w:rPr>
          <w:rFonts w:eastAsiaTheme="minorHAnsi" w:cs="Calibri"/>
          <w:bCs/>
        </w:rPr>
      </w:pPr>
    </w:p>
    <w:p w14:paraId="69614922" w14:textId="0F3CBD0B" w:rsidR="000E7644" w:rsidRPr="000E7644" w:rsidRDefault="000E7644" w:rsidP="007A31B7">
      <w:pPr>
        <w:spacing w:after="0"/>
        <w:jc w:val="both"/>
        <w:rPr>
          <w:rFonts w:eastAsiaTheme="minorHAnsi" w:cs="Calibri"/>
          <w:bCs/>
        </w:rPr>
      </w:pPr>
      <w:r>
        <w:rPr>
          <w:rFonts w:eastAsiaTheme="minorHAnsi" w:cs="Calibri"/>
          <w:bCs/>
        </w:rPr>
        <w:t xml:space="preserve">V roce 2018 </w:t>
      </w:r>
      <w:r w:rsidRPr="00415138">
        <w:rPr>
          <w:rFonts w:eastAsiaTheme="minorHAnsi" w:cs="Calibri"/>
          <w:b/>
          <w:bCs/>
        </w:rPr>
        <w:t>přetrvávaly</w:t>
      </w:r>
      <w:r w:rsidR="00001D77">
        <w:rPr>
          <w:rFonts w:eastAsiaTheme="minorHAnsi" w:cs="Calibri"/>
          <w:bCs/>
        </w:rPr>
        <w:t xml:space="preserve"> </w:t>
      </w:r>
      <w:r w:rsidR="00001D77" w:rsidRPr="00AE5596">
        <w:rPr>
          <w:rFonts w:eastAsiaTheme="minorHAnsi" w:cs="Calibri"/>
          <w:b/>
          <w:bCs/>
        </w:rPr>
        <w:t>zejména</w:t>
      </w:r>
      <w:r>
        <w:rPr>
          <w:rFonts w:eastAsiaTheme="minorHAnsi" w:cs="Calibri"/>
          <w:bCs/>
        </w:rPr>
        <w:t xml:space="preserve"> </w:t>
      </w:r>
      <w:r w:rsidRPr="00415138">
        <w:rPr>
          <w:rFonts w:eastAsiaTheme="minorHAnsi" w:cs="Calibri"/>
          <w:b/>
          <w:bCs/>
        </w:rPr>
        <w:t>nedostatky</w:t>
      </w:r>
      <w:r w:rsidR="00001D77" w:rsidRPr="00415138">
        <w:rPr>
          <w:rFonts w:eastAsiaTheme="minorHAnsi" w:cs="Calibri"/>
          <w:b/>
          <w:bCs/>
        </w:rPr>
        <w:t xml:space="preserve"> v účtování o nákladech z transferů </w:t>
      </w:r>
      <w:r w:rsidR="00001D77" w:rsidRPr="00AE5596">
        <w:rPr>
          <w:rFonts w:eastAsiaTheme="minorHAnsi" w:cs="Calibri"/>
          <w:bCs/>
        </w:rPr>
        <w:t>u projektů OPTP a IROP</w:t>
      </w:r>
      <w:r w:rsidR="00001D77" w:rsidRPr="003E2779">
        <w:rPr>
          <w:rFonts w:eastAsiaTheme="minorHAnsi" w:cs="Calibri"/>
          <w:bCs/>
        </w:rPr>
        <w:t xml:space="preserve"> (nesprávná volba účtu 575 – </w:t>
      </w:r>
      <w:r w:rsidR="00001D77" w:rsidRPr="003E2779">
        <w:rPr>
          <w:rFonts w:eastAsiaTheme="minorHAnsi" w:cs="Calibri"/>
          <w:bCs/>
          <w:i/>
        </w:rPr>
        <w:t>Náklady vybraných ústředních vládních institucí</w:t>
      </w:r>
      <w:r w:rsidR="00C86E71">
        <w:rPr>
          <w:rFonts w:eastAsiaTheme="minorHAnsi" w:cs="Calibri"/>
          <w:bCs/>
          <w:i/>
        </w:rPr>
        <w:t xml:space="preserve"> na </w:t>
      </w:r>
      <w:r w:rsidR="00001D77" w:rsidRPr="00001D77">
        <w:rPr>
          <w:rFonts w:eastAsiaTheme="minorHAnsi" w:cs="Calibri"/>
          <w:bCs/>
          <w:i/>
        </w:rPr>
        <w:t>předfinancování transferů</w:t>
      </w:r>
      <w:r w:rsidR="00001D77" w:rsidRPr="00001D77">
        <w:rPr>
          <w:rFonts w:eastAsiaTheme="minorHAnsi" w:cs="Calibri"/>
          <w:bCs/>
        </w:rPr>
        <w:t xml:space="preserve"> namísto účtu 571 – </w:t>
      </w:r>
      <w:r w:rsidR="00001D77" w:rsidRPr="00001D77">
        <w:rPr>
          <w:rFonts w:eastAsiaTheme="minorHAnsi" w:cs="Calibri"/>
          <w:bCs/>
          <w:i/>
        </w:rPr>
        <w:t xml:space="preserve">Náklady vybraných ústředních vládních </w:t>
      </w:r>
      <w:r w:rsidR="00001D77" w:rsidRPr="00001D77">
        <w:rPr>
          <w:rFonts w:eastAsiaTheme="minorHAnsi" w:cs="Calibri"/>
          <w:bCs/>
          <w:i/>
        </w:rPr>
        <w:lastRenderedPageBreak/>
        <w:t>institucí na transfery</w:t>
      </w:r>
      <w:r w:rsidR="00001D77">
        <w:rPr>
          <w:rFonts w:eastAsiaTheme="minorHAnsi" w:cs="Calibri"/>
          <w:bCs/>
        </w:rPr>
        <w:t>)</w:t>
      </w:r>
      <w:r w:rsidR="00001D77" w:rsidRPr="00001D77">
        <w:rPr>
          <w:rFonts w:eastAsiaTheme="minorHAnsi" w:cs="Calibri"/>
          <w:bCs/>
        </w:rPr>
        <w:t>,</w:t>
      </w:r>
      <w:r w:rsidR="00001D77">
        <w:rPr>
          <w:rFonts w:eastAsiaTheme="minorHAnsi" w:cs="Calibri"/>
          <w:bCs/>
        </w:rPr>
        <w:t xml:space="preserve"> </w:t>
      </w:r>
      <w:r w:rsidR="00001D77" w:rsidRPr="003E2779">
        <w:rPr>
          <w:rFonts w:eastAsiaTheme="minorHAnsi" w:cs="Calibri"/>
          <w:b/>
          <w:bCs/>
        </w:rPr>
        <w:t>nedostatky v aplikaci účetní metody od</w:t>
      </w:r>
      <w:r w:rsidR="00C86E71">
        <w:rPr>
          <w:rFonts w:eastAsiaTheme="minorHAnsi" w:cs="Calibri"/>
          <w:b/>
          <w:bCs/>
        </w:rPr>
        <w:t>pisování dlouhodobého majetku a </w:t>
      </w:r>
      <w:r w:rsidR="00001D77" w:rsidRPr="003E2779">
        <w:rPr>
          <w:rFonts w:eastAsiaTheme="minorHAnsi" w:cs="Calibri"/>
          <w:b/>
          <w:bCs/>
        </w:rPr>
        <w:t>nesprávnosti v závěrečném účtu kapitoly</w:t>
      </w:r>
      <w:r w:rsidR="00DD321E" w:rsidRPr="000039E4">
        <w:rPr>
          <w:rFonts w:eastAsiaTheme="minorHAnsi" w:cs="Calibri"/>
          <w:b/>
          <w:bCs/>
        </w:rPr>
        <w:t xml:space="preserve"> 317</w:t>
      </w:r>
      <w:r w:rsidR="00001D77" w:rsidRPr="000039E4">
        <w:rPr>
          <w:rFonts w:eastAsiaTheme="minorHAnsi" w:cs="Calibri"/>
          <w:b/>
          <w:bCs/>
        </w:rPr>
        <w:t xml:space="preserve"> MMR</w:t>
      </w:r>
      <w:r w:rsidR="00001D77" w:rsidRPr="00041308">
        <w:rPr>
          <w:rFonts w:eastAsiaTheme="minorHAnsi" w:cs="Calibri"/>
          <w:b/>
          <w:bCs/>
        </w:rPr>
        <w:t>.</w:t>
      </w:r>
      <w:r>
        <w:rPr>
          <w:rFonts w:eastAsiaTheme="minorHAnsi" w:cs="Calibri"/>
          <w:bCs/>
        </w:rPr>
        <w:t xml:space="preserve"> </w:t>
      </w:r>
      <w:r w:rsidRPr="000E7644">
        <w:rPr>
          <w:rFonts w:eastAsiaTheme="minorHAnsi" w:cs="Calibri"/>
          <w:bCs/>
        </w:rPr>
        <w:t xml:space="preserve">Pokud by </w:t>
      </w:r>
      <w:r w:rsidRPr="00415138">
        <w:rPr>
          <w:rFonts w:eastAsiaTheme="minorHAnsi" w:cs="Calibri"/>
          <w:b/>
          <w:bCs/>
        </w:rPr>
        <w:t>MMR</w:t>
      </w:r>
      <w:r w:rsidRPr="000E7644">
        <w:rPr>
          <w:rFonts w:eastAsiaTheme="minorHAnsi" w:cs="Calibri"/>
          <w:bCs/>
        </w:rPr>
        <w:t xml:space="preserve"> </w:t>
      </w:r>
      <w:r w:rsidR="00001D77">
        <w:rPr>
          <w:rFonts w:eastAsiaTheme="minorHAnsi" w:cs="Calibri"/>
          <w:bCs/>
        </w:rPr>
        <w:t xml:space="preserve">například </w:t>
      </w:r>
      <w:r w:rsidRPr="000E7644">
        <w:rPr>
          <w:rFonts w:eastAsiaTheme="minorHAnsi" w:cs="Calibri"/>
          <w:bCs/>
        </w:rPr>
        <w:t xml:space="preserve">plně realizovalo </w:t>
      </w:r>
      <w:r w:rsidR="00B1117E">
        <w:rPr>
          <w:rFonts w:eastAsiaTheme="minorHAnsi" w:cs="Calibri"/>
          <w:bCs/>
        </w:rPr>
        <w:t xml:space="preserve">přijaté </w:t>
      </w:r>
      <w:r w:rsidRPr="000E7644">
        <w:rPr>
          <w:rFonts w:eastAsiaTheme="minorHAnsi" w:cs="Calibri"/>
          <w:bCs/>
        </w:rPr>
        <w:t xml:space="preserve">opatření týkající se nesprávného nákladového účtu při účtování transferů, tj. pokud by upravené postupy účtování aplikovalo i na projekty OPTP a IROP, </w:t>
      </w:r>
      <w:r w:rsidRPr="00415138">
        <w:rPr>
          <w:rFonts w:eastAsiaTheme="minorHAnsi" w:cs="Calibri"/>
          <w:b/>
          <w:bCs/>
        </w:rPr>
        <w:t>mohlo</w:t>
      </w:r>
      <w:r w:rsidRPr="000E7644">
        <w:rPr>
          <w:rFonts w:eastAsiaTheme="minorHAnsi" w:cs="Calibri"/>
          <w:bCs/>
        </w:rPr>
        <w:t xml:space="preserve"> </w:t>
      </w:r>
      <w:r w:rsidRPr="00415138">
        <w:rPr>
          <w:rFonts w:eastAsiaTheme="minorHAnsi" w:cs="Calibri"/>
          <w:b/>
          <w:bCs/>
        </w:rPr>
        <w:t>předejít nesprávnostem v ÚZ ve výši 659 </w:t>
      </w:r>
      <w:r w:rsidR="00001D77" w:rsidRPr="00415138">
        <w:rPr>
          <w:rFonts w:eastAsiaTheme="minorHAnsi" w:cs="Calibri"/>
          <w:b/>
          <w:bCs/>
        </w:rPr>
        <w:t>mil.</w:t>
      </w:r>
      <w:r w:rsidRPr="00415138">
        <w:rPr>
          <w:rFonts w:eastAsiaTheme="minorHAnsi" w:cs="Calibri"/>
          <w:b/>
          <w:bCs/>
        </w:rPr>
        <w:t xml:space="preserve"> Kč.</w:t>
      </w:r>
    </w:p>
    <w:p w14:paraId="543F8D12" w14:textId="77777777" w:rsidR="000E7644" w:rsidRDefault="000E7644" w:rsidP="00B92712">
      <w:pPr>
        <w:spacing w:after="0"/>
        <w:jc w:val="both"/>
        <w:rPr>
          <w:rFonts w:eastAsiaTheme="minorHAnsi" w:cs="Calibri"/>
          <w:b/>
          <w:bCs/>
        </w:rPr>
      </w:pPr>
    </w:p>
    <w:p w14:paraId="0188176D" w14:textId="772A62CE" w:rsidR="00FC4832" w:rsidRPr="00DD321E" w:rsidRDefault="00DA609B" w:rsidP="008A03BD">
      <w:pPr>
        <w:pStyle w:val="Nadpis2"/>
        <w:keepNext/>
        <w:numPr>
          <w:ilvl w:val="0"/>
          <w:numId w:val="0"/>
        </w:numPr>
        <w:spacing w:after="120" w:line="240" w:lineRule="auto"/>
        <w:ind w:left="284" w:hanging="284"/>
        <w:contextualSpacing w:val="0"/>
        <w:jc w:val="left"/>
        <w:rPr>
          <w:rFonts w:ascii="Calibri" w:hAnsi="Calibri" w:cs="Calibri"/>
          <w:lang w:eastAsia="cs-CZ"/>
        </w:rPr>
      </w:pPr>
      <w:r>
        <w:rPr>
          <w:rFonts w:ascii="Calibri" w:hAnsi="Calibri" w:cs="Calibri"/>
          <w:lang w:eastAsia="cs-CZ"/>
        </w:rPr>
        <w:t>4</w:t>
      </w:r>
      <w:r w:rsidR="00CC75E7">
        <w:rPr>
          <w:rFonts w:ascii="Calibri" w:hAnsi="Calibri" w:cs="Calibri"/>
          <w:lang w:eastAsia="cs-CZ"/>
        </w:rPr>
        <w:t xml:space="preserve">. </w:t>
      </w:r>
      <w:r w:rsidR="008A03BD">
        <w:rPr>
          <w:rFonts w:ascii="Calibri" w:hAnsi="Calibri" w:cs="Calibri"/>
          <w:lang w:eastAsia="cs-CZ"/>
        </w:rPr>
        <w:tab/>
      </w:r>
      <w:r w:rsidR="00A640AE" w:rsidRPr="00DD321E">
        <w:rPr>
          <w:rFonts w:ascii="Calibri" w:hAnsi="Calibri" w:cs="Calibri"/>
          <w:lang w:eastAsia="cs-CZ"/>
        </w:rPr>
        <w:t xml:space="preserve">Závěrečný účet kapitoly </w:t>
      </w:r>
      <w:r w:rsidR="00DD321E" w:rsidRPr="00DD321E">
        <w:rPr>
          <w:rFonts w:ascii="Calibri" w:hAnsi="Calibri" w:cs="Calibri"/>
          <w:lang w:eastAsia="cs-CZ"/>
        </w:rPr>
        <w:t>317</w:t>
      </w:r>
      <w:r w:rsidR="00A640AE" w:rsidRPr="00DD321E">
        <w:rPr>
          <w:rFonts w:ascii="Calibri" w:hAnsi="Calibri" w:cs="Calibri"/>
          <w:lang w:eastAsia="cs-CZ"/>
        </w:rPr>
        <w:t xml:space="preserve"> </w:t>
      </w:r>
      <w:r w:rsidR="00DD321E" w:rsidRPr="00DD321E">
        <w:rPr>
          <w:rFonts w:ascii="Calibri" w:hAnsi="Calibri" w:cs="Calibri"/>
          <w:lang w:eastAsia="cs-CZ"/>
        </w:rPr>
        <w:t>MMR</w:t>
      </w:r>
      <w:r w:rsidR="00A640AE" w:rsidRPr="00DD321E">
        <w:rPr>
          <w:rFonts w:ascii="Calibri" w:hAnsi="Calibri" w:cs="Calibri"/>
          <w:lang w:eastAsia="cs-CZ"/>
        </w:rPr>
        <w:t xml:space="preserve"> </w:t>
      </w:r>
      <w:r w:rsidR="007A31B7" w:rsidRPr="00DD321E">
        <w:rPr>
          <w:rFonts w:ascii="Calibri" w:hAnsi="Calibri" w:cs="Calibri"/>
          <w:lang w:eastAsia="cs-CZ"/>
        </w:rPr>
        <w:t xml:space="preserve">za rok 2018 </w:t>
      </w:r>
      <w:r w:rsidR="00A640AE" w:rsidRPr="00DD321E">
        <w:rPr>
          <w:rFonts w:ascii="Calibri" w:hAnsi="Calibri" w:cs="Calibri"/>
          <w:lang w:eastAsia="cs-CZ"/>
        </w:rPr>
        <w:t xml:space="preserve">a kontrola souladu </w:t>
      </w:r>
      <w:r w:rsidR="00E80840" w:rsidRPr="00DD321E">
        <w:rPr>
          <w:rFonts w:ascii="Calibri" w:hAnsi="Calibri" w:cs="Calibri"/>
          <w:lang w:eastAsia="cs-CZ"/>
        </w:rPr>
        <w:t xml:space="preserve">tohoto závěrečného účtu </w:t>
      </w:r>
      <w:r w:rsidR="00A640AE" w:rsidRPr="00DD321E">
        <w:rPr>
          <w:rFonts w:ascii="Calibri" w:hAnsi="Calibri" w:cs="Calibri"/>
          <w:lang w:eastAsia="cs-CZ"/>
        </w:rPr>
        <w:t>s vyhláškou č.</w:t>
      </w:r>
      <w:r w:rsidR="00E80840" w:rsidRPr="00DD321E">
        <w:rPr>
          <w:rFonts w:ascii="Calibri" w:hAnsi="Calibri" w:cs="Calibri"/>
          <w:lang w:eastAsia="cs-CZ"/>
        </w:rPr>
        <w:t> </w:t>
      </w:r>
      <w:r w:rsidR="00A640AE" w:rsidRPr="00DD321E">
        <w:rPr>
          <w:rFonts w:ascii="Calibri" w:hAnsi="Calibri" w:cs="Calibri"/>
          <w:lang w:eastAsia="cs-CZ"/>
        </w:rPr>
        <w:t>419/2001</w:t>
      </w:r>
      <w:r w:rsidR="00E80840" w:rsidRPr="00DD321E">
        <w:rPr>
          <w:rFonts w:ascii="Calibri" w:hAnsi="Calibri" w:cs="Calibri"/>
          <w:lang w:eastAsia="cs-CZ"/>
        </w:rPr>
        <w:t> </w:t>
      </w:r>
      <w:r w:rsidR="00A640AE" w:rsidRPr="00DD321E">
        <w:rPr>
          <w:rFonts w:ascii="Calibri" w:hAnsi="Calibri" w:cs="Calibri"/>
          <w:lang w:eastAsia="cs-CZ"/>
        </w:rPr>
        <w:t>Sb., s finančními výkazy, účetnictvím a dalšími podklady</w:t>
      </w:r>
    </w:p>
    <w:p w14:paraId="172EFC74" w14:textId="0BCB30FB" w:rsidR="003C1FEE" w:rsidRPr="00DD321E" w:rsidRDefault="00A640AE" w:rsidP="00C910FE">
      <w:pPr>
        <w:jc w:val="both"/>
        <w:rPr>
          <w:rFonts w:cs="Calibri"/>
          <w:lang w:eastAsia="cs-CZ"/>
        </w:rPr>
      </w:pPr>
      <w:r w:rsidRPr="00DD321E">
        <w:rPr>
          <w:rFonts w:cs="Calibri"/>
          <w:lang w:eastAsia="cs-CZ"/>
        </w:rPr>
        <w:t>Při kontrole závěrečného účtu kapitoly 3</w:t>
      </w:r>
      <w:r w:rsidR="00DD321E" w:rsidRPr="00DD321E">
        <w:rPr>
          <w:rFonts w:cs="Calibri"/>
          <w:lang w:eastAsia="cs-CZ"/>
        </w:rPr>
        <w:t>17</w:t>
      </w:r>
      <w:r w:rsidRPr="00DD321E">
        <w:rPr>
          <w:rFonts w:cs="Calibri"/>
          <w:lang w:eastAsia="cs-CZ"/>
        </w:rPr>
        <w:t xml:space="preserve"> M</w:t>
      </w:r>
      <w:r w:rsidR="00DD321E" w:rsidRPr="00DD321E">
        <w:rPr>
          <w:rFonts w:cs="Calibri"/>
          <w:lang w:eastAsia="cs-CZ"/>
        </w:rPr>
        <w:t>MR</w:t>
      </w:r>
      <w:r w:rsidRPr="00DD321E">
        <w:rPr>
          <w:rStyle w:val="Znakapoznpodarou"/>
          <w:rFonts w:cs="Calibri"/>
          <w:lang w:eastAsia="cs-CZ"/>
        </w:rPr>
        <w:footnoteReference w:id="35"/>
      </w:r>
      <w:r w:rsidRPr="00DD321E">
        <w:rPr>
          <w:rFonts w:cs="Calibri"/>
          <w:lang w:eastAsia="cs-CZ"/>
        </w:rPr>
        <w:t xml:space="preserve"> za rok 2018 byla ověřena správno</w:t>
      </w:r>
      <w:r w:rsidR="00C86E71">
        <w:rPr>
          <w:rFonts w:cs="Calibri"/>
          <w:lang w:eastAsia="cs-CZ"/>
        </w:rPr>
        <w:t>st a </w:t>
      </w:r>
      <w:r w:rsidRPr="00DD321E">
        <w:rPr>
          <w:rFonts w:cs="Calibri"/>
          <w:lang w:eastAsia="cs-CZ"/>
        </w:rPr>
        <w:t xml:space="preserve">úplnost údajů a číselných hodnot uvedených v průvodní </w:t>
      </w:r>
      <w:r w:rsidR="00C86E71">
        <w:rPr>
          <w:rFonts w:cs="Calibri"/>
          <w:lang w:eastAsia="cs-CZ"/>
        </w:rPr>
        <w:t>zprávě, v číselných sestavách a </w:t>
      </w:r>
      <w:r w:rsidRPr="00DD321E">
        <w:rPr>
          <w:rFonts w:cs="Calibri"/>
          <w:lang w:eastAsia="cs-CZ"/>
        </w:rPr>
        <w:t>v tabulkových přílohách.</w:t>
      </w:r>
    </w:p>
    <w:p w14:paraId="0097A584" w14:textId="77777777" w:rsidR="00DD321E" w:rsidRPr="00890F72" w:rsidRDefault="00A640AE" w:rsidP="002A1679">
      <w:pPr>
        <w:spacing w:after="0"/>
        <w:jc w:val="both"/>
      </w:pPr>
      <w:r w:rsidRPr="00415138">
        <w:rPr>
          <w:b/>
          <w:lang w:eastAsia="cs-CZ"/>
        </w:rPr>
        <w:t>V závěrečném účtu</w:t>
      </w:r>
      <w:r w:rsidRPr="00890F72">
        <w:rPr>
          <w:lang w:eastAsia="cs-CZ"/>
        </w:rPr>
        <w:t xml:space="preserve"> kapitoly 3</w:t>
      </w:r>
      <w:r w:rsidR="00DD321E" w:rsidRPr="00890F72">
        <w:rPr>
          <w:lang w:eastAsia="cs-CZ"/>
        </w:rPr>
        <w:t>17</w:t>
      </w:r>
      <w:r w:rsidRPr="00890F72">
        <w:rPr>
          <w:lang w:eastAsia="cs-CZ"/>
        </w:rPr>
        <w:t xml:space="preserve"> M</w:t>
      </w:r>
      <w:r w:rsidR="00DD321E" w:rsidRPr="00890F72">
        <w:rPr>
          <w:lang w:eastAsia="cs-CZ"/>
        </w:rPr>
        <w:t>MR</w:t>
      </w:r>
      <w:r w:rsidRPr="00890F72">
        <w:rPr>
          <w:lang w:eastAsia="cs-CZ"/>
        </w:rPr>
        <w:t xml:space="preserve"> za rok 2018 kontrola </w:t>
      </w:r>
      <w:r w:rsidR="007C0E64">
        <w:rPr>
          <w:lang w:eastAsia="cs-CZ"/>
        </w:rPr>
        <w:t>zjistila</w:t>
      </w:r>
      <w:r w:rsidRPr="00890F72">
        <w:rPr>
          <w:lang w:eastAsia="cs-CZ"/>
        </w:rPr>
        <w:t xml:space="preserve"> </w:t>
      </w:r>
      <w:r w:rsidRPr="00415138">
        <w:rPr>
          <w:b/>
        </w:rPr>
        <w:t>neúplnost povinně uváděných údajů</w:t>
      </w:r>
      <w:r w:rsidR="00E80840" w:rsidRPr="00415138">
        <w:rPr>
          <w:b/>
        </w:rPr>
        <w:t>,</w:t>
      </w:r>
      <w:r w:rsidRPr="00415138">
        <w:rPr>
          <w:b/>
        </w:rPr>
        <w:t xml:space="preserve"> a to</w:t>
      </w:r>
      <w:r w:rsidR="007C0E64">
        <w:rPr>
          <w:b/>
        </w:rPr>
        <w:t xml:space="preserve"> v rozsahu</w:t>
      </w:r>
      <w:r w:rsidR="00DD321E" w:rsidRPr="00041308">
        <w:rPr>
          <w:b/>
        </w:rPr>
        <w:t>:</w:t>
      </w:r>
    </w:p>
    <w:p w14:paraId="54B57558" w14:textId="7C2AA813" w:rsidR="00DD321E" w:rsidRPr="00415138" w:rsidRDefault="00890F72" w:rsidP="00ED2F1E">
      <w:pPr>
        <w:pStyle w:val="Odstavecseseznamem"/>
        <w:numPr>
          <w:ilvl w:val="0"/>
          <w:numId w:val="5"/>
        </w:numPr>
        <w:spacing w:after="0"/>
        <w:ind w:left="284" w:hanging="284"/>
        <w:contextualSpacing w:val="0"/>
        <w:jc w:val="both"/>
        <w:rPr>
          <w:b/>
        </w:rPr>
      </w:pPr>
      <w:r w:rsidRPr="00415138">
        <w:rPr>
          <w:b/>
        </w:rPr>
        <w:t>ne</w:t>
      </w:r>
      <w:r w:rsidR="00DD321E" w:rsidRPr="00415138">
        <w:rPr>
          <w:b/>
        </w:rPr>
        <w:t>komentován</w:t>
      </w:r>
      <w:r w:rsidRPr="00415138">
        <w:rPr>
          <w:b/>
        </w:rPr>
        <w:t>í převodů</w:t>
      </w:r>
      <w:r w:rsidR="00DD321E" w:rsidRPr="00415138">
        <w:rPr>
          <w:b/>
        </w:rPr>
        <w:t xml:space="preserve"> z vla</w:t>
      </w:r>
      <w:r w:rsidRPr="00415138">
        <w:rPr>
          <w:b/>
        </w:rPr>
        <w:t>stních fondů do příjmů kapitoly</w:t>
      </w:r>
      <w:r w:rsidR="000A5F4A">
        <w:rPr>
          <w:b/>
        </w:rPr>
        <w:t xml:space="preserve"> (v celkové výši 783</w:t>
      </w:r>
      <w:r w:rsidR="008A03BD">
        <w:rPr>
          <w:b/>
        </w:rPr>
        <w:t> </w:t>
      </w:r>
      <w:r w:rsidR="000A5F4A">
        <w:rPr>
          <w:b/>
        </w:rPr>
        <w:t>tis.</w:t>
      </w:r>
      <w:r w:rsidR="008A03BD">
        <w:rPr>
          <w:b/>
        </w:rPr>
        <w:t> </w:t>
      </w:r>
      <w:r w:rsidR="000A5F4A">
        <w:rPr>
          <w:b/>
        </w:rPr>
        <w:t>Kč)</w:t>
      </w:r>
      <w:r w:rsidR="00124183">
        <w:rPr>
          <w:b/>
        </w:rPr>
        <w:t xml:space="preserve"> včetně uvedení jejich věcného účelu zapojení do rozpočtu příjmů a jejich využití</w:t>
      </w:r>
      <w:r w:rsidRPr="00415138">
        <w:rPr>
          <w:b/>
        </w:rPr>
        <w:t>,</w:t>
      </w:r>
      <w:r w:rsidR="00363867">
        <w:rPr>
          <w:b/>
        </w:rPr>
        <w:t xml:space="preserve"> </w:t>
      </w:r>
    </w:p>
    <w:p w14:paraId="50639A3E" w14:textId="0182367E" w:rsidR="00890F72" w:rsidRPr="0087383B" w:rsidRDefault="00890F72" w:rsidP="00ED2F1E">
      <w:pPr>
        <w:pStyle w:val="Odstavecseseznamem"/>
        <w:numPr>
          <w:ilvl w:val="0"/>
          <w:numId w:val="5"/>
        </w:numPr>
        <w:spacing w:after="0"/>
        <w:ind w:left="284" w:hanging="284"/>
        <w:contextualSpacing w:val="0"/>
        <w:jc w:val="both"/>
        <w:rPr>
          <w:b/>
        </w:rPr>
      </w:pPr>
      <w:r w:rsidRPr="00415138">
        <w:rPr>
          <w:b/>
        </w:rPr>
        <w:t>neuvedení přínosu realizovaných zahraničních pracovních cest</w:t>
      </w:r>
      <w:r w:rsidR="00363867">
        <w:rPr>
          <w:b/>
        </w:rPr>
        <w:t xml:space="preserve"> </w:t>
      </w:r>
      <w:r w:rsidR="00363867" w:rsidRPr="008A0176">
        <w:rPr>
          <w:b/>
        </w:rPr>
        <w:t>(</w:t>
      </w:r>
      <w:r w:rsidR="008A0176" w:rsidRPr="00DA13E2">
        <w:rPr>
          <w:b/>
        </w:rPr>
        <w:t>např.</w:t>
      </w:r>
      <w:r w:rsidR="008A0176">
        <w:rPr>
          <w:b/>
        </w:rPr>
        <w:t xml:space="preserve"> </w:t>
      </w:r>
      <w:r w:rsidR="008A0176" w:rsidRPr="00DA13E2">
        <w:rPr>
          <w:b/>
        </w:rPr>
        <w:t>MMR realizovalo 422 zahraničních cest</w:t>
      </w:r>
      <w:r w:rsidR="00363867" w:rsidRPr="008A0176">
        <w:rPr>
          <w:b/>
        </w:rPr>
        <w:t>)</w:t>
      </w:r>
      <w:r w:rsidR="00124183" w:rsidRPr="008A0176">
        <w:rPr>
          <w:b/>
        </w:rPr>
        <w:t xml:space="preserve"> pro činnost MMR, řízených OSS a PO</w:t>
      </w:r>
      <w:r w:rsidR="00363867" w:rsidRPr="008A0176">
        <w:rPr>
          <w:b/>
        </w:rPr>
        <w:t xml:space="preserve"> (v celkové výši</w:t>
      </w:r>
      <w:r w:rsidR="008A0176" w:rsidRPr="00766569">
        <w:rPr>
          <w:b/>
        </w:rPr>
        <w:t xml:space="preserve"> 15,3 mil. Kč</w:t>
      </w:r>
      <w:r w:rsidR="00363867" w:rsidRPr="00766569">
        <w:rPr>
          <w:b/>
        </w:rPr>
        <w:t>)</w:t>
      </w:r>
      <w:r w:rsidRPr="0087383B">
        <w:rPr>
          <w:b/>
        </w:rPr>
        <w:t>,</w:t>
      </w:r>
    </w:p>
    <w:p w14:paraId="182129B2" w14:textId="7EFABB39" w:rsidR="00890F72" w:rsidRPr="008A0176" w:rsidRDefault="00890F72" w:rsidP="00ED2F1E">
      <w:pPr>
        <w:pStyle w:val="Odstavecseseznamem"/>
        <w:numPr>
          <w:ilvl w:val="0"/>
          <w:numId w:val="5"/>
        </w:numPr>
        <w:spacing w:after="0"/>
        <w:ind w:left="284" w:hanging="284"/>
        <w:contextualSpacing w:val="0"/>
        <w:jc w:val="both"/>
        <w:rPr>
          <w:b/>
        </w:rPr>
      </w:pPr>
      <w:r w:rsidRPr="00DA13E2">
        <w:rPr>
          <w:b/>
        </w:rPr>
        <w:t>neuvedení přehledu a zdůvodnění zálohových plateb</w:t>
      </w:r>
      <w:r w:rsidR="00124183" w:rsidRPr="00DA13E2">
        <w:rPr>
          <w:b/>
        </w:rPr>
        <w:t xml:space="preserve"> MMR</w:t>
      </w:r>
      <w:r w:rsidR="003B0F9A" w:rsidRPr="00DA13E2">
        <w:rPr>
          <w:b/>
        </w:rPr>
        <w:t xml:space="preserve"> a</w:t>
      </w:r>
      <w:r w:rsidR="00124183" w:rsidRPr="00DA13E2">
        <w:rPr>
          <w:b/>
        </w:rPr>
        <w:t xml:space="preserve"> OSS</w:t>
      </w:r>
      <w:r w:rsidRPr="00DA13E2">
        <w:rPr>
          <w:b/>
        </w:rPr>
        <w:t>,</w:t>
      </w:r>
      <w:r w:rsidR="007C0E64" w:rsidRPr="00DA13E2">
        <w:rPr>
          <w:b/>
        </w:rPr>
        <w:t xml:space="preserve"> které mají k datu účetní závěrky konečný zůstatek</w:t>
      </w:r>
      <w:r w:rsidR="00363867" w:rsidRPr="00DA13E2">
        <w:rPr>
          <w:b/>
        </w:rPr>
        <w:t xml:space="preserve"> (v celkové výši</w:t>
      </w:r>
      <w:r w:rsidR="008A0176" w:rsidRPr="00DA13E2">
        <w:rPr>
          <w:b/>
        </w:rPr>
        <w:t xml:space="preserve"> 271 tis. Kč</w:t>
      </w:r>
      <w:r w:rsidR="00363867" w:rsidRPr="008A0176">
        <w:rPr>
          <w:b/>
        </w:rPr>
        <w:t>)</w:t>
      </w:r>
      <w:r w:rsidR="007C0E64" w:rsidRPr="008A0176">
        <w:rPr>
          <w:b/>
        </w:rPr>
        <w:t>,</w:t>
      </w:r>
    </w:p>
    <w:p w14:paraId="4B495E17" w14:textId="5B5C7E5C" w:rsidR="00890F72" w:rsidRPr="001A79A3" w:rsidRDefault="00890F72" w:rsidP="00ED2F1E">
      <w:pPr>
        <w:pStyle w:val="Odstavecseseznamem"/>
        <w:numPr>
          <w:ilvl w:val="0"/>
          <w:numId w:val="5"/>
        </w:numPr>
        <w:spacing w:after="0"/>
        <w:ind w:left="284" w:hanging="284"/>
        <w:jc w:val="both"/>
      </w:pPr>
      <w:r w:rsidRPr="00F46CDD">
        <w:rPr>
          <w:b/>
        </w:rPr>
        <w:t xml:space="preserve">neuvedení </w:t>
      </w:r>
      <w:r w:rsidR="007C0E64" w:rsidRPr="00F46CDD">
        <w:rPr>
          <w:b/>
        </w:rPr>
        <w:t>koncesních smluv, jejich celkové částky</w:t>
      </w:r>
      <w:r w:rsidR="003C3F82">
        <w:rPr>
          <w:b/>
        </w:rPr>
        <w:t>, komentování případných změn a </w:t>
      </w:r>
      <w:r w:rsidRPr="00F46CDD">
        <w:rPr>
          <w:b/>
        </w:rPr>
        <w:t>vyhodnocení výdajů kapitoly, které vyplývají z koncesních smluv</w:t>
      </w:r>
      <w:r w:rsidR="001118F1" w:rsidRPr="00F46CDD">
        <w:rPr>
          <w:b/>
        </w:rPr>
        <w:t xml:space="preserve">; </w:t>
      </w:r>
      <w:r w:rsidR="00036961">
        <w:rPr>
          <w:b/>
        </w:rPr>
        <w:t xml:space="preserve">NKÚ zjistil, že </w:t>
      </w:r>
      <w:r w:rsidR="001118F1" w:rsidRPr="00F46CDD">
        <w:rPr>
          <w:b/>
        </w:rPr>
        <w:t xml:space="preserve">byla </w:t>
      </w:r>
      <w:r w:rsidR="00036961">
        <w:rPr>
          <w:b/>
        </w:rPr>
        <w:t>uzavřena jedna</w:t>
      </w:r>
      <w:r w:rsidR="001118F1" w:rsidRPr="00F46CDD">
        <w:rPr>
          <w:b/>
        </w:rPr>
        <w:t xml:space="preserve"> koncesní smlouva, na</w:t>
      </w:r>
      <w:r w:rsidR="002A1679">
        <w:rPr>
          <w:b/>
        </w:rPr>
        <w:t xml:space="preserve"> jejímž</w:t>
      </w:r>
      <w:r w:rsidR="001118F1" w:rsidRPr="00F46CDD">
        <w:rPr>
          <w:b/>
        </w:rPr>
        <w:t xml:space="preserve"> </w:t>
      </w:r>
      <w:r w:rsidR="00036961">
        <w:rPr>
          <w:b/>
        </w:rPr>
        <w:t>základě</w:t>
      </w:r>
      <w:r w:rsidR="001118F1" w:rsidRPr="00F46CDD">
        <w:rPr>
          <w:b/>
        </w:rPr>
        <w:t xml:space="preserve"> byly v </w:t>
      </w:r>
      <w:r w:rsidR="003C3F82">
        <w:rPr>
          <w:b/>
        </w:rPr>
        <w:t xml:space="preserve">roce 2018 </w:t>
      </w:r>
      <w:r w:rsidR="00036961">
        <w:rPr>
          <w:b/>
        </w:rPr>
        <w:t xml:space="preserve">hrazeny </w:t>
      </w:r>
      <w:r w:rsidR="003C3F82">
        <w:rPr>
          <w:b/>
        </w:rPr>
        <w:t>výdaje ve</w:t>
      </w:r>
      <w:r w:rsidR="002A1679">
        <w:rPr>
          <w:b/>
        </w:rPr>
        <w:t xml:space="preserve"> </w:t>
      </w:r>
      <w:r w:rsidR="001118F1" w:rsidRPr="00F46CDD">
        <w:rPr>
          <w:b/>
        </w:rPr>
        <w:t>výši 21,8 tis. Kč.</w:t>
      </w:r>
    </w:p>
    <w:p w14:paraId="58AB7CAF" w14:textId="77777777" w:rsidR="00890F72" w:rsidRPr="00DA13E2" w:rsidRDefault="00890F72" w:rsidP="00890F72">
      <w:pPr>
        <w:spacing w:after="0"/>
        <w:jc w:val="both"/>
        <w:rPr>
          <w:b/>
        </w:rPr>
      </w:pPr>
    </w:p>
    <w:p w14:paraId="45DB27BB" w14:textId="77777777" w:rsidR="003C1FEE" w:rsidRPr="00890F72" w:rsidRDefault="00A640AE" w:rsidP="002C4053">
      <w:pPr>
        <w:spacing w:after="0"/>
        <w:jc w:val="both"/>
      </w:pPr>
      <w:r w:rsidRPr="00415138">
        <w:rPr>
          <w:b/>
        </w:rPr>
        <w:t>Dále</w:t>
      </w:r>
      <w:r w:rsidR="007E22DF" w:rsidRPr="002C4053">
        <w:t xml:space="preserve"> </w:t>
      </w:r>
      <w:r w:rsidRPr="002C4053">
        <w:t>byl</w:t>
      </w:r>
      <w:r w:rsidR="00890F72" w:rsidRPr="002C4053">
        <w:t xml:space="preserve">o zjištěno, že </w:t>
      </w:r>
      <w:r w:rsidRPr="00415138">
        <w:rPr>
          <w:b/>
          <w:lang w:eastAsia="cs-CZ"/>
        </w:rPr>
        <w:t>v některých případech</w:t>
      </w:r>
      <w:r w:rsidR="007E22DF" w:rsidRPr="00415138">
        <w:rPr>
          <w:b/>
          <w:lang w:eastAsia="cs-CZ"/>
        </w:rPr>
        <w:t xml:space="preserve"> zveřejněné údaje</w:t>
      </w:r>
      <w:r w:rsidRPr="00415138">
        <w:rPr>
          <w:b/>
          <w:lang w:eastAsia="cs-CZ"/>
        </w:rPr>
        <w:t xml:space="preserve"> neodpovídaly údajům</w:t>
      </w:r>
      <w:r w:rsidRPr="002C4053">
        <w:rPr>
          <w:lang w:eastAsia="cs-CZ"/>
        </w:rPr>
        <w:t xml:space="preserve"> prezentovaným </w:t>
      </w:r>
      <w:r w:rsidR="002C4053" w:rsidRPr="00415138">
        <w:rPr>
          <w:b/>
          <w:lang w:eastAsia="cs-CZ"/>
        </w:rPr>
        <w:t xml:space="preserve">v ÚZ a </w:t>
      </w:r>
      <w:r w:rsidRPr="00415138">
        <w:rPr>
          <w:b/>
          <w:lang w:eastAsia="cs-CZ"/>
        </w:rPr>
        <w:t>ve finančních výkazech</w:t>
      </w:r>
      <w:r w:rsidR="00CD609F" w:rsidRPr="00041308">
        <w:rPr>
          <w:b/>
          <w:lang w:eastAsia="cs-CZ"/>
        </w:rPr>
        <w:t>;</w:t>
      </w:r>
      <w:r w:rsidR="007E22DF" w:rsidRPr="002C4053">
        <w:rPr>
          <w:lang w:eastAsia="cs-CZ"/>
        </w:rPr>
        <w:t xml:space="preserve"> </w:t>
      </w:r>
      <w:r w:rsidR="007E22DF" w:rsidRPr="00415138">
        <w:rPr>
          <w:b/>
          <w:lang w:eastAsia="cs-CZ"/>
        </w:rPr>
        <w:t>byl</w:t>
      </w:r>
      <w:r w:rsidR="00E01895" w:rsidRPr="00415138">
        <w:rPr>
          <w:b/>
          <w:lang w:eastAsia="cs-CZ"/>
        </w:rPr>
        <w:t>y</w:t>
      </w:r>
      <w:r w:rsidR="007E22DF" w:rsidRPr="00415138">
        <w:rPr>
          <w:b/>
          <w:lang w:eastAsia="cs-CZ"/>
        </w:rPr>
        <w:t xml:space="preserve"> zjištěn</w:t>
      </w:r>
      <w:r w:rsidR="00E01895" w:rsidRPr="00415138">
        <w:rPr>
          <w:b/>
          <w:lang w:eastAsia="cs-CZ"/>
        </w:rPr>
        <w:t>y</w:t>
      </w:r>
      <w:r w:rsidR="007E22DF" w:rsidRPr="00415138">
        <w:rPr>
          <w:b/>
          <w:lang w:eastAsia="cs-CZ"/>
        </w:rPr>
        <w:t xml:space="preserve"> </w:t>
      </w:r>
      <w:r w:rsidR="00E01895" w:rsidRPr="00415138">
        <w:rPr>
          <w:b/>
          <w:lang w:eastAsia="cs-CZ"/>
        </w:rPr>
        <w:t xml:space="preserve">i </w:t>
      </w:r>
      <w:r w:rsidRPr="00415138">
        <w:rPr>
          <w:b/>
          <w:lang w:eastAsia="cs-CZ"/>
        </w:rPr>
        <w:t>nesprávnost</w:t>
      </w:r>
      <w:r w:rsidR="00E01895" w:rsidRPr="00415138">
        <w:rPr>
          <w:b/>
          <w:lang w:eastAsia="cs-CZ"/>
        </w:rPr>
        <w:t>i</w:t>
      </w:r>
      <w:r w:rsidRPr="00415138">
        <w:rPr>
          <w:b/>
          <w:lang w:eastAsia="cs-CZ"/>
        </w:rPr>
        <w:t xml:space="preserve"> </w:t>
      </w:r>
      <w:r w:rsidR="007E22DF" w:rsidRPr="00415138">
        <w:rPr>
          <w:b/>
          <w:lang w:eastAsia="cs-CZ"/>
        </w:rPr>
        <w:t>zveřejněných</w:t>
      </w:r>
      <w:r w:rsidRPr="00415138">
        <w:rPr>
          <w:b/>
          <w:lang w:eastAsia="cs-CZ"/>
        </w:rPr>
        <w:t xml:space="preserve"> číselných a věcných údajů v důsledku např. chybného výpočtu, zápisu nebo přenosu z podkladů věcných odborů a podřízených organizací</w:t>
      </w:r>
      <w:r w:rsidR="00E83899" w:rsidRPr="00041308">
        <w:rPr>
          <w:b/>
          <w:lang w:eastAsia="cs-CZ"/>
        </w:rPr>
        <w:t>.</w:t>
      </w:r>
      <w:r w:rsidR="002C4053">
        <w:rPr>
          <w:lang w:eastAsia="cs-CZ"/>
        </w:rPr>
        <w:t xml:space="preserve"> S</w:t>
      </w:r>
      <w:r w:rsidR="002C4053" w:rsidRPr="002C4053">
        <w:rPr>
          <w:lang w:eastAsia="cs-CZ"/>
        </w:rPr>
        <w:t xml:space="preserve">vým </w:t>
      </w:r>
      <w:r w:rsidR="002C4053" w:rsidRPr="00415138">
        <w:rPr>
          <w:b/>
          <w:lang w:eastAsia="cs-CZ"/>
        </w:rPr>
        <w:t>rozsahem a charakterem odpovídaly</w:t>
      </w:r>
      <w:r w:rsidR="002C4053">
        <w:rPr>
          <w:lang w:eastAsia="cs-CZ"/>
        </w:rPr>
        <w:t xml:space="preserve"> tyto nesprávnosti </w:t>
      </w:r>
      <w:r w:rsidR="002C4053" w:rsidRPr="00415138">
        <w:rPr>
          <w:b/>
          <w:lang w:eastAsia="cs-CZ"/>
        </w:rPr>
        <w:t>nesprávnostem zjištěným v KA č. 17/08</w:t>
      </w:r>
      <w:r w:rsidR="002C4053" w:rsidRPr="00041308">
        <w:rPr>
          <w:b/>
          <w:lang w:eastAsia="cs-CZ"/>
        </w:rPr>
        <w:t>.</w:t>
      </w:r>
      <w:r w:rsidR="002C4053" w:rsidRPr="002C4053">
        <w:rPr>
          <w:lang w:eastAsia="cs-CZ"/>
        </w:rPr>
        <w:t xml:space="preserve"> V některých případech se jednalo o významnější </w:t>
      </w:r>
      <w:r w:rsidR="002C4053" w:rsidRPr="00415138">
        <w:rPr>
          <w:b/>
          <w:lang w:eastAsia="cs-CZ"/>
        </w:rPr>
        <w:t>nesprávnosti spočívající například v záměně příjmů s výdaji, uvedení nesprávných zůstatků na bankovních účtech MMR, nesprávném vyčíslení nákladovosti a efektivnosti na jednoho zaměstnance. V souhrnu však neměly tyto nesprávnosti dopad na celkovou vypovídací schopnost závěrečného účtu.</w:t>
      </w:r>
    </w:p>
    <w:p w14:paraId="039008D4" w14:textId="77777777" w:rsidR="003C1FEE" w:rsidRPr="002F62E6" w:rsidRDefault="003C1FEE" w:rsidP="002C4053">
      <w:pPr>
        <w:spacing w:after="0"/>
        <w:jc w:val="both"/>
        <w:rPr>
          <w:b/>
          <w:highlight w:val="red"/>
        </w:rPr>
      </w:pPr>
    </w:p>
    <w:p w14:paraId="43D9FC32" w14:textId="40130A42" w:rsidR="005A66F4" w:rsidRDefault="00DA609B" w:rsidP="00DA13E2">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5</w:t>
      </w:r>
      <w:r w:rsidR="00624F83">
        <w:rPr>
          <w:rFonts w:ascii="Calibri" w:hAnsi="Calibri" w:cs="Calibri"/>
          <w:lang w:eastAsia="cs-CZ"/>
        </w:rPr>
        <w:t xml:space="preserve">. </w:t>
      </w:r>
      <w:r w:rsidR="00815346">
        <w:rPr>
          <w:rFonts w:ascii="Calibri" w:hAnsi="Calibri" w:cs="Calibri"/>
          <w:lang w:eastAsia="cs-CZ"/>
        </w:rPr>
        <w:t>Nedodržení základních povinností při hospodaření s majetkem státu</w:t>
      </w:r>
    </w:p>
    <w:p w14:paraId="2FD08ABE" w14:textId="7D6E994A" w:rsidR="001118F1" w:rsidRDefault="00DA609B" w:rsidP="00DA13E2">
      <w:pPr>
        <w:pStyle w:val="Nadpis2"/>
        <w:keepNext/>
        <w:numPr>
          <w:ilvl w:val="0"/>
          <w:numId w:val="0"/>
        </w:numPr>
        <w:spacing w:after="120" w:line="240" w:lineRule="auto"/>
        <w:contextualSpacing w:val="0"/>
      </w:pPr>
      <w:r>
        <w:t>5</w:t>
      </w:r>
      <w:r w:rsidR="00E674DF" w:rsidRPr="005A66F4">
        <w:t>.1</w:t>
      </w:r>
      <w:r w:rsidR="001A79A3">
        <w:t xml:space="preserve"> Pronájem </w:t>
      </w:r>
      <w:r w:rsidR="00624F83" w:rsidRPr="00624F83">
        <w:t xml:space="preserve">majetku  </w:t>
      </w:r>
    </w:p>
    <w:p w14:paraId="6E677190" w14:textId="4DAAD355" w:rsidR="00AC3932" w:rsidRPr="001118F1" w:rsidRDefault="00CC583A" w:rsidP="00DA13E2">
      <w:pPr>
        <w:pStyle w:val="Nadpis2"/>
        <w:keepNext/>
        <w:numPr>
          <w:ilvl w:val="0"/>
          <w:numId w:val="0"/>
        </w:numPr>
        <w:spacing w:after="120" w:line="240" w:lineRule="auto"/>
        <w:contextualSpacing w:val="0"/>
        <w:rPr>
          <w:rFonts w:cs="Calibri"/>
          <w:b w:val="0"/>
        </w:rPr>
      </w:pPr>
      <w:r w:rsidRPr="008A2FF6">
        <w:rPr>
          <w:b w:val="0"/>
        </w:rPr>
        <w:t xml:space="preserve">MMR </w:t>
      </w:r>
      <w:r w:rsidR="00036961">
        <w:rPr>
          <w:b w:val="0"/>
        </w:rPr>
        <w:t>je příslušné hospodařit s nebytovým prostorem na Staroměstském náměstí v Praze</w:t>
      </w:r>
      <w:r w:rsidR="00AC3932" w:rsidRPr="001118F1">
        <w:rPr>
          <w:b w:val="0"/>
        </w:rPr>
        <w:t>.</w:t>
      </w:r>
      <w:r w:rsidR="00AD4ADD" w:rsidRPr="001118F1">
        <w:rPr>
          <w:b w:val="0"/>
        </w:rPr>
        <w:t xml:space="preserve"> </w:t>
      </w:r>
      <w:r w:rsidR="00036961">
        <w:rPr>
          <w:b w:val="0"/>
        </w:rPr>
        <w:t xml:space="preserve">V roce 2013 vyhlásilo veřejnou obchodní soutěž, do které </w:t>
      </w:r>
      <w:r w:rsidR="00AD4ADD" w:rsidRPr="001118F1">
        <w:rPr>
          <w:b w:val="0"/>
        </w:rPr>
        <w:t>se přihlásili dva navrhovatelé, z nichž jednoho MMR vyloučilo a s druhým uzavřelo v únoru 2014 nájemní smlouvu</w:t>
      </w:r>
      <w:r w:rsidR="004931F3" w:rsidRPr="001118F1">
        <w:rPr>
          <w:b w:val="0"/>
        </w:rPr>
        <w:t xml:space="preserve"> (dále jen „Smlouva“)</w:t>
      </w:r>
      <w:r w:rsidR="00036961">
        <w:rPr>
          <w:b w:val="0"/>
        </w:rPr>
        <w:t xml:space="preserve"> na dobu určitou v trvání 8 let</w:t>
      </w:r>
      <w:r w:rsidR="00AD4ADD" w:rsidRPr="001118F1">
        <w:rPr>
          <w:b w:val="0"/>
        </w:rPr>
        <w:t xml:space="preserve">. Účelem pronájmu je provozování restauračního zařízení, pronajatá plocha </w:t>
      </w:r>
      <w:r w:rsidR="008A2FF6">
        <w:rPr>
          <w:b w:val="0"/>
        </w:rPr>
        <w:t>činila</w:t>
      </w:r>
      <w:r w:rsidRPr="001118F1">
        <w:rPr>
          <w:b w:val="0"/>
        </w:rPr>
        <w:t xml:space="preserve"> </w:t>
      </w:r>
      <w:r w:rsidR="00AD4ADD" w:rsidRPr="001118F1">
        <w:rPr>
          <w:rFonts w:cs="Calibri"/>
          <w:b w:val="0"/>
        </w:rPr>
        <w:t>674 m</w:t>
      </w:r>
      <w:r w:rsidR="00AD4ADD" w:rsidRPr="001118F1">
        <w:rPr>
          <w:rFonts w:cs="Calibri"/>
          <w:b w:val="0"/>
          <w:vertAlign w:val="superscript"/>
        </w:rPr>
        <w:t>2</w:t>
      </w:r>
      <w:r w:rsidR="00AD4ADD" w:rsidRPr="001118F1">
        <w:rPr>
          <w:rFonts w:cs="Calibri"/>
          <w:b w:val="0"/>
        </w:rPr>
        <w:t xml:space="preserve">. </w:t>
      </w:r>
    </w:p>
    <w:p w14:paraId="741F445A" w14:textId="589A1746" w:rsidR="00624F83" w:rsidRDefault="00DA609B" w:rsidP="00DA13E2">
      <w:pPr>
        <w:spacing w:after="160" w:line="259" w:lineRule="auto"/>
        <w:rPr>
          <w:rFonts w:cs="Calibri"/>
          <w:b/>
        </w:rPr>
      </w:pPr>
      <w:r>
        <w:rPr>
          <w:rFonts w:cs="Calibri"/>
          <w:b/>
        </w:rPr>
        <w:t>5</w:t>
      </w:r>
      <w:r w:rsidR="00AC3932" w:rsidRPr="00DA13E2">
        <w:rPr>
          <w:rFonts w:cs="Calibri"/>
          <w:b/>
        </w:rPr>
        <w:t xml:space="preserve">.1.1 Technické zhodnocení majetku </w:t>
      </w:r>
    </w:p>
    <w:p w14:paraId="6E8E22BC" w14:textId="17D9B5F1" w:rsidR="00AC3932" w:rsidRDefault="00AD4ADD" w:rsidP="00BF0C6B">
      <w:pPr>
        <w:spacing w:after="0"/>
        <w:jc w:val="both"/>
        <w:rPr>
          <w:rFonts w:cs="Calibri"/>
          <w:bCs/>
        </w:rPr>
      </w:pPr>
      <w:r w:rsidRPr="00F70EAC">
        <w:rPr>
          <w:rFonts w:cs="Calibri"/>
        </w:rPr>
        <w:lastRenderedPageBreak/>
        <w:t xml:space="preserve">Nájemce se ve </w:t>
      </w:r>
      <w:r w:rsidR="004931F3">
        <w:rPr>
          <w:rFonts w:cs="Calibri"/>
        </w:rPr>
        <w:t>S</w:t>
      </w:r>
      <w:r w:rsidRPr="00F70EAC">
        <w:rPr>
          <w:rFonts w:cs="Calibri"/>
        </w:rPr>
        <w:t>mlouvě zavázal provést rekonstrukci předmětu pronájmu ve výši 14,8 mil. Kč bez DPH</w:t>
      </w:r>
      <w:r w:rsidRPr="00F70EAC">
        <w:rPr>
          <w:rStyle w:val="Znakapoznpodarou"/>
          <w:rFonts w:cs="Calibri"/>
        </w:rPr>
        <w:footnoteReference w:id="36"/>
      </w:r>
      <w:r w:rsidRPr="00F70EAC">
        <w:rPr>
          <w:rFonts w:cs="Calibri"/>
        </w:rPr>
        <w:t>.</w:t>
      </w:r>
      <w:r w:rsidR="00AC3932">
        <w:rPr>
          <w:rFonts w:cs="Calibri"/>
        </w:rPr>
        <w:t xml:space="preserve"> </w:t>
      </w:r>
      <w:r w:rsidR="00BF0C6B" w:rsidRPr="00DA13E2">
        <w:rPr>
          <w:rFonts w:cs="Calibri"/>
          <w:b/>
        </w:rPr>
        <w:t>MMR se ve Smlouvě zavázalo zaplatit nájemci v případě předčasného ukončení Smlouvy ze své</w:t>
      </w:r>
      <w:r w:rsidR="004A52DD">
        <w:rPr>
          <w:rFonts w:cs="Calibri"/>
          <w:b/>
        </w:rPr>
        <w:t xml:space="preserve"> </w:t>
      </w:r>
      <w:r w:rsidR="00BF0C6B" w:rsidRPr="00DA13E2">
        <w:rPr>
          <w:rFonts w:cs="Calibri"/>
          <w:b/>
        </w:rPr>
        <w:t>strany poměrnou část investice.</w:t>
      </w:r>
      <w:r w:rsidR="005A66F4">
        <w:rPr>
          <w:rFonts w:cs="Calibri"/>
        </w:rPr>
        <w:t xml:space="preserve"> V</w:t>
      </w:r>
      <w:r w:rsidR="00D367E6">
        <w:rPr>
          <w:rFonts w:cs="Calibri"/>
        </w:rPr>
        <w:t xml:space="preserve"> této souvislosti </w:t>
      </w:r>
      <w:r w:rsidR="00BF0C6B">
        <w:rPr>
          <w:rFonts w:cs="Calibri"/>
        </w:rPr>
        <w:t>NKÚ</w:t>
      </w:r>
      <w:r w:rsidR="00BF0C6B" w:rsidRPr="00436F99">
        <w:rPr>
          <w:rFonts w:cs="Calibri"/>
        </w:rPr>
        <w:t xml:space="preserve"> upozorňuj</w:t>
      </w:r>
      <w:r w:rsidR="003C3F82">
        <w:rPr>
          <w:rFonts w:cs="Calibri"/>
        </w:rPr>
        <w:t>e na</w:t>
      </w:r>
      <w:r w:rsidR="004A52DD">
        <w:rPr>
          <w:rFonts w:cs="Calibri"/>
        </w:rPr>
        <w:t xml:space="preserve"> </w:t>
      </w:r>
      <w:r w:rsidR="00BF0C6B" w:rsidRPr="00436F99">
        <w:rPr>
          <w:rFonts w:cs="Calibri"/>
        </w:rPr>
        <w:t xml:space="preserve">skutečnost, </w:t>
      </w:r>
      <w:r w:rsidR="00BF0C6B" w:rsidRPr="00436F99">
        <w:rPr>
          <w:rFonts w:cs="Calibri"/>
          <w:bCs/>
        </w:rPr>
        <w:t xml:space="preserve">že část investice týkající se </w:t>
      </w:r>
      <w:r w:rsidR="00BF0C6B">
        <w:rPr>
          <w:rFonts w:cs="Calibri"/>
          <w:bCs/>
        </w:rPr>
        <w:t xml:space="preserve">například </w:t>
      </w:r>
      <w:r w:rsidR="00BF0C6B" w:rsidRPr="00436F99">
        <w:rPr>
          <w:rFonts w:cs="Calibri"/>
          <w:bCs/>
        </w:rPr>
        <w:t xml:space="preserve">vybavení restaurace nemůže být výdajem </w:t>
      </w:r>
      <w:r w:rsidR="00036961">
        <w:rPr>
          <w:rFonts w:cs="Calibri"/>
          <w:bCs/>
        </w:rPr>
        <w:t xml:space="preserve">MMR s ohledem </w:t>
      </w:r>
      <w:r w:rsidR="00BF0DAB">
        <w:rPr>
          <w:rFonts w:cs="Calibri"/>
          <w:bCs/>
        </w:rPr>
        <w:t>na ustanovení § 45 odst. 1 rozpočtových pravidel</w:t>
      </w:r>
      <w:r w:rsidR="00BF0DAB">
        <w:rPr>
          <w:rStyle w:val="Znakapoznpodarou"/>
          <w:rFonts w:cs="Calibri"/>
          <w:bCs/>
        </w:rPr>
        <w:footnoteReference w:id="37"/>
      </w:r>
      <w:r w:rsidR="00BF0C6B" w:rsidRPr="00436F99">
        <w:rPr>
          <w:rFonts w:cs="Calibri"/>
          <w:bCs/>
        </w:rPr>
        <w:t xml:space="preserve">, neboť </w:t>
      </w:r>
      <w:r w:rsidR="005F4DAE">
        <w:rPr>
          <w:rFonts w:cs="Calibri"/>
          <w:bCs/>
        </w:rPr>
        <w:t>se nejedná o </w:t>
      </w:r>
      <w:r w:rsidR="00BF0C6B" w:rsidRPr="00436F99">
        <w:rPr>
          <w:rFonts w:cs="Calibri"/>
          <w:bCs/>
        </w:rPr>
        <w:t>výdaje související s činnostmi, které jsou MMR jako organizační složce státu vymezeny zákonem</w:t>
      </w:r>
      <w:r w:rsidR="00BF0DAB">
        <w:rPr>
          <w:rFonts w:cs="Calibri"/>
          <w:bCs/>
        </w:rPr>
        <w:t>.</w:t>
      </w:r>
      <w:r w:rsidR="00BF0C6B" w:rsidRPr="00436F99">
        <w:rPr>
          <w:rFonts w:cs="Calibri"/>
          <w:bCs/>
        </w:rPr>
        <w:t xml:space="preserve"> Ministerstvu pro místní rozvoj žádný zákon neukládá a ani neumožňuje provozovat restaurační činnost. </w:t>
      </w:r>
    </w:p>
    <w:p w14:paraId="5DD771D1" w14:textId="77777777" w:rsidR="00AC3932" w:rsidRDefault="00AC3932" w:rsidP="008A03BD">
      <w:pPr>
        <w:spacing w:after="0"/>
        <w:jc w:val="both"/>
        <w:rPr>
          <w:rFonts w:cs="Calibri"/>
          <w:bCs/>
        </w:rPr>
      </w:pPr>
    </w:p>
    <w:p w14:paraId="2D3651F1" w14:textId="4316B2B3" w:rsidR="00BF0C6B" w:rsidRPr="00AE5596" w:rsidRDefault="00BF0C6B" w:rsidP="008A03BD">
      <w:pPr>
        <w:spacing w:after="0"/>
        <w:jc w:val="both"/>
        <w:rPr>
          <w:rFonts w:cs="Calibri"/>
          <w:bCs/>
        </w:rPr>
      </w:pPr>
      <w:r w:rsidRPr="00436F99">
        <w:rPr>
          <w:rFonts w:cs="Calibri"/>
          <w:b/>
          <w:bCs/>
        </w:rPr>
        <w:t>V případě předčasného ukončení Smlouvy ze strany MMR a s tím související</w:t>
      </w:r>
      <w:r w:rsidR="004A52DD">
        <w:rPr>
          <w:rFonts w:cs="Calibri"/>
          <w:b/>
          <w:bCs/>
        </w:rPr>
        <w:t>ch</w:t>
      </w:r>
      <w:r w:rsidRPr="00436F99">
        <w:rPr>
          <w:rFonts w:cs="Calibri"/>
          <w:b/>
          <w:bCs/>
        </w:rPr>
        <w:t xml:space="preserve"> povinnost</w:t>
      </w:r>
      <w:r w:rsidR="00AC3932">
        <w:rPr>
          <w:rFonts w:cs="Calibri"/>
          <w:b/>
          <w:bCs/>
        </w:rPr>
        <w:t>í</w:t>
      </w:r>
      <w:r w:rsidRPr="00436F99">
        <w:rPr>
          <w:rFonts w:cs="Calibri"/>
          <w:b/>
          <w:bCs/>
        </w:rPr>
        <w:t xml:space="preserve"> MMR zaplatit poměrnou část investice </w:t>
      </w:r>
      <w:r>
        <w:rPr>
          <w:rFonts w:cs="Calibri"/>
          <w:b/>
          <w:bCs/>
        </w:rPr>
        <w:t>hrozí</w:t>
      </w:r>
      <w:r w:rsidRPr="00436F99">
        <w:rPr>
          <w:rFonts w:cs="Calibri"/>
          <w:b/>
          <w:bCs/>
        </w:rPr>
        <w:t xml:space="preserve"> riziko vyna</w:t>
      </w:r>
      <w:r w:rsidR="00AC3932">
        <w:rPr>
          <w:rFonts w:cs="Calibri"/>
          <w:b/>
          <w:bCs/>
        </w:rPr>
        <w:t>ložení</w:t>
      </w:r>
      <w:r w:rsidRPr="00436F99">
        <w:rPr>
          <w:rFonts w:cs="Calibri"/>
          <w:b/>
          <w:bCs/>
        </w:rPr>
        <w:t xml:space="preserve"> neoprávněných výdajů.</w:t>
      </w:r>
    </w:p>
    <w:p w14:paraId="17F25D6D" w14:textId="77777777" w:rsidR="00BF0C6B" w:rsidRDefault="00BF0C6B" w:rsidP="008A03BD">
      <w:pPr>
        <w:spacing w:after="0"/>
        <w:rPr>
          <w:b/>
        </w:rPr>
      </w:pPr>
    </w:p>
    <w:p w14:paraId="47F6CE07" w14:textId="63AACFB9" w:rsidR="00AC3932" w:rsidRDefault="00DA609B" w:rsidP="001A79A3">
      <w:pPr>
        <w:jc w:val="both"/>
        <w:rPr>
          <w:rFonts w:cs="Calibri"/>
          <w:b/>
        </w:rPr>
      </w:pPr>
      <w:r>
        <w:rPr>
          <w:rFonts w:cs="Calibri"/>
          <w:b/>
        </w:rPr>
        <w:t>5</w:t>
      </w:r>
      <w:r w:rsidR="00AC3932">
        <w:rPr>
          <w:rFonts w:cs="Calibri"/>
          <w:b/>
        </w:rPr>
        <w:t>.1.2 Smluvní sankce za neplnění podmínek</w:t>
      </w:r>
    </w:p>
    <w:p w14:paraId="680A2EB2" w14:textId="03D56DE2" w:rsidR="00AD4ADD" w:rsidRDefault="00AD4ADD" w:rsidP="00AD4ADD">
      <w:pPr>
        <w:spacing w:after="0"/>
        <w:jc w:val="both"/>
        <w:rPr>
          <w:rFonts w:cs="Calibri"/>
        </w:rPr>
      </w:pPr>
      <w:r w:rsidRPr="00DA13E2">
        <w:rPr>
          <w:rFonts w:cs="Calibri"/>
          <w:b/>
        </w:rPr>
        <w:t xml:space="preserve">MMR si ve </w:t>
      </w:r>
      <w:r w:rsidR="004931F3" w:rsidRPr="00DA13E2">
        <w:rPr>
          <w:rFonts w:cs="Calibri"/>
          <w:b/>
        </w:rPr>
        <w:t>S</w:t>
      </w:r>
      <w:r w:rsidRPr="00DA13E2">
        <w:rPr>
          <w:rFonts w:cs="Calibri"/>
          <w:b/>
        </w:rPr>
        <w:t>mlouvě stanovilo mj. následující podmínky</w:t>
      </w:r>
      <w:r w:rsidR="00D74D66" w:rsidRPr="00DA13E2">
        <w:rPr>
          <w:rFonts w:cs="Calibri"/>
          <w:b/>
        </w:rPr>
        <w:t xml:space="preserve">, a </w:t>
      </w:r>
      <w:r w:rsidR="003C3F82">
        <w:rPr>
          <w:rFonts w:cs="Calibri"/>
          <w:b/>
        </w:rPr>
        <w:t>to včetně případných sankcí při</w:t>
      </w:r>
      <w:r w:rsidR="008A03BD">
        <w:rPr>
          <w:rFonts w:cs="Calibri"/>
          <w:b/>
        </w:rPr>
        <w:t xml:space="preserve"> </w:t>
      </w:r>
      <w:r w:rsidR="00D74D66" w:rsidRPr="00DA13E2">
        <w:rPr>
          <w:rFonts w:cs="Calibri"/>
          <w:b/>
        </w:rPr>
        <w:t>jejich nedodržení</w:t>
      </w:r>
      <w:r w:rsidRPr="00041308">
        <w:rPr>
          <w:rFonts w:cs="Calibri"/>
          <w:b/>
        </w:rPr>
        <w:t>:</w:t>
      </w:r>
    </w:p>
    <w:p w14:paraId="5D4E0748" w14:textId="3B7BA85E" w:rsidR="00AD4ADD" w:rsidRPr="00F70EAC" w:rsidRDefault="00AD4ADD" w:rsidP="008A03BD">
      <w:pPr>
        <w:pStyle w:val="Odstavecseseznamem"/>
        <w:numPr>
          <w:ilvl w:val="0"/>
          <w:numId w:val="8"/>
        </w:numPr>
        <w:spacing w:after="0"/>
        <w:ind w:left="284" w:hanging="284"/>
        <w:jc w:val="both"/>
        <w:rPr>
          <w:rFonts w:cs="Calibri"/>
        </w:rPr>
      </w:pPr>
      <w:r w:rsidRPr="00F70EAC">
        <w:rPr>
          <w:rFonts w:cs="Calibri"/>
        </w:rPr>
        <w:t>možnost rezervace části pronajímaných prostor</w:t>
      </w:r>
      <w:r w:rsidR="006D1C09">
        <w:rPr>
          <w:rFonts w:cs="Calibri"/>
        </w:rPr>
        <w:t>,</w:t>
      </w:r>
      <w:r w:rsidRPr="00F70EAC">
        <w:rPr>
          <w:rFonts w:cs="Calibri"/>
        </w:rPr>
        <w:t xml:space="preserve"> </w:t>
      </w:r>
    </w:p>
    <w:p w14:paraId="157A47A6" w14:textId="3D834B7D" w:rsidR="00AD4ADD" w:rsidRPr="00F70EAC" w:rsidRDefault="00AD4ADD" w:rsidP="008A03BD">
      <w:pPr>
        <w:pStyle w:val="Odstavecseseznamem"/>
        <w:numPr>
          <w:ilvl w:val="0"/>
          <w:numId w:val="8"/>
        </w:numPr>
        <w:spacing w:after="0"/>
        <w:ind w:left="284" w:hanging="284"/>
        <w:jc w:val="both"/>
        <w:rPr>
          <w:rFonts w:cs="Calibri"/>
        </w:rPr>
      </w:pPr>
      <w:r w:rsidRPr="00F70EAC">
        <w:rPr>
          <w:rFonts w:cs="Calibri"/>
        </w:rPr>
        <w:t>zajistit minimální 80% podíl české kuchyně</w:t>
      </w:r>
      <w:r w:rsidR="004A52DD">
        <w:rPr>
          <w:rFonts w:cs="Calibri"/>
        </w:rPr>
        <w:t>,</w:t>
      </w:r>
    </w:p>
    <w:p w14:paraId="0F1B73C3" w14:textId="5D892D0B" w:rsidR="00AD4ADD" w:rsidRPr="00F70EAC" w:rsidRDefault="00AD4ADD" w:rsidP="008A03BD">
      <w:pPr>
        <w:pStyle w:val="Odstavecseseznamem"/>
        <w:numPr>
          <w:ilvl w:val="0"/>
          <w:numId w:val="8"/>
        </w:numPr>
        <w:spacing w:after="0"/>
        <w:ind w:left="284" w:hanging="284"/>
        <w:jc w:val="both"/>
        <w:rPr>
          <w:rFonts w:cs="Calibri"/>
        </w:rPr>
      </w:pPr>
      <w:r w:rsidRPr="00F70EAC">
        <w:rPr>
          <w:rFonts w:cs="Calibri"/>
        </w:rPr>
        <w:t xml:space="preserve">nabízet každý pracovní den dvě denní menu </w:t>
      </w:r>
      <w:r w:rsidR="003C3F82">
        <w:rPr>
          <w:rFonts w:cs="Calibri"/>
        </w:rPr>
        <w:t>za cenu do 100 Kč za </w:t>
      </w:r>
      <w:r w:rsidRPr="00F70EAC">
        <w:rPr>
          <w:rFonts w:cs="Calibri"/>
        </w:rPr>
        <w:t>jedno menu.</w:t>
      </w:r>
    </w:p>
    <w:p w14:paraId="2B34CC1E" w14:textId="77777777" w:rsidR="004931F3" w:rsidRDefault="004931F3" w:rsidP="00AD4ADD">
      <w:pPr>
        <w:pStyle w:val="NormlnKZ"/>
        <w:spacing w:after="0"/>
        <w:ind w:firstLine="0"/>
        <w:rPr>
          <w:rFonts w:ascii="Calibri" w:hAnsi="Calibri" w:cs="Calibri"/>
          <w:sz w:val="24"/>
        </w:rPr>
      </w:pPr>
    </w:p>
    <w:p w14:paraId="2387714B" w14:textId="1FF1F9BE" w:rsidR="00AD4ADD" w:rsidRPr="004931F3" w:rsidRDefault="00CC583A" w:rsidP="00AD4ADD">
      <w:pPr>
        <w:pStyle w:val="NormlnKZ"/>
        <w:spacing w:after="0"/>
        <w:ind w:firstLine="0"/>
        <w:rPr>
          <w:rFonts w:ascii="Calibri" w:hAnsi="Calibri" w:cs="Calibri"/>
          <w:b/>
          <w:sz w:val="24"/>
        </w:rPr>
      </w:pPr>
      <w:r>
        <w:rPr>
          <w:rFonts w:ascii="Calibri" w:hAnsi="Calibri" w:cs="Calibri"/>
          <w:b/>
          <w:sz w:val="24"/>
        </w:rPr>
        <w:t>Kontrolou</w:t>
      </w:r>
      <w:r w:rsidR="00BF0DAB">
        <w:rPr>
          <w:rFonts w:ascii="Calibri" w:hAnsi="Calibri" w:cs="Calibri"/>
          <w:b/>
          <w:sz w:val="24"/>
        </w:rPr>
        <w:t xml:space="preserve"> NKÚ</w:t>
      </w:r>
      <w:r>
        <w:rPr>
          <w:rFonts w:ascii="Calibri" w:hAnsi="Calibri" w:cs="Calibri"/>
          <w:b/>
          <w:sz w:val="24"/>
        </w:rPr>
        <w:t xml:space="preserve"> bylo zjištěno</w:t>
      </w:r>
      <w:r w:rsidR="00D74D66" w:rsidRPr="004931F3">
        <w:rPr>
          <w:rFonts w:ascii="Calibri" w:hAnsi="Calibri" w:cs="Calibri"/>
          <w:b/>
          <w:sz w:val="24"/>
        </w:rPr>
        <w:t>, že</w:t>
      </w:r>
      <w:r w:rsidR="009A4156">
        <w:rPr>
          <w:rFonts w:ascii="Calibri" w:hAnsi="Calibri" w:cs="Calibri"/>
          <w:b/>
          <w:sz w:val="24"/>
        </w:rPr>
        <w:t xml:space="preserve"> i když</w:t>
      </w:r>
      <w:r w:rsidR="00D74D66" w:rsidRPr="004931F3">
        <w:rPr>
          <w:rFonts w:ascii="Calibri" w:hAnsi="Calibri" w:cs="Calibri"/>
          <w:b/>
          <w:sz w:val="24"/>
        </w:rPr>
        <w:t xml:space="preserve"> nájemce </w:t>
      </w:r>
      <w:r w:rsidR="009A4156">
        <w:rPr>
          <w:rFonts w:ascii="Calibri" w:hAnsi="Calibri" w:cs="Calibri"/>
          <w:b/>
          <w:sz w:val="24"/>
        </w:rPr>
        <w:t xml:space="preserve">dlouhodobě </w:t>
      </w:r>
      <w:r w:rsidR="00D74D66" w:rsidRPr="004931F3">
        <w:rPr>
          <w:rFonts w:ascii="Calibri" w:hAnsi="Calibri" w:cs="Calibri"/>
          <w:b/>
          <w:sz w:val="24"/>
        </w:rPr>
        <w:t>neplnil veškeré jemu stanovené povinnosti</w:t>
      </w:r>
      <w:r w:rsidR="009A4156">
        <w:rPr>
          <w:rFonts w:ascii="Calibri" w:hAnsi="Calibri" w:cs="Calibri"/>
          <w:b/>
          <w:sz w:val="24"/>
        </w:rPr>
        <w:t>,</w:t>
      </w:r>
      <w:r w:rsidR="00D74D66" w:rsidRPr="004931F3">
        <w:rPr>
          <w:rFonts w:ascii="Calibri" w:hAnsi="Calibri" w:cs="Calibri"/>
          <w:b/>
          <w:sz w:val="24"/>
        </w:rPr>
        <w:t xml:space="preserve"> MMR</w:t>
      </w:r>
      <w:r w:rsidR="004931F3" w:rsidRPr="004931F3">
        <w:rPr>
          <w:rFonts w:ascii="Calibri" w:hAnsi="Calibri" w:cs="Calibri"/>
          <w:b/>
          <w:sz w:val="24"/>
        </w:rPr>
        <w:t xml:space="preserve"> </w:t>
      </w:r>
      <w:r w:rsidR="009A4156">
        <w:rPr>
          <w:rFonts w:ascii="Calibri" w:hAnsi="Calibri" w:cs="Calibri"/>
          <w:b/>
          <w:sz w:val="24"/>
        </w:rPr>
        <w:t>vůči němu</w:t>
      </w:r>
      <w:r w:rsidR="004931F3" w:rsidRPr="004931F3">
        <w:rPr>
          <w:rFonts w:ascii="Calibri" w:hAnsi="Calibri" w:cs="Calibri"/>
          <w:b/>
          <w:sz w:val="24"/>
        </w:rPr>
        <w:t xml:space="preserve"> </w:t>
      </w:r>
      <w:r w:rsidR="009A4156">
        <w:rPr>
          <w:rFonts w:ascii="Calibri" w:hAnsi="Calibri" w:cs="Calibri"/>
          <w:b/>
          <w:sz w:val="24"/>
        </w:rPr>
        <w:t>neuplatnilo</w:t>
      </w:r>
      <w:r w:rsidR="00D74D66" w:rsidRPr="004931F3">
        <w:rPr>
          <w:rFonts w:ascii="Calibri" w:hAnsi="Calibri" w:cs="Calibri"/>
          <w:b/>
          <w:sz w:val="24"/>
        </w:rPr>
        <w:t xml:space="preserve"> </w:t>
      </w:r>
      <w:r w:rsidR="009A4156">
        <w:rPr>
          <w:rFonts w:ascii="Calibri" w:hAnsi="Calibri" w:cs="Calibri"/>
          <w:b/>
          <w:sz w:val="24"/>
        </w:rPr>
        <w:t xml:space="preserve">žádné </w:t>
      </w:r>
      <w:r w:rsidR="00D74D66" w:rsidRPr="004931F3">
        <w:rPr>
          <w:rFonts w:ascii="Calibri" w:hAnsi="Calibri" w:cs="Calibri"/>
          <w:b/>
          <w:sz w:val="24"/>
        </w:rPr>
        <w:t>smluvní sankce</w:t>
      </w:r>
      <w:r w:rsidR="004931F3" w:rsidRPr="004931F3">
        <w:rPr>
          <w:rFonts w:ascii="Calibri" w:hAnsi="Calibri" w:cs="Calibri"/>
          <w:b/>
          <w:sz w:val="24"/>
        </w:rPr>
        <w:t xml:space="preserve"> za porušování </w:t>
      </w:r>
      <w:r w:rsidR="009A4156">
        <w:rPr>
          <w:rFonts w:ascii="Calibri" w:hAnsi="Calibri" w:cs="Calibri"/>
          <w:b/>
          <w:sz w:val="24"/>
        </w:rPr>
        <w:t>sjednaných</w:t>
      </w:r>
      <w:r w:rsidR="004931F3" w:rsidRPr="004931F3">
        <w:rPr>
          <w:rFonts w:ascii="Calibri" w:hAnsi="Calibri" w:cs="Calibri"/>
          <w:b/>
          <w:sz w:val="24"/>
        </w:rPr>
        <w:t xml:space="preserve"> smluvních podmínek</w:t>
      </w:r>
      <w:r w:rsidR="00D74D66" w:rsidRPr="004931F3">
        <w:rPr>
          <w:rFonts w:ascii="Calibri" w:hAnsi="Calibri" w:cs="Calibri"/>
          <w:b/>
          <w:sz w:val="24"/>
        </w:rPr>
        <w:t xml:space="preserve">. </w:t>
      </w:r>
      <w:r w:rsidR="004931F3" w:rsidRPr="004931F3">
        <w:rPr>
          <w:rFonts w:ascii="Calibri" w:hAnsi="Calibri" w:cs="Calibri"/>
          <w:b/>
          <w:sz w:val="24"/>
        </w:rPr>
        <w:t>P</w:t>
      </w:r>
      <w:r w:rsidR="00BF0C6B">
        <w:rPr>
          <w:rFonts w:ascii="Calibri" w:hAnsi="Calibri" w:cs="Calibri"/>
          <w:b/>
          <w:sz w:val="24"/>
        </w:rPr>
        <w:t>řitom povinnost p</w:t>
      </w:r>
      <w:r w:rsidR="004931F3" w:rsidRPr="004931F3">
        <w:rPr>
          <w:rFonts w:ascii="Calibri" w:hAnsi="Calibri" w:cs="Calibri"/>
          <w:b/>
          <w:sz w:val="24"/>
        </w:rPr>
        <w:t xml:space="preserve">ožadovat sjednané smluvní sankce ukládá organizačním složkám státu </w:t>
      </w:r>
      <w:r w:rsidR="00BF0DAB" w:rsidRPr="004931F3">
        <w:rPr>
          <w:rFonts w:ascii="Calibri" w:hAnsi="Calibri" w:cs="Calibri"/>
          <w:b/>
          <w:sz w:val="24"/>
        </w:rPr>
        <w:t>ustanovení § 14 odst. 5</w:t>
      </w:r>
      <w:r w:rsidR="00BF0DAB">
        <w:rPr>
          <w:rFonts w:ascii="Calibri" w:hAnsi="Calibri" w:cs="Calibri"/>
          <w:b/>
          <w:sz w:val="24"/>
        </w:rPr>
        <w:t xml:space="preserve"> </w:t>
      </w:r>
      <w:r w:rsidR="004931F3" w:rsidRPr="004931F3">
        <w:rPr>
          <w:rFonts w:ascii="Calibri" w:hAnsi="Calibri" w:cs="Calibri"/>
          <w:b/>
          <w:sz w:val="24"/>
        </w:rPr>
        <w:t>zákon</w:t>
      </w:r>
      <w:r w:rsidR="006D1C09">
        <w:rPr>
          <w:rFonts w:ascii="Calibri" w:hAnsi="Calibri" w:cs="Calibri"/>
          <w:b/>
          <w:sz w:val="24"/>
        </w:rPr>
        <w:t>a</w:t>
      </w:r>
      <w:r w:rsidR="004931F3" w:rsidRPr="004931F3">
        <w:rPr>
          <w:rFonts w:ascii="Calibri" w:hAnsi="Calibri" w:cs="Calibri"/>
          <w:b/>
          <w:sz w:val="24"/>
        </w:rPr>
        <w:t xml:space="preserve"> o majetku.</w:t>
      </w:r>
    </w:p>
    <w:p w14:paraId="1E120E49" w14:textId="77777777" w:rsidR="004931F3" w:rsidRDefault="004931F3" w:rsidP="00AD4ADD">
      <w:pPr>
        <w:pStyle w:val="NormlnKZ"/>
        <w:spacing w:after="0"/>
        <w:ind w:firstLine="0"/>
        <w:rPr>
          <w:rFonts w:ascii="Calibri" w:hAnsi="Calibri" w:cs="Calibri"/>
          <w:sz w:val="24"/>
        </w:rPr>
      </w:pPr>
    </w:p>
    <w:p w14:paraId="35BAB74C" w14:textId="61779712" w:rsidR="00AC3932" w:rsidRPr="00DA13E2" w:rsidRDefault="00DA609B" w:rsidP="001A79A3">
      <w:pPr>
        <w:pStyle w:val="NormlnKZ"/>
        <w:ind w:firstLine="0"/>
        <w:rPr>
          <w:rFonts w:ascii="Calibri" w:hAnsi="Calibri" w:cs="Calibri"/>
          <w:b/>
          <w:sz w:val="24"/>
        </w:rPr>
      </w:pPr>
      <w:r>
        <w:rPr>
          <w:rFonts w:ascii="Calibri" w:hAnsi="Calibri" w:cs="Calibri"/>
          <w:b/>
          <w:sz w:val="24"/>
        </w:rPr>
        <w:t>5</w:t>
      </w:r>
      <w:r w:rsidR="00AC3932" w:rsidRPr="00DA13E2">
        <w:rPr>
          <w:rFonts w:ascii="Calibri" w:hAnsi="Calibri" w:cs="Calibri"/>
          <w:b/>
          <w:sz w:val="24"/>
        </w:rPr>
        <w:t>.1.3 Cena v místě a čase obvyklá</w:t>
      </w:r>
    </w:p>
    <w:p w14:paraId="1F1BF507" w14:textId="58EC988A" w:rsidR="004931F3" w:rsidRDefault="004931F3" w:rsidP="00AD4ADD">
      <w:pPr>
        <w:pStyle w:val="NormlnKZ"/>
        <w:spacing w:after="0"/>
        <w:ind w:firstLine="0"/>
        <w:rPr>
          <w:rFonts w:ascii="Calibri" w:hAnsi="Calibri" w:cs="Calibri"/>
          <w:sz w:val="24"/>
        </w:rPr>
      </w:pPr>
      <w:r w:rsidRPr="004931F3">
        <w:rPr>
          <w:rFonts w:asciiTheme="minorHAnsi" w:hAnsiTheme="minorHAnsi" w:cstheme="minorHAnsi"/>
          <w:sz w:val="24"/>
        </w:rPr>
        <w:t xml:space="preserve">MMR ve Smlouvě sjednalo </w:t>
      </w:r>
      <w:r w:rsidRPr="00DA13E2">
        <w:rPr>
          <w:rFonts w:asciiTheme="minorHAnsi" w:hAnsiTheme="minorHAnsi" w:cstheme="minorHAnsi"/>
          <w:b/>
          <w:sz w:val="24"/>
        </w:rPr>
        <w:t>měsíční nájemné za užívání prostor o výměře 674 m</w:t>
      </w:r>
      <w:r w:rsidRPr="00DA13E2">
        <w:rPr>
          <w:rFonts w:asciiTheme="minorHAnsi" w:hAnsiTheme="minorHAnsi" w:cstheme="minorHAnsi"/>
          <w:b/>
          <w:sz w:val="24"/>
          <w:vertAlign w:val="superscript"/>
        </w:rPr>
        <w:t>2</w:t>
      </w:r>
      <w:r w:rsidRPr="00DA13E2">
        <w:rPr>
          <w:rFonts w:asciiTheme="minorHAnsi" w:hAnsiTheme="minorHAnsi" w:cstheme="minorHAnsi"/>
          <w:b/>
          <w:sz w:val="24"/>
        </w:rPr>
        <w:t xml:space="preserve"> ve výši </w:t>
      </w:r>
      <w:r w:rsidRPr="001D2FF8">
        <w:rPr>
          <w:rFonts w:asciiTheme="minorHAnsi" w:hAnsiTheme="minorHAnsi" w:cstheme="minorHAnsi"/>
          <w:sz w:val="24"/>
        </w:rPr>
        <w:t>210 </w:t>
      </w:r>
      <w:r w:rsidR="00BA429B" w:rsidRPr="001D2FF8">
        <w:rPr>
          <w:rFonts w:asciiTheme="minorHAnsi" w:hAnsiTheme="minorHAnsi" w:cstheme="minorHAnsi"/>
          <w:sz w:val="24"/>
        </w:rPr>
        <w:t xml:space="preserve">tis. </w:t>
      </w:r>
      <w:r w:rsidRPr="001D2FF8">
        <w:rPr>
          <w:rFonts w:asciiTheme="minorHAnsi" w:hAnsiTheme="minorHAnsi" w:cstheme="minorHAnsi"/>
          <w:sz w:val="24"/>
        </w:rPr>
        <w:t xml:space="preserve">Kč bez DPH, tj. ve výši </w:t>
      </w:r>
      <w:r w:rsidRPr="00DA13E2">
        <w:rPr>
          <w:rFonts w:ascii="Calibri" w:hAnsi="Calibri" w:cs="Calibri"/>
          <w:b/>
          <w:bCs/>
          <w:sz w:val="24"/>
        </w:rPr>
        <w:t>3</w:t>
      </w:r>
      <w:r w:rsidR="00BA429B" w:rsidRPr="00DA13E2">
        <w:rPr>
          <w:rFonts w:ascii="Calibri" w:hAnsi="Calibri" w:cs="Calibri"/>
          <w:b/>
          <w:bCs/>
          <w:sz w:val="24"/>
        </w:rPr>
        <w:t>,7 tis.</w:t>
      </w:r>
      <w:r w:rsidRPr="00DA13E2">
        <w:rPr>
          <w:rFonts w:ascii="Calibri" w:hAnsi="Calibri" w:cs="Calibri"/>
          <w:b/>
          <w:bCs/>
          <w:sz w:val="24"/>
        </w:rPr>
        <w:t xml:space="preserve"> Kč/m</w:t>
      </w:r>
      <w:r w:rsidRPr="00DA13E2">
        <w:rPr>
          <w:rFonts w:ascii="Calibri" w:hAnsi="Calibri" w:cs="Calibri"/>
          <w:b/>
          <w:bCs/>
          <w:sz w:val="24"/>
          <w:vertAlign w:val="superscript"/>
        </w:rPr>
        <w:t>2</w:t>
      </w:r>
      <w:r w:rsidRPr="00DA13E2">
        <w:rPr>
          <w:rFonts w:ascii="Calibri" w:hAnsi="Calibri" w:cs="Calibri"/>
          <w:b/>
          <w:bCs/>
          <w:sz w:val="24"/>
        </w:rPr>
        <w:t>/rok</w:t>
      </w:r>
      <w:r w:rsidRPr="001D2FF8">
        <w:rPr>
          <w:rFonts w:ascii="Calibri" w:hAnsi="Calibri" w:cs="Calibri"/>
          <w:bCs/>
          <w:sz w:val="24"/>
        </w:rPr>
        <w:t xml:space="preserve"> </w:t>
      </w:r>
      <w:r w:rsidR="00BA429B" w:rsidRPr="001D2FF8">
        <w:rPr>
          <w:rFonts w:ascii="Calibri" w:hAnsi="Calibri" w:cs="Calibri"/>
          <w:bCs/>
          <w:sz w:val="24"/>
        </w:rPr>
        <w:t xml:space="preserve">a </w:t>
      </w:r>
      <w:r w:rsidRPr="001D2FF8">
        <w:rPr>
          <w:rFonts w:ascii="Calibri" w:hAnsi="Calibri" w:cs="Calibri"/>
          <w:sz w:val="24"/>
        </w:rPr>
        <w:t>2</w:t>
      </w:r>
      <w:r w:rsidR="00BA429B" w:rsidRPr="001D2FF8">
        <w:rPr>
          <w:rFonts w:ascii="Calibri" w:hAnsi="Calibri" w:cs="Calibri"/>
          <w:sz w:val="24"/>
        </w:rPr>
        <w:t>,</w:t>
      </w:r>
      <w:r w:rsidRPr="001D2FF8">
        <w:rPr>
          <w:rFonts w:ascii="Calibri" w:hAnsi="Calibri" w:cs="Calibri"/>
          <w:sz w:val="24"/>
        </w:rPr>
        <w:t>5</w:t>
      </w:r>
      <w:r w:rsidR="00BA429B" w:rsidRPr="001D2FF8">
        <w:rPr>
          <w:rFonts w:ascii="Calibri" w:hAnsi="Calibri" w:cs="Calibri"/>
          <w:sz w:val="24"/>
        </w:rPr>
        <w:t xml:space="preserve"> mil.</w:t>
      </w:r>
      <w:r w:rsidRPr="001D2FF8">
        <w:rPr>
          <w:rFonts w:ascii="Calibri" w:hAnsi="Calibri" w:cs="Calibri"/>
          <w:sz w:val="24"/>
        </w:rPr>
        <w:t> Kč/rok.</w:t>
      </w:r>
      <w:r w:rsidRPr="004931F3">
        <w:rPr>
          <w:rFonts w:ascii="Calibri" w:hAnsi="Calibri" w:cs="Calibri"/>
          <w:sz w:val="24"/>
        </w:rPr>
        <w:t xml:space="preserve"> Jednalo se o nájemné, které současně odpovídalo návrhu, který předložil MMR vítězný navrhovatel</w:t>
      </w:r>
      <w:r>
        <w:rPr>
          <w:rFonts w:ascii="Calibri" w:hAnsi="Calibri" w:cs="Calibri"/>
          <w:sz w:val="24"/>
        </w:rPr>
        <w:t xml:space="preserve">. Takto sjednané </w:t>
      </w:r>
      <w:r w:rsidRPr="00560E20">
        <w:rPr>
          <w:rFonts w:ascii="Calibri" w:hAnsi="Calibri" w:cs="Calibri"/>
          <w:sz w:val="24"/>
        </w:rPr>
        <w:t>nájemné dle textu uvedeného ve Smlouvě „</w:t>
      </w:r>
      <w:r w:rsidR="004A52DD">
        <w:rPr>
          <w:rFonts w:ascii="Calibri" w:hAnsi="Calibri" w:cs="Calibri"/>
          <w:sz w:val="24"/>
        </w:rPr>
        <w:t xml:space="preserve">… </w:t>
      </w:r>
      <w:r w:rsidRPr="00560E20">
        <w:rPr>
          <w:rFonts w:ascii="Calibri" w:hAnsi="Calibri" w:cs="Calibri"/>
          <w:i/>
          <w:sz w:val="24"/>
        </w:rPr>
        <w:t>odpovídá tržnímu nájemnému v lokalitě Prostor</w:t>
      </w:r>
      <w:r w:rsidR="004A52DD">
        <w:rPr>
          <w:rFonts w:ascii="Calibri" w:hAnsi="Calibri" w:cs="Calibri"/>
          <w:i/>
          <w:sz w:val="24"/>
        </w:rPr>
        <w:t>…</w:t>
      </w:r>
      <w:r w:rsidRPr="00560E20">
        <w:rPr>
          <w:rFonts w:ascii="Calibri" w:hAnsi="Calibri" w:cs="Calibri"/>
          <w:sz w:val="24"/>
        </w:rPr>
        <w:t>“</w:t>
      </w:r>
      <w:r w:rsidR="00560E20">
        <w:rPr>
          <w:rFonts w:ascii="Calibri" w:hAnsi="Calibri" w:cs="Calibri"/>
          <w:sz w:val="24"/>
        </w:rPr>
        <w:t xml:space="preserve"> a zároveň bylo sj</w:t>
      </w:r>
      <w:r w:rsidR="00560E20" w:rsidRPr="00560E20">
        <w:rPr>
          <w:rFonts w:ascii="Calibri" w:hAnsi="Calibri" w:cs="Calibri"/>
          <w:sz w:val="24"/>
        </w:rPr>
        <w:t xml:space="preserve">ednáno </w:t>
      </w:r>
      <w:r w:rsidRPr="00560E20">
        <w:rPr>
          <w:rFonts w:ascii="Calibri" w:hAnsi="Calibri" w:cs="Calibri"/>
          <w:sz w:val="24"/>
        </w:rPr>
        <w:t>s přihlédnutím k hodnotě rekonstrukce provedené nájemcem. Smlouva obsahuje možnost zvyšování nájemného dle vývoje indexu spotřebitelských cen.</w:t>
      </w:r>
    </w:p>
    <w:p w14:paraId="0E93CE49" w14:textId="77777777" w:rsidR="004931F3" w:rsidRDefault="004931F3" w:rsidP="00AD4ADD">
      <w:pPr>
        <w:pStyle w:val="NormlnKZ"/>
        <w:spacing w:after="0"/>
        <w:ind w:firstLine="0"/>
        <w:rPr>
          <w:rFonts w:ascii="Calibri" w:hAnsi="Calibri" w:cs="Calibri"/>
          <w:sz w:val="24"/>
        </w:rPr>
      </w:pPr>
    </w:p>
    <w:p w14:paraId="575D7799" w14:textId="6EDF14FF" w:rsidR="00560E20" w:rsidRDefault="00560E20" w:rsidP="00AD4ADD">
      <w:pPr>
        <w:pStyle w:val="NormlnKZ"/>
        <w:spacing w:after="0"/>
        <w:ind w:firstLine="0"/>
        <w:rPr>
          <w:rFonts w:ascii="Calibri" w:hAnsi="Calibri" w:cs="Calibri"/>
          <w:b/>
          <w:sz w:val="24"/>
        </w:rPr>
      </w:pPr>
      <w:r w:rsidRPr="00463376">
        <w:rPr>
          <w:rFonts w:ascii="Calibri" w:hAnsi="Calibri" w:cs="Calibri"/>
          <w:b/>
          <w:sz w:val="24"/>
        </w:rPr>
        <w:t xml:space="preserve">MMR </w:t>
      </w:r>
      <w:r w:rsidR="006D1C09">
        <w:rPr>
          <w:rFonts w:ascii="Calibri" w:hAnsi="Calibri" w:cs="Calibri"/>
          <w:b/>
          <w:sz w:val="24"/>
        </w:rPr>
        <w:t>nesplnilo</w:t>
      </w:r>
      <w:r w:rsidRPr="00463376">
        <w:rPr>
          <w:rFonts w:ascii="Calibri" w:hAnsi="Calibri" w:cs="Calibri"/>
          <w:b/>
          <w:sz w:val="24"/>
        </w:rPr>
        <w:t xml:space="preserve"> povinnost</w:t>
      </w:r>
      <w:r w:rsidR="002B0775">
        <w:rPr>
          <w:rFonts w:ascii="Calibri" w:hAnsi="Calibri" w:cs="Calibri"/>
          <w:b/>
          <w:sz w:val="24"/>
        </w:rPr>
        <w:t>i</w:t>
      </w:r>
      <w:r w:rsidRPr="00463376">
        <w:rPr>
          <w:rFonts w:ascii="Calibri" w:hAnsi="Calibri" w:cs="Calibri"/>
          <w:b/>
          <w:sz w:val="24"/>
        </w:rPr>
        <w:t xml:space="preserve"> </w:t>
      </w:r>
      <w:r w:rsidR="00466BA1">
        <w:rPr>
          <w:rFonts w:ascii="Calibri" w:hAnsi="Calibri" w:cs="Calibri"/>
          <w:b/>
          <w:sz w:val="24"/>
        </w:rPr>
        <w:t xml:space="preserve">stanovené v </w:t>
      </w:r>
      <w:r w:rsidRPr="00463376">
        <w:rPr>
          <w:rFonts w:ascii="Calibri" w:hAnsi="Calibri" w:cs="Calibri"/>
          <w:b/>
          <w:sz w:val="24"/>
        </w:rPr>
        <w:t xml:space="preserve">§ 27 odst. 3 zákona o </w:t>
      </w:r>
      <w:r w:rsidR="00466BA1" w:rsidRPr="00463376">
        <w:rPr>
          <w:rFonts w:ascii="Calibri" w:hAnsi="Calibri" w:cs="Calibri"/>
          <w:b/>
          <w:sz w:val="24"/>
        </w:rPr>
        <w:t>majetku</w:t>
      </w:r>
      <w:r w:rsidR="00466BA1">
        <w:rPr>
          <w:rFonts w:ascii="Calibri" w:hAnsi="Calibri" w:cs="Calibri"/>
          <w:b/>
          <w:sz w:val="24"/>
        </w:rPr>
        <w:t xml:space="preserve">, </w:t>
      </w:r>
      <w:r w:rsidR="00B7593C">
        <w:rPr>
          <w:rFonts w:ascii="Calibri" w:hAnsi="Calibri" w:cs="Calibri"/>
          <w:b/>
          <w:sz w:val="24"/>
        </w:rPr>
        <w:t xml:space="preserve">a tedy že </w:t>
      </w:r>
      <w:r w:rsidR="003C3F82">
        <w:rPr>
          <w:rFonts w:ascii="Calibri" w:hAnsi="Calibri" w:cs="Calibri"/>
          <w:b/>
          <w:sz w:val="24"/>
        </w:rPr>
        <w:t>u </w:t>
      </w:r>
      <w:r w:rsidR="002B0775">
        <w:rPr>
          <w:rFonts w:ascii="Calibri" w:hAnsi="Calibri" w:cs="Calibri"/>
          <w:b/>
          <w:sz w:val="24"/>
        </w:rPr>
        <w:t>tohoto</w:t>
      </w:r>
      <w:r w:rsidRPr="00463376">
        <w:rPr>
          <w:rFonts w:ascii="Calibri" w:hAnsi="Calibri" w:cs="Calibri"/>
          <w:b/>
          <w:sz w:val="24"/>
        </w:rPr>
        <w:t xml:space="preserve"> pronájmu nebytových prostor v lokalitě Staroměstské náměstí, Praha 1</w:t>
      </w:r>
      <w:r w:rsidR="004A52DD">
        <w:rPr>
          <w:rFonts w:ascii="Calibri" w:hAnsi="Calibri" w:cs="Calibri"/>
          <w:b/>
          <w:sz w:val="24"/>
        </w:rPr>
        <w:t>,</w:t>
      </w:r>
      <w:r w:rsidRPr="00463376">
        <w:rPr>
          <w:rFonts w:ascii="Calibri" w:hAnsi="Calibri" w:cs="Calibri"/>
          <w:b/>
          <w:sz w:val="24"/>
        </w:rPr>
        <w:t xml:space="preserve"> za účelem provozování restauračního zařízení </w:t>
      </w:r>
      <w:r w:rsidR="004A52DD">
        <w:rPr>
          <w:rFonts w:ascii="Calibri" w:hAnsi="Calibri" w:cs="Calibri"/>
          <w:b/>
          <w:sz w:val="24"/>
        </w:rPr>
        <w:t>ne</w:t>
      </w:r>
      <w:r w:rsidRPr="00463376">
        <w:rPr>
          <w:rFonts w:ascii="Calibri" w:hAnsi="Calibri" w:cs="Calibri"/>
          <w:b/>
          <w:sz w:val="24"/>
        </w:rPr>
        <w:t>sjednalo nájemné nejméně ve výši, která je v daném místě a čase obvyklá.</w:t>
      </w:r>
    </w:p>
    <w:p w14:paraId="37C20173" w14:textId="77777777" w:rsidR="003C7D04" w:rsidRDefault="003C7D04" w:rsidP="00AD4ADD">
      <w:pPr>
        <w:pStyle w:val="NormlnKZ"/>
        <w:spacing w:after="0"/>
        <w:ind w:firstLine="0"/>
        <w:rPr>
          <w:rFonts w:asciiTheme="minorHAnsi" w:hAnsiTheme="minorHAnsi" w:cstheme="minorHAnsi"/>
          <w:b/>
          <w:sz w:val="24"/>
        </w:rPr>
      </w:pPr>
    </w:p>
    <w:p w14:paraId="28BE5C97" w14:textId="3A26751B" w:rsidR="00E636EB" w:rsidRDefault="003C7D04" w:rsidP="00AD4ADD">
      <w:pPr>
        <w:pStyle w:val="NormlnKZ"/>
        <w:spacing w:after="0"/>
        <w:ind w:firstLine="0"/>
        <w:rPr>
          <w:rFonts w:asciiTheme="minorHAnsi" w:hAnsiTheme="minorHAnsi" w:cstheme="minorHAnsi"/>
          <w:sz w:val="24"/>
        </w:rPr>
      </w:pPr>
      <w:r w:rsidRPr="00BA429B">
        <w:rPr>
          <w:rFonts w:asciiTheme="minorHAnsi" w:hAnsiTheme="minorHAnsi" w:cstheme="minorHAnsi"/>
          <w:sz w:val="24"/>
        </w:rPr>
        <w:lastRenderedPageBreak/>
        <w:t xml:space="preserve">NKÚ </w:t>
      </w:r>
      <w:r w:rsidR="006D1C09">
        <w:rPr>
          <w:rFonts w:asciiTheme="minorHAnsi" w:hAnsiTheme="minorHAnsi" w:cstheme="minorHAnsi"/>
          <w:sz w:val="24"/>
        </w:rPr>
        <w:t xml:space="preserve">zjistil </w:t>
      </w:r>
      <w:r w:rsidRPr="00DA13E2">
        <w:rPr>
          <w:rFonts w:asciiTheme="minorHAnsi" w:hAnsiTheme="minorHAnsi" w:cstheme="minorHAnsi"/>
          <w:b/>
          <w:sz w:val="24"/>
        </w:rPr>
        <w:t>z veřejně dostupných zdrojů</w:t>
      </w:r>
      <w:r w:rsidRPr="00BA429B">
        <w:rPr>
          <w:rStyle w:val="Znakapoznpodarou"/>
          <w:rFonts w:asciiTheme="minorHAnsi" w:hAnsiTheme="minorHAnsi" w:cstheme="minorHAnsi"/>
          <w:sz w:val="24"/>
        </w:rPr>
        <w:footnoteReference w:id="38"/>
      </w:r>
      <w:r w:rsidRPr="00BA429B">
        <w:rPr>
          <w:rFonts w:asciiTheme="minorHAnsi" w:hAnsiTheme="minorHAnsi" w:cstheme="minorHAnsi"/>
          <w:sz w:val="24"/>
        </w:rPr>
        <w:t xml:space="preserve">, že v Praze v lokalitě Staroměstské náměstí a okolí se v roce 2014 pronajímaly </w:t>
      </w:r>
      <w:r w:rsidRPr="00DA13E2">
        <w:rPr>
          <w:rFonts w:asciiTheme="minorHAnsi" w:hAnsiTheme="minorHAnsi" w:cstheme="minorHAnsi"/>
          <w:b/>
          <w:sz w:val="24"/>
        </w:rPr>
        <w:t xml:space="preserve">obdobné nebytové prostory </w:t>
      </w:r>
      <w:r w:rsidR="008A03BD">
        <w:rPr>
          <w:rFonts w:asciiTheme="minorHAnsi" w:hAnsiTheme="minorHAnsi" w:cstheme="minorHAnsi"/>
          <w:b/>
          <w:sz w:val="24"/>
        </w:rPr>
        <w:t>s podobným využitím za 23 až 27 tis. </w:t>
      </w:r>
      <w:r w:rsidRPr="00DA13E2">
        <w:rPr>
          <w:rFonts w:asciiTheme="minorHAnsi" w:hAnsiTheme="minorHAnsi" w:cstheme="minorHAnsi"/>
          <w:b/>
          <w:sz w:val="24"/>
        </w:rPr>
        <w:t>Kč/m</w:t>
      </w:r>
      <w:r w:rsidRPr="00DA13E2">
        <w:rPr>
          <w:rFonts w:asciiTheme="minorHAnsi" w:hAnsiTheme="minorHAnsi" w:cstheme="minorHAnsi"/>
          <w:b/>
          <w:sz w:val="24"/>
          <w:vertAlign w:val="superscript"/>
        </w:rPr>
        <w:t>2</w:t>
      </w:r>
      <w:r w:rsidRPr="00DA13E2">
        <w:rPr>
          <w:rFonts w:asciiTheme="minorHAnsi" w:hAnsiTheme="minorHAnsi" w:cstheme="minorHAnsi"/>
          <w:b/>
          <w:sz w:val="24"/>
        </w:rPr>
        <w:t>/rok.</w:t>
      </w:r>
      <w:r w:rsidRPr="0005659D">
        <w:rPr>
          <w:rFonts w:asciiTheme="minorHAnsi" w:hAnsiTheme="minorHAnsi" w:cstheme="minorHAnsi"/>
          <w:sz w:val="24"/>
        </w:rPr>
        <w:t xml:space="preserve"> </w:t>
      </w:r>
    </w:p>
    <w:p w14:paraId="29F2CF18" w14:textId="77777777" w:rsidR="00E636EB" w:rsidRDefault="00E636EB" w:rsidP="00AD4ADD">
      <w:pPr>
        <w:pStyle w:val="NormlnKZ"/>
        <w:spacing w:after="0"/>
        <w:ind w:firstLine="0"/>
        <w:rPr>
          <w:rFonts w:asciiTheme="minorHAnsi" w:hAnsiTheme="minorHAnsi" w:cstheme="minorHAnsi"/>
          <w:sz w:val="24"/>
        </w:rPr>
      </w:pPr>
    </w:p>
    <w:p w14:paraId="62FF9512" w14:textId="6C4DD3EB" w:rsidR="001F4F92" w:rsidRPr="00B7593C" w:rsidRDefault="003C7D04" w:rsidP="00AD4ADD">
      <w:pPr>
        <w:pStyle w:val="NormlnKZ"/>
        <w:spacing w:after="0"/>
        <w:ind w:firstLine="0"/>
        <w:rPr>
          <w:rFonts w:asciiTheme="minorHAnsi" w:hAnsiTheme="minorHAnsi" w:cstheme="minorHAnsi"/>
          <w:b/>
          <w:sz w:val="24"/>
        </w:rPr>
      </w:pPr>
      <w:r w:rsidRPr="00B7593C">
        <w:rPr>
          <w:rFonts w:asciiTheme="minorHAnsi" w:hAnsiTheme="minorHAnsi" w:cstheme="minorHAnsi"/>
          <w:sz w:val="24"/>
        </w:rPr>
        <w:t xml:space="preserve">NKÚ </w:t>
      </w:r>
      <w:r w:rsidR="0005659D" w:rsidRPr="00B7593C">
        <w:rPr>
          <w:rFonts w:asciiTheme="minorHAnsi" w:hAnsiTheme="minorHAnsi" w:cstheme="minorHAnsi"/>
          <w:sz w:val="24"/>
        </w:rPr>
        <w:t xml:space="preserve">při </w:t>
      </w:r>
      <w:r w:rsidR="004D5A4F">
        <w:rPr>
          <w:rFonts w:asciiTheme="minorHAnsi" w:hAnsiTheme="minorHAnsi" w:cstheme="minorHAnsi"/>
          <w:sz w:val="24"/>
        </w:rPr>
        <w:t>porovnání</w:t>
      </w:r>
      <w:r w:rsidR="004D5A4F" w:rsidRPr="00B7593C">
        <w:rPr>
          <w:rFonts w:asciiTheme="minorHAnsi" w:hAnsiTheme="minorHAnsi" w:cstheme="minorHAnsi"/>
          <w:sz w:val="24"/>
        </w:rPr>
        <w:t xml:space="preserve"> </w:t>
      </w:r>
      <w:r w:rsidR="0005659D" w:rsidRPr="00B7593C">
        <w:rPr>
          <w:rFonts w:asciiTheme="minorHAnsi" w:hAnsiTheme="minorHAnsi" w:cstheme="minorHAnsi"/>
          <w:sz w:val="24"/>
        </w:rPr>
        <w:t xml:space="preserve">ceny nájemného v místě a čase obvyklé </w:t>
      </w:r>
      <w:r w:rsidRPr="00B7593C">
        <w:rPr>
          <w:rFonts w:asciiTheme="minorHAnsi" w:hAnsiTheme="minorHAnsi" w:cstheme="minorHAnsi"/>
          <w:sz w:val="24"/>
        </w:rPr>
        <w:t>zohlednil způsob využívání ministerstvem pronajímaných ploch v budově na Staroměstském náměstí v</w:t>
      </w:r>
      <w:r w:rsidR="0005659D" w:rsidRPr="00B7593C">
        <w:rPr>
          <w:rFonts w:asciiTheme="minorHAnsi" w:hAnsiTheme="minorHAnsi" w:cstheme="minorHAnsi"/>
          <w:sz w:val="24"/>
        </w:rPr>
        <w:t> </w:t>
      </w:r>
      <w:r w:rsidRPr="00B7593C">
        <w:rPr>
          <w:rFonts w:asciiTheme="minorHAnsi" w:hAnsiTheme="minorHAnsi" w:cstheme="minorHAnsi"/>
          <w:sz w:val="24"/>
        </w:rPr>
        <w:t>Praze</w:t>
      </w:r>
      <w:r w:rsidR="0005659D" w:rsidRPr="00B7593C">
        <w:rPr>
          <w:rFonts w:asciiTheme="minorHAnsi" w:hAnsiTheme="minorHAnsi" w:cstheme="minorHAnsi"/>
          <w:sz w:val="24"/>
        </w:rPr>
        <w:t xml:space="preserve"> a do ceny započetl i část hodnoty rekonstrukce provedené nájemce</w:t>
      </w:r>
      <w:r w:rsidR="00370E6F" w:rsidRPr="00B7593C">
        <w:rPr>
          <w:rFonts w:asciiTheme="minorHAnsi" w:hAnsiTheme="minorHAnsi" w:cstheme="minorHAnsi"/>
          <w:sz w:val="24"/>
        </w:rPr>
        <w:t>m</w:t>
      </w:r>
      <w:r w:rsidR="0005659D" w:rsidRPr="00B7593C">
        <w:rPr>
          <w:rFonts w:asciiTheme="minorHAnsi" w:hAnsiTheme="minorHAnsi" w:cstheme="minorHAnsi"/>
          <w:sz w:val="24"/>
        </w:rPr>
        <w:t>.</w:t>
      </w:r>
      <w:r w:rsidRPr="00B7593C">
        <w:rPr>
          <w:rFonts w:asciiTheme="minorHAnsi" w:hAnsiTheme="minorHAnsi" w:cstheme="minorHAnsi"/>
          <w:sz w:val="24"/>
        </w:rPr>
        <w:t xml:space="preserve"> Provedeným výpočtem bylo zjištěno, že</w:t>
      </w:r>
      <w:r w:rsidR="0005659D" w:rsidRPr="00B7593C">
        <w:rPr>
          <w:rFonts w:asciiTheme="minorHAnsi" w:hAnsiTheme="minorHAnsi" w:cstheme="minorHAnsi"/>
          <w:sz w:val="24"/>
        </w:rPr>
        <w:t xml:space="preserve"> </w:t>
      </w:r>
      <w:r w:rsidR="0005659D" w:rsidRPr="001A79A3">
        <w:rPr>
          <w:rFonts w:asciiTheme="minorHAnsi" w:hAnsiTheme="minorHAnsi" w:cstheme="minorHAnsi"/>
          <w:b/>
          <w:sz w:val="24"/>
        </w:rPr>
        <w:t>výše ročního nájmu za nebytové prostory na Staroměstském náměstí v Praze měla v době sjednání Smlouvy činit</w:t>
      </w:r>
      <w:r w:rsidRPr="001A79A3">
        <w:rPr>
          <w:rFonts w:asciiTheme="minorHAnsi" w:hAnsiTheme="minorHAnsi" w:cstheme="minorHAnsi"/>
          <w:b/>
          <w:sz w:val="24"/>
        </w:rPr>
        <w:t xml:space="preserve"> cca 10,6 mil</w:t>
      </w:r>
      <w:r w:rsidR="006204DA">
        <w:rPr>
          <w:rFonts w:asciiTheme="minorHAnsi" w:hAnsiTheme="minorHAnsi" w:cstheme="minorHAnsi"/>
          <w:b/>
          <w:sz w:val="24"/>
        </w:rPr>
        <w:t>.</w:t>
      </w:r>
      <w:r w:rsidRPr="001A79A3">
        <w:rPr>
          <w:rFonts w:asciiTheme="minorHAnsi" w:hAnsiTheme="minorHAnsi" w:cstheme="minorHAnsi"/>
          <w:b/>
          <w:sz w:val="24"/>
        </w:rPr>
        <w:t xml:space="preserve"> Kč</w:t>
      </w:r>
      <w:r w:rsidR="00EB5F6F" w:rsidRPr="00877106">
        <w:rPr>
          <w:rFonts w:asciiTheme="minorHAnsi" w:hAnsiTheme="minorHAnsi" w:cstheme="minorHAnsi"/>
          <w:b/>
          <w:sz w:val="24"/>
        </w:rPr>
        <w:t>.</w:t>
      </w:r>
    </w:p>
    <w:p w14:paraId="60D1C210" w14:textId="77777777" w:rsidR="00074829" w:rsidRDefault="00074829" w:rsidP="00AD4ADD">
      <w:pPr>
        <w:pStyle w:val="NormlnKZ"/>
        <w:spacing w:after="0"/>
        <w:ind w:firstLine="0"/>
        <w:rPr>
          <w:rFonts w:asciiTheme="minorHAnsi" w:hAnsiTheme="minorHAnsi" w:cstheme="minorHAnsi"/>
          <w:sz w:val="24"/>
        </w:rPr>
      </w:pPr>
    </w:p>
    <w:p w14:paraId="0206CD14" w14:textId="2F6370D2" w:rsidR="00463376" w:rsidRPr="001F4F92" w:rsidRDefault="00463376" w:rsidP="00AD4ADD">
      <w:pPr>
        <w:pStyle w:val="NormlnKZ"/>
        <w:spacing w:after="0"/>
        <w:ind w:firstLine="0"/>
        <w:rPr>
          <w:rFonts w:asciiTheme="minorHAnsi" w:hAnsiTheme="minorHAnsi" w:cstheme="minorHAnsi"/>
          <w:sz w:val="24"/>
        </w:rPr>
      </w:pPr>
      <w:r w:rsidRPr="00436F99">
        <w:rPr>
          <w:rFonts w:asciiTheme="minorHAnsi" w:hAnsiTheme="minorHAnsi" w:cstheme="minorHAnsi"/>
          <w:sz w:val="24"/>
        </w:rPr>
        <w:t>Roční nájem, který MMR za tyto prostory na Staroměstském nám</w:t>
      </w:r>
      <w:r w:rsidR="003C3F82">
        <w:rPr>
          <w:rFonts w:asciiTheme="minorHAnsi" w:hAnsiTheme="minorHAnsi" w:cstheme="minorHAnsi"/>
          <w:sz w:val="24"/>
        </w:rPr>
        <w:t>ěstí inkasovalo, byl i po</w:t>
      </w:r>
      <w:r w:rsidR="00074829">
        <w:rPr>
          <w:rFonts w:asciiTheme="minorHAnsi" w:hAnsiTheme="minorHAnsi" w:cstheme="minorHAnsi"/>
          <w:sz w:val="24"/>
        </w:rPr>
        <w:t xml:space="preserve"> </w:t>
      </w:r>
      <w:r w:rsidRPr="00436F99">
        <w:rPr>
          <w:rFonts w:asciiTheme="minorHAnsi" w:hAnsiTheme="minorHAnsi" w:cstheme="minorHAnsi"/>
          <w:sz w:val="24"/>
        </w:rPr>
        <w:t>započtení části hodnoty rekonstrukce provedené nájemcem</w:t>
      </w:r>
      <w:r w:rsidR="003C7D04" w:rsidRPr="00436F99">
        <w:rPr>
          <w:rFonts w:asciiTheme="minorHAnsi" w:hAnsiTheme="minorHAnsi" w:cstheme="minorHAnsi"/>
          <w:sz w:val="24"/>
        </w:rPr>
        <w:t xml:space="preserve"> </w:t>
      </w:r>
      <w:r w:rsidRPr="00436F99">
        <w:rPr>
          <w:rFonts w:asciiTheme="minorHAnsi" w:hAnsiTheme="minorHAnsi" w:cstheme="minorHAnsi"/>
          <w:sz w:val="24"/>
        </w:rPr>
        <w:t xml:space="preserve">nižší než roční nájem, </w:t>
      </w:r>
      <w:r w:rsidR="007104C2">
        <w:rPr>
          <w:rFonts w:asciiTheme="minorHAnsi" w:hAnsiTheme="minorHAnsi" w:cstheme="minorHAnsi"/>
          <w:sz w:val="24"/>
        </w:rPr>
        <w:t>sjednaný jiným pronajímatelem</w:t>
      </w:r>
      <w:r w:rsidRPr="00436F99">
        <w:rPr>
          <w:rFonts w:asciiTheme="minorHAnsi" w:hAnsiTheme="minorHAnsi" w:cstheme="minorHAnsi"/>
          <w:sz w:val="24"/>
        </w:rPr>
        <w:t xml:space="preserve"> za pronájem více jak 3x menší pronajímané plochy v méně lukrativní lokalitě – v ulici Rytířská, Praha 1. </w:t>
      </w:r>
      <w:r w:rsidR="003C7D04" w:rsidRPr="00DA13E2">
        <w:rPr>
          <w:rFonts w:asciiTheme="minorHAnsi" w:hAnsiTheme="minorHAnsi" w:cstheme="minorHAnsi"/>
          <w:b/>
          <w:sz w:val="24"/>
        </w:rPr>
        <w:t xml:space="preserve">V důsledku </w:t>
      </w:r>
      <w:r w:rsidR="00466BA1">
        <w:rPr>
          <w:rFonts w:asciiTheme="minorHAnsi" w:hAnsiTheme="minorHAnsi" w:cstheme="minorHAnsi"/>
          <w:b/>
          <w:sz w:val="24"/>
        </w:rPr>
        <w:t>této skutečnosti</w:t>
      </w:r>
      <w:r w:rsidR="00BB21E7">
        <w:rPr>
          <w:rFonts w:asciiTheme="minorHAnsi" w:hAnsiTheme="minorHAnsi" w:cstheme="minorHAnsi"/>
          <w:b/>
          <w:sz w:val="24"/>
        </w:rPr>
        <w:t xml:space="preserve"> dochází k </w:t>
      </w:r>
      <w:r w:rsidR="003C7D04" w:rsidRPr="00DA13E2">
        <w:rPr>
          <w:rFonts w:asciiTheme="minorHAnsi" w:hAnsiTheme="minorHAnsi" w:cstheme="minorHAnsi"/>
          <w:b/>
          <w:sz w:val="24"/>
        </w:rPr>
        <w:t xml:space="preserve">neodůvodněnému snížení výnosu z majetku státu o částku </w:t>
      </w:r>
      <w:r w:rsidR="00BB21E7">
        <w:rPr>
          <w:rFonts w:asciiTheme="minorHAnsi" w:hAnsiTheme="minorHAnsi" w:cstheme="minorHAnsi"/>
          <w:b/>
          <w:sz w:val="24"/>
        </w:rPr>
        <w:t>téměř 7 mil. Kč ročně, a tedy k </w:t>
      </w:r>
      <w:r w:rsidR="003C7D04" w:rsidRPr="00DA13E2">
        <w:rPr>
          <w:rFonts w:asciiTheme="minorHAnsi" w:hAnsiTheme="minorHAnsi" w:cstheme="minorHAnsi"/>
          <w:b/>
          <w:sz w:val="24"/>
        </w:rPr>
        <w:t>datu ukončení kontroly o částku přesahující 41 mil. Kč.</w:t>
      </w:r>
      <w:r w:rsidR="00D367E6" w:rsidRPr="00DA13E2">
        <w:rPr>
          <w:rFonts w:asciiTheme="minorHAnsi" w:hAnsiTheme="minorHAnsi" w:cstheme="minorHAnsi"/>
          <w:b/>
          <w:sz w:val="24"/>
        </w:rPr>
        <w:t xml:space="preserve"> </w:t>
      </w:r>
      <w:r w:rsidR="00313968">
        <w:rPr>
          <w:rFonts w:asciiTheme="minorHAnsi" w:hAnsiTheme="minorHAnsi" w:cstheme="minorHAnsi"/>
          <w:b/>
          <w:sz w:val="24"/>
        </w:rPr>
        <w:t xml:space="preserve">O tuto částku </w:t>
      </w:r>
      <w:r w:rsidR="00A16619">
        <w:rPr>
          <w:rFonts w:asciiTheme="minorHAnsi" w:hAnsiTheme="minorHAnsi" w:cstheme="minorHAnsi"/>
          <w:b/>
          <w:sz w:val="24"/>
        </w:rPr>
        <w:t xml:space="preserve">tak </w:t>
      </w:r>
      <w:r w:rsidR="00313968">
        <w:rPr>
          <w:rFonts w:asciiTheme="minorHAnsi" w:hAnsiTheme="minorHAnsi" w:cstheme="minorHAnsi"/>
          <w:b/>
          <w:sz w:val="24"/>
        </w:rPr>
        <w:t>byly neodůvodněně sníženy příjmy</w:t>
      </w:r>
      <w:r w:rsidR="00D367E6" w:rsidRPr="00DA13E2">
        <w:rPr>
          <w:rFonts w:asciiTheme="minorHAnsi" w:hAnsiTheme="minorHAnsi" w:cstheme="minorHAnsi"/>
          <w:b/>
          <w:sz w:val="24"/>
        </w:rPr>
        <w:t xml:space="preserve"> státního rozpočtu.</w:t>
      </w:r>
    </w:p>
    <w:p w14:paraId="59F61D34" w14:textId="77777777" w:rsidR="00463376" w:rsidRDefault="00463376" w:rsidP="00AD4ADD">
      <w:pPr>
        <w:pStyle w:val="NormlnKZ"/>
        <w:spacing w:after="0"/>
        <w:ind w:firstLine="0"/>
        <w:rPr>
          <w:rFonts w:asciiTheme="minorHAnsi" w:hAnsiTheme="minorHAnsi" w:cstheme="minorHAnsi"/>
          <w:sz w:val="24"/>
        </w:rPr>
      </w:pPr>
    </w:p>
    <w:p w14:paraId="51CB42C9" w14:textId="4B420E43" w:rsidR="00E674DF" w:rsidRPr="00624F83" w:rsidRDefault="00DA609B" w:rsidP="00E674DF">
      <w:pPr>
        <w:spacing w:after="160" w:line="259" w:lineRule="auto"/>
        <w:rPr>
          <w:b/>
        </w:rPr>
      </w:pPr>
      <w:r>
        <w:rPr>
          <w:b/>
        </w:rPr>
        <w:t>5</w:t>
      </w:r>
      <w:r w:rsidR="00E674DF">
        <w:rPr>
          <w:b/>
        </w:rPr>
        <w:t xml:space="preserve">.2 </w:t>
      </w:r>
      <w:r w:rsidR="001A79A3">
        <w:rPr>
          <w:b/>
        </w:rPr>
        <w:t>N</w:t>
      </w:r>
      <w:r w:rsidR="00624F83">
        <w:rPr>
          <w:b/>
        </w:rPr>
        <w:t>akládání s pohledávkou</w:t>
      </w:r>
    </w:p>
    <w:p w14:paraId="7DCE0344" w14:textId="2B30F64E" w:rsidR="001F4F92" w:rsidRDefault="004D5A4F" w:rsidP="00FE479E">
      <w:pPr>
        <w:spacing w:after="0"/>
        <w:jc w:val="both"/>
        <w:rPr>
          <w:b/>
        </w:rPr>
      </w:pPr>
      <w:r w:rsidRPr="00BF536A">
        <w:t>NKÚ</w:t>
      </w:r>
      <w:r w:rsidR="00466BA1" w:rsidRPr="00286B8D">
        <w:t xml:space="preserve"> </w:t>
      </w:r>
      <w:r w:rsidRPr="00286B8D">
        <w:t>zjistil</w:t>
      </w:r>
      <w:r w:rsidR="00466BA1" w:rsidRPr="00286B8D">
        <w:t xml:space="preserve">, že </w:t>
      </w:r>
      <w:r w:rsidRPr="00286B8D">
        <w:t>výše</w:t>
      </w:r>
      <w:r w:rsidR="00466BA1" w:rsidRPr="00286B8D">
        <w:t xml:space="preserve"> pohledávky, kterou mělo MMR za </w:t>
      </w:r>
      <w:r w:rsidRPr="00286B8D">
        <w:t xml:space="preserve">vyšším </w:t>
      </w:r>
      <w:r w:rsidR="00466BA1" w:rsidRPr="00286B8D">
        <w:t>územn</w:t>
      </w:r>
      <w:r w:rsidRPr="00286B8D">
        <w:t>ím</w:t>
      </w:r>
      <w:r w:rsidR="00466BA1" w:rsidRPr="00286B8D">
        <w:t xml:space="preserve"> samosprávným celkem</w:t>
      </w:r>
      <w:r w:rsidRPr="00286B8D">
        <w:t>, přesáhla</w:t>
      </w:r>
      <w:r w:rsidR="00466BA1" w:rsidRPr="00286B8D">
        <w:t xml:space="preserve"> 8 mil. Kč</w:t>
      </w:r>
      <w:r w:rsidRPr="00286B8D">
        <w:t xml:space="preserve">. </w:t>
      </w:r>
      <w:r>
        <w:t>Pohledávka vznikla</w:t>
      </w:r>
      <w:r w:rsidR="00466BA1" w:rsidRPr="00877106">
        <w:t xml:space="preserve"> </w:t>
      </w:r>
      <w:r w:rsidR="00466BA1" w:rsidRPr="00DA13E2">
        <w:t>z titulu</w:t>
      </w:r>
      <w:r w:rsidR="00466BA1" w:rsidRPr="00877106">
        <w:t xml:space="preserve"> </w:t>
      </w:r>
      <w:r w:rsidR="00466BA1">
        <w:t>r</w:t>
      </w:r>
      <w:r w:rsidR="003C3F82">
        <w:t>egresní úhrady dle ustanovení § </w:t>
      </w:r>
      <w:r w:rsidR="00466BA1" w:rsidRPr="00770506">
        <w:t>16 odst. 1 zákona č. 82/1998 Sb.</w:t>
      </w:r>
      <w:r w:rsidR="00466BA1">
        <w:t>, o odpovědnosti za škodu způsobenou při výkonu veřejné moci rozhodnutím nebo nesprávným úředním postupem a o změ</w:t>
      </w:r>
      <w:r w:rsidR="00DB0290">
        <w:t>ně zákona České národní rady č. </w:t>
      </w:r>
      <w:r w:rsidR="00466BA1">
        <w:t>358/1992 Sb., o notářích a jejich činnosti (notářský řád)</w:t>
      </w:r>
      <w:r>
        <w:t xml:space="preserve">. </w:t>
      </w:r>
      <w:r w:rsidRPr="00286B8D">
        <w:rPr>
          <w:b/>
        </w:rPr>
        <w:t>MMR neuplatnilo nárok z této pohledávky</w:t>
      </w:r>
      <w:r w:rsidR="00466BA1" w:rsidRPr="00286B8D">
        <w:rPr>
          <w:b/>
        </w:rPr>
        <w:t xml:space="preserve"> </w:t>
      </w:r>
      <w:r w:rsidRPr="00DA609B">
        <w:rPr>
          <w:b/>
        </w:rPr>
        <w:t>ve stanovené lhůtě</w:t>
      </w:r>
      <w:r w:rsidR="00466BA1" w:rsidRPr="00DA609B">
        <w:rPr>
          <w:b/>
        </w:rPr>
        <w:t xml:space="preserve"> u soudu.</w:t>
      </w:r>
      <w:r w:rsidR="002A2D90">
        <w:rPr>
          <w:b/>
        </w:rPr>
        <w:t xml:space="preserve"> </w:t>
      </w:r>
      <w:r w:rsidR="00D879BB">
        <w:t xml:space="preserve">MMR tak </w:t>
      </w:r>
      <w:r w:rsidR="00F8401C">
        <w:t>v rozp</w:t>
      </w:r>
      <w:r w:rsidR="00DB0290">
        <w:t>oru s ustanovením § 14 zákona o </w:t>
      </w:r>
      <w:r w:rsidR="00F8401C">
        <w:t xml:space="preserve">majetku </w:t>
      </w:r>
      <w:r w:rsidR="00770506" w:rsidRPr="00FE479E">
        <w:rPr>
          <w:b/>
        </w:rPr>
        <w:t>nevyužilo veškeré možné právní prostředky při uplatňování svých práv</w:t>
      </w:r>
      <w:r w:rsidR="00770506" w:rsidRPr="00877106">
        <w:rPr>
          <w:b/>
        </w:rPr>
        <w:t>.</w:t>
      </w:r>
      <w:r w:rsidR="00770506">
        <w:t xml:space="preserve"> </w:t>
      </w:r>
      <w:r w:rsidR="00AD4107">
        <w:t xml:space="preserve">V tomto případě </w:t>
      </w:r>
      <w:r w:rsidR="00770506" w:rsidRPr="00FE479E">
        <w:rPr>
          <w:b/>
        </w:rPr>
        <w:t>MMR</w:t>
      </w:r>
      <w:r w:rsidR="00770506">
        <w:t xml:space="preserve"> </w:t>
      </w:r>
      <w:r w:rsidR="00770506" w:rsidRPr="00FE479E">
        <w:rPr>
          <w:b/>
        </w:rPr>
        <w:t>včas nepřistoupilo k soudnímu vymáhání dlužné částky</w:t>
      </w:r>
      <w:r w:rsidR="00FB50A5">
        <w:rPr>
          <w:b/>
        </w:rPr>
        <w:t>,</w:t>
      </w:r>
      <w:r w:rsidR="00770506" w:rsidRPr="00FE479E">
        <w:rPr>
          <w:b/>
        </w:rPr>
        <w:t xml:space="preserve"> </w:t>
      </w:r>
      <w:r w:rsidR="00FB50A5">
        <w:rPr>
          <w:b/>
        </w:rPr>
        <w:t>čímž</w:t>
      </w:r>
      <w:r w:rsidR="00770506" w:rsidRPr="00FE479E">
        <w:rPr>
          <w:b/>
        </w:rPr>
        <w:t xml:space="preserve"> došlo</w:t>
      </w:r>
      <w:r w:rsidR="00D879BB">
        <w:rPr>
          <w:b/>
        </w:rPr>
        <w:t xml:space="preserve"> </w:t>
      </w:r>
      <w:r w:rsidR="00770506" w:rsidRPr="00FE479E">
        <w:rPr>
          <w:b/>
        </w:rPr>
        <w:t>k</w:t>
      </w:r>
      <w:r w:rsidR="00D879BB">
        <w:rPr>
          <w:b/>
        </w:rPr>
        <w:t> </w:t>
      </w:r>
      <w:r w:rsidR="00770506" w:rsidRPr="00FE479E">
        <w:rPr>
          <w:b/>
        </w:rPr>
        <w:t>promlčení</w:t>
      </w:r>
      <w:r w:rsidR="00D879BB">
        <w:rPr>
          <w:b/>
        </w:rPr>
        <w:t xml:space="preserve"> pohledávky</w:t>
      </w:r>
      <w:r w:rsidR="00313968">
        <w:rPr>
          <w:b/>
        </w:rPr>
        <w:t xml:space="preserve">. </w:t>
      </w:r>
    </w:p>
    <w:p w14:paraId="63603745" w14:textId="77777777" w:rsidR="001F4F92" w:rsidRDefault="001F4F92" w:rsidP="00FE479E">
      <w:pPr>
        <w:spacing w:after="0"/>
        <w:jc w:val="both"/>
        <w:rPr>
          <w:b/>
        </w:rPr>
      </w:pPr>
    </w:p>
    <w:p w14:paraId="7D353DBC" w14:textId="18669B42" w:rsidR="001F4F92" w:rsidRPr="00421CCE" w:rsidRDefault="00DA609B" w:rsidP="001F4F92">
      <w:pPr>
        <w:pStyle w:val="Nadpis2"/>
        <w:keepNext/>
        <w:numPr>
          <w:ilvl w:val="0"/>
          <w:numId w:val="0"/>
        </w:numPr>
        <w:spacing w:after="0" w:line="240" w:lineRule="auto"/>
        <w:contextualSpacing w:val="0"/>
        <w:rPr>
          <w:rFonts w:ascii="Calibri" w:hAnsi="Calibri" w:cs="Calibri"/>
          <w:lang w:eastAsia="cs-CZ"/>
        </w:rPr>
      </w:pPr>
      <w:r>
        <w:rPr>
          <w:rFonts w:ascii="Calibri" w:hAnsi="Calibri" w:cs="Calibri"/>
          <w:lang w:eastAsia="cs-CZ"/>
        </w:rPr>
        <w:t>6</w:t>
      </w:r>
      <w:r w:rsidR="001F4F92">
        <w:rPr>
          <w:rFonts w:ascii="Calibri" w:hAnsi="Calibri" w:cs="Calibri"/>
          <w:lang w:eastAsia="cs-CZ"/>
        </w:rPr>
        <w:t xml:space="preserve">. </w:t>
      </w:r>
      <w:r w:rsidR="001F4F92" w:rsidRPr="00421CCE">
        <w:rPr>
          <w:rFonts w:ascii="Calibri" w:hAnsi="Calibri" w:cs="Calibri"/>
          <w:lang w:eastAsia="cs-CZ"/>
        </w:rPr>
        <w:t>Vnitřní kontrolní systém</w:t>
      </w:r>
    </w:p>
    <w:p w14:paraId="7E8E562C" w14:textId="77777777" w:rsidR="001F4F92" w:rsidRPr="002C4053" w:rsidRDefault="001F4F92" w:rsidP="001F4F92">
      <w:pPr>
        <w:spacing w:after="0"/>
        <w:jc w:val="both"/>
        <w:rPr>
          <w:rFonts w:cs="Calibri"/>
          <w:highlight w:val="red"/>
        </w:rPr>
      </w:pPr>
    </w:p>
    <w:p w14:paraId="358CC002" w14:textId="335F0267" w:rsidR="001F4F92" w:rsidRPr="00421CCE" w:rsidRDefault="00DA609B" w:rsidP="001F4F92">
      <w:pPr>
        <w:rPr>
          <w:b/>
        </w:rPr>
      </w:pPr>
      <w:r>
        <w:rPr>
          <w:b/>
        </w:rPr>
        <w:t>6</w:t>
      </w:r>
      <w:r w:rsidR="001F4F92" w:rsidRPr="00421CCE">
        <w:rPr>
          <w:b/>
        </w:rPr>
        <w:t>.1</w:t>
      </w:r>
      <w:r w:rsidR="00C90E95">
        <w:rPr>
          <w:b/>
        </w:rPr>
        <w:t xml:space="preserve"> </w:t>
      </w:r>
      <w:r w:rsidR="001F4F92" w:rsidRPr="00421CCE">
        <w:rPr>
          <w:b/>
        </w:rPr>
        <w:t>Inventarizace</w:t>
      </w:r>
    </w:p>
    <w:p w14:paraId="73AEE776" w14:textId="77777777" w:rsidR="001F4F92" w:rsidRPr="00A04607" w:rsidRDefault="001F4F92" w:rsidP="001F4F92">
      <w:pPr>
        <w:spacing w:after="0"/>
        <w:jc w:val="both"/>
        <w:rPr>
          <w:rFonts w:cs="Calibri"/>
        </w:rPr>
      </w:pPr>
      <w:r w:rsidRPr="00A04607">
        <w:rPr>
          <w:rFonts w:cs="Calibri"/>
        </w:rPr>
        <w:t xml:space="preserve">Při kontrole bylo zjištěno, že </w:t>
      </w:r>
      <w:r w:rsidRPr="0042481C">
        <w:rPr>
          <w:rFonts w:cs="Calibri"/>
          <w:b/>
        </w:rPr>
        <w:t>některé kontrolní mechanismy v systému vedení účetnictví nefungovaly dostatečně spolehlivě</w:t>
      </w:r>
      <w:r w:rsidRPr="00877106">
        <w:rPr>
          <w:rFonts w:cs="Calibri"/>
          <w:b/>
        </w:rPr>
        <w:t>,</w:t>
      </w:r>
      <w:r w:rsidRPr="00A04607">
        <w:rPr>
          <w:rFonts w:cs="Calibri"/>
        </w:rPr>
        <w:t xml:space="preserve"> zejména </w:t>
      </w:r>
      <w:r w:rsidRPr="0042481C">
        <w:rPr>
          <w:rFonts w:cs="Calibri"/>
          <w:b/>
        </w:rPr>
        <w:t>inventarizace</w:t>
      </w:r>
      <w:r w:rsidRPr="00877106">
        <w:rPr>
          <w:rFonts w:cs="Calibri"/>
          <w:b/>
        </w:rPr>
        <w:t>.</w:t>
      </w:r>
      <w:r w:rsidRPr="00A04607">
        <w:rPr>
          <w:rFonts w:cs="Calibri"/>
        </w:rPr>
        <w:t xml:space="preserve"> </w:t>
      </w:r>
    </w:p>
    <w:p w14:paraId="17F298CC" w14:textId="77777777" w:rsidR="001F4F92" w:rsidRDefault="001F4F92" w:rsidP="008A03BD">
      <w:pPr>
        <w:spacing w:after="0"/>
        <w:jc w:val="both"/>
        <w:rPr>
          <w:rFonts w:cs="Calibri"/>
          <w:highlight w:val="red"/>
        </w:rPr>
      </w:pPr>
    </w:p>
    <w:p w14:paraId="50DC988F" w14:textId="77777777" w:rsidR="001F4F92" w:rsidRDefault="001F4F92" w:rsidP="008A03BD">
      <w:pPr>
        <w:spacing w:after="0"/>
        <w:jc w:val="both"/>
        <w:rPr>
          <w:rFonts w:cs="Calibri"/>
        </w:rPr>
      </w:pPr>
      <w:r w:rsidRPr="00927F39">
        <w:rPr>
          <w:rFonts w:cs="Calibri"/>
          <w:b/>
        </w:rPr>
        <w:t>MMR</w:t>
      </w:r>
      <w:r w:rsidRPr="003D238F">
        <w:rPr>
          <w:rFonts w:cs="Calibri"/>
          <w:b/>
        </w:rPr>
        <w:t xml:space="preserve"> při inventarizaci nezjistilo</w:t>
      </w:r>
      <w:r>
        <w:rPr>
          <w:rFonts w:cs="Calibri"/>
          <w:b/>
        </w:rPr>
        <w:t>, že</w:t>
      </w:r>
      <w:r>
        <w:rPr>
          <w:rFonts w:cs="Calibri"/>
        </w:rPr>
        <w:t>:</w:t>
      </w:r>
    </w:p>
    <w:p w14:paraId="39D5869B" w14:textId="5EEBF193" w:rsidR="001F4F92" w:rsidRPr="0042481C" w:rsidRDefault="001F4F92" w:rsidP="008A03BD">
      <w:pPr>
        <w:pStyle w:val="Odstavecseseznamem"/>
        <w:numPr>
          <w:ilvl w:val="0"/>
          <w:numId w:val="9"/>
        </w:numPr>
        <w:spacing w:after="0"/>
        <w:ind w:left="284" w:hanging="284"/>
        <w:contextualSpacing w:val="0"/>
        <w:jc w:val="both"/>
        <w:rPr>
          <w:rFonts w:cs="Calibri"/>
        </w:rPr>
      </w:pPr>
      <w:r w:rsidRPr="0042481C">
        <w:rPr>
          <w:rFonts w:cs="Calibri"/>
          <w:b/>
        </w:rPr>
        <w:t>na účtu 347</w:t>
      </w:r>
      <w:r w:rsidRPr="0019444D">
        <w:rPr>
          <w:rFonts w:cs="Calibri"/>
        </w:rPr>
        <w:t xml:space="preserve"> – </w:t>
      </w:r>
      <w:r w:rsidRPr="0019444D">
        <w:rPr>
          <w:rFonts w:cs="Calibri"/>
          <w:i/>
        </w:rPr>
        <w:t>Závazky k vybraným ústředním vládním institucím</w:t>
      </w:r>
      <w:r w:rsidRPr="0019444D">
        <w:rPr>
          <w:rFonts w:cs="Calibri"/>
        </w:rPr>
        <w:t xml:space="preserve"> </w:t>
      </w:r>
      <w:r w:rsidRPr="0042481C">
        <w:rPr>
          <w:rFonts w:cs="Calibri"/>
          <w:b/>
        </w:rPr>
        <w:t>vykazuje i závazek, který ve skutečnosti závazkem MMR nebyl</w:t>
      </w:r>
      <w:r>
        <w:rPr>
          <w:rFonts w:cs="Calibri"/>
          <w:b/>
        </w:rPr>
        <w:t xml:space="preserve"> </w:t>
      </w:r>
      <w:r w:rsidRPr="0042481C">
        <w:rPr>
          <w:rFonts w:cs="Calibri"/>
        </w:rPr>
        <w:t xml:space="preserve">(blíže viz </w:t>
      </w:r>
      <w:r w:rsidR="0090721E">
        <w:rPr>
          <w:rFonts w:cs="Calibri"/>
        </w:rPr>
        <w:t>část</w:t>
      </w:r>
      <w:r w:rsidR="0090721E" w:rsidRPr="0042481C">
        <w:rPr>
          <w:rFonts w:cs="Calibri"/>
        </w:rPr>
        <w:t xml:space="preserve"> </w:t>
      </w:r>
      <w:r w:rsidRPr="00C90E95">
        <w:rPr>
          <w:rFonts w:cs="Calibri"/>
        </w:rPr>
        <w:t>IV.1.11</w:t>
      </w:r>
      <w:r w:rsidRPr="0042481C">
        <w:rPr>
          <w:rFonts w:cs="Calibri"/>
        </w:rPr>
        <w:t xml:space="preserve"> tohoto kontrolního závěru),</w:t>
      </w:r>
    </w:p>
    <w:p w14:paraId="4F99CE49" w14:textId="660BACE5" w:rsidR="001F4F92" w:rsidRDefault="001F4F92" w:rsidP="008A03BD">
      <w:pPr>
        <w:pStyle w:val="Odstavecseseznamem"/>
        <w:numPr>
          <w:ilvl w:val="0"/>
          <w:numId w:val="9"/>
        </w:numPr>
        <w:spacing w:after="0"/>
        <w:ind w:left="284" w:hanging="284"/>
        <w:contextualSpacing w:val="0"/>
        <w:jc w:val="both"/>
        <w:rPr>
          <w:rFonts w:cs="Calibri"/>
        </w:rPr>
      </w:pPr>
      <w:r>
        <w:rPr>
          <w:rFonts w:cs="Calibri"/>
          <w:b/>
        </w:rPr>
        <w:t>na účtu 377</w:t>
      </w:r>
      <w:r w:rsidR="007F42B0">
        <w:rPr>
          <w:rFonts w:cs="Calibri"/>
        </w:rPr>
        <w:t xml:space="preserve"> </w:t>
      </w:r>
      <w:r w:rsidR="007F42B0" w:rsidRPr="0019444D">
        <w:rPr>
          <w:rFonts w:cs="Calibri"/>
        </w:rPr>
        <w:t>–</w:t>
      </w:r>
      <w:r>
        <w:rPr>
          <w:rFonts w:cs="Calibri"/>
        </w:rPr>
        <w:t xml:space="preserve"> </w:t>
      </w:r>
      <w:r w:rsidRPr="003D238F">
        <w:rPr>
          <w:rFonts w:cs="Calibri"/>
          <w:i/>
        </w:rPr>
        <w:t>Ostatní krátkodobé pohledávky</w:t>
      </w:r>
      <w:r>
        <w:rPr>
          <w:rFonts w:cs="Calibri"/>
        </w:rPr>
        <w:t xml:space="preserve"> vykazuje i pohledávku, která přestala právně existovat,</w:t>
      </w:r>
    </w:p>
    <w:p w14:paraId="45A1CB90" w14:textId="02C1DCAE" w:rsidR="001A79A3" w:rsidRPr="0019444D" w:rsidRDefault="001F4F92" w:rsidP="008A03BD">
      <w:pPr>
        <w:pStyle w:val="Odstavecseseznamem"/>
        <w:numPr>
          <w:ilvl w:val="0"/>
          <w:numId w:val="9"/>
        </w:numPr>
        <w:spacing w:after="0"/>
        <w:ind w:left="284" w:hanging="284"/>
        <w:contextualSpacing w:val="0"/>
        <w:jc w:val="both"/>
        <w:rPr>
          <w:rFonts w:cs="Calibri"/>
        </w:rPr>
      </w:pPr>
      <w:r w:rsidRPr="0042481C">
        <w:rPr>
          <w:rFonts w:cs="Calibri"/>
          <w:b/>
        </w:rPr>
        <w:t>na účtu 389</w:t>
      </w:r>
      <w:r w:rsidRPr="0019444D">
        <w:rPr>
          <w:rFonts w:cs="Calibri"/>
        </w:rPr>
        <w:t xml:space="preserve"> – </w:t>
      </w:r>
      <w:r w:rsidRPr="0019444D">
        <w:rPr>
          <w:rFonts w:cs="Calibri"/>
          <w:i/>
        </w:rPr>
        <w:t>Dohadné účty pasivní</w:t>
      </w:r>
      <w:r w:rsidRPr="0019444D">
        <w:rPr>
          <w:rFonts w:cs="Calibri"/>
        </w:rPr>
        <w:t xml:space="preserve"> </w:t>
      </w:r>
      <w:r w:rsidRPr="0042481C">
        <w:rPr>
          <w:rFonts w:cs="Calibri"/>
          <w:b/>
        </w:rPr>
        <w:t>a</w:t>
      </w:r>
      <w:r w:rsidRPr="0019444D">
        <w:rPr>
          <w:rFonts w:cs="Calibri"/>
        </w:rPr>
        <w:t xml:space="preserve"> na účtu </w:t>
      </w:r>
      <w:r w:rsidRPr="0042481C">
        <w:rPr>
          <w:rFonts w:cs="Calibri"/>
          <w:b/>
        </w:rPr>
        <w:t>373</w:t>
      </w:r>
      <w:r w:rsidRPr="0019444D">
        <w:rPr>
          <w:rFonts w:cs="Calibri"/>
        </w:rPr>
        <w:t xml:space="preserve"> – </w:t>
      </w:r>
      <w:r w:rsidR="008A03BD">
        <w:rPr>
          <w:rFonts w:cs="Calibri"/>
          <w:i/>
        </w:rPr>
        <w:t xml:space="preserve">Krátkodobé poskytnuté zálohy na </w:t>
      </w:r>
      <w:r w:rsidRPr="0019444D">
        <w:rPr>
          <w:rFonts w:cs="Calibri"/>
          <w:i/>
        </w:rPr>
        <w:t>transfery</w:t>
      </w:r>
      <w:r w:rsidRPr="0019444D">
        <w:rPr>
          <w:rFonts w:cs="Calibri"/>
        </w:rPr>
        <w:t xml:space="preserve"> </w:t>
      </w:r>
      <w:r w:rsidRPr="0042481C">
        <w:rPr>
          <w:rFonts w:cs="Calibri"/>
          <w:b/>
        </w:rPr>
        <w:t xml:space="preserve">vykazuje poskytnuté zálohy na transfery, přestože </w:t>
      </w:r>
      <w:r>
        <w:rPr>
          <w:rFonts w:cs="Calibri"/>
          <w:b/>
        </w:rPr>
        <w:t>účetní případy vykazované na těchto účtech</w:t>
      </w:r>
      <w:r w:rsidRPr="0042481C">
        <w:rPr>
          <w:rFonts w:cs="Calibri"/>
          <w:b/>
        </w:rPr>
        <w:t xml:space="preserve"> již byly v minulosti vyúčtov</w:t>
      </w:r>
      <w:r w:rsidRPr="003D238F">
        <w:rPr>
          <w:rFonts w:cs="Calibri"/>
          <w:b/>
        </w:rPr>
        <w:t>ány</w:t>
      </w:r>
      <w:r w:rsidR="001A79A3">
        <w:rPr>
          <w:rFonts w:cs="Calibri"/>
          <w:b/>
        </w:rPr>
        <w:t>.</w:t>
      </w:r>
    </w:p>
    <w:p w14:paraId="2B65F062" w14:textId="77777777" w:rsidR="008A03BD" w:rsidRPr="008A03BD" w:rsidRDefault="008A03BD" w:rsidP="008A03BD">
      <w:pPr>
        <w:spacing w:after="0"/>
        <w:jc w:val="both"/>
        <w:rPr>
          <w:rFonts w:cs="Calibri"/>
        </w:rPr>
      </w:pPr>
    </w:p>
    <w:p w14:paraId="67787730" w14:textId="410DBBEC" w:rsidR="00595C6F" w:rsidRDefault="001A79A3" w:rsidP="008A03BD">
      <w:pPr>
        <w:spacing w:after="0"/>
        <w:jc w:val="both"/>
        <w:rPr>
          <w:rFonts w:cs="Calibri"/>
        </w:rPr>
      </w:pPr>
      <w:r w:rsidRPr="001A79A3">
        <w:rPr>
          <w:rFonts w:cs="Calibri"/>
          <w:b/>
        </w:rPr>
        <w:lastRenderedPageBreak/>
        <w:t>U</w:t>
      </w:r>
      <w:r w:rsidR="001F4F92" w:rsidRPr="001A79A3">
        <w:rPr>
          <w:rFonts w:cs="Calibri"/>
          <w:b/>
        </w:rPr>
        <w:t xml:space="preserve"> některých podrozvahových pohledávek a závazků </w:t>
      </w:r>
      <w:r w:rsidRPr="001A79A3">
        <w:rPr>
          <w:rFonts w:cs="Calibri"/>
          <w:b/>
        </w:rPr>
        <w:t xml:space="preserve">MMR </w:t>
      </w:r>
      <w:r w:rsidR="001F4F92" w:rsidRPr="001A79A3">
        <w:rPr>
          <w:rFonts w:cs="Calibri"/>
          <w:b/>
        </w:rPr>
        <w:t>neprovedlo zjištění skutečného stavu inventurou</w:t>
      </w:r>
      <w:r w:rsidR="001F4F92" w:rsidRPr="001A79A3">
        <w:rPr>
          <w:rFonts w:cs="Calibri"/>
        </w:rPr>
        <w:t xml:space="preserve"> (blíže viz </w:t>
      </w:r>
      <w:r w:rsidR="0090721E">
        <w:rPr>
          <w:rFonts w:cs="Calibri"/>
        </w:rPr>
        <w:t>část</w:t>
      </w:r>
      <w:r w:rsidR="0090721E" w:rsidRPr="001A79A3">
        <w:rPr>
          <w:rFonts w:cs="Calibri"/>
        </w:rPr>
        <w:t xml:space="preserve"> </w:t>
      </w:r>
      <w:r w:rsidR="007F4097" w:rsidRPr="001A79A3">
        <w:rPr>
          <w:rFonts w:cs="Calibri"/>
        </w:rPr>
        <w:t xml:space="preserve">IV.1.4, </w:t>
      </w:r>
      <w:r w:rsidR="001F4F92" w:rsidRPr="001A79A3">
        <w:rPr>
          <w:rFonts w:cs="Calibri"/>
        </w:rPr>
        <w:t>IV.1.8 a IV.1.9 tohoto kontrolního závěru).</w:t>
      </w:r>
    </w:p>
    <w:p w14:paraId="46EF11E5" w14:textId="77777777" w:rsidR="008A03BD" w:rsidRPr="00B507A7" w:rsidRDefault="008A03BD" w:rsidP="008A03BD">
      <w:pPr>
        <w:spacing w:after="0"/>
        <w:jc w:val="both"/>
        <w:rPr>
          <w:rFonts w:cs="Calibri"/>
        </w:rPr>
      </w:pPr>
    </w:p>
    <w:p w14:paraId="13816380" w14:textId="790E08DA" w:rsidR="0029328F" w:rsidRDefault="00595C6F" w:rsidP="008A03BD">
      <w:pPr>
        <w:spacing w:after="0"/>
        <w:jc w:val="both"/>
        <w:rPr>
          <w:rFonts w:cs="Calibri"/>
        </w:rPr>
      </w:pPr>
      <w:r>
        <w:rPr>
          <w:rFonts w:cs="Calibri"/>
          <w:b/>
        </w:rPr>
        <w:t>Inventarizační rozdíly, které</w:t>
      </w:r>
      <w:r w:rsidR="001F4F92">
        <w:rPr>
          <w:rFonts w:cs="Calibri"/>
          <w:b/>
        </w:rPr>
        <w:t xml:space="preserve"> MMR při inventarizaci</w:t>
      </w:r>
      <w:r>
        <w:rPr>
          <w:rFonts w:cs="Calibri"/>
          <w:b/>
        </w:rPr>
        <w:t xml:space="preserve"> </w:t>
      </w:r>
      <w:r w:rsidR="001F4F92">
        <w:rPr>
          <w:rFonts w:cs="Calibri"/>
          <w:b/>
        </w:rPr>
        <w:t>zjistilo, ne</w:t>
      </w:r>
      <w:r w:rsidR="007F4097">
        <w:rPr>
          <w:rFonts w:cs="Calibri"/>
          <w:b/>
        </w:rPr>
        <w:t>vy</w:t>
      </w:r>
      <w:r w:rsidR="001F4F92">
        <w:rPr>
          <w:rFonts w:cs="Calibri"/>
          <w:b/>
        </w:rPr>
        <w:t xml:space="preserve">účtovalo </w:t>
      </w:r>
      <w:r w:rsidR="001F4F92" w:rsidRPr="0042481C">
        <w:rPr>
          <w:rFonts w:cs="Calibri"/>
          <w:b/>
        </w:rPr>
        <w:t>ve všech případech do účetního období, za které se inventarizací ověřoval stav majetku a závazků</w:t>
      </w:r>
      <w:r w:rsidR="001F4F92" w:rsidRPr="00877106">
        <w:rPr>
          <w:rFonts w:cs="Calibri"/>
          <w:b/>
        </w:rPr>
        <w:t>.</w:t>
      </w:r>
      <w:r w:rsidR="001F4F92">
        <w:rPr>
          <w:rFonts w:cs="Calibri"/>
        </w:rPr>
        <w:t xml:space="preserve"> Jednalo se například o zjištěný inventarizační rozdíl ve výši 14 mil. Kč způsobený nesprávným opakovaným</w:t>
      </w:r>
      <w:r w:rsidR="00074829">
        <w:rPr>
          <w:rFonts w:cs="Calibri"/>
        </w:rPr>
        <w:t>,</w:t>
      </w:r>
      <w:r w:rsidR="001F4F92">
        <w:rPr>
          <w:rFonts w:cs="Calibri"/>
        </w:rPr>
        <w:t xml:space="preserve"> tzn. dvojím odúčtováním podmíněné pohledávky z předfinancování transferů. V důsledku této skutečnosti </w:t>
      </w:r>
      <w:r w:rsidR="001F4F92" w:rsidRPr="0042481C">
        <w:rPr>
          <w:rFonts w:cs="Calibri"/>
          <w:b/>
        </w:rPr>
        <w:t>MMR v</w:t>
      </w:r>
      <w:r w:rsidR="001F4F92">
        <w:rPr>
          <w:rFonts w:cs="Calibri"/>
          <w:b/>
        </w:rPr>
        <w:t> </w:t>
      </w:r>
      <w:r w:rsidR="001F4F92" w:rsidRPr="0042481C">
        <w:rPr>
          <w:rFonts w:cs="Calibri"/>
          <w:b/>
        </w:rPr>
        <w:t>příloze</w:t>
      </w:r>
      <w:r w:rsidR="001F4F92">
        <w:rPr>
          <w:rFonts w:cs="Calibri"/>
          <w:b/>
        </w:rPr>
        <w:t xml:space="preserve"> ÚZ</w:t>
      </w:r>
      <w:r w:rsidR="001F4F92">
        <w:rPr>
          <w:rFonts w:cs="Calibri"/>
        </w:rPr>
        <w:t xml:space="preserve"> v údajích za </w:t>
      </w:r>
      <w:r w:rsidR="001F4F92" w:rsidRPr="00A04607">
        <w:rPr>
          <w:rFonts w:cs="Calibri"/>
        </w:rPr>
        <w:t xml:space="preserve">běžné účetní období </w:t>
      </w:r>
      <w:r w:rsidR="001F4F92" w:rsidRPr="0042481C">
        <w:rPr>
          <w:rFonts w:cs="Calibri"/>
          <w:b/>
        </w:rPr>
        <w:t>podhodnotilo</w:t>
      </w:r>
      <w:r w:rsidR="001F4F92" w:rsidRPr="00A04607">
        <w:rPr>
          <w:rFonts w:cs="Calibri"/>
        </w:rPr>
        <w:t xml:space="preserve"> zůstatek účtu</w:t>
      </w:r>
      <w:r w:rsidR="001F4F92">
        <w:rPr>
          <w:rFonts w:cs="Calibri"/>
        </w:rPr>
        <w:t xml:space="preserve"> </w:t>
      </w:r>
      <w:r w:rsidR="001F4F92" w:rsidRPr="0042481C">
        <w:rPr>
          <w:rFonts w:cs="Calibri"/>
          <w:b/>
        </w:rPr>
        <w:t>911</w:t>
      </w:r>
      <w:r w:rsidR="001F4F92" w:rsidRPr="00A04607">
        <w:rPr>
          <w:rFonts w:cs="Calibri"/>
        </w:rPr>
        <w:t xml:space="preserve"> – </w:t>
      </w:r>
      <w:r w:rsidR="001F4F92" w:rsidRPr="00A04607">
        <w:rPr>
          <w:rFonts w:cs="Calibri"/>
          <w:i/>
        </w:rPr>
        <w:t>Krátkodobé podmíněné pohledávky z předfinancování transferů</w:t>
      </w:r>
      <w:r w:rsidR="001F4F92">
        <w:rPr>
          <w:rFonts w:cs="Calibri"/>
        </w:rPr>
        <w:t xml:space="preserve"> </w:t>
      </w:r>
      <w:r w:rsidR="001F4F92" w:rsidRPr="0042481C">
        <w:rPr>
          <w:rFonts w:cs="Calibri"/>
          <w:b/>
        </w:rPr>
        <w:t>o</w:t>
      </w:r>
      <w:r w:rsidR="008A03BD">
        <w:rPr>
          <w:rFonts w:cs="Calibri"/>
          <w:b/>
        </w:rPr>
        <w:t> </w:t>
      </w:r>
      <w:r w:rsidR="001F4F92" w:rsidRPr="0042481C">
        <w:rPr>
          <w:rFonts w:cs="Calibri"/>
          <w:b/>
        </w:rPr>
        <w:t>14</w:t>
      </w:r>
      <w:r w:rsidR="008A03BD">
        <w:rPr>
          <w:rFonts w:cs="Calibri"/>
          <w:b/>
        </w:rPr>
        <w:t> </w:t>
      </w:r>
      <w:r w:rsidR="001F4F92" w:rsidRPr="0042481C">
        <w:rPr>
          <w:rFonts w:cs="Calibri"/>
          <w:b/>
        </w:rPr>
        <w:t>mil.</w:t>
      </w:r>
      <w:r w:rsidR="008A03BD">
        <w:rPr>
          <w:rFonts w:cs="Calibri"/>
          <w:b/>
        </w:rPr>
        <w:t> </w:t>
      </w:r>
      <w:r w:rsidR="001F4F92" w:rsidRPr="0042481C">
        <w:rPr>
          <w:rFonts w:cs="Calibri"/>
          <w:b/>
        </w:rPr>
        <w:t>Kč</w:t>
      </w:r>
      <w:r w:rsidR="001F4F92" w:rsidRPr="00877106">
        <w:rPr>
          <w:rFonts w:cs="Calibri"/>
          <w:b/>
        </w:rPr>
        <w:t>.</w:t>
      </w:r>
      <w:r w:rsidR="0029328F">
        <w:rPr>
          <w:rFonts w:cs="Calibri"/>
        </w:rPr>
        <w:t xml:space="preserve"> </w:t>
      </w:r>
      <w:r w:rsidR="001F4F92" w:rsidRPr="00E3593D">
        <w:rPr>
          <w:rFonts w:asciiTheme="minorHAnsi" w:hAnsiTheme="minorHAnsi" w:cstheme="minorHAnsi"/>
          <w:b/>
        </w:rPr>
        <w:t xml:space="preserve">Inventarizace </w:t>
      </w:r>
      <w:r>
        <w:rPr>
          <w:rFonts w:asciiTheme="minorHAnsi" w:hAnsiTheme="minorHAnsi" w:cstheme="minorHAnsi"/>
          <w:b/>
        </w:rPr>
        <w:t>tak na</w:t>
      </w:r>
      <w:r w:rsidR="001F4F92" w:rsidRPr="00E3593D">
        <w:rPr>
          <w:rFonts w:asciiTheme="minorHAnsi" w:hAnsiTheme="minorHAnsi" w:cstheme="minorHAnsi"/>
          <w:b/>
        </w:rPr>
        <w:t xml:space="preserve"> </w:t>
      </w:r>
      <w:r w:rsidR="001F4F92">
        <w:rPr>
          <w:rFonts w:asciiTheme="minorHAnsi" w:hAnsiTheme="minorHAnsi" w:cstheme="minorHAnsi"/>
          <w:b/>
        </w:rPr>
        <w:t>MMR</w:t>
      </w:r>
      <w:r>
        <w:rPr>
          <w:rFonts w:asciiTheme="minorHAnsi" w:hAnsiTheme="minorHAnsi" w:cstheme="minorHAnsi"/>
          <w:b/>
        </w:rPr>
        <w:t xml:space="preserve"> nebyla</w:t>
      </w:r>
      <w:r w:rsidR="001F4F92">
        <w:rPr>
          <w:rFonts w:asciiTheme="minorHAnsi" w:hAnsiTheme="minorHAnsi" w:cstheme="minorHAnsi"/>
          <w:b/>
        </w:rPr>
        <w:t xml:space="preserve"> </w:t>
      </w:r>
      <w:r w:rsidR="001F4F92" w:rsidRPr="00E3593D">
        <w:rPr>
          <w:rFonts w:asciiTheme="minorHAnsi" w:hAnsiTheme="minorHAnsi" w:cstheme="minorHAnsi"/>
          <w:b/>
        </w:rPr>
        <w:t xml:space="preserve">provedena </w:t>
      </w:r>
      <w:r w:rsidR="0029328F">
        <w:rPr>
          <w:rFonts w:asciiTheme="minorHAnsi" w:hAnsiTheme="minorHAnsi" w:cstheme="minorHAnsi"/>
          <w:b/>
        </w:rPr>
        <w:t>v souladu se zákonem o</w:t>
      </w:r>
      <w:r w:rsidR="008A03BD">
        <w:rPr>
          <w:rFonts w:asciiTheme="minorHAnsi" w:hAnsiTheme="minorHAnsi" w:cstheme="minorHAnsi"/>
          <w:b/>
        </w:rPr>
        <w:t> </w:t>
      </w:r>
      <w:r w:rsidR="0029328F">
        <w:rPr>
          <w:rFonts w:asciiTheme="minorHAnsi" w:hAnsiTheme="minorHAnsi" w:cstheme="minorHAnsi"/>
          <w:b/>
        </w:rPr>
        <w:t>účetnictví.</w:t>
      </w:r>
      <w:r w:rsidR="0029328F">
        <w:rPr>
          <w:rFonts w:cs="Calibri"/>
        </w:rPr>
        <w:t xml:space="preserve"> </w:t>
      </w:r>
    </w:p>
    <w:p w14:paraId="65D2F107" w14:textId="77777777" w:rsidR="0029328F" w:rsidRDefault="0029328F" w:rsidP="008A03BD">
      <w:pPr>
        <w:spacing w:after="0"/>
        <w:jc w:val="both"/>
        <w:rPr>
          <w:rFonts w:cs="Calibri"/>
        </w:rPr>
      </w:pPr>
    </w:p>
    <w:p w14:paraId="687576FA" w14:textId="77777777" w:rsidR="001F4F92" w:rsidRPr="0029328F" w:rsidRDefault="001F4F92" w:rsidP="008A03BD">
      <w:pPr>
        <w:spacing w:after="0"/>
        <w:jc w:val="both"/>
        <w:rPr>
          <w:rFonts w:cs="Calibri"/>
          <w:highlight w:val="red"/>
        </w:rPr>
      </w:pPr>
      <w:r w:rsidRPr="00FA1361">
        <w:rPr>
          <w:rFonts w:cs="Calibri"/>
        </w:rPr>
        <w:t xml:space="preserve">V důsledku </w:t>
      </w:r>
      <w:r w:rsidR="0029328F">
        <w:rPr>
          <w:rFonts w:cs="Calibri"/>
        </w:rPr>
        <w:t>výše uvedených</w:t>
      </w:r>
      <w:r w:rsidRPr="00FA1361">
        <w:rPr>
          <w:rFonts w:cs="Calibri"/>
        </w:rPr>
        <w:t xml:space="preserve"> skutečností </w:t>
      </w:r>
      <w:r w:rsidRPr="00FA1361">
        <w:rPr>
          <w:rFonts w:cs="Calibri"/>
          <w:b/>
        </w:rPr>
        <w:t>MMR v roce 2018</w:t>
      </w:r>
      <w:r w:rsidRPr="00FA1361">
        <w:rPr>
          <w:rFonts w:cs="Calibri"/>
        </w:rPr>
        <w:t xml:space="preserve"> </w:t>
      </w:r>
      <w:r w:rsidRPr="00FA1361">
        <w:rPr>
          <w:rFonts w:cs="Calibri"/>
          <w:b/>
        </w:rPr>
        <w:t>nevedlo úplné, správné a průkazné účetnictví</w:t>
      </w:r>
      <w:r w:rsidRPr="00FA1361">
        <w:rPr>
          <w:rFonts w:cs="Calibri"/>
        </w:rPr>
        <w:t xml:space="preserve"> ve smyslu ustanovení § 8 odst. 1, 2 a 3 zákona o </w:t>
      </w:r>
      <w:r w:rsidRPr="00A71002">
        <w:rPr>
          <w:rFonts w:cs="Calibri"/>
        </w:rPr>
        <w:t>účetnictví</w:t>
      </w:r>
      <w:r w:rsidRPr="00FA1361">
        <w:rPr>
          <w:rFonts w:cs="Calibri"/>
        </w:rPr>
        <w:t>.</w:t>
      </w:r>
    </w:p>
    <w:p w14:paraId="7D624210" w14:textId="77777777" w:rsidR="001F4F92" w:rsidRPr="002C4053" w:rsidRDefault="001F4F92" w:rsidP="008A03BD">
      <w:pPr>
        <w:spacing w:after="0"/>
        <w:jc w:val="both"/>
        <w:rPr>
          <w:rFonts w:cs="Calibri"/>
          <w:highlight w:val="red"/>
        </w:rPr>
      </w:pPr>
    </w:p>
    <w:p w14:paraId="3D8D5992" w14:textId="2ADF3780" w:rsidR="001F4F92" w:rsidRPr="00421CCE" w:rsidRDefault="00DA609B" w:rsidP="001F4F92">
      <w:pPr>
        <w:rPr>
          <w:b/>
        </w:rPr>
      </w:pPr>
      <w:r>
        <w:rPr>
          <w:b/>
        </w:rPr>
        <w:t>6</w:t>
      </w:r>
      <w:r w:rsidR="001F4F92" w:rsidRPr="00421CCE">
        <w:rPr>
          <w:b/>
        </w:rPr>
        <w:t>.2 Interní audit</w:t>
      </w:r>
    </w:p>
    <w:p w14:paraId="72B21652" w14:textId="3B545922" w:rsidR="001F4F92" w:rsidRPr="005F61DD" w:rsidRDefault="001F4F92" w:rsidP="001F4F92">
      <w:pPr>
        <w:spacing w:after="0"/>
        <w:jc w:val="both"/>
        <w:rPr>
          <w:rFonts w:asciiTheme="minorHAnsi" w:eastAsiaTheme="minorHAnsi" w:hAnsiTheme="minorHAnsi" w:cstheme="minorHAnsi"/>
          <w:highlight w:val="red"/>
        </w:rPr>
      </w:pPr>
      <w:r w:rsidRPr="007F0A88">
        <w:rPr>
          <w:rFonts w:asciiTheme="minorHAnsi" w:eastAsiaTheme="minorHAnsi" w:hAnsiTheme="minorHAnsi" w:cstheme="minorHAnsi"/>
          <w:b/>
        </w:rPr>
        <w:t>Žádný z interních auditů provedených v roce 2018 se nezaměřil na to, zda údaje vykázané v účetních výkazech věrně zobrazují majetek, zdroje jeho financování a hospodaření s ním</w:t>
      </w:r>
      <w:r w:rsidRPr="005F61DD">
        <w:rPr>
          <w:rStyle w:val="Znakapoznpodarou"/>
          <w:rFonts w:asciiTheme="minorHAnsi" w:eastAsiaTheme="minorHAnsi" w:hAnsiTheme="minorHAnsi" w:cstheme="minorHAnsi"/>
        </w:rPr>
        <w:footnoteReference w:id="39"/>
      </w:r>
      <w:r w:rsidRPr="005F61DD">
        <w:rPr>
          <w:rFonts w:asciiTheme="minorHAnsi" w:eastAsiaTheme="minorHAnsi" w:hAnsiTheme="minorHAnsi" w:cstheme="minorHAnsi"/>
        </w:rPr>
        <w:t xml:space="preserve">. </w:t>
      </w:r>
      <w:r w:rsidRPr="007F0A88">
        <w:rPr>
          <w:rFonts w:asciiTheme="minorHAnsi" w:eastAsiaTheme="minorHAnsi" w:hAnsiTheme="minorHAnsi" w:cstheme="minorHAnsi"/>
          <w:b/>
        </w:rPr>
        <w:t>Roční zpráva o výsledcích interního auditu</w:t>
      </w:r>
      <w:r w:rsidRPr="005F61DD">
        <w:rPr>
          <w:rFonts w:asciiTheme="minorHAnsi" w:eastAsiaTheme="minorHAnsi" w:hAnsiTheme="minorHAnsi" w:cstheme="minorHAnsi"/>
        </w:rPr>
        <w:t xml:space="preserve"> MMR za rok 2018 </w:t>
      </w:r>
      <w:r w:rsidRPr="007F0A88">
        <w:rPr>
          <w:rFonts w:asciiTheme="minorHAnsi" w:eastAsiaTheme="minorHAnsi" w:hAnsiTheme="minorHAnsi" w:cstheme="minorHAnsi"/>
          <w:b/>
        </w:rPr>
        <w:t>neobsahovala</w:t>
      </w:r>
      <w:r w:rsidRPr="005F61DD">
        <w:rPr>
          <w:rFonts w:asciiTheme="minorHAnsi" w:eastAsiaTheme="minorHAnsi" w:hAnsiTheme="minorHAnsi" w:cstheme="minorHAnsi"/>
        </w:rPr>
        <w:t xml:space="preserve"> v rozporu s</w:t>
      </w:r>
      <w:r w:rsidR="00E01C21">
        <w:rPr>
          <w:rFonts w:asciiTheme="minorHAnsi" w:eastAsiaTheme="minorHAnsi" w:hAnsiTheme="minorHAnsi" w:cstheme="minorHAnsi"/>
        </w:rPr>
        <w:t xml:space="preserve"> ustanovením </w:t>
      </w:r>
      <w:r w:rsidRPr="005F61DD">
        <w:rPr>
          <w:rFonts w:asciiTheme="minorHAnsi" w:eastAsiaTheme="minorHAnsi" w:hAnsiTheme="minorHAnsi" w:cstheme="minorHAnsi"/>
        </w:rPr>
        <w:t xml:space="preserve">§ 31 odst. 3 písm. a) zákona o finanční kontrole </w:t>
      </w:r>
      <w:r w:rsidRPr="007F0A88">
        <w:rPr>
          <w:rFonts w:asciiTheme="minorHAnsi" w:eastAsiaTheme="minorHAnsi" w:hAnsiTheme="minorHAnsi" w:cstheme="minorHAnsi"/>
          <w:b/>
        </w:rPr>
        <w:t>zhodnocení kvality vnitřního kontrolního systému</w:t>
      </w:r>
      <w:r w:rsidRPr="00877106">
        <w:rPr>
          <w:rFonts w:asciiTheme="minorHAnsi" w:eastAsiaTheme="minorHAnsi" w:hAnsiTheme="minorHAnsi" w:cstheme="minorHAnsi"/>
          <w:b/>
        </w:rPr>
        <w:t>.</w:t>
      </w:r>
      <w:r w:rsidRPr="005F61DD">
        <w:rPr>
          <w:rFonts w:asciiTheme="minorHAnsi" w:eastAsiaTheme="minorHAnsi" w:hAnsiTheme="minorHAnsi" w:cstheme="minorHAnsi"/>
        </w:rPr>
        <w:t xml:space="preserve"> </w:t>
      </w:r>
      <w:r w:rsidRPr="007F0A88">
        <w:rPr>
          <w:rFonts w:asciiTheme="minorHAnsi" w:eastAsiaTheme="minorHAnsi" w:hAnsiTheme="minorHAnsi" w:cstheme="minorHAnsi"/>
          <w:b/>
        </w:rPr>
        <w:t>Zpráva o výsledcích finančních kontrol</w:t>
      </w:r>
      <w:r w:rsidRPr="005F61DD">
        <w:rPr>
          <w:rFonts w:asciiTheme="minorHAnsi" w:eastAsiaTheme="minorHAnsi" w:hAnsiTheme="minorHAnsi" w:cstheme="minorHAnsi"/>
        </w:rPr>
        <w:t xml:space="preserve"> MMR za rok 2018 za OSS MMR </w:t>
      </w:r>
      <w:r w:rsidRPr="007F0A88">
        <w:rPr>
          <w:rFonts w:asciiTheme="minorHAnsi" w:eastAsiaTheme="minorHAnsi" w:hAnsiTheme="minorHAnsi" w:cstheme="minorHAnsi"/>
          <w:b/>
        </w:rPr>
        <w:t>nebyla</w:t>
      </w:r>
      <w:r w:rsidRPr="005F61DD">
        <w:rPr>
          <w:rFonts w:asciiTheme="minorHAnsi" w:eastAsiaTheme="minorHAnsi" w:hAnsiTheme="minorHAnsi" w:cstheme="minorHAnsi"/>
        </w:rPr>
        <w:t xml:space="preserve"> v rozporu s § 32 odst. 1 písm. a) zákona o finanční kontrole a přílohou č. </w:t>
      </w:r>
      <w:r w:rsidR="00E01C21">
        <w:rPr>
          <w:rFonts w:asciiTheme="minorHAnsi" w:eastAsiaTheme="minorHAnsi" w:hAnsiTheme="minorHAnsi" w:cstheme="minorHAnsi"/>
        </w:rPr>
        <w:t>1a vyhlášky č. </w:t>
      </w:r>
      <w:r w:rsidRPr="005F61DD">
        <w:rPr>
          <w:rFonts w:asciiTheme="minorHAnsi" w:eastAsiaTheme="minorHAnsi" w:hAnsiTheme="minorHAnsi" w:cstheme="minorHAnsi"/>
        </w:rPr>
        <w:t xml:space="preserve">416/2004 Sb. </w:t>
      </w:r>
      <w:r w:rsidRPr="007F0A88">
        <w:rPr>
          <w:rFonts w:asciiTheme="minorHAnsi" w:eastAsiaTheme="minorHAnsi" w:hAnsiTheme="minorHAnsi" w:cstheme="minorHAnsi"/>
          <w:b/>
        </w:rPr>
        <w:t>zpracována v požadované struktuře a rozsahu</w:t>
      </w:r>
      <w:r w:rsidRPr="005F61DD">
        <w:rPr>
          <w:rFonts w:asciiTheme="minorHAnsi" w:eastAsiaTheme="minorHAnsi" w:hAnsiTheme="minorHAnsi" w:cstheme="minorHAnsi"/>
        </w:rPr>
        <w:t xml:space="preserve"> (chybělo uvedení zhodnocení výsledků říd</w:t>
      </w:r>
      <w:r>
        <w:rPr>
          <w:rFonts w:asciiTheme="minorHAnsi" w:eastAsiaTheme="minorHAnsi" w:hAnsiTheme="minorHAnsi" w:cstheme="minorHAnsi"/>
        </w:rPr>
        <w:t>i</w:t>
      </w:r>
      <w:r w:rsidRPr="005F61DD">
        <w:rPr>
          <w:rFonts w:asciiTheme="minorHAnsi" w:eastAsiaTheme="minorHAnsi" w:hAnsiTheme="minorHAnsi" w:cstheme="minorHAnsi"/>
        </w:rPr>
        <w:t xml:space="preserve">cí kontroly a zhodnocení přiměřenosti a účinnosti vnitřního kontrolního systému). </w:t>
      </w:r>
    </w:p>
    <w:p w14:paraId="350F314A" w14:textId="77777777" w:rsidR="001F4F92" w:rsidRPr="002C4053" w:rsidRDefault="001F4F92" w:rsidP="001F4F92">
      <w:pPr>
        <w:spacing w:after="0"/>
        <w:rPr>
          <w:b/>
          <w:highlight w:val="red"/>
        </w:rPr>
      </w:pPr>
    </w:p>
    <w:p w14:paraId="22E2B422" w14:textId="605BEB27" w:rsidR="001F4F92" w:rsidRPr="00421CCE" w:rsidRDefault="00DA609B" w:rsidP="008872DE">
      <w:pPr>
        <w:ind w:left="340" w:hanging="340"/>
        <w:rPr>
          <w:b/>
        </w:rPr>
      </w:pPr>
      <w:r>
        <w:rPr>
          <w:b/>
        </w:rPr>
        <w:t>6</w:t>
      </w:r>
      <w:r w:rsidR="008872DE">
        <w:rPr>
          <w:b/>
        </w:rPr>
        <w:t>.3</w:t>
      </w:r>
      <w:r w:rsidR="008872DE">
        <w:rPr>
          <w:b/>
        </w:rPr>
        <w:tab/>
      </w:r>
      <w:r w:rsidR="00F45AA0">
        <w:rPr>
          <w:b/>
        </w:rPr>
        <w:t>Předběžná, průběžná a následná</w:t>
      </w:r>
      <w:r w:rsidR="007E6100">
        <w:rPr>
          <w:b/>
        </w:rPr>
        <w:t xml:space="preserve"> říd</w:t>
      </w:r>
      <w:r w:rsidR="00CB4ED4">
        <w:rPr>
          <w:b/>
        </w:rPr>
        <w:t>i</w:t>
      </w:r>
      <w:r w:rsidR="007E6100">
        <w:rPr>
          <w:b/>
        </w:rPr>
        <w:t>cí</w:t>
      </w:r>
      <w:r w:rsidR="00F45AA0">
        <w:rPr>
          <w:b/>
        </w:rPr>
        <w:t xml:space="preserve"> kontrola pro zajištění</w:t>
      </w:r>
      <w:r w:rsidR="001F4F92" w:rsidRPr="00421CCE">
        <w:rPr>
          <w:b/>
        </w:rPr>
        <w:t xml:space="preserve"> spolehlivost</w:t>
      </w:r>
      <w:r w:rsidR="00F45AA0">
        <w:rPr>
          <w:b/>
        </w:rPr>
        <w:t>i</w:t>
      </w:r>
      <w:r w:rsidR="001F4F92" w:rsidRPr="00421CCE">
        <w:rPr>
          <w:b/>
        </w:rPr>
        <w:t xml:space="preserve"> inf</w:t>
      </w:r>
      <w:r w:rsidR="00DB0290">
        <w:rPr>
          <w:b/>
        </w:rPr>
        <w:t>ormací o </w:t>
      </w:r>
      <w:r w:rsidR="001F4F92" w:rsidRPr="00421CCE">
        <w:rPr>
          <w:b/>
        </w:rPr>
        <w:t>prováděných</w:t>
      </w:r>
      <w:r w:rsidR="00F45AA0">
        <w:rPr>
          <w:b/>
        </w:rPr>
        <w:t xml:space="preserve"> majetkových a finančních</w:t>
      </w:r>
      <w:r w:rsidR="001F4F92" w:rsidRPr="00421CCE">
        <w:rPr>
          <w:b/>
        </w:rPr>
        <w:t xml:space="preserve"> operacích</w:t>
      </w:r>
      <w:r w:rsidR="001F4F92">
        <w:rPr>
          <w:b/>
        </w:rPr>
        <w:t xml:space="preserve"> na výstupu</w:t>
      </w:r>
    </w:p>
    <w:p w14:paraId="6E25446E" w14:textId="4E60423C" w:rsidR="001F4F92" w:rsidRPr="002C4053" w:rsidRDefault="001F4F92" w:rsidP="001F4F92">
      <w:pPr>
        <w:spacing w:after="0"/>
        <w:jc w:val="both"/>
        <w:rPr>
          <w:rFonts w:cs="Calibri"/>
          <w:highlight w:val="red"/>
        </w:rPr>
      </w:pPr>
      <w:r w:rsidRPr="00421CCE">
        <w:rPr>
          <w:b/>
        </w:rPr>
        <w:t>Některé informace v </w:t>
      </w:r>
      <w:r>
        <w:rPr>
          <w:b/>
        </w:rPr>
        <w:t>ÚZ</w:t>
      </w:r>
      <w:r w:rsidRPr="00421CCE">
        <w:rPr>
          <w:b/>
        </w:rPr>
        <w:t xml:space="preserve"> nejsou dle názoru NKÚ spolehlivé.</w:t>
      </w:r>
      <w:r w:rsidRPr="00421CCE">
        <w:rPr>
          <w:rFonts w:cs="Calibri"/>
        </w:rPr>
        <w:t xml:space="preserve"> Kontrolou byly zjištěny nesprávnosti v ÚZ v celkové výši 5,4 mld. Kč s významným dopadem na ÚZ (blíže </w:t>
      </w:r>
      <w:r w:rsidRPr="00A71002">
        <w:rPr>
          <w:rFonts w:cs="Calibri"/>
        </w:rPr>
        <w:t>viz část I.</w:t>
      </w:r>
      <w:r>
        <w:rPr>
          <w:rFonts w:cs="Calibri"/>
        </w:rPr>
        <w:t>1</w:t>
      </w:r>
      <w:r w:rsidRPr="00A71002">
        <w:rPr>
          <w:rFonts w:cs="Calibri"/>
        </w:rPr>
        <w:t>.</w:t>
      </w:r>
      <w:r>
        <w:rPr>
          <w:rFonts w:cs="Calibri"/>
        </w:rPr>
        <w:t xml:space="preserve"> </w:t>
      </w:r>
      <w:r w:rsidRPr="00A71002">
        <w:rPr>
          <w:rFonts w:cs="Calibri"/>
        </w:rPr>
        <w:t>tohoto</w:t>
      </w:r>
      <w:r w:rsidRPr="00421CCE">
        <w:rPr>
          <w:rFonts w:cs="Calibri"/>
        </w:rPr>
        <w:t xml:space="preserve"> kontrolního závěru). Na základě těchto skutečností vyhodnotil NKÚ nespolehlivost některých údajů v ÚZ</w:t>
      </w:r>
      <w:r w:rsidRPr="00233B65">
        <w:rPr>
          <w:rFonts w:cs="Calibri"/>
        </w:rPr>
        <w:t xml:space="preserve">. V důsledku této skutečnosti </w:t>
      </w:r>
      <w:r w:rsidRPr="00233B65">
        <w:rPr>
          <w:rFonts w:cs="Calibri"/>
          <w:b/>
        </w:rPr>
        <w:t xml:space="preserve">MMR nevedlo v roce 2018 úplné, správné a průkazné účetnictví ve smyslu ustanovení § 8 odst. 2, 3 a 4 zákona o účetnictví </w:t>
      </w:r>
      <w:r w:rsidRPr="00233B65">
        <w:rPr>
          <w:rFonts w:cs="Calibri"/>
        </w:rPr>
        <w:t xml:space="preserve">(blíže viz </w:t>
      </w:r>
      <w:r w:rsidRPr="002E54F7">
        <w:rPr>
          <w:rFonts w:cs="Calibri"/>
        </w:rPr>
        <w:t>část IV.</w:t>
      </w:r>
      <w:r>
        <w:rPr>
          <w:rFonts w:cs="Calibri"/>
        </w:rPr>
        <w:t>1</w:t>
      </w:r>
      <w:r w:rsidRPr="002E54F7">
        <w:rPr>
          <w:rFonts w:cs="Calibri"/>
        </w:rPr>
        <w:t>. a IV.</w:t>
      </w:r>
      <w:r w:rsidR="0090721E">
        <w:rPr>
          <w:rFonts w:cs="Calibri"/>
        </w:rPr>
        <w:t>6</w:t>
      </w:r>
      <w:r w:rsidRPr="002E54F7">
        <w:rPr>
          <w:rFonts w:cs="Calibri"/>
        </w:rPr>
        <w:t>.1 tohoto</w:t>
      </w:r>
      <w:r w:rsidRPr="00233B65">
        <w:rPr>
          <w:rFonts w:cs="Calibri"/>
        </w:rPr>
        <w:t xml:space="preserve"> kontrolního závěru).</w:t>
      </w:r>
    </w:p>
    <w:p w14:paraId="26BF2620" w14:textId="77777777" w:rsidR="001F4F92" w:rsidRPr="002C4053" w:rsidRDefault="001F4F92" w:rsidP="001F4F92">
      <w:pPr>
        <w:spacing w:after="0"/>
        <w:rPr>
          <w:highlight w:val="red"/>
        </w:rPr>
      </w:pPr>
    </w:p>
    <w:p w14:paraId="0E265E56" w14:textId="4AD5C330" w:rsidR="001F4F92" w:rsidRPr="00421CCE" w:rsidRDefault="00DA609B" w:rsidP="001F4F92">
      <w:pPr>
        <w:rPr>
          <w:b/>
        </w:rPr>
      </w:pPr>
      <w:r>
        <w:rPr>
          <w:b/>
        </w:rPr>
        <w:lastRenderedPageBreak/>
        <w:t>6</w:t>
      </w:r>
      <w:r w:rsidR="001F4F92">
        <w:rPr>
          <w:b/>
        </w:rPr>
        <w:t>.4 Schvalování</w:t>
      </w:r>
      <w:r w:rsidR="001F4F92" w:rsidRPr="006C6E80">
        <w:rPr>
          <w:b/>
        </w:rPr>
        <w:t xml:space="preserve"> účetní závěrky</w:t>
      </w:r>
    </w:p>
    <w:p w14:paraId="70FDD25F" w14:textId="4AD513E9" w:rsidR="001F4F92" w:rsidRDefault="001F4F92" w:rsidP="001F4F92">
      <w:pPr>
        <w:spacing w:after="0"/>
        <w:jc w:val="both"/>
        <w:rPr>
          <w:rFonts w:asciiTheme="minorHAnsi" w:eastAsiaTheme="minorHAnsi" w:hAnsiTheme="minorHAnsi" w:cstheme="minorHAnsi"/>
        </w:rPr>
      </w:pPr>
      <w:r w:rsidRPr="006C6E80">
        <w:rPr>
          <w:rFonts w:asciiTheme="minorHAnsi" w:eastAsiaTheme="minorHAnsi" w:hAnsiTheme="minorHAnsi" w:cstheme="minorHAnsi"/>
          <w:b/>
        </w:rPr>
        <w:t>Účetní závěrka MMR za rok 2018 byla Ministerstvem pro místní rozvoj schválena.</w:t>
      </w:r>
      <w:r w:rsidRPr="006C6E80">
        <w:rPr>
          <w:rFonts w:asciiTheme="minorHAnsi" w:eastAsiaTheme="minorHAnsi" w:hAnsiTheme="minorHAnsi" w:cstheme="minorHAnsi"/>
        </w:rPr>
        <w:t xml:space="preserve"> </w:t>
      </w:r>
      <w:r w:rsidRPr="007F0A88">
        <w:rPr>
          <w:rFonts w:asciiTheme="minorHAnsi" w:eastAsiaTheme="minorHAnsi" w:hAnsiTheme="minorHAnsi" w:cstheme="minorHAnsi"/>
          <w:b/>
        </w:rPr>
        <w:t>Proces</w:t>
      </w:r>
      <w:r w:rsidRPr="006C6E80">
        <w:rPr>
          <w:rFonts w:asciiTheme="minorHAnsi" w:eastAsiaTheme="minorHAnsi" w:hAnsiTheme="minorHAnsi" w:cstheme="minorHAnsi"/>
        </w:rPr>
        <w:t xml:space="preserve"> </w:t>
      </w:r>
      <w:r w:rsidRPr="007F0A88">
        <w:rPr>
          <w:rFonts w:asciiTheme="minorHAnsi" w:eastAsiaTheme="minorHAnsi" w:hAnsiTheme="minorHAnsi" w:cstheme="minorHAnsi"/>
          <w:b/>
        </w:rPr>
        <w:t>schvalování</w:t>
      </w:r>
      <w:r w:rsidRPr="006C6E80">
        <w:rPr>
          <w:rFonts w:asciiTheme="minorHAnsi" w:eastAsiaTheme="minorHAnsi" w:hAnsiTheme="minorHAnsi" w:cstheme="minorHAnsi"/>
        </w:rPr>
        <w:t xml:space="preserve"> účetní závěrky </w:t>
      </w:r>
      <w:r w:rsidRPr="007F0A88">
        <w:rPr>
          <w:rFonts w:asciiTheme="minorHAnsi" w:eastAsiaTheme="minorHAnsi" w:hAnsiTheme="minorHAnsi" w:cstheme="minorHAnsi"/>
          <w:b/>
        </w:rPr>
        <w:t>byl v souladu s</w:t>
      </w:r>
      <w:r w:rsidRPr="006C6E80">
        <w:rPr>
          <w:rFonts w:asciiTheme="minorHAnsi" w:eastAsiaTheme="minorHAnsi" w:hAnsiTheme="minorHAnsi" w:cstheme="minorHAnsi"/>
        </w:rPr>
        <w:t xml:space="preserve"> požadavky </w:t>
      </w:r>
      <w:r w:rsidRPr="007F0A88">
        <w:rPr>
          <w:rFonts w:asciiTheme="minorHAnsi" w:eastAsiaTheme="minorHAnsi" w:hAnsiTheme="minorHAnsi" w:cstheme="minorHAnsi"/>
          <w:b/>
        </w:rPr>
        <w:t>vyhlášky č. 220/2013 Sb.</w:t>
      </w:r>
      <w:r w:rsidRPr="00877106">
        <w:rPr>
          <w:rFonts w:asciiTheme="minorHAnsi" w:eastAsiaTheme="minorHAnsi" w:hAnsiTheme="minorHAnsi" w:cstheme="minorHAnsi"/>
          <w:b/>
        </w:rPr>
        <w:t>,</w:t>
      </w:r>
      <w:r w:rsidRPr="006C6E80">
        <w:rPr>
          <w:rFonts w:asciiTheme="minorHAnsi" w:eastAsiaTheme="minorHAnsi" w:hAnsiTheme="minorHAnsi" w:cstheme="minorHAnsi"/>
        </w:rPr>
        <w:t xml:space="preserve"> o požadavcích na schvalování účetních závěrek některých vybraných účetních jednotek</w:t>
      </w:r>
      <w:r>
        <w:rPr>
          <w:rFonts w:asciiTheme="minorHAnsi" w:eastAsiaTheme="minorHAnsi" w:hAnsiTheme="minorHAnsi" w:cstheme="minorHAnsi"/>
        </w:rPr>
        <w:t xml:space="preserve">. To ale </w:t>
      </w:r>
      <w:r w:rsidRPr="007F0A88">
        <w:rPr>
          <w:rFonts w:asciiTheme="minorHAnsi" w:eastAsiaTheme="minorHAnsi" w:hAnsiTheme="minorHAnsi" w:cstheme="minorHAnsi"/>
          <w:b/>
        </w:rPr>
        <w:t>nevedl</w:t>
      </w:r>
      <w:r>
        <w:rPr>
          <w:rFonts w:asciiTheme="minorHAnsi" w:eastAsiaTheme="minorHAnsi" w:hAnsiTheme="minorHAnsi" w:cstheme="minorHAnsi"/>
          <w:b/>
        </w:rPr>
        <w:t>o</w:t>
      </w:r>
      <w:r w:rsidRPr="007F0A88">
        <w:rPr>
          <w:rFonts w:asciiTheme="minorHAnsi" w:eastAsiaTheme="minorHAnsi" w:hAnsiTheme="minorHAnsi" w:cstheme="minorHAnsi"/>
          <w:b/>
        </w:rPr>
        <w:t xml:space="preserve"> </w:t>
      </w:r>
      <w:r w:rsidR="00ED0B0F">
        <w:rPr>
          <w:rFonts w:asciiTheme="minorHAnsi" w:eastAsiaTheme="minorHAnsi" w:hAnsiTheme="minorHAnsi" w:cstheme="minorHAnsi"/>
          <w:b/>
        </w:rPr>
        <w:t xml:space="preserve">k zajištění spolehlivosti informací v ÚZ </w:t>
      </w:r>
      <w:r w:rsidRPr="007F0A88">
        <w:rPr>
          <w:rFonts w:asciiTheme="minorHAnsi" w:eastAsiaTheme="minorHAnsi" w:hAnsiTheme="minorHAnsi" w:cstheme="minorHAnsi"/>
          <w:b/>
        </w:rPr>
        <w:t>v celém jejím rozsahu</w:t>
      </w:r>
      <w:r w:rsidRPr="00877106">
        <w:rPr>
          <w:rFonts w:asciiTheme="minorHAnsi" w:eastAsiaTheme="minorHAnsi" w:hAnsiTheme="minorHAnsi" w:cstheme="minorHAnsi"/>
          <w:b/>
        </w:rPr>
        <w:t>.</w:t>
      </w:r>
    </w:p>
    <w:p w14:paraId="6B69B8D2" w14:textId="77777777" w:rsidR="00E01C21" w:rsidRPr="006C6E80" w:rsidRDefault="00E01C21" w:rsidP="001F4F92">
      <w:pPr>
        <w:spacing w:after="0"/>
        <w:jc w:val="both"/>
        <w:rPr>
          <w:rFonts w:asciiTheme="minorHAnsi" w:eastAsiaTheme="minorHAnsi" w:hAnsiTheme="minorHAnsi" w:cstheme="minorHAnsi"/>
        </w:rPr>
      </w:pPr>
    </w:p>
    <w:p w14:paraId="44271BD2" w14:textId="05ADD53E" w:rsidR="001F4F92" w:rsidRPr="00421CCE" w:rsidRDefault="00DA609B" w:rsidP="001F4F92">
      <w:pPr>
        <w:spacing w:after="160" w:line="259" w:lineRule="auto"/>
        <w:rPr>
          <w:b/>
        </w:rPr>
      </w:pPr>
      <w:r>
        <w:rPr>
          <w:b/>
        </w:rPr>
        <w:t>6</w:t>
      </w:r>
      <w:r w:rsidR="001F4F92">
        <w:rPr>
          <w:b/>
        </w:rPr>
        <w:t>.5 Říd</w:t>
      </w:r>
      <w:r w:rsidR="00CB4ED4">
        <w:rPr>
          <w:b/>
        </w:rPr>
        <w:t>i</w:t>
      </w:r>
      <w:r w:rsidR="001F4F92">
        <w:rPr>
          <w:b/>
        </w:rPr>
        <w:t>cí kontrola</w:t>
      </w:r>
      <w:r w:rsidR="00624F83">
        <w:rPr>
          <w:b/>
        </w:rPr>
        <w:t xml:space="preserve"> před vznikem a po vzniku závazku</w:t>
      </w:r>
    </w:p>
    <w:p w14:paraId="2B6315AA" w14:textId="77777777" w:rsidR="001F4F92" w:rsidRPr="00EC722B" w:rsidRDefault="001F4F92" w:rsidP="001F4F92">
      <w:pPr>
        <w:spacing w:after="0"/>
        <w:jc w:val="both"/>
        <w:rPr>
          <w:rFonts w:cs="Calibri"/>
        </w:rPr>
      </w:pPr>
      <w:r w:rsidRPr="00EC722B">
        <w:rPr>
          <w:rFonts w:asciiTheme="minorHAnsi" w:hAnsiTheme="minorHAnsi" w:cstheme="minorHAnsi"/>
          <w:bCs/>
          <w:iCs/>
        </w:rPr>
        <w:t xml:space="preserve">MMR má stanoveno velké množství příkazců operací, správců rozpočtu i hlavních účetních. </w:t>
      </w:r>
      <w:r>
        <w:rPr>
          <w:rFonts w:asciiTheme="minorHAnsi" w:hAnsiTheme="minorHAnsi" w:cstheme="minorHAnsi"/>
          <w:bCs/>
          <w:iCs/>
        </w:rPr>
        <w:t xml:space="preserve">Pověření k výkonu předběžné řídicí kontroly je jednotlivým odpovědným osobám vystaveno na určitou kombinaci rozpočtového paragrafu a položky s tím, že některé odpovědné osoby mají i několik platných pověření. </w:t>
      </w:r>
      <w:r w:rsidRPr="00A96EC8">
        <w:rPr>
          <w:rFonts w:asciiTheme="minorHAnsi" w:hAnsiTheme="minorHAnsi" w:cstheme="minorHAnsi"/>
          <w:bCs/>
          <w:iCs/>
        </w:rPr>
        <w:t>Zorientovat se ve velkém množství odpovědných osob a jejich pověření je o to složitější, že na formulářích dokládajících provedení předběžné říd</w:t>
      </w:r>
      <w:r>
        <w:rPr>
          <w:rFonts w:asciiTheme="minorHAnsi" w:hAnsiTheme="minorHAnsi" w:cstheme="minorHAnsi"/>
          <w:bCs/>
          <w:iCs/>
        </w:rPr>
        <w:t>i</w:t>
      </w:r>
      <w:r w:rsidRPr="00A96EC8">
        <w:rPr>
          <w:rFonts w:asciiTheme="minorHAnsi" w:hAnsiTheme="minorHAnsi" w:cstheme="minorHAnsi"/>
          <w:bCs/>
          <w:iCs/>
        </w:rPr>
        <w:t>cí kontroly neuvádějí příkazci operace své jméno, ale pouze podpis.</w:t>
      </w:r>
    </w:p>
    <w:p w14:paraId="1342F473" w14:textId="77777777" w:rsidR="001F4F92" w:rsidRDefault="001F4F92" w:rsidP="008872DE">
      <w:pPr>
        <w:spacing w:after="0"/>
        <w:jc w:val="both"/>
        <w:rPr>
          <w:rFonts w:cs="Calibri"/>
          <w:highlight w:val="red"/>
        </w:rPr>
      </w:pPr>
    </w:p>
    <w:p w14:paraId="0AA8A384" w14:textId="04DEC9DD" w:rsidR="001F4F92" w:rsidRPr="00A96EC8" w:rsidRDefault="001F4F92" w:rsidP="008872DE">
      <w:pPr>
        <w:spacing w:after="0"/>
        <w:jc w:val="both"/>
        <w:rPr>
          <w:rFonts w:cs="Calibri"/>
        </w:rPr>
      </w:pPr>
      <w:r w:rsidRPr="00A96EC8">
        <w:rPr>
          <w:rFonts w:cs="Calibri"/>
        </w:rPr>
        <w:t xml:space="preserve">Kontrolou bylo </w:t>
      </w:r>
      <w:r w:rsidRPr="007F0A88">
        <w:rPr>
          <w:rFonts w:cs="Calibri"/>
          <w:b/>
        </w:rPr>
        <w:t xml:space="preserve">prověřeno provádění předběžné řídicí kontroly při správě veřejných výdajů </w:t>
      </w:r>
      <w:r w:rsidRPr="00C90E95">
        <w:rPr>
          <w:rFonts w:cs="Calibri"/>
          <w:b/>
        </w:rPr>
        <w:t>před vznikem závazku</w:t>
      </w:r>
      <w:r w:rsidRPr="00C90E95">
        <w:rPr>
          <w:rFonts w:cs="Calibri"/>
        </w:rPr>
        <w:t xml:space="preserve"> ve smyslu ustanovení § 13 vyhlášky č. 416/2004 Sb., a to v</w:t>
      </w:r>
      <w:r w:rsidR="00DB0290">
        <w:rPr>
          <w:rFonts w:cs="Calibri"/>
          <w:b/>
        </w:rPr>
        <w:t> rozsahu 71 </w:t>
      </w:r>
      <w:r w:rsidRPr="00C90E95">
        <w:rPr>
          <w:rFonts w:cs="Calibri"/>
          <w:b/>
        </w:rPr>
        <w:t>připravovaných operací</w:t>
      </w:r>
      <w:r w:rsidRPr="00877106">
        <w:rPr>
          <w:rFonts w:cs="Calibri"/>
          <w:b/>
        </w:rPr>
        <w:t>.</w:t>
      </w:r>
      <w:r w:rsidRPr="00C90E95">
        <w:rPr>
          <w:rFonts w:cs="Calibri"/>
        </w:rPr>
        <w:t xml:space="preserve"> Na tomto</w:t>
      </w:r>
      <w:r w:rsidRPr="00A96EC8">
        <w:rPr>
          <w:rFonts w:cs="Calibri"/>
        </w:rPr>
        <w:t xml:space="preserve"> kontrolním vzorku bylo zjištěno, že</w:t>
      </w:r>
      <w:r>
        <w:rPr>
          <w:rFonts w:cs="Calibri"/>
        </w:rPr>
        <w:t>:</w:t>
      </w:r>
    </w:p>
    <w:p w14:paraId="0295BA3A" w14:textId="77777777" w:rsidR="001F4F92" w:rsidRPr="00B2722B" w:rsidRDefault="001F4F92" w:rsidP="008872DE">
      <w:pPr>
        <w:pStyle w:val="Odstavecseseznamem"/>
        <w:numPr>
          <w:ilvl w:val="0"/>
          <w:numId w:val="6"/>
        </w:numPr>
        <w:spacing w:after="0"/>
        <w:ind w:left="284" w:hanging="284"/>
        <w:contextualSpacing w:val="0"/>
        <w:jc w:val="both"/>
        <w:rPr>
          <w:rFonts w:cs="Calibri"/>
        </w:rPr>
      </w:pPr>
      <w:r w:rsidRPr="007F0A88">
        <w:rPr>
          <w:rFonts w:cs="Calibri"/>
          <w:b/>
        </w:rPr>
        <w:t>v šesti případech příkazce operace schválil připravované operace v době, kdy neměl</w:t>
      </w:r>
      <w:r w:rsidRPr="00B2722B">
        <w:rPr>
          <w:rFonts w:cs="Calibri"/>
        </w:rPr>
        <w:t xml:space="preserve"> k tomuto úkonu platné </w:t>
      </w:r>
      <w:r w:rsidRPr="007F0A88">
        <w:rPr>
          <w:rFonts w:cs="Calibri"/>
          <w:b/>
        </w:rPr>
        <w:t>pověření</w:t>
      </w:r>
      <w:r w:rsidRPr="00877106">
        <w:rPr>
          <w:rFonts w:cs="Calibri"/>
          <w:b/>
        </w:rPr>
        <w:t>,</w:t>
      </w:r>
      <w:r w:rsidRPr="00B2722B">
        <w:rPr>
          <w:rFonts w:cs="Calibri"/>
        </w:rPr>
        <w:t xml:space="preserve"> </w:t>
      </w:r>
      <w:r w:rsidRPr="007F0A88">
        <w:rPr>
          <w:rFonts w:cs="Calibri"/>
          <w:b/>
        </w:rPr>
        <w:t>z toho ve třech případech bylo pověření</w:t>
      </w:r>
      <w:r w:rsidRPr="00B2722B">
        <w:rPr>
          <w:rFonts w:cs="Calibri"/>
        </w:rPr>
        <w:t xml:space="preserve"> příkazci operace </w:t>
      </w:r>
      <w:r w:rsidRPr="007F0A88">
        <w:rPr>
          <w:rFonts w:cs="Calibri"/>
          <w:b/>
        </w:rPr>
        <w:t>dodatečně vystaveno, ve zbylých třech případech nikoliv</w:t>
      </w:r>
      <w:r w:rsidRPr="00877106">
        <w:rPr>
          <w:rFonts w:cs="Calibri"/>
          <w:b/>
        </w:rPr>
        <w:t>;</w:t>
      </w:r>
    </w:p>
    <w:p w14:paraId="4515EA2F" w14:textId="2A805845" w:rsidR="001F4F92" w:rsidRPr="00B2722B" w:rsidRDefault="001F4F92" w:rsidP="008872DE">
      <w:pPr>
        <w:pStyle w:val="Odstavecseseznamem"/>
        <w:numPr>
          <w:ilvl w:val="0"/>
          <w:numId w:val="6"/>
        </w:numPr>
        <w:spacing w:after="0"/>
        <w:ind w:left="284" w:hanging="284"/>
        <w:contextualSpacing w:val="0"/>
        <w:jc w:val="both"/>
        <w:rPr>
          <w:rFonts w:cs="Calibri"/>
        </w:rPr>
      </w:pPr>
      <w:r w:rsidRPr="007F0A88">
        <w:rPr>
          <w:rFonts w:cs="Calibri"/>
          <w:b/>
        </w:rPr>
        <w:t>v jednom případě nebyla vůbec provedena předběžná kontrola při řízení veřejných výdajů před vznikem závazku správcem rozpočtu</w:t>
      </w:r>
      <w:r>
        <w:rPr>
          <w:rFonts w:cs="Calibri"/>
        </w:rPr>
        <w:t xml:space="preserve"> a </w:t>
      </w:r>
      <w:r w:rsidRPr="007F0A88">
        <w:rPr>
          <w:rFonts w:cs="Calibri"/>
          <w:b/>
        </w:rPr>
        <w:t>v jednom případě správce rozpočtu schválil připravovanou operaci v době, kdy ještě neměl</w:t>
      </w:r>
      <w:r>
        <w:rPr>
          <w:rFonts w:cs="Calibri"/>
        </w:rPr>
        <w:t xml:space="preserve"> k tomuto úkonu platné </w:t>
      </w:r>
      <w:r w:rsidRPr="007F0A88">
        <w:rPr>
          <w:rFonts w:cs="Calibri"/>
          <w:b/>
        </w:rPr>
        <w:t>pověření</w:t>
      </w:r>
      <w:r w:rsidR="009F6D1C" w:rsidRPr="00877106">
        <w:rPr>
          <w:rFonts w:cs="Calibri"/>
          <w:b/>
        </w:rPr>
        <w:t>.</w:t>
      </w:r>
    </w:p>
    <w:p w14:paraId="74C5DFDF" w14:textId="77777777" w:rsidR="001F4F92" w:rsidRPr="00B2722B" w:rsidRDefault="001F4F92" w:rsidP="008872DE">
      <w:pPr>
        <w:spacing w:after="0"/>
        <w:jc w:val="both"/>
        <w:rPr>
          <w:rFonts w:cs="Calibri"/>
        </w:rPr>
      </w:pPr>
    </w:p>
    <w:p w14:paraId="662A53D6" w14:textId="77777777" w:rsidR="001F4F92" w:rsidRDefault="001F4F92" w:rsidP="008872DE">
      <w:pPr>
        <w:spacing w:after="0"/>
        <w:jc w:val="both"/>
        <w:rPr>
          <w:rFonts w:cs="Calibri"/>
        </w:rPr>
      </w:pPr>
      <w:r>
        <w:rPr>
          <w:rFonts w:cs="Calibri"/>
        </w:rPr>
        <w:t xml:space="preserve">Kontrolou bylo dále </w:t>
      </w:r>
      <w:r w:rsidRPr="007F0A88">
        <w:rPr>
          <w:rFonts w:cs="Calibri"/>
          <w:b/>
        </w:rPr>
        <w:t xml:space="preserve">prověřeno provádění předběžné řídicí kontroly při správě veřejných výdajů </w:t>
      </w:r>
      <w:r w:rsidRPr="00C90E95">
        <w:rPr>
          <w:rFonts w:cs="Calibri"/>
          <w:b/>
        </w:rPr>
        <w:t>po vzniku závazku</w:t>
      </w:r>
      <w:r w:rsidRPr="00C90E95">
        <w:rPr>
          <w:rFonts w:cs="Calibri"/>
        </w:rPr>
        <w:t xml:space="preserve"> ve</w:t>
      </w:r>
      <w:r>
        <w:rPr>
          <w:rFonts w:cs="Calibri"/>
        </w:rPr>
        <w:t xml:space="preserve"> smyslu ustanovení § 14 vyhlášky č. 416/2004 Sb., a to v </w:t>
      </w:r>
      <w:r w:rsidRPr="00755C99">
        <w:rPr>
          <w:rFonts w:cs="Calibri"/>
          <w:b/>
        </w:rPr>
        <w:t>rozsahu 115 finančních operací</w:t>
      </w:r>
      <w:r w:rsidRPr="00877106">
        <w:rPr>
          <w:rFonts w:cs="Calibri"/>
          <w:b/>
        </w:rPr>
        <w:t>.</w:t>
      </w:r>
      <w:r>
        <w:rPr>
          <w:rFonts w:cs="Calibri"/>
        </w:rPr>
        <w:t xml:space="preserve"> Na tomto kontrolním vzorku bylo zjištěno, že:</w:t>
      </w:r>
    </w:p>
    <w:p w14:paraId="00DF3341" w14:textId="77777777" w:rsidR="001F4F92" w:rsidRDefault="001F4F92" w:rsidP="008872DE">
      <w:pPr>
        <w:pStyle w:val="Odstavecseseznamem"/>
        <w:numPr>
          <w:ilvl w:val="0"/>
          <w:numId w:val="7"/>
        </w:numPr>
        <w:spacing w:after="0"/>
        <w:ind w:left="284" w:hanging="284"/>
        <w:contextualSpacing w:val="0"/>
        <w:jc w:val="both"/>
        <w:rPr>
          <w:rFonts w:cs="Calibri"/>
        </w:rPr>
      </w:pPr>
      <w:r w:rsidRPr="007F0A88">
        <w:rPr>
          <w:rFonts w:cs="Calibri"/>
          <w:b/>
        </w:rPr>
        <w:t>v pěti případech příkazce operace schválil veřejné výdaje v době, kdy neměl</w:t>
      </w:r>
      <w:r>
        <w:rPr>
          <w:rFonts w:cs="Calibri"/>
        </w:rPr>
        <w:t xml:space="preserve"> k tomuto úkonu platné </w:t>
      </w:r>
      <w:r w:rsidRPr="007F0A88">
        <w:rPr>
          <w:rFonts w:cs="Calibri"/>
          <w:b/>
        </w:rPr>
        <w:t>pověření</w:t>
      </w:r>
      <w:r w:rsidRPr="00877106">
        <w:rPr>
          <w:rFonts w:cs="Calibri"/>
          <w:b/>
        </w:rPr>
        <w:t>,</w:t>
      </w:r>
      <w:r>
        <w:rPr>
          <w:rFonts w:cs="Calibri"/>
        </w:rPr>
        <w:t xml:space="preserve"> </w:t>
      </w:r>
      <w:r w:rsidRPr="007F0A88">
        <w:rPr>
          <w:rFonts w:cs="Calibri"/>
          <w:b/>
        </w:rPr>
        <w:t>z toho ve dvou případech bylo pověření</w:t>
      </w:r>
      <w:r>
        <w:rPr>
          <w:rFonts w:cs="Calibri"/>
        </w:rPr>
        <w:t xml:space="preserve"> příkazci operace </w:t>
      </w:r>
      <w:r w:rsidRPr="007F0A88">
        <w:rPr>
          <w:rFonts w:cs="Calibri"/>
          <w:b/>
        </w:rPr>
        <w:t>dodatečně vystaveno</w:t>
      </w:r>
      <w:r w:rsidRPr="00877106">
        <w:rPr>
          <w:rFonts w:cs="Calibri"/>
          <w:b/>
        </w:rPr>
        <w:t>,</w:t>
      </w:r>
      <w:r>
        <w:rPr>
          <w:rFonts w:cs="Calibri"/>
        </w:rPr>
        <w:t xml:space="preserve"> a to ještě před samotnou úhradou faktury, </w:t>
      </w:r>
      <w:r w:rsidRPr="007F0A88">
        <w:rPr>
          <w:rFonts w:cs="Calibri"/>
          <w:b/>
        </w:rPr>
        <w:t>ve zbylých třech případech</w:t>
      </w:r>
      <w:r>
        <w:rPr>
          <w:rFonts w:cs="Calibri"/>
        </w:rPr>
        <w:t xml:space="preserve"> pověření ani dodatečně vystaveno příkazci operace </w:t>
      </w:r>
      <w:r w:rsidRPr="007F0A88">
        <w:rPr>
          <w:rFonts w:cs="Calibri"/>
          <w:b/>
        </w:rPr>
        <w:t>nebylo</w:t>
      </w:r>
      <w:r w:rsidRPr="00877106">
        <w:rPr>
          <w:rFonts w:cs="Calibri"/>
          <w:b/>
        </w:rPr>
        <w:t>;</w:t>
      </w:r>
    </w:p>
    <w:p w14:paraId="0DBDF76B" w14:textId="77777777" w:rsidR="001F4F92" w:rsidRPr="008C5896" w:rsidRDefault="001F4F92" w:rsidP="008872DE">
      <w:pPr>
        <w:pStyle w:val="Odstavecseseznamem"/>
        <w:numPr>
          <w:ilvl w:val="0"/>
          <w:numId w:val="7"/>
        </w:numPr>
        <w:spacing w:after="0"/>
        <w:ind w:left="284" w:hanging="284"/>
        <w:contextualSpacing w:val="0"/>
        <w:jc w:val="both"/>
        <w:rPr>
          <w:rFonts w:cs="Calibri"/>
        </w:rPr>
      </w:pPr>
      <w:r w:rsidRPr="007F0A88">
        <w:rPr>
          <w:rFonts w:cs="Calibri"/>
          <w:b/>
        </w:rPr>
        <w:t>ve čtyřech případech hlavní účetní schválil veřejné výdaje</w:t>
      </w:r>
      <w:r>
        <w:rPr>
          <w:rFonts w:cs="Calibri"/>
        </w:rPr>
        <w:t xml:space="preserve"> </w:t>
      </w:r>
      <w:r w:rsidRPr="007F0A88">
        <w:rPr>
          <w:rFonts w:cs="Calibri"/>
          <w:b/>
        </w:rPr>
        <w:t>v rozsahu, na který neměl platné pověření</w:t>
      </w:r>
      <w:r>
        <w:rPr>
          <w:rFonts w:cs="Calibri"/>
        </w:rPr>
        <w:t xml:space="preserve"> (schvaloval i veřejné výdaje, které nesouvisely s cestovními náhradami, které jako jediné schvalovat mohl). </w:t>
      </w:r>
    </w:p>
    <w:p w14:paraId="4BC97D31" w14:textId="77777777" w:rsidR="001F4F92" w:rsidRDefault="001F4F92" w:rsidP="008872DE">
      <w:pPr>
        <w:spacing w:after="0"/>
        <w:jc w:val="both"/>
        <w:rPr>
          <w:rFonts w:cs="Calibri"/>
          <w:highlight w:val="red"/>
        </w:rPr>
      </w:pPr>
    </w:p>
    <w:p w14:paraId="0BD4A46C" w14:textId="3BE5F376" w:rsidR="00ED0B0F" w:rsidRDefault="001A79A3" w:rsidP="00ED0B0F">
      <w:pPr>
        <w:spacing w:after="0"/>
        <w:jc w:val="both"/>
        <w:rPr>
          <w:rFonts w:asciiTheme="minorHAnsi" w:hAnsiTheme="minorHAnsi" w:cstheme="minorHAnsi"/>
          <w:b/>
          <w:szCs w:val="28"/>
        </w:rPr>
      </w:pPr>
      <w:r>
        <w:rPr>
          <w:rFonts w:asciiTheme="minorHAnsi" w:hAnsiTheme="minorHAnsi" w:cstheme="minorHAnsi"/>
          <w:b/>
          <w:szCs w:val="28"/>
        </w:rPr>
        <w:t xml:space="preserve">Na vzorku 186 finančních operací </w:t>
      </w:r>
      <w:r w:rsidR="00ED0B0F">
        <w:rPr>
          <w:rFonts w:asciiTheme="minorHAnsi" w:hAnsiTheme="minorHAnsi" w:cstheme="minorHAnsi"/>
          <w:b/>
          <w:szCs w:val="28"/>
        </w:rPr>
        <w:t>tak byla zjištěna 9%</w:t>
      </w:r>
      <w:r w:rsidR="00ED0B0F" w:rsidRPr="008872DE" w:rsidDel="00D2056F">
        <w:rPr>
          <w:rStyle w:val="Znakapoznpodarou"/>
          <w:rFonts w:asciiTheme="minorHAnsi" w:hAnsiTheme="minorHAnsi" w:cstheme="minorHAnsi"/>
          <w:b/>
          <w:szCs w:val="28"/>
          <w:vertAlign w:val="baseline"/>
        </w:rPr>
        <w:t xml:space="preserve"> </w:t>
      </w:r>
      <w:r w:rsidR="00ED0B0F">
        <w:rPr>
          <w:rFonts w:asciiTheme="minorHAnsi" w:hAnsiTheme="minorHAnsi" w:cstheme="minorHAnsi"/>
          <w:b/>
          <w:szCs w:val="28"/>
        </w:rPr>
        <w:t>chybovost</w:t>
      </w:r>
      <w:r w:rsidR="002477D6">
        <w:rPr>
          <w:rStyle w:val="Znakapoznpodarou"/>
          <w:rFonts w:asciiTheme="minorHAnsi" w:hAnsiTheme="minorHAnsi" w:cstheme="minorHAnsi"/>
          <w:b/>
          <w:szCs w:val="28"/>
        </w:rPr>
        <w:footnoteReference w:id="40"/>
      </w:r>
      <w:r w:rsidR="00ED0B0F">
        <w:rPr>
          <w:rFonts w:asciiTheme="minorHAnsi" w:hAnsiTheme="minorHAnsi" w:cstheme="minorHAnsi"/>
          <w:b/>
          <w:szCs w:val="28"/>
        </w:rPr>
        <w:t xml:space="preserve"> v provádění předběžné říd</w:t>
      </w:r>
      <w:r w:rsidR="00CB4ED4">
        <w:rPr>
          <w:rFonts w:asciiTheme="minorHAnsi" w:hAnsiTheme="minorHAnsi" w:cstheme="minorHAnsi"/>
          <w:b/>
          <w:szCs w:val="28"/>
        </w:rPr>
        <w:t>i</w:t>
      </w:r>
      <w:r w:rsidR="00ED0B0F">
        <w:rPr>
          <w:rFonts w:asciiTheme="minorHAnsi" w:hAnsiTheme="minorHAnsi" w:cstheme="minorHAnsi"/>
          <w:b/>
          <w:szCs w:val="28"/>
        </w:rPr>
        <w:t>cí kontroly</w:t>
      </w:r>
      <w:r w:rsidR="00595C6F">
        <w:rPr>
          <w:rFonts w:asciiTheme="minorHAnsi" w:hAnsiTheme="minorHAnsi" w:cstheme="minorHAnsi"/>
          <w:b/>
          <w:szCs w:val="28"/>
        </w:rPr>
        <w:t xml:space="preserve"> před a po vzniku závazku</w:t>
      </w:r>
      <w:r w:rsidR="00ED0B0F">
        <w:rPr>
          <w:rFonts w:asciiTheme="minorHAnsi" w:hAnsiTheme="minorHAnsi" w:cstheme="minorHAnsi"/>
          <w:b/>
          <w:szCs w:val="28"/>
        </w:rPr>
        <w:t>.</w:t>
      </w:r>
      <w:r w:rsidR="002477D6">
        <w:rPr>
          <w:rFonts w:asciiTheme="minorHAnsi" w:hAnsiTheme="minorHAnsi" w:cstheme="minorHAnsi"/>
          <w:b/>
          <w:szCs w:val="28"/>
        </w:rPr>
        <w:t xml:space="preserve"> Na základě této skutečnosti NKÚ vyhodnotil, že VKS je v této oblasti účinný s mírnými nedostatky.</w:t>
      </w:r>
    </w:p>
    <w:p w14:paraId="77B47655" w14:textId="77777777" w:rsidR="00ED0B0F" w:rsidRDefault="00ED0B0F" w:rsidP="00ED0B0F">
      <w:pPr>
        <w:spacing w:after="0"/>
        <w:jc w:val="both"/>
        <w:rPr>
          <w:rFonts w:asciiTheme="minorHAnsi" w:hAnsiTheme="minorHAnsi" w:cstheme="minorHAnsi"/>
          <w:b/>
          <w:szCs w:val="28"/>
        </w:rPr>
      </w:pPr>
    </w:p>
    <w:p w14:paraId="612C966F" w14:textId="32E60E46" w:rsidR="00ED0B0F" w:rsidRDefault="002477D6" w:rsidP="00ED0B0F">
      <w:pPr>
        <w:spacing w:after="0"/>
        <w:jc w:val="both"/>
        <w:rPr>
          <w:rFonts w:asciiTheme="minorHAnsi" w:hAnsiTheme="minorHAnsi" w:cstheme="minorHAnsi"/>
          <w:szCs w:val="28"/>
        </w:rPr>
      </w:pPr>
      <w:r>
        <w:rPr>
          <w:rFonts w:asciiTheme="minorHAnsi" w:hAnsiTheme="minorHAnsi" w:cstheme="minorHAnsi"/>
          <w:b/>
          <w:szCs w:val="28"/>
        </w:rPr>
        <w:t xml:space="preserve">Při kontrole bylo současně zjištěno, že </w:t>
      </w:r>
      <w:r w:rsidR="00ED0B0F" w:rsidRPr="007F0A88">
        <w:rPr>
          <w:rFonts w:asciiTheme="minorHAnsi" w:hAnsiTheme="minorHAnsi" w:cstheme="minorHAnsi"/>
          <w:b/>
          <w:szCs w:val="28"/>
        </w:rPr>
        <w:t>MMR v roce 2018 hradilo některé faktury po datu jejich splatnosti</w:t>
      </w:r>
      <w:r w:rsidR="009F6D1C">
        <w:rPr>
          <w:rFonts w:asciiTheme="minorHAnsi" w:hAnsiTheme="minorHAnsi" w:cstheme="minorHAnsi"/>
          <w:b/>
          <w:szCs w:val="28"/>
        </w:rPr>
        <w:t>,</w:t>
      </w:r>
      <w:r>
        <w:rPr>
          <w:rFonts w:asciiTheme="minorHAnsi" w:hAnsiTheme="minorHAnsi" w:cstheme="minorHAnsi"/>
          <w:b/>
          <w:szCs w:val="28"/>
        </w:rPr>
        <w:t xml:space="preserve"> a to ve významném rozsahu</w:t>
      </w:r>
      <w:r w:rsidR="00ED0B0F" w:rsidRPr="00877106">
        <w:rPr>
          <w:rFonts w:asciiTheme="minorHAnsi" w:hAnsiTheme="minorHAnsi" w:cstheme="minorHAnsi"/>
          <w:b/>
          <w:szCs w:val="28"/>
        </w:rPr>
        <w:t>.</w:t>
      </w:r>
      <w:r w:rsidR="00ED0B0F">
        <w:rPr>
          <w:rFonts w:asciiTheme="minorHAnsi" w:hAnsiTheme="minorHAnsi" w:cstheme="minorHAnsi"/>
          <w:szCs w:val="28"/>
        </w:rPr>
        <w:t xml:space="preserve"> Z kontrolního vzorku 2 893 faktur MMR nedodrželo původně stanovenou dobu splatnosti u 565 případů (tj. </w:t>
      </w:r>
      <w:r w:rsidR="00ED0B0F" w:rsidRPr="007F0A88">
        <w:rPr>
          <w:rFonts w:asciiTheme="minorHAnsi" w:hAnsiTheme="minorHAnsi" w:cstheme="minorHAnsi"/>
          <w:b/>
          <w:szCs w:val="28"/>
        </w:rPr>
        <w:t>u 19 % faktur</w:t>
      </w:r>
      <w:r w:rsidR="00ED0B0F">
        <w:rPr>
          <w:rFonts w:asciiTheme="minorHAnsi" w:hAnsiTheme="minorHAnsi" w:cstheme="minorHAnsi"/>
          <w:szCs w:val="28"/>
        </w:rPr>
        <w:t xml:space="preserve">), </w:t>
      </w:r>
      <w:r w:rsidR="00ED0B0F" w:rsidRPr="00576C0A">
        <w:rPr>
          <w:rFonts w:asciiTheme="minorHAnsi" w:hAnsiTheme="minorHAnsi" w:cstheme="minorHAnsi"/>
          <w:szCs w:val="28"/>
        </w:rPr>
        <w:t xml:space="preserve">přičemž překročení </w:t>
      </w:r>
      <w:r w:rsidR="00697C52">
        <w:rPr>
          <w:rFonts w:asciiTheme="minorHAnsi" w:hAnsiTheme="minorHAnsi" w:cstheme="minorHAnsi"/>
          <w:szCs w:val="28"/>
        </w:rPr>
        <w:t xml:space="preserve">doby </w:t>
      </w:r>
      <w:r w:rsidR="00ED0B0F" w:rsidRPr="00576C0A">
        <w:rPr>
          <w:rFonts w:asciiTheme="minorHAnsi" w:hAnsiTheme="minorHAnsi" w:cstheme="minorHAnsi"/>
          <w:szCs w:val="28"/>
        </w:rPr>
        <w:t>splatnosti ve výši do 30 dní byl</w:t>
      </w:r>
      <w:r w:rsidR="00697C52">
        <w:rPr>
          <w:rFonts w:asciiTheme="minorHAnsi" w:hAnsiTheme="minorHAnsi" w:cstheme="minorHAnsi"/>
          <w:szCs w:val="28"/>
        </w:rPr>
        <w:t>o</w:t>
      </w:r>
      <w:r w:rsidR="00ED0B0F" w:rsidRPr="00576C0A">
        <w:rPr>
          <w:rFonts w:asciiTheme="minorHAnsi" w:hAnsiTheme="minorHAnsi" w:cstheme="minorHAnsi"/>
          <w:szCs w:val="28"/>
        </w:rPr>
        <w:t xml:space="preserve"> u 555 případů, u 10 případů byla doba splatnosti</w:t>
      </w:r>
      <w:r w:rsidR="00697C52">
        <w:rPr>
          <w:rFonts w:asciiTheme="minorHAnsi" w:hAnsiTheme="minorHAnsi" w:cstheme="minorHAnsi"/>
          <w:szCs w:val="28"/>
        </w:rPr>
        <w:t xml:space="preserve"> překročena</w:t>
      </w:r>
      <w:r w:rsidR="00ED0B0F" w:rsidRPr="00576C0A">
        <w:rPr>
          <w:rFonts w:asciiTheme="minorHAnsi" w:hAnsiTheme="minorHAnsi" w:cstheme="minorHAnsi"/>
          <w:szCs w:val="28"/>
        </w:rPr>
        <w:t xml:space="preserve"> </w:t>
      </w:r>
      <w:r w:rsidR="00697C52">
        <w:rPr>
          <w:rFonts w:asciiTheme="minorHAnsi" w:hAnsiTheme="minorHAnsi" w:cstheme="minorHAnsi"/>
          <w:szCs w:val="28"/>
        </w:rPr>
        <w:t>o </w:t>
      </w:r>
      <w:r w:rsidR="00ED0B0F" w:rsidRPr="00576C0A">
        <w:rPr>
          <w:rFonts w:asciiTheme="minorHAnsi" w:hAnsiTheme="minorHAnsi" w:cstheme="minorHAnsi"/>
          <w:szCs w:val="28"/>
        </w:rPr>
        <w:t xml:space="preserve">31 </w:t>
      </w:r>
      <w:r w:rsidR="00ED0B0F">
        <w:rPr>
          <w:rFonts w:asciiTheme="minorHAnsi" w:hAnsiTheme="minorHAnsi" w:cstheme="minorHAnsi"/>
          <w:szCs w:val="28"/>
        </w:rPr>
        <w:t xml:space="preserve">až </w:t>
      </w:r>
      <w:r w:rsidR="00ED0B0F" w:rsidRPr="00576C0A">
        <w:rPr>
          <w:rFonts w:asciiTheme="minorHAnsi" w:hAnsiTheme="minorHAnsi" w:cstheme="minorHAnsi"/>
          <w:szCs w:val="28"/>
        </w:rPr>
        <w:t>60 dní.</w:t>
      </w:r>
      <w:r w:rsidR="00ED0B0F">
        <w:rPr>
          <w:rFonts w:asciiTheme="minorHAnsi" w:hAnsiTheme="minorHAnsi" w:cstheme="minorHAnsi"/>
          <w:szCs w:val="28"/>
        </w:rPr>
        <w:t xml:space="preserve"> </w:t>
      </w:r>
      <w:r w:rsidR="00ED0B0F" w:rsidRPr="007F0A88">
        <w:rPr>
          <w:rFonts w:asciiTheme="minorHAnsi" w:hAnsiTheme="minorHAnsi" w:cstheme="minorHAnsi"/>
          <w:b/>
          <w:szCs w:val="28"/>
        </w:rPr>
        <w:t>Jednou z příčin</w:t>
      </w:r>
      <w:r w:rsidR="00ED0B0F">
        <w:rPr>
          <w:rFonts w:asciiTheme="minorHAnsi" w:hAnsiTheme="minorHAnsi" w:cstheme="minorHAnsi"/>
          <w:szCs w:val="28"/>
        </w:rPr>
        <w:t xml:space="preserve"> úhrad faktur po datu jejich splatnosti </w:t>
      </w:r>
      <w:r w:rsidR="00ED0B0F" w:rsidRPr="007F0A88">
        <w:rPr>
          <w:rFonts w:asciiTheme="minorHAnsi" w:hAnsiTheme="minorHAnsi" w:cstheme="minorHAnsi"/>
          <w:b/>
          <w:szCs w:val="28"/>
        </w:rPr>
        <w:lastRenderedPageBreak/>
        <w:t>bylo pozdní zahájení předběžné řídicí kontroly po vzniku závazku</w:t>
      </w:r>
      <w:r w:rsidR="00ED0B0F">
        <w:rPr>
          <w:rFonts w:asciiTheme="minorHAnsi" w:hAnsiTheme="minorHAnsi" w:cstheme="minorHAnsi"/>
          <w:b/>
          <w:szCs w:val="28"/>
        </w:rPr>
        <w:t>, v</w:t>
      </w:r>
      <w:r>
        <w:rPr>
          <w:rFonts w:asciiTheme="minorHAnsi" w:hAnsiTheme="minorHAnsi" w:cstheme="minorHAnsi"/>
          <w:b/>
          <w:szCs w:val="28"/>
        </w:rPr>
        <w:t xml:space="preserve"> řadě</w:t>
      </w:r>
      <w:r w:rsidR="00BB7D14">
        <w:rPr>
          <w:rFonts w:asciiTheme="minorHAnsi" w:hAnsiTheme="minorHAnsi" w:cstheme="minorHAnsi"/>
          <w:b/>
          <w:szCs w:val="28"/>
        </w:rPr>
        <w:t xml:space="preserve"> případů až</w:t>
      </w:r>
      <w:r w:rsidR="00B022F8">
        <w:rPr>
          <w:rFonts w:asciiTheme="minorHAnsi" w:hAnsiTheme="minorHAnsi" w:cstheme="minorHAnsi"/>
          <w:b/>
          <w:szCs w:val="28"/>
        </w:rPr>
        <w:t xml:space="preserve"> </w:t>
      </w:r>
      <w:r w:rsidR="00BB7D14">
        <w:rPr>
          <w:rFonts w:asciiTheme="minorHAnsi" w:hAnsiTheme="minorHAnsi" w:cstheme="minorHAnsi"/>
          <w:b/>
          <w:szCs w:val="28"/>
        </w:rPr>
        <w:t>po</w:t>
      </w:r>
      <w:r w:rsidR="00B022F8">
        <w:rPr>
          <w:rFonts w:asciiTheme="minorHAnsi" w:hAnsiTheme="minorHAnsi" w:cstheme="minorHAnsi"/>
          <w:b/>
          <w:szCs w:val="28"/>
        </w:rPr>
        <w:t xml:space="preserve"> </w:t>
      </w:r>
      <w:r w:rsidR="00ED0B0F">
        <w:rPr>
          <w:rFonts w:asciiTheme="minorHAnsi" w:hAnsiTheme="minorHAnsi" w:cstheme="minorHAnsi"/>
          <w:b/>
          <w:szCs w:val="28"/>
        </w:rPr>
        <w:t>měsíci po obdržení faktury.</w:t>
      </w:r>
      <w:r w:rsidR="00ED0B0F">
        <w:rPr>
          <w:rFonts w:asciiTheme="minorHAnsi" w:hAnsiTheme="minorHAnsi" w:cstheme="minorHAnsi"/>
          <w:szCs w:val="28"/>
        </w:rPr>
        <w:t xml:space="preserve"> </w:t>
      </w:r>
      <w:r w:rsidR="00ED0B0F" w:rsidRPr="007F0A88">
        <w:rPr>
          <w:rFonts w:asciiTheme="minorHAnsi" w:hAnsiTheme="minorHAnsi" w:cstheme="minorHAnsi"/>
          <w:b/>
          <w:szCs w:val="28"/>
        </w:rPr>
        <w:t>Pozdní úhrady faktur vyvolávají riziko sankcí ze strany dodavatelů.</w:t>
      </w:r>
    </w:p>
    <w:p w14:paraId="06940E66" w14:textId="77777777" w:rsidR="00624F83" w:rsidRDefault="00624F83" w:rsidP="001F4F92">
      <w:pPr>
        <w:spacing w:after="0"/>
        <w:jc w:val="both"/>
        <w:rPr>
          <w:rFonts w:asciiTheme="minorHAnsi" w:eastAsiaTheme="minorHAnsi" w:hAnsiTheme="minorHAnsi" w:cstheme="minorHAnsi"/>
          <w:b/>
        </w:rPr>
      </w:pPr>
    </w:p>
    <w:p w14:paraId="78F90C02" w14:textId="78DA65F7" w:rsidR="00AB129E" w:rsidRDefault="00DA609B" w:rsidP="001A79A3">
      <w:pPr>
        <w:jc w:val="both"/>
        <w:rPr>
          <w:rFonts w:asciiTheme="minorHAnsi" w:eastAsiaTheme="minorHAnsi" w:hAnsiTheme="minorHAnsi" w:cstheme="minorHAnsi"/>
          <w:b/>
        </w:rPr>
      </w:pPr>
      <w:r>
        <w:rPr>
          <w:rFonts w:asciiTheme="minorHAnsi" w:eastAsiaTheme="minorHAnsi" w:hAnsiTheme="minorHAnsi" w:cstheme="minorHAnsi"/>
          <w:b/>
        </w:rPr>
        <w:t>6</w:t>
      </w:r>
      <w:r w:rsidR="00AB129E">
        <w:rPr>
          <w:rFonts w:asciiTheme="minorHAnsi" w:eastAsiaTheme="minorHAnsi" w:hAnsiTheme="minorHAnsi" w:cstheme="minorHAnsi"/>
          <w:b/>
        </w:rPr>
        <w:t xml:space="preserve">.6 Kontrola </w:t>
      </w:r>
      <w:r w:rsidR="00466BA1">
        <w:rPr>
          <w:rFonts w:asciiTheme="minorHAnsi" w:eastAsiaTheme="minorHAnsi" w:hAnsiTheme="minorHAnsi" w:cstheme="minorHAnsi"/>
          <w:b/>
        </w:rPr>
        <w:t>vybraných</w:t>
      </w:r>
      <w:r w:rsidR="00AB129E">
        <w:rPr>
          <w:rFonts w:asciiTheme="minorHAnsi" w:eastAsiaTheme="minorHAnsi" w:hAnsiTheme="minorHAnsi" w:cstheme="minorHAnsi"/>
          <w:b/>
        </w:rPr>
        <w:t xml:space="preserve"> majetkových operací </w:t>
      </w:r>
      <w:r w:rsidR="00DB31F1">
        <w:rPr>
          <w:rFonts w:asciiTheme="minorHAnsi" w:eastAsiaTheme="minorHAnsi" w:hAnsiTheme="minorHAnsi" w:cstheme="minorHAnsi"/>
          <w:b/>
        </w:rPr>
        <w:t xml:space="preserve">na soulad s </w:t>
      </w:r>
      <w:r w:rsidR="00AB129E">
        <w:rPr>
          <w:rFonts w:asciiTheme="minorHAnsi" w:eastAsiaTheme="minorHAnsi" w:hAnsiTheme="minorHAnsi" w:cstheme="minorHAnsi"/>
          <w:b/>
        </w:rPr>
        <w:t>právními předpisy</w:t>
      </w:r>
    </w:p>
    <w:p w14:paraId="38C23711" w14:textId="72628255" w:rsidR="008872DE" w:rsidRDefault="00AB129E" w:rsidP="001F4F92">
      <w:pPr>
        <w:spacing w:after="0"/>
        <w:jc w:val="both"/>
        <w:rPr>
          <w:rFonts w:asciiTheme="minorHAnsi" w:eastAsiaTheme="minorHAnsi" w:hAnsiTheme="minorHAnsi" w:cstheme="minorHAnsi"/>
        </w:rPr>
      </w:pPr>
      <w:r w:rsidRPr="00DA13E2">
        <w:rPr>
          <w:rFonts w:asciiTheme="minorHAnsi" w:eastAsiaTheme="minorHAnsi" w:hAnsiTheme="minorHAnsi" w:cstheme="minorHAnsi"/>
        </w:rPr>
        <w:t>Vnitřní kontrolní systém MMR</w:t>
      </w:r>
      <w:r>
        <w:rPr>
          <w:rFonts w:asciiTheme="minorHAnsi" w:eastAsiaTheme="minorHAnsi" w:hAnsiTheme="minorHAnsi" w:cstheme="minorHAnsi"/>
        </w:rPr>
        <w:t xml:space="preserve"> v oblastech uvedených v </w:t>
      </w:r>
      <w:r w:rsidR="00790A4A">
        <w:rPr>
          <w:rFonts w:asciiTheme="minorHAnsi" w:eastAsiaTheme="minorHAnsi" w:hAnsiTheme="minorHAnsi" w:cstheme="minorHAnsi"/>
        </w:rPr>
        <w:t>části IV.</w:t>
      </w:r>
      <w:r w:rsidR="0090721E">
        <w:rPr>
          <w:rFonts w:asciiTheme="minorHAnsi" w:eastAsiaTheme="minorHAnsi" w:hAnsiTheme="minorHAnsi" w:cstheme="minorHAnsi"/>
        </w:rPr>
        <w:t>5</w:t>
      </w:r>
      <w:r>
        <w:rPr>
          <w:rFonts w:asciiTheme="minorHAnsi" w:eastAsiaTheme="minorHAnsi" w:hAnsiTheme="minorHAnsi" w:cstheme="minorHAnsi"/>
        </w:rPr>
        <w:t xml:space="preserve"> tohoto kontrolního závěru nezabránil vzniku</w:t>
      </w:r>
      <w:r w:rsidR="00D148CE">
        <w:rPr>
          <w:rFonts w:asciiTheme="minorHAnsi" w:eastAsiaTheme="minorHAnsi" w:hAnsiTheme="minorHAnsi" w:cstheme="minorHAnsi"/>
        </w:rPr>
        <w:t xml:space="preserve"> závažných skutečností,</w:t>
      </w:r>
      <w:r w:rsidR="00286B8D">
        <w:rPr>
          <w:rFonts w:asciiTheme="minorHAnsi" w:eastAsiaTheme="minorHAnsi" w:hAnsiTheme="minorHAnsi" w:cstheme="minorHAnsi"/>
        </w:rPr>
        <w:t xml:space="preserve"> </w:t>
      </w:r>
      <w:r>
        <w:rPr>
          <w:rFonts w:asciiTheme="minorHAnsi" w:eastAsiaTheme="minorHAnsi" w:hAnsiTheme="minorHAnsi" w:cstheme="minorHAnsi"/>
        </w:rPr>
        <w:t>neidentifikoval</w:t>
      </w:r>
      <w:r w:rsidR="00D148CE">
        <w:rPr>
          <w:rFonts w:asciiTheme="minorHAnsi" w:eastAsiaTheme="minorHAnsi" w:hAnsiTheme="minorHAnsi" w:cstheme="minorHAnsi"/>
        </w:rPr>
        <w:t xml:space="preserve"> je a ani je neodstranil</w:t>
      </w:r>
      <w:r>
        <w:rPr>
          <w:rFonts w:asciiTheme="minorHAnsi" w:eastAsiaTheme="minorHAnsi" w:hAnsiTheme="minorHAnsi" w:cstheme="minorHAnsi"/>
        </w:rPr>
        <w:t>.</w:t>
      </w:r>
    </w:p>
    <w:p w14:paraId="359C853E" w14:textId="263CC1C6" w:rsidR="00537A17" w:rsidRDefault="00537A17" w:rsidP="001F4F92">
      <w:pPr>
        <w:spacing w:after="0"/>
        <w:jc w:val="both"/>
        <w:rPr>
          <w:rFonts w:asciiTheme="minorHAnsi" w:eastAsiaTheme="minorHAnsi" w:hAnsiTheme="minorHAnsi" w:cstheme="minorHAnsi"/>
        </w:rPr>
      </w:pPr>
    </w:p>
    <w:p w14:paraId="03E28BFF" w14:textId="77777777" w:rsidR="00211708" w:rsidRPr="00DA13E2" w:rsidRDefault="00211708" w:rsidP="001F4F92">
      <w:pPr>
        <w:spacing w:after="0"/>
        <w:jc w:val="both"/>
        <w:rPr>
          <w:rFonts w:asciiTheme="minorHAnsi" w:eastAsiaTheme="minorHAnsi" w:hAnsiTheme="minorHAnsi" w:cstheme="minorHAnsi"/>
        </w:rPr>
      </w:pPr>
    </w:p>
    <w:p w14:paraId="50B0767C" w14:textId="77777777" w:rsidR="00112642" w:rsidRPr="00DE6626" w:rsidRDefault="00A640AE" w:rsidP="00211708">
      <w:pPr>
        <w:keepNext/>
        <w:rPr>
          <w:rFonts w:asciiTheme="minorHAnsi" w:eastAsiaTheme="minorHAnsi" w:hAnsiTheme="minorHAnsi" w:cstheme="minorHAnsi"/>
          <w:b/>
        </w:rPr>
      </w:pPr>
      <w:r w:rsidRPr="00DE6626">
        <w:rPr>
          <w:rFonts w:asciiTheme="minorHAnsi" w:eastAsiaTheme="minorHAnsi" w:hAnsiTheme="minorHAnsi" w:cstheme="minorHAnsi"/>
          <w:b/>
        </w:rPr>
        <w:t>Seznam zkratek</w:t>
      </w:r>
    </w:p>
    <w:p w14:paraId="4E899041" w14:textId="77777777" w:rsidR="00155F56" w:rsidRPr="00BB7D14" w:rsidRDefault="00155F56"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3</w:t>
      </w:r>
      <w:r w:rsidR="00C47BC0" w:rsidRPr="00BB7D14">
        <w:rPr>
          <w:rFonts w:asciiTheme="minorHAnsi" w:eastAsiaTheme="minorHAnsi" w:hAnsiTheme="minorHAnsi" w:cstheme="minorHAnsi"/>
        </w:rPr>
        <w:t>17</w:t>
      </w:r>
      <w:r w:rsidRPr="00BB7D14">
        <w:rPr>
          <w:rFonts w:asciiTheme="minorHAnsi" w:eastAsiaTheme="minorHAnsi" w:hAnsiTheme="minorHAnsi" w:cstheme="minorHAnsi"/>
        </w:rPr>
        <w:t xml:space="preserve"> </w:t>
      </w:r>
      <w:r w:rsidR="00C47BC0" w:rsidRPr="00BB7D14">
        <w:rPr>
          <w:rFonts w:asciiTheme="minorHAnsi" w:eastAsiaTheme="minorHAnsi" w:hAnsiTheme="minorHAnsi" w:cstheme="minorHAnsi"/>
        </w:rPr>
        <w:t>MMR</w:t>
      </w:r>
      <w:r w:rsidRPr="00BB7D14">
        <w:rPr>
          <w:rFonts w:asciiTheme="minorHAnsi" w:eastAsiaTheme="minorHAnsi" w:hAnsiTheme="minorHAnsi" w:cstheme="minorHAnsi"/>
        </w:rPr>
        <w:tab/>
        <w:t>kapitola státního rozpočtu 3</w:t>
      </w:r>
      <w:r w:rsidR="00C47BC0" w:rsidRPr="00BB7D14">
        <w:rPr>
          <w:rFonts w:asciiTheme="minorHAnsi" w:eastAsiaTheme="minorHAnsi" w:hAnsiTheme="minorHAnsi" w:cstheme="minorHAnsi"/>
        </w:rPr>
        <w:t>17</w:t>
      </w:r>
      <w:r w:rsidRPr="00BB7D14">
        <w:rPr>
          <w:rFonts w:asciiTheme="minorHAnsi" w:eastAsiaTheme="minorHAnsi" w:hAnsiTheme="minorHAnsi" w:cstheme="minorHAnsi"/>
        </w:rPr>
        <w:t xml:space="preserve"> – </w:t>
      </w:r>
      <w:r w:rsidRPr="00D9255C">
        <w:rPr>
          <w:rFonts w:asciiTheme="minorHAnsi" w:eastAsiaTheme="minorHAnsi" w:hAnsiTheme="minorHAnsi" w:cstheme="minorHAnsi"/>
          <w:i/>
        </w:rPr>
        <w:t xml:space="preserve">Ministerstvo </w:t>
      </w:r>
      <w:r w:rsidR="00C47BC0" w:rsidRPr="00D9255C">
        <w:rPr>
          <w:rFonts w:asciiTheme="minorHAnsi" w:eastAsiaTheme="minorHAnsi" w:hAnsiTheme="minorHAnsi" w:cstheme="minorHAnsi"/>
          <w:i/>
        </w:rPr>
        <w:t>pro místní rozvoj</w:t>
      </w:r>
    </w:p>
    <w:p w14:paraId="471CD3B3" w14:textId="77777777" w:rsidR="00155F56" w:rsidRPr="00BB7D14" w:rsidRDefault="00155F56"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ČR</w:t>
      </w:r>
      <w:r w:rsidRPr="00BB7D14">
        <w:rPr>
          <w:rFonts w:asciiTheme="minorHAnsi" w:eastAsiaTheme="minorHAnsi" w:hAnsiTheme="minorHAnsi" w:cstheme="minorHAnsi"/>
        </w:rPr>
        <w:tab/>
        <w:t xml:space="preserve">Česká republika </w:t>
      </w:r>
    </w:p>
    <w:p w14:paraId="37F250B8" w14:textId="77777777" w:rsidR="00C47BC0" w:rsidRPr="00BB7D14" w:rsidRDefault="00C47BC0"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DPH</w:t>
      </w:r>
      <w:r w:rsidRPr="00BB7D14">
        <w:rPr>
          <w:rFonts w:asciiTheme="minorHAnsi" w:eastAsiaTheme="minorHAnsi" w:hAnsiTheme="minorHAnsi" w:cstheme="minorHAnsi"/>
        </w:rPr>
        <w:tab/>
        <w:t>daň z přidané hodnoty</w:t>
      </w:r>
    </w:p>
    <w:p w14:paraId="660F82C0" w14:textId="4FDB3D03" w:rsidR="00236DA8" w:rsidRPr="00BB7D14" w:rsidRDefault="00236DA8"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IROP</w:t>
      </w:r>
      <w:r w:rsidRPr="00BB7D14">
        <w:rPr>
          <w:rFonts w:asciiTheme="minorHAnsi" w:eastAsiaTheme="minorHAnsi" w:hAnsiTheme="minorHAnsi" w:cstheme="minorHAnsi"/>
        </w:rPr>
        <w:tab/>
      </w:r>
      <w:r w:rsidR="00697C52" w:rsidRPr="00D9255C">
        <w:rPr>
          <w:rFonts w:asciiTheme="minorHAnsi" w:eastAsiaTheme="minorHAnsi" w:hAnsiTheme="minorHAnsi" w:cstheme="minorHAnsi"/>
          <w:i/>
        </w:rPr>
        <w:t>Integrovaný regionální operační program</w:t>
      </w:r>
      <w:r w:rsidR="00697C52">
        <w:rPr>
          <w:rFonts w:asciiTheme="minorHAnsi" w:eastAsiaTheme="minorHAnsi" w:hAnsiTheme="minorHAnsi" w:cstheme="minorHAnsi"/>
        </w:rPr>
        <w:t xml:space="preserve"> </w:t>
      </w:r>
    </w:p>
    <w:p w14:paraId="7C17ECC4" w14:textId="77777777" w:rsidR="00155F56" w:rsidRPr="00BB7D14" w:rsidRDefault="00155F56" w:rsidP="00211708">
      <w:pPr>
        <w:keepNext/>
        <w:tabs>
          <w:tab w:val="left" w:pos="2552"/>
        </w:tabs>
        <w:rPr>
          <w:rFonts w:asciiTheme="minorHAnsi" w:eastAsiaTheme="minorHAnsi" w:hAnsiTheme="minorHAnsi" w:cstheme="minorHAnsi"/>
        </w:rPr>
      </w:pPr>
      <w:r w:rsidRPr="00BB7D14">
        <w:rPr>
          <w:rFonts w:asciiTheme="minorHAnsi" w:eastAsiaTheme="minorHAnsi" w:hAnsiTheme="minorHAnsi" w:cstheme="minorHAnsi"/>
        </w:rPr>
        <w:t>KA</w:t>
      </w:r>
      <w:r w:rsidRPr="00BB7D14">
        <w:rPr>
          <w:rFonts w:asciiTheme="minorHAnsi" w:eastAsiaTheme="minorHAnsi" w:hAnsiTheme="minorHAnsi" w:cstheme="minorHAnsi"/>
        </w:rPr>
        <w:tab/>
      </w:r>
      <w:r w:rsidR="003B23D8" w:rsidRPr="00BB7D14">
        <w:rPr>
          <w:rFonts w:asciiTheme="minorHAnsi" w:eastAsiaTheme="minorHAnsi" w:hAnsiTheme="minorHAnsi" w:cstheme="minorHAnsi"/>
        </w:rPr>
        <w:t>k</w:t>
      </w:r>
      <w:r w:rsidRPr="00BB7D14">
        <w:rPr>
          <w:rFonts w:asciiTheme="minorHAnsi" w:eastAsiaTheme="minorHAnsi" w:hAnsiTheme="minorHAnsi" w:cstheme="minorHAnsi"/>
        </w:rPr>
        <w:t>ontrolní akce</w:t>
      </w:r>
      <w:r w:rsidR="003B23D8" w:rsidRPr="00BB7D14">
        <w:rPr>
          <w:rFonts w:asciiTheme="minorHAnsi" w:eastAsiaTheme="minorHAnsi" w:hAnsiTheme="minorHAnsi" w:cstheme="minorHAnsi"/>
        </w:rPr>
        <w:t xml:space="preserve"> Nejvyššího kontrolního úřadu</w:t>
      </w:r>
    </w:p>
    <w:p w14:paraId="3CE3266C" w14:textId="77777777" w:rsidR="00155F56" w:rsidRPr="00BB7D14" w:rsidRDefault="00155F56" w:rsidP="00211708">
      <w:pPr>
        <w:keepNext/>
        <w:ind w:left="2552" w:hanging="2552"/>
        <w:rPr>
          <w:rFonts w:cs="Calibri"/>
          <w:color w:val="000000"/>
          <w:lang w:eastAsia="cs-CZ"/>
        </w:rPr>
      </w:pPr>
      <w:r w:rsidRPr="00BB7D14">
        <w:rPr>
          <w:rFonts w:cs="Calibri"/>
          <w:color w:val="000000"/>
          <w:lang w:eastAsia="cs-CZ"/>
        </w:rPr>
        <w:t xml:space="preserve">MF </w:t>
      </w:r>
      <w:r w:rsidRPr="00BB7D14">
        <w:rPr>
          <w:rFonts w:cs="Calibri"/>
          <w:color w:val="000000"/>
          <w:lang w:eastAsia="cs-CZ"/>
        </w:rPr>
        <w:tab/>
        <w:t>Ministerstvo financí</w:t>
      </w:r>
    </w:p>
    <w:p w14:paraId="1C6D6734" w14:textId="77777777" w:rsidR="00155F56" w:rsidRPr="00BB7D14" w:rsidRDefault="00155F56" w:rsidP="00211708">
      <w:pPr>
        <w:keepNext/>
        <w:ind w:left="2552" w:hanging="2552"/>
        <w:rPr>
          <w:rFonts w:cs="Calibri"/>
          <w:color w:val="000000"/>
          <w:lang w:eastAsia="cs-CZ"/>
        </w:rPr>
      </w:pPr>
      <w:r w:rsidRPr="00BB7D14">
        <w:rPr>
          <w:rFonts w:cs="Calibri"/>
          <w:color w:val="000000"/>
          <w:lang w:eastAsia="cs-CZ"/>
        </w:rPr>
        <w:t xml:space="preserve">MMR </w:t>
      </w:r>
      <w:r w:rsidRPr="00BB7D14">
        <w:rPr>
          <w:rFonts w:cs="Calibri"/>
          <w:color w:val="000000"/>
          <w:lang w:eastAsia="cs-CZ"/>
        </w:rPr>
        <w:tab/>
        <w:t>Ministerstvo pro místní rozvoj</w:t>
      </w:r>
    </w:p>
    <w:p w14:paraId="0EB1338A" w14:textId="77777777" w:rsidR="00155F56" w:rsidRPr="00BB7D14" w:rsidRDefault="00155F56"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NKÚ</w:t>
      </w:r>
      <w:r w:rsidRPr="00BB7D14">
        <w:rPr>
          <w:rFonts w:asciiTheme="minorHAnsi" w:eastAsiaTheme="minorHAnsi" w:hAnsiTheme="minorHAnsi" w:cstheme="minorHAnsi"/>
        </w:rPr>
        <w:tab/>
        <w:t>Nejvyšší kontrolní úřad</w:t>
      </w:r>
    </w:p>
    <w:p w14:paraId="3F12E4B6" w14:textId="25DF3228" w:rsidR="00D51A1F" w:rsidRPr="00BB7D14" w:rsidRDefault="00D51A1F"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OPTP</w:t>
      </w:r>
      <w:r w:rsidRPr="00BB7D14">
        <w:rPr>
          <w:rFonts w:asciiTheme="minorHAnsi" w:eastAsiaTheme="minorHAnsi" w:hAnsiTheme="minorHAnsi" w:cstheme="minorHAnsi"/>
        </w:rPr>
        <w:tab/>
      </w:r>
      <w:r w:rsidR="00B022F8">
        <w:rPr>
          <w:rFonts w:asciiTheme="minorHAnsi" w:eastAsiaTheme="minorHAnsi" w:hAnsiTheme="minorHAnsi" w:cstheme="minorHAnsi"/>
        </w:rPr>
        <w:t>o</w:t>
      </w:r>
      <w:r w:rsidRPr="00BB7D14">
        <w:rPr>
          <w:rFonts w:asciiTheme="minorHAnsi" w:eastAsiaTheme="minorHAnsi" w:hAnsiTheme="minorHAnsi" w:cstheme="minorHAnsi"/>
        </w:rPr>
        <w:t xml:space="preserve">perační program </w:t>
      </w:r>
      <w:r w:rsidRPr="00D9255C">
        <w:rPr>
          <w:rFonts w:asciiTheme="minorHAnsi" w:eastAsiaTheme="minorHAnsi" w:hAnsiTheme="minorHAnsi" w:cstheme="minorHAnsi"/>
          <w:i/>
        </w:rPr>
        <w:t>Technická pomoc</w:t>
      </w:r>
    </w:p>
    <w:p w14:paraId="52DD0111" w14:textId="77777777" w:rsidR="00155F56" w:rsidRPr="00BB7D14" w:rsidRDefault="00155F56"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OSS</w:t>
      </w:r>
      <w:r w:rsidRPr="00BB7D14">
        <w:rPr>
          <w:rFonts w:asciiTheme="minorHAnsi" w:eastAsiaTheme="minorHAnsi" w:hAnsiTheme="minorHAnsi" w:cstheme="minorHAnsi"/>
        </w:rPr>
        <w:tab/>
        <w:t>organizační složka/</w:t>
      </w:r>
      <w:r w:rsidR="005121AE" w:rsidRPr="00BB7D14">
        <w:rPr>
          <w:rFonts w:asciiTheme="minorHAnsi" w:eastAsiaTheme="minorHAnsi" w:hAnsiTheme="minorHAnsi" w:cstheme="minorHAnsi"/>
        </w:rPr>
        <w:t>složk</w:t>
      </w:r>
      <w:r w:rsidRPr="00BB7D14">
        <w:rPr>
          <w:rFonts w:asciiTheme="minorHAnsi" w:eastAsiaTheme="minorHAnsi" w:hAnsiTheme="minorHAnsi" w:cstheme="minorHAnsi"/>
        </w:rPr>
        <w:t>y státu</w:t>
      </w:r>
    </w:p>
    <w:p w14:paraId="037ED90C" w14:textId="77777777" w:rsidR="00155F56" w:rsidRPr="00BB7D14" w:rsidRDefault="00155F56"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PO</w:t>
      </w:r>
      <w:r w:rsidRPr="00BB7D14">
        <w:rPr>
          <w:rFonts w:asciiTheme="minorHAnsi" w:eastAsiaTheme="minorHAnsi" w:hAnsiTheme="minorHAnsi" w:cstheme="minorHAnsi"/>
        </w:rPr>
        <w:tab/>
        <w:t>příspěvková</w:t>
      </w:r>
      <w:r w:rsidR="005121AE" w:rsidRPr="00BB7D14">
        <w:rPr>
          <w:rFonts w:asciiTheme="minorHAnsi" w:eastAsiaTheme="minorHAnsi" w:hAnsiTheme="minorHAnsi" w:cstheme="minorHAnsi"/>
        </w:rPr>
        <w:t>/příspěvkové</w:t>
      </w:r>
      <w:r w:rsidRPr="00BB7D14">
        <w:rPr>
          <w:rFonts w:asciiTheme="minorHAnsi" w:eastAsiaTheme="minorHAnsi" w:hAnsiTheme="minorHAnsi" w:cstheme="minorHAnsi"/>
        </w:rPr>
        <w:t xml:space="preserve"> organizace</w:t>
      </w:r>
    </w:p>
    <w:p w14:paraId="34595C1B" w14:textId="77777777" w:rsidR="00D51A1F" w:rsidRPr="00BB7D14" w:rsidRDefault="00D51A1F" w:rsidP="00211708">
      <w:pPr>
        <w:keepNext/>
        <w:tabs>
          <w:tab w:val="left" w:pos="2552"/>
        </w:tabs>
        <w:ind w:left="2552" w:hanging="2552"/>
      </w:pPr>
      <w:r w:rsidRPr="00BB7D14">
        <w:t>RP</w:t>
      </w:r>
      <w:r w:rsidRPr="00BB7D14">
        <w:tab/>
        <w:t>položka rozpočtové skladby</w:t>
      </w:r>
    </w:p>
    <w:p w14:paraId="632F3ADE" w14:textId="77777777" w:rsidR="00155F56" w:rsidRPr="00BB7D14" w:rsidRDefault="00155F56" w:rsidP="00211708">
      <w:pPr>
        <w:keepNext/>
        <w:tabs>
          <w:tab w:val="left" w:pos="2552"/>
        </w:tabs>
        <w:ind w:left="2552" w:hanging="2552"/>
        <w:rPr>
          <w:rFonts w:asciiTheme="minorHAnsi" w:eastAsiaTheme="minorHAnsi" w:hAnsiTheme="minorHAnsi" w:cstheme="minorHAnsi"/>
        </w:rPr>
      </w:pPr>
      <w:r w:rsidRPr="00BB7D14">
        <w:rPr>
          <w:rFonts w:asciiTheme="minorHAnsi" w:eastAsiaTheme="minorHAnsi" w:hAnsiTheme="minorHAnsi" w:cstheme="minorHAnsi"/>
        </w:rPr>
        <w:t>ÚZ</w:t>
      </w:r>
      <w:r w:rsidRPr="00BB7D14">
        <w:rPr>
          <w:rFonts w:asciiTheme="minorHAnsi" w:eastAsiaTheme="minorHAnsi" w:hAnsiTheme="minorHAnsi" w:cstheme="minorHAnsi"/>
        </w:rPr>
        <w:tab/>
        <w:t>účetní závěrka M</w:t>
      </w:r>
      <w:r w:rsidR="00786390" w:rsidRPr="00BB7D14">
        <w:rPr>
          <w:rFonts w:asciiTheme="minorHAnsi" w:eastAsiaTheme="minorHAnsi" w:hAnsiTheme="minorHAnsi" w:cstheme="minorHAnsi"/>
        </w:rPr>
        <w:t>MR</w:t>
      </w:r>
      <w:r w:rsidRPr="00BB7D14">
        <w:rPr>
          <w:rFonts w:asciiTheme="minorHAnsi" w:eastAsiaTheme="minorHAnsi" w:hAnsiTheme="minorHAnsi" w:cstheme="minorHAnsi"/>
        </w:rPr>
        <w:t xml:space="preserve"> sestavená k 31. prosinci 2018</w:t>
      </w:r>
    </w:p>
    <w:p w14:paraId="25F2464B" w14:textId="372A07B2" w:rsidR="00B53D75" w:rsidRDefault="00155F56" w:rsidP="00211708">
      <w:pPr>
        <w:keepNext/>
        <w:tabs>
          <w:tab w:val="left" w:pos="2552"/>
        </w:tabs>
        <w:ind w:left="2552" w:hanging="2552"/>
        <w:rPr>
          <w:rFonts w:asciiTheme="minorHAnsi" w:eastAsiaTheme="minorHAnsi" w:hAnsiTheme="minorHAnsi" w:cstheme="minorHAnsi"/>
          <w:sz w:val="22"/>
          <w:szCs w:val="22"/>
        </w:rPr>
      </w:pPr>
      <w:r w:rsidRPr="00BB7D14">
        <w:rPr>
          <w:rFonts w:asciiTheme="minorHAnsi" w:eastAsiaTheme="minorHAnsi" w:hAnsiTheme="minorHAnsi" w:cstheme="minorHAnsi"/>
        </w:rPr>
        <w:t>výkaz FIN 1-12 OSS</w:t>
      </w:r>
      <w:r w:rsidRPr="00BB7D14">
        <w:rPr>
          <w:rFonts w:asciiTheme="minorHAnsi" w:eastAsiaTheme="minorHAnsi" w:hAnsiTheme="minorHAnsi" w:cstheme="minorHAnsi"/>
        </w:rPr>
        <w:tab/>
        <w:t>výkaz pro hodnocení plnění rozpočtu správců kapitol a organizačních složek státu</w:t>
      </w:r>
      <w:r w:rsidR="00786390" w:rsidRPr="00BB7D14">
        <w:rPr>
          <w:rFonts w:asciiTheme="minorHAnsi" w:eastAsiaTheme="minorHAnsi" w:hAnsiTheme="minorHAnsi" w:cstheme="minorHAnsi"/>
        </w:rPr>
        <w:t xml:space="preserve"> za</w:t>
      </w:r>
      <w:r w:rsidR="00786390">
        <w:rPr>
          <w:rFonts w:asciiTheme="minorHAnsi" w:eastAsiaTheme="minorHAnsi" w:hAnsiTheme="minorHAnsi" w:cstheme="minorHAnsi"/>
          <w:sz w:val="22"/>
          <w:szCs w:val="22"/>
        </w:rPr>
        <w:t xml:space="preserve"> rok 2018</w:t>
      </w:r>
    </w:p>
    <w:p w14:paraId="1B5F33D4" w14:textId="01170BDB" w:rsidR="00183D64" w:rsidRDefault="00800204" w:rsidP="00183D64">
      <w:pPr>
        <w:keepNext/>
        <w:tabs>
          <w:tab w:val="left" w:pos="2552"/>
        </w:tabs>
        <w:ind w:left="2552" w:hanging="2552"/>
        <w:rPr>
          <w:rFonts w:asciiTheme="minorHAnsi" w:eastAsiaTheme="minorHAnsi" w:hAnsiTheme="minorHAnsi" w:cstheme="minorHAnsi"/>
          <w:sz w:val="22"/>
          <w:szCs w:val="22"/>
        </w:rPr>
      </w:pPr>
      <w:r>
        <w:rPr>
          <w:rFonts w:asciiTheme="minorHAnsi" w:eastAsiaTheme="minorHAnsi" w:hAnsiTheme="minorHAnsi" w:cstheme="minorHAnsi"/>
          <w:sz w:val="22"/>
          <w:szCs w:val="22"/>
        </w:rPr>
        <w:t>VKS</w:t>
      </w:r>
      <w:r w:rsidR="0004593F">
        <w:rPr>
          <w:rFonts w:asciiTheme="minorHAnsi" w:eastAsiaTheme="minorHAnsi" w:hAnsiTheme="minorHAnsi" w:cstheme="minorHAnsi"/>
          <w:sz w:val="22"/>
          <w:szCs w:val="22"/>
        </w:rPr>
        <w:tab/>
      </w:r>
      <w:r>
        <w:rPr>
          <w:rFonts w:asciiTheme="minorHAnsi" w:eastAsiaTheme="minorHAnsi" w:hAnsiTheme="minorHAnsi" w:cstheme="minorHAnsi"/>
          <w:sz w:val="22"/>
          <w:szCs w:val="22"/>
        </w:rPr>
        <w:t>vnitřní kontrolní systém</w:t>
      </w:r>
    </w:p>
    <w:p w14:paraId="39A5FF6C" w14:textId="77777777" w:rsidR="0004593F" w:rsidRDefault="0004593F" w:rsidP="00D51A1F">
      <w:pPr>
        <w:tabs>
          <w:tab w:val="left" w:pos="2552"/>
        </w:tabs>
        <w:spacing w:after="160"/>
        <w:ind w:left="2552" w:hanging="2552"/>
        <w:rPr>
          <w:rFonts w:asciiTheme="minorHAnsi" w:eastAsiaTheme="minorHAnsi" w:hAnsiTheme="minorHAnsi" w:cstheme="minorHAnsi"/>
        </w:rPr>
        <w:sectPr w:rsidR="0004593F" w:rsidSect="00CA5B95">
          <w:headerReference w:type="default" r:id="rId18"/>
          <w:footerReference w:type="default" r:id="rId19"/>
          <w:footerReference w:type="first" r:id="rId20"/>
          <w:pgSz w:w="11906" w:h="16838" w:code="9"/>
          <w:pgMar w:top="1418" w:right="1418" w:bottom="1418" w:left="1418" w:header="709" w:footer="709" w:gutter="0"/>
          <w:cols w:space="708"/>
          <w:titlePg/>
          <w:docGrid w:linePitch="360"/>
        </w:sectPr>
      </w:pPr>
    </w:p>
    <w:p w14:paraId="71055DD4" w14:textId="10991A8C" w:rsidR="0004593F" w:rsidRPr="0004593F" w:rsidRDefault="0004593F" w:rsidP="0004593F">
      <w:pPr>
        <w:tabs>
          <w:tab w:val="left" w:pos="2552"/>
        </w:tabs>
        <w:spacing w:after="160"/>
        <w:ind w:left="2552" w:hanging="2552"/>
        <w:jc w:val="right"/>
        <w:rPr>
          <w:rFonts w:asciiTheme="minorHAnsi" w:eastAsiaTheme="minorHAnsi" w:hAnsiTheme="minorHAnsi" w:cstheme="minorHAnsi"/>
          <w:b/>
        </w:rPr>
      </w:pPr>
      <w:r>
        <w:rPr>
          <w:rFonts w:asciiTheme="minorHAnsi" w:eastAsiaTheme="minorHAnsi" w:hAnsiTheme="minorHAnsi" w:cstheme="minorHAnsi"/>
          <w:b/>
        </w:rPr>
        <w:lastRenderedPageBreak/>
        <w:t>Příloha č. 1</w:t>
      </w:r>
    </w:p>
    <w:p w14:paraId="2AB6AF9A" w14:textId="7DAFAEC2" w:rsidR="0004593F" w:rsidRPr="00B4738C" w:rsidRDefault="00D6011A" w:rsidP="00B4738C">
      <w:pPr>
        <w:tabs>
          <w:tab w:val="left" w:pos="2552"/>
        </w:tabs>
        <w:ind w:left="2552" w:hanging="2552"/>
        <w:jc w:val="center"/>
        <w:rPr>
          <w:rFonts w:asciiTheme="minorHAnsi" w:eastAsiaTheme="minorHAnsi" w:hAnsiTheme="minorHAnsi" w:cstheme="minorHAnsi"/>
          <w:b/>
        </w:rPr>
      </w:pPr>
      <w:r w:rsidRPr="00B4738C">
        <w:rPr>
          <w:rFonts w:asciiTheme="minorHAnsi" w:eastAsiaTheme="minorHAnsi" w:hAnsiTheme="minorHAnsi" w:cstheme="minorHAnsi"/>
          <w:b/>
        </w:rPr>
        <w:t>Vývoj výdajů dle odvětvového třídění</w:t>
      </w:r>
    </w:p>
    <w:p w14:paraId="10522F48" w14:textId="34AB0424" w:rsidR="00B4738C" w:rsidRDefault="00B4738C" w:rsidP="00B4738C">
      <w:pPr>
        <w:tabs>
          <w:tab w:val="left" w:pos="2552"/>
        </w:tabs>
        <w:spacing w:after="0"/>
        <w:ind w:left="2552" w:hanging="2552"/>
        <w:rPr>
          <w:rFonts w:asciiTheme="minorHAnsi" w:eastAsiaTheme="minorHAnsi" w:hAnsiTheme="minorHAnsi" w:cstheme="minorHAnsi"/>
        </w:rPr>
        <w:sectPr w:rsidR="00B4738C" w:rsidSect="0004593F">
          <w:footerReference w:type="first" r:id="rId21"/>
          <w:pgSz w:w="16838" w:h="11906" w:orient="landscape" w:code="9"/>
          <w:pgMar w:top="1418" w:right="1418" w:bottom="1418" w:left="1418" w:header="709" w:footer="709" w:gutter="0"/>
          <w:cols w:space="708"/>
          <w:titlePg/>
          <w:docGrid w:linePitch="360"/>
        </w:sectPr>
      </w:pPr>
      <w:r>
        <w:rPr>
          <w:noProof/>
          <w:lang w:eastAsia="cs-CZ"/>
        </w:rPr>
        <w:drawing>
          <wp:inline distT="0" distB="0" distL="0" distR="0" wp14:anchorId="1FCAB52B" wp14:editId="6A23C37F">
            <wp:extent cx="8891270" cy="5190384"/>
            <wp:effectExtent l="0" t="0" r="508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ýstřižek.PNG"/>
                    <pic:cNvPicPr/>
                  </pic:nvPicPr>
                  <pic:blipFill>
                    <a:blip r:embed="rId22">
                      <a:extLst>
                        <a:ext uri="{28A0092B-C50C-407E-A947-70E740481C1C}">
                          <a14:useLocalDpi xmlns:a14="http://schemas.microsoft.com/office/drawing/2010/main" val="0"/>
                        </a:ext>
                      </a:extLst>
                    </a:blip>
                    <a:stretch>
                      <a:fillRect/>
                    </a:stretch>
                  </pic:blipFill>
                  <pic:spPr>
                    <a:xfrm>
                      <a:off x="0" y="0"/>
                      <a:ext cx="8891270" cy="5190384"/>
                    </a:xfrm>
                    <a:prstGeom prst="rect">
                      <a:avLst/>
                    </a:prstGeom>
                  </pic:spPr>
                </pic:pic>
              </a:graphicData>
            </a:graphic>
          </wp:inline>
        </w:drawing>
      </w:r>
    </w:p>
    <w:p w14:paraId="37948487" w14:textId="6660C03C" w:rsidR="0004593F" w:rsidRPr="00F32922" w:rsidRDefault="0004593F" w:rsidP="0004593F">
      <w:pPr>
        <w:tabs>
          <w:tab w:val="left" w:pos="2552"/>
        </w:tabs>
        <w:spacing w:after="160"/>
        <w:ind w:left="2552" w:hanging="2552"/>
        <w:jc w:val="right"/>
        <w:rPr>
          <w:rFonts w:eastAsiaTheme="minorHAnsi" w:cs="Calibri"/>
          <w:b/>
        </w:rPr>
      </w:pPr>
      <w:r w:rsidRPr="00F32922">
        <w:rPr>
          <w:rFonts w:eastAsiaTheme="minorHAnsi" w:cs="Calibri"/>
          <w:b/>
        </w:rPr>
        <w:lastRenderedPageBreak/>
        <w:t>Příloha č. 2</w:t>
      </w:r>
    </w:p>
    <w:p w14:paraId="2E82305E" w14:textId="7932858F" w:rsidR="0004593F" w:rsidRPr="00F32922" w:rsidRDefault="00D6011A" w:rsidP="0004593F">
      <w:pPr>
        <w:tabs>
          <w:tab w:val="left" w:pos="2552"/>
        </w:tabs>
        <w:spacing w:after="0"/>
        <w:ind w:left="2552" w:hanging="2552"/>
        <w:jc w:val="center"/>
        <w:rPr>
          <w:rFonts w:eastAsiaTheme="minorHAnsi" w:cs="Calibri"/>
          <w:b/>
        </w:rPr>
      </w:pPr>
      <w:r w:rsidRPr="00F32922">
        <w:rPr>
          <w:rFonts w:eastAsiaTheme="minorHAnsi" w:cs="Calibri"/>
          <w:b/>
        </w:rPr>
        <w:t>Souhrn ekonomických ukazatelů</w:t>
      </w:r>
    </w:p>
    <w:p w14:paraId="26590586" w14:textId="77777777" w:rsidR="0004593F" w:rsidRPr="00F32922" w:rsidRDefault="0004593F" w:rsidP="0004593F">
      <w:pPr>
        <w:spacing w:after="0"/>
        <w:contextualSpacing/>
        <w:jc w:val="both"/>
        <w:rPr>
          <w:rFonts w:eastAsia="Calibri" w:cs="Calibri"/>
        </w:rPr>
      </w:pPr>
    </w:p>
    <w:p w14:paraId="4035BD0C" w14:textId="5917E57E" w:rsidR="0004593F" w:rsidRDefault="0004593F" w:rsidP="0004593F">
      <w:pPr>
        <w:spacing w:after="0"/>
        <w:contextualSpacing/>
        <w:jc w:val="both"/>
        <w:rPr>
          <w:rFonts w:eastAsia="Calibri" w:cs="Calibri"/>
        </w:rPr>
      </w:pPr>
      <w:r w:rsidRPr="00F32922">
        <w:rPr>
          <w:rFonts w:eastAsia="Calibri" w:cs="Calibri"/>
        </w:rPr>
        <w:t>Příloha obsahuje výsledky rozpočtového hospodaření za rok 2018 vykázané v rámci kapitoly 317 MMR na peněžní a akruální bázi, porovnání s výsledky za předchozí rok a pro prohloubení vypovídací schopnosti i s výsledky v delší časové řadě od roku 2014.</w:t>
      </w:r>
    </w:p>
    <w:p w14:paraId="04CC0352" w14:textId="77777777" w:rsidR="00F32922" w:rsidRPr="00F32922" w:rsidRDefault="00F32922" w:rsidP="0004593F">
      <w:pPr>
        <w:spacing w:after="0"/>
        <w:contextualSpacing/>
        <w:jc w:val="both"/>
        <w:rPr>
          <w:rFonts w:eastAsia="Calibri" w:cs="Calibri"/>
        </w:rPr>
      </w:pPr>
    </w:p>
    <w:p w14:paraId="68A24741" w14:textId="792470CB" w:rsidR="0004593F" w:rsidRDefault="00ED2F1E" w:rsidP="00ED2F1E">
      <w:pPr>
        <w:spacing w:after="0"/>
        <w:contextualSpacing/>
        <w:outlineLvl w:val="0"/>
        <w:rPr>
          <w:rFonts w:eastAsia="Calibri" w:cs="Calibri"/>
          <w:b/>
        </w:rPr>
      </w:pPr>
      <w:r>
        <w:rPr>
          <w:rFonts w:eastAsia="Calibri" w:cs="Calibri"/>
          <w:b/>
        </w:rPr>
        <w:t xml:space="preserve">A. </w:t>
      </w:r>
      <w:r w:rsidR="0004593F" w:rsidRPr="00F32922">
        <w:rPr>
          <w:rFonts w:eastAsia="Calibri" w:cs="Calibri"/>
          <w:b/>
        </w:rPr>
        <w:t>OSS rozpočtové kapitoly 317 MMR</w:t>
      </w:r>
    </w:p>
    <w:p w14:paraId="26C8CBBC" w14:textId="77777777" w:rsidR="00F32922" w:rsidRPr="00F32922" w:rsidRDefault="00F32922" w:rsidP="00F32922">
      <w:pPr>
        <w:spacing w:after="0"/>
        <w:contextualSpacing/>
        <w:outlineLvl w:val="0"/>
        <w:rPr>
          <w:rFonts w:eastAsia="Calibri" w:cs="Calibri"/>
        </w:rPr>
      </w:pPr>
    </w:p>
    <w:p w14:paraId="349476E9" w14:textId="5C1C5BB1" w:rsidR="0004593F" w:rsidRPr="00F32922" w:rsidRDefault="0004593F" w:rsidP="00F32922">
      <w:pPr>
        <w:pStyle w:val="Titulek1"/>
        <w:rPr>
          <w:rFonts w:cs="Calibri"/>
          <w:sz w:val="24"/>
          <w:szCs w:val="24"/>
        </w:rPr>
      </w:pPr>
      <w:bookmarkStart w:id="1" w:name="_Toc520714310"/>
      <w:bookmarkStart w:id="2" w:name="_Toc8984517"/>
      <w:bookmarkStart w:id="3" w:name="_Toc33100889"/>
      <w:bookmarkStart w:id="4" w:name="_Toc520714169"/>
      <w:bookmarkStart w:id="5" w:name="_Toc6902515"/>
      <w:bookmarkStart w:id="6" w:name="_Toc18644612"/>
      <w:r w:rsidRPr="00F32922">
        <w:rPr>
          <w:rFonts w:cs="Calibri"/>
          <w:sz w:val="24"/>
          <w:szCs w:val="24"/>
        </w:rPr>
        <w:t xml:space="preserve">Tabulka č. </w:t>
      </w:r>
      <w:r w:rsidRPr="00F32922">
        <w:rPr>
          <w:rFonts w:cs="Calibri"/>
          <w:sz w:val="24"/>
          <w:szCs w:val="24"/>
        </w:rPr>
        <w:fldChar w:fldCharType="begin"/>
      </w:r>
      <w:r w:rsidRPr="00F32922">
        <w:rPr>
          <w:rFonts w:cs="Calibri"/>
          <w:sz w:val="24"/>
          <w:szCs w:val="24"/>
        </w:rPr>
        <w:instrText xml:space="preserve"> SEQ Tabulka \* ARABIC </w:instrText>
      </w:r>
      <w:r w:rsidRPr="00F32922">
        <w:rPr>
          <w:rFonts w:cs="Calibri"/>
          <w:sz w:val="24"/>
          <w:szCs w:val="24"/>
        </w:rPr>
        <w:fldChar w:fldCharType="separate"/>
      </w:r>
      <w:r w:rsidR="00015BEA">
        <w:rPr>
          <w:rFonts w:cs="Calibri"/>
          <w:noProof/>
          <w:sz w:val="24"/>
          <w:szCs w:val="24"/>
        </w:rPr>
        <w:t>1</w:t>
      </w:r>
      <w:r w:rsidRPr="00F32922">
        <w:rPr>
          <w:rFonts w:cs="Calibri"/>
          <w:noProof/>
          <w:sz w:val="24"/>
          <w:szCs w:val="24"/>
        </w:rPr>
        <w:fldChar w:fldCharType="end"/>
      </w:r>
      <w:r w:rsidRPr="00F32922">
        <w:rPr>
          <w:rFonts w:cs="Calibri"/>
          <w:sz w:val="24"/>
          <w:szCs w:val="24"/>
        </w:rPr>
        <w:t>: OSS v rámci kapitoly 317</w:t>
      </w:r>
      <w:bookmarkEnd w:id="1"/>
      <w:bookmarkEnd w:id="2"/>
      <w:bookmarkEnd w:id="3"/>
    </w:p>
    <w:tbl>
      <w:tblPr>
        <w:tblW w:w="9071" w:type="dxa"/>
        <w:jc w:val="center"/>
        <w:tblLayout w:type="fixed"/>
        <w:tblCellMar>
          <w:left w:w="70" w:type="dxa"/>
          <w:right w:w="70" w:type="dxa"/>
        </w:tblCellMar>
        <w:tblLook w:val="04A0" w:firstRow="1" w:lastRow="0" w:firstColumn="1" w:lastColumn="0" w:noHBand="0" w:noVBand="1"/>
      </w:tblPr>
      <w:tblGrid>
        <w:gridCol w:w="2268"/>
        <w:gridCol w:w="6803"/>
      </w:tblGrid>
      <w:tr w:rsidR="00F32922" w:rsidRPr="0004593F" w14:paraId="63FB4F38" w14:textId="77777777" w:rsidTr="00F32922">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EA28A82"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IČO</w:t>
            </w:r>
          </w:p>
        </w:tc>
        <w:tc>
          <w:tcPr>
            <w:tcW w:w="6803" w:type="dxa"/>
            <w:tcBorders>
              <w:top w:val="single" w:sz="4" w:space="0" w:color="auto"/>
              <w:left w:val="nil"/>
              <w:bottom w:val="single" w:sz="4" w:space="0" w:color="auto"/>
              <w:right w:val="single" w:sz="4" w:space="0" w:color="auto"/>
            </w:tcBorders>
            <w:shd w:val="clear" w:color="auto" w:fill="E5F1FF"/>
            <w:noWrap/>
            <w:vAlign w:val="center"/>
            <w:hideMark/>
          </w:tcPr>
          <w:p w14:paraId="7CA86A1A"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Účetní jednotka</w:t>
            </w:r>
          </w:p>
        </w:tc>
      </w:tr>
      <w:tr w:rsidR="00F32922" w:rsidRPr="0004593F" w14:paraId="23FA39A2" w14:textId="77777777" w:rsidTr="00F32922">
        <w:trPr>
          <w:trHeight w:val="25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B1B0736" w14:textId="77777777" w:rsidR="0004593F" w:rsidRPr="0004593F" w:rsidRDefault="0004593F" w:rsidP="0004593F">
            <w:pPr>
              <w:spacing w:after="0"/>
              <w:contextualSpacing/>
              <w:rPr>
                <w:rFonts w:cs="Calibri"/>
                <w:color w:val="000000"/>
                <w:sz w:val="20"/>
                <w:szCs w:val="20"/>
                <w:lang w:eastAsia="cs-CZ"/>
              </w:rPr>
            </w:pPr>
            <w:r w:rsidRPr="0004593F">
              <w:rPr>
                <w:rFonts w:cs="Calibri"/>
                <w:color w:val="000000"/>
                <w:sz w:val="20"/>
                <w:szCs w:val="20"/>
                <w:lang w:eastAsia="cs-CZ"/>
              </w:rPr>
              <w:t>66002222</w:t>
            </w:r>
          </w:p>
        </w:tc>
        <w:tc>
          <w:tcPr>
            <w:tcW w:w="6803" w:type="dxa"/>
            <w:tcBorders>
              <w:top w:val="nil"/>
              <w:left w:val="nil"/>
              <w:bottom w:val="single" w:sz="4" w:space="0" w:color="auto"/>
              <w:right w:val="single" w:sz="4" w:space="0" w:color="auto"/>
            </w:tcBorders>
            <w:shd w:val="clear" w:color="auto" w:fill="auto"/>
            <w:noWrap/>
            <w:vAlign w:val="center"/>
            <w:hideMark/>
          </w:tcPr>
          <w:p w14:paraId="16F083BA" w14:textId="77777777" w:rsidR="0004593F" w:rsidRPr="0004593F" w:rsidRDefault="0004593F" w:rsidP="0004593F">
            <w:pPr>
              <w:spacing w:after="0"/>
              <w:contextualSpacing/>
              <w:rPr>
                <w:rFonts w:cs="Calibri"/>
                <w:color w:val="000000"/>
                <w:sz w:val="20"/>
                <w:szCs w:val="20"/>
                <w:lang w:eastAsia="cs-CZ"/>
              </w:rPr>
            </w:pPr>
            <w:r w:rsidRPr="0004593F">
              <w:rPr>
                <w:rFonts w:cs="Calibri"/>
                <w:color w:val="000000"/>
                <w:sz w:val="20"/>
                <w:szCs w:val="20"/>
                <w:lang w:eastAsia="cs-CZ"/>
              </w:rPr>
              <w:t>Ministerstvo pro místní rozvoj</w:t>
            </w:r>
          </w:p>
        </w:tc>
      </w:tr>
      <w:tr w:rsidR="00F32922" w:rsidRPr="0004593F" w14:paraId="60CE9802" w14:textId="77777777" w:rsidTr="00F32922">
        <w:trPr>
          <w:trHeight w:val="25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181C521" w14:textId="77777777" w:rsidR="0004593F" w:rsidRPr="0004593F" w:rsidRDefault="0004593F" w:rsidP="0004593F">
            <w:pPr>
              <w:spacing w:after="0"/>
              <w:contextualSpacing/>
              <w:rPr>
                <w:rFonts w:cs="Calibri"/>
                <w:color w:val="000000"/>
                <w:sz w:val="20"/>
                <w:szCs w:val="20"/>
                <w:lang w:eastAsia="cs-CZ"/>
              </w:rPr>
            </w:pPr>
            <w:r w:rsidRPr="0004593F">
              <w:rPr>
                <w:rFonts w:cs="Calibri"/>
                <w:color w:val="000000"/>
                <w:sz w:val="20"/>
                <w:szCs w:val="20"/>
                <w:lang w:eastAsia="cs-CZ"/>
              </w:rPr>
              <w:t>49534874</w:t>
            </w:r>
          </w:p>
        </w:tc>
        <w:tc>
          <w:tcPr>
            <w:tcW w:w="6803" w:type="dxa"/>
            <w:tcBorders>
              <w:top w:val="nil"/>
              <w:left w:val="nil"/>
              <w:bottom w:val="single" w:sz="4" w:space="0" w:color="auto"/>
              <w:right w:val="single" w:sz="4" w:space="0" w:color="auto"/>
            </w:tcBorders>
            <w:shd w:val="clear" w:color="auto" w:fill="auto"/>
            <w:noWrap/>
            <w:vAlign w:val="center"/>
            <w:hideMark/>
          </w:tcPr>
          <w:p w14:paraId="7A74758D" w14:textId="77777777" w:rsidR="0004593F" w:rsidRPr="0004593F" w:rsidRDefault="0004593F" w:rsidP="0004593F">
            <w:pPr>
              <w:spacing w:after="0"/>
              <w:contextualSpacing/>
              <w:rPr>
                <w:rFonts w:cs="Calibri"/>
                <w:color w:val="000000"/>
                <w:sz w:val="20"/>
                <w:szCs w:val="20"/>
                <w:lang w:eastAsia="cs-CZ"/>
              </w:rPr>
            </w:pPr>
            <w:r w:rsidRPr="0004593F">
              <w:rPr>
                <w:rFonts w:cs="Calibri"/>
                <w:color w:val="000000"/>
                <w:sz w:val="20"/>
                <w:szCs w:val="20"/>
                <w:lang w:eastAsia="cs-CZ"/>
              </w:rPr>
              <w:t>PRIVUM</w:t>
            </w:r>
          </w:p>
        </w:tc>
      </w:tr>
      <w:tr w:rsidR="00F32922" w:rsidRPr="0004593F" w14:paraId="5A8303B1" w14:textId="77777777" w:rsidTr="00F32922">
        <w:trPr>
          <w:trHeight w:val="25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0AA733E" w14:textId="77777777" w:rsidR="0004593F" w:rsidRPr="0004593F" w:rsidRDefault="0004593F" w:rsidP="0004593F">
            <w:pPr>
              <w:spacing w:after="0"/>
              <w:contextualSpacing/>
              <w:rPr>
                <w:rFonts w:cs="Calibri"/>
                <w:color w:val="000000"/>
                <w:sz w:val="20"/>
                <w:szCs w:val="20"/>
                <w:lang w:eastAsia="cs-CZ"/>
              </w:rPr>
            </w:pPr>
            <w:r w:rsidRPr="0004593F">
              <w:rPr>
                <w:rFonts w:cs="Calibri"/>
                <w:color w:val="000000"/>
                <w:sz w:val="20"/>
                <w:szCs w:val="20"/>
                <w:lang w:eastAsia="cs-CZ"/>
              </w:rPr>
              <w:t>60556552</w:t>
            </w:r>
          </w:p>
        </w:tc>
        <w:tc>
          <w:tcPr>
            <w:tcW w:w="6803" w:type="dxa"/>
            <w:tcBorders>
              <w:top w:val="nil"/>
              <w:left w:val="nil"/>
              <w:bottom w:val="single" w:sz="4" w:space="0" w:color="auto"/>
              <w:right w:val="single" w:sz="4" w:space="0" w:color="auto"/>
            </w:tcBorders>
            <w:shd w:val="clear" w:color="auto" w:fill="auto"/>
            <w:noWrap/>
            <w:vAlign w:val="center"/>
            <w:hideMark/>
          </w:tcPr>
          <w:p w14:paraId="56140EA7" w14:textId="77777777" w:rsidR="0004593F" w:rsidRPr="0004593F" w:rsidRDefault="0004593F" w:rsidP="0004593F">
            <w:pPr>
              <w:spacing w:after="0"/>
              <w:contextualSpacing/>
              <w:rPr>
                <w:rFonts w:cs="Calibri"/>
                <w:color w:val="000000"/>
                <w:sz w:val="20"/>
                <w:szCs w:val="20"/>
                <w:lang w:eastAsia="cs-CZ"/>
              </w:rPr>
            </w:pPr>
            <w:r w:rsidRPr="0004593F">
              <w:rPr>
                <w:rFonts w:cs="Calibri"/>
                <w:color w:val="000000"/>
                <w:sz w:val="20"/>
                <w:szCs w:val="20"/>
                <w:lang w:eastAsia="cs-CZ"/>
              </w:rPr>
              <w:t>Ústav územního rozvoje</w:t>
            </w:r>
          </w:p>
        </w:tc>
      </w:tr>
    </w:tbl>
    <w:p w14:paraId="6F319422" w14:textId="77777777" w:rsidR="0004593F" w:rsidRPr="0004593F" w:rsidRDefault="0004593F" w:rsidP="00F32922">
      <w:pPr>
        <w:spacing w:before="40" w:after="0"/>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5C0CDFB3" w14:textId="77777777" w:rsidR="0004593F" w:rsidRPr="00F32922" w:rsidRDefault="0004593F" w:rsidP="0004593F">
      <w:pPr>
        <w:spacing w:after="0"/>
        <w:contextualSpacing/>
        <w:rPr>
          <w:rFonts w:cs="Calibri"/>
          <w:b/>
          <w:iCs/>
          <w:highlight w:val="yellow"/>
        </w:rPr>
      </w:pPr>
    </w:p>
    <w:p w14:paraId="74EEBFE6" w14:textId="7ED0BA68" w:rsidR="0004593F" w:rsidRPr="00F32922" w:rsidRDefault="0004593F" w:rsidP="00F32922">
      <w:pPr>
        <w:spacing w:after="0"/>
        <w:ind w:left="567" w:hanging="567"/>
        <w:contextualSpacing/>
        <w:jc w:val="center"/>
        <w:outlineLvl w:val="1"/>
        <w:rPr>
          <w:rFonts w:eastAsia="Calibri" w:cs="Calibri"/>
          <w:b/>
        </w:rPr>
      </w:pPr>
      <w:bookmarkStart w:id="7" w:name="_Toc519242358"/>
      <w:bookmarkStart w:id="8" w:name="_Toc519242555"/>
      <w:bookmarkEnd w:id="4"/>
      <w:bookmarkEnd w:id="5"/>
      <w:bookmarkEnd w:id="6"/>
      <w:r w:rsidRPr="00F32922">
        <w:rPr>
          <w:rFonts w:eastAsia="Calibri" w:cs="Calibri"/>
          <w:b/>
        </w:rPr>
        <w:t>Oddíl I. Příjmy v rozpočtové kapitole 317 MMR v letech 2014–2018</w:t>
      </w:r>
    </w:p>
    <w:p w14:paraId="288C1E9F" w14:textId="77777777" w:rsidR="00F32922" w:rsidRPr="00F32922" w:rsidRDefault="00F32922" w:rsidP="0004593F">
      <w:pPr>
        <w:spacing w:after="0"/>
        <w:ind w:left="567" w:hanging="567"/>
        <w:contextualSpacing/>
        <w:outlineLvl w:val="1"/>
        <w:rPr>
          <w:rFonts w:eastAsia="Calibri" w:cs="Calibri"/>
          <w:b/>
        </w:rPr>
      </w:pPr>
    </w:p>
    <w:p w14:paraId="0644CDA6" w14:textId="0EF78C86" w:rsidR="0004593F" w:rsidRPr="00F32922" w:rsidRDefault="0004593F" w:rsidP="00F32922">
      <w:pPr>
        <w:pStyle w:val="Titulek1"/>
        <w:rPr>
          <w:rFonts w:cs="Calibri"/>
          <w:sz w:val="24"/>
          <w:szCs w:val="24"/>
        </w:rPr>
      </w:pPr>
      <w:bookmarkStart w:id="9" w:name="_Toc520714311"/>
      <w:bookmarkStart w:id="10" w:name="_Toc8984518"/>
      <w:bookmarkStart w:id="11" w:name="_Toc33100890"/>
      <w:bookmarkStart w:id="12" w:name="_Toc520714172"/>
      <w:bookmarkEnd w:id="7"/>
      <w:bookmarkEnd w:id="8"/>
      <w:r w:rsidRPr="00F32922">
        <w:rPr>
          <w:rFonts w:cs="Calibri"/>
          <w:sz w:val="24"/>
          <w:szCs w:val="24"/>
        </w:rPr>
        <w:t xml:space="preserve">Tabulka č. </w:t>
      </w:r>
      <w:r w:rsidRPr="00F32922">
        <w:rPr>
          <w:rFonts w:cs="Calibri"/>
          <w:sz w:val="24"/>
          <w:szCs w:val="24"/>
        </w:rPr>
        <w:fldChar w:fldCharType="begin"/>
      </w:r>
      <w:r w:rsidRPr="00F32922">
        <w:rPr>
          <w:rFonts w:cs="Calibri"/>
          <w:sz w:val="24"/>
          <w:szCs w:val="24"/>
        </w:rPr>
        <w:instrText xml:space="preserve"> SEQ Tabulka \* ARABIC </w:instrText>
      </w:r>
      <w:r w:rsidRPr="00F32922">
        <w:rPr>
          <w:rFonts w:cs="Calibri"/>
          <w:sz w:val="24"/>
          <w:szCs w:val="24"/>
        </w:rPr>
        <w:fldChar w:fldCharType="separate"/>
      </w:r>
      <w:r w:rsidR="00015BEA">
        <w:rPr>
          <w:rFonts w:cs="Calibri"/>
          <w:noProof/>
          <w:sz w:val="24"/>
          <w:szCs w:val="24"/>
        </w:rPr>
        <w:t>2</w:t>
      </w:r>
      <w:r w:rsidRPr="00F32922">
        <w:rPr>
          <w:rFonts w:cs="Calibri"/>
          <w:sz w:val="24"/>
          <w:szCs w:val="24"/>
        </w:rPr>
        <w:fldChar w:fldCharType="end"/>
      </w:r>
      <w:r w:rsidRPr="00F32922">
        <w:rPr>
          <w:rFonts w:cs="Calibri"/>
          <w:sz w:val="24"/>
          <w:szCs w:val="24"/>
        </w:rPr>
        <w:t>: Příjmy rozpočtové kapitoly 317</w:t>
      </w:r>
      <w:r w:rsidR="00B17FF9">
        <w:rPr>
          <w:rFonts w:cs="Calibri"/>
          <w:sz w:val="24"/>
          <w:szCs w:val="24"/>
        </w:rPr>
        <w:t> MMR</w:t>
      </w:r>
      <w:r w:rsidRPr="00F32922">
        <w:rPr>
          <w:rFonts w:cs="Calibri"/>
          <w:sz w:val="24"/>
          <w:szCs w:val="24"/>
        </w:rPr>
        <w:t xml:space="preserve"> </w:t>
      </w:r>
      <w:r w:rsidRPr="00F32922">
        <w:rPr>
          <w:rFonts w:cs="Calibri"/>
          <w:sz w:val="24"/>
          <w:szCs w:val="24"/>
        </w:rPr>
        <w:tab/>
        <w:t>(v Kč)</w:t>
      </w:r>
      <w:bookmarkEnd w:id="9"/>
      <w:bookmarkEnd w:id="10"/>
      <w:bookmarkEnd w:id="11"/>
    </w:p>
    <w:tbl>
      <w:tblPr>
        <w:tblW w:w="9126" w:type="dxa"/>
        <w:tblLayout w:type="fixed"/>
        <w:tblCellMar>
          <w:left w:w="70" w:type="dxa"/>
          <w:right w:w="70" w:type="dxa"/>
        </w:tblCellMar>
        <w:tblLook w:val="04A0" w:firstRow="1" w:lastRow="0" w:firstColumn="1" w:lastColumn="0" w:noHBand="0" w:noVBand="1"/>
      </w:tblPr>
      <w:tblGrid>
        <w:gridCol w:w="1191"/>
        <w:gridCol w:w="1587"/>
        <w:gridCol w:w="1587"/>
        <w:gridCol w:w="1587"/>
        <w:gridCol w:w="1587"/>
        <w:gridCol w:w="1587"/>
      </w:tblGrid>
      <w:tr w:rsidR="0004593F" w:rsidRPr="00F32922" w14:paraId="4060C7C7" w14:textId="77777777" w:rsidTr="00F32922">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8920CC8" w14:textId="77777777" w:rsidR="0004593F" w:rsidRPr="00F32922" w:rsidRDefault="0004593F" w:rsidP="00F32922">
            <w:pPr>
              <w:spacing w:after="0"/>
              <w:contextualSpacing/>
              <w:rPr>
                <w:rFonts w:cs="Calibri"/>
                <w:b/>
                <w:bCs/>
                <w:color w:val="000000"/>
                <w:lang w:eastAsia="cs-CZ"/>
              </w:rPr>
            </w:pPr>
            <w:r w:rsidRPr="00F32922">
              <w:rPr>
                <w:rFonts w:cs="Calibri"/>
                <w:b/>
                <w:bCs/>
                <w:color w:val="000000"/>
                <w:lang w:eastAsia="cs-CZ"/>
              </w:rPr>
              <w:t>Rozpočet</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36012654" w14:textId="77777777" w:rsidR="0004593F" w:rsidRPr="00F32922" w:rsidRDefault="0004593F" w:rsidP="0004593F">
            <w:pPr>
              <w:spacing w:after="0"/>
              <w:contextualSpacing/>
              <w:jc w:val="center"/>
              <w:rPr>
                <w:rFonts w:cs="Calibri"/>
                <w:b/>
                <w:bCs/>
                <w:color w:val="000000"/>
                <w:lang w:eastAsia="cs-CZ"/>
              </w:rPr>
            </w:pPr>
            <w:r w:rsidRPr="00F32922">
              <w:rPr>
                <w:rFonts w:cs="Calibri"/>
                <w:b/>
                <w:bCs/>
                <w:color w:val="000000"/>
                <w:lang w:eastAsia="cs-CZ"/>
              </w:rPr>
              <w:t>2014</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65283DE7" w14:textId="77777777" w:rsidR="0004593F" w:rsidRPr="00F32922" w:rsidRDefault="0004593F" w:rsidP="0004593F">
            <w:pPr>
              <w:spacing w:after="0"/>
              <w:contextualSpacing/>
              <w:jc w:val="center"/>
              <w:rPr>
                <w:rFonts w:cs="Calibri"/>
                <w:b/>
                <w:bCs/>
                <w:color w:val="000000"/>
                <w:lang w:eastAsia="cs-CZ"/>
              </w:rPr>
            </w:pPr>
            <w:r w:rsidRPr="00F32922">
              <w:rPr>
                <w:rFonts w:cs="Calibri"/>
                <w:b/>
                <w:bCs/>
                <w:color w:val="000000"/>
                <w:lang w:eastAsia="cs-CZ"/>
              </w:rPr>
              <w:t>2015</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53DBBB81" w14:textId="77777777" w:rsidR="0004593F" w:rsidRPr="00F32922" w:rsidRDefault="0004593F" w:rsidP="0004593F">
            <w:pPr>
              <w:spacing w:after="0"/>
              <w:contextualSpacing/>
              <w:jc w:val="center"/>
              <w:rPr>
                <w:rFonts w:cs="Calibri"/>
                <w:b/>
                <w:bCs/>
                <w:color w:val="000000"/>
                <w:lang w:eastAsia="cs-CZ"/>
              </w:rPr>
            </w:pPr>
            <w:r w:rsidRPr="00F32922">
              <w:rPr>
                <w:rFonts w:cs="Calibri"/>
                <w:b/>
                <w:bCs/>
                <w:color w:val="000000"/>
                <w:lang w:eastAsia="cs-CZ"/>
              </w:rPr>
              <w:t>2016</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2FB535FB" w14:textId="77777777" w:rsidR="0004593F" w:rsidRPr="00F32922" w:rsidRDefault="0004593F" w:rsidP="0004593F">
            <w:pPr>
              <w:spacing w:after="0"/>
              <w:contextualSpacing/>
              <w:jc w:val="center"/>
              <w:rPr>
                <w:rFonts w:cs="Calibri"/>
                <w:b/>
                <w:bCs/>
                <w:color w:val="000000"/>
                <w:lang w:eastAsia="cs-CZ"/>
              </w:rPr>
            </w:pPr>
            <w:r w:rsidRPr="00F32922">
              <w:rPr>
                <w:rFonts w:cs="Calibri"/>
                <w:b/>
                <w:bCs/>
                <w:color w:val="000000"/>
                <w:lang w:eastAsia="cs-CZ"/>
              </w:rPr>
              <w:t>2017</w:t>
            </w:r>
          </w:p>
        </w:tc>
        <w:tc>
          <w:tcPr>
            <w:tcW w:w="1587" w:type="dxa"/>
            <w:tcBorders>
              <w:top w:val="single" w:sz="4" w:space="0" w:color="auto"/>
              <w:left w:val="nil"/>
              <w:bottom w:val="single" w:sz="4" w:space="0" w:color="auto"/>
              <w:right w:val="single" w:sz="4" w:space="0" w:color="auto"/>
            </w:tcBorders>
            <w:shd w:val="clear" w:color="auto" w:fill="E5F1FF"/>
          </w:tcPr>
          <w:p w14:paraId="55E4AA29" w14:textId="77777777" w:rsidR="0004593F" w:rsidRPr="00F32922" w:rsidRDefault="0004593F" w:rsidP="0004593F">
            <w:pPr>
              <w:spacing w:after="0"/>
              <w:contextualSpacing/>
              <w:jc w:val="center"/>
              <w:rPr>
                <w:rFonts w:cs="Calibri"/>
                <w:b/>
                <w:bCs/>
                <w:color w:val="000000"/>
                <w:lang w:eastAsia="cs-CZ"/>
              </w:rPr>
            </w:pPr>
            <w:r w:rsidRPr="00F32922">
              <w:rPr>
                <w:rFonts w:cs="Calibri"/>
                <w:b/>
                <w:bCs/>
                <w:color w:val="000000"/>
                <w:lang w:eastAsia="cs-CZ"/>
              </w:rPr>
              <w:t>2018</w:t>
            </w:r>
          </w:p>
        </w:tc>
      </w:tr>
      <w:tr w:rsidR="0004593F" w:rsidRPr="0004593F" w14:paraId="071B7F9A" w14:textId="77777777" w:rsidTr="00F32922">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BDCF1D0" w14:textId="77777777" w:rsidR="0004593F" w:rsidRPr="0004593F" w:rsidRDefault="0004593F" w:rsidP="00F32922">
            <w:pPr>
              <w:spacing w:after="0"/>
              <w:contextualSpacing/>
              <w:rPr>
                <w:rFonts w:cs="Calibri"/>
                <w:b/>
                <w:bCs/>
                <w:color w:val="000000"/>
                <w:sz w:val="20"/>
                <w:szCs w:val="20"/>
                <w:lang w:eastAsia="cs-CZ"/>
              </w:rPr>
            </w:pPr>
            <w:r w:rsidRPr="0004593F">
              <w:rPr>
                <w:rFonts w:cs="Calibri"/>
                <w:b/>
                <w:bCs/>
                <w:color w:val="000000"/>
                <w:sz w:val="20"/>
                <w:szCs w:val="20"/>
                <w:lang w:eastAsia="cs-CZ"/>
              </w:rPr>
              <w:t>Schválený rozpočet</w:t>
            </w:r>
          </w:p>
        </w:tc>
        <w:tc>
          <w:tcPr>
            <w:tcW w:w="1587" w:type="dxa"/>
            <w:tcBorders>
              <w:top w:val="nil"/>
              <w:left w:val="nil"/>
              <w:bottom w:val="single" w:sz="4" w:space="0" w:color="auto"/>
              <w:right w:val="single" w:sz="4" w:space="0" w:color="auto"/>
            </w:tcBorders>
            <w:shd w:val="clear" w:color="auto" w:fill="auto"/>
            <w:noWrap/>
            <w:vAlign w:val="center"/>
            <w:hideMark/>
          </w:tcPr>
          <w:p w14:paraId="46358E35"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8 982 588 974,00</w:t>
            </w:r>
          </w:p>
        </w:tc>
        <w:tc>
          <w:tcPr>
            <w:tcW w:w="1587" w:type="dxa"/>
            <w:tcBorders>
              <w:top w:val="nil"/>
              <w:left w:val="nil"/>
              <w:bottom w:val="single" w:sz="4" w:space="0" w:color="auto"/>
              <w:right w:val="single" w:sz="4" w:space="0" w:color="auto"/>
            </w:tcBorders>
            <w:shd w:val="clear" w:color="auto" w:fill="auto"/>
            <w:noWrap/>
            <w:vAlign w:val="center"/>
            <w:hideMark/>
          </w:tcPr>
          <w:p w14:paraId="0F9D5256"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12 361 216 701,00</w:t>
            </w:r>
          </w:p>
        </w:tc>
        <w:tc>
          <w:tcPr>
            <w:tcW w:w="1587" w:type="dxa"/>
            <w:tcBorders>
              <w:top w:val="nil"/>
              <w:left w:val="nil"/>
              <w:bottom w:val="single" w:sz="4" w:space="0" w:color="auto"/>
              <w:right w:val="single" w:sz="4" w:space="0" w:color="auto"/>
            </w:tcBorders>
            <w:shd w:val="clear" w:color="auto" w:fill="auto"/>
            <w:noWrap/>
            <w:vAlign w:val="center"/>
            <w:hideMark/>
          </w:tcPr>
          <w:p w14:paraId="216C60DF"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8 693 011 093,00</w:t>
            </w:r>
          </w:p>
        </w:tc>
        <w:tc>
          <w:tcPr>
            <w:tcW w:w="1587" w:type="dxa"/>
            <w:tcBorders>
              <w:top w:val="nil"/>
              <w:left w:val="nil"/>
              <w:bottom w:val="single" w:sz="4" w:space="0" w:color="auto"/>
              <w:right w:val="single" w:sz="4" w:space="0" w:color="auto"/>
            </w:tcBorders>
            <w:shd w:val="clear" w:color="auto" w:fill="auto"/>
            <w:noWrap/>
            <w:vAlign w:val="center"/>
            <w:hideMark/>
          </w:tcPr>
          <w:p w14:paraId="55CD0442"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11 287 037 819,00</w:t>
            </w:r>
          </w:p>
        </w:tc>
        <w:tc>
          <w:tcPr>
            <w:tcW w:w="1587" w:type="dxa"/>
            <w:tcBorders>
              <w:top w:val="nil"/>
              <w:left w:val="nil"/>
              <w:bottom w:val="single" w:sz="4" w:space="0" w:color="auto"/>
              <w:right w:val="single" w:sz="4" w:space="0" w:color="auto"/>
            </w:tcBorders>
            <w:vAlign w:val="center"/>
          </w:tcPr>
          <w:p w14:paraId="35292920"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2 115 486 308,00</w:t>
            </w:r>
          </w:p>
        </w:tc>
      </w:tr>
      <w:tr w:rsidR="0004593F" w:rsidRPr="0004593F" w14:paraId="38DE6056" w14:textId="77777777" w:rsidTr="00F32922">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4FAFBA8" w14:textId="77777777" w:rsidR="0004593F" w:rsidRPr="0004593F" w:rsidRDefault="0004593F" w:rsidP="00F32922">
            <w:pPr>
              <w:spacing w:after="0"/>
              <w:contextualSpacing/>
              <w:rPr>
                <w:rFonts w:cs="Calibri"/>
                <w:b/>
                <w:bCs/>
                <w:color w:val="000000"/>
                <w:sz w:val="20"/>
                <w:szCs w:val="20"/>
                <w:lang w:eastAsia="cs-CZ"/>
              </w:rPr>
            </w:pPr>
            <w:r w:rsidRPr="0004593F">
              <w:rPr>
                <w:rFonts w:cs="Calibri"/>
                <w:b/>
                <w:bCs/>
                <w:color w:val="000000"/>
                <w:sz w:val="20"/>
                <w:szCs w:val="20"/>
                <w:lang w:eastAsia="cs-CZ"/>
              </w:rPr>
              <w:t>Rozpočet po změnách</w:t>
            </w:r>
          </w:p>
        </w:tc>
        <w:tc>
          <w:tcPr>
            <w:tcW w:w="1587" w:type="dxa"/>
            <w:tcBorders>
              <w:top w:val="nil"/>
              <w:left w:val="nil"/>
              <w:bottom w:val="single" w:sz="4" w:space="0" w:color="auto"/>
              <w:right w:val="single" w:sz="4" w:space="0" w:color="auto"/>
            </w:tcBorders>
            <w:shd w:val="clear" w:color="auto" w:fill="auto"/>
            <w:noWrap/>
            <w:vAlign w:val="center"/>
            <w:hideMark/>
          </w:tcPr>
          <w:p w14:paraId="6B952529"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11 395 999 974,00</w:t>
            </w:r>
          </w:p>
        </w:tc>
        <w:tc>
          <w:tcPr>
            <w:tcW w:w="1587" w:type="dxa"/>
            <w:tcBorders>
              <w:top w:val="nil"/>
              <w:left w:val="nil"/>
              <w:bottom w:val="single" w:sz="4" w:space="0" w:color="auto"/>
              <w:right w:val="single" w:sz="4" w:space="0" w:color="auto"/>
            </w:tcBorders>
            <w:shd w:val="clear" w:color="auto" w:fill="auto"/>
            <w:noWrap/>
            <w:vAlign w:val="center"/>
            <w:hideMark/>
          </w:tcPr>
          <w:p w14:paraId="53BF7A86"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37 141 501 466,00</w:t>
            </w:r>
          </w:p>
        </w:tc>
        <w:tc>
          <w:tcPr>
            <w:tcW w:w="1587" w:type="dxa"/>
            <w:tcBorders>
              <w:top w:val="nil"/>
              <w:left w:val="nil"/>
              <w:bottom w:val="single" w:sz="4" w:space="0" w:color="auto"/>
              <w:right w:val="single" w:sz="4" w:space="0" w:color="auto"/>
            </w:tcBorders>
            <w:shd w:val="clear" w:color="auto" w:fill="auto"/>
            <w:noWrap/>
            <w:vAlign w:val="center"/>
            <w:hideMark/>
          </w:tcPr>
          <w:p w14:paraId="73CC3E6B"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8 693 011 093,00</w:t>
            </w:r>
          </w:p>
        </w:tc>
        <w:tc>
          <w:tcPr>
            <w:tcW w:w="1587" w:type="dxa"/>
            <w:tcBorders>
              <w:top w:val="nil"/>
              <w:left w:val="nil"/>
              <w:bottom w:val="single" w:sz="4" w:space="0" w:color="auto"/>
              <w:right w:val="single" w:sz="4" w:space="0" w:color="auto"/>
            </w:tcBorders>
            <w:shd w:val="clear" w:color="auto" w:fill="auto"/>
            <w:noWrap/>
            <w:vAlign w:val="center"/>
            <w:hideMark/>
          </w:tcPr>
          <w:p w14:paraId="7D83839B"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11 287 037 819,00</w:t>
            </w:r>
          </w:p>
        </w:tc>
        <w:tc>
          <w:tcPr>
            <w:tcW w:w="1587" w:type="dxa"/>
            <w:tcBorders>
              <w:top w:val="nil"/>
              <w:left w:val="nil"/>
              <w:bottom w:val="single" w:sz="4" w:space="0" w:color="auto"/>
              <w:right w:val="single" w:sz="4" w:space="0" w:color="auto"/>
            </w:tcBorders>
            <w:vAlign w:val="center"/>
          </w:tcPr>
          <w:p w14:paraId="395CD183"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2 115 486 308,00</w:t>
            </w:r>
          </w:p>
        </w:tc>
      </w:tr>
      <w:tr w:rsidR="0004593F" w:rsidRPr="0004593F" w14:paraId="50CBBCBC" w14:textId="77777777" w:rsidTr="00F32922">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622A39A" w14:textId="77777777" w:rsidR="0004593F" w:rsidRPr="0004593F" w:rsidRDefault="0004593F" w:rsidP="00F32922">
            <w:pPr>
              <w:spacing w:after="0"/>
              <w:contextualSpacing/>
              <w:rPr>
                <w:rFonts w:cs="Calibri"/>
                <w:b/>
                <w:bCs/>
                <w:color w:val="000000"/>
                <w:sz w:val="20"/>
                <w:szCs w:val="20"/>
                <w:lang w:eastAsia="cs-CZ"/>
              </w:rPr>
            </w:pPr>
            <w:r w:rsidRPr="0004593F">
              <w:rPr>
                <w:rFonts w:cs="Calibri"/>
                <w:b/>
                <w:bCs/>
                <w:color w:val="000000"/>
                <w:sz w:val="20"/>
                <w:szCs w:val="20"/>
                <w:lang w:eastAsia="cs-CZ"/>
              </w:rPr>
              <w:t>Skutečnost</w:t>
            </w:r>
          </w:p>
        </w:tc>
        <w:tc>
          <w:tcPr>
            <w:tcW w:w="1587" w:type="dxa"/>
            <w:tcBorders>
              <w:top w:val="nil"/>
              <w:left w:val="nil"/>
              <w:bottom w:val="single" w:sz="4" w:space="0" w:color="auto"/>
              <w:right w:val="single" w:sz="4" w:space="0" w:color="auto"/>
            </w:tcBorders>
            <w:shd w:val="clear" w:color="auto" w:fill="auto"/>
            <w:noWrap/>
            <w:vAlign w:val="center"/>
            <w:hideMark/>
          </w:tcPr>
          <w:p w14:paraId="39EB150D"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25 602 628 965,99</w:t>
            </w:r>
          </w:p>
        </w:tc>
        <w:tc>
          <w:tcPr>
            <w:tcW w:w="1587" w:type="dxa"/>
            <w:tcBorders>
              <w:top w:val="nil"/>
              <w:left w:val="nil"/>
              <w:bottom w:val="single" w:sz="4" w:space="0" w:color="auto"/>
              <w:right w:val="single" w:sz="4" w:space="0" w:color="auto"/>
            </w:tcBorders>
            <w:shd w:val="clear" w:color="auto" w:fill="auto"/>
            <w:noWrap/>
            <w:vAlign w:val="center"/>
            <w:hideMark/>
          </w:tcPr>
          <w:p w14:paraId="0A935FDA"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23 397 984 623,80</w:t>
            </w:r>
          </w:p>
        </w:tc>
        <w:tc>
          <w:tcPr>
            <w:tcW w:w="1587" w:type="dxa"/>
            <w:tcBorders>
              <w:top w:val="nil"/>
              <w:left w:val="nil"/>
              <w:bottom w:val="single" w:sz="4" w:space="0" w:color="auto"/>
              <w:right w:val="single" w:sz="4" w:space="0" w:color="auto"/>
            </w:tcBorders>
            <w:shd w:val="clear" w:color="auto" w:fill="auto"/>
            <w:noWrap/>
            <w:vAlign w:val="center"/>
            <w:hideMark/>
          </w:tcPr>
          <w:p w14:paraId="52D0F6A6"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14 682 794 326,16</w:t>
            </w:r>
          </w:p>
        </w:tc>
        <w:tc>
          <w:tcPr>
            <w:tcW w:w="1587" w:type="dxa"/>
            <w:tcBorders>
              <w:top w:val="nil"/>
              <w:left w:val="nil"/>
              <w:bottom w:val="single" w:sz="4" w:space="0" w:color="auto"/>
              <w:right w:val="single" w:sz="4" w:space="0" w:color="auto"/>
            </w:tcBorders>
            <w:shd w:val="clear" w:color="auto" w:fill="auto"/>
            <w:noWrap/>
            <w:vAlign w:val="center"/>
            <w:hideMark/>
          </w:tcPr>
          <w:p w14:paraId="359330F2"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5 991 798 946,01</w:t>
            </w:r>
          </w:p>
        </w:tc>
        <w:tc>
          <w:tcPr>
            <w:tcW w:w="1587" w:type="dxa"/>
            <w:tcBorders>
              <w:top w:val="nil"/>
              <w:left w:val="nil"/>
              <w:bottom w:val="single" w:sz="4" w:space="0" w:color="auto"/>
              <w:right w:val="single" w:sz="4" w:space="0" w:color="auto"/>
            </w:tcBorders>
            <w:vAlign w:val="center"/>
          </w:tcPr>
          <w:p w14:paraId="6AC98A4E" w14:textId="77777777" w:rsidR="0004593F" w:rsidRPr="0004593F" w:rsidRDefault="0004593F" w:rsidP="00F32922">
            <w:pPr>
              <w:spacing w:after="0"/>
              <w:ind w:left="-57"/>
              <w:contextualSpacing/>
              <w:jc w:val="right"/>
              <w:rPr>
                <w:rFonts w:eastAsia="Calibri" w:cs="Calibri"/>
                <w:color w:val="000000"/>
                <w:sz w:val="20"/>
                <w:szCs w:val="20"/>
              </w:rPr>
            </w:pPr>
            <w:r w:rsidRPr="0004593F">
              <w:rPr>
                <w:rFonts w:eastAsia="Calibri" w:cs="Calibri"/>
                <w:color w:val="000000"/>
                <w:sz w:val="20"/>
                <w:szCs w:val="20"/>
              </w:rPr>
              <w:t>24 105 684 275,51</w:t>
            </w:r>
          </w:p>
        </w:tc>
      </w:tr>
    </w:tbl>
    <w:p w14:paraId="33144F71" w14:textId="77777777" w:rsidR="0004593F" w:rsidRPr="0004593F" w:rsidRDefault="0004593F" w:rsidP="005F462F">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2D385F0B" w14:textId="77777777" w:rsidR="0004593F" w:rsidRPr="005F462F" w:rsidRDefault="0004593F" w:rsidP="0004593F">
      <w:pPr>
        <w:spacing w:after="0"/>
        <w:contextualSpacing/>
        <w:rPr>
          <w:rFonts w:eastAsia="Calibri" w:cs="Calibri"/>
          <w:highlight w:val="yellow"/>
        </w:rPr>
      </w:pPr>
    </w:p>
    <w:p w14:paraId="66A2FD4A" w14:textId="49966D4A" w:rsidR="0004593F" w:rsidRPr="005F462F" w:rsidRDefault="0004593F" w:rsidP="0004593F">
      <w:pPr>
        <w:spacing w:after="0"/>
        <w:contextualSpacing/>
        <w:jc w:val="both"/>
        <w:rPr>
          <w:rFonts w:cs="Calibri"/>
        </w:rPr>
      </w:pPr>
      <w:bookmarkStart w:id="13" w:name="_Toc520714820"/>
      <w:bookmarkEnd w:id="12"/>
      <w:r w:rsidRPr="005F462F">
        <w:rPr>
          <w:rFonts w:cs="Calibri"/>
        </w:rPr>
        <w:t>V celém sledovaném období tvoří příjmy MMR (skutečnost) většinu příjmů všech OSS rozpočtové kapitoly 317</w:t>
      </w:r>
      <w:r w:rsidR="00B17FF9">
        <w:rPr>
          <w:rFonts w:cs="Calibri"/>
        </w:rPr>
        <w:t> MMR</w:t>
      </w:r>
      <w:r w:rsidRPr="005F462F">
        <w:rPr>
          <w:rFonts w:cs="Calibri"/>
        </w:rPr>
        <w:t xml:space="preserve"> (skutečnost). Procentně představují příjmy MMR 99,99 % skutečných příjmů kapitoly 317</w:t>
      </w:r>
      <w:r w:rsidR="00B17FF9">
        <w:rPr>
          <w:rFonts w:cs="Calibri"/>
        </w:rPr>
        <w:t> MMR</w:t>
      </w:r>
      <w:r w:rsidRPr="005F462F">
        <w:rPr>
          <w:rFonts w:cs="Calibri"/>
        </w:rPr>
        <w:t>. Z tohoto důvodu nejsou podrobněji analyzovány příjmy za OSS PRIVUM a Ústav územního rozvoje.</w:t>
      </w:r>
    </w:p>
    <w:p w14:paraId="15DBE6FD" w14:textId="77777777" w:rsidR="0004593F" w:rsidRPr="005F462F" w:rsidRDefault="0004593F" w:rsidP="0004593F">
      <w:pPr>
        <w:spacing w:after="0"/>
        <w:contextualSpacing/>
        <w:jc w:val="both"/>
        <w:rPr>
          <w:rFonts w:cs="Calibri"/>
        </w:rPr>
      </w:pPr>
    </w:p>
    <w:p w14:paraId="303928FD" w14:textId="0764BF40" w:rsidR="0004593F" w:rsidRPr="005F462F" w:rsidRDefault="0004593F" w:rsidP="0004593F">
      <w:pPr>
        <w:spacing w:after="0"/>
        <w:contextualSpacing/>
        <w:jc w:val="both"/>
        <w:rPr>
          <w:rFonts w:cs="Calibri"/>
        </w:rPr>
      </w:pPr>
      <w:r w:rsidRPr="005F462F">
        <w:rPr>
          <w:rFonts w:cs="Calibri"/>
        </w:rPr>
        <w:t>Rozpočtované příjmy kapitoly 317</w:t>
      </w:r>
      <w:r w:rsidR="00B17FF9">
        <w:rPr>
          <w:rFonts w:cs="Calibri"/>
        </w:rPr>
        <w:t> MMR</w:t>
      </w:r>
      <w:r w:rsidRPr="005F462F">
        <w:rPr>
          <w:rFonts w:cs="Calibri"/>
        </w:rPr>
        <w:t xml:space="preserve"> nebyly v průběhu roku 2018 měněny. Skutečné příjmy byly více než jedenáctkrát vyšší než upravený rozpočet, v absolutním vyjádření byl rozpočet příjmů překročen o 21,99 mld. Kč. Rozhodující část příjmů představovaly příjmy z Národního fondu na společné programy státního rozpočtu a rozpočtu Evropské unie, u nich se jednalo o překročení ve výši 21,95 mld. Kč.</w:t>
      </w:r>
      <w:r w:rsidRPr="005F462F">
        <w:rPr>
          <w:rFonts w:cs="Calibri"/>
          <w:vertAlign w:val="superscript"/>
        </w:rPr>
        <w:footnoteReference w:id="41"/>
      </w:r>
    </w:p>
    <w:p w14:paraId="1BE64AC7" w14:textId="77777777" w:rsidR="0004593F" w:rsidRPr="005F462F" w:rsidRDefault="0004593F" w:rsidP="0004593F">
      <w:pPr>
        <w:spacing w:after="0"/>
        <w:contextualSpacing/>
        <w:jc w:val="both"/>
        <w:rPr>
          <w:rFonts w:eastAsia="Calibri" w:cs="Calibri"/>
          <w:highlight w:val="yellow"/>
        </w:rPr>
      </w:pPr>
    </w:p>
    <w:p w14:paraId="6CCF781A" w14:textId="0023057E" w:rsidR="0004593F" w:rsidRPr="005F462F" w:rsidRDefault="0004593F" w:rsidP="005F462F">
      <w:pPr>
        <w:pStyle w:val="Titulek1"/>
        <w:rPr>
          <w:rFonts w:cs="Calibri"/>
          <w:sz w:val="24"/>
          <w:szCs w:val="24"/>
        </w:rPr>
      </w:pPr>
      <w:bookmarkStart w:id="14" w:name="_Toc8984519"/>
      <w:bookmarkStart w:id="15" w:name="_Toc33100891"/>
      <w:r w:rsidRPr="005F462F">
        <w:rPr>
          <w:rFonts w:cs="Calibri"/>
          <w:sz w:val="24"/>
          <w:szCs w:val="24"/>
        </w:rPr>
        <w:t xml:space="preserve">Tabulka č. </w:t>
      </w:r>
      <w:r w:rsidRPr="005F462F">
        <w:rPr>
          <w:rFonts w:cs="Calibri"/>
          <w:sz w:val="24"/>
          <w:szCs w:val="24"/>
        </w:rPr>
        <w:fldChar w:fldCharType="begin"/>
      </w:r>
      <w:r w:rsidRPr="005F462F">
        <w:rPr>
          <w:rFonts w:cs="Calibri"/>
          <w:sz w:val="24"/>
          <w:szCs w:val="24"/>
        </w:rPr>
        <w:instrText xml:space="preserve"> SEQ Tabulka \* ARABIC </w:instrText>
      </w:r>
      <w:r w:rsidRPr="005F462F">
        <w:rPr>
          <w:rFonts w:cs="Calibri"/>
          <w:sz w:val="24"/>
          <w:szCs w:val="24"/>
        </w:rPr>
        <w:fldChar w:fldCharType="separate"/>
      </w:r>
      <w:r w:rsidR="00015BEA">
        <w:rPr>
          <w:rFonts w:cs="Calibri"/>
          <w:noProof/>
          <w:sz w:val="24"/>
          <w:szCs w:val="24"/>
        </w:rPr>
        <w:t>3</w:t>
      </w:r>
      <w:r w:rsidRPr="005F462F">
        <w:rPr>
          <w:rFonts w:cs="Calibri"/>
          <w:sz w:val="24"/>
          <w:szCs w:val="24"/>
        </w:rPr>
        <w:fldChar w:fldCharType="end"/>
      </w:r>
      <w:r w:rsidRPr="005F462F">
        <w:rPr>
          <w:rFonts w:cs="Calibri"/>
          <w:sz w:val="24"/>
          <w:szCs w:val="24"/>
        </w:rPr>
        <w:t xml:space="preserve">: Příjmy MMR </w:t>
      </w:r>
      <w:r w:rsidRPr="005F462F">
        <w:rPr>
          <w:rFonts w:cs="Calibri"/>
          <w:sz w:val="24"/>
          <w:szCs w:val="24"/>
        </w:rPr>
        <w:tab/>
        <w:t>(v Kč)</w:t>
      </w:r>
      <w:bookmarkEnd w:id="14"/>
      <w:bookmarkEnd w:id="15"/>
    </w:p>
    <w:tbl>
      <w:tblPr>
        <w:tblW w:w="9126" w:type="dxa"/>
        <w:tblLayout w:type="fixed"/>
        <w:tblCellMar>
          <w:left w:w="70" w:type="dxa"/>
          <w:right w:w="70" w:type="dxa"/>
        </w:tblCellMar>
        <w:tblLook w:val="04A0" w:firstRow="1" w:lastRow="0" w:firstColumn="1" w:lastColumn="0" w:noHBand="0" w:noVBand="1"/>
      </w:tblPr>
      <w:tblGrid>
        <w:gridCol w:w="1191"/>
        <w:gridCol w:w="1587"/>
        <w:gridCol w:w="1587"/>
        <w:gridCol w:w="1587"/>
        <w:gridCol w:w="1587"/>
        <w:gridCol w:w="1587"/>
      </w:tblGrid>
      <w:tr w:rsidR="0004593F" w:rsidRPr="0004593F" w14:paraId="2973942C" w14:textId="77777777" w:rsidTr="005F462F">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E3F660B" w14:textId="77777777" w:rsidR="0004593F" w:rsidRPr="0004593F" w:rsidRDefault="0004593F" w:rsidP="005F462F">
            <w:pPr>
              <w:keepNext/>
              <w:spacing w:after="0"/>
              <w:contextualSpacing/>
              <w:rPr>
                <w:rFonts w:cs="Calibri"/>
                <w:b/>
                <w:bCs/>
                <w:color w:val="000000"/>
                <w:sz w:val="20"/>
                <w:szCs w:val="20"/>
                <w:lang w:eastAsia="cs-CZ"/>
              </w:rPr>
            </w:pPr>
            <w:r w:rsidRPr="0004593F">
              <w:rPr>
                <w:rFonts w:cs="Calibri"/>
                <w:b/>
                <w:bCs/>
                <w:color w:val="000000"/>
                <w:sz w:val="20"/>
                <w:szCs w:val="20"/>
                <w:lang w:eastAsia="cs-CZ"/>
              </w:rPr>
              <w:t>Rozpočet</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113AA3B8" w14:textId="77777777" w:rsidR="0004593F" w:rsidRPr="0004593F" w:rsidRDefault="0004593F" w:rsidP="005F462F">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11A776BB" w14:textId="77777777" w:rsidR="0004593F" w:rsidRPr="0004593F" w:rsidRDefault="0004593F" w:rsidP="005F462F">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60828FD7" w14:textId="77777777" w:rsidR="0004593F" w:rsidRPr="0004593F" w:rsidRDefault="0004593F" w:rsidP="005F462F">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0BD515E2" w14:textId="77777777" w:rsidR="0004593F" w:rsidRPr="0004593F" w:rsidRDefault="0004593F" w:rsidP="005F462F">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587" w:type="dxa"/>
            <w:tcBorders>
              <w:top w:val="single" w:sz="4" w:space="0" w:color="auto"/>
              <w:left w:val="nil"/>
              <w:bottom w:val="single" w:sz="4" w:space="0" w:color="auto"/>
              <w:right w:val="single" w:sz="4" w:space="0" w:color="auto"/>
            </w:tcBorders>
            <w:shd w:val="clear" w:color="auto" w:fill="E5F1FF"/>
            <w:vAlign w:val="center"/>
          </w:tcPr>
          <w:p w14:paraId="08B52C5D" w14:textId="77777777" w:rsidR="0004593F" w:rsidRPr="0004593F" w:rsidRDefault="0004593F" w:rsidP="005F462F">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544B3C0B" w14:textId="77777777" w:rsidTr="005F462F">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2083227" w14:textId="77777777" w:rsidR="0004593F" w:rsidRPr="0004593F" w:rsidRDefault="0004593F" w:rsidP="005F462F">
            <w:pPr>
              <w:keepNext/>
              <w:spacing w:after="0"/>
              <w:contextualSpacing/>
              <w:rPr>
                <w:rFonts w:cs="Calibri"/>
                <w:b/>
                <w:bCs/>
                <w:color w:val="000000"/>
                <w:sz w:val="20"/>
                <w:szCs w:val="20"/>
                <w:lang w:eastAsia="cs-CZ"/>
              </w:rPr>
            </w:pPr>
            <w:r w:rsidRPr="0004593F">
              <w:rPr>
                <w:rFonts w:cs="Calibri"/>
                <w:b/>
                <w:bCs/>
                <w:color w:val="000000"/>
                <w:sz w:val="20"/>
                <w:szCs w:val="20"/>
                <w:lang w:eastAsia="cs-CZ"/>
              </w:rPr>
              <w:t>Schválený rozpočet</w:t>
            </w:r>
          </w:p>
        </w:tc>
        <w:tc>
          <w:tcPr>
            <w:tcW w:w="1587" w:type="dxa"/>
            <w:tcBorders>
              <w:top w:val="nil"/>
              <w:left w:val="nil"/>
              <w:bottom w:val="single" w:sz="4" w:space="0" w:color="auto"/>
              <w:right w:val="single" w:sz="4" w:space="0" w:color="auto"/>
            </w:tcBorders>
            <w:shd w:val="clear" w:color="auto" w:fill="auto"/>
            <w:noWrap/>
            <w:vAlign w:val="center"/>
            <w:hideMark/>
          </w:tcPr>
          <w:p w14:paraId="1F78D7AA"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8 982 588 974,00</w:t>
            </w:r>
          </w:p>
        </w:tc>
        <w:tc>
          <w:tcPr>
            <w:tcW w:w="1587" w:type="dxa"/>
            <w:tcBorders>
              <w:top w:val="nil"/>
              <w:left w:val="nil"/>
              <w:bottom w:val="single" w:sz="4" w:space="0" w:color="auto"/>
              <w:right w:val="single" w:sz="4" w:space="0" w:color="auto"/>
            </w:tcBorders>
            <w:shd w:val="clear" w:color="auto" w:fill="auto"/>
            <w:noWrap/>
            <w:vAlign w:val="center"/>
            <w:hideMark/>
          </w:tcPr>
          <w:p w14:paraId="79F651E5"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12 361 216 701,00</w:t>
            </w:r>
          </w:p>
        </w:tc>
        <w:tc>
          <w:tcPr>
            <w:tcW w:w="1587" w:type="dxa"/>
            <w:tcBorders>
              <w:top w:val="nil"/>
              <w:left w:val="nil"/>
              <w:bottom w:val="single" w:sz="4" w:space="0" w:color="auto"/>
              <w:right w:val="single" w:sz="4" w:space="0" w:color="auto"/>
            </w:tcBorders>
            <w:shd w:val="clear" w:color="auto" w:fill="auto"/>
            <w:noWrap/>
            <w:vAlign w:val="center"/>
            <w:hideMark/>
          </w:tcPr>
          <w:p w14:paraId="79B0C6C8"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8 693 011 093,00</w:t>
            </w:r>
          </w:p>
        </w:tc>
        <w:tc>
          <w:tcPr>
            <w:tcW w:w="1587" w:type="dxa"/>
            <w:tcBorders>
              <w:top w:val="nil"/>
              <w:left w:val="nil"/>
              <w:bottom w:val="single" w:sz="4" w:space="0" w:color="auto"/>
              <w:right w:val="single" w:sz="4" w:space="0" w:color="auto"/>
            </w:tcBorders>
            <w:shd w:val="clear" w:color="auto" w:fill="auto"/>
            <w:noWrap/>
            <w:vAlign w:val="center"/>
            <w:hideMark/>
          </w:tcPr>
          <w:p w14:paraId="0DC6EBF5"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11 287 037 819,00</w:t>
            </w:r>
          </w:p>
        </w:tc>
        <w:tc>
          <w:tcPr>
            <w:tcW w:w="1587" w:type="dxa"/>
            <w:tcBorders>
              <w:top w:val="nil"/>
              <w:left w:val="nil"/>
              <w:bottom w:val="single" w:sz="4" w:space="0" w:color="auto"/>
              <w:right w:val="single" w:sz="4" w:space="0" w:color="auto"/>
            </w:tcBorders>
            <w:vAlign w:val="center"/>
          </w:tcPr>
          <w:p w14:paraId="2356CEE0"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2 115 486 308,00</w:t>
            </w:r>
          </w:p>
        </w:tc>
      </w:tr>
      <w:tr w:rsidR="0004593F" w:rsidRPr="0004593F" w14:paraId="2C82E43A" w14:textId="77777777" w:rsidTr="005F462F">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54B5593" w14:textId="77777777" w:rsidR="0004593F" w:rsidRPr="0004593F" w:rsidRDefault="0004593F" w:rsidP="005F462F">
            <w:pPr>
              <w:keepNext/>
              <w:spacing w:after="0"/>
              <w:contextualSpacing/>
              <w:rPr>
                <w:rFonts w:cs="Calibri"/>
                <w:b/>
                <w:bCs/>
                <w:color w:val="000000"/>
                <w:sz w:val="20"/>
                <w:szCs w:val="20"/>
                <w:lang w:eastAsia="cs-CZ"/>
              </w:rPr>
            </w:pPr>
            <w:r w:rsidRPr="0004593F">
              <w:rPr>
                <w:rFonts w:cs="Calibri"/>
                <w:b/>
                <w:bCs/>
                <w:color w:val="000000"/>
                <w:sz w:val="20"/>
                <w:szCs w:val="20"/>
                <w:lang w:eastAsia="cs-CZ"/>
              </w:rPr>
              <w:t>Rozpočet po změnách</w:t>
            </w:r>
          </w:p>
        </w:tc>
        <w:tc>
          <w:tcPr>
            <w:tcW w:w="1587" w:type="dxa"/>
            <w:tcBorders>
              <w:top w:val="nil"/>
              <w:left w:val="nil"/>
              <w:bottom w:val="single" w:sz="4" w:space="0" w:color="auto"/>
              <w:right w:val="single" w:sz="4" w:space="0" w:color="auto"/>
            </w:tcBorders>
            <w:shd w:val="clear" w:color="auto" w:fill="auto"/>
            <w:noWrap/>
            <w:vAlign w:val="center"/>
            <w:hideMark/>
          </w:tcPr>
          <w:p w14:paraId="161ED19B"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11 395 999 974,00</w:t>
            </w:r>
          </w:p>
        </w:tc>
        <w:tc>
          <w:tcPr>
            <w:tcW w:w="1587" w:type="dxa"/>
            <w:tcBorders>
              <w:top w:val="nil"/>
              <w:left w:val="nil"/>
              <w:bottom w:val="single" w:sz="4" w:space="0" w:color="auto"/>
              <w:right w:val="single" w:sz="4" w:space="0" w:color="auto"/>
            </w:tcBorders>
            <w:shd w:val="clear" w:color="auto" w:fill="auto"/>
            <w:noWrap/>
            <w:vAlign w:val="center"/>
            <w:hideMark/>
          </w:tcPr>
          <w:p w14:paraId="375BDBAF"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37 141 501 466,00</w:t>
            </w:r>
          </w:p>
        </w:tc>
        <w:tc>
          <w:tcPr>
            <w:tcW w:w="1587" w:type="dxa"/>
            <w:tcBorders>
              <w:top w:val="nil"/>
              <w:left w:val="nil"/>
              <w:bottom w:val="single" w:sz="4" w:space="0" w:color="auto"/>
              <w:right w:val="single" w:sz="4" w:space="0" w:color="auto"/>
            </w:tcBorders>
            <w:shd w:val="clear" w:color="auto" w:fill="auto"/>
            <w:noWrap/>
            <w:vAlign w:val="center"/>
            <w:hideMark/>
          </w:tcPr>
          <w:p w14:paraId="5A07A123"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8 693 011 093,00</w:t>
            </w:r>
          </w:p>
        </w:tc>
        <w:tc>
          <w:tcPr>
            <w:tcW w:w="1587" w:type="dxa"/>
            <w:tcBorders>
              <w:top w:val="nil"/>
              <w:left w:val="nil"/>
              <w:bottom w:val="single" w:sz="4" w:space="0" w:color="auto"/>
              <w:right w:val="single" w:sz="4" w:space="0" w:color="auto"/>
            </w:tcBorders>
            <w:shd w:val="clear" w:color="auto" w:fill="auto"/>
            <w:noWrap/>
            <w:vAlign w:val="center"/>
            <w:hideMark/>
          </w:tcPr>
          <w:p w14:paraId="71BDB060"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11 287 037 819,00</w:t>
            </w:r>
          </w:p>
        </w:tc>
        <w:tc>
          <w:tcPr>
            <w:tcW w:w="1587" w:type="dxa"/>
            <w:tcBorders>
              <w:top w:val="nil"/>
              <w:left w:val="nil"/>
              <w:bottom w:val="single" w:sz="4" w:space="0" w:color="auto"/>
              <w:right w:val="single" w:sz="4" w:space="0" w:color="auto"/>
            </w:tcBorders>
            <w:vAlign w:val="center"/>
          </w:tcPr>
          <w:p w14:paraId="15244BF6"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2 115 486 308,00</w:t>
            </w:r>
          </w:p>
        </w:tc>
      </w:tr>
      <w:tr w:rsidR="0004593F" w:rsidRPr="0004593F" w14:paraId="23769D36" w14:textId="77777777" w:rsidTr="005F462F">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347A3FF7" w14:textId="77777777" w:rsidR="0004593F" w:rsidRPr="0004593F" w:rsidRDefault="0004593F" w:rsidP="005F462F">
            <w:pPr>
              <w:keepNext/>
              <w:spacing w:after="0"/>
              <w:contextualSpacing/>
              <w:rPr>
                <w:rFonts w:cs="Calibri"/>
                <w:b/>
                <w:bCs/>
                <w:color w:val="000000"/>
                <w:sz w:val="20"/>
                <w:szCs w:val="20"/>
                <w:lang w:eastAsia="cs-CZ"/>
              </w:rPr>
            </w:pPr>
            <w:r w:rsidRPr="0004593F">
              <w:rPr>
                <w:rFonts w:cs="Calibri"/>
                <w:b/>
                <w:bCs/>
                <w:color w:val="000000"/>
                <w:sz w:val="20"/>
                <w:szCs w:val="20"/>
                <w:lang w:eastAsia="cs-CZ"/>
              </w:rPr>
              <w:t>Skutečnost</w:t>
            </w:r>
          </w:p>
        </w:tc>
        <w:tc>
          <w:tcPr>
            <w:tcW w:w="1587" w:type="dxa"/>
            <w:tcBorders>
              <w:top w:val="nil"/>
              <w:left w:val="nil"/>
              <w:bottom w:val="single" w:sz="4" w:space="0" w:color="auto"/>
              <w:right w:val="single" w:sz="4" w:space="0" w:color="auto"/>
            </w:tcBorders>
            <w:shd w:val="clear" w:color="auto" w:fill="auto"/>
            <w:noWrap/>
            <w:vAlign w:val="center"/>
            <w:hideMark/>
          </w:tcPr>
          <w:p w14:paraId="50F4B7BA"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25 600 290 343,08</w:t>
            </w:r>
          </w:p>
        </w:tc>
        <w:tc>
          <w:tcPr>
            <w:tcW w:w="1587" w:type="dxa"/>
            <w:tcBorders>
              <w:top w:val="nil"/>
              <w:left w:val="nil"/>
              <w:bottom w:val="single" w:sz="4" w:space="0" w:color="auto"/>
              <w:right w:val="single" w:sz="4" w:space="0" w:color="auto"/>
            </w:tcBorders>
            <w:shd w:val="clear" w:color="auto" w:fill="auto"/>
            <w:noWrap/>
            <w:vAlign w:val="center"/>
            <w:hideMark/>
          </w:tcPr>
          <w:p w14:paraId="573941F8"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23 396 011 216,35</w:t>
            </w:r>
          </w:p>
        </w:tc>
        <w:tc>
          <w:tcPr>
            <w:tcW w:w="1587" w:type="dxa"/>
            <w:tcBorders>
              <w:top w:val="nil"/>
              <w:left w:val="nil"/>
              <w:bottom w:val="single" w:sz="4" w:space="0" w:color="auto"/>
              <w:right w:val="single" w:sz="4" w:space="0" w:color="auto"/>
            </w:tcBorders>
            <w:shd w:val="clear" w:color="auto" w:fill="auto"/>
            <w:noWrap/>
            <w:vAlign w:val="center"/>
            <w:hideMark/>
          </w:tcPr>
          <w:p w14:paraId="4AA4BA68"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14 680 641 273,37</w:t>
            </w:r>
          </w:p>
        </w:tc>
        <w:tc>
          <w:tcPr>
            <w:tcW w:w="1587" w:type="dxa"/>
            <w:tcBorders>
              <w:top w:val="nil"/>
              <w:left w:val="nil"/>
              <w:bottom w:val="single" w:sz="4" w:space="0" w:color="auto"/>
              <w:right w:val="single" w:sz="4" w:space="0" w:color="auto"/>
            </w:tcBorders>
            <w:shd w:val="clear" w:color="auto" w:fill="auto"/>
            <w:noWrap/>
            <w:vAlign w:val="center"/>
            <w:hideMark/>
          </w:tcPr>
          <w:p w14:paraId="2C901687"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5 988 904 648,75</w:t>
            </w:r>
          </w:p>
        </w:tc>
        <w:tc>
          <w:tcPr>
            <w:tcW w:w="1587" w:type="dxa"/>
            <w:tcBorders>
              <w:top w:val="nil"/>
              <w:left w:val="nil"/>
              <w:bottom w:val="single" w:sz="4" w:space="0" w:color="auto"/>
              <w:right w:val="single" w:sz="4" w:space="0" w:color="auto"/>
            </w:tcBorders>
            <w:vAlign w:val="center"/>
          </w:tcPr>
          <w:p w14:paraId="2EBCFE5A" w14:textId="77777777" w:rsidR="0004593F" w:rsidRPr="0004593F" w:rsidRDefault="0004593F" w:rsidP="005F462F">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24 102 853 346,68</w:t>
            </w:r>
          </w:p>
        </w:tc>
      </w:tr>
    </w:tbl>
    <w:p w14:paraId="1879E448" w14:textId="77777777" w:rsidR="0004593F" w:rsidRPr="0004593F" w:rsidRDefault="0004593F" w:rsidP="005F462F">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17375276" w14:textId="77777777" w:rsidR="0004593F" w:rsidRPr="005F462F" w:rsidRDefault="0004593F" w:rsidP="0004593F">
      <w:pPr>
        <w:spacing w:after="0"/>
        <w:contextualSpacing/>
        <w:jc w:val="both"/>
        <w:rPr>
          <w:rFonts w:eastAsia="Calibri" w:cs="Calibri"/>
          <w:highlight w:val="yellow"/>
        </w:rPr>
      </w:pPr>
    </w:p>
    <w:p w14:paraId="4063241A" w14:textId="196CC255" w:rsidR="0004593F" w:rsidRPr="005F462F" w:rsidRDefault="0004593F" w:rsidP="0004593F">
      <w:pPr>
        <w:spacing w:after="0"/>
        <w:contextualSpacing/>
        <w:jc w:val="both"/>
        <w:rPr>
          <w:rFonts w:cs="Calibri"/>
          <w:lang w:eastAsia="cs-CZ"/>
        </w:rPr>
      </w:pPr>
      <w:r w:rsidRPr="005F462F">
        <w:rPr>
          <w:rFonts w:cs="Calibri"/>
          <w:lang w:eastAsia="cs-CZ"/>
        </w:rPr>
        <w:t xml:space="preserve">Příjmy MMR (skutečnost) byly ve sledovaném období nejvyšší v roce 2014, kdy dosahovaly 25,6 mld. Kč, od té doby klesaly až do roku 2017, kdy dosáhly </w:t>
      </w:r>
      <w:r w:rsidR="00B17FF9" w:rsidRPr="005F462F">
        <w:rPr>
          <w:rFonts w:cs="Calibri"/>
          <w:lang w:eastAsia="cs-CZ"/>
        </w:rPr>
        <w:t>5,99 mld. Kč</w:t>
      </w:r>
      <w:r w:rsidR="00B17FF9">
        <w:rPr>
          <w:rFonts w:cs="Calibri"/>
          <w:lang w:eastAsia="cs-CZ"/>
        </w:rPr>
        <w:t>,</w:t>
      </w:r>
      <w:r w:rsidR="00B17FF9" w:rsidRPr="005F462F">
        <w:rPr>
          <w:rFonts w:cs="Calibri"/>
          <w:lang w:eastAsia="cs-CZ"/>
        </w:rPr>
        <w:t xml:space="preserve"> </w:t>
      </w:r>
      <w:r w:rsidR="00B17FF9">
        <w:rPr>
          <w:rFonts w:cs="Calibri"/>
          <w:lang w:eastAsia="cs-CZ"/>
        </w:rPr>
        <w:t xml:space="preserve">což představuje </w:t>
      </w:r>
      <w:r w:rsidRPr="005F462F">
        <w:rPr>
          <w:rFonts w:cs="Calibri"/>
          <w:lang w:eastAsia="cs-CZ"/>
        </w:rPr>
        <w:t>minim</w:t>
      </w:r>
      <w:r w:rsidR="00B17FF9">
        <w:rPr>
          <w:rFonts w:cs="Calibri"/>
          <w:lang w:eastAsia="cs-CZ"/>
        </w:rPr>
        <w:t>um</w:t>
      </w:r>
      <w:r w:rsidRPr="005F462F">
        <w:rPr>
          <w:rFonts w:cs="Calibri"/>
          <w:lang w:eastAsia="cs-CZ"/>
        </w:rPr>
        <w:t xml:space="preserve"> sledovaného období. V letech 2016–2018 se schválený rozpočet a</w:t>
      </w:r>
      <w:r w:rsidR="00B17FF9">
        <w:rPr>
          <w:rFonts w:cs="Calibri"/>
          <w:lang w:eastAsia="cs-CZ"/>
        </w:rPr>
        <w:t> </w:t>
      </w:r>
      <w:r w:rsidRPr="005F462F">
        <w:rPr>
          <w:rFonts w:cs="Calibri"/>
          <w:lang w:eastAsia="cs-CZ"/>
        </w:rPr>
        <w:t>rozpočet po změnách rovnají. Při</w:t>
      </w:r>
      <w:r w:rsidR="00E0797F">
        <w:rPr>
          <w:rFonts w:cs="Calibri"/>
          <w:lang w:eastAsia="cs-CZ"/>
        </w:rPr>
        <w:t xml:space="preserve"> </w:t>
      </w:r>
      <w:r w:rsidRPr="005F462F">
        <w:rPr>
          <w:rFonts w:cs="Calibri"/>
          <w:lang w:eastAsia="cs-CZ"/>
        </w:rPr>
        <w:t>porovnání skutečných příjmů s rozpočtem po změnách lze vidět kolísavou tendenci. V roce 2015 byly skutečné příjmy o téměř 14 mld. Kč nižší než rozpočet po změnách. V roce 2018 naopak skutečnost převýšila rozpočet po změnách o</w:t>
      </w:r>
      <w:r w:rsidR="00B17FF9">
        <w:rPr>
          <w:rFonts w:cs="Calibri"/>
          <w:lang w:eastAsia="cs-CZ"/>
        </w:rPr>
        <w:t> </w:t>
      </w:r>
      <w:r w:rsidRPr="005F462F">
        <w:rPr>
          <w:rFonts w:cs="Calibri"/>
          <w:lang w:eastAsia="cs-CZ"/>
        </w:rPr>
        <w:t>22</w:t>
      </w:r>
      <w:r w:rsidR="00B17FF9">
        <w:rPr>
          <w:rFonts w:cs="Calibri"/>
          <w:lang w:eastAsia="cs-CZ"/>
        </w:rPr>
        <w:t> </w:t>
      </w:r>
      <w:r w:rsidRPr="005F462F">
        <w:rPr>
          <w:rFonts w:cs="Calibri"/>
          <w:lang w:eastAsia="cs-CZ"/>
        </w:rPr>
        <w:t>mld. Kč. V porovnání s předchozím rokem došlo ke zvýšení příjmů o 18 mld. Kč.</w:t>
      </w:r>
    </w:p>
    <w:p w14:paraId="366CCBDE" w14:textId="77777777" w:rsidR="0004593F" w:rsidRPr="005F462F" w:rsidRDefault="0004593F" w:rsidP="0004593F">
      <w:pPr>
        <w:spacing w:after="0"/>
        <w:contextualSpacing/>
        <w:jc w:val="both"/>
        <w:rPr>
          <w:rFonts w:cs="Calibri"/>
          <w:lang w:eastAsia="cs-CZ"/>
        </w:rPr>
      </w:pPr>
    </w:p>
    <w:p w14:paraId="06D5D600" w14:textId="77777777" w:rsidR="0004593F" w:rsidRPr="005F462F" w:rsidRDefault="0004593F" w:rsidP="0004593F">
      <w:pPr>
        <w:spacing w:after="0"/>
        <w:contextualSpacing/>
        <w:jc w:val="both"/>
        <w:rPr>
          <w:rFonts w:cs="Calibri"/>
          <w:lang w:eastAsia="cs-CZ"/>
        </w:rPr>
      </w:pPr>
      <w:r w:rsidRPr="005F462F">
        <w:rPr>
          <w:rFonts w:cs="Calibri"/>
          <w:lang w:eastAsia="cs-CZ"/>
        </w:rPr>
        <w:t>Z hlediska celkového plnění příjmů k rozpočtu po změnách v roce 2018 vykazovaly nejvyšší plnění přijaté transfery, dále pak nedaňové příjmy a v neposlední řadě daňové příjmy. Přijaté transfery obsahovaly významnou část přijatých investičních a neinvestičních transferů z Národního fondu na společné programy státního rozpočtu ČR a rozpočtu Evropské unie. Rozdíl nedaňových příjmů oproti rozpočtu po změnách byl ovlivněn zejména vyšším příjmem z pronájmu nemovitých věcí a ostatního majetku, přijatými nekapitálovými příspěvky a náhradami, příjmy z poskytovaných služeb a výrobků, příjmy z úroků a ze sankčních plateb přijatých od jiných subjektů. Objem daňových příjmů byl ovlivněn vyšším příjmem ze správních poplatků.</w:t>
      </w:r>
    </w:p>
    <w:p w14:paraId="547F6303" w14:textId="77777777" w:rsidR="0004593F" w:rsidRPr="005F462F" w:rsidRDefault="0004593F" w:rsidP="0004593F">
      <w:pPr>
        <w:spacing w:after="0"/>
        <w:contextualSpacing/>
        <w:jc w:val="both"/>
        <w:rPr>
          <w:rFonts w:eastAsia="Calibri" w:cs="Calibri"/>
          <w:highlight w:val="yellow"/>
        </w:rPr>
      </w:pPr>
    </w:p>
    <w:p w14:paraId="36065FF4" w14:textId="77777777" w:rsidR="0004593F" w:rsidRPr="005F462F" w:rsidRDefault="0004593F" w:rsidP="0004593F">
      <w:pPr>
        <w:spacing w:after="0"/>
        <w:contextualSpacing/>
        <w:rPr>
          <w:rFonts w:eastAsia="Calibri" w:cs="Calibri"/>
          <w:b/>
        </w:rPr>
      </w:pPr>
      <w:r w:rsidRPr="005F462F">
        <w:rPr>
          <w:rFonts w:cs="Calibri"/>
          <w:b/>
        </w:rPr>
        <w:t>Kontrolou nebyly v oblasti příjmů zjištěny žádné nesprávnosti.</w:t>
      </w:r>
    </w:p>
    <w:p w14:paraId="2D9BE2C4" w14:textId="01F32FBB" w:rsidR="0004593F" w:rsidRPr="005F462F" w:rsidRDefault="0004593F" w:rsidP="0004593F">
      <w:pPr>
        <w:spacing w:after="0"/>
        <w:contextualSpacing/>
        <w:jc w:val="both"/>
        <w:rPr>
          <w:rFonts w:eastAsia="Calibri" w:cs="Calibri"/>
          <w:highlight w:val="yellow"/>
        </w:rPr>
      </w:pPr>
    </w:p>
    <w:p w14:paraId="697AD88C" w14:textId="77777777" w:rsidR="005F462F" w:rsidRPr="005F462F" w:rsidRDefault="005F462F" w:rsidP="0004593F">
      <w:pPr>
        <w:spacing w:after="0"/>
        <w:contextualSpacing/>
        <w:jc w:val="both"/>
        <w:rPr>
          <w:rFonts w:eastAsia="Calibri" w:cs="Calibri"/>
          <w:highlight w:val="yellow"/>
        </w:rPr>
      </w:pPr>
    </w:p>
    <w:p w14:paraId="50574BD9" w14:textId="12F7C355" w:rsidR="0004593F" w:rsidRPr="005F462F" w:rsidRDefault="0004593F" w:rsidP="005F462F">
      <w:pPr>
        <w:keepNext/>
        <w:spacing w:after="0"/>
        <w:ind w:left="567" w:hanging="567"/>
        <w:jc w:val="center"/>
        <w:outlineLvl w:val="1"/>
        <w:rPr>
          <w:rFonts w:eastAsia="Calibri" w:cs="Calibri"/>
          <w:b/>
        </w:rPr>
      </w:pPr>
      <w:bookmarkStart w:id="16" w:name="_Toc519242360"/>
      <w:bookmarkStart w:id="17" w:name="_Toc519242557"/>
      <w:bookmarkStart w:id="18" w:name="_Toc519242359"/>
      <w:bookmarkStart w:id="19" w:name="_Toc519242556"/>
      <w:bookmarkEnd w:id="13"/>
      <w:r w:rsidRPr="005F462F">
        <w:rPr>
          <w:rFonts w:eastAsia="Calibri" w:cs="Calibri"/>
          <w:b/>
        </w:rPr>
        <w:t>Oddíl II. Výdaje v rozpočtové kapitole 317 MMR v letech 2014–2018</w:t>
      </w:r>
    </w:p>
    <w:p w14:paraId="460D3D50" w14:textId="77777777" w:rsidR="005F462F" w:rsidRPr="005F462F" w:rsidRDefault="005F462F" w:rsidP="005F462F">
      <w:pPr>
        <w:keepNext/>
        <w:spacing w:after="0"/>
        <w:ind w:left="567" w:hanging="567"/>
        <w:jc w:val="center"/>
        <w:outlineLvl w:val="1"/>
        <w:rPr>
          <w:rFonts w:eastAsia="Calibri" w:cs="Calibri"/>
          <w:b/>
        </w:rPr>
      </w:pPr>
    </w:p>
    <w:p w14:paraId="4005AB15" w14:textId="4B9080C9" w:rsidR="0004593F" w:rsidRPr="005F462F" w:rsidRDefault="0004593F" w:rsidP="005F462F">
      <w:pPr>
        <w:pStyle w:val="Titulek1"/>
        <w:rPr>
          <w:rFonts w:cs="Calibri"/>
          <w:sz w:val="24"/>
          <w:szCs w:val="24"/>
        </w:rPr>
      </w:pPr>
      <w:bookmarkStart w:id="20" w:name="_Toc520714314"/>
      <w:bookmarkStart w:id="21" w:name="_Toc8984521"/>
      <w:bookmarkStart w:id="22" w:name="_Toc33100896"/>
      <w:r w:rsidRPr="005F462F">
        <w:rPr>
          <w:rFonts w:cs="Calibri"/>
          <w:sz w:val="24"/>
          <w:szCs w:val="24"/>
        </w:rPr>
        <w:t xml:space="preserve">Tabulka č. </w:t>
      </w:r>
      <w:r w:rsidRPr="005F462F">
        <w:rPr>
          <w:rFonts w:cs="Calibri"/>
          <w:sz w:val="24"/>
          <w:szCs w:val="24"/>
        </w:rPr>
        <w:fldChar w:fldCharType="begin"/>
      </w:r>
      <w:r w:rsidRPr="005F462F">
        <w:rPr>
          <w:rFonts w:cs="Calibri"/>
          <w:sz w:val="24"/>
          <w:szCs w:val="24"/>
        </w:rPr>
        <w:instrText xml:space="preserve"> SEQ Tabulka \* ARABIC </w:instrText>
      </w:r>
      <w:r w:rsidRPr="005F462F">
        <w:rPr>
          <w:rFonts w:cs="Calibri"/>
          <w:sz w:val="24"/>
          <w:szCs w:val="24"/>
        </w:rPr>
        <w:fldChar w:fldCharType="separate"/>
      </w:r>
      <w:r w:rsidR="00015BEA">
        <w:rPr>
          <w:rFonts w:cs="Calibri"/>
          <w:noProof/>
          <w:sz w:val="24"/>
          <w:szCs w:val="24"/>
        </w:rPr>
        <w:t>4</w:t>
      </w:r>
      <w:r w:rsidRPr="005F462F">
        <w:rPr>
          <w:rFonts w:cs="Calibri"/>
          <w:sz w:val="24"/>
          <w:szCs w:val="24"/>
        </w:rPr>
        <w:fldChar w:fldCharType="end"/>
      </w:r>
      <w:r w:rsidRPr="005F462F">
        <w:rPr>
          <w:rFonts w:cs="Calibri"/>
          <w:sz w:val="24"/>
          <w:szCs w:val="24"/>
        </w:rPr>
        <w:t xml:space="preserve">: Výdaje rozpočtové kapitoly 317 </w:t>
      </w:r>
      <w:r w:rsidR="00ED2F1E">
        <w:rPr>
          <w:rFonts w:cs="Calibri"/>
          <w:sz w:val="24"/>
          <w:szCs w:val="24"/>
        </w:rPr>
        <w:t>MMR</w:t>
      </w:r>
      <w:r w:rsidRPr="005F462F">
        <w:rPr>
          <w:rFonts w:cs="Calibri"/>
          <w:sz w:val="24"/>
          <w:szCs w:val="24"/>
        </w:rPr>
        <w:tab/>
        <w:t>(v Kč)</w:t>
      </w:r>
      <w:bookmarkEnd w:id="20"/>
      <w:bookmarkEnd w:id="21"/>
      <w:bookmarkEnd w:id="22"/>
    </w:p>
    <w:tbl>
      <w:tblPr>
        <w:tblW w:w="9126" w:type="dxa"/>
        <w:tblLayout w:type="fixed"/>
        <w:tblCellMar>
          <w:left w:w="70" w:type="dxa"/>
          <w:right w:w="70" w:type="dxa"/>
        </w:tblCellMar>
        <w:tblLook w:val="04A0" w:firstRow="1" w:lastRow="0" w:firstColumn="1" w:lastColumn="0" w:noHBand="0" w:noVBand="1"/>
      </w:tblPr>
      <w:tblGrid>
        <w:gridCol w:w="1191"/>
        <w:gridCol w:w="1587"/>
        <w:gridCol w:w="1587"/>
        <w:gridCol w:w="1587"/>
        <w:gridCol w:w="1587"/>
        <w:gridCol w:w="1587"/>
      </w:tblGrid>
      <w:tr w:rsidR="0004593F" w:rsidRPr="0004593F" w14:paraId="3406F99F" w14:textId="77777777" w:rsidTr="005F462F">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4812A02" w14:textId="77777777" w:rsidR="0004593F" w:rsidRPr="0004593F" w:rsidRDefault="0004593F" w:rsidP="005F462F">
            <w:pPr>
              <w:keepNext/>
              <w:spacing w:after="0"/>
              <w:rPr>
                <w:rFonts w:cs="Calibri"/>
                <w:b/>
                <w:bCs/>
                <w:color w:val="000000"/>
                <w:sz w:val="20"/>
                <w:szCs w:val="20"/>
                <w:lang w:eastAsia="cs-CZ"/>
              </w:rPr>
            </w:pPr>
            <w:r w:rsidRPr="0004593F">
              <w:rPr>
                <w:rFonts w:cs="Calibri"/>
                <w:b/>
                <w:bCs/>
                <w:color w:val="000000"/>
                <w:sz w:val="20"/>
                <w:szCs w:val="20"/>
                <w:lang w:eastAsia="cs-CZ"/>
              </w:rPr>
              <w:t>Rozpočet</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5A355F59" w14:textId="77777777" w:rsidR="0004593F" w:rsidRPr="0004593F" w:rsidRDefault="0004593F" w:rsidP="005F462F">
            <w:pPr>
              <w:keepNext/>
              <w:spacing w:after="0"/>
              <w:jc w:val="center"/>
              <w:rPr>
                <w:rFonts w:cs="Calibri"/>
                <w:b/>
                <w:bCs/>
                <w:color w:val="000000"/>
                <w:sz w:val="20"/>
                <w:szCs w:val="20"/>
                <w:lang w:eastAsia="cs-CZ"/>
              </w:rPr>
            </w:pPr>
            <w:r w:rsidRPr="0004593F">
              <w:rPr>
                <w:rFonts w:cs="Calibri"/>
                <w:b/>
                <w:bCs/>
                <w:color w:val="000000"/>
                <w:sz w:val="20"/>
                <w:szCs w:val="20"/>
                <w:lang w:eastAsia="cs-CZ"/>
              </w:rPr>
              <w:t>2014</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4C97C441" w14:textId="77777777" w:rsidR="0004593F" w:rsidRPr="0004593F" w:rsidRDefault="0004593F" w:rsidP="005F462F">
            <w:pPr>
              <w:keepNext/>
              <w:spacing w:after="0"/>
              <w:jc w:val="center"/>
              <w:rPr>
                <w:rFonts w:cs="Calibri"/>
                <w:b/>
                <w:bCs/>
                <w:color w:val="000000"/>
                <w:sz w:val="20"/>
                <w:szCs w:val="20"/>
                <w:lang w:eastAsia="cs-CZ"/>
              </w:rPr>
            </w:pPr>
            <w:r w:rsidRPr="0004593F">
              <w:rPr>
                <w:rFonts w:cs="Calibri"/>
                <w:b/>
                <w:bCs/>
                <w:color w:val="000000"/>
                <w:sz w:val="20"/>
                <w:szCs w:val="20"/>
                <w:lang w:eastAsia="cs-CZ"/>
              </w:rPr>
              <w:t>2015</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7550D32B" w14:textId="77777777" w:rsidR="0004593F" w:rsidRPr="0004593F" w:rsidRDefault="0004593F" w:rsidP="005F462F">
            <w:pPr>
              <w:keepNext/>
              <w:spacing w:after="0"/>
              <w:jc w:val="center"/>
              <w:rPr>
                <w:rFonts w:cs="Calibri"/>
                <w:b/>
                <w:bCs/>
                <w:color w:val="000000"/>
                <w:sz w:val="20"/>
                <w:szCs w:val="20"/>
                <w:lang w:eastAsia="cs-CZ"/>
              </w:rPr>
            </w:pPr>
            <w:r w:rsidRPr="0004593F">
              <w:rPr>
                <w:rFonts w:cs="Calibri"/>
                <w:b/>
                <w:bCs/>
                <w:color w:val="000000"/>
                <w:sz w:val="20"/>
                <w:szCs w:val="20"/>
                <w:lang w:eastAsia="cs-CZ"/>
              </w:rPr>
              <w:t>2016</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38C2057E" w14:textId="77777777" w:rsidR="0004593F" w:rsidRPr="0004593F" w:rsidRDefault="0004593F" w:rsidP="005F462F">
            <w:pPr>
              <w:keepNext/>
              <w:spacing w:after="0"/>
              <w:jc w:val="center"/>
              <w:rPr>
                <w:rFonts w:cs="Calibri"/>
                <w:b/>
                <w:bCs/>
                <w:color w:val="000000"/>
                <w:sz w:val="20"/>
                <w:szCs w:val="20"/>
                <w:lang w:eastAsia="cs-CZ"/>
              </w:rPr>
            </w:pPr>
            <w:r w:rsidRPr="0004593F">
              <w:rPr>
                <w:rFonts w:cs="Calibri"/>
                <w:b/>
                <w:bCs/>
                <w:color w:val="000000"/>
                <w:sz w:val="20"/>
                <w:szCs w:val="20"/>
                <w:lang w:eastAsia="cs-CZ"/>
              </w:rPr>
              <w:t>2017</w:t>
            </w:r>
          </w:p>
        </w:tc>
        <w:tc>
          <w:tcPr>
            <w:tcW w:w="1587" w:type="dxa"/>
            <w:tcBorders>
              <w:top w:val="single" w:sz="4" w:space="0" w:color="auto"/>
              <w:left w:val="nil"/>
              <w:bottom w:val="single" w:sz="4" w:space="0" w:color="auto"/>
              <w:right w:val="single" w:sz="4" w:space="0" w:color="auto"/>
            </w:tcBorders>
            <w:shd w:val="clear" w:color="auto" w:fill="E5F1FF"/>
            <w:vAlign w:val="center"/>
          </w:tcPr>
          <w:p w14:paraId="065989C5" w14:textId="77777777" w:rsidR="0004593F" w:rsidRPr="0004593F" w:rsidRDefault="0004593F" w:rsidP="005F462F">
            <w:pPr>
              <w:keepNext/>
              <w:spacing w:after="0"/>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42CB8EFF" w14:textId="77777777" w:rsidTr="005F462F">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0AA3254D" w14:textId="77777777" w:rsidR="0004593F" w:rsidRPr="0004593F" w:rsidRDefault="0004593F" w:rsidP="005F462F">
            <w:pPr>
              <w:keepNext/>
              <w:spacing w:after="0"/>
              <w:rPr>
                <w:rFonts w:cs="Calibri"/>
                <w:b/>
                <w:bCs/>
                <w:color w:val="000000"/>
                <w:sz w:val="20"/>
                <w:szCs w:val="20"/>
                <w:lang w:eastAsia="cs-CZ"/>
              </w:rPr>
            </w:pPr>
            <w:r w:rsidRPr="0004593F">
              <w:rPr>
                <w:rFonts w:cs="Calibri"/>
                <w:b/>
                <w:bCs/>
                <w:color w:val="000000"/>
                <w:sz w:val="20"/>
                <w:szCs w:val="20"/>
                <w:lang w:eastAsia="cs-CZ"/>
              </w:rPr>
              <w:t>Schválený rozpočet</w:t>
            </w:r>
          </w:p>
        </w:tc>
        <w:tc>
          <w:tcPr>
            <w:tcW w:w="1587" w:type="dxa"/>
            <w:tcBorders>
              <w:top w:val="nil"/>
              <w:left w:val="nil"/>
              <w:bottom w:val="single" w:sz="4" w:space="0" w:color="auto"/>
              <w:right w:val="single" w:sz="4" w:space="0" w:color="auto"/>
            </w:tcBorders>
            <w:shd w:val="clear" w:color="auto" w:fill="auto"/>
            <w:noWrap/>
            <w:vAlign w:val="center"/>
          </w:tcPr>
          <w:p w14:paraId="2FDABAF6"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11 710 878 652,00</w:t>
            </w:r>
          </w:p>
        </w:tc>
        <w:tc>
          <w:tcPr>
            <w:tcW w:w="1587" w:type="dxa"/>
            <w:tcBorders>
              <w:top w:val="nil"/>
              <w:left w:val="nil"/>
              <w:bottom w:val="single" w:sz="4" w:space="0" w:color="auto"/>
              <w:right w:val="single" w:sz="4" w:space="0" w:color="auto"/>
            </w:tcBorders>
            <w:shd w:val="clear" w:color="auto" w:fill="auto"/>
            <w:noWrap/>
            <w:vAlign w:val="center"/>
          </w:tcPr>
          <w:p w14:paraId="75434DD9"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14 793 393 355,00</w:t>
            </w:r>
          </w:p>
        </w:tc>
        <w:tc>
          <w:tcPr>
            <w:tcW w:w="1587" w:type="dxa"/>
            <w:tcBorders>
              <w:top w:val="nil"/>
              <w:left w:val="nil"/>
              <w:bottom w:val="single" w:sz="4" w:space="0" w:color="auto"/>
              <w:right w:val="single" w:sz="4" w:space="0" w:color="auto"/>
            </w:tcBorders>
            <w:shd w:val="clear" w:color="auto" w:fill="auto"/>
            <w:noWrap/>
            <w:vAlign w:val="center"/>
          </w:tcPr>
          <w:p w14:paraId="320E7FE9"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13 407 358 628,00</w:t>
            </w:r>
          </w:p>
        </w:tc>
        <w:tc>
          <w:tcPr>
            <w:tcW w:w="1587" w:type="dxa"/>
            <w:tcBorders>
              <w:top w:val="nil"/>
              <w:left w:val="nil"/>
              <w:bottom w:val="single" w:sz="4" w:space="0" w:color="auto"/>
              <w:right w:val="single" w:sz="4" w:space="0" w:color="auto"/>
            </w:tcBorders>
            <w:shd w:val="clear" w:color="auto" w:fill="auto"/>
            <w:noWrap/>
            <w:vAlign w:val="center"/>
          </w:tcPr>
          <w:p w14:paraId="714DCDB5"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15 984 813 699,00</w:t>
            </w:r>
          </w:p>
        </w:tc>
        <w:tc>
          <w:tcPr>
            <w:tcW w:w="1587" w:type="dxa"/>
            <w:tcBorders>
              <w:top w:val="nil"/>
              <w:left w:val="nil"/>
              <w:bottom w:val="single" w:sz="4" w:space="0" w:color="auto"/>
              <w:right w:val="single" w:sz="4" w:space="0" w:color="auto"/>
            </w:tcBorders>
            <w:vAlign w:val="center"/>
          </w:tcPr>
          <w:p w14:paraId="50D97E35"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5 625 941 186,00</w:t>
            </w:r>
          </w:p>
        </w:tc>
      </w:tr>
      <w:tr w:rsidR="0004593F" w:rsidRPr="0004593F" w14:paraId="54B2929A" w14:textId="77777777" w:rsidTr="005F462F">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6399B04" w14:textId="77777777" w:rsidR="0004593F" w:rsidRPr="0004593F" w:rsidRDefault="0004593F" w:rsidP="005F462F">
            <w:pPr>
              <w:keepNext/>
              <w:spacing w:after="0"/>
              <w:rPr>
                <w:rFonts w:cs="Calibri"/>
                <w:b/>
                <w:bCs/>
                <w:color w:val="000000"/>
                <w:sz w:val="20"/>
                <w:szCs w:val="20"/>
                <w:lang w:eastAsia="cs-CZ"/>
              </w:rPr>
            </w:pPr>
            <w:r w:rsidRPr="0004593F">
              <w:rPr>
                <w:rFonts w:cs="Calibri"/>
                <w:b/>
                <w:bCs/>
                <w:color w:val="000000"/>
                <w:sz w:val="20"/>
                <w:szCs w:val="20"/>
                <w:lang w:eastAsia="cs-CZ"/>
              </w:rPr>
              <w:t>Rozpočet po změnách</w:t>
            </w:r>
          </w:p>
        </w:tc>
        <w:tc>
          <w:tcPr>
            <w:tcW w:w="1587" w:type="dxa"/>
            <w:tcBorders>
              <w:top w:val="nil"/>
              <w:left w:val="nil"/>
              <w:bottom w:val="single" w:sz="4" w:space="0" w:color="auto"/>
              <w:right w:val="single" w:sz="4" w:space="0" w:color="auto"/>
            </w:tcBorders>
            <w:shd w:val="clear" w:color="auto" w:fill="auto"/>
            <w:noWrap/>
            <w:vAlign w:val="center"/>
          </w:tcPr>
          <w:p w14:paraId="3AFC9BC8"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14 927 834 451,00</w:t>
            </w:r>
          </w:p>
        </w:tc>
        <w:tc>
          <w:tcPr>
            <w:tcW w:w="1587" w:type="dxa"/>
            <w:tcBorders>
              <w:top w:val="nil"/>
              <w:left w:val="nil"/>
              <w:bottom w:val="single" w:sz="4" w:space="0" w:color="auto"/>
              <w:right w:val="single" w:sz="4" w:space="0" w:color="auto"/>
            </w:tcBorders>
            <w:shd w:val="clear" w:color="auto" w:fill="auto"/>
            <w:noWrap/>
            <w:vAlign w:val="center"/>
          </w:tcPr>
          <w:p w14:paraId="07F10B65"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41 161 741 203,00</w:t>
            </w:r>
          </w:p>
        </w:tc>
        <w:tc>
          <w:tcPr>
            <w:tcW w:w="1587" w:type="dxa"/>
            <w:tcBorders>
              <w:top w:val="nil"/>
              <w:left w:val="nil"/>
              <w:bottom w:val="single" w:sz="4" w:space="0" w:color="auto"/>
              <w:right w:val="single" w:sz="4" w:space="0" w:color="auto"/>
            </w:tcBorders>
            <w:shd w:val="clear" w:color="auto" w:fill="auto"/>
            <w:noWrap/>
            <w:vAlign w:val="center"/>
          </w:tcPr>
          <w:p w14:paraId="454EDCF6"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15 291 039 467,00</w:t>
            </w:r>
          </w:p>
        </w:tc>
        <w:tc>
          <w:tcPr>
            <w:tcW w:w="1587" w:type="dxa"/>
            <w:tcBorders>
              <w:top w:val="nil"/>
              <w:left w:val="nil"/>
              <w:bottom w:val="single" w:sz="4" w:space="0" w:color="auto"/>
              <w:right w:val="single" w:sz="4" w:space="0" w:color="auto"/>
            </w:tcBorders>
            <w:shd w:val="clear" w:color="auto" w:fill="auto"/>
            <w:noWrap/>
            <w:vAlign w:val="center"/>
          </w:tcPr>
          <w:p w14:paraId="7D7F96D7"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16 014 552 433,00</w:t>
            </w:r>
          </w:p>
        </w:tc>
        <w:tc>
          <w:tcPr>
            <w:tcW w:w="1587" w:type="dxa"/>
            <w:tcBorders>
              <w:top w:val="nil"/>
              <w:left w:val="nil"/>
              <w:bottom w:val="single" w:sz="4" w:space="0" w:color="auto"/>
              <w:right w:val="single" w:sz="4" w:space="0" w:color="auto"/>
            </w:tcBorders>
            <w:vAlign w:val="center"/>
          </w:tcPr>
          <w:p w14:paraId="22CAAF44"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5 492 711 551,00</w:t>
            </w:r>
          </w:p>
        </w:tc>
      </w:tr>
      <w:tr w:rsidR="0004593F" w:rsidRPr="0004593F" w14:paraId="24C46009" w14:textId="77777777" w:rsidTr="005F462F">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61AF020C" w14:textId="77777777" w:rsidR="0004593F" w:rsidRPr="0004593F" w:rsidRDefault="0004593F" w:rsidP="005F462F">
            <w:pPr>
              <w:keepNext/>
              <w:spacing w:after="0"/>
              <w:rPr>
                <w:rFonts w:cs="Calibri"/>
                <w:b/>
                <w:bCs/>
                <w:color w:val="000000"/>
                <w:sz w:val="20"/>
                <w:szCs w:val="20"/>
                <w:lang w:eastAsia="cs-CZ"/>
              </w:rPr>
            </w:pPr>
            <w:r w:rsidRPr="0004593F">
              <w:rPr>
                <w:rFonts w:cs="Calibri"/>
                <w:b/>
                <w:bCs/>
                <w:color w:val="000000"/>
                <w:sz w:val="20"/>
                <w:szCs w:val="20"/>
                <w:lang w:eastAsia="cs-CZ"/>
              </w:rPr>
              <w:t>Konečný rozpočet</w:t>
            </w:r>
          </w:p>
        </w:tc>
        <w:tc>
          <w:tcPr>
            <w:tcW w:w="1587" w:type="dxa"/>
            <w:tcBorders>
              <w:top w:val="nil"/>
              <w:left w:val="nil"/>
              <w:bottom w:val="single" w:sz="4" w:space="0" w:color="auto"/>
              <w:right w:val="single" w:sz="4" w:space="0" w:color="auto"/>
            </w:tcBorders>
            <w:shd w:val="clear" w:color="auto" w:fill="auto"/>
            <w:noWrap/>
            <w:vAlign w:val="center"/>
          </w:tcPr>
          <w:p w14:paraId="11EE79FA"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26 539 867 979,24</w:t>
            </w:r>
          </w:p>
        </w:tc>
        <w:tc>
          <w:tcPr>
            <w:tcW w:w="1587" w:type="dxa"/>
            <w:tcBorders>
              <w:top w:val="nil"/>
              <w:left w:val="nil"/>
              <w:bottom w:val="single" w:sz="4" w:space="0" w:color="auto"/>
              <w:right w:val="single" w:sz="4" w:space="0" w:color="auto"/>
            </w:tcBorders>
            <w:shd w:val="clear" w:color="auto" w:fill="auto"/>
            <w:noWrap/>
            <w:vAlign w:val="center"/>
          </w:tcPr>
          <w:p w14:paraId="04CA29B7"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55 725 607 210,39</w:t>
            </w:r>
          </w:p>
        </w:tc>
        <w:tc>
          <w:tcPr>
            <w:tcW w:w="1587" w:type="dxa"/>
            <w:tcBorders>
              <w:top w:val="nil"/>
              <w:left w:val="nil"/>
              <w:bottom w:val="single" w:sz="4" w:space="0" w:color="auto"/>
              <w:right w:val="single" w:sz="4" w:space="0" w:color="auto"/>
            </w:tcBorders>
            <w:shd w:val="clear" w:color="auto" w:fill="auto"/>
            <w:noWrap/>
            <w:vAlign w:val="center"/>
          </w:tcPr>
          <w:p w14:paraId="5AAF064E"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41 357 619 305,05</w:t>
            </w:r>
          </w:p>
        </w:tc>
        <w:tc>
          <w:tcPr>
            <w:tcW w:w="1587" w:type="dxa"/>
            <w:tcBorders>
              <w:top w:val="nil"/>
              <w:left w:val="nil"/>
              <w:bottom w:val="single" w:sz="4" w:space="0" w:color="auto"/>
              <w:right w:val="single" w:sz="4" w:space="0" w:color="auto"/>
            </w:tcBorders>
            <w:shd w:val="clear" w:color="auto" w:fill="auto"/>
            <w:noWrap/>
            <w:vAlign w:val="center"/>
          </w:tcPr>
          <w:p w14:paraId="0791BA5A"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37 089 440 965,09</w:t>
            </w:r>
          </w:p>
        </w:tc>
        <w:tc>
          <w:tcPr>
            <w:tcW w:w="1587" w:type="dxa"/>
            <w:tcBorders>
              <w:top w:val="nil"/>
              <w:left w:val="nil"/>
              <w:bottom w:val="single" w:sz="4" w:space="0" w:color="auto"/>
              <w:right w:val="single" w:sz="4" w:space="0" w:color="auto"/>
            </w:tcBorders>
            <w:vAlign w:val="center"/>
          </w:tcPr>
          <w:p w14:paraId="7CA6C444"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34 680 404 111,78</w:t>
            </w:r>
          </w:p>
        </w:tc>
      </w:tr>
      <w:tr w:rsidR="0004593F" w:rsidRPr="0004593F" w14:paraId="7C5EA4BE" w14:textId="77777777" w:rsidTr="005F462F">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CA51283" w14:textId="77777777" w:rsidR="0004593F" w:rsidRPr="0004593F" w:rsidRDefault="0004593F" w:rsidP="005F462F">
            <w:pPr>
              <w:keepNext/>
              <w:spacing w:after="0"/>
              <w:rPr>
                <w:rFonts w:cs="Calibri"/>
                <w:b/>
                <w:bCs/>
                <w:color w:val="000000"/>
                <w:sz w:val="20"/>
                <w:szCs w:val="20"/>
                <w:lang w:eastAsia="cs-CZ"/>
              </w:rPr>
            </w:pPr>
            <w:r w:rsidRPr="0004593F">
              <w:rPr>
                <w:rFonts w:cs="Calibri"/>
                <w:b/>
                <w:bCs/>
                <w:color w:val="000000"/>
                <w:sz w:val="20"/>
                <w:szCs w:val="20"/>
                <w:lang w:eastAsia="cs-CZ"/>
              </w:rPr>
              <w:t>Skutečnost</w:t>
            </w:r>
          </w:p>
        </w:tc>
        <w:tc>
          <w:tcPr>
            <w:tcW w:w="1587" w:type="dxa"/>
            <w:tcBorders>
              <w:top w:val="nil"/>
              <w:left w:val="nil"/>
              <w:bottom w:val="single" w:sz="4" w:space="0" w:color="auto"/>
              <w:right w:val="single" w:sz="4" w:space="0" w:color="auto"/>
            </w:tcBorders>
            <w:shd w:val="clear" w:color="auto" w:fill="auto"/>
            <w:noWrap/>
            <w:vAlign w:val="center"/>
          </w:tcPr>
          <w:p w14:paraId="03C3EBE2"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20 216 267 627,03</w:t>
            </w:r>
          </w:p>
        </w:tc>
        <w:tc>
          <w:tcPr>
            <w:tcW w:w="1587" w:type="dxa"/>
            <w:tcBorders>
              <w:top w:val="nil"/>
              <w:left w:val="nil"/>
              <w:bottom w:val="single" w:sz="4" w:space="0" w:color="auto"/>
              <w:right w:val="single" w:sz="4" w:space="0" w:color="auto"/>
            </w:tcBorders>
            <w:shd w:val="clear" w:color="auto" w:fill="auto"/>
            <w:noWrap/>
            <w:vAlign w:val="center"/>
          </w:tcPr>
          <w:p w14:paraId="0E3CEABC"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28 615 288 911,31</w:t>
            </w:r>
          </w:p>
        </w:tc>
        <w:tc>
          <w:tcPr>
            <w:tcW w:w="1587" w:type="dxa"/>
            <w:tcBorders>
              <w:top w:val="nil"/>
              <w:left w:val="nil"/>
              <w:bottom w:val="single" w:sz="4" w:space="0" w:color="auto"/>
              <w:right w:val="single" w:sz="4" w:space="0" w:color="auto"/>
            </w:tcBorders>
            <w:shd w:val="clear" w:color="auto" w:fill="auto"/>
            <w:noWrap/>
            <w:vAlign w:val="center"/>
          </w:tcPr>
          <w:p w14:paraId="5205F986"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16 782 229 299,22</w:t>
            </w:r>
          </w:p>
        </w:tc>
        <w:tc>
          <w:tcPr>
            <w:tcW w:w="1587" w:type="dxa"/>
            <w:tcBorders>
              <w:top w:val="nil"/>
              <w:left w:val="nil"/>
              <w:bottom w:val="single" w:sz="4" w:space="0" w:color="auto"/>
              <w:right w:val="single" w:sz="4" w:space="0" w:color="auto"/>
            </w:tcBorders>
            <w:shd w:val="clear" w:color="auto" w:fill="auto"/>
            <w:noWrap/>
            <w:vAlign w:val="center"/>
          </w:tcPr>
          <w:p w14:paraId="4A42719B"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7 439 773 838,64</w:t>
            </w:r>
          </w:p>
        </w:tc>
        <w:tc>
          <w:tcPr>
            <w:tcW w:w="1587" w:type="dxa"/>
            <w:tcBorders>
              <w:top w:val="nil"/>
              <w:left w:val="nil"/>
              <w:bottom w:val="single" w:sz="4" w:space="0" w:color="auto"/>
              <w:right w:val="single" w:sz="4" w:space="0" w:color="auto"/>
            </w:tcBorders>
            <w:vAlign w:val="center"/>
          </w:tcPr>
          <w:p w14:paraId="720D1EAC" w14:textId="77777777" w:rsidR="0004593F" w:rsidRPr="0004593F" w:rsidRDefault="0004593F" w:rsidP="005F462F">
            <w:pPr>
              <w:keepNext/>
              <w:spacing w:after="0"/>
              <w:ind w:left="-57"/>
              <w:jc w:val="right"/>
              <w:rPr>
                <w:rFonts w:eastAsia="Calibri" w:cs="Calibri"/>
                <w:color w:val="000000"/>
                <w:sz w:val="20"/>
                <w:szCs w:val="20"/>
              </w:rPr>
            </w:pPr>
            <w:r w:rsidRPr="0004593F">
              <w:rPr>
                <w:rFonts w:eastAsia="Calibri" w:cs="Calibri"/>
                <w:color w:val="000000"/>
                <w:sz w:val="20"/>
                <w:szCs w:val="20"/>
              </w:rPr>
              <w:t>22 108 471 397,97</w:t>
            </w:r>
          </w:p>
        </w:tc>
      </w:tr>
    </w:tbl>
    <w:p w14:paraId="55E2FB64" w14:textId="77777777" w:rsidR="0004593F" w:rsidRPr="0004593F" w:rsidRDefault="0004593F" w:rsidP="005F462F">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7FD31A98" w14:textId="77777777" w:rsidR="0004593F" w:rsidRPr="009363E5" w:rsidRDefault="0004593F" w:rsidP="009363E5">
      <w:pPr>
        <w:tabs>
          <w:tab w:val="right" w:pos="9072"/>
        </w:tabs>
        <w:spacing w:after="0"/>
        <w:rPr>
          <w:rFonts w:cs="Calibri"/>
          <w:iCs/>
          <w:highlight w:val="yellow"/>
        </w:rPr>
      </w:pPr>
    </w:p>
    <w:p w14:paraId="60B02F4E" w14:textId="7758F59A" w:rsidR="0004593F" w:rsidRPr="009363E5" w:rsidRDefault="0004593F" w:rsidP="0004593F">
      <w:pPr>
        <w:spacing w:after="0"/>
        <w:contextualSpacing/>
        <w:jc w:val="both"/>
        <w:rPr>
          <w:rFonts w:cs="Calibri"/>
          <w:bCs/>
          <w:lang w:eastAsia="cs-CZ"/>
        </w:rPr>
      </w:pPr>
      <w:r w:rsidRPr="009363E5">
        <w:rPr>
          <w:rFonts w:cs="Calibri"/>
          <w:bCs/>
          <w:lang w:eastAsia="cs-CZ"/>
        </w:rPr>
        <w:t>Stejně jako u příjmů jsou i výdaje kapitoly 317</w:t>
      </w:r>
      <w:r w:rsidR="00B17FF9">
        <w:rPr>
          <w:rFonts w:cs="Calibri"/>
          <w:bCs/>
          <w:lang w:eastAsia="cs-CZ"/>
        </w:rPr>
        <w:t> MMR</w:t>
      </w:r>
      <w:r w:rsidRPr="009363E5">
        <w:rPr>
          <w:rFonts w:cs="Calibri"/>
          <w:bCs/>
          <w:lang w:eastAsia="cs-CZ"/>
        </w:rPr>
        <w:t xml:space="preserve"> (skutečnost) tvořeny většinově výdaji MMR (skutečnost). Procentně představují výdaje MMR 99,99 % skutečných výdajů kapitoly 317</w:t>
      </w:r>
      <w:r w:rsidR="00B17FF9">
        <w:rPr>
          <w:rFonts w:cs="Calibri"/>
          <w:bCs/>
          <w:lang w:eastAsia="cs-CZ"/>
        </w:rPr>
        <w:t> MMR</w:t>
      </w:r>
      <w:r w:rsidRPr="009363E5">
        <w:rPr>
          <w:rFonts w:cs="Calibri"/>
          <w:bCs/>
          <w:lang w:eastAsia="cs-CZ"/>
        </w:rPr>
        <w:t>. Z tohoto důvodu nejsou podrobněji analyzovány výdaje za OSS PRIVUM a Ústav územního rozvoje.</w:t>
      </w:r>
    </w:p>
    <w:p w14:paraId="6213A75D" w14:textId="77777777" w:rsidR="0004593F" w:rsidRPr="009363E5" w:rsidRDefault="0004593F" w:rsidP="0004593F">
      <w:pPr>
        <w:spacing w:after="0"/>
        <w:contextualSpacing/>
        <w:jc w:val="both"/>
        <w:rPr>
          <w:rFonts w:cs="Calibri"/>
          <w:bCs/>
          <w:lang w:eastAsia="cs-CZ"/>
        </w:rPr>
      </w:pPr>
    </w:p>
    <w:p w14:paraId="2708876F" w14:textId="1D9E4A39" w:rsidR="0004593F" w:rsidRPr="009363E5" w:rsidRDefault="0004593F" w:rsidP="0004593F">
      <w:pPr>
        <w:spacing w:after="0"/>
        <w:contextualSpacing/>
        <w:jc w:val="both"/>
        <w:rPr>
          <w:rFonts w:cs="Calibri"/>
          <w:lang w:eastAsia="cs-CZ"/>
        </w:rPr>
      </w:pPr>
      <w:r w:rsidRPr="009363E5">
        <w:rPr>
          <w:rFonts w:cs="Calibri"/>
          <w:lang w:eastAsia="cs-CZ"/>
        </w:rPr>
        <w:t xml:space="preserve">Celkový objem výdajů kapitoly </w:t>
      </w:r>
      <w:r w:rsidR="00B17FF9">
        <w:rPr>
          <w:rFonts w:cs="Calibri"/>
          <w:lang w:eastAsia="cs-CZ"/>
        </w:rPr>
        <w:t>317 </w:t>
      </w:r>
      <w:r w:rsidRPr="009363E5">
        <w:rPr>
          <w:rFonts w:cs="Calibri"/>
          <w:lang w:eastAsia="cs-CZ"/>
        </w:rPr>
        <w:t xml:space="preserve">MMR se k 31. 12. 2018 snížil oproti schválenému rozpočtu o 133,22 mil. Kč. Snížení rozpočtovaných výdajů bylo ovlivněno přesuny z kapitoly </w:t>
      </w:r>
      <w:r w:rsidR="00B17FF9">
        <w:rPr>
          <w:rFonts w:cs="Calibri"/>
          <w:lang w:eastAsia="cs-CZ"/>
        </w:rPr>
        <w:t>317 </w:t>
      </w:r>
      <w:r w:rsidRPr="009363E5">
        <w:rPr>
          <w:rFonts w:cs="Calibri"/>
          <w:lang w:eastAsia="cs-CZ"/>
        </w:rPr>
        <w:t xml:space="preserve">MMR. Současně byl rozpočet výdajů kapitoly </w:t>
      </w:r>
      <w:r w:rsidR="00B17FF9">
        <w:rPr>
          <w:rFonts w:cs="Calibri"/>
          <w:lang w:eastAsia="cs-CZ"/>
        </w:rPr>
        <w:t>317 </w:t>
      </w:r>
      <w:r w:rsidRPr="009363E5">
        <w:rPr>
          <w:rFonts w:cs="Calibri"/>
          <w:lang w:eastAsia="cs-CZ"/>
        </w:rPr>
        <w:t xml:space="preserve">MMR částečně navýšen o prostředky přesunuté z kapitol 329 – </w:t>
      </w:r>
      <w:r w:rsidRPr="00D9255C">
        <w:rPr>
          <w:rFonts w:cs="Calibri"/>
          <w:i/>
          <w:lang w:eastAsia="cs-CZ"/>
        </w:rPr>
        <w:t>Ministerstvo zemědělství</w:t>
      </w:r>
      <w:r w:rsidRPr="009363E5">
        <w:rPr>
          <w:rFonts w:cs="Calibri"/>
          <w:lang w:eastAsia="cs-CZ"/>
        </w:rPr>
        <w:t xml:space="preserve"> a 398 – </w:t>
      </w:r>
      <w:r w:rsidRPr="00D9255C">
        <w:rPr>
          <w:rFonts w:cs="Calibri"/>
          <w:i/>
          <w:lang w:eastAsia="cs-CZ"/>
        </w:rPr>
        <w:t>Všeobecná pokladní správa</w:t>
      </w:r>
      <w:r w:rsidRPr="009363E5">
        <w:rPr>
          <w:rFonts w:cs="Calibri"/>
          <w:lang w:eastAsia="cs-CZ"/>
        </w:rPr>
        <w:t>. Ze skutečně vynaložených výdajů kapitoly ve výši 22,11 mld. Kč představovaly běžné výdaje 4,39 mld. Kč a kapitálové výdaje 17,71 mld. Kč.</w:t>
      </w:r>
    </w:p>
    <w:p w14:paraId="0D406F57" w14:textId="77777777" w:rsidR="0004593F" w:rsidRPr="009363E5" w:rsidRDefault="0004593F" w:rsidP="0004593F">
      <w:pPr>
        <w:spacing w:after="0"/>
        <w:contextualSpacing/>
        <w:jc w:val="both"/>
        <w:rPr>
          <w:rFonts w:cs="Calibri"/>
          <w:lang w:eastAsia="cs-CZ"/>
        </w:rPr>
      </w:pPr>
    </w:p>
    <w:p w14:paraId="7BFC110D" w14:textId="759E6FE4" w:rsidR="0004593F" w:rsidRPr="009363E5" w:rsidRDefault="0004593F" w:rsidP="009363E5">
      <w:pPr>
        <w:pStyle w:val="Titulek1"/>
        <w:rPr>
          <w:rFonts w:cs="Calibri"/>
          <w:sz w:val="24"/>
          <w:szCs w:val="24"/>
        </w:rPr>
      </w:pPr>
      <w:bookmarkStart w:id="23" w:name="_Toc520714315"/>
      <w:bookmarkStart w:id="24" w:name="_Toc8984522"/>
      <w:bookmarkStart w:id="25" w:name="_Toc33100897"/>
      <w:r w:rsidRPr="009363E5">
        <w:rPr>
          <w:rFonts w:cs="Calibri"/>
          <w:sz w:val="24"/>
          <w:szCs w:val="24"/>
        </w:rPr>
        <w:lastRenderedPageBreak/>
        <w:t xml:space="preserve">Tabulka č. </w:t>
      </w:r>
      <w:r w:rsidRPr="009363E5">
        <w:rPr>
          <w:rFonts w:cs="Calibri"/>
          <w:sz w:val="24"/>
          <w:szCs w:val="24"/>
        </w:rPr>
        <w:fldChar w:fldCharType="begin"/>
      </w:r>
      <w:r w:rsidRPr="009363E5">
        <w:rPr>
          <w:rFonts w:cs="Calibri"/>
          <w:sz w:val="24"/>
          <w:szCs w:val="24"/>
        </w:rPr>
        <w:instrText xml:space="preserve"> SEQ Tabulka \* ARABIC </w:instrText>
      </w:r>
      <w:r w:rsidRPr="009363E5">
        <w:rPr>
          <w:rFonts w:cs="Calibri"/>
          <w:sz w:val="24"/>
          <w:szCs w:val="24"/>
        </w:rPr>
        <w:fldChar w:fldCharType="separate"/>
      </w:r>
      <w:r w:rsidR="00015BEA">
        <w:rPr>
          <w:rFonts w:cs="Calibri"/>
          <w:noProof/>
          <w:sz w:val="24"/>
          <w:szCs w:val="24"/>
        </w:rPr>
        <w:t>5</w:t>
      </w:r>
      <w:r w:rsidRPr="009363E5">
        <w:rPr>
          <w:rFonts w:cs="Calibri"/>
          <w:sz w:val="24"/>
          <w:szCs w:val="24"/>
        </w:rPr>
        <w:fldChar w:fldCharType="end"/>
      </w:r>
      <w:r w:rsidRPr="009363E5">
        <w:rPr>
          <w:rFonts w:cs="Calibri"/>
          <w:sz w:val="24"/>
          <w:szCs w:val="24"/>
        </w:rPr>
        <w:t xml:space="preserve">: Výdaje MMR </w:t>
      </w:r>
      <w:r w:rsidRPr="009363E5">
        <w:rPr>
          <w:rFonts w:cs="Calibri"/>
          <w:sz w:val="24"/>
          <w:szCs w:val="24"/>
        </w:rPr>
        <w:tab/>
        <w:t>(v Kč)</w:t>
      </w:r>
      <w:bookmarkEnd w:id="23"/>
      <w:bookmarkEnd w:id="24"/>
      <w:bookmarkEnd w:id="25"/>
    </w:p>
    <w:tbl>
      <w:tblPr>
        <w:tblW w:w="9126" w:type="dxa"/>
        <w:tblLayout w:type="fixed"/>
        <w:tblCellMar>
          <w:left w:w="70" w:type="dxa"/>
          <w:right w:w="70" w:type="dxa"/>
        </w:tblCellMar>
        <w:tblLook w:val="04A0" w:firstRow="1" w:lastRow="0" w:firstColumn="1" w:lastColumn="0" w:noHBand="0" w:noVBand="1"/>
      </w:tblPr>
      <w:tblGrid>
        <w:gridCol w:w="1191"/>
        <w:gridCol w:w="1587"/>
        <w:gridCol w:w="1587"/>
        <w:gridCol w:w="1587"/>
        <w:gridCol w:w="1587"/>
        <w:gridCol w:w="1587"/>
      </w:tblGrid>
      <w:tr w:rsidR="0004593F" w:rsidRPr="0004593F" w14:paraId="4E460509" w14:textId="77777777" w:rsidTr="009363E5">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027259F" w14:textId="77777777" w:rsidR="0004593F" w:rsidRPr="0004593F" w:rsidRDefault="0004593F" w:rsidP="009363E5">
            <w:pPr>
              <w:keepNext/>
              <w:spacing w:after="0"/>
              <w:contextualSpacing/>
              <w:rPr>
                <w:rFonts w:cs="Calibri"/>
                <w:b/>
                <w:bCs/>
                <w:color w:val="000000"/>
                <w:sz w:val="20"/>
                <w:szCs w:val="20"/>
                <w:lang w:eastAsia="cs-CZ"/>
              </w:rPr>
            </w:pPr>
            <w:r w:rsidRPr="0004593F">
              <w:rPr>
                <w:rFonts w:cs="Calibri"/>
                <w:b/>
                <w:bCs/>
                <w:color w:val="000000"/>
                <w:sz w:val="20"/>
                <w:szCs w:val="20"/>
                <w:lang w:eastAsia="cs-CZ"/>
              </w:rPr>
              <w:t>Rozpočet</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48DB0F04"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16DBE685"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0D273C89"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3549FA6F"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587" w:type="dxa"/>
            <w:tcBorders>
              <w:top w:val="single" w:sz="4" w:space="0" w:color="auto"/>
              <w:left w:val="nil"/>
              <w:bottom w:val="single" w:sz="4" w:space="0" w:color="auto"/>
              <w:right w:val="single" w:sz="4" w:space="0" w:color="auto"/>
            </w:tcBorders>
            <w:shd w:val="clear" w:color="auto" w:fill="E5F1FF"/>
          </w:tcPr>
          <w:p w14:paraId="721943AC"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6EB29A48" w14:textId="77777777" w:rsidTr="009363E5">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F3C054E" w14:textId="77777777" w:rsidR="0004593F" w:rsidRPr="0004593F" w:rsidRDefault="0004593F" w:rsidP="009363E5">
            <w:pPr>
              <w:keepNext/>
              <w:spacing w:after="0"/>
              <w:contextualSpacing/>
              <w:rPr>
                <w:rFonts w:cs="Calibri"/>
                <w:b/>
                <w:bCs/>
                <w:color w:val="000000"/>
                <w:sz w:val="20"/>
                <w:szCs w:val="20"/>
                <w:lang w:eastAsia="cs-CZ"/>
              </w:rPr>
            </w:pPr>
            <w:r w:rsidRPr="0004593F">
              <w:rPr>
                <w:rFonts w:cs="Calibri"/>
                <w:b/>
                <w:bCs/>
                <w:color w:val="000000"/>
                <w:sz w:val="20"/>
                <w:szCs w:val="20"/>
                <w:lang w:eastAsia="cs-CZ"/>
              </w:rPr>
              <w:t>Schválený rozpočet</w:t>
            </w:r>
          </w:p>
        </w:tc>
        <w:tc>
          <w:tcPr>
            <w:tcW w:w="1587" w:type="dxa"/>
            <w:tcBorders>
              <w:top w:val="nil"/>
              <w:left w:val="nil"/>
              <w:bottom w:val="single" w:sz="4" w:space="0" w:color="auto"/>
              <w:right w:val="single" w:sz="4" w:space="0" w:color="auto"/>
            </w:tcBorders>
            <w:shd w:val="clear" w:color="auto" w:fill="auto"/>
            <w:noWrap/>
            <w:vAlign w:val="center"/>
          </w:tcPr>
          <w:p w14:paraId="6CA475C6"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11 710 878 652,00</w:t>
            </w:r>
          </w:p>
        </w:tc>
        <w:tc>
          <w:tcPr>
            <w:tcW w:w="1587" w:type="dxa"/>
            <w:tcBorders>
              <w:top w:val="nil"/>
              <w:left w:val="nil"/>
              <w:bottom w:val="single" w:sz="4" w:space="0" w:color="auto"/>
              <w:right w:val="single" w:sz="4" w:space="0" w:color="auto"/>
            </w:tcBorders>
            <w:shd w:val="clear" w:color="auto" w:fill="auto"/>
            <w:noWrap/>
            <w:vAlign w:val="center"/>
          </w:tcPr>
          <w:p w14:paraId="7C471141"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14 771 511 977,00</w:t>
            </w:r>
          </w:p>
        </w:tc>
        <w:tc>
          <w:tcPr>
            <w:tcW w:w="1587" w:type="dxa"/>
            <w:tcBorders>
              <w:top w:val="nil"/>
              <w:left w:val="nil"/>
              <w:bottom w:val="single" w:sz="4" w:space="0" w:color="auto"/>
              <w:right w:val="single" w:sz="4" w:space="0" w:color="auto"/>
            </w:tcBorders>
            <w:shd w:val="clear" w:color="auto" w:fill="auto"/>
            <w:noWrap/>
            <w:vAlign w:val="center"/>
          </w:tcPr>
          <w:p w14:paraId="4D6DF335"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13 385 430 154,00</w:t>
            </w:r>
          </w:p>
        </w:tc>
        <w:tc>
          <w:tcPr>
            <w:tcW w:w="1587" w:type="dxa"/>
            <w:tcBorders>
              <w:top w:val="nil"/>
              <w:left w:val="nil"/>
              <w:bottom w:val="single" w:sz="4" w:space="0" w:color="auto"/>
              <w:right w:val="single" w:sz="4" w:space="0" w:color="auto"/>
            </w:tcBorders>
            <w:shd w:val="clear" w:color="auto" w:fill="auto"/>
            <w:noWrap/>
            <w:vAlign w:val="center"/>
          </w:tcPr>
          <w:p w14:paraId="0E181731"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15 970 709 618,00</w:t>
            </w:r>
          </w:p>
        </w:tc>
        <w:tc>
          <w:tcPr>
            <w:tcW w:w="1587" w:type="dxa"/>
            <w:tcBorders>
              <w:top w:val="nil"/>
              <w:left w:val="nil"/>
              <w:bottom w:val="single" w:sz="4" w:space="0" w:color="auto"/>
              <w:right w:val="single" w:sz="4" w:space="0" w:color="auto"/>
            </w:tcBorders>
            <w:vAlign w:val="center"/>
          </w:tcPr>
          <w:p w14:paraId="4D3E6B99"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5 611 762 764,00</w:t>
            </w:r>
          </w:p>
        </w:tc>
      </w:tr>
      <w:tr w:rsidR="0004593F" w:rsidRPr="0004593F" w14:paraId="1207BABA" w14:textId="77777777" w:rsidTr="009363E5">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4D5A3DB" w14:textId="77777777" w:rsidR="0004593F" w:rsidRPr="0004593F" w:rsidRDefault="0004593F" w:rsidP="009363E5">
            <w:pPr>
              <w:keepNext/>
              <w:spacing w:after="0"/>
              <w:contextualSpacing/>
              <w:rPr>
                <w:rFonts w:cs="Calibri"/>
                <w:b/>
                <w:bCs/>
                <w:color w:val="000000"/>
                <w:sz w:val="20"/>
                <w:szCs w:val="20"/>
                <w:lang w:eastAsia="cs-CZ"/>
              </w:rPr>
            </w:pPr>
            <w:r w:rsidRPr="0004593F">
              <w:rPr>
                <w:rFonts w:cs="Calibri"/>
                <w:b/>
                <w:bCs/>
                <w:color w:val="000000"/>
                <w:sz w:val="20"/>
                <w:szCs w:val="20"/>
                <w:lang w:eastAsia="cs-CZ"/>
              </w:rPr>
              <w:t>Rozpočet po změnách</w:t>
            </w:r>
          </w:p>
        </w:tc>
        <w:tc>
          <w:tcPr>
            <w:tcW w:w="1587" w:type="dxa"/>
            <w:tcBorders>
              <w:top w:val="nil"/>
              <w:left w:val="nil"/>
              <w:bottom w:val="single" w:sz="4" w:space="0" w:color="auto"/>
              <w:right w:val="single" w:sz="4" w:space="0" w:color="auto"/>
            </w:tcBorders>
            <w:shd w:val="clear" w:color="auto" w:fill="auto"/>
            <w:noWrap/>
            <w:vAlign w:val="center"/>
          </w:tcPr>
          <w:p w14:paraId="22FBF163"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14 904 500 787,26</w:t>
            </w:r>
          </w:p>
        </w:tc>
        <w:tc>
          <w:tcPr>
            <w:tcW w:w="1587" w:type="dxa"/>
            <w:tcBorders>
              <w:top w:val="nil"/>
              <w:left w:val="nil"/>
              <w:bottom w:val="single" w:sz="4" w:space="0" w:color="auto"/>
              <w:right w:val="single" w:sz="4" w:space="0" w:color="auto"/>
            </w:tcBorders>
            <w:shd w:val="clear" w:color="auto" w:fill="auto"/>
            <w:noWrap/>
            <w:vAlign w:val="center"/>
          </w:tcPr>
          <w:p w14:paraId="36681ADD"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41 137 762 881,00</w:t>
            </w:r>
          </w:p>
        </w:tc>
        <w:tc>
          <w:tcPr>
            <w:tcW w:w="1587" w:type="dxa"/>
            <w:tcBorders>
              <w:top w:val="nil"/>
              <w:left w:val="nil"/>
              <w:bottom w:val="single" w:sz="4" w:space="0" w:color="auto"/>
              <w:right w:val="single" w:sz="4" w:space="0" w:color="auto"/>
            </w:tcBorders>
            <w:shd w:val="clear" w:color="auto" w:fill="auto"/>
            <w:noWrap/>
            <w:vAlign w:val="center"/>
          </w:tcPr>
          <w:p w14:paraId="52DB5717"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15 269 791 829,00</w:t>
            </w:r>
          </w:p>
        </w:tc>
        <w:tc>
          <w:tcPr>
            <w:tcW w:w="1587" w:type="dxa"/>
            <w:tcBorders>
              <w:top w:val="nil"/>
              <w:left w:val="nil"/>
              <w:bottom w:val="single" w:sz="4" w:space="0" w:color="auto"/>
              <w:right w:val="single" w:sz="4" w:space="0" w:color="auto"/>
            </w:tcBorders>
            <w:shd w:val="clear" w:color="auto" w:fill="auto"/>
            <w:noWrap/>
            <w:vAlign w:val="center"/>
          </w:tcPr>
          <w:p w14:paraId="43A90025"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15 990 462 130,00</w:t>
            </w:r>
          </w:p>
        </w:tc>
        <w:tc>
          <w:tcPr>
            <w:tcW w:w="1587" w:type="dxa"/>
            <w:tcBorders>
              <w:top w:val="nil"/>
              <w:left w:val="nil"/>
              <w:bottom w:val="single" w:sz="4" w:space="0" w:color="auto"/>
              <w:right w:val="single" w:sz="4" w:space="0" w:color="auto"/>
            </w:tcBorders>
            <w:vAlign w:val="center"/>
          </w:tcPr>
          <w:p w14:paraId="45776FC5"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5 473 614 230,85</w:t>
            </w:r>
          </w:p>
        </w:tc>
      </w:tr>
      <w:tr w:rsidR="0004593F" w:rsidRPr="0004593F" w14:paraId="1C6BE267" w14:textId="77777777" w:rsidTr="009363E5">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4D932319" w14:textId="77777777" w:rsidR="0004593F" w:rsidRPr="0004593F" w:rsidRDefault="0004593F" w:rsidP="009363E5">
            <w:pPr>
              <w:keepNext/>
              <w:spacing w:after="0"/>
              <w:contextualSpacing/>
              <w:rPr>
                <w:rFonts w:cs="Calibri"/>
                <w:b/>
                <w:bCs/>
                <w:color w:val="000000"/>
                <w:sz w:val="20"/>
                <w:szCs w:val="20"/>
                <w:lang w:eastAsia="cs-CZ"/>
              </w:rPr>
            </w:pPr>
            <w:r w:rsidRPr="0004593F">
              <w:rPr>
                <w:rFonts w:cs="Calibri"/>
                <w:b/>
                <w:bCs/>
                <w:color w:val="000000"/>
                <w:sz w:val="20"/>
                <w:szCs w:val="20"/>
                <w:lang w:eastAsia="cs-CZ"/>
              </w:rPr>
              <w:t>Konečný rozpočet</w:t>
            </w:r>
          </w:p>
        </w:tc>
        <w:tc>
          <w:tcPr>
            <w:tcW w:w="1587" w:type="dxa"/>
            <w:tcBorders>
              <w:top w:val="nil"/>
              <w:left w:val="nil"/>
              <w:bottom w:val="single" w:sz="4" w:space="0" w:color="auto"/>
              <w:right w:val="single" w:sz="4" w:space="0" w:color="auto"/>
            </w:tcBorders>
            <w:shd w:val="clear" w:color="auto" w:fill="auto"/>
            <w:noWrap/>
            <w:vAlign w:val="center"/>
          </w:tcPr>
          <w:p w14:paraId="20B65265"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26 514 585 578,50</w:t>
            </w:r>
          </w:p>
        </w:tc>
        <w:tc>
          <w:tcPr>
            <w:tcW w:w="1587" w:type="dxa"/>
            <w:tcBorders>
              <w:top w:val="nil"/>
              <w:left w:val="nil"/>
              <w:bottom w:val="single" w:sz="4" w:space="0" w:color="auto"/>
              <w:right w:val="single" w:sz="4" w:space="0" w:color="auto"/>
            </w:tcBorders>
            <w:shd w:val="clear" w:color="auto" w:fill="auto"/>
            <w:noWrap/>
            <w:vAlign w:val="center"/>
          </w:tcPr>
          <w:p w14:paraId="0D83BE24"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55 699 697 529,89</w:t>
            </w:r>
          </w:p>
        </w:tc>
        <w:tc>
          <w:tcPr>
            <w:tcW w:w="1587" w:type="dxa"/>
            <w:tcBorders>
              <w:top w:val="nil"/>
              <w:left w:val="nil"/>
              <w:bottom w:val="single" w:sz="4" w:space="0" w:color="auto"/>
              <w:right w:val="single" w:sz="4" w:space="0" w:color="auto"/>
            </w:tcBorders>
            <w:shd w:val="clear" w:color="auto" w:fill="auto"/>
            <w:noWrap/>
            <w:vAlign w:val="center"/>
          </w:tcPr>
          <w:p w14:paraId="12222F91"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41 336 034 066,05</w:t>
            </w:r>
          </w:p>
        </w:tc>
        <w:tc>
          <w:tcPr>
            <w:tcW w:w="1587" w:type="dxa"/>
            <w:tcBorders>
              <w:top w:val="nil"/>
              <w:left w:val="nil"/>
              <w:bottom w:val="single" w:sz="4" w:space="0" w:color="auto"/>
              <w:right w:val="single" w:sz="4" w:space="0" w:color="auto"/>
            </w:tcBorders>
            <w:shd w:val="clear" w:color="auto" w:fill="auto"/>
            <w:noWrap/>
            <w:vAlign w:val="center"/>
          </w:tcPr>
          <w:p w14:paraId="448781E7"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37 063 954 680,07</w:t>
            </w:r>
          </w:p>
        </w:tc>
        <w:tc>
          <w:tcPr>
            <w:tcW w:w="1587" w:type="dxa"/>
            <w:tcBorders>
              <w:top w:val="nil"/>
              <w:left w:val="nil"/>
              <w:bottom w:val="single" w:sz="4" w:space="0" w:color="auto"/>
              <w:right w:val="single" w:sz="4" w:space="0" w:color="auto"/>
            </w:tcBorders>
            <w:vAlign w:val="center"/>
          </w:tcPr>
          <w:p w14:paraId="1D8F458D"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34 655 093 485,78</w:t>
            </w:r>
          </w:p>
        </w:tc>
      </w:tr>
      <w:tr w:rsidR="0004593F" w:rsidRPr="0004593F" w14:paraId="1F1E40CA" w14:textId="77777777" w:rsidTr="009363E5">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1D95B63" w14:textId="77777777" w:rsidR="0004593F" w:rsidRPr="0004593F" w:rsidRDefault="0004593F" w:rsidP="009363E5">
            <w:pPr>
              <w:keepNext/>
              <w:spacing w:after="0"/>
              <w:contextualSpacing/>
              <w:rPr>
                <w:rFonts w:cs="Calibri"/>
                <w:b/>
                <w:bCs/>
                <w:color w:val="000000"/>
                <w:sz w:val="20"/>
                <w:szCs w:val="20"/>
                <w:lang w:eastAsia="cs-CZ"/>
              </w:rPr>
            </w:pPr>
            <w:r w:rsidRPr="0004593F">
              <w:rPr>
                <w:rFonts w:cs="Calibri"/>
                <w:b/>
                <w:bCs/>
                <w:color w:val="000000"/>
                <w:sz w:val="20"/>
                <w:szCs w:val="20"/>
                <w:lang w:eastAsia="cs-CZ"/>
              </w:rPr>
              <w:t>Skutečnost</w:t>
            </w:r>
          </w:p>
        </w:tc>
        <w:tc>
          <w:tcPr>
            <w:tcW w:w="1587" w:type="dxa"/>
            <w:tcBorders>
              <w:top w:val="nil"/>
              <w:left w:val="nil"/>
              <w:bottom w:val="single" w:sz="4" w:space="0" w:color="auto"/>
              <w:right w:val="single" w:sz="4" w:space="0" w:color="auto"/>
            </w:tcBorders>
            <w:shd w:val="clear" w:color="auto" w:fill="auto"/>
            <w:noWrap/>
            <w:vAlign w:val="center"/>
          </w:tcPr>
          <w:p w14:paraId="3A93DA3A"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20 191 698 996,69</w:t>
            </w:r>
          </w:p>
        </w:tc>
        <w:tc>
          <w:tcPr>
            <w:tcW w:w="1587" w:type="dxa"/>
            <w:tcBorders>
              <w:top w:val="nil"/>
              <w:left w:val="nil"/>
              <w:bottom w:val="single" w:sz="4" w:space="0" w:color="auto"/>
              <w:right w:val="single" w:sz="4" w:space="0" w:color="auto"/>
            </w:tcBorders>
            <w:shd w:val="clear" w:color="auto" w:fill="auto"/>
            <w:noWrap/>
            <w:vAlign w:val="center"/>
          </w:tcPr>
          <w:p w14:paraId="5527C740"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28 591 199 447,52</w:t>
            </w:r>
          </w:p>
        </w:tc>
        <w:tc>
          <w:tcPr>
            <w:tcW w:w="1587" w:type="dxa"/>
            <w:tcBorders>
              <w:top w:val="nil"/>
              <w:left w:val="nil"/>
              <w:bottom w:val="single" w:sz="4" w:space="0" w:color="auto"/>
              <w:right w:val="single" w:sz="4" w:space="0" w:color="auto"/>
            </w:tcBorders>
            <w:shd w:val="clear" w:color="auto" w:fill="auto"/>
            <w:noWrap/>
            <w:vAlign w:val="center"/>
          </w:tcPr>
          <w:p w14:paraId="7213B677"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16 761 567 125,42</w:t>
            </w:r>
          </w:p>
        </w:tc>
        <w:tc>
          <w:tcPr>
            <w:tcW w:w="1587" w:type="dxa"/>
            <w:tcBorders>
              <w:top w:val="nil"/>
              <w:left w:val="nil"/>
              <w:bottom w:val="single" w:sz="4" w:space="0" w:color="auto"/>
              <w:right w:val="single" w:sz="4" w:space="0" w:color="auto"/>
            </w:tcBorders>
            <w:shd w:val="clear" w:color="auto" w:fill="auto"/>
            <w:noWrap/>
            <w:vAlign w:val="center"/>
          </w:tcPr>
          <w:p w14:paraId="794BF9B9"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7 419 382 572,27</w:t>
            </w:r>
          </w:p>
        </w:tc>
        <w:tc>
          <w:tcPr>
            <w:tcW w:w="1587" w:type="dxa"/>
            <w:tcBorders>
              <w:top w:val="nil"/>
              <w:left w:val="nil"/>
              <w:bottom w:val="single" w:sz="4" w:space="0" w:color="auto"/>
              <w:right w:val="single" w:sz="4" w:space="0" w:color="auto"/>
            </w:tcBorders>
            <w:vAlign w:val="center"/>
          </w:tcPr>
          <w:p w14:paraId="72B83034"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22 088 488 436,90</w:t>
            </w:r>
          </w:p>
        </w:tc>
      </w:tr>
    </w:tbl>
    <w:p w14:paraId="66A84FA2" w14:textId="77777777" w:rsidR="0004593F" w:rsidRPr="0004593F" w:rsidRDefault="0004593F" w:rsidP="009363E5">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6203FA47" w14:textId="77777777" w:rsidR="0004593F" w:rsidRPr="009363E5" w:rsidRDefault="0004593F" w:rsidP="009363E5">
      <w:pPr>
        <w:spacing w:after="0"/>
        <w:jc w:val="both"/>
        <w:rPr>
          <w:rFonts w:cs="Calibri"/>
          <w:lang w:eastAsia="cs-CZ"/>
        </w:rPr>
      </w:pPr>
    </w:p>
    <w:p w14:paraId="4DA55C5F" w14:textId="58BE0EE5" w:rsidR="0004593F" w:rsidRPr="009363E5" w:rsidRDefault="0004593F" w:rsidP="009363E5">
      <w:pPr>
        <w:spacing w:after="0"/>
        <w:jc w:val="both"/>
        <w:rPr>
          <w:rFonts w:cs="Calibri"/>
          <w:lang w:eastAsia="cs-CZ"/>
        </w:rPr>
      </w:pPr>
      <w:r w:rsidRPr="009363E5">
        <w:rPr>
          <w:rFonts w:cs="Calibri"/>
          <w:lang w:eastAsia="cs-CZ"/>
        </w:rPr>
        <w:t xml:space="preserve">Výdaje MMR (skutečnost) byly ve sledovaném období nejvyšší v roce 2015, kdy dosahovaly 28,59 mld. Kč, od té doby klesaly až do roku 2017, kdy dosáhly </w:t>
      </w:r>
      <w:r w:rsidR="00B17FF9" w:rsidRPr="009363E5">
        <w:rPr>
          <w:rFonts w:cs="Calibri"/>
          <w:lang w:eastAsia="cs-CZ"/>
        </w:rPr>
        <w:t>7,42 mld. Kč</w:t>
      </w:r>
      <w:r w:rsidR="00B17FF9">
        <w:rPr>
          <w:rFonts w:cs="Calibri"/>
          <w:lang w:eastAsia="cs-CZ"/>
        </w:rPr>
        <w:t>, což představuje</w:t>
      </w:r>
      <w:r w:rsidR="00B17FF9" w:rsidRPr="009363E5">
        <w:rPr>
          <w:rFonts w:cs="Calibri"/>
          <w:lang w:eastAsia="cs-CZ"/>
        </w:rPr>
        <w:t xml:space="preserve"> </w:t>
      </w:r>
      <w:r w:rsidRPr="009363E5">
        <w:rPr>
          <w:rFonts w:cs="Calibri"/>
          <w:lang w:eastAsia="cs-CZ"/>
        </w:rPr>
        <w:t>minim</w:t>
      </w:r>
      <w:r w:rsidR="00B17FF9">
        <w:rPr>
          <w:rFonts w:cs="Calibri"/>
          <w:lang w:eastAsia="cs-CZ"/>
        </w:rPr>
        <w:t>um</w:t>
      </w:r>
      <w:r w:rsidRPr="009363E5">
        <w:rPr>
          <w:rFonts w:cs="Calibri"/>
          <w:lang w:eastAsia="cs-CZ"/>
        </w:rPr>
        <w:t xml:space="preserve"> sledovaného období. Při porovnání skutečných výdajů s rozpočtem po změnách lze vidět kolísavou tendenci. V roce 2017 byly skutečné výdaje o 8,57 mld. Kč nižší než rozpočet po změnách. V roce 2018 naopak skutečnost převýšila rozpočet po změnách o</w:t>
      </w:r>
      <w:r w:rsidR="00B17FF9">
        <w:rPr>
          <w:rFonts w:cs="Calibri"/>
          <w:lang w:eastAsia="cs-CZ"/>
        </w:rPr>
        <w:t> </w:t>
      </w:r>
      <w:r w:rsidRPr="009363E5">
        <w:rPr>
          <w:rFonts w:cs="Calibri"/>
          <w:lang w:eastAsia="cs-CZ"/>
        </w:rPr>
        <w:t>16,61 mld. Kč. V porovnání s předchozím rokem došlo ke zvýšení skutečných výdajů o</w:t>
      </w:r>
      <w:r w:rsidR="00B17FF9">
        <w:rPr>
          <w:rFonts w:cs="Calibri"/>
          <w:lang w:eastAsia="cs-CZ"/>
        </w:rPr>
        <w:t> </w:t>
      </w:r>
      <w:r w:rsidRPr="009363E5">
        <w:rPr>
          <w:rFonts w:cs="Calibri"/>
          <w:lang w:eastAsia="cs-CZ"/>
        </w:rPr>
        <w:t>14,67</w:t>
      </w:r>
      <w:r w:rsidR="00B17FF9">
        <w:rPr>
          <w:rFonts w:cs="Calibri"/>
          <w:lang w:eastAsia="cs-CZ"/>
        </w:rPr>
        <w:t> </w:t>
      </w:r>
      <w:r w:rsidRPr="009363E5">
        <w:rPr>
          <w:rFonts w:cs="Calibri"/>
          <w:lang w:eastAsia="cs-CZ"/>
        </w:rPr>
        <w:t>mld.</w:t>
      </w:r>
      <w:r w:rsidR="00B17FF9">
        <w:rPr>
          <w:rFonts w:cs="Calibri"/>
          <w:lang w:eastAsia="cs-CZ"/>
        </w:rPr>
        <w:t> </w:t>
      </w:r>
      <w:r w:rsidRPr="009363E5">
        <w:rPr>
          <w:rFonts w:cs="Calibri"/>
          <w:lang w:eastAsia="cs-CZ"/>
        </w:rPr>
        <w:t>Kč.</w:t>
      </w:r>
    </w:p>
    <w:p w14:paraId="5BD57589" w14:textId="77777777" w:rsidR="0004593F" w:rsidRPr="009363E5" w:rsidRDefault="0004593F" w:rsidP="009363E5">
      <w:pPr>
        <w:spacing w:after="0"/>
        <w:jc w:val="both"/>
        <w:rPr>
          <w:rFonts w:cs="Calibri"/>
          <w:lang w:eastAsia="cs-CZ"/>
        </w:rPr>
      </w:pPr>
    </w:p>
    <w:p w14:paraId="270AFE7C" w14:textId="3FF7AD7C" w:rsidR="0004593F" w:rsidRPr="009363E5" w:rsidRDefault="0004593F" w:rsidP="009363E5">
      <w:pPr>
        <w:spacing w:after="0"/>
        <w:jc w:val="both"/>
        <w:rPr>
          <w:rFonts w:cs="Calibri"/>
        </w:rPr>
      </w:pPr>
      <w:r w:rsidRPr="009363E5">
        <w:rPr>
          <w:rFonts w:cs="Calibri"/>
        </w:rPr>
        <w:t>Přečerpání upraveného rozpočtu výdajů v roce 2018 bylo způsobeno především vysokým čerpáním spolufinancovaných programů státního rozpočtu a rozpočtu EU programového období 2014–2020. Z hlediska objemu ovlivnilo výši výdajů především čerpání v rámci Integrovaného regionálního operačního programu (IROP). Do rozpočtu byly v masivní míře zapojeny a následně čerpány nároky z nespotřebovaných výdajů minulých let.</w:t>
      </w:r>
    </w:p>
    <w:p w14:paraId="6BD19C3B" w14:textId="77777777" w:rsidR="0004593F" w:rsidRPr="009363E5" w:rsidRDefault="0004593F" w:rsidP="009363E5">
      <w:pPr>
        <w:tabs>
          <w:tab w:val="right" w:pos="9072"/>
        </w:tabs>
        <w:spacing w:after="0"/>
        <w:rPr>
          <w:rFonts w:cs="Calibri"/>
          <w:b/>
          <w:iCs/>
          <w:highlight w:val="yellow"/>
        </w:rPr>
      </w:pPr>
    </w:p>
    <w:p w14:paraId="636384AF" w14:textId="77777777" w:rsidR="0004593F" w:rsidRPr="009363E5" w:rsidRDefault="0004593F" w:rsidP="009363E5">
      <w:pPr>
        <w:spacing w:after="0"/>
        <w:jc w:val="both"/>
        <w:rPr>
          <w:rFonts w:eastAsia="Calibri" w:cs="Calibri"/>
          <w:b/>
          <w:i/>
        </w:rPr>
      </w:pPr>
      <w:r w:rsidRPr="009363E5">
        <w:rPr>
          <w:rFonts w:eastAsia="Calibri" w:cs="Calibri"/>
          <w:b/>
        </w:rPr>
        <w:t xml:space="preserve">Kontrolou v oblasti výdajů byla zejména zjištěna nesprávná klasifikace běžného výdaje (roční licence) ve výši 7 560 080 Kč položkou rozpočtové skladby 6111 – </w:t>
      </w:r>
      <w:r w:rsidRPr="009363E5">
        <w:rPr>
          <w:rFonts w:eastAsia="Calibri" w:cs="Calibri"/>
          <w:b/>
          <w:i/>
        </w:rPr>
        <w:t xml:space="preserve">Programové vybavení </w:t>
      </w:r>
      <w:r w:rsidRPr="009363E5">
        <w:rPr>
          <w:rFonts w:eastAsia="Calibri" w:cs="Calibri"/>
          <w:b/>
        </w:rPr>
        <w:t xml:space="preserve">namísto položkou 5172 – </w:t>
      </w:r>
      <w:r w:rsidRPr="009363E5">
        <w:rPr>
          <w:rFonts w:eastAsia="Calibri" w:cs="Calibri"/>
          <w:b/>
          <w:i/>
        </w:rPr>
        <w:t>Programové vybavení</w:t>
      </w:r>
      <w:r w:rsidRPr="009363E5">
        <w:rPr>
          <w:rFonts w:eastAsia="Calibri" w:cs="Calibri"/>
          <w:b/>
        </w:rPr>
        <w:t xml:space="preserve">. </w:t>
      </w:r>
    </w:p>
    <w:p w14:paraId="7BE61426" w14:textId="38AE8B7B" w:rsidR="0004593F" w:rsidRPr="009363E5" w:rsidRDefault="0004593F" w:rsidP="009363E5">
      <w:pPr>
        <w:tabs>
          <w:tab w:val="right" w:pos="9072"/>
        </w:tabs>
        <w:spacing w:after="0"/>
        <w:rPr>
          <w:rFonts w:cs="Calibri"/>
          <w:b/>
          <w:iCs/>
          <w:highlight w:val="yellow"/>
        </w:rPr>
      </w:pPr>
    </w:p>
    <w:p w14:paraId="1B29CD72" w14:textId="77777777" w:rsidR="009363E5" w:rsidRPr="009363E5" w:rsidRDefault="009363E5" w:rsidP="009363E5">
      <w:pPr>
        <w:tabs>
          <w:tab w:val="right" w:pos="9072"/>
        </w:tabs>
        <w:spacing w:after="0"/>
        <w:rPr>
          <w:rFonts w:cs="Calibri"/>
          <w:b/>
          <w:iCs/>
          <w:highlight w:val="yellow"/>
        </w:rPr>
      </w:pPr>
    </w:p>
    <w:p w14:paraId="449FE932" w14:textId="1453368A" w:rsidR="0004593F" w:rsidRPr="009363E5" w:rsidRDefault="0004593F" w:rsidP="009363E5">
      <w:pPr>
        <w:keepNext/>
        <w:spacing w:after="0"/>
        <w:contextualSpacing/>
        <w:jc w:val="center"/>
        <w:outlineLvl w:val="1"/>
        <w:rPr>
          <w:rFonts w:eastAsia="Calibri" w:cs="Calibri"/>
          <w:b/>
        </w:rPr>
      </w:pPr>
      <w:r w:rsidRPr="009363E5">
        <w:rPr>
          <w:rFonts w:eastAsia="Calibri" w:cs="Calibri"/>
          <w:b/>
        </w:rPr>
        <w:t>Oddíl III. Porovnání příjmů a výnosů v rozpočtové kapitole 317 MMR v letech 2014–2018</w:t>
      </w:r>
    </w:p>
    <w:p w14:paraId="57601962" w14:textId="77777777" w:rsidR="009363E5" w:rsidRPr="009363E5" w:rsidRDefault="009363E5" w:rsidP="009363E5">
      <w:pPr>
        <w:keepNext/>
        <w:spacing w:after="0"/>
        <w:contextualSpacing/>
        <w:jc w:val="center"/>
        <w:outlineLvl w:val="1"/>
        <w:rPr>
          <w:rFonts w:eastAsia="Calibri" w:cs="Calibri"/>
          <w:b/>
        </w:rPr>
      </w:pPr>
    </w:p>
    <w:p w14:paraId="45C1F283" w14:textId="4362DA4B" w:rsidR="0004593F" w:rsidRPr="009363E5" w:rsidRDefault="0004593F" w:rsidP="009363E5">
      <w:pPr>
        <w:keepNext/>
        <w:tabs>
          <w:tab w:val="right" w:pos="10064"/>
        </w:tabs>
        <w:spacing w:after="40"/>
        <w:rPr>
          <w:rFonts w:cs="Calibri"/>
          <w:b/>
          <w:iCs/>
        </w:rPr>
      </w:pPr>
      <w:bookmarkStart w:id="26" w:name="_Toc8984525"/>
      <w:bookmarkStart w:id="27" w:name="_Toc33100894"/>
      <w:bookmarkStart w:id="28" w:name="_Toc520714177"/>
      <w:bookmarkStart w:id="29" w:name="_Toc6902520"/>
      <w:bookmarkStart w:id="30" w:name="_Toc18644614"/>
      <w:bookmarkEnd w:id="16"/>
      <w:bookmarkEnd w:id="17"/>
      <w:r w:rsidRPr="009363E5">
        <w:rPr>
          <w:rFonts w:cs="Calibri"/>
          <w:b/>
          <w:iCs/>
        </w:rPr>
        <w:t xml:space="preserve">Tabulka č. </w:t>
      </w:r>
      <w:r w:rsidRPr="009363E5">
        <w:rPr>
          <w:rFonts w:cs="Calibri"/>
          <w:b/>
          <w:iCs/>
        </w:rPr>
        <w:fldChar w:fldCharType="begin"/>
      </w:r>
      <w:r w:rsidRPr="009363E5">
        <w:rPr>
          <w:rFonts w:cs="Calibri"/>
          <w:b/>
          <w:iCs/>
        </w:rPr>
        <w:instrText xml:space="preserve"> SEQ Tabulka \* ARABIC </w:instrText>
      </w:r>
      <w:r w:rsidRPr="009363E5">
        <w:rPr>
          <w:rFonts w:cs="Calibri"/>
          <w:b/>
          <w:iCs/>
        </w:rPr>
        <w:fldChar w:fldCharType="separate"/>
      </w:r>
      <w:r w:rsidR="00015BEA">
        <w:rPr>
          <w:rFonts w:cs="Calibri"/>
          <w:b/>
          <w:iCs/>
          <w:noProof/>
        </w:rPr>
        <w:t>6</w:t>
      </w:r>
      <w:r w:rsidRPr="009363E5">
        <w:rPr>
          <w:rFonts w:cs="Calibri"/>
          <w:b/>
          <w:iCs/>
        </w:rPr>
        <w:fldChar w:fldCharType="end"/>
      </w:r>
      <w:r w:rsidRPr="009363E5">
        <w:rPr>
          <w:rFonts w:cs="Calibri"/>
          <w:b/>
          <w:iCs/>
        </w:rPr>
        <w:t xml:space="preserve">: Porovnání příjmů a výnosů za MMR </w:t>
      </w:r>
      <w:r w:rsidRPr="009363E5">
        <w:rPr>
          <w:rFonts w:cs="Calibri"/>
          <w:b/>
          <w:iCs/>
        </w:rPr>
        <w:tab/>
        <w:t>(v Kč)</w:t>
      </w:r>
      <w:bookmarkEnd w:id="26"/>
      <w:bookmarkEnd w:id="27"/>
    </w:p>
    <w:tbl>
      <w:tblPr>
        <w:tblW w:w="9081" w:type="dxa"/>
        <w:tblLayout w:type="fixed"/>
        <w:tblCellMar>
          <w:left w:w="70" w:type="dxa"/>
          <w:right w:w="70" w:type="dxa"/>
        </w:tblCellMar>
        <w:tblLook w:val="04A0" w:firstRow="1" w:lastRow="0" w:firstColumn="1" w:lastColumn="0" w:noHBand="0" w:noVBand="1"/>
      </w:tblPr>
      <w:tblGrid>
        <w:gridCol w:w="1191"/>
        <w:gridCol w:w="1587"/>
        <w:gridCol w:w="1587"/>
        <w:gridCol w:w="1587"/>
        <w:gridCol w:w="1542"/>
        <w:gridCol w:w="1587"/>
      </w:tblGrid>
      <w:tr w:rsidR="009363E5" w:rsidRPr="0004593F" w14:paraId="0CDAAC42" w14:textId="77777777" w:rsidTr="009363E5">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C817324" w14:textId="77777777" w:rsidR="0004593F" w:rsidRPr="0004593F" w:rsidRDefault="0004593F" w:rsidP="009363E5">
            <w:pPr>
              <w:keepNext/>
              <w:spacing w:after="0"/>
              <w:contextualSpacing/>
              <w:jc w:val="both"/>
              <w:rPr>
                <w:rFonts w:cs="Calibri"/>
                <w:b/>
                <w:bCs/>
                <w:color w:val="000000"/>
                <w:sz w:val="20"/>
                <w:szCs w:val="20"/>
                <w:lang w:eastAsia="cs-CZ"/>
              </w:rPr>
            </w:pPr>
            <w:r w:rsidRPr="0004593F">
              <w:rPr>
                <w:rFonts w:cs="Calibri"/>
                <w:b/>
                <w:bCs/>
                <w:color w:val="000000"/>
                <w:sz w:val="20"/>
                <w:szCs w:val="20"/>
                <w:lang w:eastAsia="cs-CZ"/>
              </w:rPr>
              <w:t>Ukazatel</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4D2B06F7"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06B7183C"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39297BDB"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542" w:type="dxa"/>
            <w:tcBorders>
              <w:top w:val="single" w:sz="4" w:space="0" w:color="auto"/>
              <w:left w:val="nil"/>
              <w:bottom w:val="single" w:sz="4" w:space="0" w:color="auto"/>
              <w:right w:val="single" w:sz="4" w:space="0" w:color="auto"/>
            </w:tcBorders>
            <w:shd w:val="clear" w:color="auto" w:fill="E5F1FF"/>
            <w:noWrap/>
            <w:vAlign w:val="center"/>
            <w:hideMark/>
          </w:tcPr>
          <w:p w14:paraId="07815408"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587" w:type="dxa"/>
            <w:tcBorders>
              <w:top w:val="single" w:sz="4" w:space="0" w:color="auto"/>
              <w:left w:val="nil"/>
              <w:bottom w:val="single" w:sz="4" w:space="0" w:color="auto"/>
              <w:right w:val="single" w:sz="4" w:space="0" w:color="auto"/>
            </w:tcBorders>
            <w:shd w:val="clear" w:color="auto" w:fill="E5F1FF"/>
          </w:tcPr>
          <w:p w14:paraId="078177B9" w14:textId="77777777" w:rsidR="0004593F" w:rsidRPr="0004593F" w:rsidRDefault="0004593F" w:rsidP="009363E5">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9363E5" w:rsidRPr="0004593F" w14:paraId="22DB2439" w14:textId="77777777" w:rsidTr="009363E5">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3C0F0E5C" w14:textId="77777777" w:rsidR="0004593F" w:rsidRPr="0004593F" w:rsidRDefault="0004593F" w:rsidP="009363E5">
            <w:pPr>
              <w:keepNext/>
              <w:spacing w:after="0"/>
              <w:contextualSpacing/>
              <w:jc w:val="both"/>
              <w:rPr>
                <w:rFonts w:cs="Calibri"/>
                <w:b/>
                <w:bCs/>
                <w:color w:val="000000"/>
                <w:sz w:val="20"/>
                <w:szCs w:val="20"/>
                <w:lang w:eastAsia="cs-CZ"/>
              </w:rPr>
            </w:pPr>
            <w:r w:rsidRPr="0004593F">
              <w:rPr>
                <w:rFonts w:cs="Calibri"/>
                <w:b/>
                <w:bCs/>
                <w:color w:val="000000"/>
                <w:sz w:val="20"/>
                <w:szCs w:val="20"/>
                <w:lang w:eastAsia="cs-CZ"/>
              </w:rPr>
              <w:t>Příjmy (skutečnost)</w:t>
            </w:r>
          </w:p>
        </w:tc>
        <w:tc>
          <w:tcPr>
            <w:tcW w:w="1587" w:type="dxa"/>
            <w:tcBorders>
              <w:top w:val="nil"/>
              <w:left w:val="nil"/>
              <w:bottom w:val="single" w:sz="4" w:space="0" w:color="auto"/>
              <w:right w:val="single" w:sz="4" w:space="0" w:color="auto"/>
            </w:tcBorders>
            <w:shd w:val="clear" w:color="auto" w:fill="auto"/>
            <w:noWrap/>
            <w:vAlign w:val="center"/>
          </w:tcPr>
          <w:p w14:paraId="28A6A39C"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25 600 290 343,08</w:t>
            </w:r>
          </w:p>
        </w:tc>
        <w:tc>
          <w:tcPr>
            <w:tcW w:w="1587" w:type="dxa"/>
            <w:tcBorders>
              <w:top w:val="nil"/>
              <w:left w:val="nil"/>
              <w:bottom w:val="single" w:sz="4" w:space="0" w:color="auto"/>
              <w:right w:val="single" w:sz="4" w:space="0" w:color="auto"/>
            </w:tcBorders>
            <w:shd w:val="clear" w:color="auto" w:fill="auto"/>
            <w:noWrap/>
            <w:vAlign w:val="center"/>
          </w:tcPr>
          <w:p w14:paraId="1BDF5664"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23 396 011 216,35</w:t>
            </w:r>
          </w:p>
        </w:tc>
        <w:tc>
          <w:tcPr>
            <w:tcW w:w="1587" w:type="dxa"/>
            <w:tcBorders>
              <w:top w:val="nil"/>
              <w:left w:val="nil"/>
              <w:bottom w:val="single" w:sz="4" w:space="0" w:color="auto"/>
              <w:right w:val="single" w:sz="4" w:space="0" w:color="auto"/>
            </w:tcBorders>
            <w:shd w:val="clear" w:color="auto" w:fill="auto"/>
            <w:noWrap/>
            <w:vAlign w:val="center"/>
          </w:tcPr>
          <w:p w14:paraId="6201EF13"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14 680 641 273,37</w:t>
            </w:r>
          </w:p>
        </w:tc>
        <w:tc>
          <w:tcPr>
            <w:tcW w:w="1542" w:type="dxa"/>
            <w:tcBorders>
              <w:top w:val="nil"/>
              <w:left w:val="nil"/>
              <w:bottom w:val="single" w:sz="4" w:space="0" w:color="auto"/>
              <w:right w:val="single" w:sz="4" w:space="0" w:color="auto"/>
            </w:tcBorders>
            <w:shd w:val="clear" w:color="auto" w:fill="auto"/>
            <w:noWrap/>
            <w:vAlign w:val="center"/>
          </w:tcPr>
          <w:p w14:paraId="7F3DA74E"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5 988 904 648,75</w:t>
            </w:r>
          </w:p>
        </w:tc>
        <w:tc>
          <w:tcPr>
            <w:tcW w:w="1587" w:type="dxa"/>
            <w:tcBorders>
              <w:top w:val="nil"/>
              <w:left w:val="nil"/>
              <w:bottom w:val="single" w:sz="4" w:space="0" w:color="auto"/>
              <w:right w:val="single" w:sz="4" w:space="0" w:color="auto"/>
            </w:tcBorders>
            <w:vAlign w:val="center"/>
          </w:tcPr>
          <w:p w14:paraId="7B4861C1"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24 102 853 346,68</w:t>
            </w:r>
          </w:p>
        </w:tc>
      </w:tr>
      <w:tr w:rsidR="009363E5" w:rsidRPr="0004593F" w14:paraId="0418414F" w14:textId="77777777" w:rsidTr="009363E5">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4C0962F7" w14:textId="77777777" w:rsidR="0004593F" w:rsidRPr="0004593F" w:rsidRDefault="0004593F" w:rsidP="009363E5">
            <w:pPr>
              <w:keepNext/>
              <w:spacing w:after="0"/>
              <w:contextualSpacing/>
              <w:jc w:val="both"/>
              <w:rPr>
                <w:rFonts w:cs="Calibri"/>
                <w:b/>
                <w:bCs/>
                <w:color w:val="000000"/>
                <w:sz w:val="20"/>
                <w:szCs w:val="20"/>
                <w:lang w:eastAsia="cs-CZ"/>
              </w:rPr>
            </w:pPr>
            <w:r w:rsidRPr="0004593F">
              <w:rPr>
                <w:rFonts w:cs="Calibri"/>
                <w:b/>
                <w:bCs/>
                <w:color w:val="000000"/>
                <w:sz w:val="20"/>
                <w:szCs w:val="20"/>
                <w:lang w:eastAsia="cs-CZ"/>
              </w:rPr>
              <w:t>Výnosy celkem</w:t>
            </w:r>
          </w:p>
        </w:tc>
        <w:tc>
          <w:tcPr>
            <w:tcW w:w="1587" w:type="dxa"/>
            <w:tcBorders>
              <w:top w:val="nil"/>
              <w:left w:val="nil"/>
              <w:bottom w:val="single" w:sz="4" w:space="0" w:color="auto"/>
              <w:right w:val="single" w:sz="4" w:space="0" w:color="auto"/>
            </w:tcBorders>
            <w:shd w:val="clear" w:color="auto" w:fill="auto"/>
            <w:noWrap/>
            <w:vAlign w:val="center"/>
          </w:tcPr>
          <w:p w14:paraId="1F2689C8"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18 798 718 760,80</w:t>
            </w:r>
          </w:p>
        </w:tc>
        <w:tc>
          <w:tcPr>
            <w:tcW w:w="1587" w:type="dxa"/>
            <w:tcBorders>
              <w:top w:val="nil"/>
              <w:left w:val="nil"/>
              <w:bottom w:val="single" w:sz="4" w:space="0" w:color="auto"/>
              <w:right w:val="single" w:sz="4" w:space="0" w:color="auto"/>
            </w:tcBorders>
            <w:shd w:val="clear" w:color="auto" w:fill="auto"/>
            <w:noWrap/>
            <w:vAlign w:val="center"/>
          </w:tcPr>
          <w:p w14:paraId="24806E49"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24 455 415 530,10</w:t>
            </w:r>
          </w:p>
        </w:tc>
        <w:tc>
          <w:tcPr>
            <w:tcW w:w="1587" w:type="dxa"/>
            <w:tcBorders>
              <w:top w:val="nil"/>
              <w:left w:val="nil"/>
              <w:bottom w:val="single" w:sz="4" w:space="0" w:color="auto"/>
              <w:right w:val="single" w:sz="4" w:space="0" w:color="auto"/>
            </w:tcBorders>
            <w:shd w:val="clear" w:color="auto" w:fill="auto"/>
            <w:noWrap/>
            <w:vAlign w:val="center"/>
          </w:tcPr>
          <w:p w14:paraId="6E13BBEF"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17 314 439 643,98</w:t>
            </w:r>
          </w:p>
        </w:tc>
        <w:tc>
          <w:tcPr>
            <w:tcW w:w="1542" w:type="dxa"/>
            <w:tcBorders>
              <w:top w:val="nil"/>
              <w:left w:val="nil"/>
              <w:bottom w:val="single" w:sz="4" w:space="0" w:color="auto"/>
              <w:right w:val="single" w:sz="4" w:space="0" w:color="auto"/>
            </w:tcBorders>
            <w:shd w:val="clear" w:color="auto" w:fill="auto"/>
            <w:noWrap/>
            <w:vAlign w:val="center"/>
          </w:tcPr>
          <w:p w14:paraId="061DC2BA"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4 261 277 557,16</w:t>
            </w:r>
          </w:p>
        </w:tc>
        <w:tc>
          <w:tcPr>
            <w:tcW w:w="1587" w:type="dxa"/>
            <w:tcBorders>
              <w:top w:val="nil"/>
              <w:left w:val="nil"/>
              <w:bottom w:val="single" w:sz="4" w:space="0" w:color="auto"/>
              <w:right w:val="single" w:sz="4" w:space="0" w:color="auto"/>
            </w:tcBorders>
            <w:vAlign w:val="center"/>
          </w:tcPr>
          <w:p w14:paraId="3EC419A2" w14:textId="77777777" w:rsidR="0004593F" w:rsidRPr="0004593F" w:rsidRDefault="0004593F" w:rsidP="009363E5">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18 445 477 243,67</w:t>
            </w:r>
          </w:p>
        </w:tc>
      </w:tr>
    </w:tbl>
    <w:p w14:paraId="318E24EE" w14:textId="77777777" w:rsidR="0004593F" w:rsidRPr="0004593F" w:rsidRDefault="0004593F" w:rsidP="009363E5">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352B7EE6" w14:textId="77777777" w:rsidR="0004593F" w:rsidRPr="005F462F" w:rsidRDefault="0004593F" w:rsidP="0004593F">
      <w:pPr>
        <w:spacing w:after="0"/>
        <w:contextualSpacing/>
        <w:rPr>
          <w:rFonts w:cs="Calibri"/>
          <w:lang w:eastAsia="cs-CZ"/>
        </w:rPr>
      </w:pPr>
    </w:p>
    <w:p w14:paraId="60B01F7C" w14:textId="63709216" w:rsidR="0004593F" w:rsidRPr="005F462F" w:rsidRDefault="0004593F" w:rsidP="0004593F">
      <w:pPr>
        <w:spacing w:after="0"/>
        <w:contextualSpacing/>
        <w:jc w:val="both"/>
        <w:rPr>
          <w:rFonts w:eastAsia="Calibri" w:cs="Calibri"/>
        </w:rPr>
      </w:pPr>
      <w:r w:rsidRPr="005F462F">
        <w:rPr>
          <w:rFonts w:eastAsia="Calibri" w:cs="Calibri"/>
        </w:rPr>
        <w:t xml:space="preserve">Příjmy a výnosy se ve sledovaném období vyvíjely obdobně. V roce 2014 převyšovaly příjmy výnosy o 6,8 mld. Kč. Další výraznější převýšení příjmů nad výnosy následovalo v roce 2018, </w:t>
      </w:r>
      <w:r w:rsidR="00AA099C">
        <w:rPr>
          <w:rFonts w:eastAsia="Calibri" w:cs="Calibri"/>
        </w:rPr>
        <w:t>a to</w:t>
      </w:r>
      <w:r w:rsidRPr="005F462F">
        <w:rPr>
          <w:rFonts w:eastAsia="Calibri" w:cs="Calibri"/>
        </w:rPr>
        <w:t xml:space="preserve"> o 5,65 mld. Kč.</w:t>
      </w:r>
    </w:p>
    <w:p w14:paraId="5FB4C165" w14:textId="77777777" w:rsidR="0004593F" w:rsidRPr="005F462F" w:rsidRDefault="0004593F" w:rsidP="0004593F">
      <w:pPr>
        <w:spacing w:after="0"/>
        <w:contextualSpacing/>
        <w:jc w:val="both"/>
        <w:rPr>
          <w:rFonts w:eastAsia="Calibri" w:cs="Calibri"/>
        </w:rPr>
      </w:pPr>
    </w:p>
    <w:p w14:paraId="346C285E" w14:textId="446D14C0" w:rsidR="0004593F" w:rsidRPr="005F462F" w:rsidRDefault="0004593F" w:rsidP="0004593F">
      <w:pPr>
        <w:spacing w:after="0"/>
        <w:contextualSpacing/>
        <w:jc w:val="both"/>
        <w:rPr>
          <w:rFonts w:cs="Calibri"/>
          <w:lang w:eastAsia="cs-CZ"/>
        </w:rPr>
      </w:pPr>
      <w:r w:rsidRPr="005F462F">
        <w:rPr>
          <w:rFonts w:cs="Calibri"/>
        </w:rPr>
        <w:t xml:space="preserve">Nejvyšší příjmy tvořily v roce 2018 příjmy zatříděné rozpočtovou položkou 4218 – </w:t>
      </w:r>
      <w:r w:rsidRPr="005F462F">
        <w:rPr>
          <w:rFonts w:cs="Calibri"/>
          <w:i/>
        </w:rPr>
        <w:t>Investiční převody z Národního fondu.</w:t>
      </w:r>
      <w:r w:rsidRPr="005F462F">
        <w:rPr>
          <w:rFonts w:cs="Calibri"/>
        </w:rPr>
        <w:t xml:space="preserve"> Tyto příjmy dosáhly výše 21 541 456 645,73 Kč, tj. 89,37 % celkových příjmů. Druhou největší příjmovou položkou byla rozpočtová položka </w:t>
      </w:r>
      <w:r w:rsidR="005F462F">
        <w:rPr>
          <w:rFonts w:cs="Calibri"/>
        </w:rPr>
        <w:br/>
      </w:r>
      <w:r w:rsidRPr="005F462F">
        <w:rPr>
          <w:rFonts w:cs="Calibri"/>
        </w:rPr>
        <w:t xml:space="preserve">4118 – </w:t>
      </w:r>
      <w:r w:rsidRPr="005F462F">
        <w:rPr>
          <w:rFonts w:cs="Calibri"/>
          <w:i/>
        </w:rPr>
        <w:t>Neinvestiční převody z Národního fondu</w:t>
      </w:r>
      <w:r w:rsidRPr="005F462F">
        <w:rPr>
          <w:rFonts w:cs="Calibri"/>
        </w:rPr>
        <w:t>. Příjmy zatříděné touto rozpočtovou položkou byly ve výši 2 471 455 479,39 Kč, tj. 10,25 % celkových příjmů.</w:t>
      </w:r>
    </w:p>
    <w:p w14:paraId="5CD8659E" w14:textId="77777777" w:rsidR="005F462F" w:rsidRPr="005F462F" w:rsidRDefault="005F462F" w:rsidP="005F462F">
      <w:pPr>
        <w:spacing w:after="0"/>
        <w:contextualSpacing/>
        <w:jc w:val="both"/>
        <w:rPr>
          <w:rFonts w:eastAsia="Calibri" w:cs="Calibri"/>
        </w:rPr>
      </w:pPr>
    </w:p>
    <w:p w14:paraId="4C7BE702" w14:textId="426BB370" w:rsidR="0004593F" w:rsidRPr="005F462F" w:rsidRDefault="0004593F" w:rsidP="0004593F">
      <w:pPr>
        <w:spacing w:after="0"/>
        <w:contextualSpacing/>
        <w:jc w:val="both"/>
        <w:rPr>
          <w:rFonts w:eastAsia="Calibri" w:cs="Calibri"/>
        </w:rPr>
      </w:pPr>
      <w:r w:rsidRPr="005F462F">
        <w:rPr>
          <w:rFonts w:eastAsia="Calibri" w:cs="Calibri"/>
        </w:rPr>
        <w:lastRenderedPageBreak/>
        <w:t xml:space="preserve">Vývoji příjmů odpovídá vývoj výnosů. Největší podíl výnosů (99,59 %) tvořily v roce 2018 výnosy z transferů, a to zejména zůstatek účtu 675 – </w:t>
      </w:r>
      <w:r w:rsidRPr="005F462F">
        <w:rPr>
          <w:rFonts w:eastAsia="Calibri" w:cs="Calibri"/>
          <w:i/>
        </w:rPr>
        <w:t>Výnosy vybraných ústředních vládních institucí z předfinancování transferů</w:t>
      </w:r>
      <w:r w:rsidRPr="005F462F">
        <w:rPr>
          <w:rFonts w:eastAsia="Calibri" w:cs="Calibri"/>
        </w:rPr>
        <w:t xml:space="preserve">, který dosáhl částky ve výši 18 050 559 645,73 Kč, tj. 97,86 % celkových výnosů. Zbylou část výnosů z transferů tvořil zůstatek na účtu </w:t>
      </w:r>
      <w:r w:rsidR="005F462F">
        <w:rPr>
          <w:rFonts w:eastAsia="Calibri" w:cs="Calibri"/>
        </w:rPr>
        <w:br/>
      </w:r>
      <w:r w:rsidRPr="005F462F">
        <w:rPr>
          <w:rFonts w:eastAsia="Calibri" w:cs="Calibri"/>
        </w:rPr>
        <w:t xml:space="preserve">671 – </w:t>
      </w:r>
      <w:r w:rsidRPr="005F462F">
        <w:rPr>
          <w:rFonts w:eastAsia="Calibri" w:cs="Calibri"/>
          <w:i/>
        </w:rPr>
        <w:t>Výnosy vybraných ústředních vládních institucí z transferů</w:t>
      </w:r>
      <w:r w:rsidR="005F462F">
        <w:rPr>
          <w:rFonts w:eastAsia="Calibri" w:cs="Calibri"/>
        </w:rPr>
        <w:t xml:space="preserve"> ve výši 319 393 191,38 Kč, tj. </w:t>
      </w:r>
      <w:r w:rsidRPr="005F462F">
        <w:rPr>
          <w:rFonts w:eastAsia="Calibri" w:cs="Calibri"/>
        </w:rPr>
        <w:t>1,73</w:t>
      </w:r>
      <w:r w:rsidR="005F462F">
        <w:rPr>
          <w:rFonts w:eastAsia="Calibri" w:cs="Calibri"/>
        </w:rPr>
        <w:t> </w:t>
      </w:r>
      <w:r w:rsidRPr="005F462F">
        <w:rPr>
          <w:rFonts w:eastAsia="Calibri" w:cs="Calibri"/>
        </w:rPr>
        <w:t>% celkových výnosů.</w:t>
      </w:r>
    </w:p>
    <w:p w14:paraId="485A0367" w14:textId="77777777" w:rsidR="0004593F" w:rsidRPr="005F462F" w:rsidRDefault="0004593F" w:rsidP="0004593F">
      <w:pPr>
        <w:spacing w:after="0"/>
        <w:contextualSpacing/>
        <w:jc w:val="both"/>
        <w:rPr>
          <w:rFonts w:eastAsia="Calibri" w:cs="Calibri"/>
        </w:rPr>
      </w:pPr>
    </w:p>
    <w:p w14:paraId="404171CA" w14:textId="77777777" w:rsidR="0004593F" w:rsidRPr="005F462F" w:rsidRDefault="0004593F" w:rsidP="0004593F">
      <w:pPr>
        <w:spacing w:after="0"/>
        <w:contextualSpacing/>
        <w:jc w:val="both"/>
        <w:rPr>
          <w:rFonts w:eastAsia="Calibri" w:cs="Calibri"/>
          <w:b/>
        </w:rPr>
      </w:pPr>
      <w:r w:rsidRPr="005F462F">
        <w:rPr>
          <w:rFonts w:eastAsia="Calibri" w:cs="Calibri"/>
          <w:b/>
        </w:rPr>
        <w:t>V oblasti výnosů MMR bylo za rok 2018 zejména zjištěno, že:</w:t>
      </w:r>
    </w:p>
    <w:p w14:paraId="29B73763" w14:textId="607D0B72" w:rsidR="0004593F" w:rsidRPr="005F462F" w:rsidRDefault="0004593F" w:rsidP="00247A8C">
      <w:pPr>
        <w:pStyle w:val="Odstavecseseznamem"/>
        <w:numPr>
          <w:ilvl w:val="0"/>
          <w:numId w:val="13"/>
        </w:numPr>
        <w:spacing w:after="0"/>
        <w:ind w:left="284" w:hanging="284"/>
        <w:jc w:val="both"/>
        <w:rPr>
          <w:rFonts w:eastAsia="Calibri" w:cs="Calibri"/>
          <w:b/>
        </w:rPr>
      </w:pPr>
      <w:r w:rsidRPr="005F462F">
        <w:rPr>
          <w:rFonts w:cs="Calibri"/>
          <w:b/>
        </w:rPr>
        <w:t>MMR o výnosech z titulu předfinancování transferů poskytnutých příspěvkové organizaci Centru</w:t>
      </w:r>
      <w:r w:rsidR="00AA099C">
        <w:rPr>
          <w:rFonts w:cs="Calibri"/>
          <w:b/>
        </w:rPr>
        <w:t>m</w:t>
      </w:r>
      <w:r w:rsidRPr="005F462F">
        <w:rPr>
          <w:rFonts w:cs="Calibri"/>
          <w:b/>
        </w:rPr>
        <w:t xml:space="preserve"> pro regionální rozvoj ČR účtovalo nesprávně na účtu 671 – </w:t>
      </w:r>
      <w:r w:rsidRPr="005F462F">
        <w:rPr>
          <w:rFonts w:cs="Calibri"/>
          <w:b/>
          <w:i/>
        </w:rPr>
        <w:t>Výnosy vybraných ústředních vládních institucí z transferů</w:t>
      </w:r>
      <w:r w:rsidRPr="005F462F">
        <w:rPr>
          <w:rFonts w:cs="Calibri"/>
          <w:b/>
        </w:rPr>
        <w:t xml:space="preserve"> namísto na účtu 675 – </w:t>
      </w:r>
      <w:r w:rsidRPr="005F462F">
        <w:rPr>
          <w:rFonts w:cs="Calibri"/>
          <w:b/>
          <w:i/>
        </w:rPr>
        <w:t>Výnosy vybraných ústředních vládních institucí z předfinancování transferů</w:t>
      </w:r>
      <w:r w:rsidRPr="005F462F">
        <w:rPr>
          <w:rFonts w:cs="Calibri"/>
          <w:b/>
        </w:rPr>
        <w:t>.</w:t>
      </w:r>
      <w:r w:rsidRPr="005F462F">
        <w:rPr>
          <w:rFonts w:eastAsia="Calibri" w:cs="Calibri"/>
          <w:b/>
          <w:highlight w:val="red"/>
        </w:rPr>
        <w:t xml:space="preserve"> </w:t>
      </w:r>
    </w:p>
    <w:p w14:paraId="74D4A51B" w14:textId="7606812E" w:rsidR="0004593F" w:rsidRPr="005F462F" w:rsidRDefault="0004593F" w:rsidP="00247A8C">
      <w:pPr>
        <w:pStyle w:val="Odstavecseseznamem"/>
        <w:numPr>
          <w:ilvl w:val="0"/>
          <w:numId w:val="13"/>
        </w:numPr>
        <w:spacing w:after="0"/>
        <w:ind w:left="284" w:hanging="284"/>
        <w:jc w:val="both"/>
        <w:rPr>
          <w:rFonts w:eastAsia="Calibri" w:cs="Calibri"/>
          <w:b/>
        </w:rPr>
      </w:pPr>
      <w:r w:rsidRPr="005F462F">
        <w:rPr>
          <w:rFonts w:eastAsia="Calibri" w:cs="Calibri"/>
          <w:b/>
        </w:rPr>
        <w:t xml:space="preserve">MMR o přijaté náhradě v minulosti vynaložených nákladů na transfery neúčtovalo výsledkově na účtu 675 – </w:t>
      </w:r>
      <w:r w:rsidRPr="005F462F">
        <w:rPr>
          <w:rFonts w:eastAsia="Calibri" w:cs="Calibri"/>
          <w:b/>
          <w:i/>
        </w:rPr>
        <w:t>Výnosy vybraných ústředních vládních institucí z předfinancování transferů.</w:t>
      </w:r>
    </w:p>
    <w:p w14:paraId="1CCEFC57" w14:textId="77777777" w:rsidR="0004593F" w:rsidRPr="005F462F" w:rsidRDefault="0004593F" w:rsidP="0004593F">
      <w:pPr>
        <w:spacing w:after="0"/>
        <w:contextualSpacing/>
        <w:jc w:val="both"/>
        <w:rPr>
          <w:rFonts w:eastAsia="Calibri" w:cs="Calibri"/>
          <w:b/>
        </w:rPr>
      </w:pPr>
    </w:p>
    <w:p w14:paraId="4BB34F13" w14:textId="77777777" w:rsidR="0004593F" w:rsidRPr="005F462F" w:rsidRDefault="0004593F" w:rsidP="0004593F">
      <w:pPr>
        <w:spacing w:after="0"/>
        <w:contextualSpacing/>
        <w:jc w:val="both"/>
        <w:rPr>
          <w:rFonts w:eastAsia="Calibri" w:cs="Calibri"/>
          <w:b/>
        </w:rPr>
      </w:pPr>
      <w:r w:rsidRPr="005F462F">
        <w:rPr>
          <w:rFonts w:eastAsia="Calibri" w:cs="Calibri"/>
          <w:b/>
        </w:rPr>
        <w:t xml:space="preserve">V důsledku těchto skutečností MMR v roce 2018 nadhodnotilo zůstatek účtu 671 – </w:t>
      </w:r>
      <w:r w:rsidRPr="005F462F">
        <w:rPr>
          <w:rFonts w:eastAsia="Calibri" w:cs="Calibri"/>
          <w:b/>
          <w:i/>
        </w:rPr>
        <w:t>Výnosy vybraných ústředních vládních institucí z transferů</w:t>
      </w:r>
      <w:r w:rsidRPr="005F462F">
        <w:rPr>
          <w:rFonts w:eastAsia="Calibri" w:cs="Calibri"/>
          <w:b/>
        </w:rPr>
        <w:t xml:space="preserve"> o </w:t>
      </w:r>
      <w:r w:rsidRPr="005F462F">
        <w:rPr>
          <w:rFonts w:cs="Calibri"/>
          <w:b/>
        </w:rPr>
        <w:t xml:space="preserve">15 952 658,82 Kč a podhodnotilo zůstatek účtu 675 </w:t>
      </w:r>
      <w:r w:rsidRPr="005F462F">
        <w:rPr>
          <w:rFonts w:eastAsia="Calibri" w:cs="Calibri"/>
          <w:b/>
        </w:rPr>
        <w:t xml:space="preserve">– </w:t>
      </w:r>
      <w:r w:rsidRPr="005F462F">
        <w:rPr>
          <w:rFonts w:eastAsia="Calibri" w:cs="Calibri"/>
          <w:b/>
          <w:i/>
        </w:rPr>
        <w:t>Výnosy vybraných ústředních vládních institucí z předfinancování transferů</w:t>
      </w:r>
      <w:r w:rsidRPr="005F462F">
        <w:rPr>
          <w:rFonts w:eastAsia="Calibri" w:cs="Calibri"/>
          <w:b/>
        </w:rPr>
        <w:t xml:space="preserve"> o 66 567 669,59 Kč.</w:t>
      </w:r>
    </w:p>
    <w:p w14:paraId="612F8C42" w14:textId="77777777" w:rsidR="00247A8C" w:rsidRPr="005F462F" w:rsidRDefault="00247A8C" w:rsidP="00D9229A">
      <w:pPr>
        <w:spacing w:after="0"/>
        <w:jc w:val="both"/>
      </w:pPr>
      <w:bookmarkStart w:id="31" w:name="_Toc520714827"/>
      <w:bookmarkEnd w:id="28"/>
      <w:bookmarkEnd w:id="29"/>
      <w:bookmarkEnd w:id="30"/>
    </w:p>
    <w:p w14:paraId="24C1BFB7" w14:textId="77777777" w:rsidR="00247A8C" w:rsidRPr="005F462F" w:rsidRDefault="00247A8C" w:rsidP="00247A8C">
      <w:pPr>
        <w:spacing w:after="0"/>
      </w:pPr>
    </w:p>
    <w:p w14:paraId="0839869E" w14:textId="210A3EF4" w:rsidR="0004593F" w:rsidRPr="00E73343" w:rsidRDefault="0004593F" w:rsidP="00D9229A">
      <w:pPr>
        <w:keepNext/>
        <w:spacing w:after="0"/>
        <w:ind w:left="567" w:hanging="567"/>
        <w:contextualSpacing/>
        <w:jc w:val="center"/>
        <w:outlineLvl w:val="1"/>
        <w:rPr>
          <w:rFonts w:eastAsia="Calibri" w:cs="Calibri"/>
          <w:b/>
          <w:szCs w:val="20"/>
        </w:rPr>
      </w:pPr>
      <w:r w:rsidRPr="00E73343">
        <w:rPr>
          <w:rFonts w:eastAsia="Calibri" w:cs="Calibri"/>
          <w:b/>
          <w:szCs w:val="20"/>
        </w:rPr>
        <w:t>Oddíl IV. Porovnání výdajů a nákladů v rozpočtové kapitole 317 MMR v letech 2014–2018</w:t>
      </w:r>
    </w:p>
    <w:p w14:paraId="6F185D78" w14:textId="77777777" w:rsidR="00D9229A" w:rsidRPr="005F462F" w:rsidRDefault="00D9229A" w:rsidP="00D9229A">
      <w:pPr>
        <w:keepNext/>
        <w:spacing w:after="0"/>
        <w:jc w:val="both"/>
      </w:pPr>
      <w:bookmarkStart w:id="32" w:name="_Toc8984528"/>
      <w:bookmarkStart w:id="33" w:name="_Toc33100900"/>
      <w:bookmarkStart w:id="34" w:name="_Toc520714180"/>
      <w:bookmarkStart w:id="35" w:name="_Toc6902526"/>
      <w:bookmarkStart w:id="36" w:name="_Toc18644616"/>
      <w:bookmarkEnd w:id="18"/>
      <w:bookmarkEnd w:id="19"/>
      <w:bookmarkEnd w:id="31"/>
    </w:p>
    <w:p w14:paraId="21EE213C" w14:textId="2A1707F6" w:rsidR="0004593F" w:rsidRPr="00E73343" w:rsidRDefault="0004593F" w:rsidP="00D9229A">
      <w:pPr>
        <w:keepNext/>
        <w:tabs>
          <w:tab w:val="right" w:pos="9070"/>
        </w:tabs>
        <w:spacing w:after="40"/>
        <w:rPr>
          <w:rFonts w:cs="Calibri"/>
          <w:b/>
          <w:iCs/>
          <w:szCs w:val="20"/>
        </w:rPr>
      </w:pPr>
      <w:r w:rsidRPr="00E73343">
        <w:rPr>
          <w:rFonts w:cs="Calibri"/>
          <w:b/>
          <w:iCs/>
          <w:szCs w:val="20"/>
        </w:rPr>
        <w:t xml:space="preserve">Tabulka č. </w:t>
      </w:r>
      <w:r w:rsidRPr="00E73343">
        <w:rPr>
          <w:rFonts w:cs="Calibri"/>
          <w:b/>
          <w:iCs/>
          <w:szCs w:val="20"/>
        </w:rPr>
        <w:fldChar w:fldCharType="begin"/>
      </w:r>
      <w:r w:rsidRPr="00E73343">
        <w:rPr>
          <w:rFonts w:cs="Calibri"/>
          <w:b/>
          <w:iCs/>
          <w:szCs w:val="20"/>
        </w:rPr>
        <w:instrText xml:space="preserve"> SEQ Tabulka \* ARABIC </w:instrText>
      </w:r>
      <w:r w:rsidRPr="00E73343">
        <w:rPr>
          <w:rFonts w:cs="Calibri"/>
          <w:b/>
          <w:iCs/>
          <w:szCs w:val="20"/>
        </w:rPr>
        <w:fldChar w:fldCharType="separate"/>
      </w:r>
      <w:r w:rsidR="00015BEA">
        <w:rPr>
          <w:rFonts w:cs="Calibri"/>
          <w:b/>
          <w:iCs/>
          <w:noProof/>
          <w:szCs w:val="20"/>
        </w:rPr>
        <w:t>7</w:t>
      </w:r>
      <w:r w:rsidRPr="00E73343">
        <w:rPr>
          <w:rFonts w:cs="Calibri"/>
          <w:b/>
          <w:iCs/>
          <w:szCs w:val="20"/>
        </w:rPr>
        <w:fldChar w:fldCharType="end"/>
      </w:r>
      <w:r w:rsidRPr="00E73343">
        <w:rPr>
          <w:rFonts w:cs="Calibri"/>
          <w:b/>
          <w:iCs/>
          <w:szCs w:val="20"/>
        </w:rPr>
        <w:t>: Porovnání výdajů a nákladů za MMR</w:t>
      </w:r>
      <w:r w:rsidRPr="00E73343">
        <w:rPr>
          <w:rFonts w:cs="Calibri"/>
          <w:b/>
          <w:iCs/>
          <w:szCs w:val="20"/>
        </w:rPr>
        <w:tab/>
        <w:t xml:space="preserve"> (v Kč)</w:t>
      </w:r>
      <w:bookmarkEnd w:id="32"/>
      <w:bookmarkEnd w:id="33"/>
    </w:p>
    <w:tbl>
      <w:tblPr>
        <w:tblW w:w="9157" w:type="dxa"/>
        <w:tblLayout w:type="fixed"/>
        <w:tblCellMar>
          <w:left w:w="70" w:type="dxa"/>
          <w:right w:w="70" w:type="dxa"/>
        </w:tblCellMar>
        <w:tblLook w:val="04A0" w:firstRow="1" w:lastRow="0" w:firstColumn="1" w:lastColumn="0" w:noHBand="0" w:noVBand="1"/>
      </w:tblPr>
      <w:tblGrid>
        <w:gridCol w:w="1191"/>
        <w:gridCol w:w="1616"/>
        <w:gridCol w:w="1616"/>
        <w:gridCol w:w="1616"/>
        <w:gridCol w:w="1502"/>
        <w:gridCol w:w="1616"/>
      </w:tblGrid>
      <w:tr w:rsidR="00E73343" w:rsidRPr="0004593F" w14:paraId="3F0F03F1" w14:textId="77777777" w:rsidTr="00E7334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77DB95D" w14:textId="77777777" w:rsidR="0004593F" w:rsidRPr="0004593F" w:rsidRDefault="0004593F" w:rsidP="00D9229A">
            <w:pPr>
              <w:keepNext/>
              <w:spacing w:after="0"/>
              <w:jc w:val="center"/>
              <w:rPr>
                <w:rFonts w:cs="Calibri"/>
                <w:b/>
                <w:bCs/>
                <w:color w:val="000000"/>
                <w:sz w:val="20"/>
                <w:szCs w:val="20"/>
                <w:lang w:eastAsia="cs-CZ"/>
              </w:rPr>
            </w:pPr>
            <w:r w:rsidRPr="0004593F">
              <w:rPr>
                <w:rFonts w:cs="Calibri"/>
                <w:b/>
                <w:bCs/>
                <w:color w:val="000000"/>
                <w:sz w:val="20"/>
                <w:szCs w:val="20"/>
                <w:lang w:eastAsia="cs-CZ"/>
              </w:rPr>
              <w:t>Ukazatel</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3D3CF1F6" w14:textId="77777777" w:rsidR="0004593F" w:rsidRPr="0004593F" w:rsidRDefault="0004593F" w:rsidP="00D9229A">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2014</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661B47A7" w14:textId="77777777" w:rsidR="0004593F" w:rsidRPr="0004593F" w:rsidRDefault="0004593F" w:rsidP="00D9229A">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2015</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3F98B0FA" w14:textId="77777777" w:rsidR="0004593F" w:rsidRPr="0004593F" w:rsidRDefault="0004593F" w:rsidP="00D9229A">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2016</w:t>
            </w:r>
          </w:p>
        </w:tc>
        <w:tc>
          <w:tcPr>
            <w:tcW w:w="1502" w:type="dxa"/>
            <w:tcBorders>
              <w:top w:val="single" w:sz="4" w:space="0" w:color="auto"/>
              <w:left w:val="nil"/>
              <w:bottom w:val="single" w:sz="4" w:space="0" w:color="auto"/>
              <w:right w:val="single" w:sz="4" w:space="0" w:color="auto"/>
            </w:tcBorders>
            <w:shd w:val="clear" w:color="auto" w:fill="E5F1FF"/>
            <w:noWrap/>
            <w:vAlign w:val="center"/>
            <w:hideMark/>
          </w:tcPr>
          <w:p w14:paraId="5FCA4275" w14:textId="77777777" w:rsidR="0004593F" w:rsidRPr="0004593F" w:rsidRDefault="0004593F" w:rsidP="00D9229A">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2017</w:t>
            </w:r>
          </w:p>
        </w:tc>
        <w:tc>
          <w:tcPr>
            <w:tcW w:w="1616" w:type="dxa"/>
            <w:tcBorders>
              <w:top w:val="single" w:sz="4" w:space="0" w:color="auto"/>
              <w:left w:val="nil"/>
              <w:bottom w:val="single" w:sz="4" w:space="0" w:color="auto"/>
              <w:right w:val="single" w:sz="4" w:space="0" w:color="auto"/>
            </w:tcBorders>
            <w:shd w:val="clear" w:color="auto" w:fill="E5F1FF"/>
            <w:vAlign w:val="center"/>
          </w:tcPr>
          <w:p w14:paraId="6D6461F6" w14:textId="77777777" w:rsidR="0004593F" w:rsidRPr="0004593F" w:rsidRDefault="0004593F" w:rsidP="00D9229A">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2018</w:t>
            </w:r>
          </w:p>
        </w:tc>
      </w:tr>
      <w:tr w:rsidR="00E73343" w:rsidRPr="0004593F" w14:paraId="48F72AC2" w14:textId="77777777" w:rsidTr="00E73343">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3E170BD8" w14:textId="77777777" w:rsidR="0004593F" w:rsidRPr="0004593F" w:rsidRDefault="0004593F" w:rsidP="00D9229A">
            <w:pPr>
              <w:keepNext/>
              <w:spacing w:after="0"/>
              <w:rPr>
                <w:rFonts w:cs="Calibri"/>
                <w:b/>
                <w:bCs/>
                <w:color w:val="000000"/>
                <w:sz w:val="20"/>
                <w:szCs w:val="20"/>
                <w:lang w:eastAsia="cs-CZ"/>
              </w:rPr>
            </w:pPr>
            <w:r w:rsidRPr="0004593F">
              <w:rPr>
                <w:rFonts w:cs="Calibri"/>
                <w:b/>
                <w:bCs/>
                <w:color w:val="000000"/>
                <w:sz w:val="20"/>
                <w:szCs w:val="20"/>
                <w:lang w:eastAsia="cs-CZ"/>
              </w:rPr>
              <w:t>Výdaje (skutečnost)</w:t>
            </w:r>
          </w:p>
        </w:tc>
        <w:tc>
          <w:tcPr>
            <w:tcW w:w="1616" w:type="dxa"/>
            <w:tcBorders>
              <w:top w:val="nil"/>
              <w:left w:val="nil"/>
              <w:bottom w:val="single" w:sz="4" w:space="0" w:color="auto"/>
              <w:right w:val="single" w:sz="4" w:space="0" w:color="auto"/>
            </w:tcBorders>
            <w:shd w:val="clear" w:color="auto" w:fill="auto"/>
            <w:noWrap/>
            <w:vAlign w:val="center"/>
          </w:tcPr>
          <w:p w14:paraId="152E2866"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20 191 698 996,69</w:t>
            </w:r>
          </w:p>
        </w:tc>
        <w:tc>
          <w:tcPr>
            <w:tcW w:w="1616" w:type="dxa"/>
            <w:tcBorders>
              <w:top w:val="nil"/>
              <w:left w:val="nil"/>
              <w:bottom w:val="single" w:sz="4" w:space="0" w:color="auto"/>
              <w:right w:val="single" w:sz="4" w:space="0" w:color="auto"/>
            </w:tcBorders>
            <w:shd w:val="clear" w:color="auto" w:fill="auto"/>
            <w:noWrap/>
            <w:vAlign w:val="center"/>
          </w:tcPr>
          <w:p w14:paraId="26D09D1C"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28 591 199 447,52</w:t>
            </w:r>
          </w:p>
        </w:tc>
        <w:tc>
          <w:tcPr>
            <w:tcW w:w="1616" w:type="dxa"/>
            <w:tcBorders>
              <w:top w:val="nil"/>
              <w:left w:val="nil"/>
              <w:bottom w:val="single" w:sz="4" w:space="0" w:color="auto"/>
              <w:right w:val="single" w:sz="4" w:space="0" w:color="auto"/>
            </w:tcBorders>
            <w:shd w:val="clear" w:color="auto" w:fill="auto"/>
            <w:noWrap/>
            <w:vAlign w:val="center"/>
          </w:tcPr>
          <w:p w14:paraId="2C27FCA9"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16 761 567 125,42</w:t>
            </w:r>
          </w:p>
        </w:tc>
        <w:tc>
          <w:tcPr>
            <w:tcW w:w="1502" w:type="dxa"/>
            <w:tcBorders>
              <w:top w:val="nil"/>
              <w:left w:val="nil"/>
              <w:bottom w:val="single" w:sz="4" w:space="0" w:color="auto"/>
              <w:right w:val="single" w:sz="4" w:space="0" w:color="auto"/>
            </w:tcBorders>
            <w:shd w:val="clear" w:color="auto" w:fill="auto"/>
            <w:noWrap/>
            <w:vAlign w:val="center"/>
          </w:tcPr>
          <w:p w14:paraId="1514AFCC"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7 419 382 572,27</w:t>
            </w:r>
          </w:p>
        </w:tc>
        <w:tc>
          <w:tcPr>
            <w:tcW w:w="1616" w:type="dxa"/>
            <w:tcBorders>
              <w:top w:val="nil"/>
              <w:left w:val="nil"/>
              <w:bottom w:val="single" w:sz="4" w:space="0" w:color="auto"/>
              <w:right w:val="single" w:sz="4" w:space="0" w:color="auto"/>
            </w:tcBorders>
            <w:vAlign w:val="center"/>
          </w:tcPr>
          <w:p w14:paraId="55A8D4C3"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22 088 488 436,90</w:t>
            </w:r>
          </w:p>
        </w:tc>
      </w:tr>
      <w:tr w:rsidR="00E73343" w:rsidRPr="0004593F" w14:paraId="5F9DC312" w14:textId="77777777" w:rsidTr="00E73343">
        <w:trPr>
          <w:trHeight w:val="255"/>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4D304039" w14:textId="77777777" w:rsidR="0004593F" w:rsidRPr="0004593F" w:rsidRDefault="0004593F" w:rsidP="00D9229A">
            <w:pPr>
              <w:keepNext/>
              <w:spacing w:after="0"/>
              <w:rPr>
                <w:rFonts w:cs="Calibri"/>
                <w:b/>
                <w:bCs/>
                <w:color w:val="000000"/>
                <w:sz w:val="20"/>
                <w:szCs w:val="20"/>
                <w:lang w:eastAsia="cs-CZ"/>
              </w:rPr>
            </w:pPr>
            <w:r w:rsidRPr="0004593F">
              <w:rPr>
                <w:rFonts w:cs="Calibri"/>
                <w:b/>
                <w:bCs/>
                <w:color w:val="000000"/>
                <w:sz w:val="20"/>
                <w:szCs w:val="20"/>
                <w:lang w:eastAsia="cs-CZ"/>
              </w:rPr>
              <w:t>Náklady celkem</w:t>
            </w:r>
          </w:p>
        </w:tc>
        <w:tc>
          <w:tcPr>
            <w:tcW w:w="1616" w:type="dxa"/>
            <w:tcBorders>
              <w:top w:val="nil"/>
              <w:left w:val="nil"/>
              <w:bottom w:val="single" w:sz="4" w:space="0" w:color="auto"/>
              <w:right w:val="single" w:sz="4" w:space="0" w:color="auto"/>
            </w:tcBorders>
            <w:shd w:val="clear" w:color="auto" w:fill="auto"/>
            <w:noWrap/>
            <w:vAlign w:val="center"/>
          </w:tcPr>
          <w:p w14:paraId="4F1CAC30"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19 876 165 705,09</w:t>
            </w:r>
          </w:p>
        </w:tc>
        <w:tc>
          <w:tcPr>
            <w:tcW w:w="1616" w:type="dxa"/>
            <w:tcBorders>
              <w:top w:val="nil"/>
              <w:left w:val="nil"/>
              <w:bottom w:val="single" w:sz="4" w:space="0" w:color="auto"/>
              <w:right w:val="single" w:sz="4" w:space="0" w:color="auto"/>
            </w:tcBorders>
            <w:shd w:val="clear" w:color="auto" w:fill="auto"/>
            <w:noWrap/>
            <w:vAlign w:val="center"/>
          </w:tcPr>
          <w:p w14:paraId="1A069358"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28 770 786 338,92</w:t>
            </w:r>
          </w:p>
        </w:tc>
        <w:tc>
          <w:tcPr>
            <w:tcW w:w="1616" w:type="dxa"/>
            <w:tcBorders>
              <w:top w:val="nil"/>
              <w:left w:val="nil"/>
              <w:bottom w:val="single" w:sz="4" w:space="0" w:color="auto"/>
              <w:right w:val="single" w:sz="4" w:space="0" w:color="auto"/>
            </w:tcBorders>
            <w:shd w:val="clear" w:color="auto" w:fill="auto"/>
            <w:noWrap/>
            <w:vAlign w:val="center"/>
          </w:tcPr>
          <w:p w14:paraId="094F4BA6"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16 753 286 469,79</w:t>
            </w:r>
          </w:p>
        </w:tc>
        <w:tc>
          <w:tcPr>
            <w:tcW w:w="1502" w:type="dxa"/>
            <w:tcBorders>
              <w:top w:val="nil"/>
              <w:left w:val="nil"/>
              <w:bottom w:val="single" w:sz="4" w:space="0" w:color="auto"/>
              <w:right w:val="single" w:sz="4" w:space="0" w:color="auto"/>
            </w:tcBorders>
            <w:shd w:val="clear" w:color="auto" w:fill="auto"/>
            <w:noWrap/>
            <w:vAlign w:val="center"/>
          </w:tcPr>
          <w:p w14:paraId="4215C704"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7 545 587 717,31</w:t>
            </w:r>
          </w:p>
        </w:tc>
        <w:tc>
          <w:tcPr>
            <w:tcW w:w="1616" w:type="dxa"/>
            <w:tcBorders>
              <w:top w:val="nil"/>
              <w:left w:val="nil"/>
              <w:bottom w:val="single" w:sz="4" w:space="0" w:color="auto"/>
              <w:right w:val="single" w:sz="4" w:space="0" w:color="auto"/>
            </w:tcBorders>
            <w:vAlign w:val="center"/>
          </w:tcPr>
          <w:p w14:paraId="5880C8A2" w14:textId="77777777" w:rsidR="0004593F" w:rsidRPr="0004593F" w:rsidRDefault="0004593F" w:rsidP="00D9229A">
            <w:pPr>
              <w:keepNext/>
              <w:spacing w:after="0"/>
              <w:ind w:left="-57"/>
              <w:jc w:val="right"/>
              <w:rPr>
                <w:rFonts w:eastAsia="Calibri" w:cs="Calibri"/>
                <w:color w:val="000000"/>
                <w:sz w:val="20"/>
                <w:szCs w:val="20"/>
              </w:rPr>
            </w:pPr>
            <w:r w:rsidRPr="0004593F">
              <w:rPr>
                <w:rFonts w:eastAsia="Calibri" w:cs="Calibri"/>
                <w:color w:val="000000"/>
                <w:sz w:val="20"/>
                <w:szCs w:val="20"/>
              </w:rPr>
              <w:t>22 345 950 217,52</w:t>
            </w:r>
          </w:p>
        </w:tc>
      </w:tr>
    </w:tbl>
    <w:p w14:paraId="425169AC" w14:textId="77777777" w:rsidR="0004593F" w:rsidRPr="0004593F" w:rsidRDefault="0004593F" w:rsidP="00D9229A">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4DAD8635" w14:textId="77777777" w:rsidR="00247A8C" w:rsidRPr="00E73343" w:rsidRDefault="00247A8C" w:rsidP="00E73343">
      <w:pPr>
        <w:spacing w:after="0"/>
      </w:pPr>
    </w:p>
    <w:p w14:paraId="3793EFDA" w14:textId="77777777" w:rsidR="0004593F" w:rsidRPr="00E73343" w:rsidRDefault="0004593F" w:rsidP="00E73343">
      <w:pPr>
        <w:spacing w:after="0"/>
        <w:jc w:val="both"/>
        <w:rPr>
          <w:rFonts w:eastAsia="Calibri" w:cs="Calibri"/>
        </w:rPr>
      </w:pPr>
      <w:r w:rsidRPr="00E73343">
        <w:rPr>
          <w:rFonts w:eastAsia="Calibri" w:cs="Calibri"/>
        </w:rPr>
        <w:t>Výdaje a náklady se ve sledovaném období vyvíjely téměř totožně. Náklady ve všech letech, kromě roku 2016, lehce převyšují nad výdaji.</w:t>
      </w:r>
    </w:p>
    <w:p w14:paraId="41654587" w14:textId="77777777" w:rsidR="0004593F" w:rsidRPr="00E73343" w:rsidRDefault="0004593F" w:rsidP="00E73343">
      <w:pPr>
        <w:spacing w:after="0"/>
        <w:jc w:val="both"/>
        <w:rPr>
          <w:rFonts w:eastAsia="Calibri" w:cs="Calibri"/>
        </w:rPr>
      </w:pPr>
    </w:p>
    <w:p w14:paraId="652922E2" w14:textId="0CD6D929" w:rsidR="0004593F" w:rsidRPr="00E73343" w:rsidRDefault="0004593F" w:rsidP="00E73343">
      <w:pPr>
        <w:spacing w:after="0"/>
        <w:jc w:val="both"/>
        <w:rPr>
          <w:rFonts w:cs="Calibri"/>
          <w:i/>
        </w:rPr>
      </w:pPr>
      <w:r w:rsidRPr="00E73343">
        <w:rPr>
          <w:rFonts w:cs="Calibri"/>
        </w:rPr>
        <w:t xml:space="preserve">Většina výdajů byla zatříděna do oddílu rozpočtové skladby 36 – </w:t>
      </w:r>
      <w:r w:rsidRPr="00E73343">
        <w:rPr>
          <w:rFonts w:cs="Calibri"/>
          <w:i/>
        </w:rPr>
        <w:t>Bydlení, komunální služby a územní rozvoj</w:t>
      </w:r>
      <w:r w:rsidRPr="00E73343">
        <w:rPr>
          <w:rFonts w:cs="Calibri"/>
        </w:rPr>
        <w:t xml:space="preserve">. V roce 2018 byl poprvé použit paragraf 3636 – </w:t>
      </w:r>
      <w:r w:rsidRPr="00E73343">
        <w:rPr>
          <w:rFonts w:cs="Calibri"/>
          <w:i/>
        </w:rPr>
        <w:t>Územní rozvoj</w:t>
      </w:r>
      <w:r w:rsidRPr="00E73343">
        <w:rPr>
          <w:rFonts w:cs="Calibri"/>
        </w:rPr>
        <w:t>. Nejvíce výdajů proběhlo právě v rámci tohoto paragrafu, který MMR začalo používat na základě zjištění NKÚ z KA č. 17/08, při které NKÚ konstatoval, že MMR v rozporu s přílohou vyhlášky č.</w:t>
      </w:r>
      <w:r w:rsidR="00D9229A">
        <w:rPr>
          <w:rFonts w:cs="Calibri"/>
        </w:rPr>
        <w:t> </w:t>
      </w:r>
      <w:r w:rsidRPr="00E73343">
        <w:rPr>
          <w:rFonts w:cs="Calibri"/>
        </w:rPr>
        <w:t>323/2002</w:t>
      </w:r>
      <w:r w:rsidR="00D9229A">
        <w:rPr>
          <w:rFonts w:cs="Calibri"/>
        </w:rPr>
        <w:t> </w:t>
      </w:r>
      <w:r w:rsidRPr="00E73343">
        <w:rPr>
          <w:rFonts w:cs="Calibri"/>
        </w:rPr>
        <w:t xml:space="preserve">Sb. zatřiďovalo dotace regionálním radám regionů soudržnosti, územním samosprávným celkům a příspěvkovým organizacím nesprávně na paragraf </w:t>
      </w:r>
      <w:r w:rsidR="00D9229A">
        <w:rPr>
          <w:rFonts w:cs="Calibri"/>
        </w:rPr>
        <w:br/>
      </w:r>
      <w:r w:rsidRPr="00E73343">
        <w:rPr>
          <w:rFonts w:cs="Calibri"/>
        </w:rPr>
        <w:t xml:space="preserve">3691 – </w:t>
      </w:r>
      <w:r w:rsidRPr="00E73343">
        <w:rPr>
          <w:rFonts w:cs="Calibri"/>
          <w:i/>
        </w:rPr>
        <w:t>Mezinárodní spolupráce v oblasti bydlení, komunálních služeb a územního rozvoje.</w:t>
      </w:r>
      <w:r w:rsidRPr="00E73343">
        <w:rPr>
          <w:rFonts w:cs="Calibri"/>
        </w:rPr>
        <w:t xml:space="preserve"> V rámci přijatého nápravného opatření MMR od roku 2018 zatřiďuje výdaje z titulu poskytnutí dotace ve prospěch národních subjektů zejména paragrafem 3636 – </w:t>
      </w:r>
      <w:r w:rsidRPr="00E73343">
        <w:rPr>
          <w:rFonts w:cs="Calibri"/>
          <w:i/>
        </w:rPr>
        <w:t>Územní rozvoj.</w:t>
      </w:r>
    </w:p>
    <w:p w14:paraId="4DA8AF7E" w14:textId="77777777" w:rsidR="00E73343" w:rsidRPr="00E73343" w:rsidRDefault="00E73343" w:rsidP="00E73343">
      <w:pPr>
        <w:spacing w:after="0"/>
        <w:jc w:val="both"/>
        <w:rPr>
          <w:rFonts w:eastAsia="Calibri" w:cs="Calibri"/>
        </w:rPr>
      </w:pPr>
    </w:p>
    <w:p w14:paraId="16B899B2" w14:textId="151E1DE9" w:rsidR="0004593F" w:rsidRPr="00E73343" w:rsidRDefault="0004593F" w:rsidP="00E73343">
      <w:pPr>
        <w:tabs>
          <w:tab w:val="right" w:pos="10064"/>
        </w:tabs>
        <w:spacing w:after="0"/>
        <w:jc w:val="both"/>
        <w:rPr>
          <w:rFonts w:cs="Calibri"/>
        </w:rPr>
      </w:pPr>
      <w:r w:rsidRPr="00E73343">
        <w:rPr>
          <w:rFonts w:cs="Calibri"/>
        </w:rPr>
        <w:t xml:space="preserve">Zůstatek paragrafu 3636 – </w:t>
      </w:r>
      <w:r w:rsidRPr="00E73343">
        <w:rPr>
          <w:rFonts w:cs="Calibri"/>
          <w:i/>
        </w:rPr>
        <w:t>Územní rozvoj</w:t>
      </w:r>
      <w:r w:rsidRPr="00E73343">
        <w:rPr>
          <w:rFonts w:cs="Calibri"/>
        </w:rPr>
        <w:t xml:space="preserve"> v roce 2018 </w:t>
      </w:r>
      <w:r w:rsidR="00AA099C">
        <w:rPr>
          <w:rFonts w:cs="Calibri"/>
        </w:rPr>
        <w:t>tvoří</w:t>
      </w:r>
      <w:r w:rsidRPr="00E73343">
        <w:rPr>
          <w:rFonts w:cs="Calibri"/>
        </w:rPr>
        <w:t xml:space="preserve"> největší část celkových výdajů, </w:t>
      </w:r>
      <w:r w:rsidR="00AA099C">
        <w:rPr>
          <w:rFonts w:cs="Calibri"/>
        </w:rPr>
        <w:t xml:space="preserve">a to </w:t>
      </w:r>
      <w:r w:rsidRPr="00E73343">
        <w:rPr>
          <w:rFonts w:cs="Calibri"/>
        </w:rPr>
        <w:t xml:space="preserve">18 973 267 113,79 Kč. Oproti roku 2017 došlo k významnému poklesu na paragrafu </w:t>
      </w:r>
      <w:r w:rsidR="00E73343">
        <w:rPr>
          <w:rFonts w:cs="Calibri"/>
        </w:rPr>
        <w:br/>
      </w:r>
      <w:r w:rsidRPr="00E73343">
        <w:rPr>
          <w:rFonts w:cs="Calibri"/>
        </w:rPr>
        <w:t xml:space="preserve">3691 – </w:t>
      </w:r>
      <w:r w:rsidRPr="00E73343">
        <w:rPr>
          <w:rFonts w:cs="Calibri"/>
          <w:i/>
        </w:rPr>
        <w:t xml:space="preserve">Mezinárodní spolupráce v oblasti bydlení, komunálních služeb a územního rozvoje </w:t>
      </w:r>
      <w:r w:rsidR="00E73343">
        <w:rPr>
          <w:rFonts w:cs="Calibri"/>
        </w:rPr>
        <w:lastRenderedPageBreak/>
        <w:t>o </w:t>
      </w:r>
      <w:r w:rsidRPr="00E73343">
        <w:rPr>
          <w:rFonts w:cs="Calibri"/>
        </w:rPr>
        <w:t xml:space="preserve">4,51 mld. Kč a k nárůstu na paragrafu 3661 </w:t>
      </w:r>
      <w:r w:rsidR="00AA099C">
        <w:rPr>
          <w:rFonts w:cs="Calibri"/>
        </w:rPr>
        <w:t>–</w:t>
      </w:r>
      <w:r w:rsidRPr="00E73343">
        <w:rPr>
          <w:rFonts w:cs="Calibri"/>
        </w:rPr>
        <w:t xml:space="preserve"> </w:t>
      </w:r>
      <w:r w:rsidRPr="00E73343">
        <w:rPr>
          <w:rFonts w:cs="Calibri"/>
          <w:i/>
        </w:rPr>
        <w:t xml:space="preserve">Činnost ústředního orgánu státní správy v oblasti bydlení, komunálních služeb a územního rozvoje </w:t>
      </w:r>
      <w:r w:rsidRPr="00E73343">
        <w:rPr>
          <w:rFonts w:cs="Calibri"/>
        </w:rPr>
        <w:t>o 1,27 mld. Kč.</w:t>
      </w:r>
    </w:p>
    <w:p w14:paraId="499B2C16" w14:textId="77777777" w:rsidR="00E73343" w:rsidRPr="00E73343" w:rsidRDefault="00E73343" w:rsidP="00E73343">
      <w:pPr>
        <w:spacing w:after="0"/>
        <w:jc w:val="both"/>
        <w:rPr>
          <w:rFonts w:eastAsia="Calibri" w:cs="Calibri"/>
        </w:rPr>
      </w:pPr>
    </w:p>
    <w:p w14:paraId="194B6352" w14:textId="77777777" w:rsidR="0004593F" w:rsidRPr="00E73343" w:rsidRDefault="0004593F" w:rsidP="00E73343">
      <w:pPr>
        <w:spacing w:after="0"/>
        <w:jc w:val="both"/>
        <w:rPr>
          <w:rFonts w:cs="Calibri"/>
          <w:i/>
        </w:rPr>
      </w:pPr>
      <w:r w:rsidRPr="00E73343">
        <w:rPr>
          <w:rFonts w:cs="Calibri"/>
        </w:rPr>
        <w:t xml:space="preserve">Druhým největším paragrafem je ústřední paragraf ministerstva 3661 – </w:t>
      </w:r>
      <w:r w:rsidRPr="00E73343">
        <w:rPr>
          <w:rFonts w:cs="Calibri"/>
          <w:i/>
        </w:rPr>
        <w:t>Činnost ústředního orgánu státní správy v oblasti bydlení, komunálních služeb a územního rozvoje.</w:t>
      </w:r>
    </w:p>
    <w:p w14:paraId="632CF078" w14:textId="77777777" w:rsidR="00E73343" w:rsidRPr="00E73343" w:rsidRDefault="00E73343" w:rsidP="00E73343">
      <w:pPr>
        <w:spacing w:after="0"/>
        <w:jc w:val="both"/>
        <w:rPr>
          <w:rFonts w:eastAsia="Calibri" w:cs="Calibri"/>
        </w:rPr>
      </w:pPr>
    </w:p>
    <w:p w14:paraId="0A17A558" w14:textId="77777777" w:rsidR="0004593F" w:rsidRPr="00E73343" w:rsidRDefault="0004593F" w:rsidP="00E73343">
      <w:pPr>
        <w:spacing w:after="0"/>
        <w:jc w:val="both"/>
        <w:rPr>
          <w:rFonts w:cs="Calibri"/>
        </w:rPr>
      </w:pPr>
      <w:r w:rsidRPr="00E73343">
        <w:rPr>
          <w:rFonts w:cs="Calibri"/>
        </w:rPr>
        <w:t xml:space="preserve">Vedle paragrafů v oddílu 36 používá MMR i paragraf 2143 – </w:t>
      </w:r>
      <w:r w:rsidRPr="00E73343">
        <w:rPr>
          <w:rFonts w:cs="Calibri"/>
          <w:i/>
        </w:rPr>
        <w:t>Cestovní ruch</w:t>
      </w:r>
      <w:r w:rsidRPr="00E73343">
        <w:rPr>
          <w:rFonts w:cs="Calibri"/>
        </w:rPr>
        <w:t>, kterým zatřiďuje například investiční a neinvestiční příspěvky své příspěvkové organizaci CzechTourism.</w:t>
      </w:r>
    </w:p>
    <w:p w14:paraId="76720878" w14:textId="77777777" w:rsidR="00E73343" w:rsidRPr="00E73343" w:rsidRDefault="00E73343" w:rsidP="00E73343">
      <w:pPr>
        <w:spacing w:after="0"/>
        <w:jc w:val="both"/>
        <w:rPr>
          <w:rFonts w:eastAsia="Calibri" w:cs="Calibri"/>
        </w:rPr>
      </w:pPr>
    </w:p>
    <w:p w14:paraId="485C624B" w14:textId="525D869F" w:rsidR="0004593F" w:rsidRPr="00E73343" w:rsidRDefault="0004593F" w:rsidP="00E73343">
      <w:pPr>
        <w:spacing w:after="0"/>
        <w:jc w:val="both"/>
        <w:rPr>
          <w:rFonts w:eastAsia="Calibri" w:cs="Calibri"/>
        </w:rPr>
      </w:pPr>
      <w:r w:rsidRPr="00E73343">
        <w:rPr>
          <w:rFonts w:eastAsia="Calibri" w:cs="Calibri"/>
        </w:rPr>
        <w:t xml:space="preserve">Největší podíl nákladů (92,57 %) tvořily v roce 2018 náklady na transfery, a to zejména zůstatek účtu 575 – </w:t>
      </w:r>
      <w:r w:rsidRPr="00E73343">
        <w:rPr>
          <w:rFonts w:eastAsia="Calibri" w:cs="Calibri"/>
          <w:i/>
        </w:rPr>
        <w:t>Náklady vybraných ústředních vládních institucí na předfinancování transferů</w:t>
      </w:r>
      <w:r w:rsidRPr="00E73343">
        <w:rPr>
          <w:rFonts w:eastAsia="Calibri" w:cs="Calibri"/>
        </w:rPr>
        <w:t xml:space="preserve">, který dosáhl částky 18 358 404 121,96 Kč, tj. 82,16 % celkových nákladů. Zbylou část nákladů na transfery tvořil zejména zůstatek účtu 571 – </w:t>
      </w:r>
      <w:r w:rsidRPr="00E73343">
        <w:rPr>
          <w:rFonts w:eastAsia="Calibri" w:cs="Calibri"/>
          <w:i/>
        </w:rPr>
        <w:t>Náklady vybraných ústředních vládních institucí na transfery</w:t>
      </w:r>
      <w:r w:rsidRPr="00E73343">
        <w:rPr>
          <w:rFonts w:eastAsia="Calibri" w:cs="Calibri"/>
        </w:rPr>
        <w:t xml:space="preserve"> ve výši 2 327 595 128,82 Kč, tj. 10,42 % celkových nákladů.</w:t>
      </w:r>
    </w:p>
    <w:p w14:paraId="1B33A4F3" w14:textId="77777777" w:rsidR="0004593F" w:rsidRPr="00E73343" w:rsidRDefault="0004593F" w:rsidP="00E73343">
      <w:pPr>
        <w:spacing w:after="0"/>
        <w:jc w:val="both"/>
        <w:rPr>
          <w:rFonts w:eastAsia="Calibri" w:cs="Calibri"/>
        </w:rPr>
      </w:pPr>
    </w:p>
    <w:p w14:paraId="274BBF9E" w14:textId="4E4714E7" w:rsidR="0004593F" w:rsidRPr="00E73343" w:rsidRDefault="0004593F" w:rsidP="00E73343">
      <w:pPr>
        <w:spacing w:after="0"/>
        <w:jc w:val="both"/>
        <w:rPr>
          <w:rFonts w:eastAsia="Calibri" w:cs="Calibri"/>
          <w:b/>
        </w:rPr>
      </w:pPr>
      <w:r w:rsidRPr="00E73343">
        <w:rPr>
          <w:rFonts w:eastAsia="Calibri" w:cs="Calibri"/>
          <w:b/>
        </w:rPr>
        <w:t xml:space="preserve">Kontrolou bylo zjištěno, že MMR o podílu hrazeného ze státního rozpočtu v souvislosti s poskytováním dotací na projekty v rámci </w:t>
      </w:r>
      <w:r w:rsidR="00AA099C">
        <w:rPr>
          <w:rFonts w:eastAsia="Calibri" w:cs="Calibri"/>
          <w:b/>
        </w:rPr>
        <w:t>o</w:t>
      </w:r>
      <w:r w:rsidRPr="00E73343">
        <w:rPr>
          <w:rFonts w:eastAsia="Calibri" w:cs="Calibri"/>
          <w:b/>
        </w:rPr>
        <w:t xml:space="preserve">peračního programu </w:t>
      </w:r>
      <w:r w:rsidRPr="00D9255C">
        <w:rPr>
          <w:rFonts w:eastAsia="Calibri" w:cs="Calibri"/>
          <w:b/>
          <w:i/>
        </w:rPr>
        <w:t>Technická pomoc</w:t>
      </w:r>
      <w:r w:rsidRPr="00E73343">
        <w:rPr>
          <w:rFonts w:eastAsia="Calibri" w:cs="Calibri"/>
          <w:b/>
        </w:rPr>
        <w:t xml:space="preserve"> a </w:t>
      </w:r>
      <w:r w:rsidRPr="00D9255C">
        <w:rPr>
          <w:rFonts w:eastAsia="Calibri" w:cs="Calibri"/>
          <w:b/>
          <w:i/>
        </w:rPr>
        <w:t>Integrovaného regionálního operačního programu</w:t>
      </w:r>
      <w:r w:rsidRPr="00E73343">
        <w:rPr>
          <w:rFonts w:eastAsia="Calibri" w:cs="Calibri"/>
          <w:b/>
        </w:rPr>
        <w:t xml:space="preserve"> účtovalo v roce 2018 v celkové výši 659</w:t>
      </w:r>
      <w:r w:rsidR="00AA099C">
        <w:rPr>
          <w:rFonts w:eastAsia="Calibri" w:cs="Calibri"/>
          <w:b/>
        </w:rPr>
        <w:t> </w:t>
      </w:r>
      <w:r w:rsidRPr="00E73343">
        <w:rPr>
          <w:rFonts w:eastAsia="Calibri" w:cs="Calibri"/>
          <w:b/>
        </w:rPr>
        <w:t>054</w:t>
      </w:r>
      <w:r w:rsidR="00AA099C">
        <w:rPr>
          <w:rFonts w:eastAsia="Calibri" w:cs="Calibri"/>
          <w:b/>
        </w:rPr>
        <w:t> </w:t>
      </w:r>
      <w:r w:rsidRPr="00E73343">
        <w:rPr>
          <w:rFonts w:eastAsia="Calibri" w:cs="Calibri"/>
          <w:b/>
        </w:rPr>
        <w:t>899,73</w:t>
      </w:r>
      <w:r w:rsidR="00AA099C">
        <w:rPr>
          <w:rFonts w:eastAsia="Calibri" w:cs="Calibri"/>
          <w:b/>
        </w:rPr>
        <w:t> </w:t>
      </w:r>
      <w:r w:rsidRPr="00E73343">
        <w:rPr>
          <w:rFonts w:eastAsia="Calibri" w:cs="Calibri"/>
          <w:b/>
        </w:rPr>
        <w:t xml:space="preserve">Kč nesprávně na účtu 575 – </w:t>
      </w:r>
      <w:r w:rsidRPr="00E73343">
        <w:rPr>
          <w:rFonts w:eastAsia="Calibri" w:cs="Calibri"/>
          <w:b/>
          <w:i/>
        </w:rPr>
        <w:t>Náklady vybraných ústředních vládních institucí na</w:t>
      </w:r>
      <w:r w:rsidR="00AA099C">
        <w:rPr>
          <w:rFonts w:eastAsia="Calibri" w:cs="Calibri"/>
          <w:b/>
          <w:i/>
        </w:rPr>
        <w:t xml:space="preserve"> </w:t>
      </w:r>
      <w:r w:rsidRPr="00E73343">
        <w:rPr>
          <w:rFonts w:eastAsia="Calibri" w:cs="Calibri"/>
          <w:b/>
          <w:i/>
        </w:rPr>
        <w:t>předfinancování transferů</w:t>
      </w:r>
      <w:r w:rsidRPr="00E73343">
        <w:rPr>
          <w:rFonts w:eastAsia="Calibri" w:cs="Calibri"/>
          <w:b/>
        </w:rPr>
        <w:t xml:space="preserve"> namísto na účtu 571 – </w:t>
      </w:r>
      <w:r w:rsidRPr="00E73343">
        <w:rPr>
          <w:rFonts w:eastAsia="Calibri" w:cs="Calibri"/>
          <w:b/>
          <w:i/>
        </w:rPr>
        <w:t>Náklady vybraných ústředních vládních institucí na transfery</w:t>
      </w:r>
      <w:r w:rsidRPr="00E73343">
        <w:rPr>
          <w:rFonts w:eastAsia="Calibri" w:cs="Calibri"/>
          <w:b/>
        </w:rPr>
        <w:t xml:space="preserve">. Účet 575 – </w:t>
      </w:r>
      <w:r w:rsidRPr="00E73343">
        <w:rPr>
          <w:rFonts w:eastAsia="Calibri" w:cs="Calibri"/>
          <w:b/>
          <w:i/>
        </w:rPr>
        <w:t>Náklady vybraných ústředních vládních institucí na</w:t>
      </w:r>
      <w:r w:rsidR="00AA099C">
        <w:rPr>
          <w:rFonts w:eastAsia="Calibri" w:cs="Calibri"/>
          <w:b/>
          <w:i/>
        </w:rPr>
        <w:t xml:space="preserve"> </w:t>
      </w:r>
      <w:r w:rsidRPr="00E73343">
        <w:rPr>
          <w:rFonts w:eastAsia="Calibri" w:cs="Calibri"/>
          <w:b/>
          <w:i/>
        </w:rPr>
        <w:t xml:space="preserve">předfinancování transferů </w:t>
      </w:r>
      <w:r w:rsidRPr="00E73343">
        <w:rPr>
          <w:rFonts w:eastAsia="Calibri" w:cs="Calibri"/>
          <w:b/>
        </w:rPr>
        <w:t>je vyhláškou č. 410/2009 Sb. určen výhradně k vykazování předfinancování prostředků Evropské unie.</w:t>
      </w:r>
    </w:p>
    <w:p w14:paraId="33D13A04" w14:textId="77777777" w:rsidR="00247A8C" w:rsidRPr="00E73343" w:rsidRDefault="00247A8C" w:rsidP="00E73343">
      <w:pPr>
        <w:spacing w:after="0"/>
        <w:jc w:val="both"/>
        <w:rPr>
          <w:rFonts w:eastAsia="Calibri" w:cs="Calibri"/>
          <w:b/>
        </w:rPr>
      </w:pPr>
    </w:p>
    <w:p w14:paraId="2002D2DD" w14:textId="6C70E9AA" w:rsidR="0004593F" w:rsidRPr="00E73343" w:rsidRDefault="0004593F" w:rsidP="00E73343">
      <w:pPr>
        <w:spacing w:after="0"/>
        <w:jc w:val="both"/>
        <w:rPr>
          <w:rFonts w:eastAsia="Calibri" w:cs="Calibri"/>
          <w:b/>
        </w:rPr>
      </w:pPr>
      <w:r w:rsidRPr="00E73343">
        <w:rPr>
          <w:rFonts w:eastAsia="Calibri" w:cs="Calibri"/>
          <w:b/>
        </w:rPr>
        <w:t xml:space="preserve">V důsledku této skutečnosti MMR v roce 2018 nadhodnotilo zůstatek účtu 575 – </w:t>
      </w:r>
      <w:r w:rsidRPr="00E73343">
        <w:rPr>
          <w:rFonts w:eastAsia="Calibri" w:cs="Calibri"/>
          <w:b/>
          <w:i/>
        </w:rPr>
        <w:t>Náklady vybraných ústředních vládních institucí na předfinancování transferů</w:t>
      </w:r>
      <w:r w:rsidRPr="00E73343">
        <w:rPr>
          <w:rFonts w:eastAsia="Calibri" w:cs="Calibri"/>
          <w:b/>
        </w:rPr>
        <w:t xml:space="preserve"> o 659 054 899,73 Kč a</w:t>
      </w:r>
      <w:r w:rsidR="00AA099C">
        <w:rPr>
          <w:rFonts w:eastAsia="Calibri" w:cs="Calibri"/>
          <w:b/>
        </w:rPr>
        <w:t> </w:t>
      </w:r>
      <w:r w:rsidRPr="00E73343">
        <w:rPr>
          <w:rFonts w:eastAsia="Calibri" w:cs="Calibri"/>
          <w:b/>
        </w:rPr>
        <w:t xml:space="preserve">současně o stejnou částku podhodnotilo zůstatek účtu 571 – </w:t>
      </w:r>
      <w:r w:rsidRPr="00E73343">
        <w:rPr>
          <w:rFonts w:eastAsia="Calibri" w:cs="Calibri"/>
          <w:b/>
          <w:i/>
        </w:rPr>
        <w:t>Náklady vybraných ústředních vládních institucí na transfery</w:t>
      </w:r>
      <w:r w:rsidRPr="00E73343">
        <w:rPr>
          <w:rFonts w:eastAsia="Calibri" w:cs="Calibri"/>
          <w:b/>
        </w:rPr>
        <w:t>.</w:t>
      </w:r>
    </w:p>
    <w:bookmarkEnd w:id="34"/>
    <w:bookmarkEnd w:id="35"/>
    <w:bookmarkEnd w:id="36"/>
    <w:p w14:paraId="6441600C" w14:textId="77777777" w:rsidR="00247A8C" w:rsidRPr="00E73343" w:rsidRDefault="00247A8C" w:rsidP="00E73343">
      <w:pPr>
        <w:spacing w:after="0"/>
      </w:pPr>
    </w:p>
    <w:p w14:paraId="149FF642" w14:textId="77777777" w:rsidR="00247A8C" w:rsidRPr="00E73343" w:rsidRDefault="00247A8C" w:rsidP="00E73343">
      <w:pPr>
        <w:spacing w:after="0"/>
      </w:pPr>
    </w:p>
    <w:p w14:paraId="2DBF71E2" w14:textId="50C5E98C" w:rsidR="0004593F" w:rsidRPr="00E73343" w:rsidRDefault="0004593F" w:rsidP="00E73343">
      <w:pPr>
        <w:spacing w:after="0"/>
        <w:contextualSpacing/>
        <w:jc w:val="center"/>
        <w:outlineLvl w:val="1"/>
        <w:rPr>
          <w:rFonts w:eastAsia="Calibri" w:cs="Calibri"/>
          <w:b/>
        </w:rPr>
      </w:pPr>
      <w:r w:rsidRPr="00E73343">
        <w:rPr>
          <w:rFonts w:eastAsia="Calibri" w:cs="Calibri"/>
          <w:b/>
        </w:rPr>
        <w:t>Oddíl V. Tempa růstu příjmů a výnosů / výdajů a nákladů v rozpočtové kapitole 317 MMR</w:t>
      </w:r>
    </w:p>
    <w:p w14:paraId="539D90B3" w14:textId="77777777" w:rsidR="00247A8C" w:rsidRPr="00E73343" w:rsidRDefault="00247A8C" w:rsidP="00E73343">
      <w:pPr>
        <w:spacing w:after="0"/>
        <w:contextualSpacing/>
        <w:jc w:val="center"/>
        <w:outlineLvl w:val="1"/>
        <w:rPr>
          <w:rFonts w:eastAsia="Calibri" w:cs="Calibri"/>
          <w:b/>
        </w:rPr>
      </w:pPr>
    </w:p>
    <w:p w14:paraId="2480B788" w14:textId="687A44BD" w:rsidR="0004593F" w:rsidRPr="00E73343" w:rsidRDefault="0004593F" w:rsidP="00E73343">
      <w:pPr>
        <w:keepNext/>
        <w:tabs>
          <w:tab w:val="right" w:pos="10064"/>
        </w:tabs>
        <w:spacing w:after="40"/>
        <w:rPr>
          <w:rFonts w:cs="Calibri"/>
          <w:b/>
          <w:iCs/>
        </w:rPr>
      </w:pPr>
      <w:bookmarkStart w:id="37" w:name="_Toc520714325"/>
      <w:bookmarkStart w:id="38" w:name="_Toc8984532"/>
      <w:bookmarkStart w:id="39" w:name="_Toc33100910"/>
      <w:r w:rsidRPr="00E73343">
        <w:rPr>
          <w:rFonts w:cs="Calibri"/>
          <w:b/>
          <w:iCs/>
        </w:rPr>
        <w:t xml:space="preserve">Tabulka č. </w:t>
      </w:r>
      <w:r w:rsidRPr="00E73343">
        <w:rPr>
          <w:rFonts w:cs="Calibri"/>
          <w:b/>
          <w:iCs/>
        </w:rPr>
        <w:fldChar w:fldCharType="begin"/>
      </w:r>
      <w:r w:rsidRPr="00E73343">
        <w:rPr>
          <w:rFonts w:cs="Calibri"/>
          <w:b/>
          <w:iCs/>
        </w:rPr>
        <w:instrText xml:space="preserve"> SEQ Tabulka \* ARABIC </w:instrText>
      </w:r>
      <w:r w:rsidRPr="00E73343">
        <w:rPr>
          <w:rFonts w:cs="Calibri"/>
          <w:b/>
          <w:iCs/>
        </w:rPr>
        <w:fldChar w:fldCharType="separate"/>
      </w:r>
      <w:r w:rsidR="00015BEA">
        <w:rPr>
          <w:rFonts w:cs="Calibri"/>
          <w:b/>
          <w:iCs/>
          <w:noProof/>
        </w:rPr>
        <w:t>8</w:t>
      </w:r>
      <w:r w:rsidRPr="00E73343">
        <w:rPr>
          <w:rFonts w:cs="Calibri"/>
          <w:b/>
          <w:iCs/>
        </w:rPr>
        <w:fldChar w:fldCharType="end"/>
      </w:r>
      <w:r w:rsidRPr="00E73343">
        <w:rPr>
          <w:rFonts w:cs="Calibri"/>
          <w:b/>
          <w:iCs/>
        </w:rPr>
        <w:t xml:space="preserve">: Příjmy a výdaje MMR </w:t>
      </w:r>
      <w:r w:rsidRPr="00E73343">
        <w:rPr>
          <w:rFonts w:cs="Calibri"/>
          <w:b/>
          <w:iCs/>
        </w:rPr>
        <w:tab/>
        <w:t>(v Kč)</w:t>
      </w:r>
      <w:bookmarkEnd w:id="37"/>
      <w:bookmarkEnd w:id="38"/>
      <w:bookmarkEnd w:id="39"/>
    </w:p>
    <w:tbl>
      <w:tblPr>
        <w:tblW w:w="4998" w:type="pct"/>
        <w:jc w:val="center"/>
        <w:tblCellMar>
          <w:left w:w="70" w:type="dxa"/>
          <w:right w:w="70" w:type="dxa"/>
        </w:tblCellMar>
        <w:tblLook w:val="04A0" w:firstRow="1" w:lastRow="0" w:firstColumn="1" w:lastColumn="0" w:noHBand="0" w:noVBand="1"/>
      </w:tblPr>
      <w:tblGrid>
        <w:gridCol w:w="1318"/>
        <w:gridCol w:w="1644"/>
        <w:gridCol w:w="1644"/>
        <w:gridCol w:w="1644"/>
        <w:gridCol w:w="1542"/>
        <w:gridCol w:w="1264"/>
      </w:tblGrid>
      <w:tr w:rsidR="0004593F" w:rsidRPr="0004593F" w14:paraId="149F4D77" w14:textId="77777777" w:rsidTr="0026684F">
        <w:trPr>
          <w:trHeight w:val="255"/>
          <w:jc w:val="center"/>
        </w:trPr>
        <w:tc>
          <w:tcPr>
            <w:tcW w:w="779"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90D9A5E" w14:textId="77777777" w:rsidR="0004593F" w:rsidRPr="0004593F" w:rsidRDefault="0004593F" w:rsidP="0004593F">
            <w:pPr>
              <w:spacing w:after="0"/>
              <w:contextualSpacing/>
              <w:jc w:val="both"/>
              <w:rPr>
                <w:rFonts w:cs="Calibri"/>
                <w:b/>
                <w:bCs/>
                <w:color w:val="000000"/>
                <w:sz w:val="20"/>
                <w:szCs w:val="20"/>
                <w:lang w:eastAsia="cs-CZ"/>
              </w:rPr>
            </w:pPr>
            <w:r w:rsidRPr="0004593F">
              <w:rPr>
                <w:rFonts w:cs="Calibri"/>
                <w:b/>
                <w:bCs/>
                <w:color w:val="000000"/>
                <w:sz w:val="20"/>
                <w:szCs w:val="20"/>
                <w:lang w:eastAsia="cs-CZ"/>
              </w:rPr>
              <w:t>Ukazatel</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19E810AC"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76D44829"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48E13725"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843" w:type="pct"/>
            <w:tcBorders>
              <w:top w:val="single" w:sz="4" w:space="0" w:color="auto"/>
              <w:left w:val="nil"/>
              <w:bottom w:val="single" w:sz="4" w:space="0" w:color="auto"/>
              <w:right w:val="single" w:sz="4" w:space="0" w:color="auto"/>
            </w:tcBorders>
            <w:shd w:val="clear" w:color="auto" w:fill="E5F1FF"/>
            <w:noWrap/>
            <w:vAlign w:val="center"/>
            <w:hideMark/>
          </w:tcPr>
          <w:p w14:paraId="030D4FCD"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843" w:type="pct"/>
            <w:tcBorders>
              <w:top w:val="single" w:sz="4" w:space="0" w:color="auto"/>
              <w:left w:val="nil"/>
              <w:bottom w:val="single" w:sz="4" w:space="0" w:color="auto"/>
              <w:right w:val="single" w:sz="4" w:space="0" w:color="auto"/>
            </w:tcBorders>
            <w:shd w:val="clear" w:color="auto" w:fill="E5F1FF"/>
          </w:tcPr>
          <w:p w14:paraId="30BB1848"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46E7CEA9" w14:textId="77777777" w:rsidTr="0026684F">
        <w:trPr>
          <w:trHeight w:val="255"/>
          <w:jc w:val="center"/>
        </w:trPr>
        <w:tc>
          <w:tcPr>
            <w:tcW w:w="779" w:type="pct"/>
            <w:tcBorders>
              <w:top w:val="nil"/>
              <w:left w:val="single" w:sz="4" w:space="0" w:color="auto"/>
              <w:bottom w:val="single" w:sz="4" w:space="0" w:color="auto"/>
              <w:right w:val="single" w:sz="4" w:space="0" w:color="auto"/>
            </w:tcBorders>
            <w:shd w:val="clear" w:color="auto" w:fill="auto"/>
            <w:noWrap/>
            <w:vAlign w:val="center"/>
          </w:tcPr>
          <w:p w14:paraId="3E6B8767" w14:textId="77777777" w:rsidR="0004593F" w:rsidRPr="0004593F" w:rsidRDefault="0004593F" w:rsidP="0004593F">
            <w:pPr>
              <w:spacing w:after="0"/>
              <w:contextualSpacing/>
              <w:jc w:val="both"/>
              <w:rPr>
                <w:rFonts w:cs="Calibri"/>
                <w:bCs/>
                <w:color w:val="000000"/>
                <w:sz w:val="20"/>
                <w:szCs w:val="20"/>
                <w:lang w:eastAsia="cs-CZ"/>
              </w:rPr>
            </w:pPr>
            <w:r w:rsidRPr="0004593F">
              <w:rPr>
                <w:rFonts w:cs="Calibri"/>
                <w:bCs/>
                <w:color w:val="000000"/>
                <w:sz w:val="20"/>
                <w:szCs w:val="20"/>
                <w:lang w:eastAsia="cs-CZ"/>
              </w:rPr>
              <w:t>Příjmy celkem</w:t>
            </w:r>
          </w:p>
        </w:tc>
        <w:tc>
          <w:tcPr>
            <w:tcW w:w="845" w:type="pct"/>
            <w:tcBorders>
              <w:top w:val="nil"/>
              <w:left w:val="nil"/>
              <w:bottom w:val="single" w:sz="4" w:space="0" w:color="auto"/>
              <w:right w:val="single" w:sz="4" w:space="0" w:color="auto"/>
            </w:tcBorders>
            <w:shd w:val="clear" w:color="auto" w:fill="auto"/>
            <w:noWrap/>
            <w:vAlign w:val="center"/>
          </w:tcPr>
          <w:p w14:paraId="3E364499"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25 600 290 343,08</w:t>
            </w:r>
          </w:p>
        </w:tc>
        <w:tc>
          <w:tcPr>
            <w:tcW w:w="845" w:type="pct"/>
            <w:tcBorders>
              <w:top w:val="nil"/>
              <w:left w:val="nil"/>
              <w:bottom w:val="single" w:sz="4" w:space="0" w:color="auto"/>
              <w:right w:val="single" w:sz="4" w:space="0" w:color="auto"/>
            </w:tcBorders>
            <w:shd w:val="clear" w:color="auto" w:fill="auto"/>
            <w:noWrap/>
            <w:vAlign w:val="center"/>
          </w:tcPr>
          <w:p w14:paraId="42F274AD"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23 396 011 216,35</w:t>
            </w:r>
          </w:p>
        </w:tc>
        <w:tc>
          <w:tcPr>
            <w:tcW w:w="845" w:type="pct"/>
            <w:tcBorders>
              <w:top w:val="nil"/>
              <w:left w:val="nil"/>
              <w:bottom w:val="single" w:sz="4" w:space="0" w:color="auto"/>
              <w:right w:val="single" w:sz="4" w:space="0" w:color="auto"/>
            </w:tcBorders>
            <w:shd w:val="clear" w:color="auto" w:fill="auto"/>
            <w:noWrap/>
            <w:vAlign w:val="center"/>
          </w:tcPr>
          <w:p w14:paraId="6A72FB8B"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14 680 641 273,37</w:t>
            </w:r>
          </w:p>
        </w:tc>
        <w:tc>
          <w:tcPr>
            <w:tcW w:w="843" w:type="pct"/>
            <w:tcBorders>
              <w:top w:val="nil"/>
              <w:left w:val="nil"/>
              <w:bottom w:val="single" w:sz="4" w:space="0" w:color="auto"/>
              <w:right w:val="single" w:sz="4" w:space="0" w:color="auto"/>
            </w:tcBorders>
            <w:shd w:val="clear" w:color="auto" w:fill="auto"/>
            <w:noWrap/>
            <w:vAlign w:val="center"/>
          </w:tcPr>
          <w:p w14:paraId="5828F683"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5 988 904 648,75</w:t>
            </w:r>
          </w:p>
        </w:tc>
        <w:tc>
          <w:tcPr>
            <w:tcW w:w="843" w:type="pct"/>
            <w:tcBorders>
              <w:top w:val="nil"/>
              <w:left w:val="nil"/>
              <w:bottom w:val="single" w:sz="4" w:space="0" w:color="auto"/>
              <w:right w:val="single" w:sz="4" w:space="0" w:color="auto"/>
            </w:tcBorders>
            <w:vAlign w:val="center"/>
          </w:tcPr>
          <w:p w14:paraId="3685D276"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24 102 853 346,68</w:t>
            </w:r>
          </w:p>
        </w:tc>
      </w:tr>
      <w:tr w:rsidR="0004593F" w:rsidRPr="0004593F" w14:paraId="372BD768" w14:textId="77777777" w:rsidTr="0026684F">
        <w:trPr>
          <w:trHeight w:val="255"/>
          <w:jc w:val="center"/>
        </w:trPr>
        <w:tc>
          <w:tcPr>
            <w:tcW w:w="779" w:type="pct"/>
            <w:tcBorders>
              <w:top w:val="nil"/>
              <w:left w:val="single" w:sz="4" w:space="0" w:color="auto"/>
              <w:bottom w:val="single" w:sz="4" w:space="0" w:color="auto"/>
              <w:right w:val="single" w:sz="4" w:space="0" w:color="auto"/>
            </w:tcBorders>
            <w:shd w:val="clear" w:color="auto" w:fill="auto"/>
            <w:noWrap/>
            <w:vAlign w:val="center"/>
          </w:tcPr>
          <w:p w14:paraId="45F00269" w14:textId="77777777" w:rsidR="0004593F" w:rsidRPr="0004593F" w:rsidRDefault="0004593F" w:rsidP="0004593F">
            <w:pPr>
              <w:spacing w:after="0"/>
              <w:contextualSpacing/>
              <w:jc w:val="both"/>
              <w:rPr>
                <w:rFonts w:cs="Calibri"/>
                <w:bCs/>
                <w:color w:val="000000"/>
                <w:sz w:val="20"/>
                <w:szCs w:val="20"/>
                <w:lang w:eastAsia="cs-CZ"/>
              </w:rPr>
            </w:pPr>
            <w:r w:rsidRPr="0004593F">
              <w:rPr>
                <w:rFonts w:cs="Calibri"/>
                <w:bCs/>
                <w:color w:val="000000"/>
                <w:sz w:val="20"/>
                <w:szCs w:val="20"/>
                <w:lang w:eastAsia="cs-CZ"/>
              </w:rPr>
              <w:t>Výdaje celkem</w:t>
            </w:r>
          </w:p>
        </w:tc>
        <w:tc>
          <w:tcPr>
            <w:tcW w:w="845" w:type="pct"/>
            <w:tcBorders>
              <w:top w:val="nil"/>
              <w:left w:val="nil"/>
              <w:bottom w:val="single" w:sz="4" w:space="0" w:color="auto"/>
              <w:right w:val="single" w:sz="4" w:space="0" w:color="auto"/>
            </w:tcBorders>
            <w:shd w:val="clear" w:color="auto" w:fill="auto"/>
            <w:noWrap/>
            <w:vAlign w:val="center"/>
          </w:tcPr>
          <w:p w14:paraId="239947E5"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20 191 698 996,69</w:t>
            </w:r>
          </w:p>
        </w:tc>
        <w:tc>
          <w:tcPr>
            <w:tcW w:w="845" w:type="pct"/>
            <w:tcBorders>
              <w:top w:val="nil"/>
              <w:left w:val="nil"/>
              <w:bottom w:val="single" w:sz="4" w:space="0" w:color="auto"/>
              <w:right w:val="single" w:sz="4" w:space="0" w:color="auto"/>
            </w:tcBorders>
            <w:shd w:val="clear" w:color="auto" w:fill="auto"/>
            <w:noWrap/>
            <w:vAlign w:val="center"/>
          </w:tcPr>
          <w:p w14:paraId="4A67D630"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28 591 199 447,52</w:t>
            </w:r>
          </w:p>
        </w:tc>
        <w:tc>
          <w:tcPr>
            <w:tcW w:w="845" w:type="pct"/>
            <w:tcBorders>
              <w:top w:val="nil"/>
              <w:left w:val="nil"/>
              <w:bottom w:val="single" w:sz="4" w:space="0" w:color="auto"/>
              <w:right w:val="single" w:sz="4" w:space="0" w:color="auto"/>
            </w:tcBorders>
            <w:shd w:val="clear" w:color="auto" w:fill="auto"/>
            <w:noWrap/>
            <w:vAlign w:val="center"/>
          </w:tcPr>
          <w:p w14:paraId="0C90B98C"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16 761 567 125,42</w:t>
            </w:r>
          </w:p>
        </w:tc>
        <w:tc>
          <w:tcPr>
            <w:tcW w:w="843" w:type="pct"/>
            <w:tcBorders>
              <w:top w:val="nil"/>
              <w:left w:val="nil"/>
              <w:bottom w:val="single" w:sz="4" w:space="0" w:color="auto"/>
              <w:right w:val="single" w:sz="4" w:space="0" w:color="auto"/>
            </w:tcBorders>
            <w:shd w:val="clear" w:color="auto" w:fill="auto"/>
            <w:noWrap/>
            <w:vAlign w:val="center"/>
          </w:tcPr>
          <w:p w14:paraId="272AD5A0"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7 419 382 572,27</w:t>
            </w:r>
          </w:p>
        </w:tc>
        <w:tc>
          <w:tcPr>
            <w:tcW w:w="843" w:type="pct"/>
            <w:tcBorders>
              <w:top w:val="nil"/>
              <w:left w:val="nil"/>
              <w:bottom w:val="single" w:sz="4" w:space="0" w:color="auto"/>
              <w:right w:val="single" w:sz="4" w:space="0" w:color="auto"/>
            </w:tcBorders>
            <w:vAlign w:val="center"/>
          </w:tcPr>
          <w:p w14:paraId="31522395"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22 088 488 436,90</w:t>
            </w:r>
          </w:p>
        </w:tc>
      </w:tr>
    </w:tbl>
    <w:p w14:paraId="27F3872D" w14:textId="77777777" w:rsidR="0004593F" w:rsidRPr="0004593F" w:rsidRDefault="0004593F" w:rsidP="0026684F">
      <w:pPr>
        <w:spacing w:before="40" w:after="0"/>
        <w:jc w:val="both"/>
        <w:rPr>
          <w:rFonts w:cs="Calibri"/>
          <w:bCs/>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0CFFC943" w14:textId="77777777" w:rsidR="00247A8C" w:rsidRPr="00D9229A" w:rsidRDefault="00247A8C" w:rsidP="00247A8C">
      <w:pPr>
        <w:spacing w:after="0"/>
      </w:pPr>
      <w:bookmarkStart w:id="40" w:name="_Toc8984533"/>
      <w:bookmarkStart w:id="41" w:name="_Toc33100911"/>
    </w:p>
    <w:p w14:paraId="385DBFBE" w14:textId="6B8F96BD" w:rsidR="0004593F" w:rsidRPr="00D9229A" w:rsidRDefault="0004593F" w:rsidP="00D9229A">
      <w:pPr>
        <w:keepNext/>
        <w:tabs>
          <w:tab w:val="right" w:pos="10064"/>
        </w:tabs>
        <w:spacing w:after="40"/>
        <w:rPr>
          <w:rFonts w:cs="Calibri"/>
          <w:b/>
          <w:iCs/>
        </w:rPr>
      </w:pPr>
      <w:r w:rsidRPr="00D9229A">
        <w:rPr>
          <w:rFonts w:cs="Calibri"/>
          <w:b/>
          <w:iCs/>
        </w:rPr>
        <w:lastRenderedPageBreak/>
        <w:t xml:space="preserve">Tabulka č. </w:t>
      </w:r>
      <w:r w:rsidRPr="00D9229A">
        <w:rPr>
          <w:rFonts w:cs="Calibri"/>
          <w:b/>
          <w:iCs/>
        </w:rPr>
        <w:fldChar w:fldCharType="begin"/>
      </w:r>
      <w:r w:rsidRPr="00D9229A">
        <w:rPr>
          <w:rFonts w:cs="Calibri"/>
          <w:b/>
          <w:iCs/>
        </w:rPr>
        <w:instrText xml:space="preserve"> SEQ Tabulka \* ARABIC </w:instrText>
      </w:r>
      <w:r w:rsidRPr="00D9229A">
        <w:rPr>
          <w:rFonts w:cs="Calibri"/>
          <w:b/>
          <w:iCs/>
        </w:rPr>
        <w:fldChar w:fldCharType="separate"/>
      </w:r>
      <w:r w:rsidR="00015BEA">
        <w:rPr>
          <w:rFonts w:cs="Calibri"/>
          <w:b/>
          <w:iCs/>
          <w:noProof/>
        </w:rPr>
        <w:t>9</w:t>
      </w:r>
      <w:r w:rsidRPr="00D9229A">
        <w:rPr>
          <w:rFonts w:cs="Calibri"/>
          <w:b/>
          <w:iCs/>
        </w:rPr>
        <w:fldChar w:fldCharType="end"/>
      </w:r>
      <w:r w:rsidRPr="00D9229A">
        <w:rPr>
          <w:rFonts w:cs="Calibri"/>
          <w:b/>
          <w:iCs/>
        </w:rPr>
        <w:t>: Tempo růstu příjmů a výdajů MMR</w:t>
      </w:r>
      <w:bookmarkEnd w:id="40"/>
      <w:bookmarkEnd w:id="41"/>
    </w:p>
    <w:tbl>
      <w:tblPr>
        <w:tblW w:w="0" w:type="auto"/>
        <w:tblLayout w:type="fixed"/>
        <w:tblCellMar>
          <w:left w:w="70" w:type="dxa"/>
          <w:right w:w="70" w:type="dxa"/>
        </w:tblCellMar>
        <w:tblLook w:val="04A0" w:firstRow="1" w:lastRow="0" w:firstColumn="1" w:lastColumn="0" w:noHBand="0" w:noVBand="1"/>
      </w:tblPr>
      <w:tblGrid>
        <w:gridCol w:w="2381"/>
        <w:gridCol w:w="1587"/>
        <w:gridCol w:w="1644"/>
        <w:gridCol w:w="1644"/>
        <w:gridCol w:w="1644"/>
      </w:tblGrid>
      <w:tr w:rsidR="0004593F" w:rsidRPr="0004593F" w14:paraId="200D1FED" w14:textId="77777777" w:rsidTr="00B4276F">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F91BF60" w14:textId="0CFF1E10" w:rsidR="0004593F" w:rsidRPr="0004593F" w:rsidRDefault="0004593F" w:rsidP="00B4276F">
            <w:pPr>
              <w:keepNext/>
              <w:spacing w:after="0"/>
              <w:rPr>
                <w:rFonts w:cs="Calibri"/>
                <w:b/>
                <w:bCs/>
                <w:color w:val="000000"/>
                <w:sz w:val="20"/>
                <w:szCs w:val="20"/>
                <w:lang w:eastAsia="cs-CZ"/>
              </w:rPr>
            </w:pPr>
            <w:r w:rsidRPr="0004593F">
              <w:rPr>
                <w:rFonts w:cs="Calibri"/>
                <w:b/>
                <w:bCs/>
                <w:color w:val="000000"/>
                <w:sz w:val="20"/>
                <w:szCs w:val="20"/>
                <w:lang w:eastAsia="cs-CZ"/>
              </w:rPr>
              <w:t xml:space="preserve">Tempo růstu </w:t>
            </w:r>
            <w:r w:rsidR="00B4276F">
              <w:rPr>
                <w:rFonts w:cs="Calibri"/>
                <w:b/>
                <w:bCs/>
                <w:color w:val="000000"/>
                <w:sz w:val="20"/>
                <w:szCs w:val="20"/>
                <w:lang w:eastAsia="cs-CZ"/>
              </w:rPr>
              <w:br/>
            </w:r>
            <w:r w:rsidRPr="0004593F">
              <w:rPr>
                <w:rFonts w:cs="Calibri"/>
                <w:b/>
                <w:bCs/>
                <w:color w:val="000000"/>
                <w:sz w:val="20"/>
                <w:szCs w:val="20"/>
                <w:lang w:eastAsia="cs-CZ"/>
              </w:rPr>
              <w:t>(absolutní změna)</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1567C089" w14:textId="171C8483" w:rsidR="0004593F" w:rsidRPr="0004593F" w:rsidRDefault="0004593F" w:rsidP="00AA099C">
            <w:pPr>
              <w:keepNext/>
              <w:spacing w:after="0"/>
              <w:ind w:left="-57"/>
              <w:jc w:val="center"/>
              <w:rPr>
                <w:rFonts w:cs="Calibri"/>
                <w:b/>
                <w:bCs/>
                <w:color w:val="000000"/>
                <w:sz w:val="20"/>
                <w:szCs w:val="20"/>
                <w:lang w:eastAsia="cs-CZ"/>
              </w:rPr>
            </w:pPr>
            <w:r w:rsidRPr="0004593F">
              <w:rPr>
                <w:rFonts w:cs="Calibri"/>
                <w:b/>
                <w:bCs/>
                <w:color w:val="000000"/>
                <w:sz w:val="20"/>
                <w:szCs w:val="20"/>
                <w:lang w:eastAsia="cs-CZ"/>
              </w:rPr>
              <w:t>2015</w:t>
            </w:r>
            <w:r w:rsidR="00AA099C">
              <w:rPr>
                <w:rFonts w:cs="Calibri"/>
                <w:b/>
                <w:bCs/>
                <w:color w:val="000000"/>
                <w:sz w:val="20"/>
                <w:szCs w:val="20"/>
                <w:lang w:eastAsia="cs-CZ"/>
              </w:rPr>
              <w:t>–</w:t>
            </w:r>
            <w:r w:rsidRPr="0004593F">
              <w:rPr>
                <w:rFonts w:cs="Calibri"/>
                <w:b/>
                <w:bCs/>
                <w:color w:val="000000"/>
                <w:sz w:val="20"/>
                <w:szCs w:val="20"/>
                <w:lang w:eastAsia="cs-CZ"/>
              </w:rPr>
              <w:t>2014</w:t>
            </w:r>
          </w:p>
        </w:tc>
        <w:tc>
          <w:tcPr>
            <w:tcW w:w="1644" w:type="dxa"/>
            <w:tcBorders>
              <w:top w:val="single" w:sz="4" w:space="0" w:color="auto"/>
              <w:left w:val="nil"/>
              <w:bottom w:val="single" w:sz="4" w:space="0" w:color="auto"/>
              <w:right w:val="single" w:sz="4" w:space="0" w:color="auto"/>
            </w:tcBorders>
            <w:shd w:val="clear" w:color="auto" w:fill="E5F1FF"/>
            <w:noWrap/>
            <w:vAlign w:val="center"/>
            <w:hideMark/>
          </w:tcPr>
          <w:p w14:paraId="48520895" w14:textId="2118758F" w:rsidR="0004593F" w:rsidRPr="0004593F" w:rsidRDefault="0004593F" w:rsidP="00AA099C">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2016</w:t>
            </w:r>
            <w:r w:rsidR="00AA099C">
              <w:rPr>
                <w:rFonts w:cs="Calibri"/>
                <w:b/>
                <w:bCs/>
                <w:color w:val="000000"/>
                <w:sz w:val="20"/>
                <w:szCs w:val="20"/>
                <w:lang w:eastAsia="cs-CZ"/>
              </w:rPr>
              <w:t>–</w:t>
            </w:r>
            <w:r w:rsidRPr="0004593F">
              <w:rPr>
                <w:rFonts w:cs="Calibri"/>
                <w:b/>
                <w:bCs/>
                <w:color w:val="000000"/>
                <w:sz w:val="20"/>
                <w:szCs w:val="20"/>
                <w:lang w:eastAsia="cs-CZ"/>
              </w:rPr>
              <w:t>2015</w:t>
            </w:r>
          </w:p>
        </w:tc>
        <w:tc>
          <w:tcPr>
            <w:tcW w:w="1644" w:type="dxa"/>
            <w:tcBorders>
              <w:top w:val="single" w:sz="4" w:space="0" w:color="auto"/>
              <w:left w:val="nil"/>
              <w:bottom w:val="single" w:sz="4" w:space="0" w:color="auto"/>
              <w:right w:val="single" w:sz="4" w:space="0" w:color="auto"/>
            </w:tcBorders>
            <w:shd w:val="clear" w:color="auto" w:fill="E5F1FF"/>
            <w:noWrap/>
            <w:vAlign w:val="center"/>
            <w:hideMark/>
          </w:tcPr>
          <w:p w14:paraId="0E201A8B" w14:textId="709CA093" w:rsidR="0004593F" w:rsidRPr="0004593F" w:rsidRDefault="0004593F" w:rsidP="00AA099C">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2017</w:t>
            </w:r>
            <w:r w:rsidR="00AA099C">
              <w:rPr>
                <w:rFonts w:cs="Calibri"/>
                <w:b/>
                <w:bCs/>
                <w:color w:val="000000"/>
                <w:sz w:val="20"/>
                <w:szCs w:val="20"/>
                <w:lang w:eastAsia="cs-CZ"/>
              </w:rPr>
              <w:t>–</w:t>
            </w:r>
            <w:r w:rsidRPr="0004593F">
              <w:rPr>
                <w:rFonts w:cs="Calibri"/>
                <w:b/>
                <w:bCs/>
                <w:color w:val="000000"/>
                <w:sz w:val="20"/>
                <w:szCs w:val="20"/>
                <w:lang w:eastAsia="cs-CZ"/>
              </w:rPr>
              <w:t>2016</w:t>
            </w:r>
          </w:p>
        </w:tc>
        <w:tc>
          <w:tcPr>
            <w:tcW w:w="1644" w:type="dxa"/>
            <w:tcBorders>
              <w:top w:val="single" w:sz="4" w:space="0" w:color="auto"/>
              <w:left w:val="nil"/>
              <w:bottom w:val="single" w:sz="4" w:space="0" w:color="auto"/>
              <w:right w:val="single" w:sz="4" w:space="0" w:color="auto"/>
            </w:tcBorders>
            <w:shd w:val="clear" w:color="auto" w:fill="E5F1FF"/>
            <w:vAlign w:val="center"/>
          </w:tcPr>
          <w:p w14:paraId="00A6F4E2" w14:textId="3006DA13" w:rsidR="0004593F" w:rsidRPr="0004593F" w:rsidRDefault="0004593F" w:rsidP="00AA099C">
            <w:pPr>
              <w:keepNext/>
              <w:spacing w:after="0"/>
              <w:ind w:left="-57" w:right="-57"/>
              <w:jc w:val="center"/>
              <w:rPr>
                <w:rFonts w:cs="Calibri"/>
                <w:b/>
                <w:bCs/>
                <w:color w:val="000000"/>
                <w:sz w:val="20"/>
                <w:szCs w:val="20"/>
                <w:lang w:eastAsia="cs-CZ"/>
              </w:rPr>
            </w:pPr>
            <w:r w:rsidRPr="0004593F">
              <w:rPr>
                <w:rFonts w:cs="Calibri"/>
                <w:b/>
                <w:bCs/>
                <w:color w:val="000000"/>
                <w:sz w:val="20"/>
                <w:szCs w:val="20"/>
                <w:lang w:eastAsia="cs-CZ"/>
              </w:rPr>
              <w:t>2018</w:t>
            </w:r>
            <w:r w:rsidR="00AA099C">
              <w:rPr>
                <w:rFonts w:cs="Calibri"/>
                <w:b/>
                <w:bCs/>
                <w:color w:val="000000"/>
                <w:sz w:val="20"/>
                <w:szCs w:val="20"/>
                <w:lang w:eastAsia="cs-CZ"/>
              </w:rPr>
              <w:t>–</w:t>
            </w:r>
            <w:r w:rsidRPr="0004593F">
              <w:rPr>
                <w:rFonts w:cs="Calibri"/>
                <w:b/>
                <w:bCs/>
                <w:color w:val="000000"/>
                <w:sz w:val="20"/>
                <w:szCs w:val="20"/>
                <w:lang w:eastAsia="cs-CZ"/>
              </w:rPr>
              <w:t>2017</w:t>
            </w:r>
          </w:p>
        </w:tc>
      </w:tr>
      <w:tr w:rsidR="0004593F" w:rsidRPr="0004593F" w14:paraId="558DBA33" w14:textId="77777777" w:rsidTr="00B4276F">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E85D1" w14:textId="77777777" w:rsidR="0004593F" w:rsidRPr="0004593F" w:rsidRDefault="0004593F" w:rsidP="00B4276F">
            <w:pPr>
              <w:keepNext/>
              <w:spacing w:after="0"/>
              <w:rPr>
                <w:rFonts w:cs="Calibri"/>
                <w:bCs/>
                <w:color w:val="000000"/>
                <w:sz w:val="20"/>
                <w:szCs w:val="20"/>
                <w:lang w:eastAsia="cs-CZ"/>
              </w:rPr>
            </w:pPr>
            <w:r w:rsidRPr="0004593F">
              <w:rPr>
                <w:rFonts w:cs="Calibri"/>
                <w:bCs/>
                <w:color w:val="000000"/>
                <w:sz w:val="20"/>
                <w:szCs w:val="20"/>
                <w:lang w:eastAsia="cs-CZ"/>
              </w:rPr>
              <w:t>Příjmy (v Kč)</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0B0632E" w14:textId="77777777" w:rsidR="0004593F" w:rsidRPr="0004593F" w:rsidRDefault="0004593F" w:rsidP="00B4276F">
            <w:pPr>
              <w:keepNext/>
              <w:spacing w:after="0"/>
              <w:ind w:left="-57"/>
              <w:jc w:val="right"/>
              <w:rPr>
                <w:rFonts w:eastAsia="Calibri" w:cs="Calibri"/>
                <w:color w:val="000000"/>
                <w:sz w:val="20"/>
                <w:szCs w:val="20"/>
              </w:rPr>
            </w:pPr>
            <w:r w:rsidRPr="0004593F">
              <w:rPr>
                <w:rFonts w:eastAsia="Calibri" w:cs="Calibri"/>
                <w:color w:val="000000"/>
                <w:sz w:val="20"/>
                <w:szCs w:val="20"/>
              </w:rPr>
              <w:t>-2 204 279 126,73</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9D9990B" w14:textId="77777777" w:rsidR="0004593F" w:rsidRPr="0004593F" w:rsidRDefault="0004593F" w:rsidP="00B4276F">
            <w:pPr>
              <w:keepNext/>
              <w:spacing w:after="0"/>
              <w:ind w:left="-57" w:right="-57"/>
              <w:jc w:val="right"/>
              <w:rPr>
                <w:rFonts w:eastAsia="Calibri" w:cs="Calibri"/>
                <w:color w:val="000000"/>
                <w:sz w:val="20"/>
                <w:szCs w:val="20"/>
              </w:rPr>
            </w:pPr>
            <w:r w:rsidRPr="0004593F">
              <w:rPr>
                <w:rFonts w:eastAsia="Calibri" w:cs="Calibri"/>
                <w:color w:val="000000"/>
                <w:sz w:val="20"/>
                <w:szCs w:val="20"/>
              </w:rPr>
              <w:t>-8 715 369 942,98</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1BD0F51B" w14:textId="77777777" w:rsidR="0004593F" w:rsidRPr="0004593F" w:rsidRDefault="0004593F" w:rsidP="00B4276F">
            <w:pPr>
              <w:keepNext/>
              <w:spacing w:after="0"/>
              <w:ind w:left="-57" w:right="-57"/>
              <w:jc w:val="right"/>
              <w:rPr>
                <w:rFonts w:eastAsia="Calibri" w:cs="Calibri"/>
                <w:color w:val="000000"/>
                <w:sz w:val="20"/>
                <w:szCs w:val="20"/>
              </w:rPr>
            </w:pPr>
            <w:r w:rsidRPr="0004593F">
              <w:rPr>
                <w:rFonts w:eastAsia="Calibri" w:cs="Calibri"/>
                <w:color w:val="000000"/>
                <w:sz w:val="20"/>
                <w:szCs w:val="20"/>
              </w:rPr>
              <w:t>-8 691 736 624,62</w:t>
            </w:r>
          </w:p>
        </w:tc>
        <w:tc>
          <w:tcPr>
            <w:tcW w:w="1644" w:type="dxa"/>
            <w:tcBorders>
              <w:top w:val="single" w:sz="4" w:space="0" w:color="auto"/>
              <w:left w:val="nil"/>
              <w:bottom w:val="single" w:sz="4" w:space="0" w:color="auto"/>
              <w:right w:val="single" w:sz="4" w:space="0" w:color="auto"/>
            </w:tcBorders>
            <w:vAlign w:val="center"/>
          </w:tcPr>
          <w:p w14:paraId="3A57CE2F" w14:textId="77777777" w:rsidR="0004593F" w:rsidRPr="0004593F" w:rsidRDefault="0004593F" w:rsidP="00B4276F">
            <w:pPr>
              <w:keepNext/>
              <w:spacing w:after="0"/>
              <w:ind w:left="-57" w:right="-57"/>
              <w:jc w:val="right"/>
              <w:rPr>
                <w:rFonts w:eastAsia="Calibri" w:cs="Calibri"/>
                <w:color w:val="000000"/>
                <w:sz w:val="20"/>
                <w:szCs w:val="20"/>
              </w:rPr>
            </w:pPr>
            <w:r w:rsidRPr="0004593F">
              <w:rPr>
                <w:rFonts w:eastAsia="Calibri" w:cs="Calibri"/>
                <w:color w:val="000000"/>
                <w:sz w:val="20"/>
                <w:szCs w:val="20"/>
              </w:rPr>
              <w:t>18 113 948 697,93</w:t>
            </w:r>
          </w:p>
        </w:tc>
      </w:tr>
      <w:tr w:rsidR="0004593F" w:rsidRPr="0004593F" w14:paraId="0CA2262E" w14:textId="77777777" w:rsidTr="00B4276F">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D25DF" w14:textId="77777777" w:rsidR="0004593F" w:rsidRPr="0004593F" w:rsidRDefault="0004593F" w:rsidP="00B4276F">
            <w:pPr>
              <w:keepNext/>
              <w:spacing w:after="0"/>
              <w:rPr>
                <w:rFonts w:cs="Calibri"/>
                <w:bCs/>
                <w:color w:val="000000"/>
                <w:sz w:val="20"/>
                <w:szCs w:val="20"/>
                <w:lang w:eastAsia="cs-CZ"/>
              </w:rPr>
            </w:pPr>
            <w:r w:rsidRPr="0004593F">
              <w:rPr>
                <w:rFonts w:cs="Calibri"/>
                <w:bCs/>
                <w:color w:val="000000"/>
                <w:sz w:val="20"/>
                <w:szCs w:val="20"/>
                <w:lang w:eastAsia="cs-CZ"/>
              </w:rPr>
              <w:t>Výdaje (v Kč)</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1412B2B5" w14:textId="77777777" w:rsidR="0004593F" w:rsidRPr="0004593F" w:rsidRDefault="0004593F" w:rsidP="00B4276F">
            <w:pPr>
              <w:keepNext/>
              <w:spacing w:after="0"/>
              <w:ind w:left="-57"/>
              <w:jc w:val="right"/>
              <w:rPr>
                <w:rFonts w:eastAsia="Calibri" w:cs="Calibri"/>
                <w:color w:val="000000"/>
                <w:sz w:val="20"/>
                <w:szCs w:val="20"/>
              </w:rPr>
            </w:pPr>
            <w:r w:rsidRPr="0004593F">
              <w:rPr>
                <w:rFonts w:eastAsia="Calibri" w:cs="Calibri"/>
                <w:color w:val="000000"/>
                <w:sz w:val="20"/>
                <w:szCs w:val="20"/>
              </w:rPr>
              <w:t>8 399 500 450,83</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C5E834D" w14:textId="77777777" w:rsidR="0004593F" w:rsidRPr="0004593F" w:rsidRDefault="0004593F" w:rsidP="00B4276F">
            <w:pPr>
              <w:keepNext/>
              <w:spacing w:after="0"/>
              <w:ind w:left="-57" w:right="-57"/>
              <w:jc w:val="right"/>
              <w:rPr>
                <w:rFonts w:eastAsia="Calibri" w:cs="Calibri"/>
                <w:color w:val="000000"/>
                <w:sz w:val="20"/>
                <w:szCs w:val="20"/>
              </w:rPr>
            </w:pPr>
            <w:r w:rsidRPr="0004593F">
              <w:rPr>
                <w:rFonts w:eastAsia="Calibri" w:cs="Calibri"/>
                <w:color w:val="000000"/>
                <w:sz w:val="20"/>
                <w:szCs w:val="20"/>
              </w:rPr>
              <w:t>-11 829 632 322,10</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40DFE7A1" w14:textId="77777777" w:rsidR="0004593F" w:rsidRPr="0004593F" w:rsidRDefault="0004593F" w:rsidP="00B4276F">
            <w:pPr>
              <w:keepNext/>
              <w:spacing w:after="0"/>
              <w:ind w:left="-57" w:right="-57"/>
              <w:jc w:val="right"/>
              <w:rPr>
                <w:rFonts w:eastAsia="Calibri" w:cs="Calibri"/>
                <w:color w:val="000000"/>
                <w:sz w:val="20"/>
                <w:szCs w:val="20"/>
              </w:rPr>
            </w:pPr>
            <w:r w:rsidRPr="0004593F">
              <w:rPr>
                <w:rFonts w:eastAsia="Calibri" w:cs="Calibri"/>
                <w:color w:val="000000"/>
                <w:sz w:val="20"/>
                <w:szCs w:val="20"/>
              </w:rPr>
              <w:t>-9 342 184 553,15</w:t>
            </w:r>
          </w:p>
        </w:tc>
        <w:tc>
          <w:tcPr>
            <w:tcW w:w="1644" w:type="dxa"/>
            <w:tcBorders>
              <w:top w:val="single" w:sz="4" w:space="0" w:color="auto"/>
              <w:left w:val="nil"/>
              <w:bottom w:val="single" w:sz="4" w:space="0" w:color="auto"/>
              <w:right w:val="single" w:sz="4" w:space="0" w:color="auto"/>
            </w:tcBorders>
            <w:vAlign w:val="center"/>
          </w:tcPr>
          <w:p w14:paraId="68C5F057" w14:textId="77777777" w:rsidR="0004593F" w:rsidRPr="0004593F" w:rsidRDefault="0004593F" w:rsidP="00B4276F">
            <w:pPr>
              <w:keepNext/>
              <w:spacing w:after="0"/>
              <w:ind w:left="-57" w:right="-57"/>
              <w:jc w:val="right"/>
              <w:rPr>
                <w:rFonts w:eastAsia="Calibri" w:cs="Calibri"/>
                <w:color w:val="000000"/>
                <w:sz w:val="20"/>
                <w:szCs w:val="20"/>
              </w:rPr>
            </w:pPr>
            <w:r w:rsidRPr="0004593F">
              <w:rPr>
                <w:rFonts w:eastAsia="Calibri" w:cs="Calibri"/>
                <w:color w:val="000000"/>
                <w:sz w:val="20"/>
                <w:szCs w:val="20"/>
              </w:rPr>
              <w:t>14 669 105 864,63</w:t>
            </w:r>
          </w:p>
        </w:tc>
      </w:tr>
      <w:tr w:rsidR="0004593F" w:rsidRPr="0004593F" w14:paraId="3BF134FE" w14:textId="77777777" w:rsidTr="00B4276F">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439F6DC1" w14:textId="7963C96B" w:rsidR="0004593F" w:rsidRPr="0004593F" w:rsidRDefault="0004593F" w:rsidP="00B4276F">
            <w:pPr>
              <w:keepNext/>
              <w:spacing w:after="0"/>
              <w:rPr>
                <w:rFonts w:cs="Calibri"/>
                <w:b/>
                <w:bCs/>
                <w:color w:val="000000"/>
                <w:sz w:val="20"/>
                <w:szCs w:val="20"/>
                <w:lang w:eastAsia="cs-CZ"/>
              </w:rPr>
            </w:pPr>
            <w:r w:rsidRPr="0004593F">
              <w:rPr>
                <w:rFonts w:cs="Calibri"/>
                <w:b/>
                <w:bCs/>
                <w:color w:val="000000"/>
                <w:sz w:val="20"/>
                <w:szCs w:val="20"/>
                <w:lang w:eastAsia="cs-CZ"/>
              </w:rPr>
              <w:t>Tempo růstu v % (relativní změna)</w:t>
            </w:r>
            <w:r w:rsidR="00AA099C">
              <w:rPr>
                <w:rFonts w:cs="Calibri"/>
                <w:b/>
                <w:bCs/>
                <w:color w:val="000000"/>
                <w:sz w:val="20"/>
                <w:szCs w:val="20"/>
                <w:lang w:eastAsia="cs-CZ"/>
              </w:rPr>
              <w:t>,</w:t>
            </w:r>
            <w:r w:rsidRPr="0004593F">
              <w:rPr>
                <w:rFonts w:cs="Calibri"/>
                <w:b/>
                <w:bCs/>
                <w:color w:val="000000"/>
                <w:sz w:val="20"/>
                <w:szCs w:val="20"/>
                <w:lang w:eastAsia="cs-CZ"/>
              </w:rPr>
              <w:t xml:space="preserve"> (((x+1)-x)/x)*100</w:t>
            </w:r>
          </w:p>
        </w:tc>
        <w:tc>
          <w:tcPr>
            <w:tcW w:w="1587" w:type="dxa"/>
            <w:tcBorders>
              <w:top w:val="single" w:sz="4" w:space="0" w:color="auto"/>
              <w:left w:val="nil"/>
              <w:bottom w:val="single" w:sz="4" w:space="0" w:color="auto"/>
              <w:right w:val="single" w:sz="4" w:space="0" w:color="auto"/>
            </w:tcBorders>
            <w:shd w:val="clear" w:color="auto" w:fill="E5F1FF"/>
            <w:noWrap/>
            <w:vAlign w:val="center"/>
          </w:tcPr>
          <w:p w14:paraId="5642640C" w14:textId="77777777" w:rsidR="0004593F" w:rsidRPr="0004593F" w:rsidRDefault="0004593F" w:rsidP="00B4276F">
            <w:pPr>
              <w:keepNext/>
              <w:spacing w:after="0"/>
              <w:ind w:left="-57"/>
              <w:jc w:val="center"/>
              <w:rPr>
                <w:rFonts w:eastAsia="Calibri" w:cs="Calibri"/>
                <w:b/>
                <w:color w:val="000000"/>
                <w:sz w:val="20"/>
                <w:szCs w:val="20"/>
              </w:rPr>
            </w:pPr>
            <w:r w:rsidRPr="0004593F">
              <w:rPr>
                <w:rFonts w:eastAsia="Calibri" w:cs="Calibri"/>
                <w:b/>
                <w:color w:val="000000"/>
                <w:sz w:val="20"/>
                <w:szCs w:val="20"/>
              </w:rPr>
              <w:t>2015/2014</w:t>
            </w:r>
          </w:p>
        </w:tc>
        <w:tc>
          <w:tcPr>
            <w:tcW w:w="1644" w:type="dxa"/>
            <w:tcBorders>
              <w:top w:val="single" w:sz="4" w:space="0" w:color="auto"/>
              <w:left w:val="nil"/>
              <w:bottom w:val="single" w:sz="4" w:space="0" w:color="auto"/>
              <w:right w:val="single" w:sz="4" w:space="0" w:color="auto"/>
            </w:tcBorders>
            <w:shd w:val="clear" w:color="auto" w:fill="E5F1FF"/>
            <w:noWrap/>
            <w:vAlign w:val="center"/>
          </w:tcPr>
          <w:p w14:paraId="4C04FF85" w14:textId="77777777" w:rsidR="0004593F" w:rsidRPr="0004593F" w:rsidRDefault="0004593F" w:rsidP="00B4276F">
            <w:pPr>
              <w:keepNext/>
              <w:spacing w:after="0"/>
              <w:ind w:left="-57" w:right="-57"/>
              <w:jc w:val="center"/>
              <w:rPr>
                <w:rFonts w:eastAsia="Calibri" w:cs="Calibri"/>
                <w:b/>
                <w:color w:val="000000"/>
                <w:sz w:val="20"/>
                <w:szCs w:val="20"/>
              </w:rPr>
            </w:pPr>
            <w:r w:rsidRPr="0004593F">
              <w:rPr>
                <w:rFonts w:eastAsia="Calibri" w:cs="Calibri"/>
                <w:b/>
                <w:color w:val="000000"/>
                <w:sz w:val="20"/>
                <w:szCs w:val="20"/>
              </w:rPr>
              <w:t>2016/2015</w:t>
            </w:r>
          </w:p>
        </w:tc>
        <w:tc>
          <w:tcPr>
            <w:tcW w:w="1644" w:type="dxa"/>
            <w:tcBorders>
              <w:top w:val="single" w:sz="4" w:space="0" w:color="auto"/>
              <w:left w:val="nil"/>
              <w:bottom w:val="single" w:sz="4" w:space="0" w:color="auto"/>
              <w:right w:val="single" w:sz="4" w:space="0" w:color="auto"/>
            </w:tcBorders>
            <w:shd w:val="clear" w:color="auto" w:fill="E5F1FF"/>
            <w:noWrap/>
            <w:vAlign w:val="center"/>
          </w:tcPr>
          <w:p w14:paraId="76CB5F04" w14:textId="77777777" w:rsidR="0004593F" w:rsidRPr="0004593F" w:rsidRDefault="0004593F" w:rsidP="00B4276F">
            <w:pPr>
              <w:keepNext/>
              <w:spacing w:after="0"/>
              <w:ind w:left="-57" w:right="-57"/>
              <w:jc w:val="center"/>
              <w:rPr>
                <w:rFonts w:eastAsia="Calibri" w:cs="Calibri"/>
                <w:b/>
                <w:color w:val="000000"/>
                <w:sz w:val="20"/>
                <w:szCs w:val="20"/>
              </w:rPr>
            </w:pPr>
            <w:r w:rsidRPr="0004593F">
              <w:rPr>
                <w:rFonts w:eastAsia="Calibri" w:cs="Calibri"/>
                <w:b/>
                <w:color w:val="000000"/>
                <w:sz w:val="20"/>
                <w:szCs w:val="20"/>
              </w:rPr>
              <w:t>2017/2016</w:t>
            </w:r>
          </w:p>
        </w:tc>
        <w:tc>
          <w:tcPr>
            <w:tcW w:w="1644" w:type="dxa"/>
            <w:tcBorders>
              <w:top w:val="single" w:sz="4" w:space="0" w:color="auto"/>
              <w:left w:val="nil"/>
              <w:bottom w:val="single" w:sz="4" w:space="0" w:color="auto"/>
              <w:right w:val="single" w:sz="4" w:space="0" w:color="auto"/>
            </w:tcBorders>
            <w:shd w:val="clear" w:color="auto" w:fill="E5F1FF"/>
            <w:vAlign w:val="center"/>
          </w:tcPr>
          <w:p w14:paraId="73090427" w14:textId="77777777" w:rsidR="0004593F" w:rsidRPr="0004593F" w:rsidRDefault="0004593F" w:rsidP="00B4276F">
            <w:pPr>
              <w:keepNext/>
              <w:spacing w:after="0"/>
              <w:ind w:left="-57" w:right="-57"/>
              <w:jc w:val="center"/>
              <w:rPr>
                <w:rFonts w:eastAsia="Calibri" w:cs="Calibri"/>
                <w:b/>
                <w:color w:val="000000"/>
                <w:sz w:val="20"/>
                <w:szCs w:val="20"/>
              </w:rPr>
            </w:pPr>
            <w:r w:rsidRPr="0004593F">
              <w:rPr>
                <w:rFonts w:eastAsia="Calibri" w:cs="Calibri"/>
                <w:b/>
                <w:color w:val="000000"/>
                <w:sz w:val="20"/>
                <w:szCs w:val="20"/>
              </w:rPr>
              <w:t>2018/2017</w:t>
            </w:r>
          </w:p>
        </w:tc>
      </w:tr>
      <w:tr w:rsidR="0004593F" w:rsidRPr="0004593F" w14:paraId="2B2E2A22" w14:textId="77777777" w:rsidTr="00B4276F">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AD29C" w14:textId="77777777" w:rsidR="0004593F" w:rsidRPr="0004593F" w:rsidRDefault="0004593F" w:rsidP="00B4276F">
            <w:pPr>
              <w:keepNext/>
              <w:spacing w:after="0"/>
              <w:rPr>
                <w:rFonts w:cs="Calibri"/>
                <w:bCs/>
                <w:color w:val="000000"/>
                <w:sz w:val="20"/>
                <w:szCs w:val="20"/>
                <w:lang w:eastAsia="cs-CZ"/>
              </w:rPr>
            </w:pPr>
            <w:r w:rsidRPr="0004593F">
              <w:rPr>
                <w:rFonts w:cs="Calibri"/>
                <w:bCs/>
                <w:color w:val="000000"/>
                <w:sz w:val="20"/>
                <w:szCs w:val="20"/>
                <w:lang w:eastAsia="cs-CZ"/>
              </w:rPr>
              <w:t>Příjmy</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7BBE7872" w14:textId="77777777" w:rsidR="0004593F" w:rsidRPr="0004593F" w:rsidRDefault="0004593F" w:rsidP="00B4276F">
            <w:pPr>
              <w:keepNext/>
              <w:spacing w:after="0"/>
              <w:ind w:left="-57"/>
              <w:jc w:val="center"/>
              <w:rPr>
                <w:rFonts w:eastAsia="Calibri" w:cs="Calibri"/>
                <w:color w:val="000000"/>
                <w:sz w:val="20"/>
                <w:szCs w:val="20"/>
              </w:rPr>
            </w:pPr>
            <w:r w:rsidRPr="0004593F">
              <w:rPr>
                <w:rFonts w:eastAsia="Calibri" w:cs="Calibri"/>
                <w:color w:val="000000"/>
                <w:sz w:val="20"/>
                <w:szCs w:val="20"/>
              </w:rPr>
              <w:t>-8,61 %</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51F9C15" w14:textId="77777777" w:rsidR="0004593F" w:rsidRPr="0004593F" w:rsidRDefault="0004593F" w:rsidP="00B4276F">
            <w:pPr>
              <w:keepNext/>
              <w:spacing w:after="0"/>
              <w:ind w:left="-57" w:right="-57"/>
              <w:jc w:val="center"/>
              <w:rPr>
                <w:rFonts w:eastAsia="Calibri" w:cs="Calibri"/>
                <w:color w:val="000000"/>
                <w:sz w:val="20"/>
                <w:szCs w:val="20"/>
              </w:rPr>
            </w:pPr>
            <w:r w:rsidRPr="0004593F">
              <w:rPr>
                <w:rFonts w:eastAsia="Calibri" w:cs="Calibri"/>
                <w:color w:val="000000"/>
                <w:sz w:val="20"/>
                <w:szCs w:val="20"/>
              </w:rPr>
              <w:t>-37,25 %</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38B3B669" w14:textId="77777777" w:rsidR="0004593F" w:rsidRPr="0004593F" w:rsidRDefault="0004593F" w:rsidP="00B4276F">
            <w:pPr>
              <w:keepNext/>
              <w:spacing w:after="0"/>
              <w:ind w:left="-57" w:right="-57"/>
              <w:jc w:val="center"/>
              <w:rPr>
                <w:rFonts w:eastAsia="Calibri" w:cs="Calibri"/>
                <w:color w:val="000000"/>
                <w:sz w:val="20"/>
                <w:szCs w:val="20"/>
              </w:rPr>
            </w:pPr>
            <w:r w:rsidRPr="0004593F">
              <w:rPr>
                <w:rFonts w:eastAsia="Calibri" w:cs="Calibri"/>
                <w:color w:val="000000"/>
                <w:sz w:val="20"/>
                <w:szCs w:val="20"/>
              </w:rPr>
              <w:t>-59,21 %</w:t>
            </w:r>
          </w:p>
        </w:tc>
        <w:tc>
          <w:tcPr>
            <w:tcW w:w="1644" w:type="dxa"/>
            <w:tcBorders>
              <w:top w:val="single" w:sz="4" w:space="0" w:color="auto"/>
              <w:left w:val="nil"/>
              <w:bottom w:val="single" w:sz="4" w:space="0" w:color="auto"/>
              <w:right w:val="single" w:sz="4" w:space="0" w:color="auto"/>
            </w:tcBorders>
            <w:vAlign w:val="center"/>
          </w:tcPr>
          <w:p w14:paraId="61699962" w14:textId="77777777" w:rsidR="0004593F" w:rsidRPr="0004593F" w:rsidRDefault="0004593F" w:rsidP="00B4276F">
            <w:pPr>
              <w:keepNext/>
              <w:spacing w:after="0"/>
              <w:ind w:left="-57" w:right="-57"/>
              <w:jc w:val="center"/>
              <w:rPr>
                <w:rFonts w:eastAsia="Calibri" w:cs="Calibri"/>
                <w:color w:val="000000"/>
                <w:sz w:val="20"/>
                <w:szCs w:val="20"/>
              </w:rPr>
            </w:pPr>
            <w:r w:rsidRPr="0004593F">
              <w:rPr>
                <w:rFonts w:eastAsia="Calibri" w:cs="Calibri"/>
                <w:color w:val="000000"/>
                <w:sz w:val="20"/>
                <w:szCs w:val="20"/>
              </w:rPr>
              <w:t>302,46 %</w:t>
            </w:r>
          </w:p>
        </w:tc>
      </w:tr>
      <w:tr w:rsidR="0004593F" w:rsidRPr="0004593F" w14:paraId="3969E960" w14:textId="77777777" w:rsidTr="00B4276F">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3128D" w14:textId="77777777" w:rsidR="0004593F" w:rsidRPr="0004593F" w:rsidRDefault="0004593F" w:rsidP="00B4276F">
            <w:pPr>
              <w:keepNext/>
              <w:spacing w:after="0"/>
              <w:rPr>
                <w:rFonts w:cs="Calibri"/>
                <w:bCs/>
                <w:color w:val="000000"/>
                <w:sz w:val="20"/>
                <w:szCs w:val="20"/>
                <w:lang w:eastAsia="cs-CZ"/>
              </w:rPr>
            </w:pPr>
            <w:r w:rsidRPr="0004593F">
              <w:rPr>
                <w:rFonts w:cs="Calibri"/>
                <w:bCs/>
                <w:color w:val="000000"/>
                <w:sz w:val="20"/>
                <w:szCs w:val="20"/>
                <w:lang w:eastAsia="cs-CZ"/>
              </w:rPr>
              <w:t>Výdaje</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7BB678A" w14:textId="77777777" w:rsidR="0004593F" w:rsidRPr="0004593F" w:rsidRDefault="0004593F" w:rsidP="00B4276F">
            <w:pPr>
              <w:keepNext/>
              <w:spacing w:after="0"/>
              <w:ind w:left="-57"/>
              <w:jc w:val="center"/>
              <w:rPr>
                <w:rFonts w:eastAsia="Calibri" w:cs="Calibri"/>
                <w:color w:val="000000"/>
                <w:sz w:val="20"/>
                <w:szCs w:val="20"/>
              </w:rPr>
            </w:pPr>
            <w:r w:rsidRPr="0004593F">
              <w:rPr>
                <w:rFonts w:eastAsia="Calibri" w:cs="Calibri"/>
                <w:color w:val="000000"/>
                <w:sz w:val="20"/>
                <w:szCs w:val="20"/>
              </w:rPr>
              <w:t>41,60 %</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1B7FFB71" w14:textId="77777777" w:rsidR="0004593F" w:rsidRPr="0004593F" w:rsidRDefault="0004593F" w:rsidP="00B4276F">
            <w:pPr>
              <w:keepNext/>
              <w:spacing w:after="0"/>
              <w:ind w:left="-57" w:right="-57"/>
              <w:jc w:val="center"/>
              <w:rPr>
                <w:rFonts w:eastAsia="Calibri" w:cs="Calibri"/>
                <w:color w:val="000000"/>
                <w:sz w:val="20"/>
                <w:szCs w:val="20"/>
              </w:rPr>
            </w:pPr>
            <w:r w:rsidRPr="0004593F">
              <w:rPr>
                <w:rFonts w:eastAsia="Calibri" w:cs="Calibri"/>
                <w:color w:val="000000"/>
                <w:sz w:val="20"/>
                <w:szCs w:val="20"/>
              </w:rPr>
              <w:t>-41,38 %</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17DDDD85" w14:textId="77777777" w:rsidR="0004593F" w:rsidRPr="0004593F" w:rsidRDefault="0004593F" w:rsidP="00B4276F">
            <w:pPr>
              <w:keepNext/>
              <w:spacing w:after="0"/>
              <w:ind w:left="-57" w:right="-57"/>
              <w:jc w:val="center"/>
              <w:rPr>
                <w:rFonts w:eastAsia="Calibri" w:cs="Calibri"/>
                <w:color w:val="000000"/>
                <w:sz w:val="20"/>
                <w:szCs w:val="20"/>
              </w:rPr>
            </w:pPr>
            <w:r w:rsidRPr="0004593F">
              <w:rPr>
                <w:rFonts w:eastAsia="Calibri" w:cs="Calibri"/>
                <w:color w:val="000000"/>
                <w:sz w:val="20"/>
                <w:szCs w:val="20"/>
              </w:rPr>
              <w:t>-55,74 %</w:t>
            </w:r>
          </w:p>
        </w:tc>
        <w:tc>
          <w:tcPr>
            <w:tcW w:w="1644" w:type="dxa"/>
            <w:tcBorders>
              <w:top w:val="single" w:sz="4" w:space="0" w:color="auto"/>
              <w:left w:val="nil"/>
              <w:bottom w:val="single" w:sz="4" w:space="0" w:color="auto"/>
              <w:right w:val="single" w:sz="4" w:space="0" w:color="auto"/>
            </w:tcBorders>
            <w:vAlign w:val="center"/>
          </w:tcPr>
          <w:p w14:paraId="3587E506" w14:textId="77777777" w:rsidR="0004593F" w:rsidRPr="0004593F" w:rsidRDefault="0004593F" w:rsidP="00B4276F">
            <w:pPr>
              <w:keepNext/>
              <w:spacing w:after="0"/>
              <w:ind w:left="-57" w:right="-57"/>
              <w:jc w:val="center"/>
              <w:rPr>
                <w:rFonts w:eastAsia="Calibri" w:cs="Calibri"/>
                <w:color w:val="000000"/>
                <w:sz w:val="20"/>
                <w:szCs w:val="20"/>
              </w:rPr>
            </w:pPr>
            <w:r w:rsidRPr="0004593F">
              <w:rPr>
                <w:rFonts w:eastAsia="Calibri" w:cs="Calibri"/>
                <w:color w:val="000000"/>
                <w:sz w:val="20"/>
                <w:szCs w:val="20"/>
              </w:rPr>
              <w:t>197,71 %</w:t>
            </w:r>
          </w:p>
        </w:tc>
      </w:tr>
    </w:tbl>
    <w:p w14:paraId="2F2AEBAE" w14:textId="238F654C" w:rsidR="0004593F" w:rsidRPr="0004593F" w:rsidRDefault="0004593F" w:rsidP="00B4276F">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výpočet</w:t>
      </w:r>
      <w:r w:rsidR="003D138C">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6C79E789" w14:textId="77777777" w:rsidR="00247A8C" w:rsidRPr="0026684F" w:rsidRDefault="00247A8C" w:rsidP="00247A8C">
      <w:pPr>
        <w:spacing w:after="0"/>
      </w:pPr>
      <w:bookmarkStart w:id="42" w:name="_Toc8985134"/>
      <w:bookmarkStart w:id="43" w:name="_Toc8989916"/>
      <w:bookmarkStart w:id="44" w:name="_Toc33101066"/>
    </w:p>
    <w:p w14:paraId="4C41E404" w14:textId="1F15D7AB" w:rsidR="0004593F" w:rsidRPr="0026684F" w:rsidRDefault="0001554C" w:rsidP="0026684F">
      <w:pPr>
        <w:keepNext/>
        <w:spacing w:after="0"/>
        <w:rPr>
          <w:rFonts w:cs="Calibri"/>
          <w:b/>
          <w:iCs/>
        </w:rPr>
      </w:pPr>
      <w:r w:rsidRPr="00B4276F">
        <w:rPr>
          <w:rFonts w:cs="Calibri"/>
          <w:iCs/>
          <w:noProof/>
          <w:szCs w:val="20"/>
          <w:lang w:eastAsia="cs-CZ"/>
        </w:rPr>
        <w:drawing>
          <wp:anchor distT="0" distB="0" distL="114300" distR="114300" simplePos="0" relativeHeight="251674624" behindDoc="0" locked="0" layoutInCell="1" allowOverlap="1" wp14:anchorId="1B7A7A3D" wp14:editId="34D735CE">
            <wp:simplePos x="0" y="0"/>
            <wp:positionH relativeFrom="column">
              <wp:posOffset>4445</wp:posOffset>
            </wp:positionH>
            <wp:positionV relativeFrom="paragraph">
              <wp:posOffset>190500</wp:posOffset>
            </wp:positionV>
            <wp:extent cx="5760720" cy="3390900"/>
            <wp:effectExtent l="0" t="0" r="0" b="0"/>
            <wp:wrapTopAndBottom/>
            <wp:docPr id="741" name="Graf 7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04593F" w:rsidRPr="0026684F">
        <w:rPr>
          <w:rFonts w:cs="Calibri"/>
          <w:b/>
          <w:iCs/>
        </w:rPr>
        <w:t xml:space="preserve">Graf č. </w:t>
      </w:r>
      <w:r w:rsidR="0004593F" w:rsidRPr="0026684F">
        <w:rPr>
          <w:rFonts w:cs="Calibri"/>
          <w:b/>
          <w:iCs/>
        </w:rPr>
        <w:fldChar w:fldCharType="begin"/>
      </w:r>
      <w:r w:rsidR="0004593F" w:rsidRPr="0026684F">
        <w:rPr>
          <w:rFonts w:cs="Calibri"/>
          <w:b/>
          <w:iCs/>
        </w:rPr>
        <w:instrText xml:space="preserve"> SEQ Graf \* ARABIC </w:instrText>
      </w:r>
      <w:r w:rsidR="0004593F" w:rsidRPr="0026684F">
        <w:rPr>
          <w:rFonts w:cs="Calibri"/>
          <w:b/>
          <w:iCs/>
        </w:rPr>
        <w:fldChar w:fldCharType="separate"/>
      </w:r>
      <w:r w:rsidR="00015BEA">
        <w:rPr>
          <w:rFonts w:cs="Calibri"/>
          <w:b/>
          <w:iCs/>
          <w:noProof/>
        </w:rPr>
        <w:t>1</w:t>
      </w:r>
      <w:r w:rsidR="0004593F" w:rsidRPr="0026684F">
        <w:rPr>
          <w:rFonts w:cs="Calibri"/>
          <w:b/>
          <w:iCs/>
        </w:rPr>
        <w:fldChar w:fldCharType="end"/>
      </w:r>
      <w:r w:rsidR="0004593F" w:rsidRPr="0026684F">
        <w:rPr>
          <w:rFonts w:cs="Calibri"/>
          <w:b/>
          <w:iCs/>
        </w:rPr>
        <w:t>: Porovnání meziročního tempa růstu příjmů a výdajů MMR v období 2015–</w:t>
      </w:r>
      <w:bookmarkEnd w:id="42"/>
      <w:bookmarkEnd w:id="43"/>
      <w:r w:rsidR="0004593F" w:rsidRPr="0026684F">
        <w:rPr>
          <w:rFonts w:cs="Calibri"/>
          <w:b/>
          <w:iCs/>
        </w:rPr>
        <w:t>2018</w:t>
      </w:r>
      <w:bookmarkEnd w:id="44"/>
    </w:p>
    <w:p w14:paraId="16D54725" w14:textId="6549B4AF" w:rsidR="0004593F" w:rsidRPr="00B4276F" w:rsidRDefault="0004593F" w:rsidP="0026684F">
      <w:pPr>
        <w:tabs>
          <w:tab w:val="left" w:pos="1134"/>
          <w:tab w:val="right" w:pos="9356"/>
        </w:tabs>
        <w:spacing w:after="0"/>
        <w:jc w:val="both"/>
        <w:rPr>
          <w:rFonts w:cs="Calibri"/>
          <w:iCs/>
          <w:szCs w:val="20"/>
        </w:rPr>
      </w:pPr>
    </w:p>
    <w:p w14:paraId="045411FC" w14:textId="77777777" w:rsidR="0004593F" w:rsidRPr="0026684F" w:rsidRDefault="0004593F" w:rsidP="0004593F">
      <w:pPr>
        <w:spacing w:after="0"/>
        <w:contextualSpacing/>
        <w:jc w:val="both"/>
        <w:rPr>
          <w:rFonts w:eastAsia="Calibri" w:cs="Calibri"/>
          <w:szCs w:val="20"/>
        </w:rPr>
      </w:pPr>
      <w:r w:rsidRPr="0026684F">
        <w:rPr>
          <w:rFonts w:eastAsia="Calibri" w:cs="Calibri"/>
          <w:szCs w:val="20"/>
        </w:rPr>
        <w:t>Zatímco do roku 2017 příjmy a výdaje MMR klesaly, v roce 2018 došlo u obou veličin k nárůstu. Příjmy vzrostly o 302,46 %, což v absolutním vyjádření představuje 18 113 948 697,93 Kč. Výdaje MMR vzrostly o 197,71 %, tj. o 14 669 105 864,63 Kč.</w:t>
      </w:r>
    </w:p>
    <w:p w14:paraId="2D0307E0" w14:textId="77777777" w:rsidR="00247A8C" w:rsidRPr="0026684F" w:rsidRDefault="00247A8C" w:rsidP="00247A8C">
      <w:pPr>
        <w:spacing w:after="0"/>
      </w:pPr>
      <w:bookmarkStart w:id="45" w:name="_Toc520714331"/>
      <w:bookmarkStart w:id="46" w:name="_Toc8984538"/>
      <w:bookmarkStart w:id="47" w:name="_Toc33100916"/>
    </w:p>
    <w:p w14:paraId="1DC10131" w14:textId="4FB34302" w:rsidR="0004593F" w:rsidRPr="0026684F" w:rsidRDefault="0004593F" w:rsidP="0001554C">
      <w:pPr>
        <w:keepNext/>
        <w:tabs>
          <w:tab w:val="right" w:pos="9070"/>
        </w:tabs>
        <w:spacing w:after="40"/>
        <w:rPr>
          <w:rFonts w:cs="Calibri"/>
          <w:b/>
          <w:iCs/>
          <w:szCs w:val="20"/>
        </w:rPr>
      </w:pPr>
      <w:r w:rsidRPr="0026684F">
        <w:rPr>
          <w:rFonts w:cs="Calibri"/>
          <w:b/>
          <w:iCs/>
          <w:szCs w:val="20"/>
        </w:rPr>
        <w:t xml:space="preserve">Tabulka č. </w:t>
      </w:r>
      <w:r w:rsidRPr="0026684F">
        <w:rPr>
          <w:rFonts w:cs="Calibri"/>
          <w:b/>
          <w:iCs/>
          <w:szCs w:val="20"/>
        </w:rPr>
        <w:fldChar w:fldCharType="begin"/>
      </w:r>
      <w:r w:rsidRPr="0026684F">
        <w:rPr>
          <w:rFonts w:cs="Calibri"/>
          <w:b/>
          <w:iCs/>
          <w:szCs w:val="20"/>
        </w:rPr>
        <w:instrText xml:space="preserve"> SEQ Tabulka \* ARABIC </w:instrText>
      </w:r>
      <w:r w:rsidRPr="0026684F">
        <w:rPr>
          <w:rFonts w:cs="Calibri"/>
          <w:b/>
          <w:iCs/>
          <w:szCs w:val="20"/>
        </w:rPr>
        <w:fldChar w:fldCharType="separate"/>
      </w:r>
      <w:r w:rsidR="00015BEA">
        <w:rPr>
          <w:rFonts w:cs="Calibri"/>
          <w:b/>
          <w:iCs/>
          <w:noProof/>
          <w:szCs w:val="20"/>
        </w:rPr>
        <w:t>10</w:t>
      </w:r>
      <w:r w:rsidRPr="0026684F">
        <w:rPr>
          <w:rFonts w:cs="Calibri"/>
          <w:b/>
          <w:iCs/>
          <w:szCs w:val="20"/>
        </w:rPr>
        <w:fldChar w:fldCharType="end"/>
      </w:r>
      <w:r w:rsidRPr="0026684F">
        <w:rPr>
          <w:rFonts w:cs="Calibri"/>
          <w:b/>
          <w:iCs/>
          <w:szCs w:val="20"/>
        </w:rPr>
        <w:t xml:space="preserve">: Výnosy a náklady MMR </w:t>
      </w:r>
      <w:r w:rsidRPr="0026684F">
        <w:rPr>
          <w:rFonts w:cs="Calibri"/>
          <w:b/>
          <w:iCs/>
          <w:szCs w:val="20"/>
        </w:rPr>
        <w:tab/>
        <w:t>(v Kč)</w:t>
      </w:r>
      <w:bookmarkEnd w:id="45"/>
      <w:bookmarkEnd w:id="46"/>
      <w:bookmarkEnd w:id="47"/>
    </w:p>
    <w:tbl>
      <w:tblPr>
        <w:tblW w:w="9100" w:type="dxa"/>
        <w:tblLayout w:type="fixed"/>
        <w:tblCellMar>
          <w:left w:w="70" w:type="dxa"/>
          <w:right w:w="70" w:type="dxa"/>
        </w:tblCellMar>
        <w:tblLook w:val="04A0" w:firstRow="1" w:lastRow="0" w:firstColumn="1" w:lastColumn="0" w:noHBand="0" w:noVBand="1"/>
      </w:tblPr>
      <w:tblGrid>
        <w:gridCol w:w="1020"/>
        <w:gridCol w:w="1616"/>
        <w:gridCol w:w="1616"/>
        <w:gridCol w:w="1616"/>
        <w:gridCol w:w="1616"/>
        <w:gridCol w:w="1616"/>
      </w:tblGrid>
      <w:tr w:rsidR="0004593F" w:rsidRPr="0004593F" w14:paraId="068EDF8F" w14:textId="77777777" w:rsidTr="0001554C">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05783A1" w14:textId="77777777" w:rsidR="0004593F" w:rsidRPr="0004593F" w:rsidRDefault="0004593F" w:rsidP="0004593F">
            <w:pPr>
              <w:spacing w:after="0"/>
              <w:contextualSpacing/>
              <w:jc w:val="both"/>
              <w:rPr>
                <w:rFonts w:cs="Calibri"/>
                <w:b/>
                <w:bCs/>
                <w:color w:val="000000"/>
                <w:sz w:val="20"/>
                <w:szCs w:val="20"/>
                <w:lang w:eastAsia="cs-CZ"/>
              </w:rPr>
            </w:pPr>
            <w:r w:rsidRPr="0004593F">
              <w:rPr>
                <w:rFonts w:cs="Calibri"/>
                <w:b/>
                <w:bCs/>
                <w:color w:val="000000"/>
                <w:sz w:val="20"/>
                <w:szCs w:val="20"/>
                <w:lang w:eastAsia="cs-CZ"/>
              </w:rPr>
              <w:t>Ukazatel</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08616E44"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1CCFD1B7"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6BAD16FF"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6A581358"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616" w:type="dxa"/>
            <w:tcBorders>
              <w:top w:val="single" w:sz="4" w:space="0" w:color="auto"/>
              <w:left w:val="nil"/>
              <w:bottom w:val="single" w:sz="4" w:space="0" w:color="auto"/>
              <w:right w:val="single" w:sz="4" w:space="0" w:color="auto"/>
            </w:tcBorders>
            <w:shd w:val="clear" w:color="auto" w:fill="E5F1FF"/>
          </w:tcPr>
          <w:p w14:paraId="4FEB0796"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2342C126" w14:textId="77777777" w:rsidTr="0001554C">
        <w:trPr>
          <w:trHeight w:val="255"/>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3223312A" w14:textId="77777777" w:rsidR="0004593F" w:rsidRPr="0004593F" w:rsidRDefault="0004593F" w:rsidP="0004593F">
            <w:pPr>
              <w:spacing w:after="0"/>
              <w:contextualSpacing/>
              <w:jc w:val="both"/>
              <w:rPr>
                <w:rFonts w:cs="Calibri"/>
                <w:bCs/>
                <w:color w:val="000000"/>
                <w:sz w:val="20"/>
                <w:szCs w:val="20"/>
                <w:lang w:eastAsia="cs-CZ"/>
              </w:rPr>
            </w:pPr>
            <w:r w:rsidRPr="0004593F">
              <w:rPr>
                <w:rFonts w:cs="Calibri"/>
                <w:bCs/>
                <w:color w:val="000000"/>
                <w:sz w:val="20"/>
                <w:szCs w:val="20"/>
                <w:lang w:eastAsia="cs-CZ"/>
              </w:rPr>
              <w:t>Výnosy celkem</w:t>
            </w:r>
          </w:p>
        </w:tc>
        <w:tc>
          <w:tcPr>
            <w:tcW w:w="1616" w:type="dxa"/>
            <w:tcBorders>
              <w:top w:val="nil"/>
              <w:left w:val="nil"/>
              <w:bottom w:val="single" w:sz="4" w:space="0" w:color="auto"/>
              <w:right w:val="single" w:sz="4" w:space="0" w:color="auto"/>
            </w:tcBorders>
            <w:shd w:val="clear" w:color="auto" w:fill="auto"/>
            <w:noWrap/>
            <w:vAlign w:val="center"/>
          </w:tcPr>
          <w:p w14:paraId="0B21E54A"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18 798 718 760,80</w:t>
            </w:r>
          </w:p>
        </w:tc>
        <w:tc>
          <w:tcPr>
            <w:tcW w:w="1616" w:type="dxa"/>
            <w:tcBorders>
              <w:top w:val="nil"/>
              <w:left w:val="nil"/>
              <w:bottom w:val="single" w:sz="4" w:space="0" w:color="auto"/>
              <w:right w:val="single" w:sz="4" w:space="0" w:color="auto"/>
            </w:tcBorders>
            <w:shd w:val="clear" w:color="auto" w:fill="auto"/>
            <w:noWrap/>
            <w:vAlign w:val="center"/>
          </w:tcPr>
          <w:p w14:paraId="2E65F0DF"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24 455 415 530,10</w:t>
            </w:r>
          </w:p>
        </w:tc>
        <w:tc>
          <w:tcPr>
            <w:tcW w:w="1616" w:type="dxa"/>
            <w:tcBorders>
              <w:top w:val="nil"/>
              <w:left w:val="nil"/>
              <w:bottom w:val="single" w:sz="4" w:space="0" w:color="auto"/>
              <w:right w:val="single" w:sz="4" w:space="0" w:color="auto"/>
            </w:tcBorders>
            <w:shd w:val="clear" w:color="auto" w:fill="auto"/>
            <w:noWrap/>
            <w:vAlign w:val="center"/>
          </w:tcPr>
          <w:p w14:paraId="17D65C34"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17 314 439 643,98</w:t>
            </w:r>
          </w:p>
        </w:tc>
        <w:tc>
          <w:tcPr>
            <w:tcW w:w="1616" w:type="dxa"/>
            <w:tcBorders>
              <w:top w:val="nil"/>
              <w:left w:val="nil"/>
              <w:bottom w:val="single" w:sz="4" w:space="0" w:color="auto"/>
              <w:right w:val="single" w:sz="4" w:space="0" w:color="auto"/>
            </w:tcBorders>
            <w:shd w:val="clear" w:color="auto" w:fill="auto"/>
            <w:noWrap/>
            <w:vAlign w:val="center"/>
          </w:tcPr>
          <w:p w14:paraId="159BEB6B"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4 261 277 557,16</w:t>
            </w:r>
          </w:p>
        </w:tc>
        <w:tc>
          <w:tcPr>
            <w:tcW w:w="1616" w:type="dxa"/>
            <w:tcBorders>
              <w:top w:val="nil"/>
              <w:left w:val="nil"/>
              <w:bottom w:val="single" w:sz="4" w:space="0" w:color="auto"/>
              <w:right w:val="single" w:sz="4" w:space="0" w:color="auto"/>
            </w:tcBorders>
            <w:vAlign w:val="center"/>
          </w:tcPr>
          <w:p w14:paraId="19A32803"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18 445 477 243,67</w:t>
            </w:r>
          </w:p>
        </w:tc>
      </w:tr>
      <w:tr w:rsidR="0004593F" w:rsidRPr="0004593F" w14:paraId="793D2D1E" w14:textId="77777777" w:rsidTr="0001554C">
        <w:trPr>
          <w:trHeight w:val="255"/>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52F8A246" w14:textId="77777777" w:rsidR="0004593F" w:rsidRPr="0004593F" w:rsidRDefault="0004593F" w:rsidP="0004593F">
            <w:pPr>
              <w:spacing w:after="0"/>
              <w:contextualSpacing/>
              <w:jc w:val="both"/>
              <w:rPr>
                <w:rFonts w:cs="Calibri"/>
                <w:bCs/>
                <w:color w:val="000000"/>
                <w:sz w:val="20"/>
                <w:szCs w:val="20"/>
                <w:lang w:eastAsia="cs-CZ"/>
              </w:rPr>
            </w:pPr>
            <w:r w:rsidRPr="0004593F">
              <w:rPr>
                <w:rFonts w:cs="Calibri"/>
                <w:bCs/>
                <w:color w:val="000000"/>
                <w:sz w:val="20"/>
                <w:szCs w:val="20"/>
                <w:lang w:eastAsia="cs-CZ"/>
              </w:rPr>
              <w:t>Náklady celkem</w:t>
            </w:r>
          </w:p>
        </w:tc>
        <w:tc>
          <w:tcPr>
            <w:tcW w:w="1616" w:type="dxa"/>
            <w:tcBorders>
              <w:top w:val="nil"/>
              <w:left w:val="nil"/>
              <w:bottom w:val="single" w:sz="4" w:space="0" w:color="auto"/>
              <w:right w:val="single" w:sz="4" w:space="0" w:color="auto"/>
            </w:tcBorders>
            <w:shd w:val="clear" w:color="auto" w:fill="auto"/>
            <w:noWrap/>
            <w:vAlign w:val="center"/>
          </w:tcPr>
          <w:p w14:paraId="27763E9C"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19 876 165 705,09</w:t>
            </w:r>
          </w:p>
        </w:tc>
        <w:tc>
          <w:tcPr>
            <w:tcW w:w="1616" w:type="dxa"/>
            <w:tcBorders>
              <w:top w:val="nil"/>
              <w:left w:val="nil"/>
              <w:bottom w:val="single" w:sz="4" w:space="0" w:color="auto"/>
              <w:right w:val="single" w:sz="4" w:space="0" w:color="auto"/>
            </w:tcBorders>
            <w:shd w:val="clear" w:color="auto" w:fill="auto"/>
            <w:noWrap/>
            <w:vAlign w:val="center"/>
          </w:tcPr>
          <w:p w14:paraId="7E4C9EB7"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28 770 786 338,92</w:t>
            </w:r>
          </w:p>
        </w:tc>
        <w:tc>
          <w:tcPr>
            <w:tcW w:w="1616" w:type="dxa"/>
            <w:tcBorders>
              <w:top w:val="nil"/>
              <w:left w:val="nil"/>
              <w:bottom w:val="single" w:sz="4" w:space="0" w:color="auto"/>
              <w:right w:val="single" w:sz="4" w:space="0" w:color="auto"/>
            </w:tcBorders>
            <w:shd w:val="clear" w:color="auto" w:fill="auto"/>
            <w:noWrap/>
            <w:vAlign w:val="center"/>
          </w:tcPr>
          <w:p w14:paraId="5C71CD96"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16 753 286 469,79</w:t>
            </w:r>
          </w:p>
        </w:tc>
        <w:tc>
          <w:tcPr>
            <w:tcW w:w="1616" w:type="dxa"/>
            <w:tcBorders>
              <w:top w:val="nil"/>
              <w:left w:val="nil"/>
              <w:bottom w:val="single" w:sz="4" w:space="0" w:color="auto"/>
              <w:right w:val="single" w:sz="4" w:space="0" w:color="auto"/>
            </w:tcBorders>
            <w:shd w:val="clear" w:color="auto" w:fill="auto"/>
            <w:noWrap/>
            <w:vAlign w:val="center"/>
          </w:tcPr>
          <w:p w14:paraId="14E8DE1E"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7 545 587 717,31</w:t>
            </w:r>
          </w:p>
        </w:tc>
        <w:tc>
          <w:tcPr>
            <w:tcW w:w="1616" w:type="dxa"/>
            <w:tcBorders>
              <w:top w:val="nil"/>
              <w:left w:val="nil"/>
              <w:bottom w:val="single" w:sz="4" w:space="0" w:color="auto"/>
              <w:right w:val="single" w:sz="4" w:space="0" w:color="auto"/>
            </w:tcBorders>
            <w:vAlign w:val="center"/>
          </w:tcPr>
          <w:p w14:paraId="449DEA95" w14:textId="77777777" w:rsidR="0004593F" w:rsidRPr="0004593F" w:rsidRDefault="0004593F" w:rsidP="0001554C">
            <w:pPr>
              <w:spacing w:after="0"/>
              <w:ind w:left="-57"/>
              <w:jc w:val="right"/>
              <w:rPr>
                <w:rFonts w:eastAsia="Calibri" w:cs="Calibri"/>
                <w:color w:val="000000"/>
                <w:sz w:val="20"/>
                <w:szCs w:val="20"/>
              </w:rPr>
            </w:pPr>
            <w:r w:rsidRPr="0004593F">
              <w:rPr>
                <w:rFonts w:eastAsia="Calibri" w:cs="Calibri"/>
                <w:color w:val="000000"/>
                <w:sz w:val="20"/>
                <w:szCs w:val="20"/>
              </w:rPr>
              <w:t>22 345 950 217,52</w:t>
            </w:r>
          </w:p>
        </w:tc>
      </w:tr>
    </w:tbl>
    <w:p w14:paraId="3AF8D3AE" w14:textId="77777777" w:rsidR="0004593F" w:rsidRPr="0004593F" w:rsidRDefault="0004593F" w:rsidP="0004593F">
      <w:pPr>
        <w:spacing w:after="0"/>
        <w:contextualSpacing/>
        <w:jc w:val="both"/>
        <w:rPr>
          <w:rFonts w:cs="Calibri"/>
          <w:bCs/>
          <w:color w:val="000000"/>
          <w:sz w:val="20"/>
          <w:szCs w:val="20"/>
          <w:lang w:eastAsia="cs-CZ"/>
        </w:rPr>
      </w:pPr>
      <w:bookmarkStart w:id="48" w:name="_Toc520714332"/>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76DD96BF" w14:textId="77777777" w:rsidR="0004593F" w:rsidRPr="00B4276F" w:rsidRDefault="0004593F" w:rsidP="00247A8C">
      <w:pPr>
        <w:spacing w:after="0"/>
      </w:pPr>
    </w:p>
    <w:p w14:paraId="2DED03BD" w14:textId="47A9B4A2" w:rsidR="0004593F" w:rsidRPr="00B4276F" w:rsidRDefault="0004593F" w:rsidP="00B4276F">
      <w:pPr>
        <w:keepNext/>
        <w:tabs>
          <w:tab w:val="right" w:pos="10064"/>
        </w:tabs>
        <w:spacing w:after="40"/>
        <w:rPr>
          <w:rFonts w:cs="Calibri"/>
          <w:b/>
          <w:iCs/>
        </w:rPr>
      </w:pPr>
      <w:bookmarkStart w:id="49" w:name="_Toc8984539"/>
      <w:bookmarkStart w:id="50" w:name="_Toc33100917"/>
      <w:r w:rsidRPr="00B4276F">
        <w:rPr>
          <w:rFonts w:cs="Calibri"/>
          <w:b/>
          <w:iCs/>
        </w:rPr>
        <w:lastRenderedPageBreak/>
        <w:t xml:space="preserve">Tabulka č. </w:t>
      </w:r>
      <w:r w:rsidRPr="00B4276F">
        <w:rPr>
          <w:rFonts w:cs="Calibri"/>
          <w:b/>
          <w:iCs/>
        </w:rPr>
        <w:fldChar w:fldCharType="begin"/>
      </w:r>
      <w:r w:rsidRPr="00B4276F">
        <w:rPr>
          <w:rFonts w:cs="Calibri"/>
          <w:b/>
          <w:iCs/>
        </w:rPr>
        <w:instrText xml:space="preserve"> SEQ Tabulka \* ARABIC </w:instrText>
      </w:r>
      <w:r w:rsidRPr="00B4276F">
        <w:rPr>
          <w:rFonts w:cs="Calibri"/>
          <w:b/>
          <w:iCs/>
        </w:rPr>
        <w:fldChar w:fldCharType="separate"/>
      </w:r>
      <w:r w:rsidR="00015BEA">
        <w:rPr>
          <w:rFonts w:cs="Calibri"/>
          <w:b/>
          <w:iCs/>
          <w:noProof/>
        </w:rPr>
        <w:t>11</w:t>
      </w:r>
      <w:r w:rsidRPr="00B4276F">
        <w:rPr>
          <w:rFonts w:cs="Calibri"/>
          <w:b/>
          <w:iCs/>
        </w:rPr>
        <w:fldChar w:fldCharType="end"/>
      </w:r>
      <w:r w:rsidRPr="00B4276F">
        <w:rPr>
          <w:rFonts w:cs="Calibri"/>
          <w:b/>
          <w:iCs/>
        </w:rPr>
        <w:t>: Tempo růstu výnosů a nákladů MMR</w:t>
      </w:r>
      <w:bookmarkEnd w:id="48"/>
      <w:bookmarkEnd w:id="49"/>
      <w:bookmarkEnd w:id="50"/>
    </w:p>
    <w:tbl>
      <w:tblPr>
        <w:tblW w:w="9071" w:type="dxa"/>
        <w:tblLayout w:type="fixed"/>
        <w:tblCellMar>
          <w:left w:w="70" w:type="dxa"/>
          <w:right w:w="70" w:type="dxa"/>
        </w:tblCellMar>
        <w:tblLook w:val="04A0" w:firstRow="1" w:lastRow="0" w:firstColumn="1" w:lastColumn="0" w:noHBand="0" w:noVBand="1"/>
      </w:tblPr>
      <w:tblGrid>
        <w:gridCol w:w="2381"/>
        <w:gridCol w:w="1587"/>
        <w:gridCol w:w="1701"/>
        <w:gridCol w:w="1701"/>
        <w:gridCol w:w="1701"/>
      </w:tblGrid>
      <w:tr w:rsidR="0004593F" w:rsidRPr="0004593F" w14:paraId="3BE6CCEC" w14:textId="77777777" w:rsidTr="0001554C">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8B5484B" w14:textId="4570BBF0" w:rsidR="0004593F" w:rsidRPr="0004593F" w:rsidRDefault="0004593F" w:rsidP="0001554C">
            <w:pPr>
              <w:keepNext/>
              <w:spacing w:after="0"/>
              <w:contextualSpacing/>
              <w:rPr>
                <w:rFonts w:cs="Calibri"/>
                <w:b/>
                <w:bCs/>
                <w:color w:val="000000"/>
                <w:sz w:val="20"/>
                <w:szCs w:val="20"/>
                <w:lang w:eastAsia="cs-CZ"/>
              </w:rPr>
            </w:pPr>
            <w:r w:rsidRPr="0004593F">
              <w:rPr>
                <w:rFonts w:cs="Calibri"/>
                <w:b/>
                <w:bCs/>
                <w:color w:val="000000"/>
                <w:sz w:val="20"/>
                <w:szCs w:val="20"/>
                <w:lang w:eastAsia="cs-CZ"/>
              </w:rPr>
              <w:t xml:space="preserve">Tempo růstu </w:t>
            </w:r>
            <w:r w:rsidR="0001554C">
              <w:rPr>
                <w:rFonts w:cs="Calibri"/>
                <w:b/>
                <w:bCs/>
                <w:color w:val="000000"/>
                <w:sz w:val="20"/>
                <w:szCs w:val="20"/>
                <w:lang w:eastAsia="cs-CZ"/>
              </w:rPr>
              <w:br/>
            </w:r>
            <w:r w:rsidRPr="0004593F">
              <w:rPr>
                <w:rFonts w:cs="Calibri"/>
                <w:b/>
                <w:bCs/>
                <w:color w:val="000000"/>
                <w:sz w:val="20"/>
                <w:szCs w:val="20"/>
                <w:lang w:eastAsia="cs-CZ"/>
              </w:rPr>
              <w:t>(absolutní změna)</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5DA34EE5" w14:textId="37015B21" w:rsidR="0004593F" w:rsidRPr="0004593F" w:rsidRDefault="0004593F" w:rsidP="003D138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r w:rsidR="003D138C">
              <w:rPr>
                <w:rFonts w:cs="Calibri"/>
                <w:b/>
                <w:bCs/>
                <w:color w:val="000000"/>
                <w:sz w:val="20"/>
                <w:szCs w:val="20"/>
                <w:lang w:eastAsia="cs-CZ"/>
              </w:rPr>
              <w:t>–</w:t>
            </w:r>
            <w:r w:rsidRPr="0004593F">
              <w:rPr>
                <w:rFonts w:cs="Calibri"/>
                <w:b/>
                <w:bCs/>
                <w:color w:val="000000"/>
                <w:sz w:val="20"/>
                <w:szCs w:val="20"/>
                <w:lang w:eastAsia="cs-CZ"/>
              </w:rPr>
              <w:t>2014</w:t>
            </w:r>
          </w:p>
        </w:tc>
        <w:tc>
          <w:tcPr>
            <w:tcW w:w="1701" w:type="dxa"/>
            <w:tcBorders>
              <w:top w:val="single" w:sz="4" w:space="0" w:color="auto"/>
              <w:left w:val="nil"/>
              <w:bottom w:val="single" w:sz="4" w:space="0" w:color="auto"/>
              <w:right w:val="single" w:sz="4" w:space="0" w:color="auto"/>
            </w:tcBorders>
            <w:shd w:val="clear" w:color="auto" w:fill="E5F1FF"/>
            <w:noWrap/>
            <w:vAlign w:val="center"/>
            <w:hideMark/>
          </w:tcPr>
          <w:p w14:paraId="5D168586" w14:textId="5A4BF975" w:rsidR="0004593F" w:rsidRPr="0004593F" w:rsidRDefault="0004593F" w:rsidP="003D138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r w:rsidR="003D138C">
              <w:rPr>
                <w:rFonts w:cs="Calibri"/>
                <w:b/>
                <w:bCs/>
                <w:color w:val="000000"/>
                <w:sz w:val="20"/>
                <w:szCs w:val="20"/>
                <w:lang w:eastAsia="cs-CZ"/>
              </w:rPr>
              <w:t>–</w:t>
            </w:r>
            <w:r w:rsidRPr="0004593F">
              <w:rPr>
                <w:rFonts w:cs="Calibri"/>
                <w:b/>
                <w:bCs/>
                <w:color w:val="000000"/>
                <w:sz w:val="20"/>
                <w:szCs w:val="20"/>
                <w:lang w:eastAsia="cs-CZ"/>
              </w:rPr>
              <w:t>2015</w:t>
            </w:r>
          </w:p>
        </w:tc>
        <w:tc>
          <w:tcPr>
            <w:tcW w:w="1701" w:type="dxa"/>
            <w:tcBorders>
              <w:top w:val="single" w:sz="4" w:space="0" w:color="auto"/>
              <w:left w:val="nil"/>
              <w:bottom w:val="single" w:sz="4" w:space="0" w:color="auto"/>
              <w:right w:val="single" w:sz="4" w:space="0" w:color="auto"/>
            </w:tcBorders>
            <w:shd w:val="clear" w:color="auto" w:fill="E5F1FF"/>
            <w:noWrap/>
            <w:vAlign w:val="center"/>
            <w:hideMark/>
          </w:tcPr>
          <w:p w14:paraId="440D59D2" w14:textId="1ED17C92" w:rsidR="0004593F" w:rsidRPr="0004593F" w:rsidRDefault="0004593F" w:rsidP="003D138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r w:rsidR="003D138C">
              <w:rPr>
                <w:rFonts w:cs="Calibri"/>
                <w:b/>
                <w:bCs/>
                <w:color w:val="000000"/>
                <w:sz w:val="20"/>
                <w:szCs w:val="20"/>
                <w:lang w:eastAsia="cs-CZ"/>
              </w:rPr>
              <w:t>–</w:t>
            </w:r>
            <w:r w:rsidRPr="0004593F">
              <w:rPr>
                <w:rFonts w:cs="Calibri"/>
                <w:b/>
                <w:bCs/>
                <w:color w:val="000000"/>
                <w:sz w:val="20"/>
                <w:szCs w:val="20"/>
                <w:lang w:eastAsia="cs-CZ"/>
              </w:rPr>
              <w:t>2016</w:t>
            </w:r>
          </w:p>
        </w:tc>
        <w:tc>
          <w:tcPr>
            <w:tcW w:w="1701" w:type="dxa"/>
            <w:tcBorders>
              <w:top w:val="single" w:sz="4" w:space="0" w:color="auto"/>
              <w:left w:val="nil"/>
              <w:bottom w:val="single" w:sz="4" w:space="0" w:color="auto"/>
              <w:right w:val="single" w:sz="4" w:space="0" w:color="auto"/>
            </w:tcBorders>
            <w:shd w:val="clear" w:color="auto" w:fill="E5F1FF"/>
            <w:vAlign w:val="center"/>
          </w:tcPr>
          <w:p w14:paraId="4F3B9598" w14:textId="46EA7113" w:rsidR="0004593F" w:rsidRPr="0004593F" w:rsidRDefault="0004593F" w:rsidP="003D138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r w:rsidR="003D138C">
              <w:rPr>
                <w:rFonts w:cs="Calibri"/>
                <w:b/>
                <w:bCs/>
                <w:color w:val="000000"/>
                <w:sz w:val="20"/>
                <w:szCs w:val="20"/>
                <w:lang w:eastAsia="cs-CZ"/>
              </w:rPr>
              <w:t>–</w:t>
            </w:r>
            <w:r w:rsidRPr="0004593F">
              <w:rPr>
                <w:rFonts w:cs="Calibri"/>
                <w:b/>
                <w:bCs/>
                <w:color w:val="000000"/>
                <w:sz w:val="20"/>
                <w:szCs w:val="20"/>
                <w:lang w:eastAsia="cs-CZ"/>
              </w:rPr>
              <w:t>2017</w:t>
            </w:r>
          </w:p>
        </w:tc>
      </w:tr>
      <w:tr w:rsidR="0004593F" w:rsidRPr="0004593F" w14:paraId="7F94021A" w14:textId="77777777" w:rsidTr="0001554C">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0585F" w14:textId="77777777" w:rsidR="0004593F" w:rsidRPr="0004593F" w:rsidRDefault="0004593F" w:rsidP="0001554C">
            <w:pPr>
              <w:keepNext/>
              <w:spacing w:after="0"/>
              <w:contextualSpacing/>
              <w:rPr>
                <w:rFonts w:cs="Calibri"/>
                <w:bCs/>
                <w:color w:val="000000"/>
                <w:sz w:val="20"/>
                <w:szCs w:val="20"/>
                <w:lang w:eastAsia="cs-CZ"/>
              </w:rPr>
            </w:pPr>
            <w:r w:rsidRPr="0004593F">
              <w:rPr>
                <w:rFonts w:cs="Calibri"/>
                <w:bCs/>
                <w:color w:val="000000"/>
                <w:sz w:val="20"/>
                <w:szCs w:val="20"/>
                <w:lang w:eastAsia="cs-CZ"/>
              </w:rPr>
              <w:t>Výnosy celkem (v Kč)</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455AF7CC"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5 656 696 769,30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E12B4B"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-7 140 975 886,12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46C273"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-13 053 162 086,82</w:t>
            </w:r>
          </w:p>
        </w:tc>
        <w:tc>
          <w:tcPr>
            <w:tcW w:w="1701" w:type="dxa"/>
            <w:tcBorders>
              <w:top w:val="single" w:sz="4" w:space="0" w:color="auto"/>
              <w:left w:val="nil"/>
              <w:bottom w:val="single" w:sz="4" w:space="0" w:color="auto"/>
              <w:right w:val="single" w:sz="4" w:space="0" w:color="auto"/>
            </w:tcBorders>
            <w:vAlign w:val="center"/>
          </w:tcPr>
          <w:p w14:paraId="7F9E8652"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14 184 199 686,51</w:t>
            </w:r>
          </w:p>
        </w:tc>
      </w:tr>
      <w:tr w:rsidR="0004593F" w:rsidRPr="0004593F" w14:paraId="1C65A24A" w14:textId="77777777" w:rsidTr="0001554C">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1ABA2" w14:textId="77777777" w:rsidR="0004593F" w:rsidRPr="0004593F" w:rsidRDefault="0004593F" w:rsidP="0001554C">
            <w:pPr>
              <w:keepNext/>
              <w:spacing w:after="0"/>
              <w:contextualSpacing/>
              <w:rPr>
                <w:rFonts w:cs="Calibri"/>
                <w:bCs/>
                <w:color w:val="000000"/>
                <w:sz w:val="20"/>
                <w:szCs w:val="20"/>
                <w:lang w:eastAsia="cs-CZ"/>
              </w:rPr>
            </w:pPr>
            <w:r w:rsidRPr="0004593F">
              <w:rPr>
                <w:rFonts w:cs="Calibri"/>
                <w:bCs/>
                <w:color w:val="000000"/>
                <w:sz w:val="20"/>
                <w:szCs w:val="20"/>
                <w:lang w:eastAsia="cs-CZ"/>
              </w:rPr>
              <w:t>Náklady celkem (v Kč)</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2C2605C"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8 894 620 633,83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F782A9"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-12 017 499 869,13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5C740D"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-9 207 698 752,48</w:t>
            </w:r>
          </w:p>
        </w:tc>
        <w:tc>
          <w:tcPr>
            <w:tcW w:w="1701" w:type="dxa"/>
            <w:tcBorders>
              <w:top w:val="single" w:sz="4" w:space="0" w:color="auto"/>
              <w:left w:val="nil"/>
              <w:bottom w:val="single" w:sz="4" w:space="0" w:color="auto"/>
              <w:right w:val="single" w:sz="4" w:space="0" w:color="auto"/>
            </w:tcBorders>
            <w:vAlign w:val="center"/>
          </w:tcPr>
          <w:p w14:paraId="5CDCC45A" w14:textId="77777777" w:rsidR="0004593F" w:rsidRPr="0004593F" w:rsidRDefault="0004593F" w:rsidP="0001554C">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14 800 362 500,21</w:t>
            </w:r>
          </w:p>
        </w:tc>
      </w:tr>
      <w:tr w:rsidR="0004593F" w:rsidRPr="0004593F" w14:paraId="3E9CCD05" w14:textId="77777777" w:rsidTr="0001554C">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020FB273" w14:textId="5D8BE205" w:rsidR="0004593F" w:rsidRPr="0004593F" w:rsidRDefault="0004593F" w:rsidP="0001554C">
            <w:pPr>
              <w:keepNext/>
              <w:spacing w:after="0"/>
              <w:contextualSpacing/>
              <w:rPr>
                <w:rFonts w:cs="Calibri"/>
                <w:b/>
                <w:bCs/>
                <w:color w:val="000000"/>
                <w:sz w:val="20"/>
                <w:szCs w:val="20"/>
                <w:lang w:eastAsia="cs-CZ"/>
              </w:rPr>
            </w:pPr>
            <w:r w:rsidRPr="0004593F">
              <w:rPr>
                <w:rFonts w:cs="Calibri"/>
                <w:b/>
                <w:bCs/>
                <w:color w:val="000000"/>
                <w:sz w:val="20"/>
                <w:szCs w:val="20"/>
                <w:lang w:eastAsia="cs-CZ"/>
              </w:rPr>
              <w:t>Tempo růstu v % (relativní změna)</w:t>
            </w:r>
            <w:r w:rsidR="003D138C">
              <w:rPr>
                <w:rFonts w:cs="Calibri"/>
                <w:b/>
                <w:bCs/>
                <w:color w:val="000000"/>
                <w:sz w:val="20"/>
                <w:szCs w:val="20"/>
                <w:lang w:eastAsia="cs-CZ"/>
              </w:rPr>
              <w:t>,</w:t>
            </w:r>
            <w:r w:rsidRPr="0004593F">
              <w:rPr>
                <w:rFonts w:cs="Calibri"/>
                <w:b/>
                <w:bCs/>
                <w:color w:val="000000"/>
                <w:sz w:val="20"/>
                <w:szCs w:val="20"/>
                <w:lang w:eastAsia="cs-CZ"/>
              </w:rPr>
              <w:t xml:space="preserve"> (((x+1)-x)/x)*100</w:t>
            </w:r>
          </w:p>
        </w:tc>
        <w:tc>
          <w:tcPr>
            <w:tcW w:w="1587" w:type="dxa"/>
            <w:tcBorders>
              <w:top w:val="single" w:sz="4" w:space="0" w:color="auto"/>
              <w:left w:val="nil"/>
              <w:bottom w:val="single" w:sz="4" w:space="0" w:color="auto"/>
              <w:right w:val="single" w:sz="4" w:space="0" w:color="auto"/>
            </w:tcBorders>
            <w:shd w:val="clear" w:color="auto" w:fill="E5F1FF"/>
            <w:noWrap/>
            <w:vAlign w:val="center"/>
          </w:tcPr>
          <w:p w14:paraId="2F3D96C8" w14:textId="77777777" w:rsidR="0004593F" w:rsidRPr="0004593F" w:rsidRDefault="0004593F" w:rsidP="0001554C">
            <w:pPr>
              <w:keepNext/>
              <w:spacing w:after="0"/>
              <w:contextualSpacing/>
              <w:jc w:val="center"/>
              <w:rPr>
                <w:rFonts w:eastAsia="Calibri" w:cs="Calibri"/>
                <w:b/>
                <w:color w:val="000000"/>
                <w:sz w:val="20"/>
                <w:szCs w:val="20"/>
              </w:rPr>
            </w:pPr>
            <w:r w:rsidRPr="0004593F">
              <w:rPr>
                <w:rFonts w:eastAsia="Calibri" w:cs="Calibri"/>
                <w:b/>
                <w:color w:val="000000"/>
                <w:sz w:val="20"/>
                <w:szCs w:val="20"/>
              </w:rPr>
              <w:t>2015/2014</w:t>
            </w:r>
          </w:p>
        </w:tc>
        <w:tc>
          <w:tcPr>
            <w:tcW w:w="1701" w:type="dxa"/>
            <w:tcBorders>
              <w:top w:val="single" w:sz="4" w:space="0" w:color="auto"/>
              <w:left w:val="nil"/>
              <w:bottom w:val="single" w:sz="4" w:space="0" w:color="auto"/>
              <w:right w:val="single" w:sz="4" w:space="0" w:color="auto"/>
            </w:tcBorders>
            <w:shd w:val="clear" w:color="auto" w:fill="E5F1FF"/>
            <w:noWrap/>
            <w:vAlign w:val="center"/>
          </w:tcPr>
          <w:p w14:paraId="68CE488E" w14:textId="77777777" w:rsidR="0004593F" w:rsidRPr="0004593F" w:rsidRDefault="0004593F" w:rsidP="0001554C">
            <w:pPr>
              <w:keepNext/>
              <w:spacing w:after="0"/>
              <w:contextualSpacing/>
              <w:jc w:val="center"/>
              <w:rPr>
                <w:rFonts w:eastAsia="Calibri" w:cs="Calibri"/>
                <w:b/>
                <w:color w:val="000000"/>
                <w:sz w:val="20"/>
                <w:szCs w:val="20"/>
              </w:rPr>
            </w:pPr>
            <w:r w:rsidRPr="0004593F">
              <w:rPr>
                <w:rFonts w:eastAsia="Calibri" w:cs="Calibri"/>
                <w:b/>
                <w:color w:val="000000"/>
                <w:sz w:val="20"/>
                <w:szCs w:val="20"/>
              </w:rPr>
              <w:t>2016/2015</w:t>
            </w:r>
          </w:p>
        </w:tc>
        <w:tc>
          <w:tcPr>
            <w:tcW w:w="1701" w:type="dxa"/>
            <w:tcBorders>
              <w:top w:val="single" w:sz="4" w:space="0" w:color="auto"/>
              <w:left w:val="nil"/>
              <w:bottom w:val="single" w:sz="4" w:space="0" w:color="auto"/>
              <w:right w:val="single" w:sz="4" w:space="0" w:color="auto"/>
            </w:tcBorders>
            <w:shd w:val="clear" w:color="auto" w:fill="E5F1FF"/>
            <w:noWrap/>
            <w:vAlign w:val="center"/>
          </w:tcPr>
          <w:p w14:paraId="4CC24E85" w14:textId="77777777" w:rsidR="0004593F" w:rsidRPr="0004593F" w:rsidRDefault="0004593F" w:rsidP="0001554C">
            <w:pPr>
              <w:keepNext/>
              <w:spacing w:after="0"/>
              <w:contextualSpacing/>
              <w:jc w:val="center"/>
              <w:rPr>
                <w:rFonts w:eastAsia="Calibri" w:cs="Calibri"/>
                <w:b/>
                <w:color w:val="000000"/>
                <w:sz w:val="20"/>
                <w:szCs w:val="20"/>
              </w:rPr>
            </w:pPr>
            <w:r w:rsidRPr="0004593F">
              <w:rPr>
                <w:rFonts w:eastAsia="Calibri" w:cs="Calibri"/>
                <w:b/>
                <w:color w:val="000000"/>
                <w:sz w:val="20"/>
                <w:szCs w:val="20"/>
              </w:rPr>
              <w:t>2017/2016</w:t>
            </w:r>
          </w:p>
        </w:tc>
        <w:tc>
          <w:tcPr>
            <w:tcW w:w="1701" w:type="dxa"/>
            <w:tcBorders>
              <w:top w:val="single" w:sz="4" w:space="0" w:color="auto"/>
              <w:left w:val="nil"/>
              <w:bottom w:val="single" w:sz="4" w:space="0" w:color="auto"/>
              <w:right w:val="single" w:sz="4" w:space="0" w:color="auto"/>
            </w:tcBorders>
            <w:shd w:val="clear" w:color="auto" w:fill="E5F1FF"/>
            <w:vAlign w:val="center"/>
          </w:tcPr>
          <w:p w14:paraId="554B2379" w14:textId="77777777" w:rsidR="0004593F" w:rsidRPr="0004593F" w:rsidRDefault="0004593F" w:rsidP="0001554C">
            <w:pPr>
              <w:keepNext/>
              <w:spacing w:after="0"/>
              <w:contextualSpacing/>
              <w:jc w:val="center"/>
              <w:rPr>
                <w:rFonts w:eastAsia="Calibri" w:cs="Calibri"/>
                <w:b/>
                <w:color w:val="000000"/>
                <w:sz w:val="20"/>
                <w:szCs w:val="20"/>
              </w:rPr>
            </w:pPr>
            <w:r w:rsidRPr="0004593F">
              <w:rPr>
                <w:rFonts w:eastAsia="Calibri" w:cs="Calibri"/>
                <w:b/>
                <w:color w:val="000000"/>
                <w:sz w:val="20"/>
                <w:szCs w:val="20"/>
              </w:rPr>
              <w:t>2018/2017</w:t>
            </w:r>
          </w:p>
        </w:tc>
      </w:tr>
      <w:tr w:rsidR="0004593F" w:rsidRPr="0004593F" w14:paraId="54C3D419" w14:textId="77777777" w:rsidTr="0001554C">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2085" w14:textId="77777777" w:rsidR="0004593F" w:rsidRPr="0004593F" w:rsidRDefault="0004593F" w:rsidP="0001554C">
            <w:pPr>
              <w:keepNext/>
              <w:spacing w:after="0"/>
              <w:contextualSpacing/>
              <w:rPr>
                <w:rFonts w:cs="Calibri"/>
                <w:bCs/>
                <w:color w:val="000000"/>
                <w:sz w:val="20"/>
                <w:szCs w:val="20"/>
                <w:lang w:eastAsia="cs-CZ"/>
              </w:rPr>
            </w:pPr>
            <w:r w:rsidRPr="0004593F">
              <w:rPr>
                <w:rFonts w:cs="Calibri"/>
                <w:bCs/>
                <w:color w:val="000000"/>
                <w:sz w:val="20"/>
                <w:szCs w:val="20"/>
                <w:lang w:eastAsia="cs-CZ"/>
              </w:rPr>
              <w:t>Výnosy celkem</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555650C7"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30,09 %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65C08D"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-29,20 %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98CE65"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-75,39 %</w:t>
            </w:r>
          </w:p>
        </w:tc>
        <w:tc>
          <w:tcPr>
            <w:tcW w:w="1701" w:type="dxa"/>
            <w:tcBorders>
              <w:top w:val="single" w:sz="4" w:space="0" w:color="auto"/>
              <w:left w:val="nil"/>
              <w:bottom w:val="single" w:sz="4" w:space="0" w:color="auto"/>
              <w:right w:val="single" w:sz="4" w:space="0" w:color="auto"/>
            </w:tcBorders>
            <w:vAlign w:val="center"/>
          </w:tcPr>
          <w:p w14:paraId="3632C532"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332,86 %</w:t>
            </w:r>
          </w:p>
        </w:tc>
      </w:tr>
      <w:tr w:rsidR="0004593F" w:rsidRPr="0004593F" w14:paraId="5CC5CEA7" w14:textId="77777777" w:rsidTr="0001554C">
        <w:trPr>
          <w:trHeight w:val="255"/>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CA11D" w14:textId="77777777" w:rsidR="0004593F" w:rsidRPr="0004593F" w:rsidRDefault="0004593F" w:rsidP="0001554C">
            <w:pPr>
              <w:keepNext/>
              <w:spacing w:after="0"/>
              <w:contextualSpacing/>
              <w:rPr>
                <w:rFonts w:cs="Calibri"/>
                <w:bCs/>
                <w:color w:val="000000"/>
                <w:sz w:val="20"/>
                <w:szCs w:val="20"/>
                <w:lang w:eastAsia="cs-CZ"/>
              </w:rPr>
            </w:pPr>
            <w:r w:rsidRPr="0004593F">
              <w:rPr>
                <w:rFonts w:cs="Calibri"/>
                <w:bCs/>
                <w:color w:val="000000"/>
                <w:sz w:val="20"/>
                <w:szCs w:val="20"/>
                <w:lang w:eastAsia="cs-CZ"/>
              </w:rPr>
              <w:t>Náklady celkem</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4ADD42A"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44,75 %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B12834"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-41,77 %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5FF74F"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-54,96 %</w:t>
            </w:r>
          </w:p>
        </w:tc>
        <w:tc>
          <w:tcPr>
            <w:tcW w:w="1701" w:type="dxa"/>
            <w:tcBorders>
              <w:top w:val="single" w:sz="4" w:space="0" w:color="auto"/>
              <w:left w:val="nil"/>
              <w:bottom w:val="single" w:sz="4" w:space="0" w:color="auto"/>
              <w:right w:val="single" w:sz="4" w:space="0" w:color="auto"/>
            </w:tcBorders>
            <w:vAlign w:val="center"/>
          </w:tcPr>
          <w:p w14:paraId="4A9F4FD1" w14:textId="77777777" w:rsidR="0004593F" w:rsidRPr="0004593F" w:rsidRDefault="0004593F" w:rsidP="00B4276F">
            <w:pPr>
              <w:keepNext/>
              <w:spacing w:after="0"/>
              <w:contextualSpacing/>
              <w:jc w:val="right"/>
              <w:rPr>
                <w:rFonts w:eastAsia="Calibri" w:cs="Calibri"/>
                <w:color w:val="000000"/>
                <w:sz w:val="20"/>
                <w:szCs w:val="20"/>
              </w:rPr>
            </w:pPr>
            <w:r w:rsidRPr="0004593F">
              <w:rPr>
                <w:rFonts w:eastAsia="Calibri" w:cs="Calibri"/>
                <w:color w:val="000000"/>
                <w:sz w:val="20"/>
                <w:szCs w:val="20"/>
              </w:rPr>
              <w:t>196,15 %</w:t>
            </w:r>
          </w:p>
        </w:tc>
      </w:tr>
    </w:tbl>
    <w:p w14:paraId="2B95D2AE" w14:textId="413B7D14" w:rsidR="0004593F" w:rsidRDefault="0004593F" w:rsidP="00B4276F">
      <w:pPr>
        <w:spacing w:before="40" w:after="0"/>
        <w:jc w:val="both"/>
        <w:rPr>
          <w:rFonts w:cs="Calibri"/>
          <w:color w:val="000000"/>
          <w:sz w:val="20"/>
          <w:szCs w:val="20"/>
          <w:lang w:eastAsia="cs-CZ"/>
        </w:rPr>
      </w:pPr>
      <w:bookmarkStart w:id="51" w:name="_Toc520714941"/>
      <w:r w:rsidRPr="0004593F">
        <w:rPr>
          <w:rFonts w:cs="Calibri"/>
          <w:b/>
          <w:color w:val="000000"/>
          <w:sz w:val="20"/>
          <w:szCs w:val="20"/>
          <w:lang w:eastAsia="cs-CZ"/>
        </w:rPr>
        <w:t xml:space="preserve">Zdroj: </w:t>
      </w:r>
      <w:r w:rsidRPr="0004593F">
        <w:rPr>
          <w:rFonts w:cs="Calibri"/>
          <w:color w:val="000000"/>
          <w:sz w:val="20"/>
          <w:szCs w:val="20"/>
          <w:lang w:eastAsia="cs-CZ"/>
        </w:rPr>
        <w:t xml:space="preserve">výpočet </w:t>
      </w:r>
      <w:r w:rsidR="003D138C">
        <w:rPr>
          <w:rFonts w:cs="Calibri"/>
          <w:color w:val="000000"/>
          <w:sz w:val="20"/>
          <w:szCs w:val="20"/>
          <w:lang w:eastAsia="cs-CZ"/>
        </w:rPr>
        <w:t xml:space="preserve">vypracoval </w:t>
      </w:r>
      <w:r w:rsidRPr="0004593F">
        <w:rPr>
          <w:rFonts w:cs="Calibri"/>
          <w:color w:val="000000"/>
          <w:sz w:val="20"/>
          <w:szCs w:val="20"/>
          <w:lang w:eastAsia="cs-CZ"/>
        </w:rPr>
        <w:t>NKÚ.</w:t>
      </w:r>
    </w:p>
    <w:p w14:paraId="0191FDF7" w14:textId="413C19F8" w:rsidR="00247A8C" w:rsidRPr="00BB1D4B" w:rsidRDefault="00247A8C" w:rsidP="0004593F">
      <w:pPr>
        <w:spacing w:after="0"/>
        <w:contextualSpacing/>
        <w:jc w:val="both"/>
        <w:rPr>
          <w:rFonts w:cs="Calibri"/>
          <w:bCs/>
          <w:color w:val="000000"/>
          <w:szCs w:val="20"/>
          <w:lang w:eastAsia="cs-CZ"/>
        </w:rPr>
      </w:pPr>
    </w:p>
    <w:p w14:paraId="2DC03A46" w14:textId="344A23BE" w:rsidR="0004593F" w:rsidRPr="00BB1D4B" w:rsidRDefault="0026684F" w:rsidP="00BB1D4B">
      <w:pPr>
        <w:keepNext/>
        <w:tabs>
          <w:tab w:val="right" w:pos="10064"/>
        </w:tabs>
        <w:spacing w:after="0"/>
        <w:contextualSpacing/>
        <w:rPr>
          <w:rFonts w:cs="Calibri"/>
          <w:b/>
          <w:iCs/>
          <w:szCs w:val="20"/>
        </w:rPr>
      </w:pPr>
      <w:bookmarkStart w:id="52" w:name="_Toc8985137"/>
      <w:bookmarkStart w:id="53" w:name="_Toc8989919"/>
      <w:bookmarkStart w:id="54" w:name="_Toc33101069"/>
      <w:r w:rsidRPr="00BB1D4B">
        <w:rPr>
          <w:rFonts w:eastAsia="Calibri" w:cs="Calibri"/>
          <w:noProof/>
          <w:szCs w:val="20"/>
          <w:lang w:eastAsia="cs-CZ"/>
        </w:rPr>
        <w:drawing>
          <wp:anchor distT="0" distB="0" distL="114300" distR="114300" simplePos="0" relativeHeight="251675648" behindDoc="0" locked="0" layoutInCell="1" allowOverlap="1" wp14:anchorId="28719B41" wp14:editId="32E53082">
            <wp:simplePos x="0" y="0"/>
            <wp:positionH relativeFrom="column">
              <wp:posOffset>4445</wp:posOffset>
            </wp:positionH>
            <wp:positionV relativeFrom="paragraph">
              <wp:posOffset>209550</wp:posOffset>
            </wp:positionV>
            <wp:extent cx="5760720" cy="3219450"/>
            <wp:effectExtent l="0" t="0" r="0" b="0"/>
            <wp:wrapTopAndBottom/>
            <wp:docPr id="744" name="Graf 7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04593F" w:rsidRPr="00BB1D4B">
        <w:rPr>
          <w:rFonts w:cs="Calibri"/>
          <w:b/>
          <w:iCs/>
          <w:szCs w:val="20"/>
        </w:rPr>
        <w:t xml:space="preserve">Graf č. </w:t>
      </w:r>
      <w:r w:rsidR="0004593F" w:rsidRPr="00BB1D4B">
        <w:rPr>
          <w:rFonts w:cs="Calibri"/>
          <w:b/>
          <w:iCs/>
          <w:szCs w:val="20"/>
        </w:rPr>
        <w:fldChar w:fldCharType="begin"/>
      </w:r>
      <w:r w:rsidR="0004593F" w:rsidRPr="00BB1D4B">
        <w:rPr>
          <w:rFonts w:cs="Calibri"/>
          <w:b/>
          <w:iCs/>
          <w:szCs w:val="20"/>
        </w:rPr>
        <w:instrText xml:space="preserve"> SEQ Graf \* ARABIC </w:instrText>
      </w:r>
      <w:r w:rsidR="0004593F" w:rsidRPr="00BB1D4B">
        <w:rPr>
          <w:rFonts w:cs="Calibri"/>
          <w:b/>
          <w:iCs/>
          <w:szCs w:val="20"/>
        </w:rPr>
        <w:fldChar w:fldCharType="separate"/>
      </w:r>
      <w:r w:rsidR="00015BEA">
        <w:rPr>
          <w:rFonts w:cs="Calibri"/>
          <w:b/>
          <w:iCs/>
          <w:noProof/>
          <w:szCs w:val="20"/>
        </w:rPr>
        <w:t>2</w:t>
      </w:r>
      <w:r w:rsidR="0004593F" w:rsidRPr="00BB1D4B">
        <w:rPr>
          <w:rFonts w:cs="Calibri"/>
          <w:b/>
          <w:iCs/>
          <w:szCs w:val="20"/>
        </w:rPr>
        <w:fldChar w:fldCharType="end"/>
      </w:r>
      <w:r w:rsidR="0004593F" w:rsidRPr="00BB1D4B">
        <w:rPr>
          <w:rFonts w:cs="Calibri"/>
          <w:b/>
          <w:iCs/>
          <w:szCs w:val="20"/>
        </w:rPr>
        <w:t>: Porovnání meziročního tempa růstu výnosů a nákladů MMR v období 2015–2018</w:t>
      </w:r>
      <w:bookmarkEnd w:id="51"/>
      <w:bookmarkEnd w:id="52"/>
      <w:bookmarkEnd w:id="53"/>
      <w:bookmarkEnd w:id="54"/>
    </w:p>
    <w:p w14:paraId="428859D5" w14:textId="54DABE5E" w:rsidR="0004593F" w:rsidRPr="0026684F" w:rsidRDefault="0004593F" w:rsidP="00BB1D4B">
      <w:pPr>
        <w:spacing w:after="0"/>
        <w:contextualSpacing/>
        <w:jc w:val="both"/>
        <w:rPr>
          <w:rFonts w:eastAsia="Calibri" w:cs="Calibri"/>
          <w:szCs w:val="20"/>
        </w:rPr>
      </w:pPr>
    </w:p>
    <w:p w14:paraId="0D8BA82E" w14:textId="747A32E0" w:rsidR="0004593F" w:rsidRPr="0026684F" w:rsidRDefault="0004593F" w:rsidP="0004593F">
      <w:pPr>
        <w:spacing w:after="0"/>
        <w:contextualSpacing/>
        <w:jc w:val="both"/>
        <w:rPr>
          <w:rFonts w:eastAsia="Calibri" w:cs="Calibri"/>
          <w:szCs w:val="20"/>
        </w:rPr>
      </w:pPr>
      <w:r w:rsidRPr="0026684F">
        <w:rPr>
          <w:rFonts w:eastAsia="Calibri" w:cs="Calibri"/>
          <w:szCs w:val="20"/>
        </w:rPr>
        <w:t>Zatímco do roku 2017 výnosy i náklady MMR klesaly, v roce 2018 došlo u obou sledovaných veličin k růstu. Výnosy vzrostly o 332,86 %, což v absolutním vyjádření představuje 14</w:t>
      </w:r>
      <w:r w:rsidR="00BB1D4B">
        <w:rPr>
          <w:rFonts w:eastAsia="Calibri" w:cs="Calibri"/>
          <w:szCs w:val="20"/>
        </w:rPr>
        <w:t> </w:t>
      </w:r>
      <w:r w:rsidRPr="0026684F">
        <w:rPr>
          <w:rFonts w:eastAsia="Calibri" w:cs="Calibri"/>
          <w:szCs w:val="20"/>
        </w:rPr>
        <w:t>184</w:t>
      </w:r>
      <w:r w:rsidR="00BB1D4B">
        <w:rPr>
          <w:rFonts w:eastAsia="Calibri" w:cs="Calibri"/>
          <w:szCs w:val="20"/>
        </w:rPr>
        <w:t> </w:t>
      </w:r>
      <w:r w:rsidRPr="0026684F">
        <w:rPr>
          <w:rFonts w:eastAsia="Calibri" w:cs="Calibri"/>
          <w:szCs w:val="20"/>
        </w:rPr>
        <w:t>199</w:t>
      </w:r>
      <w:r w:rsidR="00BB1D4B">
        <w:rPr>
          <w:rFonts w:eastAsia="Calibri" w:cs="Calibri"/>
          <w:szCs w:val="20"/>
        </w:rPr>
        <w:t> </w:t>
      </w:r>
      <w:r w:rsidRPr="0026684F">
        <w:rPr>
          <w:rFonts w:eastAsia="Calibri" w:cs="Calibri"/>
          <w:szCs w:val="20"/>
        </w:rPr>
        <w:t>686,51</w:t>
      </w:r>
      <w:r w:rsidR="00BB1D4B">
        <w:rPr>
          <w:rFonts w:eastAsia="Calibri" w:cs="Calibri"/>
          <w:szCs w:val="20"/>
        </w:rPr>
        <w:t> </w:t>
      </w:r>
      <w:r w:rsidRPr="0026684F">
        <w:rPr>
          <w:rFonts w:eastAsia="Calibri" w:cs="Calibri"/>
          <w:szCs w:val="20"/>
        </w:rPr>
        <w:t>Kč. Náklady vzrostly o 196,15 %, tj. o 14 800 362 500,21 Kč.</w:t>
      </w:r>
    </w:p>
    <w:p w14:paraId="41BFB52B" w14:textId="30956DE6" w:rsidR="0004593F" w:rsidRPr="0026684F" w:rsidRDefault="0004593F" w:rsidP="0004593F">
      <w:pPr>
        <w:spacing w:after="0"/>
        <w:contextualSpacing/>
        <w:jc w:val="both"/>
        <w:rPr>
          <w:rFonts w:eastAsia="Calibri" w:cs="Calibri"/>
          <w:szCs w:val="20"/>
          <w:highlight w:val="yellow"/>
        </w:rPr>
      </w:pPr>
    </w:p>
    <w:p w14:paraId="6FA5DABB" w14:textId="77777777" w:rsidR="00247A8C" w:rsidRPr="0026684F" w:rsidRDefault="00247A8C" w:rsidP="0004593F">
      <w:pPr>
        <w:spacing w:after="0"/>
        <w:contextualSpacing/>
        <w:jc w:val="both"/>
        <w:rPr>
          <w:rFonts w:eastAsia="Calibri" w:cs="Calibri"/>
          <w:szCs w:val="20"/>
          <w:highlight w:val="yellow"/>
        </w:rPr>
      </w:pPr>
    </w:p>
    <w:p w14:paraId="7295FEE5" w14:textId="3F815C8B" w:rsidR="0004593F" w:rsidRPr="0026684F" w:rsidRDefault="0004593F" w:rsidP="00BB1D4B">
      <w:pPr>
        <w:keepNext/>
        <w:tabs>
          <w:tab w:val="right" w:pos="9072"/>
        </w:tabs>
        <w:spacing w:after="0"/>
        <w:ind w:left="567" w:hanging="567"/>
        <w:contextualSpacing/>
        <w:jc w:val="center"/>
        <w:outlineLvl w:val="1"/>
        <w:rPr>
          <w:rFonts w:eastAsia="Calibri" w:cs="Calibri"/>
          <w:b/>
          <w:szCs w:val="20"/>
        </w:rPr>
      </w:pPr>
      <w:r w:rsidRPr="0026684F">
        <w:rPr>
          <w:rFonts w:eastAsia="Calibri" w:cs="Calibri"/>
          <w:b/>
          <w:szCs w:val="20"/>
        </w:rPr>
        <w:t>Oddíl VI. Náklady z činnosti, náklady na transfery a výnosy z transferů vykázané MMR</w:t>
      </w:r>
    </w:p>
    <w:p w14:paraId="60C80C66" w14:textId="77777777" w:rsidR="00247A8C" w:rsidRPr="0026684F" w:rsidRDefault="00247A8C" w:rsidP="00BB1D4B">
      <w:pPr>
        <w:keepNext/>
        <w:tabs>
          <w:tab w:val="right" w:pos="9072"/>
        </w:tabs>
        <w:spacing w:after="0"/>
        <w:ind w:left="567" w:hanging="567"/>
        <w:contextualSpacing/>
        <w:jc w:val="center"/>
        <w:outlineLvl w:val="1"/>
        <w:rPr>
          <w:rFonts w:eastAsia="Calibri" w:cs="Calibri"/>
          <w:b/>
          <w:szCs w:val="20"/>
        </w:rPr>
      </w:pPr>
    </w:p>
    <w:p w14:paraId="7F6093F2" w14:textId="483F8E9E" w:rsidR="0004593F" w:rsidRPr="0026684F" w:rsidRDefault="0004593F" w:rsidP="0001554C">
      <w:pPr>
        <w:keepNext/>
        <w:spacing w:after="40"/>
        <w:rPr>
          <w:rFonts w:cs="Calibri"/>
          <w:b/>
          <w:iCs/>
          <w:szCs w:val="20"/>
        </w:rPr>
      </w:pPr>
      <w:bookmarkStart w:id="55" w:name="_Toc520714335"/>
      <w:bookmarkStart w:id="56" w:name="_Toc8984542"/>
      <w:bookmarkStart w:id="57" w:name="_Toc33100902"/>
      <w:bookmarkStart w:id="58" w:name="_Toc6902528"/>
      <w:bookmarkStart w:id="59" w:name="_Toc18644617"/>
      <w:r w:rsidRPr="0026684F">
        <w:rPr>
          <w:rFonts w:cs="Calibri"/>
          <w:b/>
          <w:iCs/>
          <w:szCs w:val="20"/>
        </w:rPr>
        <w:t xml:space="preserve">Tabulka č. </w:t>
      </w:r>
      <w:r w:rsidRPr="0026684F">
        <w:rPr>
          <w:rFonts w:cs="Calibri"/>
          <w:b/>
          <w:iCs/>
          <w:szCs w:val="20"/>
        </w:rPr>
        <w:fldChar w:fldCharType="begin"/>
      </w:r>
      <w:r w:rsidRPr="0026684F">
        <w:rPr>
          <w:rFonts w:cs="Calibri"/>
          <w:b/>
          <w:iCs/>
          <w:szCs w:val="20"/>
        </w:rPr>
        <w:instrText xml:space="preserve"> SEQ Tabulka \* ARABIC </w:instrText>
      </w:r>
      <w:r w:rsidRPr="0026684F">
        <w:rPr>
          <w:rFonts w:cs="Calibri"/>
          <w:b/>
          <w:iCs/>
          <w:szCs w:val="20"/>
        </w:rPr>
        <w:fldChar w:fldCharType="separate"/>
      </w:r>
      <w:r w:rsidR="00015BEA">
        <w:rPr>
          <w:rFonts w:cs="Calibri"/>
          <w:b/>
          <w:iCs/>
          <w:noProof/>
          <w:szCs w:val="20"/>
        </w:rPr>
        <w:t>12</w:t>
      </w:r>
      <w:r w:rsidRPr="0026684F">
        <w:rPr>
          <w:rFonts w:cs="Calibri"/>
          <w:b/>
          <w:iCs/>
          <w:szCs w:val="20"/>
        </w:rPr>
        <w:fldChar w:fldCharType="end"/>
      </w:r>
      <w:r w:rsidRPr="0026684F">
        <w:rPr>
          <w:rFonts w:cs="Calibri"/>
          <w:b/>
          <w:iCs/>
          <w:szCs w:val="20"/>
        </w:rPr>
        <w:t>: Průměrný přepočtený počet zaměstnanců</w:t>
      </w:r>
      <w:bookmarkEnd w:id="55"/>
      <w:bookmarkEnd w:id="56"/>
      <w:bookmarkEnd w:id="57"/>
    </w:p>
    <w:tbl>
      <w:tblPr>
        <w:tblW w:w="5000" w:type="pct"/>
        <w:tblCellMar>
          <w:left w:w="70" w:type="dxa"/>
          <w:right w:w="70" w:type="dxa"/>
        </w:tblCellMar>
        <w:tblLook w:val="04A0" w:firstRow="1" w:lastRow="0" w:firstColumn="1" w:lastColumn="0" w:noHBand="0" w:noVBand="1"/>
      </w:tblPr>
      <w:tblGrid>
        <w:gridCol w:w="2826"/>
        <w:gridCol w:w="1246"/>
        <w:gridCol w:w="1247"/>
        <w:gridCol w:w="1247"/>
        <w:gridCol w:w="1247"/>
        <w:gridCol w:w="1247"/>
      </w:tblGrid>
      <w:tr w:rsidR="0004593F" w:rsidRPr="0004593F" w14:paraId="41BEB44A" w14:textId="77777777" w:rsidTr="0004593F">
        <w:trPr>
          <w:trHeight w:val="255"/>
        </w:trPr>
        <w:tc>
          <w:tcPr>
            <w:tcW w:w="156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7189563" w14:textId="77777777" w:rsidR="0004593F" w:rsidRPr="0004593F" w:rsidRDefault="0004593F" w:rsidP="00BB1D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Organizace</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4527D526" w14:textId="77777777" w:rsidR="0004593F" w:rsidRPr="0004593F" w:rsidRDefault="0004593F" w:rsidP="00BB1D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2428F902" w14:textId="77777777" w:rsidR="0004593F" w:rsidRPr="0004593F" w:rsidRDefault="0004593F" w:rsidP="00BB1D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52E59246" w14:textId="77777777" w:rsidR="0004593F" w:rsidRPr="0004593F" w:rsidRDefault="0004593F" w:rsidP="00BB1D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4C296B62" w14:textId="77777777" w:rsidR="0004593F" w:rsidRPr="0004593F" w:rsidRDefault="0004593F" w:rsidP="00BB1D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688" w:type="pct"/>
            <w:tcBorders>
              <w:top w:val="single" w:sz="4" w:space="0" w:color="auto"/>
              <w:left w:val="nil"/>
              <w:bottom w:val="single" w:sz="4" w:space="0" w:color="auto"/>
              <w:right w:val="single" w:sz="4" w:space="0" w:color="auto"/>
            </w:tcBorders>
            <w:shd w:val="clear" w:color="auto" w:fill="E5F1FF"/>
          </w:tcPr>
          <w:p w14:paraId="6C097447" w14:textId="77777777" w:rsidR="0004593F" w:rsidRPr="0004593F" w:rsidRDefault="0004593F" w:rsidP="00BB1D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57B39F8C" w14:textId="77777777" w:rsidTr="0004593F">
        <w:trPr>
          <w:trHeight w:val="255"/>
        </w:trPr>
        <w:tc>
          <w:tcPr>
            <w:tcW w:w="1560" w:type="pct"/>
            <w:tcBorders>
              <w:top w:val="nil"/>
              <w:left w:val="single" w:sz="4" w:space="0" w:color="auto"/>
              <w:bottom w:val="single" w:sz="4" w:space="0" w:color="auto"/>
              <w:right w:val="single" w:sz="4" w:space="0" w:color="auto"/>
            </w:tcBorders>
            <w:shd w:val="clear" w:color="auto" w:fill="auto"/>
            <w:noWrap/>
            <w:vAlign w:val="center"/>
          </w:tcPr>
          <w:p w14:paraId="4C175552" w14:textId="77777777" w:rsidR="0004593F" w:rsidRPr="0004593F" w:rsidRDefault="0004593F" w:rsidP="00BB1D4B">
            <w:pPr>
              <w:keepNext/>
              <w:spacing w:after="0"/>
              <w:contextualSpacing/>
              <w:jc w:val="both"/>
              <w:rPr>
                <w:rFonts w:eastAsia="Calibri" w:cs="Calibri"/>
                <w:color w:val="000000"/>
                <w:sz w:val="20"/>
                <w:szCs w:val="20"/>
              </w:rPr>
            </w:pPr>
            <w:r w:rsidRPr="0004593F">
              <w:rPr>
                <w:rFonts w:eastAsia="Calibri" w:cs="Calibri"/>
                <w:color w:val="000000"/>
                <w:sz w:val="20"/>
                <w:szCs w:val="20"/>
              </w:rPr>
              <w:t>MMR</w:t>
            </w:r>
          </w:p>
        </w:tc>
        <w:tc>
          <w:tcPr>
            <w:tcW w:w="688" w:type="pct"/>
            <w:tcBorders>
              <w:top w:val="nil"/>
              <w:left w:val="nil"/>
              <w:bottom w:val="single" w:sz="4" w:space="0" w:color="auto"/>
              <w:right w:val="single" w:sz="4" w:space="0" w:color="auto"/>
            </w:tcBorders>
            <w:shd w:val="clear" w:color="auto" w:fill="auto"/>
            <w:noWrap/>
            <w:vAlign w:val="center"/>
          </w:tcPr>
          <w:p w14:paraId="36310DD8"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584</w:t>
            </w:r>
          </w:p>
        </w:tc>
        <w:tc>
          <w:tcPr>
            <w:tcW w:w="688" w:type="pct"/>
            <w:tcBorders>
              <w:top w:val="nil"/>
              <w:left w:val="nil"/>
              <w:bottom w:val="single" w:sz="4" w:space="0" w:color="auto"/>
              <w:right w:val="single" w:sz="4" w:space="0" w:color="auto"/>
            </w:tcBorders>
            <w:shd w:val="clear" w:color="auto" w:fill="auto"/>
            <w:noWrap/>
            <w:vAlign w:val="center"/>
          </w:tcPr>
          <w:p w14:paraId="12ECF642"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613</w:t>
            </w:r>
          </w:p>
        </w:tc>
        <w:tc>
          <w:tcPr>
            <w:tcW w:w="688" w:type="pct"/>
            <w:tcBorders>
              <w:top w:val="nil"/>
              <w:left w:val="nil"/>
              <w:bottom w:val="single" w:sz="4" w:space="0" w:color="auto"/>
              <w:right w:val="single" w:sz="4" w:space="0" w:color="auto"/>
            </w:tcBorders>
            <w:shd w:val="clear" w:color="auto" w:fill="auto"/>
            <w:noWrap/>
            <w:vAlign w:val="center"/>
          </w:tcPr>
          <w:p w14:paraId="27AFECD6"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613</w:t>
            </w:r>
          </w:p>
        </w:tc>
        <w:tc>
          <w:tcPr>
            <w:tcW w:w="688" w:type="pct"/>
            <w:tcBorders>
              <w:top w:val="nil"/>
              <w:left w:val="nil"/>
              <w:bottom w:val="single" w:sz="4" w:space="0" w:color="auto"/>
              <w:right w:val="single" w:sz="4" w:space="0" w:color="auto"/>
            </w:tcBorders>
            <w:shd w:val="clear" w:color="auto" w:fill="auto"/>
            <w:noWrap/>
            <w:vAlign w:val="center"/>
          </w:tcPr>
          <w:p w14:paraId="231DA3B0"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649</w:t>
            </w:r>
          </w:p>
        </w:tc>
        <w:tc>
          <w:tcPr>
            <w:tcW w:w="688" w:type="pct"/>
            <w:tcBorders>
              <w:top w:val="nil"/>
              <w:left w:val="nil"/>
              <w:bottom w:val="single" w:sz="4" w:space="0" w:color="auto"/>
              <w:right w:val="single" w:sz="4" w:space="0" w:color="auto"/>
            </w:tcBorders>
            <w:vAlign w:val="center"/>
          </w:tcPr>
          <w:p w14:paraId="431D5787"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681</w:t>
            </w:r>
          </w:p>
        </w:tc>
      </w:tr>
      <w:tr w:rsidR="0004593F" w:rsidRPr="0004593F" w14:paraId="369B17B6" w14:textId="77777777" w:rsidTr="0004593F">
        <w:trPr>
          <w:trHeight w:val="255"/>
        </w:trPr>
        <w:tc>
          <w:tcPr>
            <w:tcW w:w="1560" w:type="pct"/>
            <w:tcBorders>
              <w:top w:val="nil"/>
              <w:left w:val="single" w:sz="4" w:space="0" w:color="auto"/>
              <w:bottom w:val="single" w:sz="4" w:space="0" w:color="auto"/>
              <w:right w:val="single" w:sz="4" w:space="0" w:color="auto"/>
            </w:tcBorders>
            <w:shd w:val="clear" w:color="auto" w:fill="auto"/>
            <w:noWrap/>
            <w:vAlign w:val="center"/>
          </w:tcPr>
          <w:p w14:paraId="20FC9EF8" w14:textId="77777777" w:rsidR="0004593F" w:rsidRPr="0004593F" w:rsidRDefault="0004593F" w:rsidP="00BB1D4B">
            <w:pPr>
              <w:keepNext/>
              <w:spacing w:after="0"/>
              <w:contextualSpacing/>
              <w:jc w:val="both"/>
              <w:rPr>
                <w:rFonts w:eastAsia="Calibri" w:cs="Calibri"/>
                <w:color w:val="000000"/>
                <w:sz w:val="20"/>
                <w:szCs w:val="20"/>
              </w:rPr>
            </w:pPr>
            <w:r w:rsidRPr="0004593F">
              <w:rPr>
                <w:rFonts w:eastAsia="Calibri" w:cs="Calibri"/>
                <w:color w:val="000000"/>
                <w:sz w:val="20"/>
                <w:szCs w:val="20"/>
              </w:rPr>
              <w:t>OSS vč. MMR</w:t>
            </w:r>
          </w:p>
        </w:tc>
        <w:tc>
          <w:tcPr>
            <w:tcW w:w="688" w:type="pct"/>
            <w:tcBorders>
              <w:top w:val="nil"/>
              <w:left w:val="nil"/>
              <w:bottom w:val="single" w:sz="4" w:space="0" w:color="auto"/>
              <w:right w:val="single" w:sz="4" w:space="0" w:color="auto"/>
            </w:tcBorders>
            <w:shd w:val="clear" w:color="auto" w:fill="auto"/>
            <w:noWrap/>
            <w:vAlign w:val="center"/>
          </w:tcPr>
          <w:p w14:paraId="166B5328"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614</w:t>
            </w:r>
          </w:p>
        </w:tc>
        <w:tc>
          <w:tcPr>
            <w:tcW w:w="688" w:type="pct"/>
            <w:tcBorders>
              <w:top w:val="nil"/>
              <w:left w:val="nil"/>
              <w:bottom w:val="single" w:sz="4" w:space="0" w:color="auto"/>
              <w:right w:val="single" w:sz="4" w:space="0" w:color="auto"/>
            </w:tcBorders>
            <w:shd w:val="clear" w:color="auto" w:fill="auto"/>
            <w:noWrap/>
            <w:vAlign w:val="center"/>
          </w:tcPr>
          <w:p w14:paraId="2E61EED0"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641</w:t>
            </w:r>
          </w:p>
        </w:tc>
        <w:tc>
          <w:tcPr>
            <w:tcW w:w="688" w:type="pct"/>
            <w:tcBorders>
              <w:top w:val="nil"/>
              <w:left w:val="nil"/>
              <w:bottom w:val="single" w:sz="4" w:space="0" w:color="auto"/>
              <w:right w:val="single" w:sz="4" w:space="0" w:color="auto"/>
            </w:tcBorders>
            <w:shd w:val="clear" w:color="auto" w:fill="auto"/>
            <w:noWrap/>
            <w:vAlign w:val="center"/>
          </w:tcPr>
          <w:p w14:paraId="7E136DC3"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632</w:t>
            </w:r>
          </w:p>
        </w:tc>
        <w:tc>
          <w:tcPr>
            <w:tcW w:w="688" w:type="pct"/>
            <w:tcBorders>
              <w:top w:val="nil"/>
              <w:left w:val="nil"/>
              <w:bottom w:val="single" w:sz="4" w:space="0" w:color="auto"/>
              <w:right w:val="single" w:sz="4" w:space="0" w:color="auto"/>
            </w:tcBorders>
            <w:shd w:val="clear" w:color="auto" w:fill="auto"/>
            <w:noWrap/>
            <w:vAlign w:val="center"/>
          </w:tcPr>
          <w:p w14:paraId="4A66C7A0"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664</w:t>
            </w:r>
          </w:p>
        </w:tc>
        <w:tc>
          <w:tcPr>
            <w:tcW w:w="688" w:type="pct"/>
            <w:tcBorders>
              <w:top w:val="nil"/>
              <w:left w:val="nil"/>
              <w:bottom w:val="single" w:sz="4" w:space="0" w:color="auto"/>
              <w:right w:val="single" w:sz="4" w:space="0" w:color="auto"/>
            </w:tcBorders>
            <w:vAlign w:val="center"/>
          </w:tcPr>
          <w:p w14:paraId="640533A4"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696</w:t>
            </w:r>
          </w:p>
        </w:tc>
      </w:tr>
      <w:tr w:rsidR="0004593F" w:rsidRPr="0004593F" w14:paraId="09FD2010" w14:textId="77777777" w:rsidTr="0004593F">
        <w:trPr>
          <w:trHeight w:val="255"/>
        </w:trPr>
        <w:tc>
          <w:tcPr>
            <w:tcW w:w="1560" w:type="pct"/>
            <w:tcBorders>
              <w:top w:val="nil"/>
              <w:left w:val="single" w:sz="4" w:space="0" w:color="auto"/>
              <w:bottom w:val="single" w:sz="4" w:space="0" w:color="auto"/>
              <w:right w:val="single" w:sz="4" w:space="0" w:color="auto"/>
            </w:tcBorders>
            <w:shd w:val="clear" w:color="auto" w:fill="auto"/>
            <w:noWrap/>
            <w:vAlign w:val="center"/>
          </w:tcPr>
          <w:p w14:paraId="76E961A1" w14:textId="77777777" w:rsidR="0004593F" w:rsidRPr="0004593F" w:rsidRDefault="0004593F" w:rsidP="00BB1D4B">
            <w:pPr>
              <w:keepNext/>
              <w:spacing w:after="0"/>
              <w:contextualSpacing/>
              <w:jc w:val="both"/>
              <w:rPr>
                <w:rFonts w:eastAsia="Calibri" w:cs="Calibri"/>
                <w:color w:val="000000"/>
                <w:sz w:val="20"/>
                <w:szCs w:val="20"/>
              </w:rPr>
            </w:pPr>
            <w:r w:rsidRPr="0004593F">
              <w:rPr>
                <w:rFonts w:eastAsia="Calibri" w:cs="Calibri"/>
                <w:color w:val="000000"/>
                <w:sz w:val="20"/>
                <w:szCs w:val="20"/>
              </w:rPr>
              <w:t>OSS bez MMR</w:t>
            </w:r>
          </w:p>
        </w:tc>
        <w:tc>
          <w:tcPr>
            <w:tcW w:w="688" w:type="pct"/>
            <w:tcBorders>
              <w:top w:val="nil"/>
              <w:left w:val="nil"/>
              <w:bottom w:val="single" w:sz="4" w:space="0" w:color="auto"/>
              <w:right w:val="single" w:sz="4" w:space="0" w:color="auto"/>
            </w:tcBorders>
            <w:shd w:val="clear" w:color="auto" w:fill="auto"/>
            <w:noWrap/>
            <w:vAlign w:val="center"/>
          </w:tcPr>
          <w:p w14:paraId="72534663"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30</w:t>
            </w:r>
          </w:p>
        </w:tc>
        <w:tc>
          <w:tcPr>
            <w:tcW w:w="688" w:type="pct"/>
            <w:tcBorders>
              <w:top w:val="nil"/>
              <w:left w:val="nil"/>
              <w:bottom w:val="single" w:sz="4" w:space="0" w:color="auto"/>
              <w:right w:val="single" w:sz="4" w:space="0" w:color="auto"/>
            </w:tcBorders>
            <w:shd w:val="clear" w:color="auto" w:fill="auto"/>
            <w:noWrap/>
            <w:vAlign w:val="center"/>
          </w:tcPr>
          <w:p w14:paraId="7FC02930"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28</w:t>
            </w:r>
          </w:p>
        </w:tc>
        <w:tc>
          <w:tcPr>
            <w:tcW w:w="688" w:type="pct"/>
            <w:tcBorders>
              <w:top w:val="nil"/>
              <w:left w:val="nil"/>
              <w:bottom w:val="single" w:sz="4" w:space="0" w:color="auto"/>
              <w:right w:val="single" w:sz="4" w:space="0" w:color="auto"/>
            </w:tcBorders>
            <w:shd w:val="clear" w:color="auto" w:fill="auto"/>
            <w:noWrap/>
            <w:vAlign w:val="center"/>
          </w:tcPr>
          <w:p w14:paraId="09F925EE"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19</w:t>
            </w:r>
          </w:p>
        </w:tc>
        <w:tc>
          <w:tcPr>
            <w:tcW w:w="688" w:type="pct"/>
            <w:tcBorders>
              <w:top w:val="nil"/>
              <w:left w:val="nil"/>
              <w:bottom w:val="single" w:sz="4" w:space="0" w:color="auto"/>
              <w:right w:val="single" w:sz="4" w:space="0" w:color="auto"/>
            </w:tcBorders>
            <w:shd w:val="clear" w:color="auto" w:fill="auto"/>
            <w:noWrap/>
            <w:vAlign w:val="center"/>
          </w:tcPr>
          <w:p w14:paraId="3630C8F1"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15</w:t>
            </w:r>
          </w:p>
        </w:tc>
        <w:tc>
          <w:tcPr>
            <w:tcW w:w="688" w:type="pct"/>
            <w:tcBorders>
              <w:top w:val="nil"/>
              <w:left w:val="nil"/>
              <w:bottom w:val="single" w:sz="4" w:space="0" w:color="auto"/>
              <w:right w:val="single" w:sz="4" w:space="0" w:color="auto"/>
            </w:tcBorders>
            <w:vAlign w:val="center"/>
          </w:tcPr>
          <w:p w14:paraId="0899A936"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15</w:t>
            </w:r>
          </w:p>
        </w:tc>
      </w:tr>
      <w:tr w:rsidR="0004593F" w:rsidRPr="0004593F" w14:paraId="7271F9D4" w14:textId="77777777" w:rsidTr="0004593F">
        <w:trPr>
          <w:trHeight w:val="255"/>
        </w:trPr>
        <w:tc>
          <w:tcPr>
            <w:tcW w:w="1560" w:type="pct"/>
            <w:tcBorders>
              <w:top w:val="nil"/>
              <w:left w:val="single" w:sz="4" w:space="0" w:color="auto"/>
              <w:bottom w:val="single" w:sz="4" w:space="0" w:color="auto"/>
              <w:right w:val="single" w:sz="4" w:space="0" w:color="auto"/>
            </w:tcBorders>
            <w:shd w:val="clear" w:color="auto" w:fill="auto"/>
            <w:noWrap/>
            <w:vAlign w:val="center"/>
          </w:tcPr>
          <w:p w14:paraId="4EC3B611" w14:textId="77777777" w:rsidR="0004593F" w:rsidRPr="0004593F" w:rsidRDefault="0004593F" w:rsidP="00BB1D4B">
            <w:pPr>
              <w:keepNext/>
              <w:spacing w:after="0"/>
              <w:contextualSpacing/>
              <w:jc w:val="both"/>
              <w:rPr>
                <w:rFonts w:eastAsia="Calibri" w:cs="Calibri"/>
                <w:color w:val="000000"/>
                <w:sz w:val="20"/>
                <w:szCs w:val="20"/>
              </w:rPr>
            </w:pPr>
            <w:r w:rsidRPr="0004593F">
              <w:rPr>
                <w:rFonts w:eastAsia="Calibri" w:cs="Calibri"/>
                <w:color w:val="000000"/>
                <w:sz w:val="20"/>
                <w:szCs w:val="20"/>
              </w:rPr>
              <w:t>PO</w:t>
            </w:r>
          </w:p>
        </w:tc>
        <w:tc>
          <w:tcPr>
            <w:tcW w:w="688" w:type="pct"/>
            <w:tcBorders>
              <w:top w:val="nil"/>
              <w:left w:val="nil"/>
              <w:bottom w:val="single" w:sz="4" w:space="0" w:color="auto"/>
              <w:right w:val="single" w:sz="4" w:space="0" w:color="auto"/>
            </w:tcBorders>
            <w:shd w:val="clear" w:color="auto" w:fill="auto"/>
            <w:noWrap/>
            <w:vAlign w:val="center"/>
          </w:tcPr>
          <w:p w14:paraId="452C831E"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232</w:t>
            </w:r>
          </w:p>
        </w:tc>
        <w:tc>
          <w:tcPr>
            <w:tcW w:w="688" w:type="pct"/>
            <w:tcBorders>
              <w:top w:val="nil"/>
              <w:left w:val="nil"/>
              <w:bottom w:val="single" w:sz="4" w:space="0" w:color="auto"/>
              <w:right w:val="single" w:sz="4" w:space="0" w:color="auto"/>
            </w:tcBorders>
            <w:shd w:val="clear" w:color="auto" w:fill="auto"/>
            <w:noWrap/>
            <w:vAlign w:val="center"/>
          </w:tcPr>
          <w:p w14:paraId="57AEE0AD"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266</w:t>
            </w:r>
          </w:p>
        </w:tc>
        <w:tc>
          <w:tcPr>
            <w:tcW w:w="688" w:type="pct"/>
            <w:tcBorders>
              <w:top w:val="nil"/>
              <w:left w:val="nil"/>
              <w:bottom w:val="single" w:sz="4" w:space="0" w:color="auto"/>
              <w:right w:val="single" w:sz="4" w:space="0" w:color="auto"/>
            </w:tcBorders>
            <w:shd w:val="clear" w:color="auto" w:fill="auto"/>
            <w:noWrap/>
            <w:vAlign w:val="center"/>
          </w:tcPr>
          <w:p w14:paraId="6AEE3153"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375</w:t>
            </w:r>
          </w:p>
        </w:tc>
        <w:tc>
          <w:tcPr>
            <w:tcW w:w="688" w:type="pct"/>
            <w:tcBorders>
              <w:top w:val="nil"/>
              <w:left w:val="nil"/>
              <w:bottom w:val="single" w:sz="4" w:space="0" w:color="auto"/>
              <w:right w:val="single" w:sz="4" w:space="0" w:color="auto"/>
            </w:tcBorders>
            <w:shd w:val="clear" w:color="auto" w:fill="auto"/>
            <w:noWrap/>
            <w:vAlign w:val="center"/>
          </w:tcPr>
          <w:p w14:paraId="4EE72D3F"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518</w:t>
            </w:r>
          </w:p>
        </w:tc>
        <w:tc>
          <w:tcPr>
            <w:tcW w:w="688" w:type="pct"/>
            <w:tcBorders>
              <w:top w:val="nil"/>
              <w:left w:val="nil"/>
              <w:bottom w:val="single" w:sz="4" w:space="0" w:color="auto"/>
              <w:right w:val="single" w:sz="4" w:space="0" w:color="auto"/>
            </w:tcBorders>
            <w:vAlign w:val="center"/>
          </w:tcPr>
          <w:p w14:paraId="15BF998A" w14:textId="77777777" w:rsidR="0004593F" w:rsidRPr="0004593F" w:rsidRDefault="0004593F" w:rsidP="0001554C">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600</w:t>
            </w:r>
          </w:p>
        </w:tc>
      </w:tr>
      <w:tr w:rsidR="0004593F" w:rsidRPr="0004593F" w14:paraId="166BDACE" w14:textId="77777777" w:rsidTr="0004593F">
        <w:trPr>
          <w:trHeight w:val="255"/>
        </w:trPr>
        <w:tc>
          <w:tcPr>
            <w:tcW w:w="1560" w:type="pct"/>
            <w:tcBorders>
              <w:top w:val="nil"/>
              <w:left w:val="single" w:sz="4" w:space="0" w:color="auto"/>
              <w:bottom w:val="single" w:sz="4" w:space="0" w:color="auto"/>
              <w:right w:val="single" w:sz="4" w:space="0" w:color="auto"/>
            </w:tcBorders>
            <w:shd w:val="clear" w:color="auto" w:fill="F2C6C9"/>
            <w:noWrap/>
            <w:vAlign w:val="center"/>
          </w:tcPr>
          <w:p w14:paraId="198A2AC9" w14:textId="26BB3600" w:rsidR="0004593F" w:rsidRPr="0004593F" w:rsidRDefault="0004593F" w:rsidP="00BB1D4B">
            <w:pPr>
              <w:keepNext/>
              <w:spacing w:after="0"/>
              <w:contextualSpacing/>
              <w:jc w:val="both"/>
              <w:rPr>
                <w:rFonts w:eastAsia="Calibri" w:cs="Calibri"/>
                <w:b/>
                <w:bCs/>
                <w:color w:val="000000"/>
                <w:sz w:val="20"/>
                <w:szCs w:val="20"/>
              </w:rPr>
            </w:pPr>
            <w:r w:rsidRPr="0004593F">
              <w:rPr>
                <w:rFonts w:eastAsia="Calibri" w:cs="Calibri"/>
                <w:b/>
                <w:bCs/>
                <w:color w:val="000000"/>
                <w:sz w:val="20"/>
                <w:szCs w:val="20"/>
              </w:rPr>
              <w:t>Celkem za kapitolu 317</w:t>
            </w:r>
            <w:r w:rsidR="00ED2F1E">
              <w:rPr>
                <w:rFonts w:eastAsia="Calibri" w:cs="Calibri"/>
                <w:b/>
                <w:bCs/>
                <w:color w:val="000000"/>
                <w:sz w:val="20"/>
                <w:szCs w:val="20"/>
              </w:rPr>
              <w:t xml:space="preserve"> MMR</w:t>
            </w:r>
          </w:p>
        </w:tc>
        <w:tc>
          <w:tcPr>
            <w:tcW w:w="688" w:type="pct"/>
            <w:tcBorders>
              <w:top w:val="nil"/>
              <w:left w:val="nil"/>
              <w:bottom w:val="single" w:sz="4" w:space="0" w:color="auto"/>
              <w:right w:val="single" w:sz="4" w:space="0" w:color="auto"/>
            </w:tcBorders>
            <w:shd w:val="clear" w:color="auto" w:fill="F2C6C9"/>
            <w:noWrap/>
            <w:vAlign w:val="center"/>
          </w:tcPr>
          <w:p w14:paraId="649822BB" w14:textId="77777777" w:rsidR="0004593F" w:rsidRPr="0004593F" w:rsidRDefault="0004593F" w:rsidP="0001554C">
            <w:pPr>
              <w:keepNext/>
              <w:spacing w:after="0"/>
              <w:ind w:right="57"/>
              <w:contextualSpacing/>
              <w:jc w:val="right"/>
              <w:rPr>
                <w:rFonts w:eastAsia="Calibri" w:cs="Calibri"/>
                <w:b/>
                <w:bCs/>
                <w:color w:val="000000"/>
                <w:sz w:val="20"/>
                <w:szCs w:val="20"/>
              </w:rPr>
            </w:pPr>
            <w:r w:rsidRPr="0004593F">
              <w:rPr>
                <w:rFonts w:eastAsia="Calibri" w:cs="Calibri"/>
                <w:b/>
                <w:bCs/>
                <w:color w:val="000000"/>
                <w:sz w:val="20"/>
                <w:szCs w:val="20"/>
              </w:rPr>
              <w:t>846</w:t>
            </w:r>
          </w:p>
        </w:tc>
        <w:tc>
          <w:tcPr>
            <w:tcW w:w="688" w:type="pct"/>
            <w:tcBorders>
              <w:top w:val="nil"/>
              <w:left w:val="nil"/>
              <w:bottom w:val="single" w:sz="4" w:space="0" w:color="auto"/>
              <w:right w:val="single" w:sz="4" w:space="0" w:color="auto"/>
            </w:tcBorders>
            <w:shd w:val="clear" w:color="auto" w:fill="F2C6C9"/>
            <w:noWrap/>
            <w:vAlign w:val="center"/>
          </w:tcPr>
          <w:p w14:paraId="3B79453D" w14:textId="77777777" w:rsidR="0004593F" w:rsidRPr="0004593F" w:rsidRDefault="0004593F" w:rsidP="0001554C">
            <w:pPr>
              <w:keepNext/>
              <w:spacing w:after="0"/>
              <w:ind w:right="57"/>
              <w:contextualSpacing/>
              <w:jc w:val="right"/>
              <w:rPr>
                <w:rFonts w:eastAsia="Calibri" w:cs="Calibri"/>
                <w:b/>
                <w:bCs/>
                <w:color w:val="000000"/>
                <w:sz w:val="20"/>
                <w:szCs w:val="20"/>
              </w:rPr>
            </w:pPr>
            <w:r w:rsidRPr="0004593F">
              <w:rPr>
                <w:rFonts w:eastAsia="Calibri" w:cs="Calibri"/>
                <w:b/>
                <w:bCs/>
                <w:color w:val="000000"/>
                <w:sz w:val="20"/>
                <w:szCs w:val="20"/>
              </w:rPr>
              <w:t>907</w:t>
            </w:r>
          </w:p>
        </w:tc>
        <w:tc>
          <w:tcPr>
            <w:tcW w:w="688" w:type="pct"/>
            <w:tcBorders>
              <w:top w:val="nil"/>
              <w:left w:val="nil"/>
              <w:bottom w:val="single" w:sz="4" w:space="0" w:color="auto"/>
              <w:right w:val="single" w:sz="4" w:space="0" w:color="auto"/>
            </w:tcBorders>
            <w:shd w:val="clear" w:color="auto" w:fill="F2C6C9"/>
            <w:noWrap/>
            <w:vAlign w:val="center"/>
          </w:tcPr>
          <w:p w14:paraId="3661FED1" w14:textId="77777777" w:rsidR="0004593F" w:rsidRPr="0004593F" w:rsidRDefault="0004593F" w:rsidP="0001554C">
            <w:pPr>
              <w:keepNext/>
              <w:spacing w:after="0"/>
              <w:ind w:right="57"/>
              <w:contextualSpacing/>
              <w:jc w:val="right"/>
              <w:rPr>
                <w:rFonts w:eastAsia="Calibri" w:cs="Calibri"/>
                <w:b/>
                <w:bCs/>
                <w:color w:val="000000"/>
                <w:sz w:val="20"/>
                <w:szCs w:val="20"/>
              </w:rPr>
            </w:pPr>
            <w:r w:rsidRPr="0004593F">
              <w:rPr>
                <w:rFonts w:eastAsia="Calibri" w:cs="Calibri"/>
                <w:b/>
                <w:bCs/>
                <w:color w:val="000000"/>
                <w:sz w:val="20"/>
                <w:szCs w:val="20"/>
              </w:rPr>
              <w:t>1 007</w:t>
            </w:r>
          </w:p>
        </w:tc>
        <w:tc>
          <w:tcPr>
            <w:tcW w:w="688" w:type="pct"/>
            <w:tcBorders>
              <w:top w:val="nil"/>
              <w:left w:val="nil"/>
              <w:bottom w:val="single" w:sz="4" w:space="0" w:color="auto"/>
              <w:right w:val="single" w:sz="4" w:space="0" w:color="auto"/>
            </w:tcBorders>
            <w:shd w:val="clear" w:color="auto" w:fill="F2C6C9"/>
            <w:noWrap/>
            <w:vAlign w:val="center"/>
          </w:tcPr>
          <w:p w14:paraId="6879609B" w14:textId="77777777" w:rsidR="0004593F" w:rsidRPr="0004593F" w:rsidRDefault="0004593F" w:rsidP="0001554C">
            <w:pPr>
              <w:keepNext/>
              <w:spacing w:after="0"/>
              <w:ind w:right="57"/>
              <w:contextualSpacing/>
              <w:jc w:val="right"/>
              <w:rPr>
                <w:rFonts w:eastAsia="Calibri" w:cs="Calibri"/>
                <w:b/>
                <w:bCs/>
                <w:color w:val="000000"/>
                <w:sz w:val="20"/>
                <w:szCs w:val="20"/>
              </w:rPr>
            </w:pPr>
            <w:r w:rsidRPr="0004593F">
              <w:rPr>
                <w:rFonts w:eastAsia="Calibri" w:cs="Calibri"/>
                <w:b/>
                <w:bCs/>
                <w:color w:val="000000"/>
                <w:sz w:val="20"/>
                <w:szCs w:val="20"/>
              </w:rPr>
              <w:t>1 182</w:t>
            </w:r>
          </w:p>
        </w:tc>
        <w:tc>
          <w:tcPr>
            <w:tcW w:w="688" w:type="pct"/>
            <w:tcBorders>
              <w:top w:val="nil"/>
              <w:left w:val="nil"/>
              <w:bottom w:val="single" w:sz="4" w:space="0" w:color="auto"/>
              <w:right w:val="single" w:sz="4" w:space="0" w:color="auto"/>
            </w:tcBorders>
            <w:shd w:val="clear" w:color="auto" w:fill="F2C6C9"/>
            <w:vAlign w:val="center"/>
          </w:tcPr>
          <w:p w14:paraId="137BFB7E" w14:textId="77777777" w:rsidR="0004593F" w:rsidRPr="0004593F" w:rsidRDefault="0004593F" w:rsidP="0001554C">
            <w:pPr>
              <w:keepNext/>
              <w:spacing w:after="0"/>
              <w:ind w:right="57"/>
              <w:contextualSpacing/>
              <w:jc w:val="right"/>
              <w:rPr>
                <w:rFonts w:eastAsia="Calibri" w:cs="Calibri"/>
                <w:b/>
                <w:bCs/>
                <w:color w:val="000000"/>
                <w:sz w:val="20"/>
                <w:szCs w:val="20"/>
              </w:rPr>
            </w:pPr>
            <w:r w:rsidRPr="0004593F">
              <w:rPr>
                <w:rFonts w:eastAsia="Calibri" w:cs="Calibri"/>
                <w:b/>
                <w:bCs/>
                <w:color w:val="000000"/>
                <w:sz w:val="20"/>
                <w:szCs w:val="20"/>
              </w:rPr>
              <w:t>1 296</w:t>
            </w:r>
          </w:p>
        </w:tc>
      </w:tr>
    </w:tbl>
    <w:p w14:paraId="42B5D5FF" w14:textId="77777777" w:rsidR="0004593F" w:rsidRPr="0004593F" w:rsidRDefault="0004593F" w:rsidP="0001554C">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 xml:space="preserve">IISSP – finanční výkaz ZAM 1-04 U </w:t>
      </w:r>
      <w:r w:rsidRPr="00D9255C">
        <w:rPr>
          <w:rFonts w:cs="Calibri"/>
          <w:i/>
          <w:color w:val="000000"/>
          <w:sz w:val="20"/>
          <w:szCs w:val="20"/>
          <w:lang w:eastAsia="cs-CZ"/>
        </w:rPr>
        <w:t>Výkaz o zaměstnanosti regulované vládou</w:t>
      </w:r>
      <w:r w:rsidRPr="0004593F">
        <w:rPr>
          <w:rFonts w:cs="Calibri"/>
          <w:color w:val="000000"/>
          <w:sz w:val="20"/>
          <w:szCs w:val="20"/>
          <w:lang w:eastAsia="cs-CZ"/>
        </w:rPr>
        <w:t>.</w:t>
      </w:r>
    </w:p>
    <w:p w14:paraId="54DF6436" w14:textId="77777777" w:rsidR="0004593F" w:rsidRPr="00BB1D4B" w:rsidRDefault="0004593F" w:rsidP="0004593F">
      <w:pPr>
        <w:spacing w:after="0"/>
        <w:contextualSpacing/>
        <w:jc w:val="both"/>
        <w:rPr>
          <w:rFonts w:cs="Calibri"/>
          <w:lang w:eastAsia="cs-CZ"/>
        </w:rPr>
      </w:pPr>
    </w:p>
    <w:p w14:paraId="19145DE3" w14:textId="544672DE" w:rsidR="0004593F" w:rsidRPr="00BB1D4B" w:rsidRDefault="0004593F" w:rsidP="0004593F">
      <w:pPr>
        <w:spacing w:after="0"/>
        <w:contextualSpacing/>
        <w:jc w:val="both"/>
        <w:rPr>
          <w:rFonts w:cs="Calibri"/>
          <w:lang w:eastAsia="cs-CZ"/>
        </w:rPr>
      </w:pPr>
      <w:r w:rsidRPr="00BB1D4B">
        <w:rPr>
          <w:rFonts w:cs="Calibri"/>
          <w:lang w:eastAsia="cs-CZ"/>
        </w:rPr>
        <w:t xml:space="preserve">Počet zaměstnanců ve sledovaném období soustavně rostl. Z uvedených údajů vyplývá, že většina zaměstnanců v rámci OSS jsou zaměstnanci MMR. Jelikož nejsou dostupné údaje </w:t>
      </w:r>
      <w:r w:rsidRPr="00BB1D4B">
        <w:rPr>
          <w:rFonts w:cs="Calibri"/>
          <w:lang w:eastAsia="cs-CZ"/>
        </w:rPr>
        <w:lastRenderedPageBreak/>
        <w:t>za OSS PRIVUM, ukazatel OSS bez MMR obsahuje pouze údaje za zbývající OSS ÚÚR. Výrazný růst počtu za</w:t>
      </w:r>
      <w:r w:rsidR="00247A8C" w:rsidRPr="00BB1D4B">
        <w:rPr>
          <w:rFonts w:cs="Calibri"/>
          <w:lang w:eastAsia="cs-CZ"/>
        </w:rPr>
        <w:t>městnanců je patrný především u </w:t>
      </w:r>
      <w:r w:rsidRPr="00BB1D4B">
        <w:rPr>
          <w:rFonts w:cs="Calibri"/>
          <w:lang w:eastAsia="cs-CZ"/>
        </w:rPr>
        <w:t>příspěvkových organizací.</w:t>
      </w:r>
      <w:bookmarkStart w:id="60" w:name="_Toc520714336"/>
      <w:bookmarkStart w:id="61" w:name="_Toc8984543"/>
      <w:bookmarkStart w:id="62" w:name="_Toc33100903"/>
    </w:p>
    <w:p w14:paraId="5D6DD241" w14:textId="77777777" w:rsidR="00247A8C" w:rsidRPr="0001554C" w:rsidRDefault="00247A8C" w:rsidP="0004593F">
      <w:pPr>
        <w:spacing w:after="0"/>
        <w:contextualSpacing/>
        <w:jc w:val="both"/>
        <w:rPr>
          <w:rFonts w:cs="Calibri"/>
          <w:iCs/>
        </w:rPr>
      </w:pPr>
    </w:p>
    <w:p w14:paraId="3D628104" w14:textId="68515302" w:rsidR="0004593F" w:rsidRPr="00BB1D4B" w:rsidRDefault="0004593F" w:rsidP="00BB1D4B">
      <w:pPr>
        <w:keepNext/>
        <w:spacing w:after="40"/>
        <w:rPr>
          <w:rFonts w:cs="Calibri"/>
          <w:b/>
          <w:iCs/>
        </w:rPr>
      </w:pPr>
      <w:r w:rsidRPr="00BB1D4B">
        <w:rPr>
          <w:rFonts w:cs="Calibri"/>
          <w:b/>
          <w:iCs/>
        </w:rPr>
        <w:t xml:space="preserve">Tabulka č. </w:t>
      </w:r>
      <w:r w:rsidRPr="00BB1D4B">
        <w:rPr>
          <w:rFonts w:cs="Calibri"/>
          <w:b/>
          <w:iCs/>
        </w:rPr>
        <w:fldChar w:fldCharType="begin"/>
      </w:r>
      <w:r w:rsidRPr="00BB1D4B">
        <w:rPr>
          <w:rFonts w:cs="Calibri"/>
          <w:b/>
          <w:iCs/>
        </w:rPr>
        <w:instrText xml:space="preserve"> SEQ Tabulka \* ARABIC </w:instrText>
      </w:r>
      <w:r w:rsidRPr="00BB1D4B">
        <w:rPr>
          <w:rFonts w:cs="Calibri"/>
          <w:b/>
          <w:iCs/>
        </w:rPr>
        <w:fldChar w:fldCharType="separate"/>
      </w:r>
      <w:r w:rsidR="00015BEA">
        <w:rPr>
          <w:rFonts w:cs="Calibri"/>
          <w:b/>
          <w:iCs/>
          <w:noProof/>
        </w:rPr>
        <w:t>13</w:t>
      </w:r>
      <w:r w:rsidRPr="00BB1D4B">
        <w:rPr>
          <w:rFonts w:cs="Calibri"/>
          <w:b/>
          <w:iCs/>
        </w:rPr>
        <w:fldChar w:fldCharType="end"/>
      </w:r>
      <w:r w:rsidRPr="00BB1D4B">
        <w:rPr>
          <w:rFonts w:cs="Calibri"/>
          <w:b/>
          <w:iCs/>
        </w:rPr>
        <w:t>: Náklady na 1 zaměstnance v rozpočtové kapitole 317</w:t>
      </w:r>
      <w:bookmarkEnd w:id="60"/>
      <w:bookmarkEnd w:id="61"/>
      <w:bookmarkEnd w:id="62"/>
      <w:r w:rsidR="003D138C">
        <w:rPr>
          <w:rFonts w:cs="Calibri"/>
          <w:b/>
          <w:iCs/>
        </w:rPr>
        <w:t> MMR</w:t>
      </w:r>
    </w:p>
    <w:tbl>
      <w:tblPr>
        <w:tblW w:w="9055" w:type="dxa"/>
        <w:tblLayout w:type="fixed"/>
        <w:tblCellMar>
          <w:left w:w="70" w:type="dxa"/>
          <w:right w:w="70" w:type="dxa"/>
        </w:tblCellMar>
        <w:tblLook w:val="04A0" w:firstRow="1" w:lastRow="0" w:firstColumn="1" w:lastColumn="0" w:noHBand="0" w:noVBand="1"/>
      </w:tblPr>
      <w:tblGrid>
        <w:gridCol w:w="562"/>
        <w:gridCol w:w="1560"/>
        <w:gridCol w:w="1386"/>
        <w:gridCol w:w="1387"/>
        <w:gridCol w:w="1386"/>
        <w:gridCol w:w="1387"/>
        <w:gridCol w:w="1387"/>
      </w:tblGrid>
      <w:tr w:rsidR="0004593F" w:rsidRPr="00BB1D4B" w14:paraId="40EF19CA" w14:textId="77777777" w:rsidTr="0004593F">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E5F1FF"/>
            <w:vAlign w:val="center"/>
          </w:tcPr>
          <w:p w14:paraId="06FC4F19" w14:textId="77777777" w:rsidR="0004593F" w:rsidRPr="00BB1D4B" w:rsidRDefault="0004593F" w:rsidP="0004593F">
            <w:pPr>
              <w:spacing w:after="0"/>
              <w:contextualSpacing/>
              <w:jc w:val="center"/>
              <w:rPr>
                <w:rFonts w:cs="Calibri"/>
                <w:b/>
                <w:bCs/>
                <w:color w:val="000000"/>
                <w:sz w:val="16"/>
                <w:szCs w:val="16"/>
                <w:lang w:eastAsia="cs-CZ"/>
              </w:rPr>
            </w:pPr>
            <w:r w:rsidRPr="00BB1D4B">
              <w:rPr>
                <w:rFonts w:cs="Calibri"/>
                <w:b/>
                <w:bCs/>
                <w:color w:val="000000"/>
                <w:sz w:val="16"/>
                <w:szCs w:val="16"/>
                <w:lang w:eastAsia="cs-CZ"/>
              </w:rPr>
              <w:t>Org.</w:t>
            </w:r>
          </w:p>
        </w:tc>
        <w:tc>
          <w:tcPr>
            <w:tcW w:w="156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87320FD" w14:textId="77777777" w:rsidR="0004593F" w:rsidRPr="00BB1D4B" w:rsidRDefault="0004593F" w:rsidP="0004593F">
            <w:pPr>
              <w:spacing w:after="0"/>
              <w:contextualSpacing/>
              <w:jc w:val="center"/>
              <w:rPr>
                <w:rFonts w:cs="Calibri"/>
                <w:b/>
                <w:bCs/>
                <w:color w:val="000000"/>
                <w:sz w:val="16"/>
                <w:szCs w:val="16"/>
                <w:lang w:eastAsia="cs-CZ"/>
              </w:rPr>
            </w:pPr>
            <w:r w:rsidRPr="00BB1D4B">
              <w:rPr>
                <w:rFonts w:cs="Calibri"/>
                <w:b/>
                <w:bCs/>
                <w:color w:val="000000"/>
                <w:sz w:val="16"/>
                <w:szCs w:val="16"/>
                <w:lang w:eastAsia="cs-CZ"/>
              </w:rPr>
              <w:t>Ukazatel</w:t>
            </w:r>
          </w:p>
        </w:tc>
        <w:tc>
          <w:tcPr>
            <w:tcW w:w="1386" w:type="dxa"/>
            <w:tcBorders>
              <w:top w:val="single" w:sz="4" w:space="0" w:color="auto"/>
              <w:left w:val="nil"/>
              <w:bottom w:val="single" w:sz="4" w:space="0" w:color="auto"/>
              <w:right w:val="single" w:sz="4" w:space="0" w:color="auto"/>
            </w:tcBorders>
            <w:shd w:val="clear" w:color="auto" w:fill="E5F1FF"/>
            <w:noWrap/>
            <w:vAlign w:val="center"/>
            <w:hideMark/>
          </w:tcPr>
          <w:p w14:paraId="13C55883" w14:textId="77777777" w:rsidR="0004593F" w:rsidRPr="00BB1D4B" w:rsidRDefault="0004593F" w:rsidP="0004593F">
            <w:pPr>
              <w:spacing w:after="0"/>
              <w:contextualSpacing/>
              <w:jc w:val="center"/>
              <w:rPr>
                <w:rFonts w:cs="Calibri"/>
                <w:b/>
                <w:bCs/>
                <w:color w:val="000000"/>
                <w:sz w:val="16"/>
                <w:szCs w:val="16"/>
                <w:lang w:eastAsia="cs-CZ"/>
              </w:rPr>
            </w:pPr>
            <w:r w:rsidRPr="00BB1D4B">
              <w:rPr>
                <w:rFonts w:cs="Calibri"/>
                <w:b/>
                <w:bCs/>
                <w:color w:val="000000"/>
                <w:sz w:val="16"/>
                <w:szCs w:val="16"/>
                <w:lang w:eastAsia="cs-CZ"/>
              </w:rPr>
              <w:t>2014</w:t>
            </w:r>
          </w:p>
        </w:tc>
        <w:tc>
          <w:tcPr>
            <w:tcW w:w="1387" w:type="dxa"/>
            <w:tcBorders>
              <w:top w:val="single" w:sz="4" w:space="0" w:color="auto"/>
              <w:left w:val="nil"/>
              <w:bottom w:val="single" w:sz="4" w:space="0" w:color="auto"/>
              <w:right w:val="single" w:sz="4" w:space="0" w:color="auto"/>
            </w:tcBorders>
            <w:shd w:val="clear" w:color="auto" w:fill="E5F1FF"/>
            <w:noWrap/>
            <w:vAlign w:val="center"/>
            <w:hideMark/>
          </w:tcPr>
          <w:p w14:paraId="14E161D3" w14:textId="77777777" w:rsidR="0004593F" w:rsidRPr="00BB1D4B" w:rsidRDefault="0004593F" w:rsidP="0004593F">
            <w:pPr>
              <w:spacing w:after="0"/>
              <w:contextualSpacing/>
              <w:jc w:val="center"/>
              <w:rPr>
                <w:rFonts w:cs="Calibri"/>
                <w:b/>
                <w:bCs/>
                <w:color w:val="000000"/>
                <w:sz w:val="16"/>
                <w:szCs w:val="16"/>
                <w:lang w:eastAsia="cs-CZ"/>
              </w:rPr>
            </w:pPr>
            <w:r w:rsidRPr="00BB1D4B">
              <w:rPr>
                <w:rFonts w:cs="Calibri"/>
                <w:b/>
                <w:bCs/>
                <w:color w:val="000000"/>
                <w:sz w:val="16"/>
                <w:szCs w:val="16"/>
                <w:lang w:eastAsia="cs-CZ"/>
              </w:rPr>
              <w:t>2015</w:t>
            </w:r>
          </w:p>
        </w:tc>
        <w:tc>
          <w:tcPr>
            <w:tcW w:w="1386" w:type="dxa"/>
            <w:tcBorders>
              <w:top w:val="single" w:sz="4" w:space="0" w:color="auto"/>
              <w:left w:val="nil"/>
              <w:bottom w:val="single" w:sz="4" w:space="0" w:color="auto"/>
              <w:right w:val="single" w:sz="4" w:space="0" w:color="auto"/>
            </w:tcBorders>
            <w:shd w:val="clear" w:color="auto" w:fill="E5F1FF"/>
            <w:noWrap/>
            <w:vAlign w:val="center"/>
            <w:hideMark/>
          </w:tcPr>
          <w:p w14:paraId="25729307" w14:textId="77777777" w:rsidR="0004593F" w:rsidRPr="00BB1D4B" w:rsidRDefault="0004593F" w:rsidP="0004593F">
            <w:pPr>
              <w:spacing w:after="0"/>
              <w:contextualSpacing/>
              <w:jc w:val="center"/>
              <w:rPr>
                <w:rFonts w:cs="Calibri"/>
                <w:b/>
                <w:bCs/>
                <w:color w:val="000000"/>
                <w:sz w:val="16"/>
                <w:szCs w:val="16"/>
                <w:lang w:eastAsia="cs-CZ"/>
              </w:rPr>
            </w:pPr>
            <w:r w:rsidRPr="00BB1D4B">
              <w:rPr>
                <w:rFonts w:cs="Calibri"/>
                <w:b/>
                <w:bCs/>
                <w:color w:val="000000"/>
                <w:sz w:val="16"/>
                <w:szCs w:val="16"/>
                <w:lang w:eastAsia="cs-CZ"/>
              </w:rPr>
              <w:t>2016</w:t>
            </w:r>
          </w:p>
        </w:tc>
        <w:tc>
          <w:tcPr>
            <w:tcW w:w="1387" w:type="dxa"/>
            <w:tcBorders>
              <w:top w:val="single" w:sz="4" w:space="0" w:color="auto"/>
              <w:left w:val="nil"/>
              <w:bottom w:val="single" w:sz="4" w:space="0" w:color="auto"/>
              <w:right w:val="single" w:sz="4" w:space="0" w:color="auto"/>
            </w:tcBorders>
            <w:shd w:val="clear" w:color="auto" w:fill="E5F1FF"/>
            <w:noWrap/>
            <w:vAlign w:val="center"/>
            <w:hideMark/>
          </w:tcPr>
          <w:p w14:paraId="377F2FF0" w14:textId="77777777" w:rsidR="0004593F" w:rsidRPr="00BB1D4B" w:rsidRDefault="0004593F" w:rsidP="0004593F">
            <w:pPr>
              <w:spacing w:after="0"/>
              <w:contextualSpacing/>
              <w:jc w:val="center"/>
              <w:rPr>
                <w:rFonts w:cs="Calibri"/>
                <w:b/>
                <w:bCs/>
                <w:color w:val="000000"/>
                <w:sz w:val="16"/>
                <w:szCs w:val="16"/>
                <w:lang w:eastAsia="cs-CZ"/>
              </w:rPr>
            </w:pPr>
            <w:r w:rsidRPr="00BB1D4B">
              <w:rPr>
                <w:rFonts w:cs="Calibri"/>
                <w:b/>
                <w:bCs/>
                <w:color w:val="000000"/>
                <w:sz w:val="16"/>
                <w:szCs w:val="16"/>
                <w:lang w:eastAsia="cs-CZ"/>
              </w:rPr>
              <w:t>2017</w:t>
            </w:r>
          </w:p>
        </w:tc>
        <w:tc>
          <w:tcPr>
            <w:tcW w:w="1387" w:type="dxa"/>
            <w:tcBorders>
              <w:top w:val="single" w:sz="4" w:space="0" w:color="auto"/>
              <w:left w:val="nil"/>
              <w:bottom w:val="single" w:sz="4" w:space="0" w:color="auto"/>
              <w:right w:val="single" w:sz="4" w:space="0" w:color="auto"/>
            </w:tcBorders>
            <w:shd w:val="clear" w:color="auto" w:fill="E5F1FF"/>
            <w:vAlign w:val="center"/>
          </w:tcPr>
          <w:p w14:paraId="255ECD1A" w14:textId="77777777" w:rsidR="0004593F" w:rsidRPr="00BB1D4B" w:rsidRDefault="0004593F" w:rsidP="0004593F">
            <w:pPr>
              <w:spacing w:after="0"/>
              <w:contextualSpacing/>
              <w:jc w:val="center"/>
              <w:rPr>
                <w:rFonts w:cs="Calibri"/>
                <w:b/>
                <w:bCs/>
                <w:color w:val="000000"/>
                <w:sz w:val="16"/>
                <w:szCs w:val="16"/>
                <w:lang w:eastAsia="cs-CZ"/>
              </w:rPr>
            </w:pPr>
            <w:r w:rsidRPr="00BB1D4B">
              <w:rPr>
                <w:rFonts w:cs="Calibri"/>
                <w:b/>
                <w:bCs/>
                <w:color w:val="000000"/>
                <w:sz w:val="16"/>
                <w:szCs w:val="16"/>
                <w:lang w:eastAsia="cs-CZ"/>
              </w:rPr>
              <w:t>2018</w:t>
            </w:r>
          </w:p>
        </w:tc>
      </w:tr>
      <w:tr w:rsidR="0004593F" w:rsidRPr="00BB1D4B" w14:paraId="48AA6A9E" w14:textId="77777777" w:rsidTr="00BB1D4B">
        <w:trPr>
          <w:trHeight w:val="255"/>
        </w:trPr>
        <w:tc>
          <w:tcPr>
            <w:tcW w:w="562" w:type="dxa"/>
            <w:vMerge w:val="restart"/>
            <w:tcBorders>
              <w:top w:val="nil"/>
              <w:left w:val="single" w:sz="4" w:space="0" w:color="auto"/>
              <w:right w:val="single" w:sz="4" w:space="0" w:color="auto"/>
            </w:tcBorders>
            <w:vAlign w:val="center"/>
          </w:tcPr>
          <w:p w14:paraId="2FBD2ED4" w14:textId="77777777" w:rsidR="0004593F" w:rsidRPr="00BB1D4B" w:rsidRDefault="0004593F" w:rsidP="0004593F">
            <w:pPr>
              <w:spacing w:after="0"/>
              <w:contextualSpacing/>
              <w:jc w:val="center"/>
              <w:rPr>
                <w:rFonts w:eastAsia="Calibri" w:cs="Calibri"/>
                <w:color w:val="000000"/>
                <w:sz w:val="16"/>
                <w:szCs w:val="16"/>
              </w:rPr>
            </w:pPr>
            <w:r w:rsidRPr="00BB1D4B">
              <w:rPr>
                <w:rFonts w:eastAsia="Calibri" w:cs="Calibri"/>
                <w:color w:val="000000"/>
                <w:sz w:val="16"/>
                <w:szCs w:val="16"/>
              </w:rPr>
              <w:t>OSS vč. MMR</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7BA49B2" w14:textId="77777777" w:rsidR="0004593F" w:rsidRPr="00BB1D4B" w:rsidRDefault="0004593F" w:rsidP="00BB1D4B">
            <w:pPr>
              <w:spacing w:after="0"/>
              <w:contextualSpacing/>
              <w:rPr>
                <w:rFonts w:eastAsia="Calibri" w:cs="Calibri"/>
                <w:color w:val="000000"/>
                <w:sz w:val="16"/>
                <w:szCs w:val="16"/>
              </w:rPr>
            </w:pPr>
            <w:r w:rsidRPr="00BB1D4B">
              <w:rPr>
                <w:rFonts w:eastAsia="Calibri" w:cs="Calibri"/>
                <w:color w:val="000000"/>
                <w:sz w:val="16"/>
                <w:szCs w:val="16"/>
              </w:rPr>
              <w:t>Náklady celkem (v Kč)</w:t>
            </w:r>
          </w:p>
        </w:tc>
        <w:tc>
          <w:tcPr>
            <w:tcW w:w="1386" w:type="dxa"/>
            <w:tcBorders>
              <w:top w:val="nil"/>
              <w:left w:val="nil"/>
              <w:bottom w:val="single" w:sz="4" w:space="0" w:color="auto"/>
              <w:right w:val="single" w:sz="4" w:space="0" w:color="auto"/>
            </w:tcBorders>
            <w:shd w:val="clear" w:color="auto" w:fill="auto"/>
            <w:noWrap/>
            <w:vAlign w:val="center"/>
          </w:tcPr>
          <w:p w14:paraId="10A9DA81"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19 903 215 567,64</w:t>
            </w:r>
          </w:p>
        </w:tc>
        <w:tc>
          <w:tcPr>
            <w:tcW w:w="1387" w:type="dxa"/>
            <w:tcBorders>
              <w:top w:val="nil"/>
              <w:left w:val="nil"/>
              <w:bottom w:val="single" w:sz="4" w:space="0" w:color="auto"/>
              <w:right w:val="single" w:sz="4" w:space="0" w:color="auto"/>
            </w:tcBorders>
            <w:shd w:val="clear" w:color="auto" w:fill="auto"/>
            <w:noWrap/>
            <w:vAlign w:val="center"/>
          </w:tcPr>
          <w:p w14:paraId="5F303A1D"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28 797 795 714,96</w:t>
            </w:r>
          </w:p>
        </w:tc>
        <w:tc>
          <w:tcPr>
            <w:tcW w:w="1386" w:type="dxa"/>
            <w:tcBorders>
              <w:top w:val="nil"/>
              <w:left w:val="nil"/>
              <w:bottom w:val="single" w:sz="4" w:space="0" w:color="auto"/>
              <w:right w:val="single" w:sz="4" w:space="0" w:color="auto"/>
            </w:tcBorders>
            <w:shd w:val="clear" w:color="auto" w:fill="auto"/>
            <w:noWrap/>
            <w:vAlign w:val="center"/>
          </w:tcPr>
          <w:p w14:paraId="58324DAA"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16 776 171 578,42</w:t>
            </w:r>
          </w:p>
        </w:tc>
        <w:tc>
          <w:tcPr>
            <w:tcW w:w="1387" w:type="dxa"/>
            <w:tcBorders>
              <w:top w:val="nil"/>
              <w:left w:val="nil"/>
              <w:bottom w:val="single" w:sz="4" w:space="0" w:color="auto"/>
              <w:right w:val="single" w:sz="4" w:space="0" w:color="auto"/>
            </w:tcBorders>
            <w:shd w:val="clear" w:color="auto" w:fill="auto"/>
            <w:noWrap/>
            <w:vAlign w:val="center"/>
          </w:tcPr>
          <w:p w14:paraId="1CDA5883"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7 567 534 324,10</w:t>
            </w:r>
          </w:p>
        </w:tc>
        <w:tc>
          <w:tcPr>
            <w:tcW w:w="1387" w:type="dxa"/>
            <w:tcBorders>
              <w:top w:val="nil"/>
              <w:left w:val="nil"/>
              <w:bottom w:val="single" w:sz="4" w:space="0" w:color="auto"/>
              <w:right w:val="single" w:sz="4" w:space="0" w:color="auto"/>
            </w:tcBorders>
            <w:vAlign w:val="center"/>
          </w:tcPr>
          <w:p w14:paraId="7F8266B0"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22 366 360 336,25</w:t>
            </w:r>
          </w:p>
        </w:tc>
      </w:tr>
      <w:tr w:rsidR="0004593F" w:rsidRPr="00BB1D4B" w14:paraId="1B9E4F93" w14:textId="77777777" w:rsidTr="00BB1D4B">
        <w:trPr>
          <w:trHeight w:val="255"/>
        </w:trPr>
        <w:tc>
          <w:tcPr>
            <w:tcW w:w="562" w:type="dxa"/>
            <w:vMerge/>
            <w:tcBorders>
              <w:left w:val="single" w:sz="4" w:space="0" w:color="auto"/>
              <w:right w:val="single" w:sz="4" w:space="0" w:color="auto"/>
            </w:tcBorders>
            <w:vAlign w:val="center"/>
          </w:tcPr>
          <w:p w14:paraId="4CC912D4" w14:textId="77777777" w:rsidR="0004593F" w:rsidRPr="00BB1D4B" w:rsidRDefault="0004593F" w:rsidP="0004593F">
            <w:pPr>
              <w:spacing w:after="0"/>
              <w:contextualSpacing/>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8E42A47" w14:textId="77777777" w:rsidR="0004593F" w:rsidRPr="00BB1D4B" w:rsidRDefault="0004593F" w:rsidP="00BB1D4B">
            <w:pPr>
              <w:spacing w:after="0"/>
              <w:contextualSpacing/>
              <w:rPr>
                <w:rFonts w:eastAsia="Calibri" w:cs="Calibri"/>
                <w:color w:val="000000"/>
                <w:sz w:val="16"/>
                <w:szCs w:val="16"/>
              </w:rPr>
            </w:pPr>
            <w:r w:rsidRPr="00BB1D4B">
              <w:rPr>
                <w:rFonts w:eastAsia="Calibri" w:cs="Calibri"/>
                <w:color w:val="000000"/>
                <w:sz w:val="16"/>
                <w:szCs w:val="16"/>
              </w:rPr>
              <w:t>Počet zaměstnanců</w:t>
            </w:r>
          </w:p>
        </w:tc>
        <w:tc>
          <w:tcPr>
            <w:tcW w:w="1386" w:type="dxa"/>
            <w:tcBorders>
              <w:top w:val="nil"/>
              <w:left w:val="nil"/>
              <w:bottom w:val="single" w:sz="4" w:space="0" w:color="auto"/>
              <w:right w:val="single" w:sz="4" w:space="0" w:color="auto"/>
            </w:tcBorders>
            <w:shd w:val="clear" w:color="auto" w:fill="auto"/>
            <w:noWrap/>
            <w:vAlign w:val="center"/>
          </w:tcPr>
          <w:p w14:paraId="4436C8C6" w14:textId="77777777" w:rsidR="0004593F" w:rsidRPr="00BB1D4B" w:rsidRDefault="0004593F" w:rsidP="00BB1D4B">
            <w:pPr>
              <w:spacing w:after="0"/>
              <w:ind w:right="189"/>
              <w:contextualSpacing/>
              <w:jc w:val="right"/>
              <w:rPr>
                <w:rFonts w:eastAsia="Calibri" w:cs="Calibri"/>
                <w:color w:val="000000"/>
                <w:sz w:val="16"/>
                <w:szCs w:val="16"/>
              </w:rPr>
            </w:pPr>
            <w:r w:rsidRPr="00BB1D4B">
              <w:rPr>
                <w:rFonts w:eastAsia="Calibri" w:cs="Calibri"/>
                <w:color w:val="000000"/>
                <w:sz w:val="16"/>
                <w:szCs w:val="16"/>
              </w:rPr>
              <w:t>614</w:t>
            </w:r>
          </w:p>
        </w:tc>
        <w:tc>
          <w:tcPr>
            <w:tcW w:w="1387" w:type="dxa"/>
            <w:tcBorders>
              <w:top w:val="nil"/>
              <w:left w:val="nil"/>
              <w:bottom w:val="single" w:sz="4" w:space="0" w:color="auto"/>
              <w:right w:val="single" w:sz="4" w:space="0" w:color="auto"/>
            </w:tcBorders>
            <w:shd w:val="clear" w:color="auto" w:fill="auto"/>
            <w:noWrap/>
            <w:vAlign w:val="center"/>
          </w:tcPr>
          <w:p w14:paraId="04C12BC0" w14:textId="77777777" w:rsidR="0004593F" w:rsidRPr="00BB1D4B" w:rsidRDefault="0004593F" w:rsidP="00BB1D4B">
            <w:pPr>
              <w:spacing w:after="0"/>
              <w:ind w:right="152"/>
              <w:contextualSpacing/>
              <w:jc w:val="right"/>
              <w:rPr>
                <w:rFonts w:eastAsia="Calibri" w:cs="Calibri"/>
                <w:color w:val="000000"/>
                <w:sz w:val="16"/>
                <w:szCs w:val="16"/>
              </w:rPr>
            </w:pPr>
            <w:r w:rsidRPr="00BB1D4B">
              <w:rPr>
                <w:rFonts w:eastAsia="Calibri" w:cs="Calibri"/>
                <w:color w:val="000000"/>
                <w:sz w:val="16"/>
                <w:szCs w:val="16"/>
              </w:rPr>
              <w:t>641</w:t>
            </w:r>
          </w:p>
        </w:tc>
        <w:tc>
          <w:tcPr>
            <w:tcW w:w="1386" w:type="dxa"/>
            <w:tcBorders>
              <w:top w:val="nil"/>
              <w:left w:val="nil"/>
              <w:bottom w:val="single" w:sz="4" w:space="0" w:color="auto"/>
              <w:right w:val="single" w:sz="4" w:space="0" w:color="auto"/>
            </w:tcBorders>
            <w:shd w:val="clear" w:color="auto" w:fill="auto"/>
            <w:noWrap/>
            <w:vAlign w:val="center"/>
          </w:tcPr>
          <w:p w14:paraId="01B813BC"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632</w:t>
            </w:r>
          </w:p>
        </w:tc>
        <w:tc>
          <w:tcPr>
            <w:tcW w:w="1387" w:type="dxa"/>
            <w:tcBorders>
              <w:top w:val="nil"/>
              <w:left w:val="nil"/>
              <w:bottom w:val="single" w:sz="4" w:space="0" w:color="auto"/>
              <w:right w:val="single" w:sz="4" w:space="0" w:color="auto"/>
            </w:tcBorders>
            <w:shd w:val="clear" w:color="auto" w:fill="auto"/>
            <w:noWrap/>
            <w:vAlign w:val="center"/>
          </w:tcPr>
          <w:p w14:paraId="0DD9C281"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664</w:t>
            </w:r>
          </w:p>
        </w:tc>
        <w:tc>
          <w:tcPr>
            <w:tcW w:w="1387" w:type="dxa"/>
            <w:tcBorders>
              <w:top w:val="nil"/>
              <w:left w:val="nil"/>
              <w:bottom w:val="single" w:sz="4" w:space="0" w:color="auto"/>
              <w:right w:val="single" w:sz="4" w:space="0" w:color="auto"/>
            </w:tcBorders>
            <w:vAlign w:val="center"/>
          </w:tcPr>
          <w:p w14:paraId="760792F9"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696</w:t>
            </w:r>
          </w:p>
        </w:tc>
      </w:tr>
      <w:tr w:rsidR="0004593F" w:rsidRPr="00BB1D4B" w14:paraId="1A41F35F" w14:textId="77777777" w:rsidTr="00BB1D4B">
        <w:trPr>
          <w:trHeight w:val="255"/>
        </w:trPr>
        <w:tc>
          <w:tcPr>
            <w:tcW w:w="562" w:type="dxa"/>
            <w:vMerge/>
            <w:tcBorders>
              <w:left w:val="single" w:sz="4" w:space="0" w:color="auto"/>
              <w:bottom w:val="single" w:sz="4" w:space="0" w:color="auto"/>
              <w:right w:val="single" w:sz="4" w:space="0" w:color="auto"/>
            </w:tcBorders>
            <w:vAlign w:val="center"/>
          </w:tcPr>
          <w:p w14:paraId="235F6A49" w14:textId="77777777" w:rsidR="0004593F" w:rsidRPr="00BB1D4B" w:rsidRDefault="0004593F" w:rsidP="0004593F">
            <w:pPr>
              <w:spacing w:after="0"/>
              <w:contextualSpacing/>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F2C6C9"/>
            <w:noWrap/>
            <w:vAlign w:val="center"/>
          </w:tcPr>
          <w:p w14:paraId="1E7D289F" w14:textId="27F6A343" w:rsidR="0004593F" w:rsidRPr="00BB1D4B" w:rsidRDefault="00BB1D4B" w:rsidP="00BB1D4B">
            <w:pPr>
              <w:spacing w:after="0"/>
              <w:contextualSpacing/>
              <w:rPr>
                <w:rFonts w:eastAsia="Calibri" w:cs="Calibri"/>
                <w:color w:val="000000"/>
                <w:sz w:val="16"/>
                <w:szCs w:val="16"/>
              </w:rPr>
            </w:pPr>
            <w:r>
              <w:rPr>
                <w:rFonts w:eastAsia="Calibri" w:cs="Calibri"/>
                <w:color w:val="000000"/>
                <w:sz w:val="16"/>
                <w:szCs w:val="16"/>
              </w:rPr>
              <w:t>Náklady na 1 </w:t>
            </w:r>
            <w:r w:rsidR="0004593F" w:rsidRPr="00BB1D4B">
              <w:rPr>
                <w:rFonts w:eastAsia="Calibri" w:cs="Calibri"/>
                <w:color w:val="000000"/>
                <w:sz w:val="16"/>
                <w:szCs w:val="16"/>
              </w:rPr>
              <w:t>zaměstnance (v Kč)</w:t>
            </w:r>
          </w:p>
        </w:tc>
        <w:tc>
          <w:tcPr>
            <w:tcW w:w="1386" w:type="dxa"/>
            <w:tcBorders>
              <w:top w:val="nil"/>
              <w:left w:val="nil"/>
              <w:bottom w:val="single" w:sz="4" w:space="0" w:color="auto"/>
              <w:right w:val="single" w:sz="4" w:space="0" w:color="auto"/>
            </w:tcBorders>
            <w:shd w:val="clear" w:color="auto" w:fill="F2C6C9"/>
            <w:noWrap/>
            <w:vAlign w:val="center"/>
          </w:tcPr>
          <w:p w14:paraId="428C14C8"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32 415 660,53</w:t>
            </w:r>
          </w:p>
        </w:tc>
        <w:tc>
          <w:tcPr>
            <w:tcW w:w="1387" w:type="dxa"/>
            <w:tcBorders>
              <w:top w:val="nil"/>
              <w:left w:val="nil"/>
              <w:bottom w:val="single" w:sz="4" w:space="0" w:color="auto"/>
              <w:right w:val="single" w:sz="4" w:space="0" w:color="auto"/>
            </w:tcBorders>
            <w:shd w:val="clear" w:color="auto" w:fill="F2C6C9"/>
            <w:noWrap/>
            <w:vAlign w:val="center"/>
          </w:tcPr>
          <w:p w14:paraId="13061F44"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44 926 358,37</w:t>
            </w:r>
          </w:p>
        </w:tc>
        <w:tc>
          <w:tcPr>
            <w:tcW w:w="1386" w:type="dxa"/>
            <w:tcBorders>
              <w:top w:val="nil"/>
              <w:left w:val="nil"/>
              <w:bottom w:val="single" w:sz="4" w:space="0" w:color="auto"/>
              <w:right w:val="single" w:sz="4" w:space="0" w:color="auto"/>
            </w:tcBorders>
            <w:shd w:val="clear" w:color="auto" w:fill="F2C6C9"/>
            <w:noWrap/>
            <w:vAlign w:val="center"/>
          </w:tcPr>
          <w:p w14:paraId="6CEA28AD"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26 544 575,28</w:t>
            </w:r>
          </w:p>
        </w:tc>
        <w:tc>
          <w:tcPr>
            <w:tcW w:w="1387" w:type="dxa"/>
            <w:tcBorders>
              <w:top w:val="nil"/>
              <w:left w:val="nil"/>
              <w:bottom w:val="single" w:sz="4" w:space="0" w:color="auto"/>
              <w:right w:val="single" w:sz="4" w:space="0" w:color="auto"/>
            </w:tcBorders>
            <w:shd w:val="clear" w:color="auto" w:fill="F2C6C9"/>
            <w:noWrap/>
            <w:vAlign w:val="center"/>
          </w:tcPr>
          <w:p w14:paraId="6E275ECB"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11 396 889,04</w:t>
            </w:r>
          </w:p>
        </w:tc>
        <w:tc>
          <w:tcPr>
            <w:tcW w:w="1387" w:type="dxa"/>
            <w:tcBorders>
              <w:top w:val="nil"/>
              <w:left w:val="nil"/>
              <w:bottom w:val="single" w:sz="4" w:space="0" w:color="auto"/>
              <w:right w:val="single" w:sz="4" w:space="0" w:color="auto"/>
            </w:tcBorders>
            <w:shd w:val="clear" w:color="auto" w:fill="F2C6C9"/>
            <w:vAlign w:val="center"/>
          </w:tcPr>
          <w:p w14:paraId="776C8BF3"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32 135 575,20</w:t>
            </w:r>
          </w:p>
        </w:tc>
      </w:tr>
      <w:tr w:rsidR="0004593F" w:rsidRPr="00BB1D4B" w14:paraId="794A7CB7" w14:textId="77777777" w:rsidTr="00BB1D4B">
        <w:trPr>
          <w:trHeight w:val="255"/>
        </w:trPr>
        <w:tc>
          <w:tcPr>
            <w:tcW w:w="562" w:type="dxa"/>
            <w:vMerge w:val="restart"/>
            <w:tcBorders>
              <w:top w:val="nil"/>
              <w:left w:val="single" w:sz="4" w:space="0" w:color="auto"/>
              <w:right w:val="single" w:sz="4" w:space="0" w:color="auto"/>
            </w:tcBorders>
            <w:vAlign w:val="center"/>
          </w:tcPr>
          <w:p w14:paraId="6F22545B" w14:textId="77777777" w:rsidR="0004593F" w:rsidRPr="00BB1D4B" w:rsidRDefault="0004593F" w:rsidP="0004593F">
            <w:pPr>
              <w:spacing w:after="0"/>
              <w:contextualSpacing/>
              <w:jc w:val="center"/>
              <w:rPr>
                <w:rFonts w:eastAsia="Calibri" w:cs="Calibri"/>
                <w:color w:val="000000"/>
                <w:sz w:val="16"/>
                <w:szCs w:val="16"/>
              </w:rPr>
            </w:pPr>
            <w:r w:rsidRPr="00BB1D4B">
              <w:rPr>
                <w:rFonts w:eastAsia="Calibri" w:cs="Calibri"/>
                <w:color w:val="000000"/>
                <w:sz w:val="16"/>
                <w:szCs w:val="16"/>
              </w:rPr>
              <w:t>MMR</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30B26E4" w14:textId="77777777" w:rsidR="0004593F" w:rsidRPr="00BB1D4B" w:rsidRDefault="0004593F" w:rsidP="00BB1D4B">
            <w:pPr>
              <w:spacing w:after="0"/>
              <w:contextualSpacing/>
              <w:rPr>
                <w:rFonts w:eastAsia="Calibri" w:cs="Calibri"/>
                <w:color w:val="000000"/>
                <w:sz w:val="16"/>
                <w:szCs w:val="16"/>
              </w:rPr>
            </w:pPr>
            <w:r w:rsidRPr="00BB1D4B">
              <w:rPr>
                <w:rFonts w:eastAsia="Calibri" w:cs="Calibri"/>
                <w:color w:val="000000"/>
                <w:sz w:val="16"/>
                <w:szCs w:val="16"/>
              </w:rPr>
              <w:t>Náklady celkem (v Kč)</w:t>
            </w:r>
          </w:p>
        </w:tc>
        <w:tc>
          <w:tcPr>
            <w:tcW w:w="1386" w:type="dxa"/>
            <w:tcBorders>
              <w:top w:val="nil"/>
              <w:left w:val="nil"/>
              <w:bottom w:val="single" w:sz="4" w:space="0" w:color="auto"/>
              <w:right w:val="single" w:sz="4" w:space="0" w:color="auto"/>
            </w:tcBorders>
            <w:shd w:val="clear" w:color="auto" w:fill="auto"/>
            <w:noWrap/>
            <w:vAlign w:val="center"/>
          </w:tcPr>
          <w:p w14:paraId="2DDFA7CF"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19 876 165 705,09</w:t>
            </w:r>
          </w:p>
        </w:tc>
        <w:tc>
          <w:tcPr>
            <w:tcW w:w="1387" w:type="dxa"/>
            <w:tcBorders>
              <w:top w:val="nil"/>
              <w:left w:val="nil"/>
              <w:bottom w:val="single" w:sz="4" w:space="0" w:color="auto"/>
              <w:right w:val="single" w:sz="4" w:space="0" w:color="auto"/>
            </w:tcBorders>
            <w:shd w:val="clear" w:color="auto" w:fill="auto"/>
            <w:noWrap/>
            <w:vAlign w:val="center"/>
          </w:tcPr>
          <w:p w14:paraId="783585C4"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28 770 786 338,92</w:t>
            </w:r>
          </w:p>
        </w:tc>
        <w:tc>
          <w:tcPr>
            <w:tcW w:w="1386" w:type="dxa"/>
            <w:tcBorders>
              <w:top w:val="nil"/>
              <w:left w:val="nil"/>
              <w:bottom w:val="single" w:sz="4" w:space="0" w:color="auto"/>
              <w:right w:val="single" w:sz="4" w:space="0" w:color="auto"/>
            </w:tcBorders>
            <w:shd w:val="clear" w:color="auto" w:fill="auto"/>
            <w:noWrap/>
            <w:vAlign w:val="center"/>
          </w:tcPr>
          <w:p w14:paraId="38599AAD"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16 753 286 469,79</w:t>
            </w:r>
          </w:p>
        </w:tc>
        <w:tc>
          <w:tcPr>
            <w:tcW w:w="1387" w:type="dxa"/>
            <w:tcBorders>
              <w:top w:val="nil"/>
              <w:left w:val="nil"/>
              <w:bottom w:val="single" w:sz="4" w:space="0" w:color="auto"/>
              <w:right w:val="single" w:sz="4" w:space="0" w:color="auto"/>
            </w:tcBorders>
            <w:shd w:val="clear" w:color="auto" w:fill="auto"/>
            <w:noWrap/>
            <w:vAlign w:val="center"/>
          </w:tcPr>
          <w:p w14:paraId="608FBD08"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7 545 587 717,31</w:t>
            </w:r>
          </w:p>
        </w:tc>
        <w:tc>
          <w:tcPr>
            <w:tcW w:w="1387" w:type="dxa"/>
            <w:tcBorders>
              <w:top w:val="nil"/>
              <w:left w:val="nil"/>
              <w:bottom w:val="single" w:sz="4" w:space="0" w:color="auto"/>
              <w:right w:val="single" w:sz="4" w:space="0" w:color="auto"/>
            </w:tcBorders>
            <w:vAlign w:val="center"/>
          </w:tcPr>
          <w:p w14:paraId="0553C21D"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22 345 950 217,52</w:t>
            </w:r>
          </w:p>
        </w:tc>
      </w:tr>
      <w:tr w:rsidR="0004593F" w:rsidRPr="00BB1D4B" w14:paraId="377D15E5" w14:textId="77777777" w:rsidTr="00BB1D4B">
        <w:trPr>
          <w:trHeight w:val="255"/>
        </w:trPr>
        <w:tc>
          <w:tcPr>
            <w:tcW w:w="562" w:type="dxa"/>
            <w:vMerge/>
            <w:tcBorders>
              <w:left w:val="single" w:sz="4" w:space="0" w:color="auto"/>
              <w:right w:val="single" w:sz="4" w:space="0" w:color="auto"/>
            </w:tcBorders>
            <w:vAlign w:val="center"/>
          </w:tcPr>
          <w:p w14:paraId="399F82CC" w14:textId="77777777" w:rsidR="0004593F" w:rsidRPr="00BB1D4B" w:rsidRDefault="0004593F" w:rsidP="0004593F">
            <w:pPr>
              <w:spacing w:after="0"/>
              <w:contextualSpacing/>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769B1F0" w14:textId="77777777" w:rsidR="0004593F" w:rsidRPr="00BB1D4B" w:rsidRDefault="0004593F" w:rsidP="00BB1D4B">
            <w:pPr>
              <w:spacing w:after="0"/>
              <w:contextualSpacing/>
              <w:rPr>
                <w:rFonts w:eastAsia="Calibri" w:cs="Calibri"/>
                <w:color w:val="000000"/>
                <w:sz w:val="16"/>
                <w:szCs w:val="16"/>
              </w:rPr>
            </w:pPr>
            <w:r w:rsidRPr="00BB1D4B">
              <w:rPr>
                <w:rFonts w:eastAsia="Calibri" w:cs="Calibri"/>
                <w:color w:val="000000"/>
                <w:sz w:val="16"/>
                <w:szCs w:val="16"/>
              </w:rPr>
              <w:t>Počet zaměstnanců</w:t>
            </w:r>
          </w:p>
        </w:tc>
        <w:tc>
          <w:tcPr>
            <w:tcW w:w="1386" w:type="dxa"/>
            <w:tcBorders>
              <w:top w:val="nil"/>
              <w:left w:val="nil"/>
              <w:bottom w:val="single" w:sz="4" w:space="0" w:color="auto"/>
              <w:right w:val="single" w:sz="4" w:space="0" w:color="auto"/>
            </w:tcBorders>
            <w:shd w:val="clear" w:color="auto" w:fill="auto"/>
            <w:noWrap/>
            <w:vAlign w:val="center"/>
          </w:tcPr>
          <w:p w14:paraId="6CDC1841" w14:textId="77777777" w:rsidR="0004593F" w:rsidRPr="00BB1D4B" w:rsidRDefault="0004593F" w:rsidP="00BB1D4B">
            <w:pPr>
              <w:spacing w:after="0"/>
              <w:ind w:right="189"/>
              <w:contextualSpacing/>
              <w:jc w:val="right"/>
              <w:rPr>
                <w:rFonts w:eastAsia="Calibri" w:cs="Calibri"/>
                <w:color w:val="000000"/>
                <w:sz w:val="16"/>
                <w:szCs w:val="16"/>
              </w:rPr>
            </w:pPr>
            <w:r w:rsidRPr="00BB1D4B">
              <w:rPr>
                <w:rFonts w:eastAsia="Calibri" w:cs="Calibri"/>
                <w:color w:val="000000"/>
                <w:sz w:val="16"/>
                <w:szCs w:val="16"/>
              </w:rPr>
              <w:t>584</w:t>
            </w:r>
          </w:p>
        </w:tc>
        <w:tc>
          <w:tcPr>
            <w:tcW w:w="1387" w:type="dxa"/>
            <w:tcBorders>
              <w:top w:val="nil"/>
              <w:left w:val="nil"/>
              <w:bottom w:val="single" w:sz="4" w:space="0" w:color="auto"/>
              <w:right w:val="single" w:sz="4" w:space="0" w:color="auto"/>
            </w:tcBorders>
            <w:shd w:val="clear" w:color="auto" w:fill="auto"/>
            <w:noWrap/>
            <w:vAlign w:val="center"/>
          </w:tcPr>
          <w:p w14:paraId="529B6E2C" w14:textId="77777777" w:rsidR="0004593F" w:rsidRPr="00BB1D4B" w:rsidRDefault="0004593F" w:rsidP="00BB1D4B">
            <w:pPr>
              <w:spacing w:after="0"/>
              <w:ind w:right="152"/>
              <w:contextualSpacing/>
              <w:jc w:val="right"/>
              <w:rPr>
                <w:rFonts w:eastAsia="Calibri" w:cs="Calibri"/>
                <w:color w:val="000000"/>
                <w:sz w:val="16"/>
                <w:szCs w:val="16"/>
              </w:rPr>
            </w:pPr>
            <w:r w:rsidRPr="00BB1D4B">
              <w:rPr>
                <w:rFonts w:eastAsia="Calibri" w:cs="Calibri"/>
                <w:color w:val="000000"/>
                <w:sz w:val="16"/>
                <w:szCs w:val="16"/>
              </w:rPr>
              <w:t>613</w:t>
            </w:r>
          </w:p>
        </w:tc>
        <w:tc>
          <w:tcPr>
            <w:tcW w:w="1386" w:type="dxa"/>
            <w:tcBorders>
              <w:top w:val="nil"/>
              <w:left w:val="nil"/>
              <w:bottom w:val="single" w:sz="4" w:space="0" w:color="auto"/>
              <w:right w:val="single" w:sz="4" w:space="0" w:color="auto"/>
            </w:tcBorders>
            <w:shd w:val="clear" w:color="auto" w:fill="auto"/>
            <w:noWrap/>
            <w:vAlign w:val="center"/>
          </w:tcPr>
          <w:p w14:paraId="2FDE71DD"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613</w:t>
            </w:r>
          </w:p>
        </w:tc>
        <w:tc>
          <w:tcPr>
            <w:tcW w:w="1387" w:type="dxa"/>
            <w:tcBorders>
              <w:top w:val="nil"/>
              <w:left w:val="nil"/>
              <w:bottom w:val="single" w:sz="4" w:space="0" w:color="auto"/>
              <w:right w:val="single" w:sz="4" w:space="0" w:color="auto"/>
            </w:tcBorders>
            <w:shd w:val="clear" w:color="auto" w:fill="auto"/>
            <w:noWrap/>
            <w:vAlign w:val="center"/>
          </w:tcPr>
          <w:p w14:paraId="03C30A00"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649</w:t>
            </w:r>
          </w:p>
        </w:tc>
        <w:tc>
          <w:tcPr>
            <w:tcW w:w="1387" w:type="dxa"/>
            <w:tcBorders>
              <w:top w:val="nil"/>
              <w:left w:val="nil"/>
              <w:bottom w:val="single" w:sz="4" w:space="0" w:color="auto"/>
              <w:right w:val="single" w:sz="4" w:space="0" w:color="auto"/>
            </w:tcBorders>
            <w:vAlign w:val="center"/>
          </w:tcPr>
          <w:p w14:paraId="6C6345E3"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681</w:t>
            </w:r>
          </w:p>
        </w:tc>
      </w:tr>
      <w:tr w:rsidR="0004593F" w:rsidRPr="00BB1D4B" w14:paraId="68ED2218" w14:textId="77777777" w:rsidTr="00BB1D4B">
        <w:trPr>
          <w:trHeight w:val="255"/>
        </w:trPr>
        <w:tc>
          <w:tcPr>
            <w:tcW w:w="562" w:type="dxa"/>
            <w:vMerge/>
            <w:tcBorders>
              <w:left w:val="single" w:sz="4" w:space="0" w:color="auto"/>
              <w:bottom w:val="single" w:sz="4" w:space="0" w:color="auto"/>
              <w:right w:val="single" w:sz="4" w:space="0" w:color="auto"/>
            </w:tcBorders>
            <w:vAlign w:val="center"/>
          </w:tcPr>
          <w:p w14:paraId="54BDB28E" w14:textId="77777777" w:rsidR="0004593F" w:rsidRPr="00BB1D4B" w:rsidRDefault="0004593F" w:rsidP="0004593F">
            <w:pPr>
              <w:spacing w:after="0"/>
              <w:contextualSpacing/>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F2C6C9"/>
            <w:noWrap/>
            <w:vAlign w:val="center"/>
          </w:tcPr>
          <w:p w14:paraId="0C77CC8D" w14:textId="2D3B9317" w:rsidR="0004593F" w:rsidRPr="00BB1D4B" w:rsidRDefault="0004593F" w:rsidP="00BB1D4B">
            <w:pPr>
              <w:spacing w:after="0"/>
              <w:contextualSpacing/>
              <w:rPr>
                <w:rFonts w:eastAsia="Calibri" w:cs="Calibri"/>
                <w:color w:val="000000"/>
                <w:sz w:val="16"/>
                <w:szCs w:val="16"/>
              </w:rPr>
            </w:pPr>
            <w:r w:rsidRPr="00BB1D4B">
              <w:rPr>
                <w:rFonts w:eastAsia="Calibri" w:cs="Calibri"/>
                <w:color w:val="000000"/>
                <w:sz w:val="16"/>
                <w:szCs w:val="16"/>
              </w:rPr>
              <w:t xml:space="preserve">Náklady na </w:t>
            </w:r>
            <w:r w:rsidR="00BB1D4B">
              <w:rPr>
                <w:rFonts w:eastAsia="Calibri" w:cs="Calibri"/>
                <w:color w:val="000000"/>
                <w:sz w:val="16"/>
                <w:szCs w:val="16"/>
              </w:rPr>
              <w:t>1 </w:t>
            </w:r>
            <w:r w:rsidRPr="00BB1D4B">
              <w:rPr>
                <w:rFonts w:eastAsia="Calibri" w:cs="Calibri"/>
                <w:color w:val="000000"/>
                <w:sz w:val="16"/>
                <w:szCs w:val="16"/>
              </w:rPr>
              <w:t>zaměstnance (v Kč)</w:t>
            </w:r>
          </w:p>
        </w:tc>
        <w:tc>
          <w:tcPr>
            <w:tcW w:w="1386" w:type="dxa"/>
            <w:tcBorders>
              <w:top w:val="nil"/>
              <w:left w:val="nil"/>
              <w:bottom w:val="single" w:sz="4" w:space="0" w:color="auto"/>
              <w:right w:val="single" w:sz="4" w:space="0" w:color="auto"/>
            </w:tcBorders>
            <w:shd w:val="clear" w:color="auto" w:fill="F2C6C9"/>
            <w:noWrap/>
            <w:vAlign w:val="center"/>
          </w:tcPr>
          <w:p w14:paraId="6AEF0454"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34 034 530,32</w:t>
            </w:r>
          </w:p>
        </w:tc>
        <w:tc>
          <w:tcPr>
            <w:tcW w:w="1387" w:type="dxa"/>
            <w:tcBorders>
              <w:top w:val="nil"/>
              <w:left w:val="nil"/>
              <w:bottom w:val="single" w:sz="4" w:space="0" w:color="auto"/>
              <w:right w:val="single" w:sz="4" w:space="0" w:color="auto"/>
            </w:tcBorders>
            <w:shd w:val="clear" w:color="auto" w:fill="F2C6C9"/>
            <w:noWrap/>
            <w:vAlign w:val="center"/>
          </w:tcPr>
          <w:p w14:paraId="6E85F2D0"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46 934 398,60</w:t>
            </w:r>
          </w:p>
        </w:tc>
        <w:tc>
          <w:tcPr>
            <w:tcW w:w="1386" w:type="dxa"/>
            <w:tcBorders>
              <w:top w:val="nil"/>
              <w:left w:val="nil"/>
              <w:bottom w:val="single" w:sz="4" w:space="0" w:color="auto"/>
              <w:right w:val="single" w:sz="4" w:space="0" w:color="auto"/>
            </w:tcBorders>
            <w:shd w:val="clear" w:color="auto" w:fill="F2C6C9"/>
            <w:noWrap/>
            <w:vAlign w:val="center"/>
          </w:tcPr>
          <w:p w14:paraId="23C10FC6"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27 329 994,24</w:t>
            </w:r>
          </w:p>
        </w:tc>
        <w:tc>
          <w:tcPr>
            <w:tcW w:w="1387" w:type="dxa"/>
            <w:tcBorders>
              <w:top w:val="nil"/>
              <w:left w:val="nil"/>
              <w:bottom w:val="single" w:sz="4" w:space="0" w:color="auto"/>
              <w:right w:val="single" w:sz="4" w:space="0" w:color="auto"/>
            </w:tcBorders>
            <w:shd w:val="clear" w:color="auto" w:fill="F2C6C9"/>
            <w:noWrap/>
            <w:vAlign w:val="center"/>
          </w:tcPr>
          <w:p w14:paraId="4086DC4C"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11 626 483,39</w:t>
            </w:r>
          </w:p>
        </w:tc>
        <w:tc>
          <w:tcPr>
            <w:tcW w:w="1387" w:type="dxa"/>
            <w:tcBorders>
              <w:top w:val="nil"/>
              <w:left w:val="nil"/>
              <w:bottom w:val="single" w:sz="4" w:space="0" w:color="auto"/>
              <w:right w:val="single" w:sz="4" w:space="0" w:color="auto"/>
            </w:tcBorders>
            <w:shd w:val="clear" w:color="auto" w:fill="F2C6C9"/>
            <w:vAlign w:val="center"/>
          </w:tcPr>
          <w:p w14:paraId="10BE2063"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32 813 436,44</w:t>
            </w:r>
          </w:p>
        </w:tc>
      </w:tr>
      <w:tr w:rsidR="0004593F" w:rsidRPr="00BB1D4B" w14:paraId="12487737" w14:textId="77777777" w:rsidTr="00BB1D4B">
        <w:trPr>
          <w:trHeight w:val="255"/>
        </w:trPr>
        <w:tc>
          <w:tcPr>
            <w:tcW w:w="562" w:type="dxa"/>
            <w:vMerge w:val="restart"/>
            <w:tcBorders>
              <w:top w:val="nil"/>
              <w:left w:val="single" w:sz="4" w:space="0" w:color="auto"/>
              <w:right w:val="single" w:sz="4" w:space="0" w:color="auto"/>
            </w:tcBorders>
            <w:vAlign w:val="center"/>
          </w:tcPr>
          <w:p w14:paraId="6C41F265" w14:textId="77777777" w:rsidR="0004593F" w:rsidRPr="00BB1D4B" w:rsidRDefault="0004593F" w:rsidP="0004593F">
            <w:pPr>
              <w:spacing w:after="0"/>
              <w:contextualSpacing/>
              <w:jc w:val="center"/>
              <w:rPr>
                <w:rFonts w:eastAsia="Calibri" w:cs="Calibri"/>
                <w:color w:val="000000"/>
                <w:sz w:val="16"/>
                <w:szCs w:val="16"/>
              </w:rPr>
            </w:pPr>
            <w:r w:rsidRPr="00BB1D4B">
              <w:rPr>
                <w:rFonts w:eastAsia="Calibri" w:cs="Calibri"/>
                <w:color w:val="000000"/>
                <w:sz w:val="16"/>
                <w:szCs w:val="16"/>
              </w:rPr>
              <w:t>OSS bez MMR</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8FCFA50" w14:textId="77777777" w:rsidR="0004593F" w:rsidRPr="00BB1D4B" w:rsidRDefault="0004593F" w:rsidP="00BB1D4B">
            <w:pPr>
              <w:spacing w:after="0"/>
              <w:contextualSpacing/>
              <w:rPr>
                <w:rFonts w:eastAsia="Calibri" w:cs="Calibri"/>
                <w:color w:val="000000"/>
                <w:sz w:val="16"/>
                <w:szCs w:val="16"/>
              </w:rPr>
            </w:pPr>
            <w:r w:rsidRPr="00BB1D4B">
              <w:rPr>
                <w:rFonts w:eastAsia="Calibri" w:cs="Calibri"/>
                <w:color w:val="000000"/>
                <w:sz w:val="16"/>
                <w:szCs w:val="16"/>
              </w:rPr>
              <w:t>Náklady celkem (v Kč)</w:t>
            </w:r>
          </w:p>
        </w:tc>
        <w:tc>
          <w:tcPr>
            <w:tcW w:w="1386" w:type="dxa"/>
            <w:tcBorders>
              <w:top w:val="nil"/>
              <w:left w:val="nil"/>
              <w:bottom w:val="single" w:sz="4" w:space="0" w:color="auto"/>
              <w:right w:val="single" w:sz="4" w:space="0" w:color="auto"/>
            </w:tcBorders>
            <w:shd w:val="clear" w:color="auto" w:fill="auto"/>
            <w:noWrap/>
            <w:vAlign w:val="center"/>
          </w:tcPr>
          <w:p w14:paraId="5C1B9F02"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27 049 862,55</w:t>
            </w:r>
          </w:p>
        </w:tc>
        <w:tc>
          <w:tcPr>
            <w:tcW w:w="1387" w:type="dxa"/>
            <w:tcBorders>
              <w:top w:val="nil"/>
              <w:left w:val="nil"/>
              <w:bottom w:val="single" w:sz="4" w:space="0" w:color="auto"/>
              <w:right w:val="single" w:sz="4" w:space="0" w:color="auto"/>
            </w:tcBorders>
            <w:shd w:val="clear" w:color="auto" w:fill="auto"/>
            <w:noWrap/>
            <w:vAlign w:val="center"/>
          </w:tcPr>
          <w:p w14:paraId="2AB008AA"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27 009 376,04</w:t>
            </w:r>
          </w:p>
        </w:tc>
        <w:tc>
          <w:tcPr>
            <w:tcW w:w="1386" w:type="dxa"/>
            <w:tcBorders>
              <w:top w:val="nil"/>
              <w:left w:val="nil"/>
              <w:bottom w:val="single" w:sz="4" w:space="0" w:color="auto"/>
              <w:right w:val="single" w:sz="4" w:space="0" w:color="auto"/>
            </w:tcBorders>
            <w:shd w:val="clear" w:color="auto" w:fill="auto"/>
            <w:noWrap/>
            <w:vAlign w:val="center"/>
          </w:tcPr>
          <w:p w14:paraId="3E491BAE"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22 885 108,63</w:t>
            </w:r>
          </w:p>
        </w:tc>
        <w:tc>
          <w:tcPr>
            <w:tcW w:w="1387" w:type="dxa"/>
            <w:tcBorders>
              <w:top w:val="nil"/>
              <w:left w:val="nil"/>
              <w:bottom w:val="single" w:sz="4" w:space="0" w:color="auto"/>
              <w:right w:val="single" w:sz="4" w:space="0" w:color="auto"/>
            </w:tcBorders>
            <w:shd w:val="clear" w:color="auto" w:fill="auto"/>
            <w:noWrap/>
            <w:vAlign w:val="center"/>
          </w:tcPr>
          <w:p w14:paraId="15B7A559"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21 946 606,79</w:t>
            </w:r>
          </w:p>
        </w:tc>
        <w:tc>
          <w:tcPr>
            <w:tcW w:w="1387" w:type="dxa"/>
            <w:tcBorders>
              <w:top w:val="nil"/>
              <w:left w:val="nil"/>
              <w:bottom w:val="single" w:sz="4" w:space="0" w:color="auto"/>
              <w:right w:val="single" w:sz="4" w:space="0" w:color="auto"/>
            </w:tcBorders>
            <w:vAlign w:val="center"/>
          </w:tcPr>
          <w:p w14:paraId="414F1795"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20 410 118,73</w:t>
            </w:r>
          </w:p>
        </w:tc>
      </w:tr>
      <w:tr w:rsidR="0004593F" w:rsidRPr="00BB1D4B" w14:paraId="713C6558" w14:textId="77777777" w:rsidTr="00BB1D4B">
        <w:trPr>
          <w:trHeight w:val="255"/>
        </w:trPr>
        <w:tc>
          <w:tcPr>
            <w:tcW w:w="562" w:type="dxa"/>
            <w:vMerge/>
            <w:tcBorders>
              <w:left w:val="single" w:sz="4" w:space="0" w:color="auto"/>
              <w:right w:val="single" w:sz="4" w:space="0" w:color="auto"/>
            </w:tcBorders>
          </w:tcPr>
          <w:p w14:paraId="0112226C" w14:textId="77777777" w:rsidR="0004593F" w:rsidRPr="00BB1D4B" w:rsidRDefault="0004593F" w:rsidP="0004593F">
            <w:pPr>
              <w:spacing w:after="0"/>
              <w:contextualSpacing/>
              <w:jc w:val="both"/>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FBF2782" w14:textId="77777777" w:rsidR="0004593F" w:rsidRPr="00BB1D4B" w:rsidRDefault="0004593F" w:rsidP="00BB1D4B">
            <w:pPr>
              <w:spacing w:after="0"/>
              <w:contextualSpacing/>
              <w:rPr>
                <w:rFonts w:eastAsia="Calibri" w:cs="Calibri"/>
                <w:color w:val="000000"/>
                <w:sz w:val="16"/>
                <w:szCs w:val="16"/>
              </w:rPr>
            </w:pPr>
            <w:r w:rsidRPr="00BB1D4B">
              <w:rPr>
                <w:rFonts w:eastAsia="Calibri" w:cs="Calibri"/>
                <w:color w:val="000000"/>
                <w:sz w:val="16"/>
                <w:szCs w:val="16"/>
              </w:rPr>
              <w:t>Počet zaměstnanců</w:t>
            </w:r>
          </w:p>
        </w:tc>
        <w:tc>
          <w:tcPr>
            <w:tcW w:w="1386" w:type="dxa"/>
            <w:tcBorders>
              <w:top w:val="nil"/>
              <w:left w:val="nil"/>
              <w:bottom w:val="single" w:sz="4" w:space="0" w:color="auto"/>
              <w:right w:val="single" w:sz="4" w:space="0" w:color="auto"/>
            </w:tcBorders>
            <w:shd w:val="clear" w:color="auto" w:fill="auto"/>
            <w:noWrap/>
            <w:vAlign w:val="center"/>
          </w:tcPr>
          <w:p w14:paraId="535B6863" w14:textId="77777777" w:rsidR="0004593F" w:rsidRPr="00BB1D4B" w:rsidRDefault="0004593F" w:rsidP="00BB1D4B">
            <w:pPr>
              <w:spacing w:after="0"/>
              <w:ind w:right="189"/>
              <w:contextualSpacing/>
              <w:jc w:val="right"/>
              <w:rPr>
                <w:rFonts w:eastAsia="Calibri" w:cs="Calibri"/>
                <w:color w:val="000000"/>
                <w:sz w:val="16"/>
                <w:szCs w:val="16"/>
              </w:rPr>
            </w:pPr>
            <w:r w:rsidRPr="00BB1D4B">
              <w:rPr>
                <w:rFonts w:eastAsia="Calibri" w:cs="Calibri"/>
                <w:color w:val="000000"/>
                <w:sz w:val="16"/>
                <w:szCs w:val="16"/>
              </w:rPr>
              <w:t>30</w:t>
            </w:r>
          </w:p>
        </w:tc>
        <w:tc>
          <w:tcPr>
            <w:tcW w:w="1387" w:type="dxa"/>
            <w:tcBorders>
              <w:top w:val="nil"/>
              <w:left w:val="nil"/>
              <w:bottom w:val="single" w:sz="4" w:space="0" w:color="auto"/>
              <w:right w:val="single" w:sz="4" w:space="0" w:color="auto"/>
            </w:tcBorders>
            <w:shd w:val="clear" w:color="auto" w:fill="auto"/>
            <w:noWrap/>
            <w:vAlign w:val="center"/>
          </w:tcPr>
          <w:p w14:paraId="74C09237" w14:textId="77777777" w:rsidR="0004593F" w:rsidRPr="00BB1D4B" w:rsidRDefault="0004593F" w:rsidP="00BB1D4B">
            <w:pPr>
              <w:spacing w:after="0"/>
              <w:ind w:right="152"/>
              <w:contextualSpacing/>
              <w:jc w:val="right"/>
              <w:rPr>
                <w:rFonts w:eastAsia="Calibri" w:cs="Calibri"/>
                <w:color w:val="000000"/>
                <w:sz w:val="16"/>
                <w:szCs w:val="16"/>
              </w:rPr>
            </w:pPr>
            <w:r w:rsidRPr="00BB1D4B">
              <w:rPr>
                <w:rFonts w:eastAsia="Calibri" w:cs="Calibri"/>
                <w:color w:val="000000"/>
                <w:sz w:val="16"/>
                <w:szCs w:val="16"/>
              </w:rPr>
              <w:t>28</w:t>
            </w:r>
          </w:p>
        </w:tc>
        <w:tc>
          <w:tcPr>
            <w:tcW w:w="1386" w:type="dxa"/>
            <w:tcBorders>
              <w:top w:val="nil"/>
              <w:left w:val="nil"/>
              <w:bottom w:val="single" w:sz="4" w:space="0" w:color="auto"/>
              <w:right w:val="single" w:sz="4" w:space="0" w:color="auto"/>
            </w:tcBorders>
            <w:shd w:val="clear" w:color="auto" w:fill="auto"/>
            <w:noWrap/>
            <w:vAlign w:val="center"/>
          </w:tcPr>
          <w:p w14:paraId="1AB62DE3"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19</w:t>
            </w:r>
          </w:p>
        </w:tc>
        <w:tc>
          <w:tcPr>
            <w:tcW w:w="1387" w:type="dxa"/>
            <w:tcBorders>
              <w:top w:val="nil"/>
              <w:left w:val="nil"/>
              <w:bottom w:val="single" w:sz="4" w:space="0" w:color="auto"/>
              <w:right w:val="single" w:sz="4" w:space="0" w:color="auto"/>
            </w:tcBorders>
            <w:shd w:val="clear" w:color="auto" w:fill="auto"/>
            <w:noWrap/>
            <w:vAlign w:val="center"/>
          </w:tcPr>
          <w:p w14:paraId="5A0B1223"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15</w:t>
            </w:r>
          </w:p>
        </w:tc>
        <w:tc>
          <w:tcPr>
            <w:tcW w:w="1387" w:type="dxa"/>
            <w:tcBorders>
              <w:top w:val="nil"/>
              <w:left w:val="nil"/>
              <w:bottom w:val="single" w:sz="4" w:space="0" w:color="auto"/>
              <w:right w:val="single" w:sz="4" w:space="0" w:color="auto"/>
            </w:tcBorders>
            <w:vAlign w:val="center"/>
          </w:tcPr>
          <w:p w14:paraId="75C3BD27" w14:textId="77777777" w:rsidR="0004593F" w:rsidRPr="00BB1D4B" w:rsidRDefault="0004593F" w:rsidP="00BB1D4B">
            <w:pPr>
              <w:spacing w:after="0"/>
              <w:ind w:right="170"/>
              <w:contextualSpacing/>
              <w:jc w:val="right"/>
              <w:rPr>
                <w:rFonts w:eastAsia="Calibri" w:cs="Calibri"/>
                <w:color w:val="000000"/>
                <w:sz w:val="16"/>
                <w:szCs w:val="16"/>
              </w:rPr>
            </w:pPr>
            <w:r w:rsidRPr="00BB1D4B">
              <w:rPr>
                <w:rFonts w:eastAsia="Calibri" w:cs="Calibri"/>
                <w:color w:val="000000"/>
                <w:sz w:val="16"/>
                <w:szCs w:val="16"/>
              </w:rPr>
              <w:t>15</w:t>
            </w:r>
          </w:p>
        </w:tc>
      </w:tr>
      <w:tr w:rsidR="0004593F" w:rsidRPr="00BB1D4B" w14:paraId="3843B183" w14:textId="77777777" w:rsidTr="00BB1D4B">
        <w:trPr>
          <w:trHeight w:val="255"/>
        </w:trPr>
        <w:tc>
          <w:tcPr>
            <w:tcW w:w="562" w:type="dxa"/>
            <w:vMerge/>
            <w:tcBorders>
              <w:left w:val="single" w:sz="4" w:space="0" w:color="auto"/>
              <w:bottom w:val="single" w:sz="4" w:space="0" w:color="auto"/>
              <w:right w:val="single" w:sz="4" w:space="0" w:color="auto"/>
            </w:tcBorders>
            <w:shd w:val="clear" w:color="auto" w:fill="auto"/>
          </w:tcPr>
          <w:p w14:paraId="3508DBA1" w14:textId="77777777" w:rsidR="0004593F" w:rsidRPr="00BB1D4B" w:rsidRDefault="0004593F" w:rsidP="0004593F">
            <w:pPr>
              <w:spacing w:after="0"/>
              <w:contextualSpacing/>
              <w:jc w:val="both"/>
              <w:rPr>
                <w:rFonts w:eastAsia="Calibri" w:cs="Calibri"/>
                <w:b/>
                <w:bCs/>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F2C6C9"/>
            <w:noWrap/>
            <w:vAlign w:val="center"/>
          </w:tcPr>
          <w:p w14:paraId="2FDE704D" w14:textId="33D51E4C" w:rsidR="0004593F" w:rsidRPr="00BB1D4B" w:rsidRDefault="00BB1D4B" w:rsidP="00BB1D4B">
            <w:pPr>
              <w:spacing w:after="0"/>
              <w:contextualSpacing/>
              <w:rPr>
                <w:rFonts w:eastAsia="Calibri" w:cs="Calibri"/>
                <w:color w:val="000000"/>
                <w:sz w:val="16"/>
                <w:szCs w:val="16"/>
              </w:rPr>
            </w:pPr>
            <w:r>
              <w:rPr>
                <w:rFonts w:eastAsia="Calibri" w:cs="Calibri"/>
                <w:color w:val="000000"/>
                <w:sz w:val="16"/>
                <w:szCs w:val="16"/>
              </w:rPr>
              <w:t>Náklady na 1 </w:t>
            </w:r>
            <w:r w:rsidR="0004593F" w:rsidRPr="00BB1D4B">
              <w:rPr>
                <w:rFonts w:eastAsia="Calibri" w:cs="Calibri"/>
                <w:color w:val="000000"/>
                <w:sz w:val="16"/>
                <w:szCs w:val="16"/>
              </w:rPr>
              <w:t>zaměstnance (v Kč)</w:t>
            </w:r>
          </w:p>
        </w:tc>
        <w:tc>
          <w:tcPr>
            <w:tcW w:w="1386" w:type="dxa"/>
            <w:tcBorders>
              <w:top w:val="nil"/>
              <w:left w:val="nil"/>
              <w:bottom w:val="single" w:sz="4" w:space="0" w:color="auto"/>
              <w:right w:val="single" w:sz="4" w:space="0" w:color="auto"/>
            </w:tcBorders>
            <w:shd w:val="clear" w:color="auto" w:fill="F2C6C9"/>
            <w:noWrap/>
            <w:vAlign w:val="center"/>
          </w:tcPr>
          <w:p w14:paraId="03871863"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901 662,09</w:t>
            </w:r>
          </w:p>
        </w:tc>
        <w:tc>
          <w:tcPr>
            <w:tcW w:w="1387" w:type="dxa"/>
            <w:tcBorders>
              <w:top w:val="nil"/>
              <w:left w:val="nil"/>
              <w:bottom w:val="single" w:sz="4" w:space="0" w:color="auto"/>
              <w:right w:val="single" w:sz="4" w:space="0" w:color="auto"/>
            </w:tcBorders>
            <w:shd w:val="clear" w:color="auto" w:fill="F2C6C9"/>
            <w:noWrap/>
            <w:vAlign w:val="center"/>
          </w:tcPr>
          <w:p w14:paraId="70BF3C58"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964 620,57</w:t>
            </w:r>
          </w:p>
        </w:tc>
        <w:tc>
          <w:tcPr>
            <w:tcW w:w="1386" w:type="dxa"/>
            <w:tcBorders>
              <w:top w:val="nil"/>
              <w:left w:val="nil"/>
              <w:bottom w:val="single" w:sz="4" w:space="0" w:color="auto"/>
              <w:right w:val="single" w:sz="4" w:space="0" w:color="auto"/>
            </w:tcBorders>
            <w:shd w:val="clear" w:color="auto" w:fill="F2C6C9"/>
            <w:noWrap/>
            <w:vAlign w:val="center"/>
          </w:tcPr>
          <w:p w14:paraId="737AE684"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1 204 479,40</w:t>
            </w:r>
          </w:p>
        </w:tc>
        <w:tc>
          <w:tcPr>
            <w:tcW w:w="1387" w:type="dxa"/>
            <w:tcBorders>
              <w:top w:val="nil"/>
              <w:left w:val="nil"/>
              <w:bottom w:val="single" w:sz="4" w:space="0" w:color="auto"/>
              <w:right w:val="single" w:sz="4" w:space="0" w:color="auto"/>
            </w:tcBorders>
            <w:shd w:val="clear" w:color="auto" w:fill="F2C6C9"/>
            <w:noWrap/>
            <w:vAlign w:val="center"/>
          </w:tcPr>
          <w:p w14:paraId="4CEA3B2E"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1 463 107,12</w:t>
            </w:r>
          </w:p>
        </w:tc>
        <w:tc>
          <w:tcPr>
            <w:tcW w:w="1387" w:type="dxa"/>
            <w:tcBorders>
              <w:top w:val="nil"/>
              <w:left w:val="nil"/>
              <w:bottom w:val="single" w:sz="4" w:space="0" w:color="auto"/>
              <w:right w:val="single" w:sz="4" w:space="0" w:color="auto"/>
            </w:tcBorders>
            <w:shd w:val="clear" w:color="auto" w:fill="F2C6C9"/>
            <w:vAlign w:val="center"/>
          </w:tcPr>
          <w:p w14:paraId="50ED3CD6" w14:textId="77777777" w:rsidR="0004593F" w:rsidRPr="00BB1D4B" w:rsidRDefault="0004593F" w:rsidP="0004593F">
            <w:pPr>
              <w:spacing w:after="0"/>
              <w:contextualSpacing/>
              <w:jc w:val="right"/>
              <w:rPr>
                <w:rFonts w:eastAsia="Calibri" w:cs="Calibri"/>
                <w:color w:val="000000"/>
                <w:sz w:val="16"/>
                <w:szCs w:val="16"/>
              </w:rPr>
            </w:pPr>
            <w:r w:rsidRPr="00BB1D4B">
              <w:rPr>
                <w:rFonts w:eastAsia="Calibri" w:cs="Calibri"/>
                <w:color w:val="000000"/>
                <w:sz w:val="16"/>
                <w:szCs w:val="16"/>
              </w:rPr>
              <w:t>1 360 674,58</w:t>
            </w:r>
          </w:p>
        </w:tc>
      </w:tr>
    </w:tbl>
    <w:p w14:paraId="17FDCB47" w14:textId="4E969CAF" w:rsidR="0004593F" w:rsidRPr="0004593F" w:rsidRDefault="0004593F" w:rsidP="00BB1D4B">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 IISSP – finanční výkaz ZAM 1-04 U; výpočet</w:t>
      </w:r>
      <w:r w:rsidR="003D138C">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7E6C30B7" w14:textId="77777777" w:rsidR="0004593F" w:rsidRPr="00BB1D4B" w:rsidRDefault="0004593F" w:rsidP="0004593F">
      <w:pPr>
        <w:spacing w:after="0"/>
        <w:contextualSpacing/>
        <w:jc w:val="both"/>
        <w:rPr>
          <w:rFonts w:cs="Calibri"/>
          <w:color w:val="000000"/>
          <w:lang w:eastAsia="cs-CZ"/>
        </w:rPr>
      </w:pPr>
    </w:p>
    <w:p w14:paraId="1795D917" w14:textId="2E286BE6" w:rsidR="0004593F" w:rsidRPr="00BB1D4B" w:rsidRDefault="0004593F" w:rsidP="0004593F">
      <w:pPr>
        <w:spacing w:after="0"/>
        <w:contextualSpacing/>
        <w:jc w:val="both"/>
        <w:rPr>
          <w:rFonts w:eastAsia="Calibri" w:cs="Calibri"/>
        </w:rPr>
      </w:pPr>
      <w:r w:rsidRPr="00BB1D4B">
        <w:rPr>
          <w:rFonts w:eastAsia="Calibri" w:cs="Calibri"/>
        </w:rPr>
        <w:t>Vývoj nákladů na 1 zaměstnance kopíruje vývoj nákladů jako takových. Celkové náklady na 1</w:t>
      </w:r>
      <w:r w:rsidR="0001554C">
        <w:rPr>
          <w:rFonts w:eastAsia="Calibri" w:cs="Calibri"/>
        </w:rPr>
        <w:t> </w:t>
      </w:r>
      <w:r w:rsidRPr="00BB1D4B">
        <w:rPr>
          <w:rFonts w:eastAsia="Calibri" w:cs="Calibri"/>
        </w:rPr>
        <w:t xml:space="preserve">zaměstnance MMR mezi lety 2015–2017 klesaly ze 46,93 mil. Kč až na 11,63 mil. Kč. Mezi lety 2017–2018 došlo k nárůstu o 21,2 mil. Kč. Mezi největší náklady patřily náklady na transfery, které v roce 2018 tvořily částku ve výši 20,69 mld. Kč a jejichž nárůst nejvíce ovlivnil vývoj nákladů přepočtených na </w:t>
      </w:r>
      <w:r w:rsidR="003D138C">
        <w:rPr>
          <w:rFonts w:eastAsia="Calibri" w:cs="Calibri"/>
        </w:rPr>
        <w:t>1 </w:t>
      </w:r>
      <w:r w:rsidRPr="00BB1D4B">
        <w:rPr>
          <w:rFonts w:eastAsia="Calibri" w:cs="Calibri"/>
        </w:rPr>
        <w:t>zaměstnance.</w:t>
      </w:r>
    </w:p>
    <w:p w14:paraId="6AB5FD87" w14:textId="77777777" w:rsidR="0004593F" w:rsidRPr="00BB1D4B" w:rsidRDefault="0004593F" w:rsidP="0004593F">
      <w:pPr>
        <w:spacing w:after="0"/>
        <w:contextualSpacing/>
        <w:jc w:val="both"/>
        <w:rPr>
          <w:rFonts w:eastAsia="Calibri" w:cs="Calibri"/>
        </w:rPr>
      </w:pPr>
    </w:p>
    <w:p w14:paraId="62CC0A65" w14:textId="77777777" w:rsidR="0004593F" w:rsidRPr="00BB1D4B" w:rsidRDefault="0004593F" w:rsidP="0004593F">
      <w:pPr>
        <w:spacing w:after="0"/>
        <w:contextualSpacing/>
        <w:jc w:val="both"/>
        <w:rPr>
          <w:rFonts w:eastAsia="Calibri" w:cs="Calibri"/>
        </w:rPr>
      </w:pPr>
      <w:r w:rsidRPr="00BB1D4B">
        <w:rPr>
          <w:rFonts w:eastAsia="Calibri" w:cs="Calibri"/>
        </w:rPr>
        <w:t>Výdaje přepočtené na jednoho zaměstnance měly ve sledovaném období stejný vývoj jako náklady přepočtené na jednoho zaměstnance. Výdaje jsou pouze nepatrně nižší.</w:t>
      </w:r>
    </w:p>
    <w:p w14:paraId="48B7A32D" w14:textId="77777777" w:rsidR="0004593F" w:rsidRPr="00BB1D4B" w:rsidRDefault="0004593F" w:rsidP="0004593F">
      <w:pPr>
        <w:spacing w:after="0"/>
        <w:contextualSpacing/>
        <w:jc w:val="both"/>
        <w:rPr>
          <w:rFonts w:eastAsia="Calibri" w:cs="Calibri"/>
        </w:rPr>
      </w:pPr>
    </w:p>
    <w:p w14:paraId="47FBD10F" w14:textId="0D9B0844" w:rsidR="0004593F" w:rsidRPr="00BB1D4B" w:rsidRDefault="0004593F" w:rsidP="00BB1D4B">
      <w:pPr>
        <w:keepNext/>
        <w:tabs>
          <w:tab w:val="right" w:pos="9070"/>
        </w:tabs>
        <w:spacing w:after="40"/>
        <w:ind w:left="1418" w:hanging="1418"/>
        <w:rPr>
          <w:rFonts w:cs="Calibri"/>
          <w:b/>
          <w:iCs/>
        </w:rPr>
      </w:pPr>
      <w:bookmarkStart w:id="63" w:name="_Toc8984545"/>
      <w:bookmarkStart w:id="64" w:name="_Toc33100921"/>
      <w:bookmarkStart w:id="65" w:name="_Toc520714338"/>
      <w:r w:rsidRPr="00BB1D4B">
        <w:rPr>
          <w:rFonts w:cs="Calibri"/>
          <w:b/>
          <w:iCs/>
        </w:rPr>
        <w:t xml:space="preserve">Tabulka č. </w:t>
      </w:r>
      <w:r w:rsidRPr="00BB1D4B">
        <w:rPr>
          <w:rFonts w:cs="Calibri"/>
          <w:b/>
          <w:iCs/>
        </w:rPr>
        <w:fldChar w:fldCharType="begin"/>
      </w:r>
      <w:r w:rsidRPr="00BB1D4B">
        <w:rPr>
          <w:rFonts w:cs="Calibri"/>
          <w:b/>
          <w:iCs/>
        </w:rPr>
        <w:instrText xml:space="preserve"> SEQ Tabulka \* ARABIC </w:instrText>
      </w:r>
      <w:r w:rsidRPr="00BB1D4B">
        <w:rPr>
          <w:rFonts w:cs="Calibri"/>
          <w:b/>
          <w:iCs/>
        </w:rPr>
        <w:fldChar w:fldCharType="separate"/>
      </w:r>
      <w:r w:rsidR="00015BEA">
        <w:rPr>
          <w:rFonts w:cs="Calibri"/>
          <w:b/>
          <w:iCs/>
          <w:noProof/>
        </w:rPr>
        <w:t>14</w:t>
      </w:r>
      <w:r w:rsidRPr="00BB1D4B">
        <w:rPr>
          <w:rFonts w:cs="Calibri"/>
          <w:b/>
          <w:iCs/>
        </w:rPr>
        <w:fldChar w:fldCharType="end"/>
      </w:r>
      <w:r w:rsidRPr="00BB1D4B">
        <w:rPr>
          <w:rFonts w:cs="Calibri"/>
          <w:b/>
          <w:iCs/>
        </w:rPr>
        <w:t>: Náklady z činnosti (položka A.I. výkazu zisku a ztráty) vykázané MMR a OSS</w:t>
      </w:r>
      <w:bookmarkEnd w:id="63"/>
      <w:bookmarkEnd w:id="64"/>
      <w:r w:rsidRPr="00BB1D4B">
        <w:rPr>
          <w:rFonts w:cs="Calibri"/>
          <w:b/>
          <w:iCs/>
        </w:rPr>
        <w:t xml:space="preserve"> v rozpočtové kapitole 317</w:t>
      </w:r>
      <w:r w:rsidR="003D138C">
        <w:rPr>
          <w:rFonts w:cs="Calibri"/>
          <w:b/>
          <w:iCs/>
        </w:rPr>
        <w:t> MMR</w:t>
      </w:r>
      <w:r w:rsidRPr="00BB1D4B">
        <w:rPr>
          <w:rFonts w:cs="Calibri"/>
          <w:b/>
          <w:iCs/>
        </w:rPr>
        <w:t xml:space="preserve"> (bez MMR) </w:t>
      </w:r>
      <w:r w:rsidRPr="00BB1D4B">
        <w:rPr>
          <w:rFonts w:cs="Calibri"/>
          <w:b/>
          <w:iCs/>
        </w:rPr>
        <w:tab/>
        <w:t>(v Kč)</w:t>
      </w:r>
      <w:bookmarkEnd w:id="65"/>
    </w:p>
    <w:tbl>
      <w:tblPr>
        <w:tblW w:w="9099" w:type="dxa"/>
        <w:tblLayout w:type="fixed"/>
        <w:tblCellMar>
          <w:left w:w="70" w:type="dxa"/>
          <w:right w:w="70" w:type="dxa"/>
        </w:tblCellMar>
        <w:tblLook w:val="04A0" w:firstRow="1" w:lastRow="0" w:firstColumn="1" w:lastColumn="0" w:noHBand="0" w:noVBand="1"/>
      </w:tblPr>
      <w:tblGrid>
        <w:gridCol w:w="1304"/>
        <w:gridCol w:w="1559"/>
        <w:gridCol w:w="1559"/>
        <w:gridCol w:w="1559"/>
        <w:gridCol w:w="1559"/>
        <w:gridCol w:w="1559"/>
      </w:tblGrid>
      <w:tr w:rsidR="0004593F" w:rsidRPr="0004593F" w14:paraId="130FDF6D" w14:textId="77777777" w:rsidTr="00EC1B25">
        <w:trPr>
          <w:trHeight w:val="255"/>
        </w:trPr>
        <w:tc>
          <w:tcPr>
            <w:tcW w:w="130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29012E1" w14:textId="77777777" w:rsidR="0004593F" w:rsidRPr="0004593F" w:rsidRDefault="0004593F" w:rsidP="0004593F">
            <w:pPr>
              <w:spacing w:after="0"/>
              <w:contextualSpacing/>
              <w:jc w:val="both"/>
              <w:rPr>
                <w:rFonts w:cs="Calibri"/>
                <w:b/>
                <w:bCs/>
                <w:color w:val="000000"/>
                <w:sz w:val="20"/>
                <w:szCs w:val="20"/>
                <w:lang w:eastAsia="cs-CZ"/>
              </w:rPr>
            </w:pPr>
            <w:r w:rsidRPr="0004593F">
              <w:rPr>
                <w:rFonts w:cs="Calibri"/>
                <w:b/>
                <w:bCs/>
                <w:color w:val="000000"/>
                <w:sz w:val="20"/>
                <w:szCs w:val="20"/>
                <w:lang w:eastAsia="cs-CZ"/>
              </w:rPr>
              <w:t>Organizace</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0C3100D5"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4EF99C9B"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58F9CD1C"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023E8D1B"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559" w:type="dxa"/>
            <w:tcBorders>
              <w:top w:val="single" w:sz="4" w:space="0" w:color="auto"/>
              <w:left w:val="nil"/>
              <w:bottom w:val="single" w:sz="4" w:space="0" w:color="auto"/>
              <w:right w:val="single" w:sz="4" w:space="0" w:color="auto"/>
            </w:tcBorders>
            <w:shd w:val="clear" w:color="auto" w:fill="E5F1FF"/>
          </w:tcPr>
          <w:p w14:paraId="34B807CC"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449CC20E" w14:textId="77777777" w:rsidTr="00EC1B25">
        <w:trPr>
          <w:trHeight w:val="255"/>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62FB198F"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MMR</w:t>
            </w:r>
          </w:p>
        </w:tc>
        <w:tc>
          <w:tcPr>
            <w:tcW w:w="1559" w:type="dxa"/>
            <w:tcBorders>
              <w:top w:val="nil"/>
              <w:left w:val="nil"/>
              <w:bottom w:val="single" w:sz="4" w:space="0" w:color="auto"/>
              <w:right w:val="single" w:sz="4" w:space="0" w:color="auto"/>
            </w:tcBorders>
            <w:shd w:val="clear" w:color="auto" w:fill="auto"/>
            <w:noWrap/>
            <w:vAlign w:val="center"/>
          </w:tcPr>
          <w:p w14:paraId="56106F4B"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1 389 586 267,78</w:t>
            </w:r>
          </w:p>
        </w:tc>
        <w:tc>
          <w:tcPr>
            <w:tcW w:w="1559" w:type="dxa"/>
            <w:tcBorders>
              <w:top w:val="nil"/>
              <w:left w:val="nil"/>
              <w:bottom w:val="single" w:sz="4" w:space="0" w:color="auto"/>
              <w:right w:val="single" w:sz="4" w:space="0" w:color="auto"/>
            </w:tcBorders>
            <w:shd w:val="clear" w:color="auto" w:fill="auto"/>
            <w:noWrap/>
            <w:vAlign w:val="center"/>
          </w:tcPr>
          <w:p w14:paraId="4F8A831C"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1 259 543 476,24</w:t>
            </w:r>
          </w:p>
        </w:tc>
        <w:tc>
          <w:tcPr>
            <w:tcW w:w="1559" w:type="dxa"/>
            <w:tcBorders>
              <w:top w:val="nil"/>
              <w:left w:val="nil"/>
              <w:bottom w:val="single" w:sz="4" w:space="0" w:color="auto"/>
              <w:right w:val="single" w:sz="4" w:space="0" w:color="auto"/>
            </w:tcBorders>
            <w:shd w:val="clear" w:color="auto" w:fill="auto"/>
            <w:noWrap/>
            <w:vAlign w:val="center"/>
          </w:tcPr>
          <w:p w14:paraId="0FD4B479"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1 446 028 928,93</w:t>
            </w:r>
          </w:p>
        </w:tc>
        <w:tc>
          <w:tcPr>
            <w:tcW w:w="1559" w:type="dxa"/>
            <w:tcBorders>
              <w:top w:val="nil"/>
              <w:left w:val="nil"/>
              <w:bottom w:val="single" w:sz="4" w:space="0" w:color="auto"/>
              <w:right w:val="single" w:sz="4" w:space="0" w:color="auto"/>
            </w:tcBorders>
            <w:shd w:val="clear" w:color="auto" w:fill="auto"/>
            <w:noWrap/>
            <w:vAlign w:val="center"/>
          </w:tcPr>
          <w:p w14:paraId="6E1C3DA0"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1 308 565 886,47</w:t>
            </w:r>
          </w:p>
        </w:tc>
        <w:tc>
          <w:tcPr>
            <w:tcW w:w="1559" w:type="dxa"/>
            <w:tcBorders>
              <w:top w:val="nil"/>
              <w:left w:val="nil"/>
              <w:bottom w:val="single" w:sz="4" w:space="0" w:color="auto"/>
              <w:right w:val="single" w:sz="4" w:space="0" w:color="auto"/>
            </w:tcBorders>
            <w:vAlign w:val="center"/>
          </w:tcPr>
          <w:p w14:paraId="4C7521C1"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1 659 463 850,20</w:t>
            </w:r>
          </w:p>
        </w:tc>
      </w:tr>
      <w:tr w:rsidR="0004593F" w:rsidRPr="0004593F" w14:paraId="64395C58" w14:textId="77777777" w:rsidTr="00EC1B25">
        <w:trPr>
          <w:trHeight w:val="255"/>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4CCD5DDD"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OSS bez MMR</w:t>
            </w:r>
          </w:p>
        </w:tc>
        <w:tc>
          <w:tcPr>
            <w:tcW w:w="1559" w:type="dxa"/>
            <w:tcBorders>
              <w:top w:val="nil"/>
              <w:left w:val="nil"/>
              <w:bottom w:val="single" w:sz="4" w:space="0" w:color="auto"/>
              <w:right w:val="single" w:sz="4" w:space="0" w:color="auto"/>
            </w:tcBorders>
            <w:shd w:val="clear" w:color="auto" w:fill="auto"/>
            <w:noWrap/>
            <w:vAlign w:val="center"/>
          </w:tcPr>
          <w:p w14:paraId="7D96CBC3"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27 049 862,55</w:t>
            </w:r>
          </w:p>
        </w:tc>
        <w:tc>
          <w:tcPr>
            <w:tcW w:w="1559" w:type="dxa"/>
            <w:tcBorders>
              <w:top w:val="nil"/>
              <w:left w:val="nil"/>
              <w:bottom w:val="single" w:sz="4" w:space="0" w:color="auto"/>
              <w:right w:val="single" w:sz="4" w:space="0" w:color="auto"/>
            </w:tcBorders>
            <w:shd w:val="clear" w:color="auto" w:fill="auto"/>
            <w:noWrap/>
            <w:vAlign w:val="center"/>
          </w:tcPr>
          <w:p w14:paraId="1D13E7EF"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27 009 376,04</w:t>
            </w:r>
          </w:p>
        </w:tc>
        <w:tc>
          <w:tcPr>
            <w:tcW w:w="1559" w:type="dxa"/>
            <w:tcBorders>
              <w:top w:val="nil"/>
              <w:left w:val="nil"/>
              <w:bottom w:val="single" w:sz="4" w:space="0" w:color="auto"/>
              <w:right w:val="single" w:sz="4" w:space="0" w:color="auto"/>
            </w:tcBorders>
            <w:shd w:val="clear" w:color="auto" w:fill="auto"/>
            <w:noWrap/>
            <w:vAlign w:val="center"/>
          </w:tcPr>
          <w:p w14:paraId="1FB58B7A"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22 885 108,63</w:t>
            </w:r>
          </w:p>
        </w:tc>
        <w:tc>
          <w:tcPr>
            <w:tcW w:w="1559" w:type="dxa"/>
            <w:tcBorders>
              <w:top w:val="nil"/>
              <w:left w:val="nil"/>
              <w:bottom w:val="single" w:sz="4" w:space="0" w:color="auto"/>
              <w:right w:val="single" w:sz="4" w:space="0" w:color="auto"/>
            </w:tcBorders>
            <w:shd w:val="clear" w:color="auto" w:fill="auto"/>
            <w:noWrap/>
            <w:vAlign w:val="center"/>
          </w:tcPr>
          <w:p w14:paraId="12B47E05"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21 946 606,79</w:t>
            </w:r>
          </w:p>
        </w:tc>
        <w:tc>
          <w:tcPr>
            <w:tcW w:w="1559" w:type="dxa"/>
            <w:tcBorders>
              <w:top w:val="nil"/>
              <w:left w:val="nil"/>
              <w:bottom w:val="single" w:sz="4" w:space="0" w:color="auto"/>
              <w:right w:val="single" w:sz="4" w:space="0" w:color="auto"/>
            </w:tcBorders>
            <w:vAlign w:val="center"/>
          </w:tcPr>
          <w:p w14:paraId="31535039" w14:textId="77777777" w:rsidR="0004593F" w:rsidRPr="0004593F" w:rsidRDefault="0004593F" w:rsidP="00EC1B25">
            <w:pPr>
              <w:spacing w:after="0"/>
              <w:ind w:left="-57"/>
              <w:contextualSpacing/>
              <w:jc w:val="right"/>
              <w:rPr>
                <w:rFonts w:eastAsia="Calibri" w:cs="Calibri"/>
                <w:color w:val="000000"/>
                <w:sz w:val="20"/>
                <w:szCs w:val="20"/>
              </w:rPr>
            </w:pPr>
            <w:r w:rsidRPr="0004593F">
              <w:rPr>
                <w:rFonts w:eastAsia="Calibri" w:cs="Calibri"/>
                <w:color w:val="000000"/>
                <w:sz w:val="20"/>
                <w:szCs w:val="20"/>
              </w:rPr>
              <w:t>20 410 118,73</w:t>
            </w:r>
          </w:p>
        </w:tc>
      </w:tr>
    </w:tbl>
    <w:p w14:paraId="07987A4F" w14:textId="77777777" w:rsidR="0004593F" w:rsidRPr="0004593F" w:rsidRDefault="0004593F" w:rsidP="00EC1B25">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7F98D01C" w14:textId="77777777" w:rsidR="0004593F" w:rsidRPr="00EC1B25" w:rsidRDefault="0004593F" w:rsidP="0004593F">
      <w:pPr>
        <w:spacing w:after="0"/>
        <w:contextualSpacing/>
        <w:jc w:val="both"/>
        <w:rPr>
          <w:rFonts w:cs="Calibri"/>
          <w:color w:val="000000"/>
          <w:lang w:eastAsia="cs-CZ"/>
        </w:rPr>
      </w:pPr>
    </w:p>
    <w:p w14:paraId="2474B0D8" w14:textId="4519A03C" w:rsidR="0004593F" w:rsidRPr="00EC1B25" w:rsidRDefault="0004593F" w:rsidP="0004593F">
      <w:pPr>
        <w:spacing w:after="0"/>
        <w:contextualSpacing/>
        <w:jc w:val="both"/>
        <w:rPr>
          <w:rFonts w:eastAsia="Calibri" w:cs="Calibri"/>
        </w:rPr>
      </w:pPr>
      <w:r w:rsidRPr="00EC1B25">
        <w:rPr>
          <w:rFonts w:eastAsia="Calibri" w:cs="Calibri"/>
        </w:rPr>
        <w:t>Náklady z činnosti MMR vykazují ve sledovaném období kolísavou a spíše rostoucí tendenci. V roce 2018 došlo k meziročnímu růstu o 351 mil. Kč. Náklady z činnosti zbylých dvou OSS ve</w:t>
      </w:r>
      <w:r w:rsidR="00464118">
        <w:rPr>
          <w:rFonts w:eastAsia="Calibri" w:cs="Calibri"/>
        </w:rPr>
        <w:t xml:space="preserve"> </w:t>
      </w:r>
      <w:r w:rsidRPr="00EC1B25">
        <w:rPr>
          <w:rFonts w:eastAsia="Calibri" w:cs="Calibri"/>
        </w:rPr>
        <w:t>sledovaném období mírně klesají.</w:t>
      </w:r>
    </w:p>
    <w:p w14:paraId="2BB10CE3" w14:textId="77777777" w:rsidR="0004593F" w:rsidRPr="00EC1B25" w:rsidRDefault="0004593F" w:rsidP="0004593F">
      <w:pPr>
        <w:spacing w:after="0"/>
        <w:contextualSpacing/>
        <w:jc w:val="both"/>
        <w:rPr>
          <w:rFonts w:eastAsia="Calibri" w:cs="Calibri"/>
        </w:rPr>
      </w:pPr>
    </w:p>
    <w:p w14:paraId="42481FB4" w14:textId="11F388E9" w:rsidR="0004593F" w:rsidRPr="00EC1B25" w:rsidRDefault="0004593F" w:rsidP="0004593F">
      <w:pPr>
        <w:spacing w:after="0"/>
        <w:contextualSpacing/>
        <w:jc w:val="both"/>
        <w:rPr>
          <w:rFonts w:eastAsia="Calibri" w:cs="Calibri"/>
        </w:rPr>
      </w:pPr>
      <w:r w:rsidRPr="00EC1B25">
        <w:rPr>
          <w:rFonts w:eastAsia="Calibri" w:cs="Calibri"/>
        </w:rPr>
        <w:t xml:space="preserve">Nejvyšší položku nákladů z činnosti MMR tvoří v roce 2018 zůstatek syntetického účtu </w:t>
      </w:r>
      <w:r w:rsidR="00EC1B25">
        <w:rPr>
          <w:rFonts w:eastAsia="Calibri" w:cs="Calibri"/>
        </w:rPr>
        <w:br/>
      </w:r>
      <w:r w:rsidRPr="00EC1B25">
        <w:rPr>
          <w:rFonts w:eastAsia="Calibri" w:cs="Calibri"/>
        </w:rPr>
        <w:t xml:space="preserve">518 – </w:t>
      </w:r>
      <w:r w:rsidRPr="00EC1B25">
        <w:rPr>
          <w:rFonts w:eastAsia="Calibri" w:cs="Calibri"/>
          <w:i/>
        </w:rPr>
        <w:t>Ostatní služby</w:t>
      </w:r>
      <w:r w:rsidRPr="00EC1B25">
        <w:rPr>
          <w:rFonts w:eastAsia="Calibri" w:cs="Calibri"/>
        </w:rPr>
        <w:t xml:space="preserve">, tj. 36,46 % nákladů z činnosti, druhou největší skupinou nákladů z činnosti představuje zůstatek účtu 521 – </w:t>
      </w:r>
      <w:r w:rsidRPr="00EC1B25">
        <w:rPr>
          <w:rFonts w:eastAsia="Calibri" w:cs="Calibri"/>
          <w:i/>
        </w:rPr>
        <w:t xml:space="preserve">Mzdové náklady, </w:t>
      </w:r>
      <w:r w:rsidRPr="00EC1B25">
        <w:rPr>
          <w:rFonts w:eastAsia="Calibri" w:cs="Calibri"/>
        </w:rPr>
        <w:t>tj. 26,96 % nákladů z činnosti</w:t>
      </w:r>
      <w:r w:rsidRPr="00EC1B25">
        <w:rPr>
          <w:rFonts w:eastAsia="Calibri" w:cs="Calibri"/>
          <w:i/>
        </w:rPr>
        <w:t>.</w:t>
      </w:r>
      <w:r w:rsidRPr="00EC1B25">
        <w:rPr>
          <w:rFonts w:eastAsia="Calibri" w:cs="Calibri"/>
        </w:rPr>
        <w:t xml:space="preserve"> Další významnější skupiny tvoří zůstatek účtu 551 – </w:t>
      </w:r>
      <w:r w:rsidRPr="00EC1B25">
        <w:rPr>
          <w:rFonts w:eastAsia="Calibri" w:cs="Calibri"/>
          <w:i/>
        </w:rPr>
        <w:t xml:space="preserve">Odpisy dlouhodobého majetku </w:t>
      </w:r>
      <w:r w:rsidRPr="00EC1B25">
        <w:rPr>
          <w:rFonts w:eastAsia="Calibri" w:cs="Calibri"/>
        </w:rPr>
        <w:t>s podílem 19,01</w:t>
      </w:r>
      <w:r w:rsidR="00EC1B25">
        <w:rPr>
          <w:rFonts w:eastAsia="Calibri" w:cs="Calibri"/>
        </w:rPr>
        <w:t> </w:t>
      </w:r>
      <w:r w:rsidRPr="00EC1B25">
        <w:rPr>
          <w:rFonts w:eastAsia="Calibri" w:cs="Calibri"/>
        </w:rPr>
        <w:t>% nákladů z činnosti.</w:t>
      </w:r>
    </w:p>
    <w:p w14:paraId="63F521EB" w14:textId="77777777" w:rsidR="0004593F" w:rsidRPr="00EC1B25" w:rsidRDefault="0004593F" w:rsidP="0004593F">
      <w:pPr>
        <w:spacing w:after="0"/>
        <w:contextualSpacing/>
        <w:jc w:val="both"/>
        <w:rPr>
          <w:rFonts w:eastAsia="Calibri" w:cs="Calibri"/>
        </w:rPr>
      </w:pPr>
    </w:p>
    <w:p w14:paraId="4E2312EE" w14:textId="3E99DCDF" w:rsidR="0004593F" w:rsidRPr="00EC1B25" w:rsidRDefault="0004593F" w:rsidP="0004593F">
      <w:pPr>
        <w:spacing w:after="0"/>
        <w:contextualSpacing/>
        <w:jc w:val="both"/>
        <w:rPr>
          <w:rFonts w:eastAsia="Calibri" w:cs="Calibri"/>
          <w:i/>
        </w:rPr>
      </w:pPr>
      <w:r w:rsidRPr="00EC1B25">
        <w:rPr>
          <w:rFonts w:eastAsia="Calibri" w:cs="Calibri"/>
        </w:rPr>
        <w:t xml:space="preserve">Nejvyšší podíl účtu 518 – </w:t>
      </w:r>
      <w:r w:rsidRPr="00EC1B25">
        <w:rPr>
          <w:rFonts w:eastAsia="Calibri" w:cs="Calibri"/>
          <w:i/>
        </w:rPr>
        <w:t>Ostatní služby</w:t>
      </w:r>
      <w:r w:rsidRPr="00EC1B25">
        <w:rPr>
          <w:rFonts w:eastAsia="Calibri" w:cs="Calibri"/>
        </w:rPr>
        <w:t xml:space="preserve"> tvoří náklady na licence a podporu SW, a to 46,86 %. Další významnou položkou jsou náklady v rámci </w:t>
      </w:r>
      <w:r w:rsidR="00464118">
        <w:rPr>
          <w:rFonts w:eastAsia="Calibri" w:cs="Calibri"/>
        </w:rPr>
        <w:t>o</w:t>
      </w:r>
      <w:r w:rsidRPr="00EC1B25">
        <w:rPr>
          <w:rFonts w:eastAsia="Calibri" w:cs="Calibri"/>
        </w:rPr>
        <w:t xml:space="preserve">peračního programu </w:t>
      </w:r>
      <w:r w:rsidRPr="0057798A">
        <w:rPr>
          <w:rFonts w:eastAsia="Calibri" w:cs="Calibri"/>
          <w:i/>
        </w:rPr>
        <w:t xml:space="preserve">Technická pomoc </w:t>
      </w:r>
      <w:r w:rsidRPr="00EC1B25">
        <w:rPr>
          <w:rFonts w:eastAsia="Calibri" w:cs="Calibri"/>
        </w:rPr>
        <w:t>(25,99</w:t>
      </w:r>
      <w:r w:rsidR="001E7D4B">
        <w:rPr>
          <w:rFonts w:eastAsia="Calibri" w:cs="Calibri"/>
        </w:rPr>
        <w:t> </w:t>
      </w:r>
      <w:r w:rsidRPr="00EC1B25">
        <w:rPr>
          <w:rFonts w:eastAsia="Calibri" w:cs="Calibri"/>
        </w:rPr>
        <w:t>%) a datové služby a zpracování dat (8,41 %).</w:t>
      </w:r>
    </w:p>
    <w:p w14:paraId="329A1725" w14:textId="77777777" w:rsidR="0004593F" w:rsidRPr="00EC1B25" w:rsidRDefault="0004593F" w:rsidP="0004593F">
      <w:pPr>
        <w:spacing w:after="0"/>
        <w:contextualSpacing/>
        <w:jc w:val="both"/>
        <w:rPr>
          <w:rFonts w:eastAsia="Calibri" w:cs="Calibri"/>
        </w:rPr>
      </w:pPr>
    </w:p>
    <w:p w14:paraId="5C76A262" w14:textId="197D1E9E" w:rsidR="0004593F" w:rsidRPr="00EC1B25" w:rsidRDefault="0004593F" w:rsidP="0004593F">
      <w:pPr>
        <w:spacing w:after="0"/>
        <w:contextualSpacing/>
        <w:jc w:val="both"/>
        <w:rPr>
          <w:rFonts w:eastAsia="Calibri" w:cs="Calibri"/>
          <w:b/>
          <w:highlight w:val="red"/>
        </w:rPr>
      </w:pPr>
      <w:r w:rsidRPr="00EC1B25">
        <w:rPr>
          <w:rFonts w:eastAsia="Calibri" w:cs="Calibri"/>
          <w:b/>
        </w:rPr>
        <w:lastRenderedPageBreak/>
        <w:t>Kontrolou bylo zjištěno, že MMR v roce 2018 nesprávně účtovalo o opravách předcházejících účetních období a například opravu v minulosti nadhodnocených nákladů z odpisů provedlo tak, že tyto náklady v účetním období 2018 znovu zaúčtovalo a tím je již potřetí i vykázalo ve svých účetních závěrkách. Tato nesprávnost měla vliv i na významný meziroční (2018 vs.</w:t>
      </w:r>
      <w:r w:rsidR="00EC1B25">
        <w:rPr>
          <w:rFonts w:eastAsia="Calibri" w:cs="Calibri"/>
          <w:b/>
        </w:rPr>
        <w:t> </w:t>
      </w:r>
      <w:r w:rsidRPr="00EC1B25">
        <w:rPr>
          <w:rFonts w:eastAsia="Calibri" w:cs="Calibri"/>
          <w:b/>
        </w:rPr>
        <w:t xml:space="preserve">2017) nárůst vykazovaných nákladů na účtu 551 – </w:t>
      </w:r>
      <w:r w:rsidRPr="00EC1B25">
        <w:rPr>
          <w:rFonts w:eastAsia="Calibri" w:cs="Calibri"/>
          <w:b/>
          <w:i/>
        </w:rPr>
        <w:t>Odpisy dlouhodobého majetku</w:t>
      </w:r>
      <w:r w:rsidRPr="00EC1B25">
        <w:rPr>
          <w:rFonts w:eastAsia="Calibri" w:cs="Calibri"/>
          <w:b/>
        </w:rPr>
        <w:t xml:space="preserve"> a nadhodnocení zůstatku účtu 551 – </w:t>
      </w:r>
      <w:r w:rsidRPr="00EC1B25">
        <w:rPr>
          <w:rFonts w:eastAsia="Calibri" w:cs="Calibri"/>
          <w:b/>
          <w:i/>
        </w:rPr>
        <w:t>Odpisy dlouhodobého majetku</w:t>
      </w:r>
      <w:r w:rsidRPr="00EC1B25">
        <w:rPr>
          <w:rFonts w:eastAsia="Calibri" w:cs="Calibri"/>
          <w:b/>
        </w:rPr>
        <w:t xml:space="preserve"> v roce 2018 o</w:t>
      </w:r>
      <w:r w:rsidR="00EC1B25">
        <w:rPr>
          <w:rFonts w:eastAsia="Calibri" w:cs="Calibri"/>
          <w:b/>
        </w:rPr>
        <w:t> </w:t>
      </w:r>
      <w:r w:rsidRPr="00EC1B25">
        <w:rPr>
          <w:rFonts w:eastAsia="Calibri" w:cs="Calibri"/>
          <w:b/>
        </w:rPr>
        <w:t>234</w:t>
      </w:r>
      <w:r w:rsidR="00EC1B25">
        <w:rPr>
          <w:rFonts w:eastAsia="Calibri" w:cs="Calibri"/>
          <w:b/>
        </w:rPr>
        <w:t> 160 </w:t>
      </w:r>
      <w:r w:rsidRPr="00EC1B25">
        <w:rPr>
          <w:rFonts w:eastAsia="Calibri" w:cs="Calibri"/>
          <w:b/>
        </w:rPr>
        <w:t>354,16</w:t>
      </w:r>
      <w:r w:rsidR="00EC1B25">
        <w:rPr>
          <w:rFonts w:eastAsia="Calibri" w:cs="Calibri"/>
          <w:b/>
        </w:rPr>
        <w:t> </w:t>
      </w:r>
      <w:r w:rsidRPr="00EC1B25">
        <w:rPr>
          <w:rFonts w:eastAsia="Calibri" w:cs="Calibri"/>
          <w:b/>
        </w:rPr>
        <w:t>Kč.</w:t>
      </w:r>
    </w:p>
    <w:p w14:paraId="4E406F6E" w14:textId="77777777" w:rsidR="0004593F" w:rsidRPr="00EC1B25" w:rsidRDefault="0004593F" w:rsidP="0004593F">
      <w:pPr>
        <w:spacing w:after="0"/>
        <w:contextualSpacing/>
        <w:jc w:val="both"/>
        <w:rPr>
          <w:rFonts w:eastAsia="Calibri" w:cs="Calibri"/>
          <w:b/>
          <w:highlight w:val="red"/>
        </w:rPr>
      </w:pPr>
    </w:p>
    <w:p w14:paraId="4E0E8FFE" w14:textId="77777777" w:rsidR="0004593F" w:rsidRPr="00EC1B25" w:rsidRDefault="0004593F" w:rsidP="0004593F">
      <w:pPr>
        <w:spacing w:after="0"/>
        <w:contextualSpacing/>
        <w:jc w:val="both"/>
        <w:rPr>
          <w:rFonts w:eastAsia="Calibri" w:cs="Calibri"/>
          <w:b/>
        </w:rPr>
      </w:pPr>
      <w:r w:rsidRPr="00EC1B25">
        <w:rPr>
          <w:rFonts w:eastAsia="Calibri" w:cs="Calibri"/>
          <w:b/>
        </w:rPr>
        <w:t>Kontrolou bylo dále zjištěno, že MMR v roce 2018 mj.:</w:t>
      </w:r>
    </w:p>
    <w:p w14:paraId="439886DD" w14:textId="77777777" w:rsidR="0004593F" w:rsidRPr="00EC1B25" w:rsidRDefault="0004593F" w:rsidP="00247A8C">
      <w:pPr>
        <w:pStyle w:val="Odstavecseseznamem"/>
        <w:numPr>
          <w:ilvl w:val="0"/>
          <w:numId w:val="14"/>
        </w:numPr>
        <w:spacing w:after="0"/>
        <w:ind w:left="284" w:hanging="284"/>
        <w:jc w:val="both"/>
        <w:rPr>
          <w:rFonts w:eastAsia="Calibri" w:cs="Calibri"/>
          <w:b/>
        </w:rPr>
      </w:pPr>
      <w:r w:rsidRPr="00EC1B25">
        <w:rPr>
          <w:rFonts w:cs="Calibri"/>
          <w:b/>
          <w:bCs/>
          <w:iCs/>
        </w:rPr>
        <w:t>nesprávně účtovalo o nákupu roční licence jako o dlouhodobém nehmotném majetku,</w:t>
      </w:r>
    </w:p>
    <w:p w14:paraId="4D7AB243" w14:textId="77777777" w:rsidR="0004593F" w:rsidRPr="00EC1B25" w:rsidRDefault="0004593F" w:rsidP="00247A8C">
      <w:pPr>
        <w:pStyle w:val="Odstavecseseznamem"/>
        <w:numPr>
          <w:ilvl w:val="0"/>
          <w:numId w:val="14"/>
        </w:numPr>
        <w:spacing w:after="0"/>
        <w:ind w:left="284" w:hanging="284"/>
        <w:jc w:val="both"/>
        <w:rPr>
          <w:rFonts w:eastAsia="Calibri" w:cs="Calibri"/>
          <w:b/>
        </w:rPr>
      </w:pPr>
      <w:r w:rsidRPr="00EC1B25">
        <w:rPr>
          <w:rFonts w:eastAsia="Calibri" w:cs="Calibri"/>
          <w:b/>
        </w:rPr>
        <w:t xml:space="preserve">nesprávně účtovalo o nákladech, které nepředstavovaly náklady z pořízení drobného dlouhodobého majetku, neboť se jednalo o službu na účtu 558 – </w:t>
      </w:r>
      <w:r w:rsidRPr="00EC1B25">
        <w:rPr>
          <w:rFonts w:eastAsia="Calibri" w:cs="Calibri"/>
          <w:b/>
          <w:i/>
        </w:rPr>
        <w:t>Náklady z drobného dlouhodobého majetku</w:t>
      </w:r>
      <w:r w:rsidRPr="00EC1B25">
        <w:rPr>
          <w:rFonts w:eastAsia="Calibri" w:cs="Calibri"/>
          <w:b/>
        </w:rPr>
        <w:t>,</w:t>
      </w:r>
    </w:p>
    <w:p w14:paraId="77159658" w14:textId="13D1BF51" w:rsidR="0004593F" w:rsidRPr="00EC1B25" w:rsidRDefault="0004593F" w:rsidP="00247A8C">
      <w:pPr>
        <w:pStyle w:val="Odstavecseseznamem"/>
        <w:numPr>
          <w:ilvl w:val="0"/>
          <w:numId w:val="14"/>
        </w:numPr>
        <w:spacing w:after="0"/>
        <w:ind w:left="284" w:hanging="284"/>
        <w:jc w:val="both"/>
        <w:rPr>
          <w:rFonts w:eastAsia="Calibri" w:cs="Calibri"/>
          <w:b/>
        </w:rPr>
      </w:pPr>
      <w:r w:rsidRPr="00EC1B25">
        <w:rPr>
          <w:rFonts w:eastAsia="Calibri" w:cs="Calibri"/>
          <w:b/>
        </w:rPr>
        <w:t>časově nerozlišilo náklady, které se zčásti nebo zcela týkaly následujícího účetního období</w:t>
      </w:r>
      <w:r w:rsidR="00464118">
        <w:rPr>
          <w:rFonts w:eastAsia="Calibri" w:cs="Calibri"/>
          <w:b/>
        </w:rPr>
        <w:t>,</w:t>
      </w:r>
    </w:p>
    <w:p w14:paraId="12359E4A" w14:textId="77777777" w:rsidR="0004593F" w:rsidRPr="00EC1B25" w:rsidRDefault="0004593F" w:rsidP="00247A8C">
      <w:pPr>
        <w:pStyle w:val="Odstavecseseznamem"/>
        <w:numPr>
          <w:ilvl w:val="0"/>
          <w:numId w:val="14"/>
        </w:numPr>
        <w:spacing w:after="0"/>
        <w:ind w:left="284" w:hanging="284"/>
        <w:jc w:val="both"/>
        <w:rPr>
          <w:rFonts w:eastAsia="Calibri" w:cs="Calibri"/>
          <w:b/>
        </w:rPr>
      </w:pPr>
      <w:r w:rsidRPr="00EC1B25">
        <w:rPr>
          <w:rFonts w:eastAsia="Calibri" w:cs="Calibri"/>
          <w:b/>
        </w:rPr>
        <w:t xml:space="preserve">nezahrnulo náklady za implementační služby související s pořízením dlouhodobého majetku do pořizovací ceny tohoto majetku a namísto toho o těchto nákladech účtovalo prostřednictvím účtu 518 – </w:t>
      </w:r>
      <w:r w:rsidRPr="00EC1B25">
        <w:rPr>
          <w:rFonts w:eastAsia="Calibri" w:cs="Calibri"/>
          <w:b/>
          <w:i/>
        </w:rPr>
        <w:t>Ostatní služby</w:t>
      </w:r>
      <w:r w:rsidRPr="00EC1B25">
        <w:rPr>
          <w:rFonts w:eastAsia="Calibri" w:cs="Calibri"/>
          <w:b/>
        </w:rPr>
        <w:t>.</w:t>
      </w:r>
    </w:p>
    <w:p w14:paraId="2E063B26" w14:textId="77777777" w:rsidR="0004593F" w:rsidRPr="00EC1B25" w:rsidRDefault="0004593F" w:rsidP="0004593F">
      <w:pPr>
        <w:spacing w:after="0"/>
        <w:contextualSpacing/>
        <w:jc w:val="both"/>
        <w:rPr>
          <w:rFonts w:eastAsia="Calibri" w:cs="Calibri"/>
          <w:b/>
          <w:highlight w:val="red"/>
        </w:rPr>
      </w:pPr>
    </w:p>
    <w:p w14:paraId="4017F879" w14:textId="77777777" w:rsidR="0004593F" w:rsidRPr="00EC1B25" w:rsidRDefault="0004593F" w:rsidP="0004593F">
      <w:pPr>
        <w:spacing w:after="0"/>
        <w:contextualSpacing/>
        <w:jc w:val="both"/>
        <w:rPr>
          <w:rFonts w:eastAsia="Calibri" w:cs="Calibri"/>
          <w:b/>
        </w:rPr>
      </w:pPr>
      <w:r w:rsidRPr="00EC1B25">
        <w:rPr>
          <w:rFonts w:eastAsia="Calibri" w:cs="Calibri"/>
          <w:b/>
        </w:rPr>
        <w:t xml:space="preserve">V důsledku těchto skutečností MMR v roce 2018 nadhodnotilo zůstatek účtu 518 – </w:t>
      </w:r>
      <w:r w:rsidRPr="00EC1B25">
        <w:rPr>
          <w:rFonts w:eastAsia="Calibri" w:cs="Calibri"/>
          <w:b/>
          <w:i/>
        </w:rPr>
        <w:t>Ostatní služby</w:t>
      </w:r>
      <w:r w:rsidRPr="00EC1B25">
        <w:rPr>
          <w:rFonts w:eastAsia="Calibri" w:cs="Calibri"/>
          <w:b/>
        </w:rPr>
        <w:t xml:space="preserve"> o 24 334 388,54 Kč.</w:t>
      </w:r>
    </w:p>
    <w:p w14:paraId="72A4015C" w14:textId="77777777" w:rsidR="0004593F" w:rsidRPr="00EC1B25" w:rsidRDefault="0004593F" w:rsidP="0004593F">
      <w:pPr>
        <w:spacing w:after="0"/>
        <w:contextualSpacing/>
        <w:jc w:val="both"/>
        <w:rPr>
          <w:rFonts w:eastAsia="Calibri" w:cs="Calibri"/>
          <w:b/>
        </w:rPr>
      </w:pPr>
    </w:p>
    <w:p w14:paraId="18D52A99" w14:textId="0CAD59EC" w:rsidR="0004593F" w:rsidRPr="00EC1B25" w:rsidRDefault="0004593F" w:rsidP="00EC1B25">
      <w:pPr>
        <w:keepNext/>
        <w:tabs>
          <w:tab w:val="right" w:pos="9070"/>
        </w:tabs>
        <w:spacing w:after="40"/>
        <w:ind w:left="1418" w:hanging="1418"/>
        <w:rPr>
          <w:rFonts w:cs="Calibri"/>
          <w:b/>
          <w:iCs/>
        </w:rPr>
      </w:pPr>
      <w:bookmarkStart w:id="66" w:name="_Toc8984546"/>
      <w:bookmarkStart w:id="67" w:name="_Toc33100922"/>
      <w:bookmarkStart w:id="68" w:name="_Toc520714339"/>
      <w:r w:rsidRPr="00EC1B25">
        <w:rPr>
          <w:rFonts w:cs="Calibri"/>
          <w:b/>
          <w:iCs/>
        </w:rPr>
        <w:t xml:space="preserve">Tabulka č. </w:t>
      </w:r>
      <w:r w:rsidRPr="00EC1B25">
        <w:rPr>
          <w:rFonts w:cs="Calibri"/>
          <w:b/>
          <w:iCs/>
        </w:rPr>
        <w:fldChar w:fldCharType="begin"/>
      </w:r>
      <w:r w:rsidRPr="00EC1B25">
        <w:rPr>
          <w:rFonts w:cs="Calibri"/>
          <w:b/>
          <w:iCs/>
        </w:rPr>
        <w:instrText xml:space="preserve"> SEQ Tabulka \* ARABIC </w:instrText>
      </w:r>
      <w:r w:rsidRPr="00EC1B25">
        <w:rPr>
          <w:rFonts w:cs="Calibri"/>
          <w:b/>
          <w:iCs/>
        </w:rPr>
        <w:fldChar w:fldCharType="separate"/>
      </w:r>
      <w:r w:rsidR="00015BEA">
        <w:rPr>
          <w:rFonts w:cs="Calibri"/>
          <w:b/>
          <w:iCs/>
          <w:noProof/>
        </w:rPr>
        <w:t>15</w:t>
      </w:r>
      <w:r w:rsidRPr="00EC1B25">
        <w:rPr>
          <w:rFonts w:cs="Calibri"/>
          <w:b/>
          <w:iCs/>
        </w:rPr>
        <w:fldChar w:fldCharType="end"/>
      </w:r>
      <w:r w:rsidRPr="00EC1B25">
        <w:rPr>
          <w:rFonts w:cs="Calibri"/>
          <w:b/>
          <w:iCs/>
        </w:rPr>
        <w:t>: Náklady z činnosti přepočtené na 1 zaměstnance vykázané MMR a OSS</w:t>
      </w:r>
      <w:bookmarkEnd w:id="66"/>
      <w:bookmarkEnd w:id="67"/>
      <w:r w:rsidRPr="00EC1B25">
        <w:rPr>
          <w:rFonts w:cs="Calibri"/>
          <w:b/>
          <w:iCs/>
        </w:rPr>
        <w:t xml:space="preserve"> v rozpočtové kapitole 317</w:t>
      </w:r>
      <w:r w:rsidR="00464118">
        <w:rPr>
          <w:rFonts w:cs="Calibri"/>
          <w:b/>
          <w:iCs/>
        </w:rPr>
        <w:t> MMR</w:t>
      </w:r>
      <w:r w:rsidRPr="00EC1B25">
        <w:rPr>
          <w:rFonts w:cs="Calibri"/>
          <w:b/>
          <w:iCs/>
        </w:rPr>
        <w:t xml:space="preserve"> (bez MMR) </w:t>
      </w:r>
      <w:r w:rsidRPr="00EC1B25">
        <w:rPr>
          <w:rFonts w:cs="Calibri"/>
          <w:b/>
          <w:iCs/>
        </w:rPr>
        <w:tab/>
        <w:t>(v Kč)</w:t>
      </w:r>
      <w:bookmarkEnd w:id="68"/>
    </w:p>
    <w:tbl>
      <w:tblPr>
        <w:tblW w:w="5000" w:type="pct"/>
        <w:tblCellMar>
          <w:left w:w="70" w:type="dxa"/>
          <w:right w:w="70" w:type="dxa"/>
        </w:tblCellMar>
        <w:tblLook w:val="04A0" w:firstRow="1" w:lastRow="0" w:firstColumn="1" w:lastColumn="0" w:noHBand="0" w:noVBand="1"/>
      </w:tblPr>
      <w:tblGrid>
        <w:gridCol w:w="1612"/>
        <w:gridCol w:w="1490"/>
        <w:gridCol w:w="1490"/>
        <w:gridCol w:w="1490"/>
        <w:gridCol w:w="1489"/>
        <w:gridCol w:w="1489"/>
      </w:tblGrid>
      <w:tr w:rsidR="0004593F" w:rsidRPr="0004593F" w14:paraId="27E2D5A9" w14:textId="77777777" w:rsidTr="0004593F">
        <w:trPr>
          <w:trHeight w:val="255"/>
        </w:trPr>
        <w:tc>
          <w:tcPr>
            <w:tcW w:w="889"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4CFF2F1" w14:textId="77777777" w:rsidR="0004593F" w:rsidRPr="0004593F" w:rsidRDefault="0004593F" w:rsidP="0004593F">
            <w:pPr>
              <w:spacing w:after="0"/>
              <w:contextualSpacing/>
              <w:jc w:val="both"/>
              <w:rPr>
                <w:rFonts w:cs="Calibri"/>
                <w:b/>
                <w:bCs/>
                <w:color w:val="000000"/>
                <w:sz w:val="20"/>
                <w:szCs w:val="20"/>
                <w:lang w:eastAsia="cs-CZ"/>
              </w:rPr>
            </w:pPr>
            <w:r w:rsidRPr="0004593F">
              <w:rPr>
                <w:rFonts w:cs="Calibri"/>
                <w:b/>
                <w:bCs/>
                <w:color w:val="000000"/>
                <w:sz w:val="20"/>
                <w:szCs w:val="20"/>
                <w:lang w:eastAsia="cs-CZ"/>
              </w:rPr>
              <w:t>Organizace</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78A7ECB3"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5D309778"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2C2FCDF5"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40FCF10B"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822" w:type="pct"/>
            <w:tcBorders>
              <w:top w:val="single" w:sz="4" w:space="0" w:color="auto"/>
              <w:left w:val="nil"/>
              <w:bottom w:val="single" w:sz="4" w:space="0" w:color="auto"/>
              <w:right w:val="single" w:sz="4" w:space="0" w:color="auto"/>
            </w:tcBorders>
            <w:shd w:val="clear" w:color="auto" w:fill="E5F1FF"/>
          </w:tcPr>
          <w:p w14:paraId="42B7FFF3"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309B01C9" w14:textId="77777777" w:rsidTr="0004593F">
        <w:trPr>
          <w:trHeight w:val="255"/>
        </w:trPr>
        <w:tc>
          <w:tcPr>
            <w:tcW w:w="889" w:type="pct"/>
            <w:tcBorders>
              <w:top w:val="nil"/>
              <w:left w:val="single" w:sz="4" w:space="0" w:color="auto"/>
              <w:bottom w:val="single" w:sz="4" w:space="0" w:color="auto"/>
              <w:right w:val="single" w:sz="4" w:space="0" w:color="auto"/>
            </w:tcBorders>
            <w:shd w:val="clear" w:color="auto" w:fill="auto"/>
            <w:noWrap/>
            <w:vAlign w:val="center"/>
          </w:tcPr>
          <w:p w14:paraId="442B79B4"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MMR</w:t>
            </w:r>
          </w:p>
        </w:tc>
        <w:tc>
          <w:tcPr>
            <w:tcW w:w="822" w:type="pct"/>
            <w:tcBorders>
              <w:top w:val="nil"/>
              <w:left w:val="nil"/>
              <w:bottom w:val="single" w:sz="4" w:space="0" w:color="auto"/>
              <w:right w:val="single" w:sz="4" w:space="0" w:color="auto"/>
            </w:tcBorders>
            <w:shd w:val="clear" w:color="auto" w:fill="auto"/>
            <w:noWrap/>
            <w:vAlign w:val="center"/>
          </w:tcPr>
          <w:p w14:paraId="52E8C8E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2 379 428,54</w:t>
            </w:r>
          </w:p>
        </w:tc>
        <w:tc>
          <w:tcPr>
            <w:tcW w:w="822" w:type="pct"/>
            <w:tcBorders>
              <w:top w:val="nil"/>
              <w:left w:val="nil"/>
              <w:bottom w:val="single" w:sz="4" w:space="0" w:color="auto"/>
              <w:right w:val="single" w:sz="4" w:space="0" w:color="auto"/>
            </w:tcBorders>
            <w:shd w:val="clear" w:color="auto" w:fill="auto"/>
            <w:noWrap/>
            <w:vAlign w:val="center"/>
          </w:tcPr>
          <w:p w14:paraId="47702FF1"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2 054 720,19</w:t>
            </w:r>
          </w:p>
        </w:tc>
        <w:tc>
          <w:tcPr>
            <w:tcW w:w="822" w:type="pct"/>
            <w:tcBorders>
              <w:top w:val="nil"/>
              <w:left w:val="nil"/>
              <w:bottom w:val="single" w:sz="4" w:space="0" w:color="auto"/>
              <w:right w:val="single" w:sz="4" w:space="0" w:color="auto"/>
            </w:tcBorders>
            <w:shd w:val="clear" w:color="auto" w:fill="auto"/>
            <w:noWrap/>
            <w:vAlign w:val="center"/>
          </w:tcPr>
          <w:p w14:paraId="35EC0B3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2 358 937,89</w:t>
            </w:r>
          </w:p>
        </w:tc>
        <w:tc>
          <w:tcPr>
            <w:tcW w:w="822" w:type="pct"/>
            <w:tcBorders>
              <w:top w:val="nil"/>
              <w:left w:val="nil"/>
              <w:bottom w:val="single" w:sz="4" w:space="0" w:color="auto"/>
              <w:right w:val="single" w:sz="4" w:space="0" w:color="auto"/>
            </w:tcBorders>
            <w:shd w:val="clear" w:color="auto" w:fill="auto"/>
            <w:noWrap/>
            <w:vAlign w:val="center"/>
          </w:tcPr>
          <w:p w14:paraId="3B770E9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2 016 280,26</w:t>
            </w:r>
          </w:p>
        </w:tc>
        <w:tc>
          <w:tcPr>
            <w:tcW w:w="822" w:type="pct"/>
            <w:tcBorders>
              <w:top w:val="nil"/>
              <w:left w:val="nil"/>
              <w:bottom w:val="single" w:sz="4" w:space="0" w:color="auto"/>
              <w:right w:val="single" w:sz="4" w:space="0" w:color="auto"/>
            </w:tcBorders>
            <w:vAlign w:val="center"/>
          </w:tcPr>
          <w:p w14:paraId="6177162F"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2 436 804,48</w:t>
            </w:r>
          </w:p>
        </w:tc>
      </w:tr>
      <w:tr w:rsidR="0004593F" w:rsidRPr="0004593F" w14:paraId="5EE54CEB" w14:textId="77777777" w:rsidTr="0004593F">
        <w:trPr>
          <w:trHeight w:val="255"/>
        </w:trPr>
        <w:tc>
          <w:tcPr>
            <w:tcW w:w="889" w:type="pct"/>
            <w:tcBorders>
              <w:top w:val="nil"/>
              <w:left w:val="single" w:sz="4" w:space="0" w:color="auto"/>
              <w:bottom w:val="single" w:sz="4" w:space="0" w:color="auto"/>
              <w:right w:val="single" w:sz="4" w:space="0" w:color="auto"/>
            </w:tcBorders>
            <w:shd w:val="clear" w:color="auto" w:fill="auto"/>
            <w:noWrap/>
            <w:vAlign w:val="center"/>
          </w:tcPr>
          <w:p w14:paraId="45A04766"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OSS bez MMR</w:t>
            </w:r>
          </w:p>
        </w:tc>
        <w:tc>
          <w:tcPr>
            <w:tcW w:w="822" w:type="pct"/>
            <w:tcBorders>
              <w:top w:val="nil"/>
              <w:left w:val="nil"/>
              <w:bottom w:val="single" w:sz="4" w:space="0" w:color="auto"/>
              <w:right w:val="single" w:sz="4" w:space="0" w:color="auto"/>
            </w:tcBorders>
            <w:shd w:val="clear" w:color="auto" w:fill="auto"/>
            <w:noWrap/>
            <w:vAlign w:val="center"/>
          </w:tcPr>
          <w:p w14:paraId="30DFE38E"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901 662,09</w:t>
            </w:r>
          </w:p>
        </w:tc>
        <w:tc>
          <w:tcPr>
            <w:tcW w:w="822" w:type="pct"/>
            <w:tcBorders>
              <w:top w:val="nil"/>
              <w:left w:val="nil"/>
              <w:bottom w:val="single" w:sz="4" w:space="0" w:color="auto"/>
              <w:right w:val="single" w:sz="4" w:space="0" w:color="auto"/>
            </w:tcBorders>
            <w:shd w:val="clear" w:color="auto" w:fill="auto"/>
            <w:noWrap/>
            <w:vAlign w:val="center"/>
          </w:tcPr>
          <w:p w14:paraId="18298DB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964 620,57</w:t>
            </w:r>
          </w:p>
        </w:tc>
        <w:tc>
          <w:tcPr>
            <w:tcW w:w="822" w:type="pct"/>
            <w:tcBorders>
              <w:top w:val="nil"/>
              <w:left w:val="nil"/>
              <w:bottom w:val="single" w:sz="4" w:space="0" w:color="auto"/>
              <w:right w:val="single" w:sz="4" w:space="0" w:color="auto"/>
            </w:tcBorders>
            <w:shd w:val="clear" w:color="auto" w:fill="auto"/>
            <w:noWrap/>
            <w:vAlign w:val="center"/>
          </w:tcPr>
          <w:p w14:paraId="0D2E51C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1 204 479,40</w:t>
            </w:r>
          </w:p>
        </w:tc>
        <w:tc>
          <w:tcPr>
            <w:tcW w:w="822" w:type="pct"/>
            <w:tcBorders>
              <w:top w:val="nil"/>
              <w:left w:val="nil"/>
              <w:bottom w:val="single" w:sz="4" w:space="0" w:color="auto"/>
              <w:right w:val="single" w:sz="4" w:space="0" w:color="auto"/>
            </w:tcBorders>
            <w:shd w:val="clear" w:color="auto" w:fill="auto"/>
            <w:noWrap/>
            <w:vAlign w:val="center"/>
          </w:tcPr>
          <w:p w14:paraId="45038D1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1 463 107,12</w:t>
            </w:r>
          </w:p>
        </w:tc>
        <w:tc>
          <w:tcPr>
            <w:tcW w:w="822" w:type="pct"/>
            <w:tcBorders>
              <w:top w:val="nil"/>
              <w:left w:val="nil"/>
              <w:bottom w:val="single" w:sz="4" w:space="0" w:color="auto"/>
              <w:right w:val="single" w:sz="4" w:space="0" w:color="auto"/>
            </w:tcBorders>
            <w:vAlign w:val="center"/>
          </w:tcPr>
          <w:p w14:paraId="344890BC"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1 360 674,58</w:t>
            </w:r>
          </w:p>
        </w:tc>
      </w:tr>
    </w:tbl>
    <w:p w14:paraId="1DC4BE4C" w14:textId="505AA288" w:rsidR="0004593F" w:rsidRPr="0004593F" w:rsidRDefault="0004593F" w:rsidP="00EC1B25">
      <w:pPr>
        <w:spacing w:before="40" w:after="0"/>
        <w:jc w:val="both"/>
        <w:rPr>
          <w:rFonts w:cs="Calibri"/>
          <w:color w:val="000000"/>
          <w:sz w:val="20"/>
          <w:szCs w:val="20"/>
          <w:lang w:eastAsia="cs-CZ"/>
        </w:rPr>
      </w:pPr>
      <w:r w:rsidRPr="0004593F">
        <w:rPr>
          <w:rFonts w:cs="Calibri"/>
          <w:b/>
          <w:color w:val="000000"/>
          <w:sz w:val="20"/>
          <w:szCs w:val="20"/>
          <w:lang w:eastAsia="cs-CZ"/>
        </w:rPr>
        <w:t>Zdroj</w:t>
      </w:r>
      <w:r w:rsidRPr="0004593F">
        <w:rPr>
          <w:rFonts w:cs="Calibri"/>
          <w:color w:val="000000"/>
          <w:sz w:val="20"/>
          <w:szCs w:val="20"/>
          <w:lang w:eastAsia="cs-CZ"/>
        </w:rPr>
        <w:t>: výpočet</w:t>
      </w:r>
      <w:r w:rsidR="00464118">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1FC524CE" w14:textId="77777777" w:rsidR="0004593F" w:rsidRPr="00EC1B25" w:rsidRDefault="0004593F" w:rsidP="0004593F">
      <w:pPr>
        <w:spacing w:after="0"/>
        <w:contextualSpacing/>
        <w:jc w:val="both"/>
        <w:rPr>
          <w:rFonts w:eastAsia="Calibri" w:cs="Calibri"/>
        </w:rPr>
      </w:pPr>
    </w:p>
    <w:p w14:paraId="6921B957" w14:textId="4AEBB996" w:rsidR="0004593F" w:rsidRPr="00EC1B25" w:rsidRDefault="0004593F" w:rsidP="00EC1B25">
      <w:pPr>
        <w:keepNext/>
        <w:spacing w:after="40"/>
        <w:ind w:left="1418" w:hanging="1418"/>
        <w:rPr>
          <w:rFonts w:cs="Calibri"/>
          <w:b/>
          <w:iCs/>
        </w:rPr>
      </w:pPr>
      <w:bookmarkStart w:id="69" w:name="_Toc8984547"/>
      <w:bookmarkStart w:id="70" w:name="_Toc33100925"/>
      <w:bookmarkStart w:id="71" w:name="_Toc520714340"/>
      <w:r w:rsidRPr="00EC1B25">
        <w:rPr>
          <w:rFonts w:cs="Calibri"/>
          <w:b/>
          <w:iCs/>
        </w:rPr>
        <w:t xml:space="preserve">Tabulka č. </w:t>
      </w:r>
      <w:r w:rsidRPr="00EC1B25">
        <w:rPr>
          <w:rFonts w:cs="Calibri"/>
          <w:b/>
          <w:iCs/>
        </w:rPr>
        <w:fldChar w:fldCharType="begin"/>
      </w:r>
      <w:r w:rsidRPr="00EC1B25">
        <w:rPr>
          <w:rFonts w:cs="Calibri"/>
          <w:b/>
          <w:iCs/>
        </w:rPr>
        <w:instrText xml:space="preserve"> SEQ Tabulka \* ARABIC </w:instrText>
      </w:r>
      <w:r w:rsidRPr="00EC1B25">
        <w:rPr>
          <w:rFonts w:cs="Calibri"/>
          <w:b/>
          <w:iCs/>
        </w:rPr>
        <w:fldChar w:fldCharType="separate"/>
      </w:r>
      <w:r w:rsidR="00015BEA">
        <w:rPr>
          <w:rFonts w:cs="Calibri"/>
          <w:b/>
          <w:iCs/>
          <w:noProof/>
        </w:rPr>
        <w:t>16</w:t>
      </w:r>
      <w:r w:rsidRPr="00EC1B25">
        <w:rPr>
          <w:rFonts w:cs="Calibri"/>
          <w:b/>
          <w:iCs/>
        </w:rPr>
        <w:fldChar w:fldCharType="end"/>
      </w:r>
      <w:r w:rsidRPr="00EC1B25">
        <w:rPr>
          <w:rFonts w:cs="Calibri"/>
          <w:b/>
          <w:iCs/>
        </w:rPr>
        <w:t>: Náklady na transfery (položka A.III. výkazu ziku a ztráty) a jejich porovnání</w:t>
      </w:r>
      <w:bookmarkEnd w:id="69"/>
      <w:r w:rsidRPr="00EC1B25">
        <w:rPr>
          <w:rFonts w:cs="Calibri"/>
          <w:b/>
          <w:iCs/>
        </w:rPr>
        <w:t xml:space="preserve"> s</w:t>
      </w:r>
      <w:r w:rsidR="00EC1B25">
        <w:rPr>
          <w:rFonts w:cs="Calibri"/>
          <w:b/>
          <w:iCs/>
        </w:rPr>
        <w:t> </w:t>
      </w:r>
      <w:r w:rsidRPr="00EC1B25">
        <w:rPr>
          <w:rFonts w:cs="Calibri"/>
          <w:b/>
          <w:iCs/>
        </w:rPr>
        <w:t>celkovými</w:t>
      </w:r>
      <w:bookmarkEnd w:id="70"/>
      <w:r w:rsidRPr="00EC1B25">
        <w:rPr>
          <w:rFonts w:cs="Calibri"/>
          <w:b/>
          <w:iCs/>
        </w:rPr>
        <w:t xml:space="preserve"> náklady, které vykázalo MMR</w:t>
      </w:r>
      <w:bookmarkEnd w:id="71"/>
    </w:p>
    <w:tbl>
      <w:tblPr>
        <w:tblW w:w="9096" w:type="dxa"/>
        <w:jc w:val="center"/>
        <w:tblLayout w:type="fixed"/>
        <w:tblCellMar>
          <w:left w:w="70" w:type="dxa"/>
          <w:right w:w="70" w:type="dxa"/>
        </w:tblCellMar>
        <w:tblLook w:val="04A0" w:firstRow="1" w:lastRow="0" w:firstColumn="1" w:lastColumn="0" w:noHBand="0" w:noVBand="1"/>
      </w:tblPr>
      <w:tblGrid>
        <w:gridCol w:w="562"/>
        <w:gridCol w:w="1361"/>
        <w:gridCol w:w="1446"/>
        <w:gridCol w:w="1446"/>
        <w:gridCol w:w="1446"/>
        <w:gridCol w:w="1389"/>
        <w:gridCol w:w="1446"/>
      </w:tblGrid>
      <w:tr w:rsidR="0004593F" w:rsidRPr="0004593F" w14:paraId="1E83DD63" w14:textId="77777777" w:rsidTr="0005245C">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E5F1FF"/>
            <w:vAlign w:val="center"/>
          </w:tcPr>
          <w:p w14:paraId="4DD03BE3" w14:textId="77777777" w:rsidR="0004593F" w:rsidRPr="0004593F" w:rsidRDefault="0004593F" w:rsidP="00EC1B25">
            <w:pPr>
              <w:spacing w:after="0"/>
              <w:ind w:left="-57" w:right="-57"/>
              <w:contextualSpacing/>
              <w:jc w:val="center"/>
              <w:rPr>
                <w:rFonts w:cs="Calibri"/>
                <w:b/>
                <w:bCs/>
                <w:color w:val="000000"/>
                <w:sz w:val="20"/>
                <w:szCs w:val="20"/>
                <w:lang w:eastAsia="cs-CZ"/>
              </w:rPr>
            </w:pPr>
            <w:r w:rsidRPr="0004593F">
              <w:rPr>
                <w:rFonts w:cs="Calibri"/>
                <w:b/>
                <w:bCs/>
                <w:color w:val="000000"/>
                <w:sz w:val="20"/>
                <w:szCs w:val="20"/>
                <w:lang w:eastAsia="cs-CZ"/>
              </w:rPr>
              <w:t>Org.</w:t>
            </w:r>
          </w:p>
        </w:tc>
        <w:tc>
          <w:tcPr>
            <w:tcW w:w="136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89641EA"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Ukazatel</w:t>
            </w:r>
          </w:p>
        </w:tc>
        <w:tc>
          <w:tcPr>
            <w:tcW w:w="1446" w:type="dxa"/>
            <w:tcBorders>
              <w:top w:val="single" w:sz="4" w:space="0" w:color="auto"/>
              <w:left w:val="nil"/>
              <w:bottom w:val="single" w:sz="4" w:space="0" w:color="auto"/>
              <w:right w:val="single" w:sz="4" w:space="0" w:color="auto"/>
            </w:tcBorders>
            <w:shd w:val="clear" w:color="auto" w:fill="E5F1FF"/>
            <w:noWrap/>
            <w:vAlign w:val="center"/>
            <w:hideMark/>
          </w:tcPr>
          <w:p w14:paraId="476B8EAA" w14:textId="77777777" w:rsidR="0004593F" w:rsidRPr="0004593F" w:rsidRDefault="0004593F" w:rsidP="0005245C">
            <w:pPr>
              <w:spacing w:after="0"/>
              <w:ind w:left="-57"/>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446" w:type="dxa"/>
            <w:tcBorders>
              <w:top w:val="single" w:sz="4" w:space="0" w:color="auto"/>
              <w:left w:val="nil"/>
              <w:bottom w:val="single" w:sz="4" w:space="0" w:color="auto"/>
              <w:right w:val="single" w:sz="4" w:space="0" w:color="auto"/>
            </w:tcBorders>
            <w:shd w:val="clear" w:color="auto" w:fill="E5F1FF"/>
            <w:noWrap/>
            <w:vAlign w:val="center"/>
            <w:hideMark/>
          </w:tcPr>
          <w:p w14:paraId="044CF5BD" w14:textId="77777777" w:rsidR="0004593F" w:rsidRPr="0004593F" w:rsidRDefault="0004593F" w:rsidP="0005245C">
            <w:pPr>
              <w:spacing w:after="0"/>
              <w:ind w:left="-57"/>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446" w:type="dxa"/>
            <w:tcBorders>
              <w:top w:val="single" w:sz="4" w:space="0" w:color="auto"/>
              <w:left w:val="nil"/>
              <w:bottom w:val="single" w:sz="4" w:space="0" w:color="auto"/>
              <w:right w:val="single" w:sz="4" w:space="0" w:color="auto"/>
            </w:tcBorders>
            <w:shd w:val="clear" w:color="auto" w:fill="E5F1FF"/>
            <w:noWrap/>
            <w:vAlign w:val="center"/>
            <w:hideMark/>
          </w:tcPr>
          <w:p w14:paraId="177C0F4E" w14:textId="77777777" w:rsidR="0004593F" w:rsidRPr="0004593F" w:rsidRDefault="0004593F" w:rsidP="0005245C">
            <w:pPr>
              <w:spacing w:after="0"/>
              <w:ind w:left="-57"/>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389" w:type="dxa"/>
            <w:tcBorders>
              <w:top w:val="single" w:sz="4" w:space="0" w:color="auto"/>
              <w:left w:val="nil"/>
              <w:bottom w:val="single" w:sz="4" w:space="0" w:color="auto"/>
              <w:right w:val="single" w:sz="4" w:space="0" w:color="auto"/>
            </w:tcBorders>
            <w:shd w:val="clear" w:color="auto" w:fill="E5F1FF"/>
            <w:noWrap/>
            <w:vAlign w:val="center"/>
            <w:hideMark/>
          </w:tcPr>
          <w:p w14:paraId="0D63ED4B" w14:textId="77777777" w:rsidR="0004593F" w:rsidRPr="0004593F" w:rsidRDefault="0004593F" w:rsidP="0005245C">
            <w:pPr>
              <w:spacing w:after="0"/>
              <w:ind w:left="-57"/>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446" w:type="dxa"/>
            <w:tcBorders>
              <w:top w:val="single" w:sz="4" w:space="0" w:color="auto"/>
              <w:left w:val="nil"/>
              <w:bottom w:val="single" w:sz="4" w:space="0" w:color="auto"/>
              <w:right w:val="single" w:sz="4" w:space="0" w:color="auto"/>
            </w:tcBorders>
            <w:shd w:val="clear" w:color="auto" w:fill="E5F1FF"/>
            <w:vAlign w:val="center"/>
          </w:tcPr>
          <w:p w14:paraId="4D931470" w14:textId="77777777" w:rsidR="0004593F" w:rsidRPr="0004593F" w:rsidRDefault="0004593F" w:rsidP="0005245C">
            <w:pPr>
              <w:spacing w:after="0"/>
              <w:ind w:left="-57"/>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4B2D03DD" w14:textId="77777777" w:rsidTr="0005245C">
        <w:trPr>
          <w:trHeight w:val="255"/>
          <w:jc w:val="center"/>
        </w:trPr>
        <w:tc>
          <w:tcPr>
            <w:tcW w:w="562" w:type="dxa"/>
            <w:vMerge w:val="restart"/>
            <w:tcBorders>
              <w:top w:val="nil"/>
              <w:left w:val="single" w:sz="4" w:space="0" w:color="auto"/>
              <w:right w:val="single" w:sz="4" w:space="0" w:color="auto"/>
            </w:tcBorders>
            <w:vAlign w:val="center"/>
          </w:tcPr>
          <w:p w14:paraId="43D0EA7E" w14:textId="77777777" w:rsidR="0004593F" w:rsidRPr="0004593F" w:rsidRDefault="0004593F" w:rsidP="00EC1B25">
            <w:pPr>
              <w:spacing w:after="0"/>
              <w:ind w:left="-57" w:right="-57"/>
              <w:contextualSpacing/>
              <w:jc w:val="center"/>
              <w:rPr>
                <w:rFonts w:eastAsia="Calibri" w:cs="Calibri"/>
                <w:color w:val="000000"/>
                <w:sz w:val="20"/>
                <w:szCs w:val="20"/>
              </w:rPr>
            </w:pPr>
            <w:r w:rsidRPr="0004593F">
              <w:rPr>
                <w:rFonts w:eastAsia="Calibri" w:cs="Calibri"/>
                <w:color w:val="000000"/>
                <w:sz w:val="20"/>
                <w:szCs w:val="20"/>
              </w:rPr>
              <w:t>MMR</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40C0C136" w14:textId="095C7C9F" w:rsidR="0004593F" w:rsidRPr="0004593F" w:rsidRDefault="0005245C" w:rsidP="0005245C">
            <w:pPr>
              <w:spacing w:after="0"/>
              <w:ind w:left="-28" w:right="-28"/>
              <w:contextualSpacing/>
              <w:rPr>
                <w:rFonts w:eastAsia="Calibri" w:cs="Calibri"/>
                <w:color w:val="000000"/>
                <w:sz w:val="20"/>
                <w:szCs w:val="20"/>
              </w:rPr>
            </w:pPr>
            <w:r>
              <w:rPr>
                <w:rFonts w:eastAsia="Calibri" w:cs="Calibri"/>
                <w:color w:val="000000"/>
                <w:sz w:val="20"/>
                <w:szCs w:val="20"/>
              </w:rPr>
              <w:t>Náklady na transfery (v </w:t>
            </w:r>
            <w:r w:rsidR="0004593F" w:rsidRPr="0004593F">
              <w:rPr>
                <w:rFonts w:eastAsia="Calibri" w:cs="Calibri"/>
                <w:color w:val="000000"/>
                <w:sz w:val="20"/>
                <w:szCs w:val="20"/>
              </w:rPr>
              <w:t>Kč)</w:t>
            </w:r>
          </w:p>
        </w:tc>
        <w:tc>
          <w:tcPr>
            <w:tcW w:w="1446" w:type="dxa"/>
            <w:tcBorders>
              <w:top w:val="nil"/>
              <w:left w:val="nil"/>
              <w:bottom w:val="single" w:sz="4" w:space="0" w:color="auto"/>
              <w:right w:val="single" w:sz="4" w:space="0" w:color="auto"/>
            </w:tcBorders>
            <w:shd w:val="clear" w:color="auto" w:fill="auto"/>
            <w:noWrap/>
            <w:vAlign w:val="center"/>
          </w:tcPr>
          <w:p w14:paraId="3DC0FB80"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18 485 835 079,48</w:t>
            </w:r>
          </w:p>
        </w:tc>
        <w:tc>
          <w:tcPr>
            <w:tcW w:w="1446" w:type="dxa"/>
            <w:tcBorders>
              <w:top w:val="nil"/>
              <w:left w:val="nil"/>
              <w:bottom w:val="single" w:sz="4" w:space="0" w:color="auto"/>
              <w:right w:val="single" w:sz="4" w:space="0" w:color="auto"/>
            </w:tcBorders>
            <w:shd w:val="clear" w:color="auto" w:fill="auto"/>
            <w:noWrap/>
            <w:vAlign w:val="center"/>
          </w:tcPr>
          <w:p w14:paraId="2F7D30E6"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27 510 658 761,41</w:t>
            </w:r>
          </w:p>
        </w:tc>
        <w:tc>
          <w:tcPr>
            <w:tcW w:w="1446" w:type="dxa"/>
            <w:tcBorders>
              <w:top w:val="nil"/>
              <w:left w:val="nil"/>
              <w:bottom w:val="single" w:sz="4" w:space="0" w:color="auto"/>
              <w:right w:val="single" w:sz="4" w:space="0" w:color="auto"/>
            </w:tcBorders>
            <w:shd w:val="clear" w:color="auto" w:fill="auto"/>
            <w:noWrap/>
            <w:vAlign w:val="center"/>
          </w:tcPr>
          <w:p w14:paraId="70C9A166"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15 307 162 320,48</w:t>
            </w:r>
          </w:p>
        </w:tc>
        <w:tc>
          <w:tcPr>
            <w:tcW w:w="1389" w:type="dxa"/>
            <w:tcBorders>
              <w:top w:val="nil"/>
              <w:left w:val="nil"/>
              <w:bottom w:val="single" w:sz="4" w:space="0" w:color="auto"/>
              <w:right w:val="single" w:sz="4" w:space="0" w:color="auto"/>
            </w:tcBorders>
            <w:shd w:val="clear" w:color="auto" w:fill="auto"/>
            <w:noWrap/>
            <w:vAlign w:val="center"/>
          </w:tcPr>
          <w:p w14:paraId="0241A897"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6 236 879 873,21</w:t>
            </w:r>
          </w:p>
        </w:tc>
        <w:tc>
          <w:tcPr>
            <w:tcW w:w="1446" w:type="dxa"/>
            <w:tcBorders>
              <w:top w:val="nil"/>
              <w:left w:val="nil"/>
              <w:bottom w:val="single" w:sz="4" w:space="0" w:color="auto"/>
              <w:right w:val="single" w:sz="4" w:space="0" w:color="auto"/>
            </w:tcBorders>
            <w:vAlign w:val="center"/>
          </w:tcPr>
          <w:p w14:paraId="2BED56F0"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20 685 999 250,78</w:t>
            </w:r>
          </w:p>
        </w:tc>
      </w:tr>
      <w:tr w:rsidR="0004593F" w:rsidRPr="0004593F" w14:paraId="2238BF58" w14:textId="77777777" w:rsidTr="0005245C">
        <w:trPr>
          <w:trHeight w:val="255"/>
          <w:jc w:val="center"/>
        </w:trPr>
        <w:tc>
          <w:tcPr>
            <w:tcW w:w="562" w:type="dxa"/>
            <w:vMerge/>
            <w:tcBorders>
              <w:left w:val="single" w:sz="4" w:space="0" w:color="auto"/>
              <w:right w:val="single" w:sz="4" w:space="0" w:color="auto"/>
            </w:tcBorders>
          </w:tcPr>
          <w:p w14:paraId="18FA1B7D" w14:textId="77777777" w:rsidR="0004593F" w:rsidRPr="0004593F" w:rsidRDefault="0004593F" w:rsidP="00EC1B25">
            <w:pPr>
              <w:spacing w:after="0"/>
              <w:ind w:left="-57" w:right="-57"/>
              <w:contextualSpacing/>
              <w:jc w:val="both"/>
              <w:rPr>
                <w:rFonts w:eastAsia="Calibri" w:cs="Calibri"/>
                <w:color w:val="00000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D5AF5" w14:textId="77777777" w:rsidR="0004593F" w:rsidRPr="0004593F" w:rsidRDefault="0004593F" w:rsidP="0005245C">
            <w:pPr>
              <w:spacing w:after="0"/>
              <w:ind w:left="-28" w:right="-28"/>
              <w:contextualSpacing/>
              <w:rPr>
                <w:rFonts w:eastAsia="Calibri" w:cs="Calibri"/>
                <w:color w:val="000000"/>
                <w:sz w:val="20"/>
                <w:szCs w:val="20"/>
              </w:rPr>
            </w:pPr>
            <w:r w:rsidRPr="0004593F">
              <w:rPr>
                <w:rFonts w:eastAsia="Calibri" w:cs="Calibri"/>
                <w:color w:val="000000"/>
                <w:sz w:val="20"/>
                <w:szCs w:val="20"/>
              </w:rPr>
              <w:t>Náklady celkem (v Kč)</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B974CF6"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19 876 165 705,09</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467038AE"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28 770 786 338,92</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5A3B57B5"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16 753 286 469,79</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31A09532"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7 545 587 717,31</w:t>
            </w:r>
          </w:p>
        </w:tc>
        <w:tc>
          <w:tcPr>
            <w:tcW w:w="1446" w:type="dxa"/>
            <w:tcBorders>
              <w:top w:val="single" w:sz="4" w:space="0" w:color="auto"/>
              <w:left w:val="nil"/>
              <w:bottom w:val="single" w:sz="4" w:space="0" w:color="auto"/>
              <w:right w:val="single" w:sz="4" w:space="0" w:color="auto"/>
            </w:tcBorders>
            <w:vAlign w:val="center"/>
          </w:tcPr>
          <w:p w14:paraId="78885BDA"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22 345 950 217,52</w:t>
            </w:r>
          </w:p>
        </w:tc>
      </w:tr>
      <w:tr w:rsidR="0004593F" w:rsidRPr="0004593F" w14:paraId="0B76FA28" w14:textId="77777777" w:rsidTr="0005245C">
        <w:trPr>
          <w:trHeight w:val="255"/>
          <w:jc w:val="center"/>
        </w:trPr>
        <w:tc>
          <w:tcPr>
            <w:tcW w:w="562" w:type="dxa"/>
            <w:vMerge/>
            <w:tcBorders>
              <w:left w:val="single" w:sz="4" w:space="0" w:color="auto"/>
              <w:bottom w:val="single" w:sz="4" w:space="0" w:color="auto"/>
              <w:right w:val="single" w:sz="4" w:space="0" w:color="auto"/>
            </w:tcBorders>
          </w:tcPr>
          <w:p w14:paraId="76116443" w14:textId="77777777" w:rsidR="0004593F" w:rsidRPr="0004593F" w:rsidRDefault="0004593F" w:rsidP="00EC1B25">
            <w:pPr>
              <w:spacing w:after="0"/>
              <w:ind w:left="-57" w:right="-57"/>
              <w:contextualSpacing/>
              <w:jc w:val="both"/>
              <w:rPr>
                <w:rFonts w:eastAsia="Calibri" w:cs="Calibri"/>
                <w:color w:val="00000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F2C6C9"/>
            <w:noWrap/>
            <w:vAlign w:val="center"/>
          </w:tcPr>
          <w:p w14:paraId="1440619E" w14:textId="72D12266" w:rsidR="0004593F" w:rsidRPr="0004593F" w:rsidRDefault="00EC1B25" w:rsidP="0005245C">
            <w:pPr>
              <w:spacing w:after="0"/>
              <w:ind w:left="-28" w:right="-28"/>
              <w:contextualSpacing/>
              <w:rPr>
                <w:rFonts w:eastAsia="Calibri" w:cs="Calibri"/>
                <w:color w:val="000000"/>
                <w:sz w:val="20"/>
                <w:szCs w:val="20"/>
              </w:rPr>
            </w:pPr>
            <w:r>
              <w:rPr>
                <w:rFonts w:eastAsia="Calibri" w:cs="Calibri"/>
                <w:color w:val="000000"/>
                <w:sz w:val="20"/>
                <w:szCs w:val="20"/>
              </w:rPr>
              <w:t>Podíl transferových nákladů k </w:t>
            </w:r>
            <w:r w:rsidR="0004593F" w:rsidRPr="0004593F">
              <w:rPr>
                <w:rFonts w:eastAsia="Calibri" w:cs="Calibri"/>
                <w:color w:val="000000"/>
                <w:sz w:val="20"/>
                <w:szCs w:val="20"/>
              </w:rPr>
              <w:t>celkovým nákladům v %</w:t>
            </w:r>
          </w:p>
        </w:tc>
        <w:tc>
          <w:tcPr>
            <w:tcW w:w="1446" w:type="dxa"/>
            <w:tcBorders>
              <w:top w:val="single" w:sz="4" w:space="0" w:color="auto"/>
              <w:left w:val="nil"/>
              <w:bottom w:val="single" w:sz="4" w:space="0" w:color="auto"/>
              <w:right w:val="single" w:sz="4" w:space="0" w:color="auto"/>
            </w:tcBorders>
            <w:shd w:val="clear" w:color="auto" w:fill="F2C6C9"/>
            <w:noWrap/>
            <w:vAlign w:val="center"/>
          </w:tcPr>
          <w:p w14:paraId="04EDA6DF"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93,01 %</w:t>
            </w:r>
          </w:p>
        </w:tc>
        <w:tc>
          <w:tcPr>
            <w:tcW w:w="1446" w:type="dxa"/>
            <w:tcBorders>
              <w:top w:val="single" w:sz="4" w:space="0" w:color="auto"/>
              <w:left w:val="nil"/>
              <w:bottom w:val="single" w:sz="4" w:space="0" w:color="auto"/>
              <w:right w:val="single" w:sz="4" w:space="0" w:color="auto"/>
            </w:tcBorders>
            <w:shd w:val="clear" w:color="auto" w:fill="F2C6C9"/>
            <w:noWrap/>
            <w:vAlign w:val="center"/>
          </w:tcPr>
          <w:p w14:paraId="2C275C87"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95,62 %</w:t>
            </w:r>
          </w:p>
        </w:tc>
        <w:tc>
          <w:tcPr>
            <w:tcW w:w="1446" w:type="dxa"/>
            <w:tcBorders>
              <w:top w:val="single" w:sz="4" w:space="0" w:color="auto"/>
              <w:left w:val="nil"/>
              <w:bottom w:val="single" w:sz="4" w:space="0" w:color="auto"/>
              <w:right w:val="single" w:sz="4" w:space="0" w:color="auto"/>
            </w:tcBorders>
            <w:shd w:val="clear" w:color="auto" w:fill="F2C6C9"/>
            <w:noWrap/>
            <w:vAlign w:val="center"/>
          </w:tcPr>
          <w:p w14:paraId="7D1584A0"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91,37 %</w:t>
            </w:r>
          </w:p>
        </w:tc>
        <w:tc>
          <w:tcPr>
            <w:tcW w:w="1389" w:type="dxa"/>
            <w:tcBorders>
              <w:top w:val="single" w:sz="4" w:space="0" w:color="auto"/>
              <w:left w:val="nil"/>
              <w:bottom w:val="single" w:sz="4" w:space="0" w:color="auto"/>
              <w:right w:val="single" w:sz="4" w:space="0" w:color="auto"/>
            </w:tcBorders>
            <w:shd w:val="clear" w:color="auto" w:fill="F2C6C9"/>
            <w:noWrap/>
            <w:vAlign w:val="center"/>
          </w:tcPr>
          <w:p w14:paraId="3D8DE94F"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82,66 %</w:t>
            </w:r>
          </w:p>
        </w:tc>
        <w:tc>
          <w:tcPr>
            <w:tcW w:w="1446" w:type="dxa"/>
            <w:tcBorders>
              <w:top w:val="single" w:sz="4" w:space="0" w:color="auto"/>
              <w:left w:val="nil"/>
              <w:bottom w:val="single" w:sz="4" w:space="0" w:color="auto"/>
              <w:right w:val="single" w:sz="4" w:space="0" w:color="auto"/>
            </w:tcBorders>
            <w:shd w:val="clear" w:color="auto" w:fill="F2C6C9"/>
            <w:vAlign w:val="center"/>
          </w:tcPr>
          <w:p w14:paraId="083C46DB" w14:textId="77777777" w:rsidR="0004593F" w:rsidRPr="0005245C" w:rsidRDefault="0004593F" w:rsidP="0005245C">
            <w:pPr>
              <w:spacing w:after="0"/>
              <w:ind w:left="-57"/>
              <w:contextualSpacing/>
              <w:jc w:val="right"/>
              <w:rPr>
                <w:rFonts w:eastAsia="Calibri" w:cs="Calibri"/>
                <w:color w:val="000000"/>
                <w:sz w:val="18"/>
                <w:szCs w:val="20"/>
              </w:rPr>
            </w:pPr>
            <w:r w:rsidRPr="0005245C">
              <w:rPr>
                <w:rFonts w:eastAsia="Calibri" w:cs="Calibri"/>
                <w:color w:val="000000"/>
                <w:sz w:val="18"/>
                <w:szCs w:val="20"/>
              </w:rPr>
              <w:t>92,57 %</w:t>
            </w:r>
          </w:p>
        </w:tc>
      </w:tr>
    </w:tbl>
    <w:p w14:paraId="6E6785A7" w14:textId="77777777" w:rsidR="0004593F" w:rsidRPr="0004593F" w:rsidRDefault="0004593F" w:rsidP="0005245C">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147F4F8E" w14:textId="77777777" w:rsidR="0004593F" w:rsidRPr="00EC1B25" w:rsidRDefault="0004593F" w:rsidP="0004593F">
      <w:pPr>
        <w:spacing w:after="0"/>
        <w:contextualSpacing/>
        <w:jc w:val="both"/>
        <w:rPr>
          <w:rFonts w:eastAsia="Calibri" w:cs="Calibri"/>
        </w:rPr>
      </w:pPr>
    </w:p>
    <w:p w14:paraId="731BC609" w14:textId="15080042" w:rsidR="0004593F" w:rsidRPr="00EC1B25" w:rsidRDefault="0004593F" w:rsidP="0004593F">
      <w:pPr>
        <w:spacing w:after="0"/>
        <w:contextualSpacing/>
        <w:jc w:val="both"/>
        <w:rPr>
          <w:rFonts w:eastAsia="Calibri" w:cs="Calibri"/>
        </w:rPr>
      </w:pPr>
      <w:r w:rsidRPr="00EC1B25">
        <w:rPr>
          <w:rFonts w:eastAsia="Calibri" w:cs="Calibri"/>
        </w:rPr>
        <w:t>Ve sledovaném období 2014–2018 vykazovalo náklady na transfery pouze MMR. Vývoj nákladů na transfery odpovídá vývoji celkových nákladů, což je logické, jelikož náklady na</w:t>
      </w:r>
      <w:r w:rsidR="00EC1B25">
        <w:rPr>
          <w:rFonts w:eastAsia="Calibri" w:cs="Calibri"/>
        </w:rPr>
        <w:t xml:space="preserve"> </w:t>
      </w:r>
      <w:r w:rsidRPr="00EC1B25">
        <w:rPr>
          <w:rFonts w:eastAsia="Calibri" w:cs="Calibri"/>
        </w:rPr>
        <w:t xml:space="preserve">transfery představují v průměru za sledované období 91 % všech nákladů a jejich vývoj má největší vliv na vývoj celkových nákladů. </w:t>
      </w:r>
    </w:p>
    <w:p w14:paraId="0B89441B" w14:textId="77777777" w:rsidR="0004593F" w:rsidRPr="00EC1B25" w:rsidRDefault="0004593F" w:rsidP="0004593F">
      <w:pPr>
        <w:spacing w:after="0"/>
        <w:contextualSpacing/>
        <w:jc w:val="both"/>
        <w:rPr>
          <w:rFonts w:eastAsia="Calibri" w:cs="Calibri"/>
        </w:rPr>
      </w:pPr>
    </w:p>
    <w:p w14:paraId="2C06649A" w14:textId="77777777" w:rsidR="0004593F" w:rsidRPr="00EC1B25" w:rsidRDefault="0004593F" w:rsidP="0004593F">
      <w:pPr>
        <w:spacing w:after="0"/>
        <w:contextualSpacing/>
        <w:jc w:val="both"/>
        <w:rPr>
          <w:rFonts w:eastAsia="Calibri" w:cs="Calibri"/>
          <w:b/>
        </w:rPr>
      </w:pPr>
      <w:r w:rsidRPr="00EC1B25">
        <w:rPr>
          <w:rFonts w:eastAsia="Calibri" w:cs="Calibri"/>
        </w:rPr>
        <w:lastRenderedPageBreak/>
        <w:t xml:space="preserve">V roce 2018 došlo k významnému meziročnímu růstu o 14 449 119 377,57 Kč. Přičemž zůstatek účtu 575 – </w:t>
      </w:r>
      <w:r w:rsidRPr="00EC1B25">
        <w:rPr>
          <w:rFonts w:eastAsia="Calibri" w:cs="Calibri"/>
          <w:i/>
        </w:rPr>
        <w:t>Náklady vybraných ústředních vládních institucí na předfinancování transferů</w:t>
      </w:r>
      <w:r w:rsidRPr="00EC1B25">
        <w:rPr>
          <w:rFonts w:eastAsia="Calibri" w:cs="Calibri"/>
        </w:rPr>
        <w:t xml:space="preserve"> vzrostl o 14 404 737 604,26 Kč a zůstatek účtu 571 – </w:t>
      </w:r>
      <w:r w:rsidRPr="00EC1B25">
        <w:rPr>
          <w:rFonts w:eastAsia="Calibri" w:cs="Calibri"/>
          <w:i/>
        </w:rPr>
        <w:t>Náklady vybraných ústředních vládních institucí na transfery</w:t>
      </w:r>
      <w:r w:rsidRPr="00EC1B25">
        <w:rPr>
          <w:rFonts w:eastAsia="Calibri" w:cs="Calibri"/>
        </w:rPr>
        <w:t xml:space="preserve"> vzrostl o 44 381 773,31 Kč.</w:t>
      </w:r>
    </w:p>
    <w:bookmarkEnd w:id="58"/>
    <w:bookmarkEnd w:id="59"/>
    <w:p w14:paraId="0C4E228B" w14:textId="77777777" w:rsidR="0004593F" w:rsidRPr="00EC1B25" w:rsidRDefault="0004593F" w:rsidP="0004593F">
      <w:pPr>
        <w:spacing w:after="0"/>
        <w:contextualSpacing/>
        <w:jc w:val="both"/>
        <w:rPr>
          <w:rFonts w:eastAsia="Calibri" w:cs="Calibri"/>
          <w:highlight w:val="yellow"/>
        </w:rPr>
      </w:pPr>
    </w:p>
    <w:p w14:paraId="2C8FE39F" w14:textId="7F6220C5" w:rsidR="0004593F" w:rsidRPr="00EC1B25" w:rsidRDefault="0004593F" w:rsidP="0005245C">
      <w:pPr>
        <w:keepNext/>
        <w:spacing w:after="40"/>
        <w:ind w:left="1418" w:hanging="1418"/>
        <w:rPr>
          <w:rFonts w:cs="Calibri"/>
          <w:b/>
          <w:iCs/>
        </w:rPr>
      </w:pPr>
      <w:bookmarkStart w:id="72" w:name="_Toc8984548"/>
      <w:bookmarkStart w:id="73" w:name="_Toc33100926"/>
      <w:bookmarkStart w:id="74" w:name="_Toc520714341"/>
      <w:r w:rsidRPr="00EC1B25">
        <w:rPr>
          <w:rFonts w:cs="Calibri"/>
          <w:b/>
          <w:iCs/>
        </w:rPr>
        <w:t xml:space="preserve">Tabulka č. </w:t>
      </w:r>
      <w:r w:rsidRPr="00EC1B25">
        <w:rPr>
          <w:rFonts w:cs="Calibri"/>
          <w:b/>
          <w:iCs/>
        </w:rPr>
        <w:fldChar w:fldCharType="begin"/>
      </w:r>
      <w:r w:rsidRPr="00EC1B25">
        <w:rPr>
          <w:rFonts w:cs="Calibri"/>
          <w:b/>
          <w:iCs/>
        </w:rPr>
        <w:instrText xml:space="preserve"> SEQ Tabulka \* ARABIC </w:instrText>
      </w:r>
      <w:r w:rsidRPr="00EC1B25">
        <w:rPr>
          <w:rFonts w:cs="Calibri"/>
          <w:b/>
          <w:iCs/>
        </w:rPr>
        <w:fldChar w:fldCharType="separate"/>
      </w:r>
      <w:r w:rsidR="00015BEA">
        <w:rPr>
          <w:rFonts w:cs="Calibri"/>
          <w:b/>
          <w:iCs/>
          <w:noProof/>
        </w:rPr>
        <w:t>17</w:t>
      </w:r>
      <w:r w:rsidRPr="00EC1B25">
        <w:rPr>
          <w:rFonts w:cs="Calibri"/>
          <w:b/>
          <w:iCs/>
        </w:rPr>
        <w:fldChar w:fldCharType="end"/>
      </w:r>
      <w:r w:rsidRPr="00EC1B25">
        <w:rPr>
          <w:rFonts w:cs="Calibri"/>
          <w:b/>
          <w:iCs/>
        </w:rPr>
        <w:t>: Náklady na transfery přepočtené na 1 zaměstnance, které vykázalo MMR</w:t>
      </w:r>
      <w:bookmarkEnd w:id="72"/>
      <w:bookmarkEnd w:id="73"/>
      <w:r w:rsidRPr="00EC1B25">
        <w:rPr>
          <w:rFonts w:cs="Calibri"/>
          <w:b/>
          <w:iCs/>
        </w:rPr>
        <w:t xml:space="preserve"> (v Kč)</w:t>
      </w:r>
      <w:bookmarkEnd w:id="74"/>
    </w:p>
    <w:tbl>
      <w:tblPr>
        <w:tblW w:w="9122" w:type="dxa"/>
        <w:jc w:val="center"/>
        <w:tblLayout w:type="fixed"/>
        <w:tblCellMar>
          <w:left w:w="70" w:type="dxa"/>
          <w:right w:w="70" w:type="dxa"/>
        </w:tblCellMar>
        <w:tblLook w:val="04A0" w:firstRow="1" w:lastRow="0" w:firstColumn="1" w:lastColumn="0" w:noHBand="0" w:noVBand="1"/>
      </w:tblPr>
      <w:tblGrid>
        <w:gridCol w:w="1612"/>
        <w:gridCol w:w="1502"/>
        <w:gridCol w:w="1502"/>
        <w:gridCol w:w="1502"/>
        <w:gridCol w:w="1502"/>
        <w:gridCol w:w="1502"/>
      </w:tblGrid>
      <w:tr w:rsidR="0004593F" w:rsidRPr="0004593F" w14:paraId="3FEB0A8C" w14:textId="77777777" w:rsidTr="00FB54EB">
        <w:trPr>
          <w:trHeight w:val="255"/>
          <w:jc w:val="center"/>
        </w:trPr>
        <w:tc>
          <w:tcPr>
            <w:tcW w:w="161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71C1C49" w14:textId="77777777" w:rsidR="0004593F" w:rsidRPr="0004593F" w:rsidRDefault="0004593F" w:rsidP="0004593F">
            <w:pPr>
              <w:spacing w:after="0"/>
              <w:contextualSpacing/>
              <w:jc w:val="both"/>
              <w:rPr>
                <w:rFonts w:cs="Calibri"/>
                <w:b/>
                <w:bCs/>
                <w:color w:val="000000"/>
                <w:sz w:val="20"/>
                <w:szCs w:val="20"/>
                <w:lang w:eastAsia="cs-CZ"/>
              </w:rPr>
            </w:pPr>
            <w:r w:rsidRPr="0004593F">
              <w:rPr>
                <w:rFonts w:cs="Calibri"/>
                <w:b/>
                <w:bCs/>
                <w:color w:val="000000"/>
                <w:sz w:val="20"/>
                <w:szCs w:val="20"/>
                <w:lang w:eastAsia="cs-CZ"/>
              </w:rPr>
              <w:t>Organizace</w:t>
            </w:r>
          </w:p>
        </w:tc>
        <w:tc>
          <w:tcPr>
            <w:tcW w:w="1502" w:type="dxa"/>
            <w:tcBorders>
              <w:top w:val="single" w:sz="4" w:space="0" w:color="auto"/>
              <w:left w:val="nil"/>
              <w:bottom w:val="single" w:sz="4" w:space="0" w:color="auto"/>
              <w:right w:val="single" w:sz="4" w:space="0" w:color="auto"/>
            </w:tcBorders>
            <w:shd w:val="clear" w:color="auto" w:fill="E5F1FF"/>
            <w:noWrap/>
            <w:vAlign w:val="center"/>
            <w:hideMark/>
          </w:tcPr>
          <w:p w14:paraId="7C75E7F8"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502" w:type="dxa"/>
            <w:tcBorders>
              <w:top w:val="single" w:sz="4" w:space="0" w:color="auto"/>
              <w:left w:val="nil"/>
              <w:bottom w:val="single" w:sz="4" w:space="0" w:color="auto"/>
              <w:right w:val="single" w:sz="4" w:space="0" w:color="auto"/>
            </w:tcBorders>
            <w:shd w:val="clear" w:color="auto" w:fill="E5F1FF"/>
            <w:noWrap/>
            <w:vAlign w:val="center"/>
            <w:hideMark/>
          </w:tcPr>
          <w:p w14:paraId="525111EC"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502" w:type="dxa"/>
            <w:tcBorders>
              <w:top w:val="single" w:sz="4" w:space="0" w:color="auto"/>
              <w:left w:val="nil"/>
              <w:bottom w:val="single" w:sz="4" w:space="0" w:color="auto"/>
              <w:right w:val="single" w:sz="4" w:space="0" w:color="auto"/>
            </w:tcBorders>
            <w:shd w:val="clear" w:color="auto" w:fill="E5F1FF"/>
            <w:noWrap/>
            <w:vAlign w:val="center"/>
            <w:hideMark/>
          </w:tcPr>
          <w:p w14:paraId="0B297C41"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502" w:type="dxa"/>
            <w:tcBorders>
              <w:top w:val="single" w:sz="4" w:space="0" w:color="auto"/>
              <w:left w:val="nil"/>
              <w:bottom w:val="single" w:sz="4" w:space="0" w:color="auto"/>
              <w:right w:val="single" w:sz="4" w:space="0" w:color="auto"/>
            </w:tcBorders>
            <w:shd w:val="clear" w:color="auto" w:fill="E5F1FF"/>
            <w:noWrap/>
            <w:vAlign w:val="center"/>
            <w:hideMark/>
          </w:tcPr>
          <w:p w14:paraId="51908435"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502" w:type="dxa"/>
            <w:tcBorders>
              <w:top w:val="single" w:sz="4" w:space="0" w:color="auto"/>
              <w:left w:val="nil"/>
              <w:bottom w:val="single" w:sz="4" w:space="0" w:color="auto"/>
              <w:right w:val="single" w:sz="4" w:space="0" w:color="auto"/>
            </w:tcBorders>
            <w:shd w:val="clear" w:color="auto" w:fill="E5F1FF"/>
          </w:tcPr>
          <w:p w14:paraId="302CC0BE"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6ABEF211" w14:textId="77777777" w:rsidTr="00FB54EB">
        <w:trPr>
          <w:trHeight w:val="255"/>
          <w:jc w:val="center"/>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37006850"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MMR</w:t>
            </w:r>
          </w:p>
        </w:tc>
        <w:tc>
          <w:tcPr>
            <w:tcW w:w="1502" w:type="dxa"/>
            <w:tcBorders>
              <w:top w:val="nil"/>
              <w:left w:val="nil"/>
              <w:bottom w:val="single" w:sz="4" w:space="0" w:color="auto"/>
              <w:right w:val="single" w:sz="4" w:space="0" w:color="auto"/>
            </w:tcBorders>
            <w:shd w:val="clear" w:color="auto" w:fill="auto"/>
            <w:noWrap/>
            <w:vAlign w:val="center"/>
          </w:tcPr>
          <w:p w14:paraId="25AE9B88"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31 653 827,19</w:t>
            </w:r>
          </w:p>
        </w:tc>
        <w:tc>
          <w:tcPr>
            <w:tcW w:w="1502" w:type="dxa"/>
            <w:tcBorders>
              <w:top w:val="nil"/>
              <w:left w:val="nil"/>
              <w:bottom w:val="single" w:sz="4" w:space="0" w:color="auto"/>
              <w:right w:val="single" w:sz="4" w:space="0" w:color="auto"/>
            </w:tcBorders>
            <w:shd w:val="clear" w:color="auto" w:fill="auto"/>
            <w:noWrap/>
            <w:vAlign w:val="center"/>
          </w:tcPr>
          <w:p w14:paraId="36917B69"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44 878 725,55</w:t>
            </w:r>
          </w:p>
        </w:tc>
        <w:tc>
          <w:tcPr>
            <w:tcW w:w="1502" w:type="dxa"/>
            <w:tcBorders>
              <w:top w:val="nil"/>
              <w:left w:val="nil"/>
              <w:bottom w:val="single" w:sz="4" w:space="0" w:color="auto"/>
              <w:right w:val="single" w:sz="4" w:space="0" w:color="auto"/>
            </w:tcBorders>
            <w:shd w:val="clear" w:color="auto" w:fill="auto"/>
            <w:noWrap/>
            <w:vAlign w:val="center"/>
          </w:tcPr>
          <w:p w14:paraId="06383E2B"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24 970 901,01</w:t>
            </w:r>
          </w:p>
        </w:tc>
        <w:tc>
          <w:tcPr>
            <w:tcW w:w="1502" w:type="dxa"/>
            <w:tcBorders>
              <w:top w:val="nil"/>
              <w:left w:val="nil"/>
              <w:bottom w:val="single" w:sz="4" w:space="0" w:color="auto"/>
              <w:right w:val="single" w:sz="4" w:space="0" w:color="auto"/>
            </w:tcBorders>
            <w:shd w:val="clear" w:color="auto" w:fill="auto"/>
            <w:noWrap/>
            <w:vAlign w:val="center"/>
          </w:tcPr>
          <w:p w14:paraId="36B5B4FD"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9 609 984,40</w:t>
            </w:r>
          </w:p>
        </w:tc>
        <w:tc>
          <w:tcPr>
            <w:tcW w:w="1502" w:type="dxa"/>
            <w:tcBorders>
              <w:top w:val="nil"/>
              <w:left w:val="nil"/>
              <w:bottom w:val="single" w:sz="4" w:space="0" w:color="auto"/>
              <w:right w:val="single" w:sz="4" w:space="0" w:color="auto"/>
            </w:tcBorders>
            <w:vAlign w:val="center"/>
          </w:tcPr>
          <w:p w14:paraId="73ED1EAE"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30 375 916,67</w:t>
            </w:r>
          </w:p>
        </w:tc>
      </w:tr>
    </w:tbl>
    <w:p w14:paraId="3A5975EE" w14:textId="41273E3B" w:rsidR="0004593F" w:rsidRPr="0004593F" w:rsidRDefault="0004593F" w:rsidP="0005245C">
      <w:pPr>
        <w:spacing w:before="40" w:after="0"/>
        <w:jc w:val="both"/>
        <w:rPr>
          <w:rFonts w:cs="Calibri"/>
          <w:color w:val="000000"/>
          <w:sz w:val="20"/>
          <w:szCs w:val="20"/>
          <w:lang w:eastAsia="cs-CZ"/>
        </w:rPr>
      </w:pPr>
      <w:r w:rsidRPr="0004593F">
        <w:rPr>
          <w:rFonts w:cs="Calibri"/>
          <w:b/>
          <w:color w:val="000000"/>
          <w:sz w:val="20"/>
          <w:szCs w:val="20"/>
          <w:lang w:eastAsia="cs-CZ"/>
        </w:rPr>
        <w:t>Zdroj</w:t>
      </w:r>
      <w:r w:rsidRPr="0004593F">
        <w:rPr>
          <w:rFonts w:cs="Calibri"/>
          <w:color w:val="000000"/>
          <w:sz w:val="20"/>
          <w:szCs w:val="20"/>
          <w:lang w:eastAsia="cs-CZ"/>
        </w:rPr>
        <w:t>: výpočet</w:t>
      </w:r>
      <w:r w:rsidR="00464118">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150DF9B0" w14:textId="77777777" w:rsidR="0004593F" w:rsidRPr="0005245C" w:rsidRDefault="0004593F" w:rsidP="0004593F">
      <w:pPr>
        <w:spacing w:after="0"/>
        <w:contextualSpacing/>
        <w:jc w:val="both"/>
        <w:rPr>
          <w:rFonts w:eastAsia="Calibri" w:cs="Calibri"/>
          <w:highlight w:val="yellow"/>
        </w:rPr>
      </w:pPr>
    </w:p>
    <w:p w14:paraId="5430A0B0" w14:textId="77777777" w:rsidR="0004593F" w:rsidRPr="0005245C" w:rsidRDefault="0004593F" w:rsidP="0004593F">
      <w:pPr>
        <w:spacing w:after="0"/>
        <w:contextualSpacing/>
        <w:jc w:val="both"/>
        <w:rPr>
          <w:rFonts w:eastAsia="Calibri" w:cs="Calibri"/>
        </w:rPr>
      </w:pPr>
      <w:r w:rsidRPr="0005245C">
        <w:rPr>
          <w:rFonts w:eastAsia="Calibri" w:cs="Calibri"/>
        </w:rPr>
        <w:t>Vývoj nákladů na transfery přepočtené na jednoho zaměstnance kopíruje vývoj celkových nákladů na transfery.</w:t>
      </w:r>
    </w:p>
    <w:p w14:paraId="799DD078" w14:textId="77777777" w:rsidR="0005245C" w:rsidRPr="0005245C" w:rsidRDefault="0005245C" w:rsidP="0005245C">
      <w:pPr>
        <w:spacing w:after="0"/>
        <w:contextualSpacing/>
        <w:jc w:val="both"/>
        <w:rPr>
          <w:rFonts w:eastAsia="Calibri" w:cs="Calibri"/>
          <w:highlight w:val="yellow"/>
        </w:rPr>
      </w:pPr>
      <w:bookmarkStart w:id="75" w:name="_Toc8984549"/>
      <w:bookmarkStart w:id="76" w:name="_Toc33100927"/>
      <w:bookmarkStart w:id="77" w:name="_Toc520714342"/>
    </w:p>
    <w:p w14:paraId="2ED9EEAD" w14:textId="7C51DC74" w:rsidR="0004593F" w:rsidRPr="0005245C" w:rsidRDefault="0004593F" w:rsidP="00FB54EB">
      <w:pPr>
        <w:keepNext/>
        <w:tabs>
          <w:tab w:val="right" w:pos="9070"/>
        </w:tabs>
        <w:spacing w:after="40"/>
        <w:rPr>
          <w:rFonts w:cs="Calibri"/>
          <w:b/>
          <w:iCs/>
        </w:rPr>
      </w:pPr>
      <w:r w:rsidRPr="0005245C">
        <w:rPr>
          <w:rFonts w:cs="Calibri"/>
          <w:b/>
          <w:iCs/>
        </w:rPr>
        <w:t xml:space="preserve">Tabulka č. </w:t>
      </w:r>
      <w:r w:rsidRPr="0005245C">
        <w:rPr>
          <w:rFonts w:cs="Calibri"/>
          <w:b/>
          <w:iCs/>
        </w:rPr>
        <w:fldChar w:fldCharType="begin"/>
      </w:r>
      <w:r w:rsidRPr="0005245C">
        <w:rPr>
          <w:rFonts w:cs="Calibri"/>
          <w:b/>
          <w:iCs/>
        </w:rPr>
        <w:instrText xml:space="preserve"> SEQ Tabulka \* ARABIC </w:instrText>
      </w:r>
      <w:r w:rsidRPr="0005245C">
        <w:rPr>
          <w:rFonts w:cs="Calibri"/>
          <w:b/>
          <w:iCs/>
        </w:rPr>
        <w:fldChar w:fldCharType="separate"/>
      </w:r>
      <w:r w:rsidR="00015BEA">
        <w:rPr>
          <w:rFonts w:cs="Calibri"/>
          <w:b/>
          <w:iCs/>
          <w:noProof/>
        </w:rPr>
        <w:t>18</w:t>
      </w:r>
      <w:r w:rsidRPr="0005245C">
        <w:rPr>
          <w:rFonts w:cs="Calibri"/>
          <w:b/>
          <w:iCs/>
        </w:rPr>
        <w:fldChar w:fldCharType="end"/>
      </w:r>
      <w:r w:rsidRPr="0005245C">
        <w:rPr>
          <w:rFonts w:cs="Calibri"/>
          <w:b/>
          <w:iCs/>
        </w:rPr>
        <w:t>: Výnosy z transferů (položka B.IV. výkazu zisku a ztráty) u MMR</w:t>
      </w:r>
      <w:bookmarkEnd w:id="75"/>
      <w:bookmarkEnd w:id="76"/>
      <w:r w:rsidRPr="0005245C">
        <w:rPr>
          <w:rFonts w:cs="Calibri"/>
          <w:b/>
          <w:iCs/>
        </w:rPr>
        <w:tab/>
        <w:t>(v Kč)</w:t>
      </w:r>
      <w:bookmarkEnd w:id="77"/>
    </w:p>
    <w:tbl>
      <w:tblPr>
        <w:tblW w:w="906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1134"/>
        <w:gridCol w:w="1587"/>
        <w:gridCol w:w="1587"/>
        <w:gridCol w:w="1587"/>
        <w:gridCol w:w="1587"/>
        <w:gridCol w:w="1587"/>
      </w:tblGrid>
      <w:tr w:rsidR="0004593F" w:rsidRPr="0004593F" w14:paraId="4CFF91C7" w14:textId="77777777" w:rsidTr="00FB54EB">
        <w:trPr>
          <w:trHeight w:val="255"/>
        </w:trPr>
        <w:tc>
          <w:tcPr>
            <w:tcW w:w="1134" w:type="dxa"/>
            <w:shd w:val="clear" w:color="auto" w:fill="E5F1FF"/>
            <w:noWrap/>
            <w:vAlign w:val="center"/>
            <w:hideMark/>
          </w:tcPr>
          <w:p w14:paraId="79A6375D" w14:textId="77777777" w:rsidR="0004593F" w:rsidRPr="0004593F" w:rsidRDefault="0004593F" w:rsidP="0005245C">
            <w:pPr>
              <w:keepNext/>
              <w:spacing w:after="0"/>
              <w:contextualSpacing/>
              <w:jc w:val="both"/>
              <w:rPr>
                <w:rFonts w:cs="Calibri"/>
                <w:b/>
                <w:bCs/>
                <w:color w:val="000000"/>
                <w:sz w:val="20"/>
                <w:szCs w:val="20"/>
                <w:lang w:eastAsia="cs-CZ"/>
              </w:rPr>
            </w:pPr>
            <w:r w:rsidRPr="0004593F">
              <w:rPr>
                <w:rFonts w:cs="Calibri"/>
                <w:b/>
                <w:bCs/>
                <w:color w:val="000000"/>
                <w:sz w:val="20"/>
                <w:szCs w:val="20"/>
                <w:lang w:eastAsia="cs-CZ"/>
              </w:rPr>
              <w:t>Organizace</w:t>
            </w:r>
          </w:p>
        </w:tc>
        <w:tc>
          <w:tcPr>
            <w:tcW w:w="1587" w:type="dxa"/>
            <w:shd w:val="clear" w:color="auto" w:fill="E5F1FF"/>
            <w:noWrap/>
            <w:vAlign w:val="center"/>
            <w:hideMark/>
          </w:tcPr>
          <w:p w14:paraId="78A6E6CA" w14:textId="77777777" w:rsidR="0004593F" w:rsidRPr="0004593F" w:rsidRDefault="0004593F" w:rsidP="0005245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587" w:type="dxa"/>
            <w:shd w:val="clear" w:color="auto" w:fill="E5F1FF"/>
            <w:noWrap/>
            <w:vAlign w:val="center"/>
            <w:hideMark/>
          </w:tcPr>
          <w:p w14:paraId="35F0C4E6" w14:textId="77777777" w:rsidR="0004593F" w:rsidRPr="0004593F" w:rsidRDefault="0004593F" w:rsidP="0005245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587" w:type="dxa"/>
            <w:shd w:val="clear" w:color="auto" w:fill="E5F1FF"/>
            <w:noWrap/>
            <w:vAlign w:val="center"/>
            <w:hideMark/>
          </w:tcPr>
          <w:p w14:paraId="70BE8C96" w14:textId="77777777" w:rsidR="0004593F" w:rsidRPr="0004593F" w:rsidRDefault="0004593F" w:rsidP="0005245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587" w:type="dxa"/>
            <w:shd w:val="clear" w:color="auto" w:fill="E5F1FF"/>
            <w:noWrap/>
            <w:vAlign w:val="center"/>
            <w:hideMark/>
          </w:tcPr>
          <w:p w14:paraId="592438F2" w14:textId="77777777" w:rsidR="0004593F" w:rsidRPr="0004593F" w:rsidRDefault="0004593F" w:rsidP="0005245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587" w:type="dxa"/>
            <w:shd w:val="clear" w:color="auto" w:fill="E5F1FF"/>
          </w:tcPr>
          <w:p w14:paraId="5DA98FD4" w14:textId="77777777" w:rsidR="0004593F" w:rsidRPr="0004593F" w:rsidRDefault="0004593F" w:rsidP="0005245C">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1AE9C01A" w14:textId="77777777" w:rsidTr="00FB54EB">
        <w:trPr>
          <w:trHeight w:val="255"/>
        </w:trPr>
        <w:tc>
          <w:tcPr>
            <w:tcW w:w="1134" w:type="dxa"/>
            <w:shd w:val="clear" w:color="auto" w:fill="auto"/>
            <w:noWrap/>
            <w:vAlign w:val="center"/>
          </w:tcPr>
          <w:p w14:paraId="0388705D" w14:textId="77777777" w:rsidR="0004593F" w:rsidRPr="0004593F" w:rsidRDefault="0004593F" w:rsidP="0005245C">
            <w:pPr>
              <w:keepNext/>
              <w:spacing w:after="0"/>
              <w:contextualSpacing/>
              <w:jc w:val="both"/>
              <w:rPr>
                <w:rFonts w:eastAsia="Calibri" w:cs="Calibri"/>
                <w:color w:val="000000"/>
                <w:sz w:val="20"/>
                <w:szCs w:val="20"/>
              </w:rPr>
            </w:pPr>
            <w:r w:rsidRPr="0004593F">
              <w:rPr>
                <w:rFonts w:eastAsia="Calibri" w:cs="Calibri"/>
                <w:color w:val="000000"/>
                <w:sz w:val="20"/>
                <w:szCs w:val="20"/>
              </w:rPr>
              <w:t>MMR</w:t>
            </w:r>
          </w:p>
        </w:tc>
        <w:tc>
          <w:tcPr>
            <w:tcW w:w="1587" w:type="dxa"/>
            <w:shd w:val="clear" w:color="auto" w:fill="auto"/>
            <w:noWrap/>
            <w:vAlign w:val="center"/>
          </w:tcPr>
          <w:p w14:paraId="244B56EF" w14:textId="77777777" w:rsidR="0004593F" w:rsidRPr="0004593F" w:rsidRDefault="0004593F" w:rsidP="00FB54EB">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18 667 214 668,71</w:t>
            </w:r>
          </w:p>
        </w:tc>
        <w:tc>
          <w:tcPr>
            <w:tcW w:w="1587" w:type="dxa"/>
            <w:shd w:val="clear" w:color="auto" w:fill="auto"/>
            <w:noWrap/>
            <w:vAlign w:val="center"/>
          </w:tcPr>
          <w:p w14:paraId="7952DCAC" w14:textId="77777777" w:rsidR="0004593F" w:rsidRPr="0004593F" w:rsidRDefault="0004593F" w:rsidP="00FB54EB">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24 389 012 536,16</w:t>
            </w:r>
          </w:p>
        </w:tc>
        <w:tc>
          <w:tcPr>
            <w:tcW w:w="1587" w:type="dxa"/>
            <w:shd w:val="clear" w:color="auto" w:fill="auto"/>
            <w:noWrap/>
            <w:vAlign w:val="center"/>
          </w:tcPr>
          <w:p w14:paraId="7AE8A81E" w14:textId="77777777" w:rsidR="0004593F" w:rsidRPr="0004593F" w:rsidRDefault="0004593F" w:rsidP="00FB54EB">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17 211 400 288,45</w:t>
            </w:r>
          </w:p>
        </w:tc>
        <w:tc>
          <w:tcPr>
            <w:tcW w:w="1587" w:type="dxa"/>
            <w:shd w:val="clear" w:color="auto" w:fill="auto"/>
            <w:noWrap/>
            <w:vAlign w:val="center"/>
          </w:tcPr>
          <w:p w14:paraId="4A868DFE" w14:textId="77777777" w:rsidR="0004593F" w:rsidRPr="0004593F" w:rsidRDefault="0004593F" w:rsidP="00FB54EB">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4 184 790 606,01</w:t>
            </w:r>
          </w:p>
        </w:tc>
        <w:tc>
          <w:tcPr>
            <w:tcW w:w="1587" w:type="dxa"/>
            <w:vAlign w:val="center"/>
          </w:tcPr>
          <w:p w14:paraId="2702364C" w14:textId="77777777" w:rsidR="0004593F" w:rsidRPr="0004593F" w:rsidRDefault="0004593F" w:rsidP="00FB54EB">
            <w:pPr>
              <w:keepNext/>
              <w:spacing w:after="0"/>
              <w:ind w:left="-57"/>
              <w:contextualSpacing/>
              <w:jc w:val="right"/>
              <w:rPr>
                <w:rFonts w:eastAsia="Calibri" w:cs="Calibri"/>
                <w:color w:val="000000"/>
                <w:sz w:val="20"/>
                <w:szCs w:val="20"/>
              </w:rPr>
            </w:pPr>
            <w:r w:rsidRPr="0004593F">
              <w:rPr>
                <w:rFonts w:eastAsia="Calibri" w:cs="Calibri"/>
                <w:color w:val="000000"/>
                <w:sz w:val="20"/>
                <w:szCs w:val="20"/>
              </w:rPr>
              <w:t>18 369 952 837,11</w:t>
            </w:r>
          </w:p>
        </w:tc>
      </w:tr>
    </w:tbl>
    <w:p w14:paraId="147B6BA8" w14:textId="77777777" w:rsidR="0004593F" w:rsidRPr="0004593F" w:rsidRDefault="0004593F" w:rsidP="00FB54EB">
      <w:pPr>
        <w:spacing w:before="40" w:after="0"/>
        <w:jc w:val="both"/>
        <w:rPr>
          <w:rFonts w:cs="Calibri"/>
          <w:b/>
          <w:bCs/>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15CD7591" w14:textId="77777777" w:rsidR="00247A8C" w:rsidRPr="00FB54EB" w:rsidRDefault="00247A8C" w:rsidP="0004593F">
      <w:pPr>
        <w:spacing w:after="0"/>
        <w:contextualSpacing/>
        <w:jc w:val="both"/>
        <w:rPr>
          <w:rFonts w:eastAsia="Calibri" w:cs="Calibri"/>
        </w:rPr>
      </w:pPr>
    </w:p>
    <w:p w14:paraId="202B02D7" w14:textId="76E7BDDB" w:rsidR="0004593F" w:rsidRPr="00FB54EB" w:rsidRDefault="0004593F" w:rsidP="0004593F">
      <w:pPr>
        <w:spacing w:after="0"/>
        <w:contextualSpacing/>
        <w:jc w:val="both"/>
        <w:rPr>
          <w:rFonts w:eastAsia="Calibri" w:cs="Calibri"/>
        </w:rPr>
      </w:pPr>
      <w:r w:rsidRPr="00FB54EB">
        <w:rPr>
          <w:rFonts w:eastAsia="Calibri" w:cs="Calibri"/>
        </w:rPr>
        <w:t>Ve sledovaném období 2014–2018 vykazovalo výnosy z transferů pouze MMR. Obdobně nákladům na transfery i výnosy z transferů tvoří největší část celkových výnosů MMR, tj. v průměru za celé sledované období tvoří výnosy z transferů 99 %. Jejich vývoj tudíž odpovídá vývoji celkových výnosů.</w:t>
      </w:r>
    </w:p>
    <w:p w14:paraId="2D18AAE7" w14:textId="77777777" w:rsidR="0004593F" w:rsidRPr="00FB54EB" w:rsidRDefault="0004593F" w:rsidP="0004593F">
      <w:pPr>
        <w:spacing w:after="0"/>
        <w:contextualSpacing/>
        <w:jc w:val="both"/>
        <w:rPr>
          <w:rFonts w:eastAsia="Calibri" w:cs="Calibri"/>
        </w:rPr>
      </w:pPr>
    </w:p>
    <w:p w14:paraId="26612D9F" w14:textId="77777777" w:rsidR="0004593F" w:rsidRPr="00FB54EB" w:rsidRDefault="0004593F" w:rsidP="0004593F">
      <w:pPr>
        <w:spacing w:after="0"/>
        <w:contextualSpacing/>
        <w:jc w:val="both"/>
        <w:rPr>
          <w:rFonts w:eastAsia="Calibri" w:cs="Calibri"/>
        </w:rPr>
      </w:pPr>
      <w:r w:rsidRPr="00FB54EB">
        <w:rPr>
          <w:rFonts w:eastAsia="Calibri" w:cs="Calibri"/>
        </w:rPr>
        <w:t xml:space="preserve">V roce 2018 došlo k významnému meziročnímu růstu o 14 185 162 231,10 Kč. Přičemž zůstatek účtu 675 – </w:t>
      </w:r>
      <w:r w:rsidRPr="00FB54EB">
        <w:rPr>
          <w:rFonts w:eastAsia="Calibri" w:cs="Calibri"/>
          <w:i/>
        </w:rPr>
        <w:t xml:space="preserve">Výnosy vybraných ústředních vládních institucí z předfinancování transferů </w:t>
      </w:r>
      <w:r w:rsidRPr="00FB54EB">
        <w:rPr>
          <w:rFonts w:eastAsia="Calibri" w:cs="Calibri"/>
        </w:rPr>
        <w:t xml:space="preserve">vzrostl o 14 252 918 563,76 Kč a zůstatek účtu 671 – </w:t>
      </w:r>
      <w:r w:rsidRPr="00FB54EB">
        <w:rPr>
          <w:rFonts w:eastAsia="Calibri" w:cs="Calibri"/>
          <w:i/>
        </w:rPr>
        <w:t>Výnosy vybraných ústředních vládních institucí z transferů</w:t>
      </w:r>
      <w:r w:rsidRPr="00FB54EB">
        <w:rPr>
          <w:rFonts w:eastAsia="Calibri" w:cs="Calibri"/>
        </w:rPr>
        <w:t xml:space="preserve"> se naopak snížil o 67 756 332,66 Kč.</w:t>
      </w:r>
    </w:p>
    <w:p w14:paraId="791FEE19" w14:textId="77777777" w:rsidR="0004593F" w:rsidRPr="00FB54EB" w:rsidRDefault="0004593F" w:rsidP="0004593F">
      <w:pPr>
        <w:spacing w:after="0"/>
        <w:contextualSpacing/>
        <w:jc w:val="both"/>
        <w:rPr>
          <w:rFonts w:cs="Calibri"/>
          <w:color w:val="000000"/>
          <w:highlight w:val="yellow"/>
          <w:lang w:eastAsia="cs-CZ"/>
        </w:rPr>
      </w:pPr>
    </w:p>
    <w:p w14:paraId="58FE1DE8" w14:textId="77777777" w:rsidR="0004593F" w:rsidRPr="00FB54EB" w:rsidRDefault="0004593F" w:rsidP="0004593F">
      <w:pPr>
        <w:spacing w:after="0"/>
        <w:contextualSpacing/>
        <w:jc w:val="both"/>
        <w:rPr>
          <w:rFonts w:eastAsia="Calibri" w:cs="Calibri"/>
          <w:b/>
        </w:rPr>
      </w:pPr>
      <w:r w:rsidRPr="00FB54EB">
        <w:rPr>
          <w:rFonts w:eastAsia="Calibri" w:cs="Calibri"/>
          <w:b/>
        </w:rPr>
        <w:t>V oblasti výnosů MMR bylo za rok 2018 zejména zjištěno, že:</w:t>
      </w:r>
    </w:p>
    <w:p w14:paraId="27CE2B9E" w14:textId="5D056A4F" w:rsidR="0004593F" w:rsidRPr="00FB54EB" w:rsidRDefault="0004593F" w:rsidP="00247A8C">
      <w:pPr>
        <w:pStyle w:val="Odstavecseseznamem"/>
        <w:numPr>
          <w:ilvl w:val="0"/>
          <w:numId w:val="13"/>
        </w:numPr>
        <w:spacing w:after="0"/>
        <w:ind w:left="284" w:hanging="284"/>
        <w:jc w:val="both"/>
        <w:rPr>
          <w:rFonts w:eastAsia="Calibri" w:cs="Calibri"/>
          <w:b/>
        </w:rPr>
      </w:pPr>
      <w:r w:rsidRPr="00FB54EB">
        <w:rPr>
          <w:rFonts w:cs="Calibri"/>
          <w:b/>
        </w:rPr>
        <w:t>MMR o výnosech z titulu předfinancování transferů poskytnutých příspěvkové organizaci Centru</w:t>
      </w:r>
      <w:r w:rsidR="00464118">
        <w:rPr>
          <w:rFonts w:cs="Calibri"/>
          <w:b/>
        </w:rPr>
        <w:t>m</w:t>
      </w:r>
      <w:r w:rsidRPr="00FB54EB">
        <w:rPr>
          <w:rFonts w:cs="Calibri"/>
          <w:b/>
        </w:rPr>
        <w:t xml:space="preserve"> pro regionální rozvoj ČR účtovalo nesprávně na účtu 671 – </w:t>
      </w:r>
      <w:r w:rsidRPr="00FB54EB">
        <w:rPr>
          <w:rFonts w:cs="Calibri"/>
          <w:b/>
          <w:i/>
        </w:rPr>
        <w:t>Výnosy vybraných ústředních vládních institucí z transferů</w:t>
      </w:r>
      <w:r w:rsidRPr="00FB54EB">
        <w:rPr>
          <w:rFonts w:cs="Calibri"/>
          <w:b/>
        </w:rPr>
        <w:t xml:space="preserve"> namísto na účtu 675 – </w:t>
      </w:r>
      <w:r w:rsidRPr="00FB54EB">
        <w:rPr>
          <w:rFonts w:cs="Calibri"/>
          <w:b/>
          <w:i/>
        </w:rPr>
        <w:t>Výnosy vybraných ústředních vládních institucí z předfinancování transferů</w:t>
      </w:r>
      <w:r w:rsidRPr="00FB54EB">
        <w:rPr>
          <w:rFonts w:cs="Calibri"/>
          <w:b/>
        </w:rPr>
        <w:t>.</w:t>
      </w:r>
      <w:r w:rsidRPr="00FB54EB">
        <w:rPr>
          <w:rFonts w:eastAsia="Calibri" w:cs="Calibri"/>
          <w:b/>
          <w:highlight w:val="red"/>
        </w:rPr>
        <w:t xml:space="preserve"> </w:t>
      </w:r>
    </w:p>
    <w:p w14:paraId="2B6C1A2D" w14:textId="5960451A" w:rsidR="0004593F" w:rsidRPr="00FB54EB" w:rsidRDefault="0004593F" w:rsidP="00247A8C">
      <w:pPr>
        <w:pStyle w:val="Odstavecseseznamem"/>
        <w:numPr>
          <w:ilvl w:val="0"/>
          <w:numId w:val="13"/>
        </w:numPr>
        <w:spacing w:after="0"/>
        <w:ind w:left="284" w:hanging="284"/>
        <w:jc w:val="both"/>
        <w:rPr>
          <w:rFonts w:eastAsia="Calibri" w:cs="Calibri"/>
          <w:b/>
        </w:rPr>
      </w:pPr>
      <w:r w:rsidRPr="00FB54EB">
        <w:rPr>
          <w:rFonts w:eastAsia="Calibri" w:cs="Calibri"/>
          <w:b/>
        </w:rPr>
        <w:t xml:space="preserve">MMR o přijaté náhradě v minulosti vynaložených nákladů na transfery neúčtovalo výsledkově na účtu 675 – </w:t>
      </w:r>
      <w:r w:rsidRPr="00FB54EB">
        <w:rPr>
          <w:rFonts w:eastAsia="Calibri" w:cs="Calibri"/>
          <w:b/>
          <w:i/>
        </w:rPr>
        <w:t>Výnosy vybraných ústředních vládních institucí z předfinancování transferů.</w:t>
      </w:r>
    </w:p>
    <w:p w14:paraId="6D34F8A7" w14:textId="77777777" w:rsidR="0004593F" w:rsidRPr="00FB54EB" w:rsidRDefault="0004593F" w:rsidP="0004593F">
      <w:pPr>
        <w:spacing w:after="0"/>
        <w:contextualSpacing/>
        <w:jc w:val="both"/>
        <w:rPr>
          <w:rFonts w:eastAsia="Calibri" w:cs="Calibri"/>
          <w:b/>
        </w:rPr>
      </w:pPr>
    </w:p>
    <w:p w14:paraId="24340360" w14:textId="77777777" w:rsidR="0004593F" w:rsidRPr="00FB54EB" w:rsidRDefault="0004593F" w:rsidP="0004593F">
      <w:pPr>
        <w:spacing w:after="0"/>
        <w:contextualSpacing/>
        <w:jc w:val="both"/>
        <w:rPr>
          <w:rFonts w:eastAsia="Calibri" w:cs="Calibri"/>
          <w:b/>
        </w:rPr>
      </w:pPr>
      <w:r w:rsidRPr="00FB54EB">
        <w:rPr>
          <w:rFonts w:eastAsia="Calibri" w:cs="Calibri"/>
          <w:b/>
        </w:rPr>
        <w:t xml:space="preserve">V důsledku těchto skutečností MMR v roce 2018 nadhodnotilo zůstatek účtu 671 – </w:t>
      </w:r>
      <w:r w:rsidRPr="00FB54EB">
        <w:rPr>
          <w:rFonts w:eastAsia="Calibri" w:cs="Calibri"/>
          <w:b/>
          <w:i/>
        </w:rPr>
        <w:t>Výnosy vybraných ústředních vládních institucí z transferů</w:t>
      </w:r>
      <w:r w:rsidRPr="00FB54EB">
        <w:rPr>
          <w:rFonts w:eastAsia="Calibri" w:cs="Calibri"/>
          <w:b/>
        </w:rPr>
        <w:t xml:space="preserve"> o </w:t>
      </w:r>
      <w:r w:rsidRPr="00FB54EB">
        <w:rPr>
          <w:rFonts w:cs="Calibri"/>
          <w:b/>
        </w:rPr>
        <w:t xml:space="preserve">15 952 658,82 Kč a podhodnotilo zůstatek účtu 675 </w:t>
      </w:r>
      <w:r w:rsidRPr="00FB54EB">
        <w:rPr>
          <w:rFonts w:eastAsia="Calibri" w:cs="Calibri"/>
          <w:b/>
        </w:rPr>
        <w:t xml:space="preserve">– </w:t>
      </w:r>
      <w:r w:rsidRPr="00FB54EB">
        <w:rPr>
          <w:rFonts w:eastAsia="Calibri" w:cs="Calibri"/>
          <w:b/>
          <w:i/>
        </w:rPr>
        <w:t>Výnosy vybraných ústředních vládních institucí z předfinancování transferů</w:t>
      </w:r>
      <w:r w:rsidRPr="00FB54EB">
        <w:rPr>
          <w:rFonts w:eastAsia="Calibri" w:cs="Calibri"/>
          <w:b/>
        </w:rPr>
        <w:t xml:space="preserve"> o 66 567 669,59 Kč.</w:t>
      </w:r>
    </w:p>
    <w:p w14:paraId="7A723225" w14:textId="474C1934" w:rsidR="0004593F" w:rsidRPr="00FB54EB" w:rsidRDefault="0004593F" w:rsidP="0004593F">
      <w:pPr>
        <w:spacing w:after="0"/>
        <w:contextualSpacing/>
        <w:jc w:val="both"/>
        <w:rPr>
          <w:rFonts w:eastAsia="Calibri" w:cs="Calibri"/>
          <w:b/>
          <w:highlight w:val="yellow"/>
        </w:rPr>
      </w:pPr>
    </w:p>
    <w:p w14:paraId="4D6FBDB3" w14:textId="77777777" w:rsidR="00B4738C" w:rsidRPr="00FB54EB" w:rsidRDefault="00B4738C" w:rsidP="0004593F">
      <w:pPr>
        <w:spacing w:after="0"/>
        <w:contextualSpacing/>
        <w:jc w:val="both"/>
        <w:rPr>
          <w:rFonts w:eastAsia="Calibri" w:cs="Calibri"/>
          <w:b/>
          <w:highlight w:val="yellow"/>
        </w:rPr>
      </w:pPr>
    </w:p>
    <w:p w14:paraId="09FA9F18" w14:textId="314B67CA" w:rsidR="0004593F" w:rsidRPr="00FB54EB" w:rsidRDefault="0004593F" w:rsidP="00FB54EB">
      <w:pPr>
        <w:keepNext/>
        <w:spacing w:after="0"/>
        <w:ind w:left="567" w:hanging="567"/>
        <w:contextualSpacing/>
        <w:jc w:val="center"/>
        <w:outlineLvl w:val="1"/>
        <w:rPr>
          <w:rFonts w:eastAsia="Calibri" w:cs="Calibri"/>
          <w:b/>
        </w:rPr>
      </w:pPr>
      <w:r w:rsidRPr="00FB54EB">
        <w:rPr>
          <w:rFonts w:eastAsia="Calibri" w:cs="Calibri"/>
          <w:b/>
        </w:rPr>
        <w:lastRenderedPageBreak/>
        <w:t>Oddíl VII. Struktura nákladů u MMR v roce 2017 a 2018</w:t>
      </w:r>
    </w:p>
    <w:p w14:paraId="34D98354" w14:textId="77777777" w:rsidR="00B4738C" w:rsidRPr="00FB54EB" w:rsidRDefault="00B4738C" w:rsidP="00FB54EB">
      <w:pPr>
        <w:keepNext/>
        <w:spacing w:after="0"/>
        <w:ind w:left="567" w:hanging="567"/>
        <w:contextualSpacing/>
        <w:jc w:val="center"/>
        <w:outlineLvl w:val="1"/>
        <w:rPr>
          <w:rFonts w:eastAsia="Calibri" w:cs="Calibri"/>
          <w:b/>
        </w:rPr>
      </w:pPr>
    </w:p>
    <w:p w14:paraId="6EB613B0" w14:textId="10D7130E" w:rsidR="0004593F" w:rsidRPr="00FB54EB" w:rsidRDefault="0004593F" w:rsidP="00FB54EB">
      <w:pPr>
        <w:keepNext/>
        <w:spacing w:after="40"/>
        <w:jc w:val="both"/>
        <w:rPr>
          <w:rFonts w:cs="Calibri"/>
          <w:b/>
          <w:iCs/>
        </w:rPr>
      </w:pPr>
      <w:bookmarkStart w:id="78" w:name="_Toc520714343"/>
      <w:bookmarkStart w:id="79" w:name="_Toc8984550"/>
      <w:bookmarkStart w:id="80" w:name="_Toc33100920"/>
      <w:r w:rsidRPr="00FB54EB">
        <w:rPr>
          <w:rFonts w:cs="Calibri"/>
          <w:b/>
          <w:iCs/>
        </w:rPr>
        <w:t xml:space="preserve">Tabulka č. </w:t>
      </w:r>
      <w:r w:rsidRPr="00FB54EB">
        <w:rPr>
          <w:rFonts w:cs="Calibri"/>
          <w:b/>
          <w:iCs/>
        </w:rPr>
        <w:fldChar w:fldCharType="begin"/>
      </w:r>
      <w:r w:rsidRPr="00FB54EB">
        <w:rPr>
          <w:rFonts w:cs="Calibri"/>
          <w:b/>
          <w:iCs/>
        </w:rPr>
        <w:instrText xml:space="preserve"> SEQ Tabulka \* ARABIC </w:instrText>
      </w:r>
      <w:r w:rsidRPr="00FB54EB">
        <w:rPr>
          <w:rFonts w:cs="Calibri"/>
          <w:b/>
          <w:iCs/>
        </w:rPr>
        <w:fldChar w:fldCharType="separate"/>
      </w:r>
      <w:r w:rsidR="00015BEA">
        <w:rPr>
          <w:rFonts w:cs="Calibri"/>
          <w:b/>
          <w:iCs/>
          <w:noProof/>
        </w:rPr>
        <w:t>19</w:t>
      </w:r>
      <w:r w:rsidRPr="00FB54EB">
        <w:rPr>
          <w:rFonts w:cs="Calibri"/>
          <w:b/>
          <w:iCs/>
        </w:rPr>
        <w:fldChar w:fldCharType="end"/>
      </w:r>
      <w:r w:rsidRPr="00FB54EB">
        <w:rPr>
          <w:rFonts w:cs="Calibri"/>
          <w:b/>
          <w:iCs/>
        </w:rPr>
        <w:t>: Struktura nákladů MMR v roce 2017 a 2018</w:t>
      </w:r>
      <w:bookmarkEnd w:id="78"/>
      <w:bookmarkEnd w:id="79"/>
      <w:bookmarkEnd w:id="80"/>
    </w:p>
    <w:tbl>
      <w:tblPr>
        <w:tblW w:w="9114" w:type="dxa"/>
        <w:jc w:val="center"/>
        <w:tblLayout w:type="fixed"/>
        <w:tblCellMar>
          <w:left w:w="70" w:type="dxa"/>
          <w:right w:w="70" w:type="dxa"/>
        </w:tblCellMar>
        <w:tblLook w:val="04A0" w:firstRow="1" w:lastRow="0" w:firstColumn="1" w:lastColumn="0" w:noHBand="0" w:noVBand="1"/>
      </w:tblPr>
      <w:tblGrid>
        <w:gridCol w:w="624"/>
        <w:gridCol w:w="2608"/>
        <w:gridCol w:w="454"/>
        <w:gridCol w:w="1630"/>
        <w:gridCol w:w="1644"/>
        <w:gridCol w:w="1077"/>
        <w:gridCol w:w="1077"/>
      </w:tblGrid>
      <w:tr w:rsidR="0004593F" w:rsidRPr="0004593F" w14:paraId="3A2EA44F"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5A1E3B13" w14:textId="77777777" w:rsidR="0004593F" w:rsidRPr="0004593F" w:rsidRDefault="0004593F" w:rsidP="006E4D88">
            <w:pPr>
              <w:keepNext/>
              <w:spacing w:after="0"/>
              <w:ind w:left="-57"/>
              <w:contextualSpacing/>
              <w:jc w:val="center"/>
              <w:rPr>
                <w:rFonts w:cs="Calibri"/>
                <w:b/>
                <w:bCs/>
                <w:color w:val="000000"/>
                <w:sz w:val="20"/>
                <w:szCs w:val="20"/>
                <w:lang w:eastAsia="cs-CZ"/>
              </w:rPr>
            </w:pPr>
            <w:r w:rsidRPr="0004593F">
              <w:rPr>
                <w:rFonts w:cs="Calibri"/>
                <w:b/>
                <w:bCs/>
                <w:color w:val="000000"/>
                <w:sz w:val="20"/>
                <w:szCs w:val="20"/>
                <w:lang w:eastAsia="cs-CZ"/>
              </w:rPr>
              <w:t>Pol. VZZ</w:t>
            </w:r>
          </w:p>
        </w:tc>
        <w:tc>
          <w:tcPr>
            <w:tcW w:w="2608" w:type="dxa"/>
            <w:tcBorders>
              <w:top w:val="single" w:sz="4" w:space="0" w:color="auto"/>
              <w:left w:val="nil"/>
              <w:bottom w:val="single" w:sz="4" w:space="0" w:color="auto"/>
              <w:right w:val="single" w:sz="4" w:space="0" w:color="auto"/>
            </w:tcBorders>
            <w:shd w:val="clear" w:color="auto" w:fill="E5F1FF"/>
            <w:noWrap/>
            <w:vAlign w:val="center"/>
          </w:tcPr>
          <w:p w14:paraId="54CD36B8"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Název položky VZZ</w:t>
            </w:r>
          </w:p>
        </w:tc>
        <w:tc>
          <w:tcPr>
            <w:tcW w:w="454" w:type="dxa"/>
            <w:tcBorders>
              <w:top w:val="single" w:sz="4" w:space="0" w:color="auto"/>
              <w:left w:val="nil"/>
              <w:bottom w:val="single" w:sz="4" w:space="0" w:color="auto"/>
              <w:right w:val="single" w:sz="4" w:space="0" w:color="auto"/>
            </w:tcBorders>
            <w:shd w:val="clear" w:color="auto" w:fill="E5F1FF"/>
            <w:vAlign w:val="center"/>
          </w:tcPr>
          <w:p w14:paraId="5FB9237C"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SÚ</w:t>
            </w:r>
          </w:p>
        </w:tc>
        <w:tc>
          <w:tcPr>
            <w:tcW w:w="1630"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5C932270" w14:textId="44D950EB"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Částka v roce 2017</w:t>
            </w:r>
          </w:p>
          <w:p w14:paraId="139D0D17"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(v Kč)</w:t>
            </w:r>
          </w:p>
        </w:tc>
        <w:tc>
          <w:tcPr>
            <w:tcW w:w="1644" w:type="dxa"/>
            <w:tcBorders>
              <w:top w:val="single" w:sz="4" w:space="0" w:color="auto"/>
              <w:left w:val="nil"/>
              <w:bottom w:val="single" w:sz="4" w:space="0" w:color="auto"/>
              <w:right w:val="single" w:sz="4" w:space="0" w:color="auto"/>
            </w:tcBorders>
            <w:shd w:val="clear" w:color="auto" w:fill="E5F1FF"/>
            <w:noWrap/>
            <w:vAlign w:val="center"/>
          </w:tcPr>
          <w:p w14:paraId="0B0BDC23" w14:textId="60021286"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Částka v roce 2018</w:t>
            </w:r>
          </w:p>
          <w:p w14:paraId="6108E7B4"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(v Kč)</w:t>
            </w:r>
          </w:p>
        </w:tc>
        <w:tc>
          <w:tcPr>
            <w:tcW w:w="1077" w:type="dxa"/>
            <w:tcBorders>
              <w:top w:val="single" w:sz="4" w:space="0" w:color="auto"/>
              <w:left w:val="nil"/>
              <w:bottom w:val="single" w:sz="4" w:space="0" w:color="auto"/>
              <w:right w:val="single" w:sz="4" w:space="0" w:color="auto"/>
            </w:tcBorders>
            <w:shd w:val="clear" w:color="auto" w:fill="E5F1FF"/>
            <w:noWrap/>
            <w:vAlign w:val="center"/>
            <w:hideMark/>
          </w:tcPr>
          <w:p w14:paraId="2DADDF0D" w14:textId="4A8D7FA3" w:rsidR="0004593F" w:rsidRPr="0004593F" w:rsidRDefault="0004593F" w:rsidP="006E4D88">
            <w:pPr>
              <w:keepNext/>
              <w:spacing w:after="0"/>
              <w:ind w:left="-57" w:right="-57"/>
              <w:contextualSpacing/>
              <w:jc w:val="center"/>
              <w:rPr>
                <w:rFonts w:cs="Calibri"/>
                <w:b/>
                <w:bCs/>
                <w:color w:val="000000"/>
                <w:sz w:val="20"/>
                <w:szCs w:val="20"/>
                <w:lang w:eastAsia="cs-CZ"/>
              </w:rPr>
            </w:pPr>
            <w:r w:rsidRPr="0004593F">
              <w:rPr>
                <w:rFonts w:cs="Calibri"/>
                <w:b/>
                <w:bCs/>
                <w:color w:val="000000"/>
                <w:sz w:val="20"/>
                <w:szCs w:val="20"/>
                <w:lang w:eastAsia="cs-CZ"/>
              </w:rPr>
              <w:t>Podíl v roce 2017</w:t>
            </w:r>
          </w:p>
        </w:tc>
        <w:tc>
          <w:tcPr>
            <w:tcW w:w="1077" w:type="dxa"/>
            <w:tcBorders>
              <w:top w:val="single" w:sz="4" w:space="0" w:color="auto"/>
              <w:left w:val="nil"/>
              <w:bottom w:val="single" w:sz="4" w:space="0" w:color="auto"/>
              <w:right w:val="single" w:sz="4" w:space="0" w:color="auto"/>
            </w:tcBorders>
            <w:shd w:val="clear" w:color="auto" w:fill="E5F1FF"/>
            <w:vAlign w:val="center"/>
          </w:tcPr>
          <w:p w14:paraId="0252B677" w14:textId="77777777" w:rsidR="0004593F" w:rsidRPr="0004593F" w:rsidRDefault="0004593F" w:rsidP="006E4D88">
            <w:pPr>
              <w:keepNext/>
              <w:spacing w:after="0"/>
              <w:ind w:left="-57" w:right="-57"/>
              <w:contextualSpacing/>
              <w:jc w:val="center"/>
              <w:rPr>
                <w:rFonts w:cs="Calibri"/>
                <w:b/>
                <w:bCs/>
                <w:color w:val="000000"/>
                <w:sz w:val="20"/>
                <w:szCs w:val="20"/>
                <w:lang w:eastAsia="cs-CZ"/>
              </w:rPr>
            </w:pPr>
            <w:r w:rsidRPr="0004593F">
              <w:rPr>
                <w:rFonts w:cs="Calibri"/>
                <w:b/>
                <w:bCs/>
                <w:color w:val="000000"/>
                <w:sz w:val="20"/>
                <w:szCs w:val="20"/>
                <w:lang w:eastAsia="cs-CZ"/>
              </w:rPr>
              <w:t>Podíl v roce 2018</w:t>
            </w:r>
          </w:p>
        </w:tc>
      </w:tr>
      <w:tr w:rsidR="0004593F" w:rsidRPr="0004593F" w14:paraId="3E837409" w14:textId="77777777" w:rsidTr="006E4D88">
        <w:trPr>
          <w:trHeight w:val="255"/>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A624391"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w:t>
            </w:r>
          </w:p>
        </w:tc>
        <w:tc>
          <w:tcPr>
            <w:tcW w:w="2608" w:type="dxa"/>
            <w:tcBorders>
              <w:top w:val="nil"/>
              <w:left w:val="nil"/>
              <w:bottom w:val="single" w:sz="4" w:space="0" w:color="auto"/>
              <w:right w:val="single" w:sz="4" w:space="0" w:color="auto"/>
            </w:tcBorders>
            <w:shd w:val="clear" w:color="auto" w:fill="auto"/>
            <w:noWrap/>
            <w:vAlign w:val="center"/>
          </w:tcPr>
          <w:p w14:paraId="16C6EC7E" w14:textId="77777777" w:rsidR="0004593F" w:rsidRPr="0004593F" w:rsidRDefault="0004593F" w:rsidP="000C69E5">
            <w:pPr>
              <w:keepNext/>
              <w:spacing w:after="0"/>
              <w:contextualSpacing/>
              <w:rPr>
                <w:rFonts w:eastAsia="Calibri" w:cs="Calibri"/>
                <w:color w:val="000000"/>
                <w:sz w:val="20"/>
                <w:szCs w:val="20"/>
              </w:rPr>
            </w:pPr>
            <w:r w:rsidRPr="0004593F">
              <w:rPr>
                <w:rFonts w:eastAsia="Calibri" w:cs="Calibri"/>
                <w:color w:val="000000"/>
                <w:sz w:val="20"/>
                <w:szCs w:val="20"/>
              </w:rPr>
              <w:t>NÁKLADY CELKEM</w:t>
            </w:r>
          </w:p>
        </w:tc>
        <w:tc>
          <w:tcPr>
            <w:tcW w:w="454" w:type="dxa"/>
            <w:tcBorders>
              <w:top w:val="single" w:sz="4" w:space="0" w:color="auto"/>
              <w:left w:val="nil"/>
              <w:bottom w:val="single" w:sz="4" w:space="0" w:color="auto"/>
              <w:right w:val="single" w:sz="4" w:space="0" w:color="auto"/>
            </w:tcBorders>
            <w:vAlign w:val="center"/>
          </w:tcPr>
          <w:p w14:paraId="686B56F1"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w:t>
            </w:r>
          </w:p>
        </w:tc>
        <w:tc>
          <w:tcPr>
            <w:tcW w:w="1630" w:type="dxa"/>
            <w:tcBorders>
              <w:top w:val="nil"/>
              <w:left w:val="single" w:sz="4" w:space="0" w:color="auto"/>
              <w:bottom w:val="single" w:sz="4" w:space="0" w:color="auto"/>
              <w:right w:val="single" w:sz="4" w:space="0" w:color="auto"/>
            </w:tcBorders>
            <w:shd w:val="clear" w:color="auto" w:fill="auto"/>
            <w:noWrap/>
            <w:vAlign w:val="center"/>
          </w:tcPr>
          <w:p w14:paraId="78F34C17"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7 545 587 717,31</w:t>
            </w:r>
          </w:p>
        </w:tc>
        <w:tc>
          <w:tcPr>
            <w:tcW w:w="1644" w:type="dxa"/>
            <w:tcBorders>
              <w:top w:val="nil"/>
              <w:left w:val="nil"/>
              <w:bottom w:val="single" w:sz="4" w:space="0" w:color="auto"/>
              <w:right w:val="single" w:sz="4" w:space="0" w:color="auto"/>
            </w:tcBorders>
            <w:shd w:val="clear" w:color="auto" w:fill="auto"/>
            <w:noWrap/>
            <w:vAlign w:val="center"/>
          </w:tcPr>
          <w:p w14:paraId="28BB07D1"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22 345 950 217,52</w:t>
            </w:r>
          </w:p>
        </w:tc>
        <w:tc>
          <w:tcPr>
            <w:tcW w:w="1077" w:type="dxa"/>
            <w:tcBorders>
              <w:top w:val="nil"/>
              <w:left w:val="nil"/>
              <w:bottom w:val="single" w:sz="4" w:space="0" w:color="auto"/>
              <w:right w:val="single" w:sz="4" w:space="0" w:color="auto"/>
            </w:tcBorders>
            <w:shd w:val="clear" w:color="auto" w:fill="auto"/>
            <w:noWrap/>
            <w:vAlign w:val="center"/>
          </w:tcPr>
          <w:p w14:paraId="2A27A156"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100 %</w:t>
            </w:r>
          </w:p>
        </w:tc>
        <w:tc>
          <w:tcPr>
            <w:tcW w:w="1077" w:type="dxa"/>
            <w:tcBorders>
              <w:top w:val="nil"/>
              <w:left w:val="nil"/>
              <w:bottom w:val="single" w:sz="4" w:space="0" w:color="auto"/>
              <w:right w:val="single" w:sz="4" w:space="0" w:color="auto"/>
            </w:tcBorders>
            <w:vAlign w:val="center"/>
          </w:tcPr>
          <w:p w14:paraId="4D6533DD"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100 %</w:t>
            </w:r>
          </w:p>
        </w:tc>
      </w:tr>
      <w:tr w:rsidR="0004593F" w:rsidRPr="0004593F" w14:paraId="2E6EBD58"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75370"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A.I.</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3818C52E" w14:textId="77777777" w:rsidR="0004593F" w:rsidRPr="0004593F" w:rsidRDefault="0004593F" w:rsidP="000C69E5">
            <w:pPr>
              <w:keepNext/>
              <w:spacing w:after="0"/>
              <w:contextualSpacing/>
              <w:rPr>
                <w:rFonts w:eastAsia="Calibri" w:cs="Calibri"/>
                <w:color w:val="000000"/>
                <w:sz w:val="20"/>
                <w:szCs w:val="20"/>
              </w:rPr>
            </w:pPr>
            <w:r w:rsidRPr="0004593F">
              <w:rPr>
                <w:rFonts w:eastAsia="Calibri" w:cs="Calibri"/>
                <w:color w:val="000000"/>
                <w:sz w:val="20"/>
                <w:szCs w:val="20"/>
              </w:rPr>
              <w:t>Náklady z činnosti</w:t>
            </w:r>
          </w:p>
        </w:tc>
        <w:tc>
          <w:tcPr>
            <w:tcW w:w="454" w:type="dxa"/>
            <w:tcBorders>
              <w:top w:val="single" w:sz="4" w:space="0" w:color="auto"/>
              <w:left w:val="nil"/>
              <w:bottom w:val="single" w:sz="4" w:space="0" w:color="auto"/>
              <w:right w:val="single" w:sz="4" w:space="0" w:color="auto"/>
            </w:tcBorders>
            <w:vAlign w:val="center"/>
          </w:tcPr>
          <w:p w14:paraId="29515938"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7536"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1 308 565 886,47</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B157779"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1 659 463 850,20</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01955B84"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17 %</w:t>
            </w:r>
          </w:p>
        </w:tc>
        <w:tc>
          <w:tcPr>
            <w:tcW w:w="1077" w:type="dxa"/>
            <w:tcBorders>
              <w:top w:val="single" w:sz="4" w:space="0" w:color="auto"/>
              <w:left w:val="nil"/>
              <w:bottom w:val="single" w:sz="4" w:space="0" w:color="auto"/>
              <w:right w:val="single" w:sz="4" w:space="0" w:color="auto"/>
            </w:tcBorders>
            <w:vAlign w:val="center"/>
          </w:tcPr>
          <w:p w14:paraId="59E4827C"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7 %</w:t>
            </w:r>
          </w:p>
        </w:tc>
      </w:tr>
      <w:tr w:rsidR="0004593F" w:rsidRPr="0004593F" w14:paraId="7D0FA551"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A64B"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A.II.</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08927679" w14:textId="77777777" w:rsidR="0004593F" w:rsidRPr="0004593F" w:rsidRDefault="0004593F" w:rsidP="000C69E5">
            <w:pPr>
              <w:keepNext/>
              <w:spacing w:after="0"/>
              <w:contextualSpacing/>
              <w:rPr>
                <w:rFonts w:eastAsia="Calibri" w:cs="Calibri"/>
                <w:color w:val="000000"/>
                <w:sz w:val="20"/>
                <w:szCs w:val="20"/>
              </w:rPr>
            </w:pPr>
            <w:r w:rsidRPr="0004593F">
              <w:rPr>
                <w:rFonts w:eastAsia="Calibri" w:cs="Calibri"/>
                <w:color w:val="000000"/>
                <w:sz w:val="20"/>
                <w:szCs w:val="20"/>
              </w:rPr>
              <w:t>Finanční náklady</w:t>
            </w:r>
          </w:p>
        </w:tc>
        <w:tc>
          <w:tcPr>
            <w:tcW w:w="454" w:type="dxa"/>
            <w:tcBorders>
              <w:top w:val="single" w:sz="4" w:space="0" w:color="auto"/>
              <w:left w:val="nil"/>
              <w:bottom w:val="single" w:sz="4" w:space="0" w:color="auto"/>
              <w:right w:val="single" w:sz="4" w:space="0" w:color="auto"/>
            </w:tcBorders>
            <w:vAlign w:val="center"/>
          </w:tcPr>
          <w:p w14:paraId="75D7B0A8"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11FC7"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141 957,63</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364D1426"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487 116,54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60ABD36"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0 %</w:t>
            </w:r>
          </w:p>
        </w:tc>
        <w:tc>
          <w:tcPr>
            <w:tcW w:w="1077" w:type="dxa"/>
            <w:tcBorders>
              <w:top w:val="single" w:sz="4" w:space="0" w:color="auto"/>
              <w:left w:val="nil"/>
              <w:bottom w:val="single" w:sz="4" w:space="0" w:color="auto"/>
              <w:right w:val="single" w:sz="4" w:space="0" w:color="auto"/>
            </w:tcBorders>
            <w:vAlign w:val="center"/>
          </w:tcPr>
          <w:p w14:paraId="25099E6E"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0 %</w:t>
            </w:r>
          </w:p>
        </w:tc>
      </w:tr>
      <w:tr w:rsidR="0004593F" w:rsidRPr="0004593F" w14:paraId="61F60D4F"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61FF1"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A.III.</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094442C9" w14:textId="77777777" w:rsidR="0004593F" w:rsidRPr="0004593F" w:rsidRDefault="0004593F" w:rsidP="000C69E5">
            <w:pPr>
              <w:keepNext/>
              <w:spacing w:after="0"/>
              <w:contextualSpacing/>
              <w:rPr>
                <w:rFonts w:eastAsia="Calibri" w:cs="Calibri"/>
                <w:color w:val="000000"/>
                <w:sz w:val="20"/>
                <w:szCs w:val="20"/>
              </w:rPr>
            </w:pPr>
            <w:r w:rsidRPr="0004593F">
              <w:rPr>
                <w:rFonts w:eastAsia="Calibri" w:cs="Calibri"/>
                <w:color w:val="000000"/>
                <w:sz w:val="20"/>
                <w:szCs w:val="20"/>
              </w:rPr>
              <w:t>Náklady na transfery</w:t>
            </w:r>
          </w:p>
        </w:tc>
        <w:tc>
          <w:tcPr>
            <w:tcW w:w="454" w:type="dxa"/>
            <w:tcBorders>
              <w:top w:val="single" w:sz="4" w:space="0" w:color="auto"/>
              <w:left w:val="nil"/>
              <w:bottom w:val="single" w:sz="4" w:space="0" w:color="auto"/>
              <w:right w:val="single" w:sz="4" w:space="0" w:color="auto"/>
            </w:tcBorders>
            <w:vAlign w:val="center"/>
          </w:tcPr>
          <w:p w14:paraId="1AC2D185"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C8D25"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6 236 879 873,21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13EF9644"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20 685 999 250,78</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9646FAA"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83 %</w:t>
            </w:r>
          </w:p>
        </w:tc>
        <w:tc>
          <w:tcPr>
            <w:tcW w:w="1077" w:type="dxa"/>
            <w:tcBorders>
              <w:top w:val="single" w:sz="4" w:space="0" w:color="auto"/>
              <w:left w:val="nil"/>
              <w:bottom w:val="single" w:sz="4" w:space="0" w:color="auto"/>
              <w:right w:val="single" w:sz="4" w:space="0" w:color="auto"/>
            </w:tcBorders>
            <w:vAlign w:val="center"/>
          </w:tcPr>
          <w:p w14:paraId="4D1CB91B"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93 %</w:t>
            </w:r>
          </w:p>
        </w:tc>
      </w:tr>
      <w:tr w:rsidR="0004593F" w:rsidRPr="0004593F" w14:paraId="20B81F04"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97AFF"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A.III.1.</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64A066AB" w14:textId="77777777" w:rsidR="0004593F" w:rsidRPr="0004593F" w:rsidRDefault="0004593F" w:rsidP="000C69E5">
            <w:pPr>
              <w:keepNext/>
              <w:spacing w:after="0"/>
              <w:contextualSpacing/>
              <w:rPr>
                <w:rFonts w:eastAsia="Calibri" w:cs="Calibri"/>
                <w:color w:val="000000"/>
                <w:sz w:val="20"/>
                <w:szCs w:val="20"/>
              </w:rPr>
            </w:pPr>
            <w:r w:rsidRPr="0004593F">
              <w:rPr>
                <w:rFonts w:eastAsia="Calibri" w:cs="Calibri"/>
                <w:color w:val="000000"/>
                <w:sz w:val="20"/>
                <w:szCs w:val="20"/>
              </w:rPr>
              <w:t>Náklady vybraných ústředních vládních institucí na transfery</w:t>
            </w:r>
          </w:p>
        </w:tc>
        <w:tc>
          <w:tcPr>
            <w:tcW w:w="454" w:type="dxa"/>
            <w:tcBorders>
              <w:top w:val="single" w:sz="4" w:space="0" w:color="auto"/>
              <w:left w:val="nil"/>
              <w:bottom w:val="single" w:sz="4" w:space="0" w:color="auto"/>
              <w:right w:val="single" w:sz="4" w:space="0" w:color="auto"/>
            </w:tcBorders>
            <w:vAlign w:val="center"/>
          </w:tcPr>
          <w:p w14:paraId="788FACBF"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571</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31A8A"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2 283 213 355,51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357E036A"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2 327 595 128,82</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E55C6D6"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30 %</w:t>
            </w:r>
          </w:p>
        </w:tc>
        <w:tc>
          <w:tcPr>
            <w:tcW w:w="1077" w:type="dxa"/>
            <w:tcBorders>
              <w:top w:val="single" w:sz="4" w:space="0" w:color="auto"/>
              <w:left w:val="nil"/>
              <w:bottom w:val="single" w:sz="4" w:space="0" w:color="auto"/>
              <w:right w:val="single" w:sz="4" w:space="0" w:color="auto"/>
            </w:tcBorders>
            <w:vAlign w:val="center"/>
          </w:tcPr>
          <w:p w14:paraId="7BB9C499"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10 %</w:t>
            </w:r>
          </w:p>
        </w:tc>
      </w:tr>
      <w:tr w:rsidR="0004593F" w:rsidRPr="0004593F" w14:paraId="733608FF"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A92A0"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A.III.3.</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2927EA7B" w14:textId="77777777" w:rsidR="0004593F" w:rsidRPr="0004593F" w:rsidRDefault="0004593F" w:rsidP="000C69E5">
            <w:pPr>
              <w:keepNext/>
              <w:spacing w:after="0"/>
              <w:contextualSpacing/>
              <w:rPr>
                <w:rFonts w:eastAsia="Calibri" w:cs="Calibri"/>
                <w:color w:val="000000"/>
                <w:sz w:val="20"/>
                <w:szCs w:val="20"/>
              </w:rPr>
            </w:pPr>
            <w:r w:rsidRPr="0004593F">
              <w:rPr>
                <w:rFonts w:eastAsia="Calibri" w:cs="Calibri"/>
                <w:color w:val="000000"/>
                <w:sz w:val="20"/>
                <w:szCs w:val="20"/>
              </w:rPr>
              <w:t>Náklady vybraných ústředních vládních institucí na předfinancování transferů</w:t>
            </w:r>
          </w:p>
        </w:tc>
        <w:tc>
          <w:tcPr>
            <w:tcW w:w="454" w:type="dxa"/>
            <w:tcBorders>
              <w:top w:val="single" w:sz="4" w:space="0" w:color="auto"/>
              <w:left w:val="nil"/>
              <w:bottom w:val="single" w:sz="4" w:space="0" w:color="auto"/>
              <w:right w:val="single" w:sz="4" w:space="0" w:color="auto"/>
            </w:tcBorders>
            <w:vAlign w:val="center"/>
          </w:tcPr>
          <w:p w14:paraId="7B5B28CD"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575</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428C"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3 953 666 517,70</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6BADB49"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18 358 404 121,96</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97B650B"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52 %</w:t>
            </w:r>
          </w:p>
        </w:tc>
        <w:tc>
          <w:tcPr>
            <w:tcW w:w="1077" w:type="dxa"/>
            <w:tcBorders>
              <w:top w:val="single" w:sz="4" w:space="0" w:color="auto"/>
              <w:left w:val="nil"/>
              <w:bottom w:val="single" w:sz="4" w:space="0" w:color="auto"/>
              <w:right w:val="single" w:sz="4" w:space="0" w:color="auto"/>
            </w:tcBorders>
            <w:vAlign w:val="center"/>
          </w:tcPr>
          <w:p w14:paraId="0DE05BFF"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82 %</w:t>
            </w:r>
          </w:p>
        </w:tc>
      </w:tr>
      <w:tr w:rsidR="0004593F" w:rsidRPr="0004593F" w14:paraId="76BFF804"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403C9"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A.IV.</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64123E9D" w14:textId="41E1F399" w:rsidR="0004593F" w:rsidRPr="0004593F" w:rsidRDefault="000C69E5" w:rsidP="000C69E5">
            <w:pPr>
              <w:keepNext/>
              <w:spacing w:after="0"/>
              <w:contextualSpacing/>
              <w:rPr>
                <w:rFonts w:eastAsia="Calibri" w:cs="Calibri"/>
                <w:color w:val="000000"/>
                <w:sz w:val="20"/>
                <w:szCs w:val="20"/>
              </w:rPr>
            </w:pPr>
            <w:r>
              <w:rPr>
                <w:rFonts w:eastAsia="Calibri" w:cs="Calibri"/>
                <w:color w:val="000000"/>
                <w:sz w:val="20"/>
                <w:szCs w:val="20"/>
              </w:rPr>
              <w:t>Náklady ze sdílených daní a </w:t>
            </w:r>
            <w:r w:rsidR="0004593F" w:rsidRPr="0004593F">
              <w:rPr>
                <w:rFonts w:eastAsia="Calibri" w:cs="Calibri"/>
                <w:color w:val="000000"/>
                <w:sz w:val="20"/>
                <w:szCs w:val="20"/>
              </w:rPr>
              <w:t>poplatků</w:t>
            </w:r>
          </w:p>
        </w:tc>
        <w:tc>
          <w:tcPr>
            <w:tcW w:w="454" w:type="dxa"/>
            <w:tcBorders>
              <w:top w:val="single" w:sz="4" w:space="0" w:color="auto"/>
              <w:left w:val="nil"/>
              <w:bottom w:val="single" w:sz="4" w:space="0" w:color="auto"/>
              <w:right w:val="single" w:sz="4" w:space="0" w:color="auto"/>
            </w:tcBorders>
            <w:vAlign w:val="center"/>
          </w:tcPr>
          <w:p w14:paraId="2AF8EBF9"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16841"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0,00</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41895350"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C4E0BC3"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0 %</w:t>
            </w:r>
          </w:p>
        </w:tc>
        <w:tc>
          <w:tcPr>
            <w:tcW w:w="1077" w:type="dxa"/>
            <w:tcBorders>
              <w:top w:val="single" w:sz="4" w:space="0" w:color="auto"/>
              <w:left w:val="nil"/>
              <w:bottom w:val="single" w:sz="4" w:space="0" w:color="auto"/>
              <w:right w:val="single" w:sz="4" w:space="0" w:color="auto"/>
            </w:tcBorders>
            <w:vAlign w:val="center"/>
          </w:tcPr>
          <w:p w14:paraId="692620AA"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0 %</w:t>
            </w:r>
          </w:p>
        </w:tc>
      </w:tr>
      <w:tr w:rsidR="0004593F" w:rsidRPr="0004593F" w14:paraId="61FAC5DF" w14:textId="77777777" w:rsidTr="006E4D88">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A9EA0" w14:textId="77777777" w:rsidR="0004593F" w:rsidRPr="0004593F" w:rsidRDefault="0004593F" w:rsidP="000C69E5">
            <w:pPr>
              <w:keepNext/>
              <w:spacing w:after="0"/>
              <w:ind w:left="-57"/>
              <w:contextualSpacing/>
              <w:jc w:val="both"/>
              <w:rPr>
                <w:rFonts w:eastAsia="Calibri" w:cs="Calibri"/>
                <w:color w:val="000000"/>
                <w:sz w:val="20"/>
                <w:szCs w:val="20"/>
              </w:rPr>
            </w:pPr>
            <w:r w:rsidRPr="0004593F">
              <w:rPr>
                <w:rFonts w:eastAsia="Calibri" w:cs="Calibri"/>
                <w:color w:val="000000"/>
                <w:sz w:val="20"/>
                <w:szCs w:val="20"/>
              </w:rPr>
              <w:t>A.V.</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6FC42CA0" w14:textId="77777777" w:rsidR="0004593F" w:rsidRPr="0004593F" w:rsidRDefault="0004593F" w:rsidP="000C69E5">
            <w:pPr>
              <w:keepNext/>
              <w:spacing w:after="0"/>
              <w:contextualSpacing/>
              <w:rPr>
                <w:rFonts w:eastAsia="Calibri" w:cs="Calibri"/>
                <w:color w:val="000000"/>
                <w:sz w:val="20"/>
                <w:szCs w:val="20"/>
              </w:rPr>
            </w:pPr>
            <w:r w:rsidRPr="0004593F">
              <w:rPr>
                <w:rFonts w:eastAsia="Calibri" w:cs="Calibri"/>
                <w:color w:val="000000"/>
                <w:sz w:val="20"/>
                <w:szCs w:val="20"/>
              </w:rPr>
              <w:t>Daň z příjmů</w:t>
            </w:r>
          </w:p>
        </w:tc>
        <w:tc>
          <w:tcPr>
            <w:tcW w:w="454" w:type="dxa"/>
            <w:tcBorders>
              <w:top w:val="single" w:sz="4" w:space="0" w:color="auto"/>
              <w:left w:val="nil"/>
              <w:bottom w:val="single" w:sz="4" w:space="0" w:color="auto"/>
              <w:right w:val="single" w:sz="4" w:space="0" w:color="auto"/>
            </w:tcBorders>
            <w:vAlign w:val="center"/>
          </w:tcPr>
          <w:p w14:paraId="53F0E16C" w14:textId="77777777" w:rsidR="0004593F" w:rsidRPr="0004593F" w:rsidRDefault="0004593F" w:rsidP="00FB54EB">
            <w:pPr>
              <w:keepNext/>
              <w:spacing w:after="0"/>
              <w:contextualSpacing/>
              <w:jc w:val="center"/>
              <w:rPr>
                <w:rFonts w:eastAsia="Calibri" w:cs="Calibri"/>
                <w:color w:val="000000"/>
                <w:sz w:val="20"/>
                <w:szCs w:val="20"/>
              </w:rPr>
            </w:pPr>
            <w:r w:rsidRPr="0004593F">
              <w:rPr>
                <w:rFonts w:eastAsia="Calibri" w:cs="Calibri"/>
                <w:color w:val="000000"/>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4CA45"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0,00</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61D09155" w14:textId="77777777" w:rsidR="0004593F" w:rsidRPr="0004593F" w:rsidRDefault="0004593F" w:rsidP="00FB54EB">
            <w:pPr>
              <w:keepNext/>
              <w:spacing w:after="0"/>
              <w:contextualSpacing/>
              <w:jc w:val="right"/>
              <w:rPr>
                <w:rFonts w:eastAsia="Calibri" w:cs="Calibri"/>
                <w:color w:val="000000"/>
                <w:sz w:val="20"/>
                <w:szCs w:val="20"/>
              </w:rPr>
            </w:pPr>
            <w:r w:rsidRPr="0004593F">
              <w:rPr>
                <w:rFonts w:eastAsia="Calibri" w:cs="Calibri"/>
                <w:color w:val="000000"/>
                <w:sz w:val="20"/>
                <w:szCs w:val="20"/>
              </w:rPr>
              <w:t>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96442AC"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0 %</w:t>
            </w:r>
          </w:p>
        </w:tc>
        <w:tc>
          <w:tcPr>
            <w:tcW w:w="1077" w:type="dxa"/>
            <w:tcBorders>
              <w:top w:val="single" w:sz="4" w:space="0" w:color="auto"/>
              <w:left w:val="nil"/>
              <w:bottom w:val="single" w:sz="4" w:space="0" w:color="auto"/>
              <w:right w:val="single" w:sz="4" w:space="0" w:color="auto"/>
            </w:tcBorders>
            <w:vAlign w:val="center"/>
          </w:tcPr>
          <w:p w14:paraId="365E7D54" w14:textId="77777777" w:rsidR="0004593F" w:rsidRPr="0004593F" w:rsidRDefault="0004593F" w:rsidP="006E4D88">
            <w:pPr>
              <w:keepNext/>
              <w:spacing w:after="0"/>
              <w:ind w:right="57"/>
              <w:contextualSpacing/>
              <w:jc w:val="right"/>
              <w:rPr>
                <w:rFonts w:eastAsia="Calibri" w:cs="Calibri"/>
                <w:color w:val="000000"/>
                <w:sz w:val="20"/>
                <w:szCs w:val="20"/>
              </w:rPr>
            </w:pPr>
            <w:r w:rsidRPr="0004593F">
              <w:rPr>
                <w:rFonts w:eastAsia="Calibri" w:cs="Calibri"/>
                <w:color w:val="000000"/>
                <w:sz w:val="20"/>
                <w:szCs w:val="20"/>
              </w:rPr>
              <w:t>0 %</w:t>
            </w:r>
          </w:p>
        </w:tc>
      </w:tr>
    </w:tbl>
    <w:p w14:paraId="6C85EB5A" w14:textId="77777777" w:rsidR="0004593F" w:rsidRPr="0004593F" w:rsidRDefault="0004593F" w:rsidP="00FB54EB">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379CBBEC" w14:textId="77777777" w:rsidR="00FB54EB" w:rsidRPr="006E4D88" w:rsidRDefault="00FB54EB" w:rsidP="0004593F">
      <w:pPr>
        <w:spacing w:after="0"/>
        <w:contextualSpacing/>
        <w:jc w:val="both"/>
        <w:outlineLvl w:val="1"/>
        <w:rPr>
          <w:rFonts w:eastAsia="Calibri" w:cs="Calibri"/>
        </w:rPr>
      </w:pPr>
    </w:p>
    <w:p w14:paraId="68A2D8C0" w14:textId="28FD4EC8" w:rsidR="0004593F" w:rsidRPr="006E4D88" w:rsidRDefault="0004593F" w:rsidP="0004593F">
      <w:pPr>
        <w:spacing w:after="0"/>
        <w:contextualSpacing/>
        <w:jc w:val="both"/>
        <w:outlineLvl w:val="1"/>
        <w:rPr>
          <w:rFonts w:eastAsia="Calibri" w:cs="Calibri"/>
          <w:b/>
          <w:highlight w:val="yellow"/>
        </w:rPr>
      </w:pPr>
      <w:r w:rsidRPr="006E4D88">
        <w:rPr>
          <w:rFonts w:eastAsia="Calibri" w:cs="Calibri"/>
        </w:rPr>
        <w:t xml:space="preserve">Absolutní většinu všech nákladů tvořily v roce 2018 náklady vybraných ústředních vládních institucí na transfery vykazované na SÚ 575 </w:t>
      </w:r>
      <w:r w:rsidRPr="006E4D88">
        <w:rPr>
          <w:rFonts w:eastAsia="Calibri" w:cs="Calibri"/>
          <w:i/>
        </w:rPr>
        <w:t>–</w:t>
      </w:r>
      <w:r w:rsidRPr="006E4D88">
        <w:rPr>
          <w:rFonts w:eastAsia="Calibri" w:cs="Calibri"/>
        </w:rPr>
        <w:t xml:space="preserve"> </w:t>
      </w:r>
      <w:r w:rsidRPr="006E4D88">
        <w:rPr>
          <w:rFonts w:eastAsia="Calibri" w:cs="Calibri"/>
          <w:i/>
        </w:rPr>
        <w:t>Náklady vybraných ústředních vládních institucí na předfinancování transferů,</w:t>
      </w:r>
      <w:r w:rsidRPr="006E4D88">
        <w:rPr>
          <w:rFonts w:eastAsia="Calibri" w:cs="Calibri"/>
        </w:rPr>
        <w:t xml:space="preserve"> s meziročním nárůstem o 30 %, z 52 procentního podílu na všech nákladech na podíl 82 % všech nákladů. Na SÚ 571 </w:t>
      </w:r>
      <w:r w:rsidRPr="006E4D88">
        <w:rPr>
          <w:rFonts w:eastAsia="Calibri" w:cs="Calibri"/>
          <w:i/>
        </w:rPr>
        <w:t>–</w:t>
      </w:r>
      <w:r w:rsidRPr="006E4D88">
        <w:rPr>
          <w:rFonts w:eastAsia="Calibri" w:cs="Calibri"/>
        </w:rPr>
        <w:t xml:space="preserve"> </w:t>
      </w:r>
      <w:r w:rsidRPr="006E4D88">
        <w:rPr>
          <w:rFonts w:eastAsia="Calibri" w:cs="Calibri"/>
          <w:i/>
        </w:rPr>
        <w:t>Náklady vybraných ústředních vládních institucí na transfery</w:t>
      </w:r>
      <w:r w:rsidRPr="006E4D88">
        <w:rPr>
          <w:rFonts w:eastAsia="Calibri" w:cs="Calibri"/>
        </w:rPr>
        <w:t xml:space="preserve"> bylo vykázáno 10 % celkových nákladů, s meziročním </w:t>
      </w:r>
      <w:r w:rsidR="00464118">
        <w:rPr>
          <w:rFonts w:eastAsia="Calibri" w:cs="Calibri"/>
        </w:rPr>
        <w:t>dvaceti</w:t>
      </w:r>
      <w:r w:rsidRPr="006E4D88">
        <w:rPr>
          <w:rFonts w:eastAsia="Calibri" w:cs="Calibri"/>
        </w:rPr>
        <w:t>procentním poklesem. Náklady z činnosti představovaly v roce 2018 pouze 7 % celkových nákladů.</w:t>
      </w:r>
    </w:p>
    <w:p w14:paraId="4A621DBC" w14:textId="77777777" w:rsidR="0004593F" w:rsidRPr="006E4D88" w:rsidRDefault="0004593F" w:rsidP="0004593F">
      <w:pPr>
        <w:spacing w:after="0"/>
        <w:contextualSpacing/>
        <w:jc w:val="both"/>
        <w:rPr>
          <w:rFonts w:eastAsia="Calibri" w:cs="Calibri"/>
          <w:highlight w:val="yellow"/>
        </w:rPr>
      </w:pPr>
    </w:p>
    <w:p w14:paraId="311B82EC" w14:textId="463ECF1D" w:rsidR="0004593F" w:rsidRPr="006E4D88" w:rsidRDefault="0004593F" w:rsidP="0004593F">
      <w:pPr>
        <w:spacing w:after="0"/>
        <w:contextualSpacing/>
        <w:jc w:val="both"/>
        <w:rPr>
          <w:rFonts w:eastAsia="Calibri" w:cs="Calibri"/>
          <w:b/>
        </w:rPr>
      </w:pPr>
      <w:r w:rsidRPr="006E4D88">
        <w:rPr>
          <w:rFonts w:eastAsia="Calibri" w:cs="Calibri"/>
          <w:b/>
        </w:rPr>
        <w:t xml:space="preserve">Kromě již výše uvedeného nadhodnocení zůstatku účtů 518 – </w:t>
      </w:r>
      <w:r w:rsidRPr="006E4D88">
        <w:rPr>
          <w:rFonts w:eastAsia="Calibri" w:cs="Calibri"/>
          <w:b/>
          <w:i/>
        </w:rPr>
        <w:t>Ostatní služby</w:t>
      </w:r>
      <w:r w:rsidRPr="006E4D88">
        <w:rPr>
          <w:rFonts w:eastAsia="Calibri" w:cs="Calibri"/>
          <w:b/>
        </w:rPr>
        <w:t xml:space="preserve"> o</w:t>
      </w:r>
      <w:r w:rsidR="006E4D88">
        <w:rPr>
          <w:rFonts w:eastAsia="Calibri" w:cs="Calibri"/>
          <w:b/>
        </w:rPr>
        <w:t> </w:t>
      </w:r>
      <w:r w:rsidRPr="006E4D88">
        <w:rPr>
          <w:rFonts w:eastAsia="Calibri" w:cs="Calibri"/>
          <w:b/>
        </w:rPr>
        <w:t>24</w:t>
      </w:r>
      <w:r w:rsidR="006E4D88">
        <w:rPr>
          <w:rFonts w:eastAsia="Calibri" w:cs="Calibri"/>
          <w:b/>
        </w:rPr>
        <w:t> </w:t>
      </w:r>
      <w:r w:rsidRPr="006E4D88">
        <w:rPr>
          <w:rFonts w:eastAsia="Calibri" w:cs="Calibri"/>
          <w:b/>
        </w:rPr>
        <w:t>334 388,54</w:t>
      </w:r>
      <w:r w:rsidR="006E4D88">
        <w:rPr>
          <w:rFonts w:eastAsia="Calibri" w:cs="Calibri"/>
          <w:b/>
        </w:rPr>
        <w:t> </w:t>
      </w:r>
      <w:r w:rsidRPr="006E4D88">
        <w:rPr>
          <w:rFonts w:eastAsia="Calibri" w:cs="Calibri"/>
          <w:b/>
        </w:rPr>
        <w:t xml:space="preserve">Kč, 551 – </w:t>
      </w:r>
      <w:r w:rsidRPr="006E4D88">
        <w:rPr>
          <w:rFonts w:eastAsia="Calibri" w:cs="Calibri"/>
          <w:b/>
          <w:i/>
        </w:rPr>
        <w:t xml:space="preserve">Odpisy dlouhodobého majetku </w:t>
      </w:r>
      <w:r w:rsidRPr="006E4D88">
        <w:rPr>
          <w:rFonts w:eastAsia="Calibri" w:cs="Calibri"/>
          <w:b/>
        </w:rPr>
        <w:t xml:space="preserve">o 234 160 354,16 Kč, 575 – </w:t>
      </w:r>
      <w:r w:rsidRPr="006E4D88">
        <w:rPr>
          <w:rFonts w:eastAsia="Calibri" w:cs="Calibri"/>
          <w:b/>
          <w:i/>
        </w:rPr>
        <w:t>Náklady vybraných ústředních vládních institucí na předfinancování transferů</w:t>
      </w:r>
      <w:r w:rsidRPr="006E4D88">
        <w:rPr>
          <w:rFonts w:eastAsia="Calibri" w:cs="Calibri"/>
          <w:b/>
        </w:rPr>
        <w:t xml:space="preserve"> o 659 054 899,73 Kč a podhodnocení zůstatku účtu 571 – </w:t>
      </w:r>
      <w:r w:rsidRPr="006E4D88">
        <w:rPr>
          <w:rFonts w:eastAsia="Calibri" w:cs="Calibri"/>
          <w:b/>
          <w:i/>
        </w:rPr>
        <w:t xml:space="preserve">Náklady vybraných ústředních vládních institucí na transfery </w:t>
      </w:r>
      <w:r w:rsidRPr="006E4D88">
        <w:rPr>
          <w:rFonts w:eastAsia="Calibri" w:cs="Calibri"/>
          <w:b/>
        </w:rPr>
        <w:t>o 659 054 899,73 Kč byly v oblasti nákladů za rok 2018 zjištěny tyto další nesprávnosti:</w:t>
      </w:r>
    </w:p>
    <w:p w14:paraId="006C5A2E" w14:textId="4EF1E507" w:rsidR="0004593F" w:rsidRPr="006E4D88" w:rsidRDefault="0004593F" w:rsidP="00B4738C">
      <w:pPr>
        <w:pStyle w:val="Odstavecseseznamem"/>
        <w:numPr>
          <w:ilvl w:val="0"/>
          <w:numId w:val="15"/>
        </w:numPr>
        <w:spacing w:after="0"/>
        <w:ind w:left="284" w:hanging="284"/>
        <w:jc w:val="both"/>
        <w:rPr>
          <w:rFonts w:eastAsia="Calibri" w:cs="Calibri"/>
          <w:b/>
        </w:rPr>
      </w:pPr>
      <w:r w:rsidRPr="006E4D88">
        <w:rPr>
          <w:rFonts w:eastAsia="Calibri" w:cs="Calibri"/>
          <w:b/>
        </w:rPr>
        <w:t xml:space="preserve">MMR účtovalo o tvorbě rezerv na odvod a penále v souvislosti s porušením rozpočtové kázně až v okamžiku, kdy již MMR vznikl konkrétní vyčíslený závazek vůči příslušnému finančnímu úřadu a související náklad z titulu odvodu a penále za porušení rozpočtové kázně vyplývající z pravomocného platebního výměru. V důsledku této skutečnosti MMR nadhodnotilo zůstatek účtu 555 – </w:t>
      </w:r>
      <w:r w:rsidRPr="006E4D88">
        <w:rPr>
          <w:rFonts w:eastAsia="Calibri" w:cs="Calibri"/>
          <w:b/>
          <w:i/>
        </w:rPr>
        <w:t>Tvorba a zúčtování rezerv</w:t>
      </w:r>
      <w:r w:rsidR="00B4738C" w:rsidRPr="006E4D88">
        <w:rPr>
          <w:rFonts w:eastAsia="Calibri" w:cs="Calibri"/>
          <w:b/>
        </w:rPr>
        <w:t xml:space="preserve"> o </w:t>
      </w:r>
      <w:r w:rsidRPr="006E4D88">
        <w:rPr>
          <w:rFonts w:eastAsia="Calibri" w:cs="Calibri"/>
          <w:b/>
        </w:rPr>
        <w:t xml:space="preserve">54 245 958 Kč a o stejnou částku podhodnotilo zůstatek účtu 542 – </w:t>
      </w:r>
      <w:r w:rsidRPr="006E4D88">
        <w:rPr>
          <w:rFonts w:eastAsia="Calibri" w:cs="Calibri"/>
          <w:b/>
          <w:i/>
        </w:rPr>
        <w:t>Jiné pokuty a penále</w:t>
      </w:r>
      <w:r w:rsidRPr="006E4D88">
        <w:rPr>
          <w:rFonts w:eastAsia="Calibri" w:cs="Calibri"/>
          <w:b/>
        </w:rPr>
        <w:t>.</w:t>
      </w:r>
    </w:p>
    <w:p w14:paraId="57CC4E3B" w14:textId="3D536FAE" w:rsidR="0004593F" w:rsidRPr="006E4D88" w:rsidRDefault="0004593F" w:rsidP="00B4738C">
      <w:pPr>
        <w:pStyle w:val="Odstavecseseznamem"/>
        <w:numPr>
          <w:ilvl w:val="0"/>
          <w:numId w:val="15"/>
        </w:numPr>
        <w:spacing w:after="0"/>
        <w:ind w:left="284" w:hanging="284"/>
        <w:jc w:val="both"/>
        <w:rPr>
          <w:rFonts w:eastAsia="Calibri" w:cs="Calibri"/>
          <w:b/>
        </w:rPr>
      </w:pPr>
      <w:r w:rsidRPr="006E4D88">
        <w:rPr>
          <w:rFonts w:eastAsia="Calibri" w:cs="Calibri"/>
          <w:b/>
        </w:rPr>
        <w:t>MMR neúčtovalo, resp. účtovalo v nesprávný okamžik</w:t>
      </w:r>
      <w:r w:rsidR="00C21FB6">
        <w:rPr>
          <w:rFonts w:eastAsia="Calibri" w:cs="Calibri"/>
          <w:b/>
        </w:rPr>
        <w:t>,</w:t>
      </w:r>
      <w:r w:rsidRPr="006E4D88">
        <w:rPr>
          <w:rFonts w:eastAsia="Calibri" w:cs="Calibri"/>
          <w:b/>
        </w:rPr>
        <w:t xml:space="preserve"> o vyřazení pohledávek z důvodu promlčení či zániku těchto pohledávek a o zrušení vytvořených opravných položek. V důsledku těchto skutečností MMR nadhodnotilo zůstatek účtu 557 – </w:t>
      </w:r>
      <w:r w:rsidRPr="006E4D88">
        <w:rPr>
          <w:rFonts w:eastAsia="Calibri" w:cs="Calibri"/>
          <w:b/>
          <w:i/>
        </w:rPr>
        <w:t>Náklady z vyřazených pohledávek</w:t>
      </w:r>
      <w:r w:rsidRPr="006E4D88">
        <w:rPr>
          <w:rFonts w:eastAsia="Calibri" w:cs="Calibri"/>
          <w:b/>
        </w:rPr>
        <w:t xml:space="preserve"> o 3 439 505,83 Kč a podhodnotilo zůstatek účtu 556 – </w:t>
      </w:r>
      <w:r w:rsidR="006E4D88">
        <w:rPr>
          <w:rFonts w:eastAsia="Calibri" w:cs="Calibri"/>
          <w:b/>
          <w:i/>
        </w:rPr>
        <w:t>Tvorba a </w:t>
      </w:r>
      <w:r w:rsidRPr="006E4D88">
        <w:rPr>
          <w:rFonts w:eastAsia="Calibri" w:cs="Calibri"/>
          <w:b/>
          <w:i/>
        </w:rPr>
        <w:t>zúčtování opravných položek</w:t>
      </w:r>
      <w:r w:rsidRPr="006E4D88">
        <w:rPr>
          <w:rFonts w:eastAsia="Calibri" w:cs="Calibri"/>
          <w:b/>
        </w:rPr>
        <w:t xml:space="preserve"> o 4 367 273,35 Kč.</w:t>
      </w:r>
    </w:p>
    <w:p w14:paraId="53E21E20" w14:textId="77777777" w:rsidR="0004593F" w:rsidRPr="006E4D88" w:rsidRDefault="0004593F" w:rsidP="0004593F">
      <w:pPr>
        <w:spacing w:after="0"/>
        <w:contextualSpacing/>
        <w:jc w:val="both"/>
        <w:rPr>
          <w:rFonts w:eastAsia="Calibri" w:cs="Calibri"/>
          <w:b/>
        </w:rPr>
      </w:pPr>
    </w:p>
    <w:p w14:paraId="4080E5B3" w14:textId="77777777" w:rsidR="0004593F" w:rsidRPr="006E4D88" w:rsidRDefault="0004593F" w:rsidP="0004593F">
      <w:pPr>
        <w:spacing w:after="0"/>
        <w:contextualSpacing/>
        <w:jc w:val="both"/>
        <w:rPr>
          <w:rFonts w:eastAsia="Calibri" w:cs="Calibri"/>
          <w:b/>
          <w:highlight w:val="yellow"/>
        </w:rPr>
      </w:pPr>
    </w:p>
    <w:p w14:paraId="06C5EF6B" w14:textId="7E4B894F" w:rsidR="0004593F" w:rsidRPr="006E4D88" w:rsidRDefault="0004593F" w:rsidP="006E4D88">
      <w:pPr>
        <w:keepNext/>
        <w:spacing w:after="0"/>
        <w:contextualSpacing/>
        <w:jc w:val="center"/>
        <w:outlineLvl w:val="1"/>
        <w:rPr>
          <w:rFonts w:eastAsia="Calibri" w:cs="Calibri"/>
          <w:b/>
        </w:rPr>
      </w:pPr>
      <w:r w:rsidRPr="006E4D88">
        <w:rPr>
          <w:rFonts w:eastAsia="Calibri" w:cs="Calibri"/>
          <w:b/>
        </w:rPr>
        <w:lastRenderedPageBreak/>
        <w:t>Oddíl VIII. Struktura výdajů z hlediska odvětvového u MMR v roce 2018</w:t>
      </w:r>
    </w:p>
    <w:p w14:paraId="32DFA232" w14:textId="77777777" w:rsidR="00B4738C" w:rsidRPr="00FD4E62" w:rsidRDefault="00B4738C" w:rsidP="006E4D88">
      <w:pPr>
        <w:keepNext/>
        <w:spacing w:after="0"/>
        <w:contextualSpacing/>
        <w:outlineLvl w:val="1"/>
        <w:rPr>
          <w:rFonts w:eastAsia="Calibri" w:cs="Calibri"/>
        </w:rPr>
      </w:pPr>
    </w:p>
    <w:p w14:paraId="727E86BA" w14:textId="2C4AFC3A" w:rsidR="0004593F" w:rsidRPr="006E4D88" w:rsidRDefault="0004593F" w:rsidP="00FD4E62">
      <w:pPr>
        <w:keepNext/>
        <w:spacing w:after="40"/>
        <w:jc w:val="both"/>
        <w:rPr>
          <w:rFonts w:cs="Calibri"/>
          <w:b/>
          <w:iCs/>
        </w:rPr>
      </w:pPr>
      <w:bookmarkStart w:id="81" w:name="_Toc520714344"/>
      <w:bookmarkStart w:id="82" w:name="_Toc8984551"/>
      <w:bookmarkStart w:id="83" w:name="_Toc33100906"/>
      <w:r w:rsidRPr="006E4D88">
        <w:rPr>
          <w:rFonts w:cs="Calibri"/>
          <w:b/>
          <w:iCs/>
        </w:rPr>
        <w:t xml:space="preserve">Tabulka č. </w:t>
      </w:r>
      <w:r w:rsidRPr="006E4D88">
        <w:rPr>
          <w:rFonts w:cs="Calibri"/>
          <w:b/>
          <w:iCs/>
        </w:rPr>
        <w:fldChar w:fldCharType="begin"/>
      </w:r>
      <w:r w:rsidRPr="006E4D88">
        <w:rPr>
          <w:rFonts w:cs="Calibri"/>
          <w:b/>
          <w:iCs/>
        </w:rPr>
        <w:instrText xml:space="preserve"> SEQ Tabulka \* ARABIC </w:instrText>
      </w:r>
      <w:r w:rsidRPr="006E4D88">
        <w:rPr>
          <w:rFonts w:cs="Calibri"/>
          <w:b/>
          <w:iCs/>
        </w:rPr>
        <w:fldChar w:fldCharType="separate"/>
      </w:r>
      <w:r w:rsidR="00015BEA">
        <w:rPr>
          <w:rFonts w:cs="Calibri"/>
          <w:b/>
          <w:iCs/>
          <w:noProof/>
        </w:rPr>
        <w:t>20</w:t>
      </w:r>
      <w:r w:rsidRPr="006E4D88">
        <w:rPr>
          <w:rFonts w:cs="Calibri"/>
          <w:b/>
          <w:iCs/>
        </w:rPr>
        <w:fldChar w:fldCharType="end"/>
      </w:r>
      <w:r w:rsidRPr="006E4D88">
        <w:rPr>
          <w:rFonts w:cs="Calibri"/>
          <w:b/>
          <w:iCs/>
        </w:rPr>
        <w:t>: Struktura výdajů MMR v roce 2018 z hlediska odvětvového třídění</w:t>
      </w:r>
      <w:bookmarkEnd w:id="81"/>
      <w:bookmarkEnd w:id="82"/>
      <w:bookmarkEnd w:id="83"/>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1701"/>
        <w:gridCol w:w="1984"/>
        <w:gridCol w:w="1984"/>
        <w:gridCol w:w="1984"/>
      </w:tblGrid>
      <w:tr w:rsidR="0004593F" w:rsidRPr="0004593F" w14:paraId="537F2DBF" w14:textId="77777777" w:rsidTr="00FD4E62">
        <w:trPr>
          <w:trHeight w:val="255"/>
          <w:tblHeader/>
          <w:jc w:val="center"/>
        </w:trPr>
        <w:tc>
          <w:tcPr>
            <w:tcW w:w="1417" w:type="dxa"/>
            <w:shd w:val="clear" w:color="auto" w:fill="E5F1FF"/>
            <w:vAlign w:val="center"/>
          </w:tcPr>
          <w:p w14:paraId="7B0389E0"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Rozpočtový paragraf č.</w:t>
            </w:r>
          </w:p>
        </w:tc>
        <w:tc>
          <w:tcPr>
            <w:tcW w:w="1701" w:type="dxa"/>
            <w:shd w:val="clear" w:color="auto" w:fill="E5F1FF"/>
            <w:noWrap/>
            <w:vAlign w:val="center"/>
          </w:tcPr>
          <w:p w14:paraId="51CD3D67"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Schválený rozpočet (v Kč)</w:t>
            </w:r>
          </w:p>
        </w:tc>
        <w:tc>
          <w:tcPr>
            <w:tcW w:w="1984" w:type="dxa"/>
            <w:shd w:val="clear" w:color="auto" w:fill="E5F1FF"/>
            <w:noWrap/>
            <w:vAlign w:val="center"/>
          </w:tcPr>
          <w:p w14:paraId="49B968F7"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Skutečnost (v Kč)</w:t>
            </w:r>
          </w:p>
        </w:tc>
        <w:tc>
          <w:tcPr>
            <w:tcW w:w="1984" w:type="dxa"/>
            <w:shd w:val="clear" w:color="auto" w:fill="E5F1FF"/>
            <w:noWrap/>
            <w:vAlign w:val="center"/>
            <w:hideMark/>
          </w:tcPr>
          <w:p w14:paraId="68FCAFAF"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 xml:space="preserve">Podíl rozpočtového paragrafu č. na celkových výdajích – schválený rozpočet </w:t>
            </w:r>
          </w:p>
        </w:tc>
        <w:tc>
          <w:tcPr>
            <w:tcW w:w="1984" w:type="dxa"/>
            <w:shd w:val="clear" w:color="auto" w:fill="E5F1FF"/>
          </w:tcPr>
          <w:p w14:paraId="40ECB241" w14:textId="77777777" w:rsidR="0004593F" w:rsidRPr="0004593F" w:rsidRDefault="0004593F" w:rsidP="006E4D88">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Podíl rozpočtového paragrafu č. na celkových výdajích – skutečnost</w:t>
            </w:r>
          </w:p>
        </w:tc>
      </w:tr>
      <w:tr w:rsidR="0004593F" w:rsidRPr="0004593F" w14:paraId="37614407" w14:textId="77777777" w:rsidTr="00FD4E62">
        <w:trPr>
          <w:trHeight w:val="255"/>
          <w:jc w:val="center"/>
        </w:trPr>
        <w:tc>
          <w:tcPr>
            <w:tcW w:w="1417" w:type="dxa"/>
            <w:vAlign w:val="center"/>
          </w:tcPr>
          <w:p w14:paraId="510AD2D3"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363600</w:t>
            </w:r>
          </w:p>
        </w:tc>
        <w:tc>
          <w:tcPr>
            <w:tcW w:w="1701" w:type="dxa"/>
            <w:shd w:val="clear" w:color="auto" w:fill="auto"/>
            <w:noWrap/>
            <w:vAlign w:val="center"/>
          </w:tcPr>
          <w:p w14:paraId="2746CBB6"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1 949 586 774,00</w:t>
            </w:r>
          </w:p>
        </w:tc>
        <w:tc>
          <w:tcPr>
            <w:tcW w:w="1984" w:type="dxa"/>
            <w:shd w:val="clear" w:color="auto" w:fill="auto"/>
            <w:noWrap/>
            <w:vAlign w:val="center"/>
          </w:tcPr>
          <w:p w14:paraId="6201BD89"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18 973 267 113,79</w:t>
            </w:r>
          </w:p>
        </w:tc>
        <w:tc>
          <w:tcPr>
            <w:tcW w:w="1984" w:type="dxa"/>
            <w:shd w:val="clear" w:color="auto" w:fill="auto"/>
            <w:noWrap/>
            <w:vAlign w:val="center"/>
          </w:tcPr>
          <w:p w14:paraId="77D1285A"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34,74 %</w:t>
            </w:r>
          </w:p>
        </w:tc>
        <w:tc>
          <w:tcPr>
            <w:tcW w:w="1984" w:type="dxa"/>
            <w:vAlign w:val="center"/>
          </w:tcPr>
          <w:p w14:paraId="2E060101"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85,90 %</w:t>
            </w:r>
          </w:p>
        </w:tc>
      </w:tr>
      <w:tr w:rsidR="0004593F" w:rsidRPr="0004593F" w14:paraId="00D72E95" w14:textId="77777777" w:rsidTr="00FD4E62">
        <w:trPr>
          <w:trHeight w:val="255"/>
          <w:jc w:val="center"/>
        </w:trPr>
        <w:tc>
          <w:tcPr>
            <w:tcW w:w="1417" w:type="dxa"/>
            <w:vAlign w:val="center"/>
          </w:tcPr>
          <w:p w14:paraId="297B9105"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366100</w:t>
            </w:r>
          </w:p>
        </w:tc>
        <w:tc>
          <w:tcPr>
            <w:tcW w:w="1701" w:type="dxa"/>
            <w:shd w:val="clear" w:color="auto" w:fill="auto"/>
            <w:noWrap/>
            <w:vAlign w:val="center"/>
          </w:tcPr>
          <w:p w14:paraId="04772371"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2 442 387 247,00</w:t>
            </w:r>
          </w:p>
        </w:tc>
        <w:tc>
          <w:tcPr>
            <w:tcW w:w="1984" w:type="dxa"/>
            <w:shd w:val="clear" w:color="auto" w:fill="auto"/>
            <w:noWrap/>
            <w:vAlign w:val="center"/>
          </w:tcPr>
          <w:p w14:paraId="6997697C"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1 809 922 770,16</w:t>
            </w:r>
          </w:p>
        </w:tc>
        <w:tc>
          <w:tcPr>
            <w:tcW w:w="1984" w:type="dxa"/>
            <w:shd w:val="clear" w:color="auto" w:fill="auto"/>
            <w:noWrap/>
            <w:vAlign w:val="center"/>
          </w:tcPr>
          <w:p w14:paraId="70B6A62A"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43,52 %</w:t>
            </w:r>
          </w:p>
        </w:tc>
        <w:tc>
          <w:tcPr>
            <w:tcW w:w="1984" w:type="dxa"/>
            <w:vAlign w:val="center"/>
          </w:tcPr>
          <w:p w14:paraId="2A119D95"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8,19 %</w:t>
            </w:r>
          </w:p>
        </w:tc>
      </w:tr>
      <w:tr w:rsidR="0004593F" w:rsidRPr="0004593F" w14:paraId="5A2A0DF3" w14:textId="77777777" w:rsidTr="00FD4E62">
        <w:trPr>
          <w:trHeight w:val="255"/>
          <w:jc w:val="center"/>
        </w:trPr>
        <w:tc>
          <w:tcPr>
            <w:tcW w:w="1417" w:type="dxa"/>
            <w:vAlign w:val="center"/>
          </w:tcPr>
          <w:p w14:paraId="5A22A840"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214300</w:t>
            </w:r>
          </w:p>
        </w:tc>
        <w:tc>
          <w:tcPr>
            <w:tcW w:w="1701" w:type="dxa"/>
            <w:shd w:val="clear" w:color="auto" w:fill="auto"/>
            <w:noWrap/>
            <w:vAlign w:val="center"/>
          </w:tcPr>
          <w:p w14:paraId="7E9D79D6"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607 438 184,00</w:t>
            </w:r>
          </w:p>
        </w:tc>
        <w:tc>
          <w:tcPr>
            <w:tcW w:w="1984" w:type="dxa"/>
            <w:shd w:val="clear" w:color="auto" w:fill="auto"/>
            <w:noWrap/>
            <w:vAlign w:val="center"/>
          </w:tcPr>
          <w:p w14:paraId="7A580332"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726 400 412,56</w:t>
            </w:r>
          </w:p>
        </w:tc>
        <w:tc>
          <w:tcPr>
            <w:tcW w:w="1984" w:type="dxa"/>
            <w:shd w:val="clear" w:color="auto" w:fill="auto"/>
            <w:noWrap/>
            <w:vAlign w:val="center"/>
          </w:tcPr>
          <w:p w14:paraId="1D7F8A21"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10,82 %</w:t>
            </w:r>
          </w:p>
        </w:tc>
        <w:tc>
          <w:tcPr>
            <w:tcW w:w="1984" w:type="dxa"/>
            <w:vAlign w:val="center"/>
          </w:tcPr>
          <w:p w14:paraId="40E2DC4B"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3,29 %</w:t>
            </w:r>
          </w:p>
        </w:tc>
      </w:tr>
      <w:tr w:rsidR="0004593F" w:rsidRPr="0004593F" w14:paraId="759E0BCA" w14:textId="77777777" w:rsidTr="00FD4E62">
        <w:trPr>
          <w:trHeight w:val="255"/>
          <w:jc w:val="center"/>
        </w:trPr>
        <w:tc>
          <w:tcPr>
            <w:tcW w:w="1417" w:type="dxa"/>
            <w:vAlign w:val="center"/>
          </w:tcPr>
          <w:p w14:paraId="1A6601EA"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361200</w:t>
            </w:r>
          </w:p>
        </w:tc>
        <w:tc>
          <w:tcPr>
            <w:tcW w:w="1701" w:type="dxa"/>
            <w:shd w:val="clear" w:color="auto" w:fill="auto"/>
            <w:noWrap/>
            <w:vAlign w:val="center"/>
          </w:tcPr>
          <w:p w14:paraId="5664314B"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300 459 027,00</w:t>
            </w:r>
          </w:p>
        </w:tc>
        <w:tc>
          <w:tcPr>
            <w:tcW w:w="1984" w:type="dxa"/>
            <w:shd w:val="clear" w:color="auto" w:fill="auto"/>
            <w:noWrap/>
            <w:vAlign w:val="center"/>
          </w:tcPr>
          <w:p w14:paraId="5CC3E86E"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321 439 886,08</w:t>
            </w:r>
          </w:p>
        </w:tc>
        <w:tc>
          <w:tcPr>
            <w:tcW w:w="1984" w:type="dxa"/>
            <w:shd w:val="clear" w:color="auto" w:fill="auto"/>
            <w:noWrap/>
            <w:vAlign w:val="center"/>
          </w:tcPr>
          <w:p w14:paraId="62B8AA29"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5,35 %</w:t>
            </w:r>
          </w:p>
        </w:tc>
        <w:tc>
          <w:tcPr>
            <w:tcW w:w="1984" w:type="dxa"/>
            <w:vAlign w:val="center"/>
          </w:tcPr>
          <w:p w14:paraId="6164DDCE"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1,46 %</w:t>
            </w:r>
          </w:p>
        </w:tc>
      </w:tr>
      <w:tr w:rsidR="0004593F" w:rsidRPr="0004593F" w14:paraId="3310EE5D" w14:textId="77777777" w:rsidTr="00FD4E62">
        <w:trPr>
          <w:trHeight w:val="255"/>
          <w:jc w:val="center"/>
        </w:trPr>
        <w:tc>
          <w:tcPr>
            <w:tcW w:w="1417" w:type="dxa"/>
            <w:vAlign w:val="center"/>
          </w:tcPr>
          <w:p w14:paraId="4B372A0F"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363900</w:t>
            </w:r>
          </w:p>
        </w:tc>
        <w:tc>
          <w:tcPr>
            <w:tcW w:w="1701" w:type="dxa"/>
            <w:shd w:val="clear" w:color="auto" w:fill="auto"/>
            <w:noWrap/>
            <w:vAlign w:val="center"/>
          </w:tcPr>
          <w:p w14:paraId="1E556E06"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111 920 112,00</w:t>
            </w:r>
          </w:p>
        </w:tc>
        <w:tc>
          <w:tcPr>
            <w:tcW w:w="1984" w:type="dxa"/>
            <w:shd w:val="clear" w:color="auto" w:fill="auto"/>
            <w:noWrap/>
            <w:vAlign w:val="center"/>
          </w:tcPr>
          <w:p w14:paraId="4E6A9739"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91 411 912,00</w:t>
            </w:r>
          </w:p>
        </w:tc>
        <w:tc>
          <w:tcPr>
            <w:tcW w:w="1984" w:type="dxa"/>
            <w:shd w:val="clear" w:color="auto" w:fill="auto"/>
            <w:noWrap/>
            <w:vAlign w:val="center"/>
          </w:tcPr>
          <w:p w14:paraId="6A3844A4"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1,99 %</w:t>
            </w:r>
          </w:p>
        </w:tc>
        <w:tc>
          <w:tcPr>
            <w:tcW w:w="1984" w:type="dxa"/>
            <w:vAlign w:val="center"/>
          </w:tcPr>
          <w:p w14:paraId="0BAE26BE"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0,41 %</w:t>
            </w:r>
          </w:p>
        </w:tc>
      </w:tr>
      <w:tr w:rsidR="0004593F" w:rsidRPr="0004593F" w14:paraId="3564C598" w14:textId="77777777" w:rsidTr="00FD4E62">
        <w:trPr>
          <w:trHeight w:val="255"/>
          <w:jc w:val="center"/>
        </w:trPr>
        <w:tc>
          <w:tcPr>
            <w:tcW w:w="1417" w:type="dxa"/>
            <w:vAlign w:val="center"/>
          </w:tcPr>
          <w:p w14:paraId="2B952720"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366900</w:t>
            </w:r>
          </w:p>
        </w:tc>
        <w:tc>
          <w:tcPr>
            <w:tcW w:w="1701" w:type="dxa"/>
            <w:shd w:val="clear" w:color="auto" w:fill="auto"/>
            <w:noWrap/>
            <w:vAlign w:val="center"/>
          </w:tcPr>
          <w:p w14:paraId="140AB917"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111 851 420,00</w:t>
            </w:r>
          </w:p>
        </w:tc>
        <w:tc>
          <w:tcPr>
            <w:tcW w:w="1984" w:type="dxa"/>
            <w:shd w:val="clear" w:color="auto" w:fill="auto"/>
            <w:noWrap/>
            <w:vAlign w:val="center"/>
          </w:tcPr>
          <w:p w14:paraId="7A6B5F40"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90 495 657,10</w:t>
            </w:r>
          </w:p>
        </w:tc>
        <w:tc>
          <w:tcPr>
            <w:tcW w:w="1984" w:type="dxa"/>
            <w:shd w:val="clear" w:color="auto" w:fill="auto"/>
            <w:noWrap/>
            <w:vAlign w:val="center"/>
          </w:tcPr>
          <w:p w14:paraId="0432076D"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1,99 %</w:t>
            </w:r>
          </w:p>
        </w:tc>
        <w:tc>
          <w:tcPr>
            <w:tcW w:w="1984" w:type="dxa"/>
            <w:vAlign w:val="center"/>
          </w:tcPr>
          <w:p w14:paraId="0E5386BD"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0,41 %</w:t>
            </w:r>
          </w:p>
        </w:tc>
      </w:tr>
      <w:tr w:rsidR="0004593F" w:rsidRPr="0004593F" w14:paraId="3BAF940F" w14:textId="77777777" w:rsidTr="00FD4E62">
        <w:trPr>
          <w:trHeight w:val="255"/>
          <w:jc w:val="center"/>
        </w:trPr>
        <w:tc>
          <w:tcPr>
            <w:tcW w:w="1417" w:type="dxa"/>
            <w:vAlign w:val="center"/>
          </w:tcPr>
          <w:p w14:paraId="75FD3640"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369900</w:t>
            </w:r>
          </w:p>
        </w:tc>
        <w:tc>
          <w:tcPr>
            <w:tcW w:w="1701" w:type="dxa"/>
            <w:shd w:val="clear" w:color="auto" w:fill="auto"/>
            <w:noWrap/>
            <w:vAlign w:val="center"/>
          </w:tcPr>
          <w:p w14:paraId="0E1733E2"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7 000 000,00</w:t>
            </w:r>
          </w:p>
        </w:tc>
        <w:tc>
          <w:tcPr>
            <w:tcW w:w="1984" w:type="dxa"/>
            <w:shd w:val="clear" w:color="auto" w:fill="auto"/>
            <w:noWrap/>
            <w:vAlign w:val="center"/>
          </w:tcPr>
          <w:p w14:paraId="2B2E17AE"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28 699 228,86</w:t>
            </w:r>
          </w:p>
        </w:tc>
        <w:tc>
          <w:tcPr>
            <w:tcW w:w="1984" w:type="dxa"/>
            <w:shd w:val="clear" w:color="auto" w:fill="auto"/>
            <w:noWrap/>
            <w:vAlign w:val="center"/>
          </w:tcPr>
          <w:p w14:paraId="224F38FE"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0,12 %</w:t>
            </w:r>
          </w:p>
        </w:tc>
        <w:tc>
          <w:tcPr>
            <w:tcW w:w="1984" w:type="dxa"/>
            <w:vAlign w:val="center"/>
          </w:tcPr>
          <w:p w14:paraId="544A2663"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0,13 %</w:t>
            </w:r>
          </w:p>
        </w:tc>
      </w:tr>
      <w:tr w:rsidR="0004593F" w:rsidRPr="0004593F" w14:paraId="65469F3C" w14:textId="77777777" w:rsidTr="00FD4E62">
        <w:trPr>
          <w:trHeight w:val="255"/>
          <w:jc w:val="center"/>
        </w:trPr>
        <w:tc>
          <w:tcPr>
            <w:tcW w:w="1417" w:type="dxa"/>
            <w:vAlign w:val="center"/>
          </w:tcPr>
          <w:p w14:paraId="59CFD319"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369100</w:t>
            </w:r>
          </w:p>
        </w:tc>
        <w:tc>
          <w:tcPr>
            <w:tcW w:w="1701" w:type="dxa"/>
            <w:shd w:val="clear" w:color="auto" w:fill="auto"/>
            <w:noWrap/>
            <w:vAlign w:val="center"/>
          </w:tcPr>
          <w:p w14:paraId="14E24325"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47 620 000,00</w:t>
            </w:r>
          </w:p>
        </w:tc>
        <w:tc>
          <w:tcPr>
            <w:tcW w:w="1984" w:type="dxa"/>
            <w:shd w:val="clear" w:color="auto" w:fill="auto"/>
            <w:noWrap/>
            <w:vAlign w:val="center"/>
          </w:tcPr>
          <w:p w14:paraId="4736ACD8"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17 317 780,68</w:t>
            </w:r>
          </w:p>
        </w:tc>
        <w:tc>
          <w:tcPr>
            <w:tcW w:w="1984" w:type="dxa"/>
            <w:shd w:val="clear" w:color="auto" w:fill="auto"/>
            <w:noWrap/>
            <w:vAlign w:val="center"/>
          </w:tcPr>
          <w:p w14:paraId="1791C279"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0,85 %</w:t>
            </w:r>
          </w:p>
        </w:tc>
        <w:tc>
          <w:tcPr>
            <w:tcW w:w="1984" w:type="dxa"/>
            <w:vAlign w:val="center"/>
          </w:tcPr>
          <w:p w14:paraId="4DDE53EE"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0,08 %</w:t>
            </w:r>
          </w:p>
        </w:tc>
      </w:tr>
      <w:tr w:rsidR="0004593F" w:rsidRPr="0004593F" w14:paraId="5C22E3C9" w14:textId="77777777" w:rsidTr="00FD4E62">
        <w:trPr>
          <w:trHeight w:val="255"/>
          <w:jc w:val="center"/>
        </w:trPr>
        <w:tc>
          <w:tcPr>
            <w:tcW w:w="1417" w:type="dxa"/>
            <w:vAlign w:val="center"/>
          </w:tcPr>
          <w:p w14:paraId="6157AF77"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363500</w:t>
            </w:r>
          </w:p>
        </w:tc>
        <w:tc>
          <w:tcPr>
            <w:tcW w:w="1701" w:type="dxa"/>
            <w:shd w:val="clear" w:color="auto" w:fill="auto"/>
            <w:noWrap/>
            <w:vAlign w:val="center"/>
          </w:tcPr>
          <w:p w14:paraId="7BF34CEE"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20 000 000,00</w:t>
            </w:r>
          </w:p>
        </w:tc>
        <w:tc>
          <w:tcPr>
            <w:tcW w:w="1984" w:type="dxa"/>
            <w:shd w:val="clear" w:color="auto" w:fill="auto"/>
            <w:noWrap/>
            <w:vAlign w:val="center"/>
          </w:tcPr>
          <w:p w14:paraId="3FDB4B76"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16 130 096,10</w:t>
            </w:r>
          </w:p>
        </w:tc>
        <w:tc>
          <w:tcPr>
            <w:tcW w:w="1984" w:type="dxa"/>
            <w:shd w:val="clear" w:color="auto" w:fill="auto"/>
            <w:noWrap/>
            <w:vAlign w:val="center"/>
          </w:tcPr>
          <w:p w14:paraId="5AEAB13A"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0,36 %</w:t>
            </w:r>
          </w:p>
        </w:tc>
        <w:tc>
          <w:tcPr>
            <w:tcW w:w="1984" w:type="dxa"/>
            <w:vAlign w:val="center"/>
          </w:tcPr>
          <w:p w14:paraId="789DE338"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0,07 %</w:t>
            </w:r>
          </w:p>
        </w:tc>
      </w:tr>
      <w:tr w:rsidR="0004593F" w:rsidRPr="0004593F" w14:paraId="48A90CD0" w14:textId="77777777" w:rsidTr="00FD4E62">
        <w:trPr>
          <w:trHeight w:val="255"/>
          <w:jc w:val="center"/>
        </w:trPr>
        <w:tc>
          <w:tcPr>
            <w:tcW w:w="1417" w:type="dxa"/>
            <w:vAlign w:val="center"/>
          </w:tcPr>
          <w:p w14:paraId="41898D61"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363200</w:t>
            </w:r>
          </w:p>
        </w:tc>
        <w:tc>
          <w:tcPr>
            <w:tcW w:w="1701" w:type="dxa"/>
            <w:shd w:val="clear" w:color="auto" w:fill="auto"/>
            <w:noWrap/>
            <w:vAlign w:val="center"/>
          </w:tcPr>
          <w:p w14:paraId="5501A9A3"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9 000 000,00</w:t>
            </w:r>
          </w:p>
        </w:tc>
        <w:tc>
          <w:tcPr>
            <w:tcW w:w="1984" w:type="dxa"/>
            <w:shd w:val="clear" w:color="auto" w:fill="auto"/>
            <w:noWrap/>
            <w:vAlign w:val="center"/>
          </w:tcPr>
          <w:p w14:paraId="3BD5C588"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9 691 939,57</w:t>
            </w:r>
          </w:p>
        </w:tc>
        <w:tc>
          <w:tcPr>
            <w:tcW w:w="1984" w:type="dxa"/>
            <w:shd w:val="clear" w:color="auto" w:fill="auto"/>
            <w:noWrap/>
            <w:vAlign w:val="center"/>
          </w:tcPr>
          <w:p w14:paraId="1307BACA"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0,16 %</w:t>
            </w:r>
          </w:p>
        </w:tc>
        <w:tc>
          <w:tcPr>
            <w:tcW w:w="1984" w:type="dxa"/>
            <w:vAlign w:val="center"/>
          </w:tcPr>
          <w:p w14:paraId="2A959CB1"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0,04 %</w:t>
            </w:r>
          </w:p>
        </w:tc>
      </w:tr>
      <w:tr w:rsidR="0004593F" w:rsidRPr="0004593F" w14:paraId="70A13926" w14:textId="77777777" w:rsidTr="00FD4E62">
        <w:trPr>
          <w:trHeight w:val="255"/>
          <w:jc w:val="center"/>
        </w:trPr>
        <w:tc>
          <w:tcPr>
            <w:tcW w:w="1417" w:type="dxa"/>
            <w:vAlign w:val="center"/>
          </w:tcPr>
          <w:p w14:paraId="185D7197" w14:textId="77777777" w:rsidR="0004593F" w:rsidRPr="0004593F" w:rsidRDefault="0004593F" w:rsidP="006E4D88">
            <w:pPr>
              <w:keepNext/>
              <w:spacing w:after="0"/>
              <w:contextualSpacing/>
              <w:jc w:val="center"/>
              <w:rPr>
                <w:rFonts w:eastAsia="Calibri" w:cs="Calibri"/>
                <w:color w:val="000000"/>
                <w:sz w:val="20"/>
                <w:szCs w:val="20"/>
              </w:rPr>
            </w:pPr>
            <w:r w:rsidRPr="0004593F">
              <w:rPr>
                <w:rFonts w:eastAsia="Calibri" w:cs="Calibri"/>
                <w:color w:val="000000"/>
                <w:sz w:val="20"/>
                <w:szCs w:val="20"/>
              </w:rPr>
              <w:t>361500</w:t>
            </w:r>
          </w:p>
        </w:tc>
        <w:tc>
          <w:tcPr>
            <w:tcW w:w="1701" w:type="dxa"/>
            <w:shd w:val="clear" w:color="auto" w:fill="auto"/>
            <w:noWrap/>
            <w:vAlign w:val="center"/>
          </w:tcPr>
          <w:p w14:paraId="53DB6228"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4 500 000,00</w:t>
            </w:r>
          </w:p>
        </w:tc>
        <w:tc>
          <w:tcPr>
            <w:tcW w:w="1984" w:type="dxa"/>
            <w:shd w:val="clear" w:color="auto" w:fill="auto"/>
            <w:noWrap/>
            <w:vAlign w:val="center"/>
          </w:tcPr>
          <w:p w14:paraId="22516A21" w14:textId="77777777" w:rsidR="0004593F" w:rsidRPr="0004593F" w:rsidRDefault="0004593F" w:rsidP="006E4D88">
            <w:pPr>
              <w:keepNext/>
              <w:spacing w:after="0"/>
              <w:contextualSpacing/>
              <w:jc w:val="right"/>
              <w:rPr>
                <w:rFonts w:eastAsia="Calibri" w:cs="Calibri"/>
                <w:color w:val="000000"/>
                <w:sz w:val="20"/>
                <w:szCs w:val="20"/>
              </w:rPr>
            </w:pPr>
            <w:r w:rsidRPr="0004593F">
              <w:rPr>
                <w:rFonts w:eastAsia="Calibri" w:cs="Calibri"/>
                <w:color w:val="000000"/>
                <w:sz w:val="20"/>
                <w:szCs w:val="20"/>
              </w:rPr>
              <w:t>3 711 640,00</w:t>
            </w:r>
          </w:p>
        </w:tc>
        <w:tc>
          <w:tcPr>
            <w:tcW w:w="1984" w:type="dxa"/>
            <w:shd w:val="clear" w:color="auto" w:fill="auto"/>
            <w:noWrap/>
            <w:vAlign w:val="center"/>
          </w:tcPr>
          <w:p w14:paraId="28614669"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0,08 %</w:t>
            </w:r>
          </w:p>
        </w:tc>
        <w:tc>
          <w:tcPr>
            <w:tcW w:w="1984" w:type="dxa"/>
            <w:vAlign w:val="center"/>
          </w:tcPr>
          <w:p w14:paraId="36D6FC7E" w14:textId="77777777" w:rsidR="0004593F" w:rsidRPr="0004593F" w:rsidRDefault="0004593F" w:rsidP="00FD4E62">
            <w:pPr>
              <w:keepNext/>
              <w:spacing w:after="0"/>
              <w:ind w:right="176"/>
              <w:contextualSpacing/>
              <w:jc w:val="right"/>
              <w:rPr>
                <w:rFonts w:eastAsia="Calibri" w:cs="Calibri"/>
                <w:color w:val="000000"/>
                <w:sz w:val="20"/>
                <w:szCs w:val="20"/>
              </w:rPr>
            </w:pPr>
            <w:r w:rsidRPr="0004593F">
              <w:rPr>
                <w:rFonts w:eastAsia="Calibri" w:cs="Calibri"/>
                <w:color w:val="000000"/>
                <w:sz w:val="20"/>
                <w:szCs w:val="20"/>
              </w:rPr>
              <w:t>0,02 %</w:t>
            </w:r>
          </w:p>
        </w:tc>
      </w:tr>
      <w:tr w:rsidR="0004593F" w:rsidRPr="0004593F" w14:paraId="459BE057" w14:textId="77777777" w:rsidTr="00FD4E62">
        <w:trPr>
          <w:trHeight w:val="255"/>
          <w:jc w:val="center"/>
        </w:trPr>
        <w:tc>
          <w:tcPr>
            <w:tcW w:w="1417" w:type="dxa"/>
            <w:shd w:val="clear" w:color="auto" w:fill="F2C6C9"/>
            <w:vAlign w:val="center"/>
          </w:tcPr>
          <w:p w14:paraId="741A5CAA" w14:textId="12797670" w:rsidR="0004593F" w:rsidRPr="0004593F" w:rsidRDefault="0004593F" w:rsidP="006E4D88">
            <w:pPr>
              <w:keepNext/>
              <w:spacing w:after="0"/>
              <w:contextualSpacing/>
              <w:jc w:val="both"/>
              <w:rPr>
                <w:rFonts w:eastAsia="Calibri" w:cs="Calibri"/>
                <w:b/>
                <w:color w:val="000000"/>
                <w:sz w:val="20"/>
                <w:szCs w:val="20"/>
              </w:rPr>
            </w:pPr>
            <w:r w:rsidRPr="0004593F">
              <w:rPr>
                <w:rFonts w:eastAsia="Calibri" w:cs="Calibri"/>
                <w:b/>
                <w:color w:val="000000"/>
                <w:sz w:val="20"/>
                <w:szCs w:val="20"/>
              </w:rPr>
              <w:t>Celkem</w:t>
            </w:r>
          </w:p>
        </w:tc>
        <w:tc>
          <w:tcPr>
            <w:tcW w:w="1701" w:type="dxa"/>
            <w:shd w:val="clear" w:color="auto" w:fill="F2C6C9"/>
            <w:noWrap/>
            <w:vAlign w:val="center"/>
          </w:tcPr>
          <w:p w14:paraId="3261DB52" w14:textId="77777777" w:rsidR="0004593F" w:rsidRPr="0004593F" w:rsidRDefault="0004593F" w:rsidP="006E4D88">
            <w:pPr>
              <w:keepNext/>
              <w:spacing w:after="0"/>
              <w:contextualSpacing/>
              <w:jc w:val="right"/>
              <w:rPr>
                <w:rFonts w:eastAsia="Calibri" w:cs="Calibri"/>
                <w:b/>
                <w:color w:val="000000"/>
                <w:sz w:val="20"/>
                <w:szCs w:val="20"/>
              </w:rPr>
            </w:pPr>
            <w:r w:rsidRPr="0004593F">
              <w:rPr>
                <w:rFonts w:eastAsia="Calibri" w:cs="Calibri"/>
                <w:b/>
                <w:color w:val="000000"/>
                <w:sz w:val="20"/>
                <w:szCs w:val="20"/>
              </w:rPr>
              <w:t>5 611 762 764,00</w:t>
            </w:r>
          </w:p>
        </w:tc>
        <w:tc>
          <w:tcPr>
            <w:tcW w:w="1984" w:type="dxa"/>
            <w:shd w:val="clear" w:color="auto" w:fill="F2C6C9"/>
            <w:noWrap/>
            <w:vAlign w:val="center"/>
          </w:tcPr>
          <w:p w14:paraId="6F27B27A" w14:textId="77777777" w:rsidR="0004593F" w:rsidRPr="0004593F" w:rsidRDefault="0004593F" w:rsidP="006E4D88">
            <w:pPr>
              <w:keepNext/>
              <w:spacing w:after="0"/>
              <w:contextualSpacing/>
              <w:jc w:val="right"/>
              <w:rPr>
                <w:rFonts w:eastAsia="Calibri" w:cs="Calibri"/>
                <w:b/>
                <w:color w:val="000000"/>
                <w:sz w:val="20"/>
                <w:szCs w:val="20"/>
              </w:rPr>
            </w:pPr>
            <w:r w:rsidRPr="0004593F">
              <w:rPr>
                <w:rFonts w:eastAsia="Calibri" w:cs="Calibri"/>
                <w:b/>
                <w:color w:val="000000"/>
                <w:sz w:val="20"/>
                <w:szCs w:val="20"/>
              </w:rPr>
              <w:t>22 088 488 436,90</w:t>
            </w:r>
          </w:p>
        </w:tc>
        <w:tc>
          <w:tcPr>
            <w:tcW w:w="1984" w:type="dxa"/>
            <w:shd w:val="clear" w:color="auto" w:fill="F2C6C9"/>
            <w:noWrap/>
            <w:vAlign w:val="center"/>
          </w:tcPr>
          <w:p w14:paraId="60F6DC6B" w14:textId="77777777" w:rsidR="0004593F" w:rsidRPr="0004593F" w:rsidRDefault="0004593F" w:rsidP="00FD4E62">
            <w:pPr>
              <w:keepNext/>
              <w:spacing w:after="0"/>
              <w:ind w:right="176"/>
              <w:contextualSpacing/>
              <w:jc w:val="right"/>
              <w:rPr>
                <w:rFonts w:eastAsia="Calibri" w:cs="Calibri"/>
                <w:b/>
                <w:color w:val="000000"/>
                <w:sz w:val="20"/>
                <w:szCs w:val="20"/>
              </w:rPr>
            </w:pPr>
            <w:r w:rsidRPr="0004593F">
              <w:rPr>
                <w:rFonts w:eastAsia="Calibri" w:cs="Calibri"/>
                <w:b/>
                <w:color w:val="000000"/>
                <w:sz w:val="20"/>
                <w:szCs w:val="20"/>
              </w:rPr>
              <w:t>100,00 %</w:t>
            </w:r>
          </w:p>
        </w:tc>
        <w:tc>
          <w:tcPr>
            <w:tcW w:w="1984" w:type="dxa"/>
            <w:shd w:val="clear" w:color="auto" w:fill="F2C6C9"/>
            <w:vAlign w:val="center"/>
          </w:tcPr>
          <w:p w14:paraId="7972D680" w14:textId="77777777" w:rsidR="0004593F" w:rsidRPr="0004593F" w:rsidRDefault="0004593F" w:rsidP="00FD4E62">
            <w:pPr>
              <w:keepNext/>
              <w:spacing w:after="0"/>
              <w:ind w:right="176"/>
              <w:contextualSpacing/>
              <w:jc w:val="right"/>
              <w:rPr>
                <w:rFonts w:eastAsia="Calibri" w:cs="Calibri"/>
                <w:b/>
                <w:color w:val="000000"/>
                <w:sz w:val="20"/>
                <w:szCs w:val="20"/>
              </w:rPr>
            </w:pPr>
            <w:r w:rsidRPr="0004593F">
              <w:rPr>
                <w:rFonts w:eastAsia="Calibri" w:cs="Calibri"/>
                <w:b/>
                <w:color w:val="000000"/>
                <w:sz w:val="20"/>
                <w:szCs w:val="20"/>
              </w:rPr>
              <w:t>100,00 %</w:t>
            </w:r>
          </w:p>
        </w:tc>
      </w:tr>
    </w:tbl>
    <w:p w14:paraId="07FA3C8E" w14:textId="77777777" w:rsidR="0004593F" w:rsidRPr="0004593F" w:rsidRDefault="0004593F" w:rsidP="00BF6772">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1B0AECAD" w14:textId="77777777" w:rsidR="00BF6772" w:rsidRPr="00BF6772" w:rsidRDefault="00BF6772" w:rsidP="00BF6772">
      <w:pPr>
        <w:spacing w:after="0"/>
        <w:contextualSpacing/>
        <w:jc w:val="both"/>
        <w:rPr>
          <w:rFonts w:cs="Calibri"/>
          <w:bCs/>
        </w:rPr>
      </w:pPr>
    </w:p>
    <w:p w14:paraId="47DE9D71" w14:textId="0B2D2390" w:rsidR="0004593F" w:rsidRPr="00BF6772" w:rsidRDefault="0004593F" w:rsidP="0004593F">
      <w:pPr>
        <w:spacing w:after="0"/>
        <w:contextualSpacing/>
        <w:jc w:val="both"/>
        <w:rPr>
          <w:rFonts w:cs="Calibri"/>
          <w:bCs/>
        </w:rPr>
      </w:pPr>
      <w:r w:rsidRPr="00BF6772">
        <w:rPr>
          <w:rFonts w:cs="Calibri"/>
        </w:rPr>
        <w:t xml:space="preserve">Ve struktuře výdajů MMR za rok 2018 z hlediska odvětvového třídění se </w:t>
      </w:r>
      <w:r w:rsidRPr="00BF6772">
        <w:rPr>
          <w:rFonts w:cs="Calibri"/>
          <w:b/>
        </w:rPr>
        <w:t>pozitivně projevilo přijaté opatření k nápravě zjištění NKÚ z KA č. 17/08</w:t>
      </w:r>
      <w:r w:rsidRPr="00C33752">
        <w:rPr>
          <w:rFonts w:cs="Calibri"/>
          <w:b/>
        </w:rPr>
        <w:t>.</w:t>
      </w:r>
      <w:r w:rsidRPr="00BF6772">
        <w:rPr>
          <w:rFonts w:cs="Calibri"/>
        </w:rPr>
        <w:t xml:space="preserve"> </w:t>
      </w:r>
      <w:r w:rsidRPr="00BF6772">
        <w:rPr>
          <w:rFonts w:cs="Calibri"/>
          <w:bCs/>
        </w:rPr>
        <w:t xml:space="preserve">MMR výdaje z titulu poskytnutí dotace ve prospěch národních subjektů, a tedy výdaje nesouvisející s příspěvky mezinárodním organizacím, s mezinárodními semináři a podobnými akcemi mezinárodní spolupráce již správně klasifikuje zejména paragrafem 3636 – </w:t>
      </w:r>
      <w:r w:rsidRPr="00BF6772">
        <w:rPr>
          <w:rFonts w:cs="Calibri"/>
          <w:bCs/>
          <w:i/>
        </w:rPr>
        <w:t>Územní rozvoj</w:t>
      </w:r>
      <w:r w:rsidRPr="00BF6772">
        <w:rPr>
          <w:rFonts w:cs="Calibri"/>
          <w:bCs/>
        </w:rPr>
        <w:t xml:space="preserve"> namísto paragrafem </w:t>
      </w:r>
      <w:r w:rsidR="00B97C4B">
        <w:rPr>
          <w:rFonts w:cs="Calibri"/>
          <w:bCs/>
        </w:rPr>
        <w:br/>
      </w:r>
      <w:r w:rsidRPr="00BF6772">
        <w:rPr>
          <w:rFonts w:cs="Calibri"/>
          <w:bCs/>
        </w:rPr>
        <w:t xml:space="preserve">3691 – </w:t>
      </w:r>
      <w:r w:rsidRPr="00BF6772">
        <w:rPr>
          <w:rFonts w:cs="Calibri"/>
          <w:bCs/>
          <w:i/>
        </w:rPr>
        <w:t>Mezinárodní spolupráce v oblasti bydlení, komunálních služeb a územního rozvoje</w:t>
      </w:r>
      <w:r w:rsidRPr="00BF6772">
        <w:rPr>
          <w:rFonts w:cs="Calibri"/>
          <w:bCs/>
        </w:rPr>
        <w:t>.</w:t>
      </w:r>
    </w:p>
    <w:p w14:paraId="424ACA2C" w14:textId="602A382A" w:rsidR="0004593F" w:rsidRDefault="0004593F" w:rsidP="0004593F">
      <w:pPr>
        <w:spacing w:after="0"/>
        <w:contextualSpacing/>
        <w:jc w:val="both"/>
        <w:rPr>
          <w:rFonts w:cs="Calibri"/>
          <w:bCs/>
        </w:rPr>
      </w:pPr>
    </w:p>
    <w:p w14:paraId="4EB98530" w14:textId="77777777" w:rsidR="00BF6772" w:rsidRPr="00BF6772" w:rsidRDefault="00BF6772" w:rsidP="0004593F">
      <w:pPr>
        <w:spacing w:after="0"/>
        <w:contextualSpacing/>
        <w:jc w:val="both"/>
        <w:rPr>
          <w:rFonts w:cs="Calibri"/>
          <w:bCs/>
        </w:rPr>
      </w:pPr>
    </w:p>
    <w:p w14:paraId="3DA5BED5" w14:textId="180CD0C1" w:rsidR="0004593F" w:rsidRPr="00BF6772" w:rsidRDefault="001E7D4B" w:rsidP="001E7D4B">
      <w:pPr>
        <w:spacing w:after="0"/>
        <w:contextualSpacing/>
        <w:outlineLvl w:val="0"/>
        <w:rPr>
          <w:rFonts w:eastAsia="Calibri" w:cs="Calibri"/>
          <w:b/>
        </w:rPr>
      </w:pPr>
      <w:r>
        <w:rPr>
          <w:rFonts w:eastAsia="Calibri" w:cs="Calibri"/>
          <w:b/>
        </w:rPr>
        <w:t xml:space="preserve">B. </w:t>
      </w:r>
      <w:r w:rsidR="0004593F" w:rsidRPr="00BF6772">
        <w:rPr>
          <w:rFonts w:eastAsia="Calibri" w:cs="Calibri"/>
          <w:b/>
        </w:rPr>
        <w:t>Příspěvkové organizace v rozpočtové kapitole 317 MMR</w:t>
      </w:r>
    </w:p>
    <w:p w14:paraId="75B8DF23" w14:textId="77777777" w:rsidR="00B4738C" w:rsidRPr="00BF6772" w:rsidRDefault="00B4738C" w:rsidP="00B4738C">
      <w:pPr>
        <w:spacing w:after="0"/>
        <w:contextualSpacing/>
        <w:outlineLvl w:val="0"/>
        <w:rPr>
          <w:rFonts w:eastAsia="Calibri" w:cs="Calibri"/>
        </w:rPr>
      </w:pPr>
    </w:p>
    <w:p w14:paraId="1A96C9B9" w14:textId="6F984919" w:rsidR="0004593F" w:rsidRPr="00BF6772" w:rsidRDefault="0004593F" w:rsidP="00BF6772">
      <w:pPr>
        <w:spacing w:after="40"/>
        <w:rPr>
          <w:rFonts w:cs="Calibri"/>
          <w:b/>
          <w:iCs/>
        </w:rPr>
      </w:pPr>
      <w:bookmarkStart w:id="84" w:name="_Toc520714346"/>
      <w:bookmarkStart w:id="85" w:name="_Toc8984553"/>
      <w:bookmarkStart w:id="86" w:name="_Toc33100928"/>
      <w:r w:rsidRPr="00BF6772">
        <w:rPr>
          <w:rFonts w:cs="Calibri"/>
          <w:b/>
          <w:iCs/>
        </w:rPr>
        <w:t xml:space="preserve">Tabulka č. </w:t>
      </w:r>
      <w:r w:rsidRPr="00BF6772">
        <w:rPr>
          <w:rFonts w:cs="Calibri"/>
          <w:b/>
          <w:iCs/>
        </w:rPr>
        <w:fldChar w:fldCharType="begin"/>
      </w:r>
      <w:r w:rsidRPr="00BF6772">
        <w:rPr>
          <w:rFonts w:cs="Calibri"/>
          <w:b/>
          <w:iCs/>
        </w:rPr>
        <w:instrText xml:space="preserve"> SEQ Tabulka \* ARABIC </w:instrText>
      </w:r>
      <w:r w:rsidRPr="00BF6772">
        <w:rPr>
          <w:rFonts w:cs="Calibri"/>
          <w:b/>
          <w:iCs/>
        </w:rPr>
        <w:fldChar w:fldCharType="separate"/>
      </w:r>
      <w:r w:rsidR="00015BEA">
        <w:rPr>
          <w:rFonts w:cs="Calibri"/>
          <w:b/>
          <w:iCs/>
          <w:noProof/>
        </w:rPr>
        <w:t>21</w:t>
      </w:r>
      <w:r w:rsidRPr="00BF6772">
        <w:rPr>
          <w:rFonts w:cs="Calibri"/>
          <w:b/>
          <w:iCs/>
        </w:rPr>
        <w:fldChar w:fldCharType="end"/>
      </w:r>
      <w:r w:rsidRPr="00BF6772">
        <w:rPr>
          <w:rFonts w:cs="Calibri"/>
          <w:b/>
          <w:iCs/>
        </w:rPr>
        <w:t>: PO v rámci kapitoly 317</w:t>
      </w:r>
      <w:bookmarkEnd w:id="84"/>
      <w:bookmarkEnd w:id="85"/>
      <w:bookmarkEnd w:id="86"/>
      <w:r w:rsidRPr="00BF6772">
        <w:rPr>
          <w:rFonts w:cs="Calibri"/>
          <w:b/>
          <w:iCs/>
        </w:rPr>
        <w:t xml:space="preserve"> MMR</w:t>
      </w:r>
    </w:p>
    <w:tbl>
      <w:tblPr>
        <w:tblW w:w="9071" w:type="dxa"/>
        <w:jc w:val="center"/>
        <w:tblLayout w:type="fixed"/>
        <w:tblCellMar>
          <w:left w:w="70" w:type="dxa"/>
          <w:right w:w="70" w:type="dxa"/>
        </w:tblCellMar>
        <w:tblLook w:val="04A0" w:firstRow="1" w:lastRow="0" w:firstColumn="1" w:lastColumn="0" w:noHBand="0" w:noVBand="1"/>
      </w:tblPr>
      <w:tblGrid>
        <w:gridCol w:w="2268"/>
        <w:gridCol w:w="6803"/>
      </w:tblGrid>
      <w:tr w:rsidR="00BF6772" w:rsidRPr="0004593F" w14:paraId="0714AFA4" w14:textId="77777777" w:rsidTr="00BF6772">
        <w:trPr>
          <w:trHeight w:val="255"/>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5C5779B"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IČO</w:t>
            </w:r>
          </w:p>
        </w:tc>
        <w:tc>
          <w:tcPr>
            <w:tcW w:w="6803" w:type="dxa"/>
            <w:tcBorders>
              <w:top w:val="single" w:sz="4" w:space="0" w:color="auto"/>
              <w:left w:val="nil"/>
              <w:bottom w:val="single" w:sz="4" w:space="0" w:color="auto"/>
              <w:right w:val="single" w:sz="4" w:space="0" w:color="auto"/>
            </w:tcBorders>
            <w:shd w:val="clear" w:color="auto" w:fill="E5F1FF"/>
            <w:noWrap/>
            <w:vAlign w:val="center"/>
            <w:hideMark/>
          </w:tcPr>
          <w:p w14:paraId="238A2E08"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Účetní jednotka</w:t>
            </w:r>
          </w:p>
        </w:tc>
      </w:tr>
      <w:tr w:rsidR="00BF6772" w:rsidRPr="0004593F" w14:paraId="60235DA0" w14:textId="77777777" w:rsidTr="00BF6772">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2EC09" w14:textId="77777777" w:rsidR="0004593F" w:rsidRPr="0004593F" w:rsidRDefault="0004593F" w:rsidP="0004593F">
            <w:pPr>
              <w:spacing w:after="0"/>
              <w:contextualSpacing/>
              <w:rPr>
                <w:rFonts w:eastAsia="Calibri" w:cs="Calibri"/>
                <w:color w:val="000000"/>
                <w:sz w:val="20"/>
                <w:szCs w:val="20"/>
              </w:rPr>
            </w:pPr>
            <w:r w:rsidRPr="0004593F">
              <w:rPr>
                <w:rFonts w:eastAsia="Calibri" w:cs="Calibri"/>
                <w:color w:val="000000"/>
                <w:sz w:val="20"/>
                <w:szCs w:val="20"/>
              </w:rPr>
              <w:t>04095316</w:t>
            </w:r>
          </w:p>
        </w:tc>
        <w:tc>
          <w:tcPr>
            <w:tcW w:w="6803" w:type="dxa"/>
            <w:tcBorders>
              <w:top w:val="single" w:sz="4" w:space="0" w:color="auto"/>
              <w:left w:val="nil"/>
              <w:bottom w:val="single" w:sz="4" w:space="0" w:color="auto"/>
              <w:right w:val="single" w:sz="4" w:space="0" w:color="auto"/>
            </w:tcBorders>
            <w:shd w:val="clear" w:color="auto" w:fill="auto"/>
            <w:noWrap/>
            <w:vAlign w:val="center"/>
          </w:tcPr>
          <w:p w14:paraId="6845FDB8" w14:textId="77777777" w:rsidR="0004593F" w:rsidRPr="0004593F" w:rsidRDefault="0004593F" w:rsidP="0004593F">
            <w:pPr>
              <w:spacing w:after="0"/>
              <w:contextualSpacing/>
              <w:rPr>
                <w:rFonts w:eastAsia="Calibri" w:cs="Calibri"/>
                <w:color w:val="000000"/>
                <w:sz w:val="20"/>
                <w:szCs w:val="20"/>
              </w:rPr>
            </w:pPr>
            <w:r w:rsidRPr="0004593F">
              <w:rPr>
                <w:rFonts w:eastAsia="Calibri" w:cs="Calibri"/>
                <w:color w:val="000000"/>
                <w:sz w:val="20"/>
                <w:szCs w:val="20"/>
              </w:rPr>
              <w:t>Centrum pro regionální rozvoj České republiky</w:t>
            </w:r>
          </w:p>
        </w:tc>
      </w:tr>
      <w:tr w:rsidR="00BF6772" w:rsidRPr="0004593F" w14:paraId="02A4D584" w14:textId="77777777" w:rsidTr="00BF6772">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9E8A" w14:textId="77777777" w:rsidR="0004593F" w:rsidRPr="0004593F" w:rsidRDefault="0004593F" w:rsidP="0004593F">
            <w:pPr>
              <w:spacing w:after="0"/>
              <w:contextualSpacing/>
              <w:rPr>
                <w:rFonts w:eastAsia="Calibri" w:cs="Calibri"/>
                <w:color w:val="000000"/>
                <w:sz w:val="20"/>
                <w:szCs w:val="20"/>
              </w:rPr>
            </w:pPr>
            <w:r w:rsidRPr="0004593F">
              <w:rPr>
                <w:rFonts w:eastAsia="Calibri" w:cs="Calibri"/>
                <w:color w:val="000000"/>
                <w:sz w:val="20"/>
                <w:szCs w:val="20"/>
              </w:rPr>
              <w:t>65993870</w:t>
            </w:r>
          </w:p>
        </w:tc>
        <w:tc>
          <w:tcPr>
            <w:tcW w:w="6803" w:type="dxa"/>
            <w:tcBorders>
              <w:top w:val="single" w:sz="4" w:space="0" w:color="auto"/>
              <w:left w:val="nil"/>
              <w:bottom w:val="single" w:sz="4" w:space="0" w:color="auto"/>
              <w:right w:val="single" w:sz="4" w:space="0" w:color="auto"/>
            </w:tcBorders>
            <w:shd w:val="clear" w:color="auto" w:fill="auto"/>
            <w:noWrap/>
            <w:vAlign w:val="center"/>
          </w:tcPr>
          <w:p w14:paraId="698DDEAF" w14:textId="77777777" w:rsidR="0004593F" w:rsidRPr="0004593F" w:rsidRDefault="0004593F" w:rsidP="0004593F">
            <w:pPr>
              <w:spacing w:after="0"/>
              <w:contextualSpacing/>
              <w:rPr>
                <w:rFonts w:eastAsia="Calibri" w:cs="Calibri"/>
                <w:color w:val="000000"/>
                <w:sz w:val="20"/>
                <w:szCs w:val="20"/>
              </w:rPr>
            </w:pPr>
            <w:r w:rsidRPr="0004593F">
              <w:rPr>
                <w:rFonts w:eastAsia="Calibri" w:cs="Calibri"/>
                <w:color w:val="000000"/>
                <w:sz w:val="20"/>
                <w:szCs w:val="20"/>
              </w:rPr>
              <w:t>Centrum pro regionální rozvoj ČR</w:t>
            </w:r>
          </w:p>
        </w:tc>
      </w:tr>
      <w:tr w:rsidR="00BF6772" w:rsidRPr="0004593F" w14:paraId="33673DB4" w14:textId="77777777" w:rsidTr="00BF6772">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FD8B0" w14:textId="77777777" w:rsidR="0004593F" w:rsidRPr="0004593F" w:rsidRDefault="0004593F" w:rsidP="0004593F">
            <w:pPr>
              <w:spacing w:after="0"/>
              <w:contextualSpacing/>
              <w:rPr>
                <w:rFonts w:eastAsia="Calibri" w:cs="Calibri"/>
                <w:color w:val="000000"/>
                <w:sz w:val="20"/>
                <w:szCs w:val="20"/>
              </w:rPr>
            </w:pPr>
            <w:r w:rsidRPr="0004593F">
              <w:rPr>
                <w:rFonts w:eastAsia="Calibri" w:cs="Calibri"/>
                <w:color w:val="000000"/>
                <w:sz w:val="20"/>
                <w:szCs w:val="20"/>
              </w:rPr>
              <w:t>49277600</w:t>
            </w:r>
          </w:p>
        </w:tc>
        <w:tc>
          <w:tcPr>
            <w:tcW w:w="6803" w:type="dxa"/>
            <w:tcBorders>
              <w:top w:val="single" w:sz="4" w:space="0" w:color="auto"/>
              <w:left w:val="nil"/>
              <w:bottom w:val="single" w:sz="4" w:space="0" w:color="auto"/>
              <w:right w:val="single" w:sz="4" w:space="0" w:color="auto"/>
            </w:tcBorders>
            <w:shd w:val="clear" w:color="auto" w:fill="auto"/>
            <w:noWrap/>
            <w:vAlign w:val="center"/>
          </w:tcPr>
          <w:p w14:paraId="77488019" w14:textId="77777777" w:rsidR="0004593F" w:rsidRPr="0004593F" w:rsidRDefault="0004593F" w:rsidP="0004593F">
            <w:pPr>
              <w:spacing w:after="0"/>
              <w:contextualSpacing/>
              <w:rPr>
                <w:rFonts w:eastAsia="Calibri" w:cs="Calibri"/>
                <w:color w:val="000000"/>
                <w:sz w:val="20"/>
                <w:szCs w:val="20"/>
              </w:rPr>
            </w:pPr>
            <w:r w:rsidRPr="0004593F">
              <w:rPr>
                <w:rFonts w:eastAsia="Calibri" w:cs="Calibri"/>
                <w:color w:val="000000"/>
                <w:sz w:val="20"/>
                <w:szCs w:val="20"/>
              </w:rPr>
              <w:t>Česká centrála cestovního ruchu</w:t>
            </w:r>
          </w:p>
        </w:tc>
      </w:tr>
    </w:tbl>
    <w:p w14:paraId="1AB6EC0C" w14:textId="617D1ABC" w:rsidR="0004593F" w:rsidRDefault="0004593F" w:rsidP="00BF6772">
      <w:pPr>
        <w:spacing w:before="40" w:after="0"/>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17777E95" w14:textId="77777777" w:rsidR="00BF6772" w:rsidRPr="00BF6772" w:rsidRDefault="00BF6772" w:rsidP="0004593F">
      <w:pPr>
        <w:spacing w:after="0"/>
        <w:contextualSpacing/>
        <w:rPr>
          <w:rFonts w:cs="Calibri"/>
          <w:color w:val="000000"/>
          <w:lang w:eastAsia="cs-CZ"/>
        </w:rPr>
      </w:pPr>
    </w:p>
    <w:p w14:paraId="768A5109" w14:textId="5D2E942E" w:rsidR="0004593F" w:rsidRPr="00BF6772" w:rsidRDefault="0004593F" w:rsidP="00BF6772">
      <w:pPr>
        <w:tabs>
          <w:tab w:val="right" w:pos="9070"/>
        </w:tabs>
        <w:spacing w:after="40"/>
        <w:rPr>
          <w:rFonts w:cs="Calibri"/>
          <w:b/>
          <w:iCs/>
        </w:rPr>
      </w:pPr>
      <w:bookmarkStart w:id="87" w:name="_Toc520714347"/>
      <w:bookmarkStart w:id="88" w:name="_Toc8984554"/>
      <w:bookmarkStart w:id="89" w:name="_Toc33100929"/>
      <w:r w:rsidRPr="00BF6772">
        <w:rPr>
          <w:rFonts w:cs="Calibri"/>
          <w:b/>
          <w:iCs/>
        </w:rPr>
        <w:t xml:space="preserve">Tabulka č. </w:t>
      </w:r>
      <w:r w:rsidRPr="00BF6772">
        <w:rPr>
          <w:rFonts w:cs="Calibri"/>
          <w:b/>
          <w:iCs/>
        </w:rPr>
        <w:fldChar w:fldCharType="begin"/>
      </w:r>
      <w:r w:rsidRPr="00BF6772">
        <w:rPr>
          <w:rFonts w:cs="Calibri"/>
          <w:b/>
          <w:iCs/>
        </w:rPr>
        <w:instrText xml:space="preserve"> SEQ Tabulka \* ARABIC </w:instrText>
      </w:r>
      <w:r w:rsidRPr="00BF6772">
        <w:rPr>
          <w:rFonts w:cs="Calibri"/>
          <w:b/>
          <w:iCs/>
        </w:rPr>
        <w:fldChar w:fldCharType="separate"/>
      </w:r>
      <w:r w:rsidR="00015BEA">
        <w:rPr>
          <w:rFonts w:cs="Calibri"/>
          <w:b/>
          <w:iCs/>
          <w:noProof/>
        </w:rPr>
        <w:t>22</w:t>
      </w:r>
      <w:r w:rsidRPr="00BF6772">
        <w:rPr>
          <w:rFonts w:cs="Calibri"/>
          <w:b/>
          <w:iCs/>
        </w:rPr>
        <w:fldChar w:fldCharType="end"/>
      </w:r>
      <w:r w:rsidRPr="00BF6772">
        <w:rPr>
          <w:rFonts w:cs="Calibri"/>
          <w:b/>
          <w:iCs/>
        </w:rPr>
        <w:t>: Celkové výnosy OSS a PO v kapitole 317</w:t>
      </w:r>
      <w:r w:rsidR="00C21FB6">
        <w:rPr>
          <w:rFonts w:cs="Calibri"/>
          <w:b/>
          <w:iCs/>
        </w:rPr>
        <w:t> MMR</w:t>
      </w:r>
      <w:r w:rsidRPr="00BF6772">
        <w:rPr>
          <w:rFonts w:cs="Calibri"/>
          <w:b/>
          <w:iCs/>
        </w:rPr>
        <w:t xml:space="preserve"> za období 2014–2018 </w:t>
      </w:r>
      <w:r w:rsidRPr="00BF6772">
        <w:rPr>
          <w:rFonts w:cs="Calibri"/>
          <w:b/>
          <w:iCs/>
        </w:rPr>
        <w:tab/>
        <w:t>(v</w:t>
      </w:r>
      <w:r w:rsidR="00C21FB6">
        <w:rPr>
          <w:rFonts w:cs="Calibri"/>
          <w:b/>
          <w:iCs/>
        </w:rPr>
        <w:t> </w:t>
      </w:r>
      <w:r w:rsidRPr="00BF6772">
        <w:rPr>
          <w:rFonts w:cs="Calibri"/>
          <w:b/>
          <w:iCs/>
        </w:rPr>
        <w:t>Kč)</w:t>
      </w:r>
      <w:bookmarkEnd w:id="87"/>
      <w:bookmarkEnd w:id="88"/>
      <w:bookmarkEnd w:id="89"/>
    </w:p>
    <w:tbl>
      <w:tblPr>
        <w:tblW w:w="9167" w:type="dxa"/>
        <w:tblLayout w:type="fixed"/>
        <w:tblCellMar>
          <w:left w:w="70" w:type="dxa"/>
          <w:right w:w="70" w:type="dxa"/>
        </w:tblCellMar>
        <w:tblLook w:val="04A0" w:firstRow="1" w:lastRow="0" w:firstColumn="1" w:lastColumn="0" w:noHBand="0" w:noVBand="1"/>
      </w:tblPr>
      <w:tblGrid>
        <w:gridCol w:w="1077"/>
        <w:gridCol w:w="1644"/>
        <w:gridCol w:w="1644"/>
        <w:gridCol w:w="1644"/>
        <w:gridCol w:w="1542"/>
        <w:gridCol w:w="1616"/>
      </w:tblGrid>
      <w:tr w:rsidR="0004593F" w:rsidRPr="0004593F" w14:paraId="2F788C1B" w14:textId="77777777" w:rsidTr="00B55890">
        <w:trPr>
          <w:trHeight w:val="255"/>
        </w:trPr>
        <w:tc>
          <w:tcPr>
            <w:tcW w:w="1077"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353CDD1" w14:textId="77777777" w:rsidR="0004593F" w:rsidRPr="0004593F" w:rsidRDefault="0004593F" w:rsidP="00B55890">
            <w:pPr>
              <w:spacing w:after="0"/>
              <w:contextualSpacing/>
              <w:rPr>
                <w:rFonts w:cs="Calibri"/>
                <w:b/>
                <w:bCs/>
                <w:color w:val="000000"/>
                <w:sz w:val="20"/>
                <w:szCs w:val="20"/>
                <w:lang w:eastAsia="cs-CZ"/>
              </w:rPr>
            </w:pPr>
            <w:r w:rsidRPr="0004593F">
              <w:rPr>
                <w:rFonts w:cs="Calibri"/>
                <w:b/>
                <w:bCs/>
                <w:color w:val="000000"/>
                <w:sz w:val="20"/>
                <w:szCs w:val="20"/>
                <w:lang w:eastAsia="cs-CZ"/>
              </w:rPr>
              <w:t>Organizace</w:t>
            </w:r>
          </w:p>
        </w:tc>
        <w:tc>
          <w:tcPr>
            <w:tcW w:w="1644" w:type="dxa"/>
            <w:tcBorders>
              <w:top w:val="single" w:sz="4" w:space="0" w:color="auto"/>
              <w:left w:val="nil"/>
              <w:bottom w:val="single" w:sz="4" w:space="0" w:color="auto"/>
              <w:right w:val="single" w:sz="4" w:space="0" w:color="auto"/>
            </w:tcBorders>
            <w:shd w:val="clear" w:color="auto" w:fill="E5F1FF"/>
            <w:noWrap/>
            <w:vAlign w:val="center"/>
            <w:hideMark/>
          </w:tcPr>
          <w:p w14:paraId="310B9508"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1644" w:type="dxa"/>
            <w:tcBorders>
              <w:top w:val="single" w:sz="4" w:space="0" w:color="auto"/>
              <w:left w:val="nil"/>
              <w:bottom w:val="single" w:sz="4" w:space="0" w:color="auto"/>
              <w:right w:val="single" w:sz="4" w:space="0" w:color="auto"/>
            </w:tcBorders>
            <w:shd w:val="clear" w:color="auto" w:fill="E5F1FF"/>
            <w:noWrap/>
            <w:vAlign w:val="center"/>
            <w:hideMark/>
          </w:tcPr>
          <w:p w14:paraId="24612009"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1644" w:type="dxa"/>
            <w:tcBorders>
              <w:top w:val="single" w:sz="4" w:space="0" w:color="auto"/>
              <w:left w:val="nil"/>
              <w:bottom w:val="single" w:sz="4" w:space="0" w:color="auto"/>
              <w:right w:val="single" w:sz="4" w:space="0" w:color="auto"/>
            </w:tcBorders>
            <w:shd w:val="clear" w:color="auto" w:fill="E5F1FF"/>
            <w:noWrap/>
            <w:vAlign w:val="center"/>
            <w:hideMark/>
          </w:tcPr>
          <w:p w14:paraId="3D16C1BA"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1542" w:type="dxa"/>
            <w:tcBorders>
              <w:top w:val="single" w:sz="4" w:space="0" w:color="auto"/>
              <w:left w:val="nil"/>
              <w:bottom w:val="single" w:sz="4" w:space="0" w:color="auto"/>
              <w:right w:val="single" w:sz="4" w:space="0" w:color="auto"/>
            </w:tcBorders>
            <w:shd w:val="clear" w:color="auto" w:fill="E5F1FF"/>
            <w:noWrap/>
            <w:vAlign w:val="center"/>
            <w:hideMark/>
          </w:tcPr>
          <w:p w14:paraId="2D12C8D9"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1616" w:type="dxa"/>
            <w:tcBorders>
              <w:top w:val="single" w:sz="4" w:space="0" w:color="auto"/>
              <w:left w:val="nil"/>
              <w:bottom w:val="single" w:sz="4" w:space="0" w:color="auto"/>
              <w:right w:val="single" w:sz="4" w:space="0" w:color="auto"/>
            </w:tcBorders>
            <w:shd w:val="clear" w:color="auto" w:fill="E5F1FF"/>
          </w:tcPr>
          <w:p w14:paraId="44B00339"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6B7DABC4" w14:textId="77777777" w:rsidTr="00B55890">
        <w:trPr>
          <w:trHeight w:val="255"/>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3EA3BEF3" w14:textId="77777777" w:rsidR="0004593F" w:rsidRPr="0004593F" w:rsidRDefault="0004593F" w:rsidP="00B55890">
            <w:pPr>
              <w:spacing w:after="0"/>
              <w:contextualSpacing/>
              <w:rPr>
                <w:rFonts w:eastAsia="Calibri" w:cs="Calibri"/>
                <w:color w:val="000000"/>
                <w:sz w:val="20"/>
                <w:szCs w:val="20"/>
              </w:rPr>
            </w:pPr>
            <w:r w:rsidRPr="0004593F">
              <w:rPr>
                <w:rFonts w:eastAsia="Calibri" w:cs="Calibri"/>
                <w:color w:val="000000"/>
                <w:sz w:val="20"/>
                <w:szCs w:val="20"/>
              </w:rPr>
              <w:t>OSS bez MMR</w:t>
            </w:r>
          </w:p>
        </w:tc>
        <w:tc>
          <w:tcPr>
            <w:tcW w:w="1644" w:type="dxa"/>
            <w:tcBorders>
              <w:top w:val="nil"/>
              <w:left w:val="nil"/>
              <w:bottom w:val="single" w:sz="4" w:space="0" w:color="auto"/>
              <w:right w:val="single" w:sz="4" w:space="0" w:color="auto"/>
            </w:tcBorders>
            <w:shd w:val="clear" w:color="auto" w:fill="auto"/>
            <w:noWrap/>
            <w:vAlign w:val="center"/>
          </w:tcPr>
          <w:p w14:paraId="2AE153A2"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2 337 983,83</w:t>
            </w:r>
          </w:p>
        </w:tc>
        <w:tc>
          <w:tcPr>
            <w:tcW w:w="1644" w:type="dxa"/>
            <w:tcBorders>
              <w:top w:val="nil"/>
              <w:left w:val="nil"/>
              <w:bottom w:val="single" w:sz="4" w:space="0" w:color="auto"/>
              <w:right w:val="single" w:sz="4" w:space="0" w:color="auto"/>
            </w:tcBorders>
            <w:shd w:val="clear" w:color="auto" w:fill="auto"/>
            <w:noWrap/>
            <w:vAlign w:val="center"/>
          </w:tcPr>
          <w:p w14:paraId="21524226"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1 973 407,45</w:t>
            </w:r>
          </w:p>
        </w:tc>
        <w:tc>
          <w:tcPr>
            <w:tcW w:w="1644" w:type="dxa"/>
            <w:tcBorders>
              <w:top w:val="nil"/>
              <w:left w:val="nil"/>
              <w:bottom w:val="single" w:sz="4" w:space="0" w:color="auto"/>
              <w:right w:val="single" w:sz="4" w:space="0" w:color="auto"/>
            </w:tcBorders>
            <w:shd w:val="clear" w:color="auto" w:fill="auto"/>
            <w:noWrap/>
            <w:vAlign w:val="center"/>
          </w:tcPr>
          <w:p w14:paraId="6BC06C8A"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2 153 052,79</w:t>
            </w:r>
          </w:p>
        </w:tc>
        <w:tc>
          <w:tcPr>
            <w:tcW w:w="1542" w:type="dxa"/>
            <w:tcBorders>
              <w:top w:val="nil"/>
              <w:left w:val="nil"/>
              <w:bottom w:val="single" w:sz="4" w:space="0" w:color="auto"/>
              <w:right w:val="single" w:sz="4" w:space="0" w:color="auto"/>
            </w:tcBorders>
            <w:shd w:val="clear" w:color="auto" w:fill="auto"/>
            <w:noWrap/>
            <w:vAlign w:val="center"/>
          </w:tcPr>
          <w:p w14:paraId="5010E7F0"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2 938 516,26</w:t>
            </w:r>
          </w:p>
        </w:tc>
        <w:tc>
          <w:tcPr>
            <w:tcW w:w="1616" w:type="dxa"/>
            <w:tcBorders>
              <w:top w:val="nil"/>
              <w:left w:val="nil"/>
              <w:bottom w:val="single" w:sz="4" w:space="0" w:color="auto"/>
              <w:right w:val="single" w:sz="4" w:space="0" w:color="auto"/>
            </w:tcBorders>
            <w:vAlign w:val="center"/>
          </w:tcPr>
          <w:p w14:paraId="339EBB21"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6 651 766,83</w:t>
            </w:r>
          </w:p>
        </w:tc>
      </w:tr>
      <w:tr w:rsidR="0004593F" w:rsidRPr="0004593F" w14:paraId="73A18736" w14:textId="77777777" w:rsidTr="00B55890">
        <w:trPr>
          <w:trHeight w:val="255"/>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362AE" w14:textId="77777777" w:rsidR="0004593F" w:rsidRPr="0004593F" w:rsidRDefault="0004593F" w:rsidP="00B55890">
            <w:pPr>
              <w:spacing w:after="0"/>
              <w:contextualSpacing/>
              <w:rPr>
                <w:rFonts w:eastAsia="Calibri" w:cs="Calibri"/>
                <w:color w:val="000000"/>
                <w:sz w:val="20"/>
                <w:szCs w:val="20"/>
              </w:rPr>
            </w:pPr>
            <w:r w:rsidRPr="0004593F">
              <w:rPr>
                <w:rFonts w:eastAsia="Calibri" w:cs="Calibri"/>
                <w:color w:val="000000"/>
                <w:sz w:val="20"/>
                <w:szCs w:val="20"/>
              </w:rPr>
              <w:t>MMR</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015D9D62"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18 798 718 760,80</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F6B68DA"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24 455 415 530,10</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6A27280"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17 314 439 643,98</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310F6EE5"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4 261 277 557,16</w:t>
            </w:r>
          </w:p>
        </w:tc>
        <w:tc>
          <w:tcPr>
            <w:tcW w:w="1616" w:type="dxa"/>
            <w:tcBorders>
              <w:top w:val="single" w:sz="4" w:space="0" w:color="auto"/>
              <w:left w:val="nil"/>
              <w:bottom w:val="single" w:sz="4" w:space="0" w:color="auto"/>
              <w:right w:val="single" w:sz="4" w:space="0" w:color="auto"/>
            </w:tcBorders>
            <w:vAlign w:val="center"/>
          </w:tcPr>
          <w:p w14:paraId="381E0B3A"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18 445 477 243,67</w:t>
            </w:r>
          </w:p>
        </w:tc>
      </w:tr>
      <w:tr w:rsidR="0004593F" w:rsidRPr="0004593F" w14:paraId="6620E2DC" w14:textId="77777777" w:rsidTr="00B55890">
        <w:trPr>
          <w:trHeight w:val="255"/>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D05FA" w14:textId="77777777" w:rsidR="0004593F" w:rsidRPr="0004593F" w:rsidRDefault="0004593F" w:rsidP="00B55890">
            <w:pPr>
              <w:spacing w:after="0"/>
              <w:contextualSpacing/>
              <w:rPr>
                <w:rFonts w:eastAsia="Calibri" w:cs="Calibri"/>
                <w:color w:val="000000"/>
                <w:sz w:val="20"/>
                <w:szCs w:val="20"/>
              </w:rPr>
            </w:pPr>
            <w:r w:rsidRPr="0004593F">
              <w:rPr>
                <w:rFonts w:eastAsia="Calibri" w:cs="Calibri"/>
                <w:color w:val="000000"/>
                <w:sz w:val="20"/>
                <w:szCs w:val="20"/>
              </w:rPr>
              <w:t>PO</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26AF5E7"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1 024 440 916,78</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6C686D97"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700 732 090,95</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D412F6A"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774 122 443,77</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48C4F58F"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912 360 556,50</w:t>
            </w:r>
          </w:p>
        </w:tc>
        <w:tc>
          <w:tcPr>
            <w:tcW w:w="1616" w:type="dxa"/>
            <w:tcBorders>
              <w:top w:val="single" w:sz="4" w:space="0" w:color="auto"/>
              <w:left w:val="nil"/>
              <w:bottom w:val="single" w:sz="4" w:space="0" w:color="auto"/>
              <w:right w:val="single" w:sz="4" w:space="0" w:color="auto"/>
            </w:tcBorders>
            <w:vAlign w:val="center"/>
          </w:tcPr>
          <w:p w14:paraId="470D591F" w14:textId="77777777" w:rsidR="0004593F" w:rsidRPr="0004593F" w:rsidRDefault="0004593F" w:rsidP="00B55890">
            <w:pPr>
              <w:spacing w:after="0"/>
              <w:ind w:left="-57"/>
              <w:contextualSpacing/>
              <w:jc w:val="right"/>
              <w:rPr>
                <w:rFonts w:eastAsia="Calibri" w:cs="Calibri"/>
                <w:color w:val="000000"/>
                <w:sz w:val="20"/>
                <w:szCs w:val="20"/>
              </w:rPr>
            </w:pPr>
            <w:r w:rsidRPr="0004593F">
              <w:rPr>
                <w:rFonts w:eastAsia="Calibri" w:cs="Calibri"/>
                <w:color w:val="000000"/>
                <w:sz w:val="20"/>
                <w:szCs w:val="20"/>
              </w:rPr>
              <w:t>1 047 361 180,71</w:t>
            </w:r>
          </w:p>
        </w:tc>
      </w:tr>
    </w:tbl>
    <w:p w14:paraId="16AC01A5" w14:textId="4A3B150C" w:rsidR="0004593F" w:rsidRDefault="0004593F" w:rsidP="00BF6772">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57A33836" w14:textId="77777777" w:rsidR="007C34C4" w:rsidRPr="00BF6772" w:rsidRDefault="007C34C4" w:rsidP="0004593F">
      <w:pPr>
        <w:spacing w:after="0"/>
        <w:contextualSpacing/>
        <w:jc w:val="both"/>
        <w:rPr>
          <w:rFonts w:cs="Calibri"/>
          <w:bCs/>
          <w:color w:val="000000"/>
          <w:lang w:eastAsia="cs-CZ"/>
        </w:rPr>
      </w:pPr>
    </w:p>
    <w:p w14:paraId="5FC7C3BF" w14:textId="48E84321" w:rsidR="0004593F" w:rsidRPr="00BF6772" w:rsidRDefault="0004593F" w:rsidP="00B55890">
      <w:pPr>
        <w:keepNext/>
        <w:tabs>
          <w:tab w:val="right" w:pos="9070"/>
        </w:tabs>
        <w:spacing w:after="40"/>
        <w:rPr>
          <w:rFonts w:cs="Calibri"/>
          <w:b/>
          <w:iCs/>
        </w:rPr>
      </w:pPr>
      <w:bookmarkStart w:id="90" w:name="_Toc520714348"/>
      <w:bookmarkStart w:id="91" w:name="_Toc8984555"/>
      <w:bookmarkStart w:id="92" w:name="_Toc33100930"/>
      <w:r w:rsidRPr="00BF6772">
        <w:rPr>
          <w:rFonts w:cs="Calibri"/>
          <w:b/>
          <w:iCs/>
        </w:rPr>
        <w:lastRenderedPageBreak/>
        <w:t xml:space="preserve">Tabulka č. </w:t>
      </w:r>
      <w:r w:rsidRPr="00BF6772">
        <w:rPr>
          <w:rFonts w:cs="Calibri"/>
          <w:b/>
          <w:iCs/>
        </w:rPr>
        <w:fldChar w:fldCharType="begin"/>
      </w:r>
      <w:r w:rsidRPr="00BF6772">
        <w:rPr>
          <w:rFonts w:cs="Calibri"/>
          <w:b/>
          <w:iCs/>
        </w:rPr>
        <w:instrText xml:space="preserve"> SEQ Tabulka \* ARABIC </w:instrText>
      </w:r>
      <w:r w:rsidRPr="00BF6772">
        <w:rPr>
          <w:rFonts w:cs="Calibri"/>
          <w:b/>
          <w:iCs/>
        </w:rPr>
        <w:fldChar w:fldCharType="separate"/>
      </w:r>
      <w:r w:rsidR="00015BEA">
        <w:rPr>
          <w:rFonts w:cs="Calibri"/>
          <w:b/>
          <w:iCs/>
          <w:noProof/>
        </w:rPr>
        <w:t>23</w:t>
      </w:r>
      <w:r w:rsidRPr="00BF6772">
        <w:rPr>
          <w:rFonts w:cs="Calibri"/>
          <w:b/>
          <w:iCs/>
        </w:rPr>
        <w:fldChar w:fldCharType="end"/>
      </w:r>
      <w:r w:rsidRPr="00BF6772">
        <w:rPr>
          <w:rFonts w:cs="Calibri"/>
          <w:b/>
          <w:iCs/>
        </w:rPr>
        <w:t xml:space="preserve">: Celkové výnosy PO v rozpočtové kapitole 317 MMR </w:t>
      </w:r>
      <w:r w:rsidRPr="00BF6772">
        <w:rPr>
          <w:rFonts w:cs="Calibri"/>
          <w:b/>
          <w:iCs/>
        </w:rPr>
        <w:tab/>
        <w:t>(v Kč)</w:t>
      </w:r>
      <w:bookmarkEnd w:id="90"/>
      <w:bookmarkEnd w:id="91"/>
      <w:bookmarkEnd w:id="92"/>
    </w:p>
    <w:tbl>
      <w:tblPr>
        <w:tblW w:w="9184" w:type="dxa"/>
        <w:tblLayout w:type="fixed"/>
        <w:tblCellMar>
          <w:left w:w="70" w:type="dxa"/>
          <w:right w:w="70" w:type="dxa"/>
        </w:tblCellMar>
        <w:tblLook w:val="04A0" w:firstRow="1" w:lastRow="0" w:firstColumn="1" w:lastColumn="0" w:noHBand="0" w:noVBand="1"/>
      </w:tblPr>
      <w:tblGrid>
        <w:gridCol w:w="907"/>
        <w:gridCol w:w="1814"/>
        <w:gridCol w:w="1361"/>
        <w:gridCol w:w="1247"/>
        <w:gridCol w:w="1247"/>
        <w:gridCol w:w="1247"/>
        <w:gridCol w:w="1361"/>
      </w:tblGrid>
      <w:tr w:rsidR="0004593F" w:rsidRPr="005037D0" w14:paraId="0E418029" w14:textId="77777777" w:rsidTr="00761129">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E5F1FF"/>
            <w:vAlign w:val="center"/>
          </w:tcPr>
          <w:p w14:paraId="0DAD680E" w14:textId="77777777" w:rsidR="0004593F" w:rsidRPr="005037D0" w:rsidRDefault="0004593F" w:rsidP="00BF6772">
            <w:pPr>
              <w:keepNext/>
              <w:spacing w:after="0"/>
              <w:contextualSpacing/>
              <w:jc w:val="center"/>
              <w:rPr>
                <w:rFonts w:cs="Calibri"/>
                <w:b/>
                <w:bCs/>
                <w:color w:val="000000"/>
                <w:sz w:val="18"/>
                <w:szCs w:val="20"/>
                <w:lang w:eastAsia="cs-CZ"/>
              </w:rPr>
            </w:pPr>
            <w:r w:rsidRPr="005037D0">
              <w:rPr>
                <w:rFonts w:cs="Calibri"/>
                <w:b/>
                <w:bCs/>
                <w:color w:val="000000"/>
                <w:sz w:val="18"/>
                <w:szCs w:val="20"/>
                <w:lang w:eastAsia="cs-CZ"/>
              </w:rPr>
              <w:t>IČO</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07DA99E" w14:textId="77777777" w:rsidR="0004593F" w:rsidRPr="005037D0" w:rsidRDefault="0004593F" w:rsidP="00BF6772">
            <w:pPr>
              <w:keepNext/>
              <w:spacing w:after="0"/>
              <w:contextualSpacing/>
              <w:jc w:val="center"/>
              <w:rPr>
                <w:rFonts w:cs="Calibri"/>
                <w:b/>
                <w:bCs/>
                <w:color w:val="000000"/>
                <w:sz w:val="18"/>
                <w:szCs w:val="20"/>
                <w:lang w:eastAsia="cs-CZ"/>
              </w:rPr>
            </w:pPr>
            <w:r w:rsidRPr="005037D0">
              <w:rPr>
                <w:rFonts w:cs="Calibri"/>
                <w:b/>
                <w:bCs/>
                <w:color w:val="000000"/>
                <w:sz w:val="18"/>
                <w:szCs w:val="20"/>
                <w:lang w:eastAsia="cs-CZ"/>
              </w:rPr>
              <w:t>Účetní jednotka</w:t>
            </w:r>
          </w:p>
        </w:tc>
        <w:tc>
          <w:tcPr>
            <w:tcW w:w="1361" w:type="dxa"/>
            <w:tcBorders>
              <w:top w:val="single" w:sz="4" w:space="0" w:color="auto"/>
              <w:left w:val="nil"/>
              <w:bottom w:val="single" w:sz="4" w:space="0" w:color="auto"/>
              <w:right w:val="single" w:sz="4" w:space="0" w:color="auto"/>
            </w:tcBorders>
            <w:shd w:val="clear" w:color="auto" w:fill="E5F1FF"/>
            <w:noWrap/>
            <w:vAlign w:val="center"/>
            <w:hideMark/>
          </w:tcPr>
          <w:p w14:paraId="7FE0E5A4" w14:textId="77777777" w:rsidR="0004593F" w:rsidRPr="005037D0" w:rsidRDefault="0004593F" w:rsidP="00BF6772">
            <w:pPr>
              <w:keepNext/>
              <w:spacing w:after="0"/>
              <w:contextualSpacing/>
              <w:jc w:val="center"/>
              <w:rPr>
                <w:rFonts w:cs="Calibri"/>
                <w:b/>
                <w:bCs/>
                <w:color w:val="000000"/>
                <w:sz w:val="18"/>
                <w:szCs w:val="20"/>
                <w:lang w:eastAsia="cs-CZ"/>
              </w:rPr>
            </w:pPr>
            <w:r w:rsidRPr="005037D0">
              <w:rPr>
                <w:rFonts w:cs="Calibri"/>
                <w:b/>
                <w:bCs/>
                <w:color w:val="000000"/>
                <w:sz w:val="18"/>
                <w:szCs w:val="20"/>
                <w:lang w:eastAsia="cs-CZ"/>
              </w:rPr>
              <w:t>2014</w:t>
            </w:r>
          </w:p>
        </w:tc>
        <w:tc>
          <w:tcPr>
            <w:tcW w:w="1247" w:type="dxa"/>
            <w:tcBorders>
              <w:top w:val="single" w:sz="4" w:space="0" w:color="auto"/>
              <w:left w:val="nil"/>
              <w:bottom w:val="single" w:sz="4" w:space="0" w:color="auto"/>
              <w:right w:val="single" w:sz="4" w:space="0" w:color="auto"/>
            </w:tcBorders>
            <w:shd w:val="clear" w:color="auto" w:fill="E5F1FF"/>
            <w:noWrap/>
            <w:vAlign w:val="center"/>
            <w:hideMark/>
          </w:tcPr>
          <w:p w14:paraId="71D6BD36" w14:textId="77777777" w:rsidR="0004593F" w:rsidRPr="005037D0" w:rsidRDefault="0004593F" w:rsidP="00BF6772">
            <w:pPr>
              <w:keepNext/>
              <w:spacing w:after="0"/>
              <w:contextualSpacing/>
              <w:jc w:val="center"/>
              <w:rPr>
                <w:rFonts w:cs="Calibri"/>
                <w:b/>
                <w:bCs/>
                <w:color w:val="000000"/>
                <w:sz w:val="18"/>
                <w:szCs w:val="20"/>
                <w:lang w:eastAsia="cs-CZ"/>
              </w:rPr>
            </w:pPr>
            <w:r w:rsidRPr="005037D0">
              <w:rPr>
                <w:rFonts w:cs="Calibri"/>
                <w:b/>
                <w:bCs/>
                <w:color w:val="000000"/>
                <w:sz w:val="18"/>
                <w:szCs w:val="20"/>
                <w:lang w:eastAsia="cs-CZ"/>
              </w:rPr>
              <w:t>2015</w:t>
            </w:r>
          </w:p>
        </w:tc>
        <w:tc>
          <w:tcPr>
            <w:tcW w:w="1247" w:type="dxa"/>
            <w:tcBorders>
              <w:top w:val="single" w:sz="4" w:space="0" w:color="auto"/>
              <w:left w:val="nil"/>
              <w:bottom w:val="single" w:sz="4" w:space="0" w:color="auto"/>
              <w:right w:val="single" w:sz="4" w:space="0" w:color="auto"/>
            </w:tcBorders>
            <w:shd w:val="clear" w:color="auto" w:fill="E5F1FF"/>
            <w:noWrap/>
            <w:vAlign w:val="center"/>
            <w:hideMark/>
          </w:tcPr>
          <w:p w14:paraId="5625AB8A" w14:textId="77777777" w:rsidR="0004593F" w:rsidRPr="005037D0" w:rsidRDefault="0004593F" w:rsidP="00BF6772">
            <w:pPr>
              <w:keepNext/>
              <w:spacing w:after="0"/>
              <w:contextualSpacing/>
              <w:jc w:val="center"/>
              <w:rPr>
                <w:rFonts w:cs="Calibri"/>
                <w:b/>
                <w:bCs/>
                <w:color w:val="000000"/>
                <w:sz w:val="18"/>
                <w:szCs w:val="20"/>
                <w:lang w:eastAsia="cs-CZ"/>
              </w:rPr>
            </w:pPr>
            <w:r w:rsidRPr="005037D0">
              <w:rPr>
                <w:rFonts w:cs="Calibri"/>
                <w:b/>
                <w:bCs/>
                <w:color w:val="000000"/>
                <w:sz w:val="18"/>
                <w:szCs w:val="20"/>
                <w:lang w:eastAsia="cs-CZ"/>
              </w:rPr>
              <w:t>2016</w:t>
            </w:r>
          </w:p>
        </w:tc>
        <w:tc>
          <w:tcPr>
            <w:tcW w:w="1247" w:type="dxa"/>
            <w:tcBorders>
              <w:top w:val="single" w:sz="4" w:space="0" w:color="auto"/>
              <w:left w:val="nil"/>
              <w:bottom w:val="single" w:sz="4" w:space="0" w:color="auto"/>
              <w:right w:val="single" w:sz="4" w:space="0" w:color="auto"/>
            </w:tcBorders>
            <w:shd w:val="clear" w:color="auto" w:fill="E5F1FF"/>
            <w:noWrap/>
            <w:vAlign w:val="center"/>
            <w:hideMark/>
          </w:tcPr>
          <w:p w14:paraId="7E32AEC3" w14:textId="77777777" w:rsidR="0004593F" w:rsidRPr="005037D0" w:rsidRDefault="0004593F" w:rsidP="00BF6772">
            <w:pPr>
              <w:keepNext/>
              <w:spacing w:after="0"/>
              <w:contextualSpacing/>
              <w:jc w:val="center"/>
              <w:rPr>
                <w:rFonts w:cs="Calibri"/>
                <w:b/>
                <w:bCs/>
                <w:color w:val="000000"/>
                <w:sz w:val="18"/>
                <w:szCs w:val="20"/>
                <w:lang w:eastAsia="cs-CZ"/>
              </w:rPr>
            </w:pPr>
            <w:r w:rsidRPr="005037D0">
              <w:rPr>
                <w:rFonts w:cs="Calibri"/>
                <w:b/>
                <w:bCs/>
                <w:color w:val="000000"/>
                <w:sz w:val="18"/>
                <w:szCs w:val="20"/>
                <w:lang w:eastAsia="cs-CZ"/>
              </w:rPr>
              <w:t>2017</w:t>
            </w:r>
          </w:p>
        </w:tc>
        <w:tc>
          <w:tcPr>
            <w:tcW w:w="1361" w:type="dxa"/>
            <w:tcBorders>
              <w:top w:val="single" w:sz="4" w:space="0" w:color="auto"/>
              <w:left w:val="nil"/>
              <w:bottom w:val="single" w:sz="4" w:space="0" w:color="auto"/>
              <w:right w:val="single" w:sz="4" w:space="0" w:color="auto"/>
            </w:tcBorders>
            <w:shd w:val="clear" w:color="auto" w:fill="E5F1FF"/>
            <w:vAlign w:val="center"/>
          </w:tcPr>
          <w:p w14:paraId="796762AD" w14:textId="77777777" w:rsidR="0004593F" w:rsidRPr="005037D0" w:rsidRDefault="0004593F" w:rsidP="00BF6772">
            <w:pPr>
              <w:keepNext/>
              <w:spacing w:after="0"/>
              <w:contextualSpacing/>
              <w:jc w:val="center"/>
              <w:rPr>
                <w:rFonts w:cs="Calibri"/>
                <w:b/>
                <w:bCs/>
                <w:color w:val="000000"/>
                <w:sz w:val="18"/>
                <w:szCs w:val="20"/>
                <w:lang w:eastAsia="cs-CZ"/>
              </w:rPr>
            </w:pPr>
            <w:r w:rsidRPr="005037D0">
              <w:rPr>
                <w:rFonts w:cs="Calibri"/>
                <w:b/>
                <w:bCs/>
                <w:color w:val="000000"/>
                <w:sz w:val="18"/>
                <w:szCs w:val="20"/>
                <w:lang w:eastAsia="cs-CZ"/>
              </w:rPr>
              <w:t>2018</w:t>
            </w:r>
          </w:p>
        </w:tc>
      </w:tr>
      <w:tr w:rsidR="0004593F" w:rsidRPr="005037D0" w14:paraId="3594599C" w14:textId="77777777" w:rsidTr="00761129">
        <w:trPr>
          <w:trHeight w:val="255"/>
        </w:trPr>
        <w:tc>
          <w:tcPr>
            <w:tcW w:w="907" w:type="dxa"/>
            <w:tcBorders>
              <w:top w:val="nil"/>
              <w:left w:val="single" w:sz="4" w:space="0" w:color="auto"/>
              <w:bottom w:val="single" w:sz="4" w:space="0" w:color="auto"/>
              <w:right w:val="single" w:sz="4" w:space="0" w:color="auto"/>
            </w:tcBorders>
            <w:vAlign w:val="center"/>
          </w:tcPr>
          <w:p w14:paraId="01DE5B5F" w14:textId="77777777" w:rsidR="0004593F" w:rsidRPr="005037D0" w:rsidRDefault="0004593F" w:rsidP="00BF6772">
            <w:pPr>
              <w:keepNext/>
              <w:spacing w:after="0"/>
              <w:contextualSpacing/>
              <w:jc w:val="center"/>
              <w:rPr>
                <w:rFonts w:eastAsia="Calibri" w:cs="Calibri"/>
                <w:color w:val="000000"/>
                <w:sz w:val="18"/>
                <w:szCs w:val="20"/>
              </w:rPr>
            </w:pPr>
            <w:r w:rsidRPr="005037D0">
              <w:rPr>
                <w:rFonts w:eastAsia="Calibri" w:cs="Calibri"/>
                <w:color w:val="000000"/>
                <w:sz w:val="18"/>
                <w:szCs w:val="20"/>
              </w:rPr>
              <w:t>4095316</w:t>
            </w:r>
          </w:p>
        </w:tc>
        <w:tc>
          <w:tcPr>
            <w:tcW w:w="1814" w:type="dxa"/>
            <w:tcBorders>
              <w:top w:val="nil"/>
              <w:left w:val="single" w:sz="4" w:space="0" w:color="auto"/>
              <w:bottom w:val="single" w:sz="4" w:space="0" w:color="auto"/>
              <w:right w:val="single" w:sz="4" w:space="0" w:color="auto"/>
            </w:tcBorders>
            <w:shd w:val="clear" w:color="auto" w:fill="auto"/>
            <w:noWrap/>
            <w:vAlign w:val="center"/>
          </w:tcPr>
          <w:p w14:paraId="4A640103" w14:textId="77777777" w:rsidR="0004593F" w:rsidRPr="005037D0" w:rsidRDefault="0004593F" w:rsidP="005037D0">
            <w:pPr>
              <w:keepNext/>
              <w:spacing w:after="0"/>
              <w:ind w:right="-57"/>
              <w:contextualSpacing/>
              <w:rPr>
                <w:rFonts w:eastAsia="Calibri" w:cs="Calibri"/>
                <w:color w:val="000000"/>
                <w:sz w:val="18"/>
                <w:szCs w:val="20"/>
              </w:rPr>
            </w:pPr>
            <w:r w:rsidRPr="005037D0">
              <w:rPr>
                <w:rFonts w:eastAsia="Calibri" w:cs="Calibri"/>
                <w:color w:val="000000"/>
                <w:sz w:val="18"/>
                <w:szCs w:val="20"/>
              </w:rPr>
              <w:t>Centrum pro regionální rozvoj České republiky</w:t>
            </w:r>
          </w:p>
        </w:tc>
        <w:tc>
          <w:tcPr>
            <w:tcW w:w="1361" w:type="dxa"/>
            <w:tcBorders>
              <w:top w:val="nil"/>
              <w:left w:val="nil"/>
              <w:bottom w:val="single" w:sz="4" w:space="0" w:color="auto"/>
              <w:right w:val="single" w:sz="4" w:space="0" w:color="auto"/>
            </w:tcBorders>
            <w:shd w:val="clear" w:color="auto" w:fill="auto"/>
            <w:noWrap/>
            <w:vAlign w:val="center"/>
          </w:tcPr>
          <w:p w14:paraId="79879E17" w14:textId="77777777" w:rsidR="0004593F" w:rsidRPr="005037D0" w:rsidRDefault="0004593F" w:rsidP="005037D0">
            <w:pPr>
              <w:keepNext/>
              <w:spacing w:after="0"/>
              <w:contextualSpacing/>
              <w:jc w:val="center"/>
              <w:rPr>
                <w:rFonts w:eastAsia="Calibri" w:cs="Calibri"/>
                <w:color w:val="000000"/>
                <w:sz w:val="18"/>
                <w:szCs w:val="20"/>
              </w:rPr>
            </w:pPr>
            <w:r w:rsidRPr="005037D0">
              <w:rPr>
                <w:rFonts w:eastAsia="Calibri" w:cs="Calibri"/>
                <w:color w:val="000000"/>
                <w:sz w:val="18"/>
                <w:szCs w:val="20"/>
              </w:rPr>
              <w:t>x</w:t>
            </w:r>
          </w:p>
        </w:tc>
        <w:tc>
          <w:tcPr>
            <w:tcW w:w="1247" w:type="dxa"/>
            <w:tcBorders>
              <w:top w:val="nil"/>
              <w:left w:val="nil"/>
              <w:bottom w:val="single" w:sz="4" w:space="0" w:color="auto"/>
              <w:right w:val="single" w:sz="4" w:space="0" w:color="auto"/>
            </w:tcBorders>
            <w:shd w:val="clear" w:color="auto" w:fill="auto"/>
            <w:noWrap/>
            <w:vAlign w:val="center"/>
          </w:tcPr>
          <w:p w14:paraId="62C8CC91"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94 440 468,45</w:t>
            </w:r>
          </w:p>
        </w:tc>
        <w:tc>
          <w:tcPr>
            <w:tcW w:w="1247" w:type="dxa"/>
            <w:tcBorders>
              <w:top w:val="nil"/>
              <w:left w:val="nil"/>
              <w:bottom w:val="single" w:sz="4" w:space="0" w:color="auto"/>
              <w:right w:val="single" w:sz="4" w:space="0" w:color="auto"/>
            </w:tcBorders>
            <w:shd w:val="clear" w:color="auto" w:fill="auto"/>
            <w:noWrap/>
            <w:vAlign w:val="center"/>
          </w:tcPr>
          <w:p w14:paraId="4C5CCC63"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327 269 099,12</w:t>
            </w:r>
          </w:p>
        </w:tc>
        <w:tc>
          <w:tcPr>
            <w:tcW w:w="1247" w:type="dxa"/>
            <w:tcBorders>
              <w:top w:val="nil"/>
              <w:left w:val="nil"/>
              <w:bottom w:val="single" w:sz="4" w:space="0" w:color="auto"/>
              <w:right w:val="single" w:sz="4" w:space="0" w:color="auto"/>
            </w:tcBorders>
            <w:shd w:val="clear" w:color="auto" w:fill="auto"/>
            <w:noWrap/>
            <w:vAlign w:val="center"/>
          </w:tcPr>
          <w:p w14:paraId="1F19D985"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465 667 452,52</w:t>
            </w:r>
          </w:p>
        </w:tc>
        <w:tc>
          <w:tcPr>
            <w:tcW w:w="1361" w:type="dxa"/>
            <w:tcBorders>
              <w:top w:val="nil"/>
              <w:left w:val="nil"/>
              <w:bottom w:val="single" w:sz="4" w:space="0" w:color="auto"/>
              <w:right w:val="single" w:sz="4" w:space="0" w:color="auto"/>
            </w:tcBorders>
            <w:vAlign w:val="center"/>
          </w:tcPr>
          <w:p w14:paraId="3DBA77D7"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558 990 270,05</w:t>
            </w:r>
          </w:p>
        </w:tc>
      </w:tr>
      <w:tr w:rsidR="0004593F" w:rsidRPr="005037D0" w14:paraId="64B10C87" w14:textId="77777777" w:rsidTr="00761129">
        <w:trPr>
          <w:trHeight w:val="255"/>
        </w:trPr>
        <w:tc>
          <w:tcPr>
            <w:tcW w:w="907" w:type="dxa"/>
            <w:tcBorders>
              <w:top w:val="single" w:sz="4" w:space="0" w:color="auto"/>
              <w:left w:val="single" w:sz="4" w:space="0" w:color="auto"/>
              <w:bottom w:val="single" w:sz="4" w:space="0" w:color="auto"/>
              <w:right w:val="single" w:sz="4" w:space="0" w:color="auto"/>
            </w:tcBorders>
            <w:vAlign w:val="center"/>
          </w:tcPr>
          <w:p w14:paraId="173E7BBC" w14:textId="77777777" w:rsidR="0004593F" w:rsidRPr="005037D0" w:rsidRDefault="0004593F" w:rsidP="00BF6772">
            <w:pPr>
              <w:keepNext/>
              <w:spacing w:after="0"/>
              <w:contextualSpacing/>
              <w:jc w:val="center"/>
              <w:rPr>
                <w:rFonts w:eastAsia="Calibri" w:cs="Calibri"/>
                <w:color w:val="000000"/>
                <w:sz w:val="18"/>
                <w:szCs w:val="20"/>
              </w:rPr>
            </w:pPr>
            <w:r w:rsidRPr="005037D0">
              <w:rPr>
                <w:rFonts w:eastAsia="Calibri" w:cs="Calibri"/>
                <w:color w:val="000000"/>
                <w:sz w:val="18"/>
                <w:szCs w:val="20"/>
              </w:rPr>
              <w:t>65993870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D8867" w14:textId="77777777" w:rsidR="0004593F" w:rsidRPr="005037D0" w:rsidRDefault="0004593F" w:rsidP="005037D0">
            <w:pPr>
              <w:keepNext/>
              <w:spacing w:after="0"/>
              <w:ind w:right="-57"/>
              <w:contextualSpacing/>
              <w:rPr>
                <w:rFonts w:eastAsia="Calibri" w:cs="Calibri"/>
                <w:color w:val="000000"/>
                <w:sz w:val="18"/>
                <w:szCs w:val="20"/>
              </w:rPr>
            </w:pPr>
            <w:r w:rsidRPr="005037D0">
              <w:rPr>
                <w:rFonts w:eastAsia="Calibri" w:cs="Calibri"/>
                <w:color w:val="000000"/>
                <w:sz w:val="18"/>
                <w:szCs w:val="20"/>
              </w:rPr>
              <w:t>Centrum pro regionální rozvoj ČR</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F06BE98"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163 128 313,63</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0CAABA1" w14:textId="77777777" w:rsidR="0004593F" w:rsidRPr="005037D0" w:rsidRDefault="0004593F" w:rsidP="005037D0">
            <w:pPr>
              <w:keepNext/>
              <w:spacing w:after="0"/>
              <w:contextualSpacing/>
              <w:jc w:val="center"/>
              <w:rPr>
                <w:rFonts w:eastAsia="Calibri" w:cs="Calibri"/>
                <w:color w:val="000000"/>
                <w:sz w:val="18"/>
                <w:szCs w:val="20"/>
              </w:rPr>
            </w:pPr>
            <w:r w:rsidRPr="005037D0">
              <w:rPr>
                <w:rFonts w:eastAsia="Calibri" w:cs="Calibri"/>
                <w:color w:val="000000"/>
                <w:sz w:val="18"/>
                <w:szCs w:val="20"/>
              </w:rPr>
              <w:t>x</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A27143B" w14:textId="77777777" w:rsidR="0004593F" w:rsidRPr="005037D0" w:rsidRDefault="0004593F" w:rsidP="005037D0">
            <w:pPr>
              <w:keepNext/>
              <w:spacing w:after="0"/>
              <w:contextualSpacing/>
              <w:jc w:val="center"/>
              <w:rPr>
                <w:rFonts w:eastAsia="Calibri" w:cs="Calibri"/>
                <w:color w:val="000000"/>
                <w:sz w:val="18"/>
                <w:szCs w:val="20"/>
              </w:rPr>
            </w:pPr>
            <w:r w:rsidRPr="005037D0">
              <w:rPr>
                <w:rFonts w:eastAsia="Calibri" w:cs="Calibri"/>
                <w:color w:val="000000"/>
                <w:sz w:val="18"/>
                <w:szCs w:val="20"/>
              </w:rPr>
              <w:t>x</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84005FA" w14:textId="77777777" w:rsidR="0004593F" w:rsidRPr="005037D0" w:rsidRDefault="0004593F" w:rsidP="005037D0">
            <w:pPr>
              <w:keepNext/>
              <w:spacing w:after="0"/>
              <w:contextualSpacing/>
              <w:jc w:val="center"/>
              <w:rPr>
                <w:rFonts w:eastAsia="Calibri" w:cs="Calibri"/>
                <w:color w:val="000000"/>
                <w:sz w:val="18"/>
                <w:szCs w:val="20"/>
              </w:rPr>
            </w:pPr>
            <w:r w:rsidRPr="005037D0">
              <w:rPr>
                <w:rFonts w:eastAsia="Calibri" w:cs="Calibri"/>
                <w:color w:val="000000"/>
                <w:sz w:val="18"/>
                <w:szCs w:val="20"/>
              </w:rPr>
              <w:t>x</w:t>
            </w:r>
          </w:p>
        </w:tc>
        <w:tc>
          <w:tcPr>
            <w:tcW w:w="1361" w:type="dxa"/>
            <w:tcBorders>
              <w:top w:val="single" w:sz="4" w:space="0" w:color="auto"/>
              <w:left w:val="nil"/>
              <w:bottom w:val="single" w:sz="4" w:space="0" w:color="auto"/>
              <w:right w:val="single" w:sz="4" w:space="0" w:color="auto"/>
            </w:tcBorders>
            <w:vAlign w:val="center"/>
          </w:tcPr>
          <w:p w14:paraId="4B325343" w14:textId="77777777" w:rsidR="0004593F" w:rsidRPr="005037D0" w:rsidRDefault="0004593F" w:rsidP="005037D0">
            <w:pPr>
              <w:keepNext/>
              <w:spacing w:after="0"/>
              <w:contextualSpacing/>
              <w:jc w:val="center"/>
              <w:rPr>
                <w:rFonts w:eastAsia="Calibri" w:cs="Calibri"/>
                <w:color w:val="000000"/>
                <w:sz w:val="18"/>
                <w:szCs w:val="20"/>
              </w:rPr>
            </w:pPr>
            <w:r w:rsidRPr="005037D0">
              <w:rPr>
                <w:rFonts w:eastAsia="Calibri" w:cs="Calibri"/>
                <w:color w:val="000000"/>
                <w:sz w:val="18"/>
                <w:szCs w:val="20"/>
              </w:rPr>
              <w:t>x</w:t>
            </w:r>
          </w:p>
        </w:tc>
      </w:tr>
      <w:tr w:rsidR="0004593F" w:rsidRPr="005037D0" w14:paraId="16BE07B3" w14:textId="77777777" w:rsidTr="00761129">
        <w:trPr>
          <w:trHeight w:val="255"/>
        </w:trPr>
        <w:tc>
          <w:tcPr>
            <w:tcW w:w="907" w:type="dxa"/>
            <w:tcBorders>
              <w:top w:val="single" w:sz="4" w:space="0" w:color="auto"/>
              <w:left w:val="single" w:sz="4" w:space="0" w:color="auto"/>
              <w:bottom w:val="single" w:sz="4" w:space="0" w:color="auto"/>
              <w:right w:val="single" w:sz="4" w:space="0" w:color="auto"/>
            </w:tcBorders>
            <w:vAlign w:val="center"/>
          </w:tcPr>
          <w:p w14:paraId="773A730D" w14:textId="77777777" w:rsidR="0004593F" w:rsidRPr="005037D0" w:rsidRDefault="0004593F" w:rsidP="00BF6772">
            <w:pPr>
              <w:keepNext/>
              <w:spacing w:after="0"/>
              <w:contextualSpacing/>
              <w:jc w:val="center"/>
              <w:rPr>
                <w:rFonts w:eastAsia="Calibri" w:cs="Calibri"/>
                <w:color w:val="000000"/>
                <w:sz w:val="18"/>
                <w:szCs w:val="20"/>
              </w:rPr>
            </w:pPr>
            <w:r w:rsidRPr="005037D0">
              <w:rPr>
                <w:rFonts w:eastAsia="Calibri" w:cs="Calibri"/>
                <w:color w:val="000000"/>
                <w:sz w:val="18"/>
                <w:szCs w:val="20"/>
              </w:rPr>
              <w:t>49277600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CBC07" w14:textId="77777777" w:rsidR="0004593F" w:rsidRPr="005037D0" w:rsidRDefault="0004593F" w:rsidP="005037D0">
            <w:pPr>
              <w:keepNext/>
              <w:spacing w:after="0"/>
              <w:ind w:right="-57"/>
              <w:contextualSpacing/>
              <w:rPr>
                <w:rFonts w:eastAsia="Calibri" w:cs="Calibri"/>
                <w:color w:val="000000"/>
                <w:sz w:val="18"/>
                <w:szCs w:val="20"/>
              </w:rPr>
            </w:pPr>
            <w:r w:rsidRPr="005037D0">
              <w:rPr>
                <w:rFonts w:eastAsia="Calibri" w:cs="Calibri"/>
                <w:color w:val="000000"/>
                <w:sz w:val="18"/>
                <w:szCs w:val="20"/>
              </w:rPr>
              <w:t>Česká centrála cestovního ruchu</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8A60739"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861 312 603,15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546FF5C4"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606 291 622,50</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63434CC"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446 853 344,65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BDA52B8"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446 693 103,98</w:t>
            </w:r>
          </w:p>
        </w:tc>
        <w:tc>
          <w:tcPr>
            <w:tcW w:w="1361" w:type="dxa"/>
            <w:tcBorders>
              <w:top w:val="single" w:sz="4" w:space="0" w:color="auto"/>
              <w:left w:val="nil"/>
              <w:bottom w:val="single" w:sz="4" w:space="0" w:color="auto"/>
              <w:right w:val="single" w:sz="4" w:space="0" w:color="auto"/>
            </w:tcBorders>
            <w:vAlign w:val="center"/>
          </w:tcPr>
          <w:p w14:paraId="01A44A2B" w14:textId="77777777" w:rsidR="0004593F" w:rsidRPr="005037D0" w:rsidRDefault="0004593F" w:rsidP="005037D0">
            <w:pPr>
              <w:keepNext/>
              <w:spacing w:after="0"/>
              <w:ind w:left="-57"/>
              <w:contextualSpacing/>
              <w:jc w:val="right"/>
              <w:rPr>
                <w:rFonts w:eastAsia="Calibri" w:cs="Calibri"/>
                <w:color w:val="000000"/>
                <w:sz w:val="18"/>
                <w:szCs w:val="20"/>
              </w:rPr>
            </w:pPr>
            <w:r w:rsidRPr="005037D0">
              <w:rPr>
                <w:rFonts w:eastAsia="Calibri" w:cs="Calibri"/>
                <w:color w:val="000000"/>
                <w:sz w:val="18"/>
                <w:szCs w:val="20"/>
              </w:rPr>
              <w:t>488 370 910,66</w:t>
            </w:r>
          </w:p>
        </w:tc>
      </w:tr>
      <w:tr w:rsidR="00761129" w:rsidRPr="005037D0" w14:paraId="5C433ED0" w14:textId="77777777" w:rsidTr="009A267D">
        <w:trPr>
          <w:trHeight w:val="255"/>
        </w:trPr>
        <w:tc>
          <w:tcPr>
            <w:tcW w:w="2721" w:type="dxa"/>
            <w:gridSpan w:val="2"/>
            <w:tcBorders>
              <w:top w:val="single" w:sz="4" w:space="0" w:color="auto"/>
              <w:left w:val="single" w:sz="4" w:space="0" w:color="auto"/>
              <w:bottom w:val="single" w:sz="4" w:space="0" w:color="auto"/>
              <w:right w:val="single" w:sz="4" w:space="0" w:color="auto"/>
            </w:tcBorders>
            <w:shd w:val="clear" w:color="auto" w:fill="F2C6C9"/>
            <w:vAlign w:val="center"/>
          </w:tcPr>
          <w:p w14:paraId="150FC012" w14:textId="1FD8BA63" w:rsidR="00761129" w:rsidRPr="005037D0" w:rsidRDefault="00761129" w:rsidP="005037D0">
            <w:pPr>
              <w:keepNext/>
              <w:spacing w:after="0"/>
              <w:ind w:right="-57"/>
              <w:contextualSpacing/>
              <w:rPr>
                <w:rFonts w:eastAsia="Calibri" w:cs="Calibri"/>
                <w:color w:val="000000"/>
                <w:sz w:val="18"/>
                <w:szCs w:val="20"/>
              </w:rPr>
            </w:pPr>
            <w:r w:rsidRPr="005037D0">
              <w:rPr>
                <w:rFonts w:eastAsia="Calibri" w:cs="Calibri"/>
                <w:b/>
                <w:color w:val="000000"/>
                <w:sz w:val="18"/>
                <w:szCs w:val="20"/>
              </w:rPr>
              <w:t>Celkem</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1848378D" w14:textId="73F538A2" w:rsidR="00761129" w:rsidRPr="005037D0" w:rsidRDefault="00761129" w:rsidP="005037D0">
            <w:pPr>
              <w:keepNext/>
              <w:spacing w:after="0"/>
              <w:ind w:left="-57"/>
              <w:contextualSpacing/>
              <w:jc w:val="right"/>
              <w:rPr>
                <w:rFonts w:eastAsia="Calibri" w:cs="Calibri"/>
                <w:color w:val="000000"/>
                <w:sz w:val="18"/>
                <w:szCs w:val="20"/>
              </w:rPr>
            </w:pPr>
            <w:r w:rsidRPr="005037D0">
              <w:rPr>
                <w:rFonts w:eastAsia="Calibri" w:cs="Calibri"/>
                <w:b/>
                <w:bCs/>
                <w:color w:val="000000"/>
                <w:sz w:val="18"/>
                <w:szCs w:val="20"/>
              </w:rPr>
              <w:t>1 024 440 916,78</w:t>
            </w:r>
          </w:p>
        </w:tc>
        <w:tc>
          <w:tcPr>
            <w:tcW w:w="1247" w:type="dxa"/>
            <w:tcBorders>
              <w:top w:val="single" w:sz="4" w:space="0" w:color="auto"/>
              <w:left w:val="nil"/>
              <w:bottom w:val="single" w:sz="4" w:space="0" w:color="auto"/>
              <w:right w:val="single" w:sz="4" w:space="0" w:color="auto"/>
            </w:tcBorders>
            <w:shd w:val="clear" w:color="auto" w:fill="F2C6C9"/>
            <w:noWrap/>
            <w:vAlign w:val="center"/>
          </w:tcPr>
          <w:p w14:paraId="2587DADD" w14:textId="218A98C3" w:rsidR="00761129" w:rsidRPr="005037D0" w:rsidRDefault="00761129" w:rsidP="005037D0">
            <w:pPr>
              <w:keepNext/>
              <w:spacing w:after="0"/>
              <w:ind w:left="-57"/>
              <w:contextualSpacing/>
              <w:jc w:val="right"/>
              <w:rPr>
                <w:rFonts w:eastAsia="Calibri" w:cs="Calibri"/>
                <w:color w:val="000000"/>
                <w:sz w:val="18"/>
                <w:szCs w:val="20"/>
              </w:rPr>
            </w:pPr>
            <w:r w:rsidRPr="005037D0">
              <w:rPr>
                <w:rFonts w:eastAsia="Calibri" w:cs="Calibri"/>
                <w:b/>
                <w:bCs/>
                <w:color w:val="000000"/>
                <w:sz w:val="18"/>
                <w:szCs w:val="20"/>
              </w:rPr>
              <w:t>700 732 090,95</w:t>
            </w:r>
          </w:p>
        </w:tc>
        <w:tc>
          <w:tcPr>
            <w:tcW w:w="1247" w:type="dxa"/>
            <w:tcBorders>
              <w:top w:val="single" w:sz="4" w:space="0" w:color="auto"/>
              <w:left w:val="nil"/>
              <w:bottom w:val="single" w:sz="4" w:space="0" w:color="auto"/>
              <w:right w:val="single" w:sz="4" w:space="0" w:color="auto"/>
            </w:tcBorders>
            <w:shd w:val="clear" w:color="auto" w:fill="F2C6C9"/>
            <w:noWrap/>
            <w:vAlign w:val="center"/>
          </w:tcPr>
          <w:p w14:paraId="67E4246D" w14:textId="5D1338B2" w:rsidR="00761129" w:rsidRPr="005037D0" w:rsidRDefault="00761129" w:rsidP="005037D0">
            <w:pPr>
              <w:keepNext/>
              <w:spacing w:after="0"/>
              <w:ind w:left="-57"/>
              <w:contextualSpacing/>
              <w:jc w:val="right"/>
              <w:rPr>
                <w:rFonts w:eastAsia="Calibri" w:cs="Calibri"/>
                <w:color w:val="000000"/>
                <w:sz w:val="18"/>
                <w:szCs w:val="20"/>
              </w:rPr>
            </w:pPr>
            <w:r w:rsidRPr="005037D0">
              <w:rPr>
                <w:rFonts w:eastAsia="Calibri" w:cs="Calibri"/>
                <w:b/>
                <w:bCs/>
                <w:color w:val="000000"/>
                <w:sz w:val="18"/>
                <w:szCs w:val="20"/>
              </w:rPr>
              <w:t>774 122 443,77</w:t>
            </w:r>
          </w:p>
        </w:tc>
        <w:tc>
          <w:tcPr>
            <w:tcW w:w="1247" w:type="dxa"/>
            <w:tcBorders>
              <w:top w:val="single" w:sz="4" w:space="0" w:color="auto"/>
              <w:left w:val="nil"/>
              <w:bottom w:val="single" w:sz="4" w:space="0" w:color="auto"/>
              <w:right w:val="single" w:sz="4" w:space="0" w:color="auto"/>
            </w:tcBorders>
            <w:shd w:val="clear" w:color="auto" w:fill="F2C6C9"/>
            <w:noWrap/>
            <w:vAlign w:val="center"/>
          </w:tcPr>
          <w:p w14:paraId="36566920" w14:textId="4572E5EC" w:rsidR="00761129" w:rsidRPr="005037D0" w:rsidRDefault="00761129" w:rsidP="005037D0">
            <w:pPr>
              <w:keepNext/>
              <w:spacing w:after="0"/>
              <w:ind w:left="-57"/>
              <w:contextualSpacing/>
              <w:jc w:val="right"/>
              <w:rPr>
                <w:rFonts w:eastAsia="Calibri" w:cs="Calibri"/>
                <w:color w:val="000000"/>
                <w:sz w:val="18"/>
                <w:szCs w:val="20"/>
              </w:rPr>
            </w:pPr>
            <w:r w:rsidRPr="005037D0">
              <w:rPr>
                <w:rFonts w:eastAsia="Calibri" w:cs="Calibri"/>
                <w:b/>
                <w:bCs/>
                <w:color w:val="000000"/>
                <w:sz w:val="18"/>
                <w:szCs w:val="20"/>
              </w:rPr>
              <w:t>912 360 556,50</w:t>
            </w:r>
          </w:p>
        </w:tc>
        <w:tc>
          <w:tcPr>
            <w:tcW w:w="1361" w:type="dxa"/>
            <w:tcBorders>
              <w:top w:val="single" w:sz="4" w:space="0" w:color="auto"/>
              <w:left w:val="nil"/>
              <w:bottom w:val="single" w:sz="4" w:space="0" w:color="auto"/>
              <w:right w:val="single" w:sz="4" w:space="0" w:color="auto"/>
            </w:tcBorders>
            <w:shd w:val="clear" w:color="auto" w:fill="F2C6C9"/>
            <w:vAlign w:val="center"/>
          </w:tcPr>
          <w:p w14:paraId="2C0BD04F" w14:textId="63EB5FBB" w:rsidR="00761129" w:rsidRPr="005037D0" w:rsidRDefault="00761129" w:rsidP="005037D0">
            <w:pPr>
              <w:keepNext/>
              <w:spacing w:after="0"/>
              <w:ind w:left="-57"/>
              <w:contextualSpacing/>
              <w:jc w:val="right"/>
              <w:rPr>
                <w:rFonts w:eastAsia="Calibri" w:cs="Calibri"/>
                <w:color w:val="000000"/>
                <w:sz w:val="18"/>
                <w:szCs w:val="20"/>
              </w:rPr>
            </w:pPr>
            <w:r w:rsidRPr="005037D0">
              <w:rPr>
                <w:rFonts w:eastAsia="Calibri" w:cs="Calibri"/>
                <w:b/>
                <w:bCs/>
                <w:color w:val="000000"/>
                <w:sz w:val="18"/>
                <w:szCs w:val="20"/>
              </w:rPr>
              <w:t>1 047 361 180,71</w:t>
            </w:r>
          </w:p>
        </w:tc>
      </w:tr>
    </w:tbl>
    <w:p w14:paraId="1CC34D8F" w14:textId="39E5F23D" w:rsidR="0004593F" w:rsidRDefault="0004593F" w:rsidP="00B55890">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458ACFF2" w14:textId="77777777" w:rsidR="007C34C4" w:rsidRPr="00B55890" w:rsidRDefault="007C34C4" w:rsidP="0004593F">
      <w:pPr>
        <w:spacing w:after="0"/>
        <w:contextualSpacing/>
        <w:jc w:val="both"/>
        <w:rPr>
          <w:rFonts w:cs="Calibri"/>
          <w:color w:val="000000"/>
          <w:lang w:eastAsia="cs-CZ"/>
        </w:rPr>
      </w:pPr>
    </w:p>
    <w:p w14:paraId="0B832166" w14:textId="313B89AF" w:rsidR="0004593F" w:rsidRPr="00B55890" w:rsidRDefault="0004593F" w:rsidP="00952FA0">
      <w:pPr>
        <w:tabs>
          <w:tab w:val="right" w:pos="9070"/>
        </w:tabs>
        <w:spacing w:after="40"/>
        <w:ind w:left="1418" w:hanging="1418"/>
        <w:jc w:val="both"/>
        <w:rPr>
          <w:rFonts w:cs="Calibri"/>
          <w:b/>
          <w:iCs/>
        </w:rPr>
      </w:pPr>
      <w:bookmarkStart w:id="93" w:name="_Toc8984556"/>
      <w:bookmarkStart w:id="94" w:name="_Toc33100931"/>
      <w:bookmarkStart w:id="95" w:name="_Toc520714349"/>
      <w:r w:rsidRPr="00B55890">
        <w:rPr>
          <w:rFonts w:cs="Calibri"/>
          <w:b/>
          <w:iCs/>
        </w:rPr>
        <w:t xml:space="preserve">Tabulka č. </w:t>
      </w:r>
      <w:r w:rsidRPr="00B55890">
        <w:rPr>
          <w:rFonts w:cs="Calibri"/>
          <w:b/>
          <w:iCs/>
        </w:rPr>
        <w:fldChar w:fldCharType="begin"/>
      </w:r>
      <w:r w:rsidRPr="00B55890">
        <w:rPr>
          <w:rFonts w:cs="Calibri"/>
          <w:b/>
          <w:iCs/>
        </w:rPr>
        <w:instrText xml:space="preserve"> SEQ Tabulka \* ARABIC </w:instrText>
      </w:r>
      <w:r w:rsidRPr="00B55890">
        <w:rPr>
          <w:rFonts w:cs="Calibri"/>
          <w:b/>
          <w:iCs/>
        </w:rPr>
        <w:fldChar w:fldCharType="separate"/>
      </w:r>
      <w:r w:rsidR="00015BEA">
        <w:rPr>
          <w:rFonts w:cs="Calibri"/>
          <w:b/>
          <w:iCs/>
          <w:noProof/>
        </w:rPr>
        <w:t>24</w:t>
      </w:r>
      <w:r w:rsidRPr="00B55890">
        <w:rPr>
          <w:rFonts w:cs="Calibri"/>
          <w:b/>
          <w:iCs/>
        </w:rPr>
        <w:fldChar w:fldCharType="end"/>
      </w:r>
      <w:r w:rsidR="00B97C4B">
        <w:rPr>
          <w:rFonts w:cs="Calibri"/>
          <w:b/>
          <w:iCs/>
        </w:rPr>
        <w:t>:</w:t>
      </w:r>
      <w:r w:rsidR="00B97C4B">
        <w:rPr>
          <w:rFonts w:cs="Calibri"/>
          <w:b/>
          <w:iCs/>
        </w:rPr>
        <w:tab/>
      </w:r>
      <w:r w:rsidRPr="00B55890">
        <w:rPr>
          <w:rFonts w:cs="Calibri"/>
          <w:b/>
          <w:iCs/>
          <w:spacing w:val="-4"/>
        </w:rPr>
        <w:t xml:space="preserve">Výnosy PO v rozpočtové kapitole 317 MMR – výkaz zisku a ztráty, položka </w:t>
      </w:r>
      <w:r w:rsidR="00285C02">
        <w:rPr>
          <w:rFonts w:cs="Calibri"/>
          <w:b/>
          <w:iCs/>
          <w:spacing w:val="-4"/>
        </w:rPr>
        <w:br/>
      </w:r>
      <w:r w:rsidRPr="00B55890">
        <w:rPr>
          <w:rFonts w:cs="Calibri"/>
          <w:b/>
          <w:i/>
          <w:iCs/>
          <w:spacing w:val="-4"/>
        </w:rPr>
        <w:t>B.IV.1 Výnosy</w:t>
      </w:r>
      <w:bookmarkEnd w:id="93"/>
      <w:r w:rsidRPr="00B55890">
        <w:rPr>
          <w:rFonts w:cs="Calibri"/>
          <w:b/>
          <w:i/>
          <w:iCs/>
          <w:spacing w:val="-4"/>
        </w:rPr>
        <w:t xml:space="preserve"> vybraných ústředních</w:t>
      </w:r>
      <w:bookmarkEnd w:id="94"/>
      <w:r w:rsidRPr="00B55890">
        <w:rPr>
          <w:rFonts w:cs="Calibri"/>
          <w:b/>
          <w:i/>
          <w:iCs/>
          <w:spacing w:val="-4"/>
        </w:rPr>
        <w:t xml:space="preserve"> vládních institucí z transferů</w:t>
      </w:r>
      <w:r w:rsidRPr="00B55890">
        <w:rPr>
          <w:rFonts w:cs="Calibri"/>
          <w:b/>
          <w:iCs/>
          <w:spacing w:val="-4"/>
        </w:rPr>
        <w:t xml:space="preserve"> (SÚ 671) </w:t>
      </w:r>
      <w:r w:rsidRPr="00B55890">
        <w:rPr>
          <w:rFonts w:cs="Calibri"/>
          <w:b/>
          <w:iCs/>
        </w:rPr>
        <w:tab/>
        <w:t>(v Kč)</w:t>
      </w:r>
      <w:bookmarkEnd w:id="95"/>
    </w:p>
    <w:tbl>
      <w:tblPr>
        <w:tblW w:w="90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846"/>
        <w:gridCol w:w="1843"/>
        <w:gridCol w:w="1247"/>
        <w:gridCol w:w="1247"/>
        <w:gridCol w:w="1247"/>
        <w:gridCol w:w="1247"/>
        <w:gridCol w:w="1361"/>
      </w:tblGrid>
      <w:tr w:rsidR="0004593F" w:rsidRPr="0004593F" w14:paraId="066ED62D" w14:textId="77777777" w:rsidTr="004B583B">
        <w:trPr>
          <w:trHeight w:val="255"/>
        </w:trPr>
        <w:tc>
          <w:tcPr>
            <w:tcW w:w="846" w:type="dxa"/>
            <w:shd w:val="clear" w:color="auto" w:fill="E5F1FF"/>
            <w:vAlign w:val="center"/>
          </w:tcPr>
          <w:p w14:paraId="40A4ED3E" w14:textId="77777777" w:rsidR="0004593F" w:rsidRPr="00952FA0" w:rsidRDefault="0004593F" w:rsidP="0004593F">
            <w:pPr>
              <w:spacing w:after="0"/>
              <w:contextualSpacing/>
              <w:jc w:val="center"/>
              <w:rPr>
                <w:rFonts w:cs="Calibri"/>
                <w:b/>
                <w:bCs/>
                <w:color w:val="000000"/>
                <w:sz w:val="18"/>
                <w:szCs w:val="18"/>
                <w:lang w:eastAsia="cs-CZ"/>
              </w:rPr>
            </w:pPr>
            <w:r w:rsidRPr="00952FA0">
              <w:rPr>
                <w:rFonts w:cs="Calibri"/>
                <w:b/>
                <w:bCs/>
                <w:color w:val="000000"/>
                <w:sz w:val="18"/>
                <w:szCs w:val="18"/>
                <w:lang w:eastAsia="cs-CZ"/>
              </w:rPr>
              <w:t>IČO</w:t>
            </w:r>
          </w:p>
        </w:tc>
        <w:tc>
          <w:tcPr>
            <w:tcW w:w="1843" w:type="dxa"/>
            <w:shd w:val="clear" w:color="auto" w:fill="E5F1FF"/>
            <w:noWrap/>
            <w:vAlign w:val="center"/>
            <w:hideMark/>
          </w:tcPr>
          <w:p w14:paraId="122E3D4A" w14:textId="77777777" w:rsidR="0004593F" w:rsidRPr="00952FA0" w:rsidRDefault="0004593F" w:rsidP="0004593F">
            <w:pPr>
              <w:spacing w:after="0"/>
              <w:contextualSpacing/>
              <w:jc w:val="center"/>
              <w:rPr>
                <w:rFonts w:cs="Calibri"/>
                <w:b/>
                <w:bCs/>
                <w:color w:val="000000"/>
                <w:sz w:val="18"/>
                <w:szCs w:val="18"/>
                <w:lang w:eastAsia="cs-CZ"/>
              </w:rPr>
            </w:pPr>
            <w:r w:rsidRPr="00952FA0">
              <w:rPr>
                <w:rFonts w:cs="Calibri"/>
                <w:b/>
                <w:bCs/>
                <w:color w:val="000000"/>
                <w:sz w:val="18"/>
                <w:szCs w:val="18"/>
                <w:lang w:eastAsia="cs-CZ"/>
              </w:rPr>
              <w:t>Účetní jednotka</w:t>
            </w:r>
          </w:p>
        </w:tc>
        <w:tc>
          <w:tcPr>
            <w:tcW w:w="1247" w:type="dxa"/>
            <w:shd w:val="clear" w:color="auto" w:fill="E5F1FF"/>
            <w:noWrap/>
            <w:vAlign w:val="center"/>
            <w:hideMark/>
          </w:tcPr>
          <w:p w14:paraId="12F20A97" w14:textId="77777777" w:rsidR="0004593F" w:rsidRPr="00952FA0" w:rsidRDefault="0004593F" w:rsidP="0004593F">
            <w:pPr>
              <w:spacing w:after="0"/>
              <w:contextualSpacing/>
              <w:jc w:val="center"/>
              <w:rPr>
                <w:rFonts w:cs="Calibri"/>
                <w:b/>
                <w:bCs/>
                <w:color w:val="000000"/>
                <w:sz w:val="18"/>
                <w:szCs w:val="18"/>
                <w:lang w:eastAsia="cs-CZ"/>
              </w:rPr>
            </w:pPr>
            <w:r w:rsidRPr="00952FA0">
              <w:rPr>
                <w:rFonts w:cs="Calibri"/>
                <w:b/>
                <w:bCs/>
                <w:color w:val="000000"/>
                <w:sz w:val="18"/>
                <w:szCs w:val="18"/>
                <w:lang w:eastAsia="cs-CZ"/>
              </w:rPr>
              <w:t>2014</w:t>
            </w:r>
          </w:p>
        </w:tc>
        <w:tc>
          <w:tcPr>
            <w:tcW w:w="1247" w:type="dxa"/>
            <w:shd w:val="clear" w:color="auto" w:fill="E5F1FF"/>
            <w:noWrap/>
            <w:vAlign w:val="center"/>
            <w:hideMark/>
          </w:tcPr>
          <w:p w14:paraId="6A8CFA00" w14:textId="77777777" w:rsidR="0004593F" w:rsidRPr="00952FA0" w:rsidRDefault="0004593F" w:rsidP="0004593F">
            <w:pPr>
              <w:spacing w:after="0"/>
              <w:contextualSpacing/>
              <w:jc w:val="center"/>
              <w:rPr>
                <w:rFonts w:cs="Calibri"/>
                <w:b/>
                <w:bCs/>
                <w:color w:val="000000"/>
                <w:sz w:val="18"/>
                <w:szCs w:val="18"/>
                <w:lang w:eastAsia="cs-CZ"/>
              </w:rPr>
            </w:pPr>
            <w:r w:rsidRPr="00952FA0">
              <w:rPr>
                <w:rFonts w:cs="Calibri"/>
                <w:b/>
                <w:bCs/>
                <w:color w:val="000000"/>
                <w:sz w:val="18"/>
                <w:szCs w:val="18"/>
                <w:lang w:eastAsia="cs-CZ"/>
              </w:rPr>
              <w:t>2015</w:t>
            </w:r>
          </w:p>
        </w:tc>
        <w:tc>
          <w:tcPr>
            <w:tcW w:w="1247" w:type="dxa"/>
            <w:shd w:val="clear" w:color="auto" w:fill="E5F1FF"/>
            <w:noWrap/>
            <w:vAlign w:val="center"/>
            <w:hideMark/>
          </w:tcPr>
          <w:p w14:paraId="3D5FC637" w14:textId="77777777" w:rsidR="0004593F" w:rsidRPr="00952FA0" w:rsidRDefault="0004593F" w:rsidP="0004593F">
            <w:pPr>
              <w:spacing w:after="0"/>
              <w:contextualSpacing/>
              <w:jc w:val="center"/>
              <w:rPr>
                <w:rFonts w:cs="Calibri"/>
                <w:b/>
                <w:bCs/>
                <w:color w:val="000000"/>
                <w:sz w:val="18"/>
                <w:szCs w:val="18"/>
                <w:lang w:eastAsia="cs-CZ"/>
              </w:rPr>
            </w:pPr>
            <w:r w:rsidRPr="00952FA0">
              <w:rPr>
                <w:rFonts w:cs="Calibri"/>
                <w:b/>
                <w:bCs/>
                <w:color w:val="000000"/>
                <w:sz w:val="18"/>
                <w:szCs w:val="18"/>
                <w:lang w:eastAsia="cs-CZ"/>
              </w:rPr>
              <w:t>2016</w:t>
            </w:r>
          </w:p>
        </w:tc>
        <w:tc>
          <w:tcPr>
            <w:tcW w:w="1247" w:type="dxa"/>
            <w:shd w:val="clear" w:color="auto" w:fill="E5F1FF"/>
            <w:noWrap/>
            <w:vAlign w:val="center"/>
            <w:hideMark/>
          </w:tcPr>
          <w:p w14:paraId="1E43FB42" w14:textId="77777777" w:rsidR="0004593F" w:rsidRPr="00952FA0" w:rsidRDefault="0004593F" w:rsidP="0004593F">
            <w:pPr>
              <w:spacing w:after="0"/>
              <w:contextualSpacing/>
              <w:jc w:val="center"/>
              <w:rPr>
                <w:rFonts w:cs="Calibri"/>
                <w:b/>
                <w:bCs/>
                <w:color w:val="000000"/>
                <w:sz w:val="18"/>
                <w:szCs w:val="18"/>
                <w:lang w:eastAsia="cs-CZ"/>
              </w:rPr>
            </w:pPr>
            <w:r w:rsidRPr="00952FA0">
              <w:rPr>
                <w:rFonts w:cs="Calibri"/>
                <w:b/>
                <w:bCs/>
                <w:color w:val="000000"/>
                <w:sz w:val="18"/>
                <w:szCs w:val="18"/>
                <w:lang w:eastAsia="cs-CZ"/>
              </w:rPr>
              <w:t>2017</w:t>
            </w:r>
          </w:p>
        </w:tc>
        <w:tc>
          <w:tcPr>
            <w:tcW w:w="1361" w:type="dxa"/>
            <w:shd w:val="clear" w:color="auto" w:fill="E5F1FF"/>
            <w:vAlign w:val="center"/>
          </w:tcPr>
          <w:p w14:paraId="310ACD32" w14:textId="77777777" w:rsidR="0004593F" w:rsidRPr="00952FA0" w:rsidRDefault="0004593F" w:rsidP="0004593F">
            <w:pPr>
              <w:spacing w:after="0"/>
              <w:contextualSpacing/>
              <w:jc w:val="center"/>
              <w:rPr>
                <w:rFonts w:cs="Calibri"/>
                <w:b/>
                <w:bCs/>
                <w:color w:val="000000"/>
                <w:sz w:val="18"/>
                <w:szCs w:val="18"/>
                <w:lang w:eastAsia="cs-CZ"/>
              </w:rPr>
            </w:pPr>
            <w:r w:rsidRPr="00952FA0">
              <w:rPr>
                <w:rFonts w:cs="Calibri"/>
                <w:b/>
                <w:bCs/>
                <w:color w:val="000000"/>
                <w:sz w:val="18"/>
                <w:szCs w:val="18"/>
                <w:lang w:eastAsia="cs-CZ"/>
              </w:rPr>
              <w:t>2018</w:t>
            </w:r>
          </w:p>
        </w:tc>
      </w:tr>
      <w:tr w:rsidR="0004593F" w:rsidRPr="0004593F" w14:paraId="41BE67FF" w14:textId="77777777" w:rsidTr="004B583B">
        <w:trPr>
          <w:trHeight w:val="255"/>
        </w:trPr>
        <w:tc>
          <w:tcPr>
            <w:tcW w:w="846" w:type="dxa"/>
            <w:vAlign w:val="center"/>
          </w:tcPr>
          <w:p w14:paraId="651B3C1C" w14:textId="77777777" w:rsidR="0004593F" w:rsidRPr="00952FA0" w:rsidRDefault="0004593F" w:rsidP="00D354C2">
            <w:pPr>
              <w:spacing w:after="0"/>
              <w:ind w:right="-57"/>
              <w:contextualSpacing/>
              <w:rPr>
                <w:rFonts w:eastAsia="Calibri" w:cs="Calibri"/>
                <w:color w:val="000000"/>
                <w:sz w:val="18"/>
                <w:szCs w:val="18"/>
              </w:rPr>
            </w:pPr>
            <w:r w:rsidRPr="00952FA0">
              <w:rPr>
                <w:rFonts w:eastAsia="Calibri" w:cs="Calibri"/>
                <w:color w:val="000000"/>
                <w:sz w:val="18"/>
                <w:szCs w:val="18"/>
              </w:rPr>
              <w:t>4095316</w:t>
            </w:r>
          </w:p>
        </w:tc>
        <w:tc>
          <w:tcPr>
            <w:tcW w:w="1843" w:type="dxa"/>
            <w:shd w:val="clear" w:color="auto" w:fill="auto"/>
            <w:noWrap/>
            <w:vAlign w:val="center"/>
          </w:tcPr>
          <w:p w14:paraId="60DDEE1D" w14:textId="77777777" w:rsidR="0004593F" w:rsidRPr="00952FA0" w:rsidRDefault="0004593F" w:rsidP="007D251A">
            <w:pPr>
              <w:spacing w:after="0"/>
              <w:ind w:right="-57"/>
              <w:contextualSpacing/>
              <w:rPr>
                <w:rFonts w:eastAsia="Calibri" w:cs="Calibri"/>
                <w:color w:val="000000"/>
                <w:sz w:val="18"/>
                <w:szCs w:val="18"/>
              </w:rPr>
            </w:pPr>
            <w:r w:rsidRPr="00952FA0">
              <w:rPr>
                <w:rFonts w:eastAsia="Calibri" w:cs="Calibri"/>
                <w:color w:val="000000"/>
                <w:sz w:val="18"/>
                <w:szCs w:val="18"/>
              </w:rPr>
              <w:t>Centrum pro regionální rozvoj České republiky</w:t>
            </w:r>
          </w:p>
        </w:tc>
        <w:tc>
          <w:tcPr>
            <w:tcW w:w="1247" w:type="dxa"/>
            <w:shd w:val="clear" w:color="auto" w:fill="auto"/>
            <w:noWrap/>
            <w:vAlign w:val="center"/>
          </w:tcPr>
          <w:p w14:paraId="3D04B69C" w14:textId="77777777" w:rsidR="0004593F" w:rsidRPr="00952FA0" w:rsidRDefault="0004593F" w:rsidP="004B583B">
            <w:pPr>
              <w:spacing w:after="0"/>
              <w:ind w:left="-57" w:right="-57"/>
              <w:contextualSpacing/>
              <w:jc w:val="center"/>
              <w:rPr>
                <w:rFonts w:eastAsia="Calibri" w:cs="Calibri"/>
                <w:color w:val="000000"/>
                <w:sz w:val="18"/>
                <w:szCs w:val="18"/>
              </w:rPr>
            </w:pPr>
            <w:r w:rsidRPr="00952FA0">
              <w:rPr>
                <w:rFonts w:eastAsia="Calibri" w:cs="Calibri"/>
                <w:color w:val="000000"/>
                <w:sz w:val="18"/>
                <w:szCs w:val="18"/>
              </w:rPr>
              <w:t>x</w:t>
            </w:r>
          </w:p>
        </w:tc>
        <w:tc>
          <w:tcPr>
            <w:tcW w:w="1247" w:type="dxa"/>
            <w:shd w:val="clear" w:color="auto" w:fill="auto"/>
            <w:noWrap/>
            <w:vAlign w:val="center"/>
          </w:tcPr>
          <w:p w14:paraId="78DE63F9"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92 948 502,15</w:t>
            </w:r>
          </w:p>
        </w:tc>
        <w:tc>
          <w:tcPr>
            <w:tcW w:w="1247" w:type="dxa"/>
            <w:shd w:val="clear" w:color="auto" w:fill="auto"/>
            <w:noWrap/>
            <w:vAlign w:val="center"/>
          </w:tcPr>
          <w:p w14:paraId="06AE377B"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324 396 784,60</w:t>
            </w:r>
          </w:p>
        </w:tc>
        <w:tc>
          <w:tcPr>
            <w:tcW w:w="1247" w:type="dxa"/>
            <w:shd w:val="clear" w:color="auto" w:fill="auto"/>
            <w:noWrap/>
            <w:vAlign w:val="center"/>
          </w:tcPr>
          <w:p w14:paraId="64930C13"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464 944 481,51</w:t>
            </w:r>
          </w:p>
        </w:tc>
        <w:tc>
          <w:tcPr>
            <w:tcW w:w="1361" w:type="dxa"/>
            <w:vAlign w:val="center"/>
          </w:tcPr>
          <w:p w14:paraId="78431D0D" w14:textId="77777777" w:rsidR="0004593F" w:rsidRPr="00952FA0" w:rsidRDefault="0004593F" w:rsidP="007D251A">
            <w:pPr>
              <w:spacing w:after="0"/>
              <w:ind w:left="-57"/>
              <w:contextualSpacing/>
              <w:jc w:val="right"/>
              <w:rPr>
                <w:rFonts w:eastAsia="Calibri" w:cs="Calibri"/>
                <w:color w:val="000000"/>
                <w:sz w:val="18"/>
                <w:szCs w:val="18"/>
              </w:rPr>
            </w:pPr>
            <w:r w:rsidRPr="00952FA0">
              <w:rPr>
                <w:rFonts w:eastAsia="Calibri" w:cs="Calibri"/>
                <w:color w:val="000000"/>
                <w:sz w:val="18"/>
                <w:szCs w:val="18"/>
              </w:rPr>
              <w:t>558 784 719,07</w:t>
            </w:r>
          </w:p>
        </w:tc>
      </w:tr>
      <w:tr w:rsidR="0004593F" w:rsidRPr="0004593F" w14:paraId="42549340" w14:textId="77777777" w:rsidTr="004B583B">
        <w:trPr>
          <w:trHeight w:val="255"/>
        </w:trPr>
        <w:tc>
          <w:tcPr>
            <w:tcW w:w="846" w:type="dxa"/>
            <w:vAlign w:val="center"/>
          </w:tcPr>
          <w:p w14:paraId="40A8673F" w14:textId="77777777" w:rsidR="0004593F" w:rsidRPr="00952FA0" w:rsidRDefault="0004593F" w:rsidP="00D354C2">
            <w:pPr>
              <w:spacing w:after="0"/>
              <w:ind w:right="-57"/>
              <w:contextualSpacing/>
              <w:rPr>
                <w:rFonts w:eastAsia="Calibri" w:cs="Calibri"/>
                <w:color w:val="000000"/>
                <w:sz w:val="18"/>
                <w:szCs w:val="18"/>
              </w:rPr>
            </w:pPr>
            <w:r w:rsidRPr="00952FA0">
              <w:rPr>
                <w:rFonts w:eastAsia="Calibri" w:cs="Calibri"/>
                <w:color w:val="000000"/>
                <w:sz w:val="18"/>
                <w:szCs w:val="18"/>
              </w:rPr>
              <w:t>65993870</w:t>
            </w:r>
          </w:p>
        </w:tc>
        <w:tc>
          <w:tcPr>
            <w:tcW w:w="1843" w:type="dxa"/>
            <w:shd w:val="clear" w:color="auto" w:fill="auto"/>
            <w:noWrap/>
            <w:vAlign w:val="center"/>
          </w:tcPr>
          <w:p w14:paraId="178DABEA" w14:textId="77777777" w:rsidR="0004593F" w:rsidRPr="00952FA0" w:rsidRDefault="0004593F" w:rsidP="007D251A">
            <w:pPr>
              <w:spacing w:after="0"/>
              <w:ind w:right="-57"/>
              <w:contextualSpacing/>
              <w:rPr>
                <w:rFonts w:eastAsia="Calibri" w:cs="Calibri"/>
                <w:color w:val="000000"/>
                <w:sz w:val="18"/>
                <w:szCs w:val="18"/>
              </w:rPr>
            </w:pPr>
            <w:r w:rsidRPr="00952FA0">
              <w:rPr>
                <w:rFonts w:eastAsia="Calibri" w:cs="Calibri"/>
                <w:color w:val="000000"/>
                <w:sz w:val="18"/>
                <w:szCs w:val="18"/>
              </w:rPr>
              <w:t>Centrum pro regionální rozvoj ČR</w:t>
            </w:r>
          </w:p>
        </w:tc>
        <w:tc>
          <w:tcPr>
            <w:tcW w:w="1247" w:type="dxa"/>
            <w:shd w:val="clear" w:color="auto" w:fill="auto"/>
            <w:noWrap/>
            <w:vAlign w:val="center"/>
          </w:tcPr>
          <w:p w14:paraId="3108E32F"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159 747 588,56</w:t>
            </w:r>
          </w:p>
        </w:tc>
        <w:tc>
          <w:tcPr>
            <w:tcW w:w="1247" w:type="dxa"/>
            <w:shd w:val="clear" w:color="auto" w:fill="auto"/>
            <w:noWrap/>
            <w:vAlign w:val="center"/>
          </w:tcPr>
          <w:p w14:paraId="3D005E3D" w14:textId="77777777" w:rsidR="0004593F" w:rsidRPr="00952FA0" w:rsidRDefault="0004593F" w:rsidP="004B583B">
            <w:pPr>
              <w:spacing w:after="0"/>
              <w:ind w:left="-57" w:right="-57"/>
              <w:contextualSpacing/>
              <w:jc w:val="center"/>
              <w:rPr>
                <w:rFonts w:eastAsia="Calibri" w:cs="Calibri"/>
                <w:color w:val="000000"/>
                <w:sz w:val="18"/>
                <w:szCs w:val="18"/>
              </w:rPr>
            </w:pPr>
            <w:r w:rsidRPr="00952FA0">
              <w:rPr>
                <w:rFonts w:eastAsia="Calibri" w:cs="Calibri"/>
                <w:color w:val="000000"/>
                <w:sz w:val="18"/>
                <w:szCs w:val="18"/>
              </w:rPr>
              <w:t>x</w:t>
            </w:r>
          </w:p>
        </w:tc>
        <w:tc>
          <w:tcPr>
            <w:tcW w:w="1247" w:type="dxa"/>
            <w:shd w:val="clear" w:color="auto" w:fill="auto"/>
            <w:noWrap/>
            <w:vAlign w:val="center"/>
          </w:tcPr>
          <w:p w14:paraId="522C0DAB" w14:textId="77777777" w:rsidR="0004593F" w:rsidRPr="00952FA0" w:rsidRDefault="0004593F" w:rsidP="004B583B">
            <w:pPr>
              <w:spacing w:after="0"/>
              <w:ind w:left="-57" w:right="-57"/>
              <w:contextualSpacing/>
              <w:jc w:val="center"/>
              <w:rPr>
                <w:rFonts w:eastAsia="Calibri" w:cs="Calibri"/>
                <w:color w:val="000000"/>
                <w:sz w:val="18"/>
                <w:szCs w:val="18"/>
              </w:rPr>
            </w:pPr>
            <w:r w:rsidRPr="00952FA0">
              <w:rPr>
                <w:rFonts w:eastAsia="Calibri" w:cs="Calibri"/>
                <w:color w:val="000000"/>
                <w:sz w:val="18"/>
                <w:szCs w:val="18"/>
              </w:rPr>
              <w:t>x</w:t>
            </w:r>
          </w:p>
        </w:tc>
        <w:tc>
          <w:tcPr>
            <w:tcW w:w="1247" w:type="dxa"/>
            <w:shd w:val="clear" w:color="auto" w:fill="auto"/>
            <w:noWrap/>
            <w:vAlign w:val="center"/>
          </w:tcPr>
          <w:p w14:paraId="7F154C35" w14:textId="77777777" w:rsidR="0004593F" w:rsidRPr="00952FA0" w:rsidRDefault="0004593F" w:rsidP="004B583B">
            <w:pPr>
              <w:spacing w:after="0"/>
              <w:ind w:left="-57" w:right="-57"/>
              <w:contextualSpacing/>
              <w:jc w:val="center"/>
              <w:rPr>
                <w:rFonts w:eastAsia="Calibri" w:cs="Calibri"/>
                <w:color w:val="000000"/>
                <w:sz w:val="18"/>
                <w:szCs w:val="18"/>
              </w:rPr>
            </w:pPr>
            <w:r w:rsidRPr="00952FA0">
              <w:rPr>
                <w:rFonts w:eastAsia="Calibri" w:cs="Calibri"/>
                <w:color w:val="000000"/>
                <w:sz w:val="18"/>
                <w:szCs w:val="18"/>
              </w:rPr>
              <w:t>x</w:t>
            </w:r>
          </w:p>
        </w:tc>
        <w:tc>
          <w:tcPr>
            <w:tcW w:w="1361" w:type="dxa"/>
            <w:vAlign w:val="center"/>
          </w:tcPr>
          <w:p w14:paraId="6F198D74" w14:textId="77777777" w:rsidR="0004593F" w:rsidRPr="00952FA0" w:rsidRDefault="0004593F" w:rsidP="007D251A">
            <w:pPr>
              <w:spacing w:after="0"/>
              <w:ind w:left="-57"/>
              <w:contextualSpacing/>
              <w:jc w:val="center"/>
              <w:rPr>
                <w:rFonts w:eastAsia="Calibri" w:cs="Calibri"/>
                <w:color w:val="000000"/>
                <w:sz w:val="18"/>
                <w:szCs w:val="18"/>
              </w:rPr>
            </w:pPr>
            <w:r w:rsidRPr="00952FA0">
              <w:rPr>
                <w:rFonts w:eastAsia="Calibri" w:cs="Calibri"/>
                <w:color w:val="000000"/>
                <w:sz w:val="18"/>
                <w:szCs w:val="18"/>
              </w:rPr>
              <w:t>x</w:t>
            </w:r>
          </w:p>
        </w:tc>
      </w:tr>
      <w:tr w:rsidR="0004593F" w:rsidRPr="0004593F" w14:paraId="3FB6991A" w14:textId="77777777" w:rsidTr="004B583B">
        <w:trPr>
          <w:trHeight w:val="255"/>
        </w:trPr>
        <w:tc>
          <w:tcPr>
            <w:tcW w:w="846" w:type="dxa"/>
            <w:vAlign w:val="center"/>
          </w:tcPr>
          <w:p w14:paraId="41A1DEAF" w14:textId="77777777" w:rsidR="0004593F" w:rsidRPr="00952FA0" w:rsidRDefault="0004593F" w:rsidP="00D354C2">
            <w:pPr>
              <w:spacing w:after="0"/>
              <w:ind w:right="-57"/>
              <w:contextualSpacing/>
              <w:rPr>
                <w:rFonts w:eastAsia="Calibri" w:cs="Calibri"/>
                <w:color w:val="000000"/>
                <w:sz w:val="18"/>
                <w:szCs w:val="18"/>
              </w:rPr>
            </w:pPr>
            <w:r w:rsidRPr="00952FA0">
              <w:rPr>
                <w:rFonts w:eastAsia="Calibri" w:cs="Calibri"/>
                <w:color w:val="000000"/>
                <w:sz w:val="18"/>
                <w:szCs w:val="18"/>
              </w:rPr>
              <w:t>49277600</w:t>
            </w:r>
          </w:p>
        </w:tc>
        <w:tc>
          <w:tcPr>
            <w:tcW w:w="1843" w:type="dxa"/>
            <w:shd w:val="clear" w:color="auto" w:fill="auto"/>
            <w:noWrap/>
            <w:vAlign w:val="center"/>
          </w:tcPr>
          <w:p w14:paraId="79E8B0A5" w14:textId="77777777" w:rsidR="0004593F" w:rsidRPr="00952FA0" w:rsidRDefault="0004593F" w:rsidP="007D251A">
            <w:pPr>
              <w:spacing w:after="0"/>
              <w:ind w:right="-57"/>
              <w:contextualSpacing/>
              <w:rPr>
                <w:rFonts w:eastAsia="Calibri" w:cs="Calibri"/>
                <w:color w:val="000000"/>
                <w:sz w:val="18"/>
                <w:szCs w:val="18"/>
              </w:rPr>
            </w:pPr>
            <w:r w:rsidRPr="00952FA0">
              <w:rPr>
                <w:rFonts w:eastAsia="Calibri" w:cs="Calibri"/>
                <w:color w:val="000000"/>
                <w:sz w:val="18"/>
                <w:szCs w:val="18"/>
              </w:rPr>
              <w:t>Česká centrála cestovního ruchu</w:t>
            </w:r>
          </w:p>
        </w:tc>
        <w:tc>
          <w:tcPr>
            <w:tcW w:w="1247" w:type="dxa"/>
            <w:shd w:val="clear" w:color="auto" w:fill="auto"/>
            <w:noWrap/>
            <w:vAlign w:val="center"/>
          </w:tcPr>
          <w:p w14:paraId="6ECD984F"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727 002 643,88</w:t>
            </w:r>
          </w:p>
        </w:tc>
        <w:tc>
          <w:tcPr>
            <w:tcW w:w="1247" w:type="dxa"/>
            <w:shd w:val="clear" w:color="auto" w:fill="auto"/>
            <w:noWrap/>
            <w:vAlign w:val="center"/>
          </w:tcPr>
          <w:p w14:paraId="6058FDF7"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570 998 281,38</w:t>
            </w:r>
          </w:p>
        </w:tc>
        <w:tc>
          <w:tcPr>
            <w:tcW w:w="1247" w:type="dxa"/>
            <w:shd w:val="clear" w:color="auto" w:fill="auto"/>
            <w:noWrap/>
            <w:vAlign w:val="center"/>
          </w:tcPr>
          <w:p w14:paraId="5113E2E4"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426 716 621,80</w:t>
            </w:r>
          </w:p>
        </w:tc>
        <w:tc>
          <w:tcPr>
            <w:tcW w:w="1247" w:type="dxa"/>
            <w:shd w:val="clear" w:color="auto" w:fill="auto"/>
            <w:noWrap/>
            <w:vAlign w:val="center"/>
          </w:tcPr>
          <w:p w14:paraId="02F42FD4" w14:textId="77777777" w:rsidR="0004593F" w:rsidRPr="00952FA0" w:rsidRDefault="0004593F" w:rsidP="004B583B">
            <w:pPr>
              <w:spacing w:after="0"/>
              <w:ind w:left="-57" w:right="-57"/>
              <w:contextualSpacing/>
              <w:jc w:val="right"/>
              <w:rPr>
                <w:rFonts w:eastAsia="Calibri" w:cs="Calibri"/>
                <w:color w:val="000000"/>
                <w:sz w:val="18"/>
                <w:szCs w:val="18"/>
              </w:rPr>
            </w:pPr>
            <w:r w:rsidRPr="00952FA0">
              <w:rPr>
                <w:rFonts w:eastAsia="Calibri" w:cs="Calibri"/>
                <w:color w:val="000000"/>
                <w:sz w:val="18"/>
                <w:szCs w:val="18"/>
              </w:rPr>
              <w:t>440 947 747,53</w:t>
            </w:r>
          </w:p>
        </w:tc>
        <w:tc>
          <w:tcPr>
            <w:tcW w:w="1361" w:type="dxa"/>
            <w:vAlign w:val="center"/>
          </w:tcPr>
          <w:p w14:paraId="6CDB9A2D" w14:textId="77777777" w:rsidR="0004593F" w:rsidRPr="00952FA0" w:rsidRDefault="0004593F" w:rsidP="007D251A">
            <w:pPr>
              <w:spacing w:after="0"/>
              <w:ind w:left="-57"/>
              <w:contextualSpacing/>
              <w:jc w:val="right"/>
              <w:rPr>
                <w:rFonts w:eastAsia="Calibri" w:cs="Calibri"/>
                <w:color w:val="000000"/>
                <w:sz w:val="18"/>
                <w:szCs w:val="18"/>
              </w:rPr>
            </w:pPr>
            <w:r w:rsidRPr="00952FA0">
              <w:rPr>
                <w:rFonts w:eastAsia="Calibri" w:cs="Calibri"/>
                <w:color w:val="000000"/>
                <w:sz w:val="18"/>
                <w:szCs w:val="18"/>
              </w:rPr>
              <w:t>479 026 492,39</w:t>
            </w:r>
          </w:p>
        </w:tc>
      </w:tr>
      <w:tr w:rsidR="004B583B" w:rsidRPr="0004593F" w14:paraId="200359A2" w14:textId="77777777" w:rsidTr="00CA5B95">
        <w:trPr>
          <w:trHeight w:val="255"/>
        </w:trPr>
        <w:tc>
          <w:tcPr>
            <w:tcW w:w="2689" w:type="dxa"/>
            <w:gridSpan w:val="2"/>
            <w:shd w:val="clear" w:color="auto" w:fill="F2C6C9"/>
            <w:vAlign w:val="center"/>
          </w:tcPr>
          <w:p w14:paraId="7015371C" w14:textId="00F2265D" w:rsidR="004B583B" w:rsidRPr="00952FA0" w:rsidRDefault="004B583B" w:rsidP="004B583B">
            <w:pPr>
              <w:spacing w:after="0"/>
              <w:ind w:right="-57"/>
              <w:contextualSpacing/>
              <w:rPr>
                <w:rFonts w:eastAsia="Calibri" w:cs="Calibri"/>
                <w:color w:val="000000"/>
                <w:sz w:val="18"/>
                <w:szCs w:val="18"/>
              </w:rPr>
            </w:pPr>
            <w:r w:rsidRPr="00952FA0">
              <w:rPr>
                <w:rFonts w:eastAsia="Calibri" w:cs="Calibri"/>
                <w:b/>
                <w:color w:val="000000"/>
                <w:sz w:val="18"/>
                <w:szCs w:val="18"/>
              </w:rPr>
              <w:t>Celkem</w:t>
            </w:r>
          </w:p>
        </w:tc>
        <w:tc>
          <w:tcPr>
            <w:tcW w:w="1247" w:type="dxa"/>
            <w:shd w:val="clear" w:color="auto" w:fill="F2C6C9"/>
            <w:noWrap/>
            <w:vAlign w:val="center"/>
          </w:tcPr>
          <w:p w14:paraId="78F01133" w14:textId="76838D61" w:rsidR="004B583B" w:rsidRPr="00952FA0" w:rsidRDefault="004B583B" w:rsidP="004B583B">
            <w:pPr>
              <w:spacing w:after="0"/>
              <w:ind w:left="-57" w:right="-57"/>
              <w:contextualSpacing/>
              <w:jc w:val="right"/>
              <w:rPr>
                <w:rFonts w:eastAsia="Calibri" w:cs="Calibri"/>
                <w:color w:val="000000"/>
                <w:sz w:val="18"/>
                <w:szCs w:val="18"/>
              </w:rPr>
            </w:pPr>
            <w:r w:rsidRPr="00952FA0">
              <w:rPr>
                <w:rFonts w:eastAsia="Calibri" w:cs="Calibri"/>
                <w:b/>
                <w:bCs/>
                <w:color w:val="000000"/>
                <w:sz w:val="18"/>
                <w:szCs w:val="18"/>
              </w:rPr>
              <w:t>886 750 232,44</w:t>
            </w:r>
          </w:p>
        </w:tc>
        <w:tc>
          <w:tcPr>
            <w:tcW w:w="1247" w:type="dxa"/>
            <w:shd w:val="clear" w:color="auto" w:fill="F2C6C9"/>
            <w:noWrap/>
            <w:vAlign w:val="center"/>
          </w:tcPr>
          <w:p w14:paraId="2CD0BE40" w14:textId="2FD3B781" w:rsidR="004B583B" w:rsidRPr="00952FA0" w:rsidRDefault="004B583B" w:rsidP="004B583B">
            <w:pPr>
              <w:spacing w:after="0"/>
              <w:ind w:left="-57" w:right="-57"/>
              <w:contextualSpacing/>
              <w:jc w:val="right"/>
              <w:rPr>
                <w:rFonts w:eastAsia="Calibri" w:cs="Calibri"/>
                <w:color w:val="000000"/>
                <w:sz w:val="18"/>
                <w:szCs w:val="18"/>
              </w:rPr>
            </w:pPr>
            <w:r w:rsidRPr="00952FA0">
              <w:rPr>
                <w:rFonts w:eastAsia="Calibri" w:cs="Calibri"/>
                <w:b/>
                <w:bCs/>
                <w:color w:val="000000"/>
                <w:sz w:val="18"/>
                <w:szCs w:val="18"/>
              </w:rPr>
              <w:t>663 946 783,53</w:t>
            </w:r>
          </w:p>
        </w:tc>
        <w:tc>
          <w:tcPr>
            <w:tcW w:w="1247" w:type="dxa"/>
            <w:shd w:val="clear" w:color="auto" w:fill="F2C6C9"/>
            <w:noWrap/>
            <w:vAlign w:val="center"/>
          </w:tcPr>
          <w:p w14:paraId="5F1F664E" w14:textId="68338DAD" w:rsidR="004B583B" w:rsidRPr="00952FA0" w:rsidRDefault="004B583B" w:rsidP="004B583B">
            <w:pPr>
              <w:spacing w:after="0"/>
              <w:ind w:left="-57" w:right="-57"/>
              <w:contextualSpacing/>
              <w:jc w:val="right"/>
              <w:rPr>
                <w:rFonts w:eastAsia="Calibri" w:cs="Calibri"/>
                <w:color w:val="000000"/>
                <w:sz w:val="18"/>
                <w:szCs w:val="18"/>
              </w:rPr>
            </w:pPr>
            <w:r w:rsidRPr="00952FA0">
              <w:rPr>
                <w:rFonts w:eastAsia="Calibri" w:cs="Calibri"/>
                <w:b/>
                <w:bCs/>
                <w:color w:val="000000"/>
                <w:sz w:val="18"/>
                <w:szCs w:val="18"/>
              </w:rPr>
              <w:t>751 113 406,40</w:t>
            </w:r>
          </w:p>
        </w:tc>
        <w:tc>
          <w:tcPr>
            <w:tcW w:w="1247" w:type="dxa"/>
            <w:shd w:val="clear" w:color="auto" w:fill="F2C6C9"/>
            <w:noWrap/>
            <w:vAlign w:val="center"/>
          </w:tcPr>
          <w:p w14:paraId="52A49BFF" w14:textId="1CCF206F" w:rsidR="004B583B" w:rsidRPr="00952FA0" w:rsidRDefault="004B583B" w:rsidP="004B583B">
            <w:pPr>
              <w:spacing w:after="0"/>
              <w:ind w:left="-57" w:right="-57"/>
              <w:contextualSpacing/>
              <w:jc w:val="right"/>
              <w:rPr>
                <w:rFonts w:eastAsia="Calibri" w:cs="Calibri"/>
                <w:color w:val="000000"/>
                <w:sz w:val="18"/>
                <w:szCs w:val="18"/>
              </w:rPr>
            </w:pPr>
            <w:r w:rsidRPr="00952FA0">
              <w:rPr>
                <w:rFonts w:eastAsia="Calibri" w:cs="Calibri"/>
                <w:b/>
                <w:bCs/>
                <w:color w:val="000000"/>
                <w:sz w:val="18"/>
                <w:szCs w:val="18"/>
              </w:rPr>
              <w:t>905 892 229,04</w:t>
            </w:r>
          </w:p>
        </w:tc>
        <w:tc>
          <w:tcPr>
            <w:tcW w:w="1361" w:type="dxa"/>
            <w:shd w:val="clear" w:color="auto" w:fill="F2C6C9"/>
            <w:vAlign w:val="center"/>
          </w:tcPr>
          <w:p w14:paraId="1001616D" w14:textId="511BFC18" w:rsidR="004B583B" w:rsidRPr="00952FA0" w:rsidRDefault="004B583B" w:rsidP="004B583B">
            <w:pPr>
              <w:spacing w:after="0"/>
              <w:ind w:left="-57"/>
              <w:contextualSpacing/>
              <w:jc w:val="right"/>
              <w:rPr>
                <w:rFonts w:eastAsia="Calibri" w:cs="Calibri"/>
                <w:color w:val="000000"/>
                <w:sz w:val="18"/>
                <w:szCs w:val="18"/>
              </w:rPr>
            </w:pPr>
            <w:r w:rsidRPr="00952FA0">
              <w:rPr>
                <w:rFonts w:eastAsia="Calibri" w:cs="Calibri"/>
                <w:b/>
                <w:bCs/>
                <w:color w:val="000000"/>
                <w:sz w:val="18"/>
                <w:szCs w:val="18"/>
              </w:rPr>
              <w:t>1 037 811 211,46</w:t>
            </w:r>
          </w:p>
        </w:tc>
      </w:tr>
    </w:tbl>
    <w:p w14:paraId="1E32DAB3" w14:textId="4157C960" w:rsidR="0004593F" w:rsidRDefault="0004593F" w:rsidP="007D251A">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w:t>
      </w:r>
    </w:p>
    <w:p w14:paraId="5FD54C47" w14:textId="77777777" w:rsidR="007C34C4" w:rsidRPr="00B55890" w:rsidRDefault="007C34C4" w:rsidP="0004593F">
      <w:pPr>
        <w:spacing w:after="0"/>
        <w:contextualSpacing/>
        <w:jc w:val="both"/>
        <w:rPr>
          <w:rFonts w:cs="Calibri"/>
          <w:color w:val="000000"/>
          <w:lang w:eastAsia="cs-CZ"/>
        </w:rPr>
      </w:pPr>
    </w:p>
    <w:p w14:paraId="1FFCBA74" w14:textId="1EB79FEB" w:rsidR="0004593F" w:rsidRPr="00B55890" w:rsidRDefault="0004593F" w:rsidP="00C21FB6">
      <w:pPr>
        <w:tabs>
          <w:tab w:val="right" w:pos="9070"/>
        </w:tabs>
        <w:spacing w:after="40"/>
        <w:rPr>
          <w:rFonts w:cs="Calibri"/>
          <w:b/>
          <w:iCs/>
        </w:rPr>
      </w:pPr>
      <w:bookmarkStart w:id="96" w:name="_Toc520714350"/>
      <w:bookmarkStart w:id="97" w:name="_Toc8984557"/>
      <w:bookmarkStart w:id="98" w:name="_Toc33100932"/>
      <w:r w:rsidRPr="00B55890">
        <w:rPr>
          <w:rFonts w:cs="Calibri"/>
          <w:b/>
          <w:iCs/>
        </w:rPr>
        <w:t xml:space="preserve">Tabulka č. </w:t>
      </w:r>
      <w:r w:rsidRPr="00B55890">
        <w:rPr>
          <w:rFonts w:cs="Calibri"/>
          <w:b/>
          <w:iCs/>
        </w:rPr>
        <w:fldChar w:fldCharType="begin"/>
      </w:r>
      <w:r w:rsidRPr="00B55890">
        <w:rPr>
          <w:rFonts w:cs="Calibri"/>
          <w:b/>
          <w:iCs/>
        </w:rPr>
        <w:instrText xml:space="preserve"> SEQ Tabulka \* ARABIC </w:instrText>
      </w:r>
      <w:r w:rsidRPr="00B55890">
        <w:rPr>
          <w:rFonts w:cs="Calibri"/>
          <w:b/>
          <w:iCs/>
        </w:rPr>
        <w:fldChar w:fldCharType="separate"/>
      </w:r>
      <w:r w:rsidR="00015BEA">
        <w:rPr>
          <w:rFonts w:cs="Calibri"/>
          <w:b/>
          <w:iCs/>
          <w:noProof/>
        </w:rPr>
        <w:t>25</w:t>
      </w:r>
      <w:r w:rsidRPr="00B55890">
        <w:rPr>
          <w:rFonts w:cs="Calibri"/>
          <w:b/>
          <w:iCs/>
        </w:rPr>
        <w:fldChar w:fldCharType="end"/>
      </w:r>
      <w:r w:rsidRPr="00B55890">
        <w:rPr>
          <w:rFonts w:cs="Calibri"/>
          <w:b/>
          <w:iCs/>
        </w:rPr>
        <w:t xml:space="preserve">: Výše příspěvku na provoz PO dle zákona č. 218/2000 Sb. </w:t>
      </w:r>
      <w:r w:rsidRPr="00B55890">
        <w:rPr>
          <w:rFonts w:cs="Calibri"/>
          <w:b/>
          <w:iCs/>
        </w:rPr>
        <w:tab/>
        <w:t>(v Kč)</w:t>
      </w:r>
      <w:bookmarkEnd w:id="96"/>
      <w:bookmarkEnd w:id="97"/>
      <w:bookmarkEnd w:id="98"/>
    </w:p>
    <w:tbl>
      <w:tblPr>
        <w:tblW w:w="9016" w:type="dxa"/>
        <w:tblLayout w:type="fixed"/>
        <w:tblCellMar>
          <w:left w:w="70" w:type="dxa"/>
          <w:right w:w="70" w:type="dxa"/>
        </w:tblCellMar>
        <w:tblLook w:val="04A0" w:firstRow="1" w:lastRow="0" w:firstColumn="1" w:lastColumn="0" w:noHBand="0" w:noVBand="1"/>
      </w:tblPr>
      <w:tblGrid>
        <w:gridCol w:w="822"/>
        <w:gridCol w:w="1814"/>
        <w:gridCol w:w="1276"/>
        <w:gridCol w:w="1276"/>
        <w:gridCol w:w="1276"/>
        <w:gridCol w:w="1276"/>
        <w:gridCol w:w="1276"/>
      </w:tblGrid>
      <w:tr w:rsidR="0004593F" w:rsidRPr="0055661D" w14:paraId="06A93869" w14:textId="77777777" w:rsidTr="004B583B">
        <w:trPr>
          <w:trHeight w:val="255"/>
        </w:trPr>
        <w:tc>
          <w:tcPr>
            <w:tcW w:w="822" w:type="dxa"/>
            <w:tcBorders>
              <w:top w:val="single" w:sz="4" w:space="0" w:color="auto"/>
              <w:left w:val="single" w:sz="4" w:space="0" w:color="auto"/>
              <w:bottom w:val="single" w:sz="4" w:space="0" w:color="auto"/>
              <w:right w:val="single" w:sz="4" w:space="0" w:color="auto"/>
            </w:tcBorders>
            <w:shd w:val="clear" w:color="auto" w:fill="E5F1FF"/>
            <w:vAlign w:val="center"/>
          </w:tcPr>
          <w:p w14:paraId="3D89BB2C" w14:textId="77777777" w:rsidR="0004593F" w:rsidRPr="0055661D" w:rsidRDefault="0004593F" w:rsidP="0004593F">
            <w:pPr>
              <w:spacing w:after="0"/>
              <w:contextualSpacing/>
              <w:jc w:val="center"/>
              <w:rPr>
                <w:rFonts w:cs="Calibri"/>
                <w:b/>
                <w:bCs/>
                <w:color w:val="000000"/>
                <w:sz w:val="18"/>
                <w:szCs w:val="20"/>
                <w:lang w:eastAsia="cs-CZ"/>
              </w:rPr>
            </w:pPr>
            <w:r w:rsidRPr="0055661D">
              <w:rPr>
                <w:rFonts w:cs="Calibri"/>
                <w:b/>
                <w:bCs/>
                <w:color w:val="000000"/>
                <w:sz w:val="18"/>
                <w:szCs w:val="20"/>
                <w:lang w:eastAsia="cs-CZ"/>
              </w:rPr>
              <w:t>IČO</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7DE6850" w14:textId="77777777" w:rsidR="0004593F" w:rsidRPr="0055661D" w:rsidRDefault="0004593F" w:rsidP="0004593F">
            <w:pPr>
              <w:spacing w:after="0"/>
              <w:contextualSpacing/>
              <w:jc w:val="center"/>
              <w:rPr>
                <w:rFonts w:cs="Calibri"/>
                <w:b/>
                <w:bCs/>
                <w:color w:val="000000"/>
                <w:sz w:val="18"/>
                <w:szCs w:val="20"/>
                <w:lang w:eastAsia="cs-CZ"/>
              </w:rPr>
            </w:pPr>
            <w:r w:rsidRPr="0055661D">
              <w:rPr>
                <w:rFonts w:cs="Calibri"/>
                <w:b/>
                <w:bCs/>
                <w:color w:val="000000"/>
                <w:sz w:val="18"/>
                <w:szCs w:val="20"/>
                <w:lang w:eastAsia="cs-CZ"/>
              </w:rPr>
              <w:t>Účetní jednotka</w:t>
            </w:r>
          </w:p>
        </w:tc>
        <w:tc>
          <w:tcPr>
            <w:tcW w:w="1276" w:type="dxa"/>
            <w:tcBorders>
              <w:top w:val="single" w:sz="4" w:space="0" w:color="auto"/>
              <w:left w:val="nil"/>
              <w:bottom w:val="single" w:sz="4" w:space="0" w:color="auto"/>
              <w:right w:val="single" w:sz="4" w:space="0" w:color="auto"/>
            </w:tcBorders>
            <w:shd w:val="clear" w:color="auto" w:fill="E5F1FF"/>
            <w:noWrap/>
            <w:vAlign w:val="center"/>
            <w:hideMark/>
          </w:tcPr>
          <w:p w14:paraId="5A54C364" w14:textId="77777777" w:rsidR="0004593F" w:rsidRPr="0055661D" w:rsidRDefault="0004593F" w:rsidP="0046732E">
            <w:pPr>
              <w:spacing w:after="0"/>
              <w:ind w:right="-57"/>
              <w:contextualSpacing/>
              <w:jc w:val="center"/>
              <w:rPr>
                <w:rFonts w:cs="Calibri"/>
                <w:b/>
                <w:bCs/>
                <w:color w:val="000000"/>
                <w:sz w:val="18"/>
                <w:szCs w:val="20"/>
                <w:lang w:eastAsia="cs-CZ"/>
              </w:rPr>
            </w:pPr>
            <w:r w:rsidRPr="0055661D">
              <w:rPr>
                <w:rFonts w:cs="Calibri"/>
                <w:b/>
                <w:bCs/>
                <w:color w:val="000000"/>
                <w:sz w:val="18"/>
                <w:szCs w:val="20"/>
                <w:lang w:eastAsia="cs-CZ"/>
              </w:rPr>
              <w:t>2014</w:t>
            </w:r>
          </w:p>
        </w:tc>
        <w:tc>
          <w:tcPr>
            <w:tcW w:w="1276" w:type="dxa"/>
            <w:tcBorders>
              <w:top w:val="single" w:sz="4" w:space="0" w:color="auto"/>
              <w:left w:val="nil"/>
              <w:bottom w:val="single" w:sz="4" w:space="0" w:color="auto"/>
              <w:right w:val="single" w:sz="4" w:space="0" w:color="auto"/>
            </w:tcBorders>
            <w:shd w:val="clear" w:color="auto" w:fill="E5F1FF"/>
            <w:noWrap/>
            <w:vAlign w:val="center"/>
            <w:hideMark/>
          </w:tcPr>
          <w:p w14:paraId="00D8B69D" w14:textId="77777777" w:rsidR="0004593F" w:rsidRPr="0055661D" w:rsidRDefault="0004593F" w:rsidP="0004593F">
            <w:pPr>
              <w:spacing w:after="0"/>
              <w:contextualSpacing/>
              <w:jc w:val="center"/>
              <w:rPr>
                <w:rFonts w:cs="Calibri"/>
                <w:b/>
                <w:bCs/>
                <w:color w:val="000000"/>
                <w:sz w:val="18"/>
                <w:szCs w:val="20"/>
                <w:lang w:eastAsia="cs-CZ"/>
              </w:rPr>
            </w:pPr>
            <w:r w:rsidRPr="0055661D">
              <w:rPr>
                <w:rFonts w:cs="Calibri"/>
                <w:b/>
                <w:bCs/>
                <w:color w:val="000000"/>
                <w:sz w:val="18"/>
                <w:szCs w:val="20"/>
                <w:lang w:eastAsia="cs-CZ"/>
              </w:rPr>
              <w:t>2015</w:t>
            </w:r>
          </w:p>
        </w:tc>
        <w:tc>
          <w:tcPr>
            <w:tcW w:w="1276" w:type="dxa"/>
            <w:tcBorders>
              <w:top w:val="single" w:sz="4" w:space="0" w:color="auto"/>
              <w:left w:val="nil"/>
              <w:bottom w:val="single" w:sz="4" w:space="0" w:color="auto"/>
              <w:right w:val="single" w:sz="4" w:space="0" w:color="auto"/>
            </w:tcBorders>
            <w:shd w:val="clear" w:color="auto" w:fill="E5F1FF"/>
            <w:noWrap/>
            <w:vAlign w:val="center"/>
            <w:hideMark/>
          </w:tcPr>
          <w:p w14:paraId="14E24C00" w14:textId="77777777" w:rsidR="0004593F" w:rsidRPr="0055661D" w:rsidRDefault="0004593F" w:rsidP="0004593F">
            <w:pPr>
              <w:spacing w:after="0"/>
              <w:contextualSpacing/>
              <w:jc w:val="center"/>
              <w:rPr>
                <w:rFonts w:cs="Calibri"/>
                <w:b/>
                <w:bCs/>
                <w:color w:val="000000"/>
                <w:sz w:val="18"/>
                <w:szCs w:val="20"/>
                <w:lang w:eastAsia="cs-CZ"/>
              </w:rPr>
            </w:pPr>
            <w:r w:rsidRPr="0055661D">
              <w:rPr>
                <w:rFonts w:cs="Calibri"/>
                <w:b/>
                <w:bCs/>
                <w:color w:val="000000"/>
                <w:sz w:val="18"/>
                <w:szCs w:val="20"/>
                <w:lang w:eastAsia="cs-CZ"/>
              </w:rPr>
              <w:t>2016</w:t>
            </w:r>
          </w:p>
        </w:tc>
        <w:tc>
          <w:tcPr>
            <w:tcW w:w="1276" w:type="dxa"/>
            <w:tcBorders>
              <w:top w:val="single" w:sz="4" w:space="0" w:color="auto"/>
              <w:left w:val="nil"/>
              <w:bottom w:val="single" w:sz="4" w:space="0" w:color="auto"/>
              <w:right w:val="single" w:sz="4" w:space="0" w:color="auto"/>
            </w:tcBorders>
            <w:shd w:val="clear" w:color="auto" w:fill="E5F1FF"/>
            <w:noWrap/>
            <w:vAlign w:val="center"/>
            <w:hideMark/>
          </w:tcPr>
          <w:p w14:paraId="488A60DC" w14:textId="77777777" w:rsidR="0004593F" w:rsidRPr="0055661D" w:rsidRDefault="0004593F" w:rsidP="0004593F">
            <w:pPr>
              <w:spacing w:after="0"/>
              <w:contextualSpacing/>
              <w:jc w:val="center"/>
              <w:rPr>
                <w:rFonts w:cs="Calibri"/>
                <w:b/>
                <w:bCs/>
                <w:color w:val="000000"/>
                <w:sz w:val="18"/>
                <w:szCs w:val="20"/>
                <w:lang w:eastAsia="cs-CZ"/>
              </w:rPr>
            </w:pPr>
            <w:r w:rsidRPr="0055661D">
              <w:rPr>
                <w:rFonts w:cs="Calibri"/>
                <w:b/>
                <w:bCs/>
                <w:color w:val="000000"/>
                <w:sz w:val="18"/>
                <w:szCs w:val="20"/>
                <w:lang w:eastAsia="cs-CZ"/>
              </w:rPr>
              <w:t>2017</w:t>
            </w:r>
          </w:p>
        </w:tc>
        <w:tc>
          <w:tcPr>
            <w:tcW w:w="1276" w:type="dxa"/>
            <w:tcBorders>
              <w:top w:val="single" w:sz="4" w:space="0" w:color="auto"/>
              <w:left w:val="nil"/>
              <w:bottom w:val="single" w:sz="4" w:space="0" w:color="auto"/>
              <w:right w:val="single" w:sz="4" w:space="0" w:color="auto"/>
            </w:tcBorders>
            <w:shd w:val="clear" w:color="auto" w:fill="E5F1FF"/>
            <w:vAlign w:val="center"/>
          </w:tcPr>
          <w:p w14:paraId="7FB2BA7D" w14:textId="77777777" w:rsidR="0004593F" w:rsidRPr="0055661D" w:rsidRDefault="0004593F" w:rsidP="0004593F">
            <w:pPr>
              <w:spacing w:after="0"/>
              <w:contextualSpacing/>
              <w:jc w:val="center"/>
              <w:rPr>
                <w:rFonts w:cs="Calibri"/>
                <w:b/>
                <w:bCs/>
                <w:color w:val="000000"/>
                <w:sz w:val="18"/>
                <w:szCs w:val="20"/>
                <w:lang w:eastAsia="cs-CZ"/>
              </w:rPr>
            </w:pPr>
            <w:r w:rsidRPr="0055661D">
              <w:rPr>
                <w:rFonts w:cs="Calibri"/>
                <w:b/>
                <w:bCs/>
                <w:color w:val="000000"/>
                <w:sz w:val="18"/>
                <w:szCs w:val="20"/>
                <w:lang w:eastAsia="cs-CZ"/>
              </w:rPr>
              <w:t>2018</w:t>
            </w:r>
          </w:p>
        </w:tc>
      </w:tr>
      <w:tr w:rsidR="0004593F" w:rsidRPr="0055661D" w14:paraId="07E9C31F" w14:textId="77777777" w:rsidTr="004B583B">
        <w:trPr>
          <w:trHeight w:val="255"/>
        </w:trPr>
        <w:tc>
          <w:tcPr>
            <w:tcW w:w="822" w:type="dxa"/>
            <w:tcBorders>
              <w:top w:val="nil"/>
              <w:left w:val="single" w:sz="4" w:space="0" w:color="auto"/>
              <w:bottom w:val="single" w:sz="4" w:space="0" w:color="auto"/>
              <w:right w:val="single" w:sz="4" w:space="0" w:color="auto"/>
            </w:tcBorders>
            <w:vAlign w:val="center"/>
          </w:tcPr>
          <w:p w14:paraId="24E5D64F" w14:textId="77777777" w:rsidR="0004593F" w:rsidRPr="0055661D" w:rsidRDefault="0004593F" w:rsidP="0055661D">
            <w:pPr>
              <w:spacing w:after="0"/>
              <w:ind w:right="-57"/>
              <w:contextualSpacing/>
              <w:rPr>
                <w:rFonts w:eastAsia="Calibri" w:cs="Calibri"/>
                <w:color w:val="000000"/>
                <w:sz w:val="18"/>
                <w:szCs w:val="20"/>
              </w:rPr>
            </w:pPr>
            <w:r w:rsidRPr="0055661D">
              <w:rPr>
                <w:rFonts w:eastAsia="Calibri" w:cs="Calibri"/>
                <w:color w:val="000000"/>
                <w:sz w:val="18"/>
                <w:szCs w:val="20"/>
              </w:rPr>
              <w:t>4095316</w:t>
            </w:r>
          </w:p>
        </w:tc>
        <w:tc>
          <w:tcPr>
            <w:tcW w:w="1814" w:type="dxa"/>
            <w:tcBorders>
              <w:top w:val="nil"/>
              <w:left w:val="single" w:sz="4" w:space="0" w:color="auto"/>
              <w:bottom w:val="single" w:sz="4" w:space="0" w:color="auto"/>
              <w:right w:val="single" w:sz="4" w:space="0" w:color="auto"/>
            </w:tcBorders>
            <w:shd w:val="clear" w:color="auto" w:fill="auto"/>
            <w:noWrap/>
            <w:vAlign w:val="center"/>
          </w:tcPr>
          <w:p w14:paraId="205B5717" w14:textId="77777777" w:rsidR="0004593F" w:rsidRPr="0055661D" w:rsidRDefault="0004593F" w:rsidP="0055661D">
            <w:pPr>
              <w:spacing w:after="0"/>
              <w:ind w:right="-57"/>
              <w:contextualSpacing/>
              <w:rPr>
                <w:rFonts w:eastAsia="Calibri" w:cs="Calibri"/>
                <w:color w:val="000000"/>
                <w:sz w:val="18"/>
                <w:szCs w:val="20"/>
              </w:rPr>
            </w:pPr>
            <w:r w:rsidRPr="0055661D">
              <w:rPr>
                <w:rFonts w:eastAsia="Calibri" w:cs="Calibri"/>
                <w:color w:val="000000"/>
                <w:sz w:val="18"/>
                <w:szCs w:val="20"/>
              </w:rPr>
              <w:t>Centrum pro regionální rozvoj České republiky</w:t>
            </w:r>
          </w:p>
        </w:tc>
        <w:tc>
          <w:tcPr>
            <w:tcW w:w="1276" w:type="dxa"/>
            <w:tcBorders>
              <w:top w:val="nil"/>
              <w:left w:val="nil"/>
              <w:bottom w:val="single" w:sz="4" w:space="0" w:color="auto"/>
              <w:right w:val="single" w:sz="4" w:space="0" w:color="auto"/>
            </w:tcBorders>
            <w:shd w:val="clear" w:color="auto" w:fill="auto"/>
            <w:noWrap/>
            <w:vAlign w:val="center"/>
          </w:tcPr>
          <w:p w14:paraId="6B28BE48" w14:textId="77777777" w:rsidR="0004593F" w:rsidRPr="0055661D" w:rsidRDefault="0004593F" w:rsidP="004B583B">
            <w:pPr>
              <w:spacing w:after="0"/>
              <w:contextualSpacing/>
              <w:jc w:val="center"/>
              <w:rPr>
                <w:rFonts w:eastAsia="Calibri" w:cs="Calibri"/>
                <w:color w:val="000000"/>
                <w:sz w:val="18"/>
                <w:szCs w:val="20"/>
              </w:rPr>
            </w:pPr>
            <w:r w:rsidRPr="0055661D">
              <w:rPr>
                <w:rFonts w:eastAsia="Calibri" w:cs="Calibri"/>
                <w:color w:val="000000"/>
                <w:sz w:val="18"/>
                <w:szCs w:val="20"/>
              </w:rPr>
              <w:t>x</w:t>
            </w:r>
          </w:p>
        </w:tc>
        <w:tc>
          <w:tcPr>
            <w:tcW w:w="1276" w:type="dxa"/>
            <w:tcBorders>
              <w:top w:val="nil"/>
              <w:left w:val="nil"/>
              <w:bottom w:val="single" w:sz="4" w:space="0" w:color="auto"/>
              <w:right w:val="single" w:sz="4" w:space="0" w:color="auto"/>
            </w:tcBorders>
            <w:shd w:val="clear" w:color="auto" w:fill="auto"/>
            <w:noWrap/>
            <w:vAlign w:val="center"/>
          </w:tcPr>
          <w:p w14:paraId="1518C173"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8 781 647,81</w:t>
            </w:r>
          </w:p>
        </w:tc>
        <w:tc>
          <w:tcPr>
            <w:tcW w:w="1276" w:type="dxa"/>
            <w:tcBorders>
              <w:top w:val="nil"/>
              <w:left w:val="nil"/>
              <w:bottom w:val="single" w:sz="4" w:space="0" w:color="auto"/>
              <w:right w:val="single" w:sz="4" w:space="0" w:color="auto"/>
            </w:tcBorders>
            <w:shd w:val="clear" w:color="auto" w:fill="auto"/>
            <w:noWrap/>
            <w:vAlign w:val="center"/>
          </w:tcPr>
          <w:p w14:paraId="71C224D4"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71 263 090,00</w:t>
            </w:r>
          </w:p>
        </w:tc>
        <w:tc>
          <w:tcPr>
            <w:tcW w:w="1276" w:type="dxa"/>
            <w:tcBorders>
              <w:top w:val="nil"/>
              <w:left w:val="nil"/>
              <w:bottom w:val="single" w:sz="4" w:space="0" w:color="auto"/>
              <w:right w:val="single" w:sz="4" w:space="0" w:color="auto"/>
            </w:tcBorders>
            <w:shd w:val="clear" w:color="auto" w:fill="auto"/>
            <w:noWrap/>
            <w:vAlign w:val="center"/>
          </w:tcPr>
          <w:p w14:paraId="400BC0DE"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85 854 831,09</w:t>
            </w:r>
          </w:p>
        </w:tc>
        <w:tc>
          <w:tcPr>
            <w:tcW w:w="1276" w:type="dxa"/>
            <w:tcBorders>
              <w:top w:val="nil"/>
              <w:left w:val="nil"/>
              <w:bottom w:val="single" w:sz="4" w:space="0" w:color="auto"/>
              <w:right w:val="single" w:sz="4" w:space="0" w:color="auto"/>
            </w:tcBorders>
            <w:vAlign w:val="center"/>
          </w:tcPr>
          <w:p w14:paraId="1DF2D533"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77 423 418,45</w:t>
            </w:r>
          </w:p>
        </w:tc>
      </w:tr>
      <w:tr w:rsidR="0004593F" w:rsidRPr="0055661D" w14:paraId="65773BC3" w14:textId="77777777" w:rsidTr="004B583B">
        <w:trPr>
          <w:trHeight w:val="255"/>
        </w:trPr>
        <w:tc>
          <w:tcPr>
            <w:tcW w:w="822" w:type="dxa"/>
            <w:tcBorders>
              <w:top w:val="single" w:sz="4" w:space="0" w:color="auto"/>
              <w:left w:val="single" w:sz="4" w:space="0" w:color="auto"/>
              <w:bottom w:val="single" w:sz="4" w:space="0" w:color="auto"/>
              <w:right w:val="single" w:sz="4" w:space="0" w:color="auto"/>
            </w:tcBorders>
            <w:vAlign w:val="center"/>
          </w:tcPr>
          <w:p w14:paraId="2DEF3B94" w14:textId="77777777" w:rsidR="0004593F" w:rsidRPr="0055661D" w:rsidRDefault="0004593F" w:rsidP="0055661D">
            <w:pPr>
              <w:spacing w:after="0"/>
              <w:ind w:right="-57"/>
              <w:contextualSpacing/>
              <w:rPr>
                <w:rFonts w:eastAsia="Calibri" w:cs="Calibri"/>
                <w:color w:val="000000"/>
                <w:sz w:val="18"/>
                <w:szCs w:val="20"/>
              </w:rPr>
            </w:pPr>
            <w:r w:rsidRPr="0055661D">
              <w:rPr>
                <w:rFonts w:eastAsia="Calibri" w:cs="Calibri"/>
                <w:color w:val="000000"/>
                <w:sz w:val="18"/>
                <w:szCs w:val="20"/>
              </w:rPr>
              <w:t>65993870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D62E6" w14:textId="77777777" w:rsidR="0004593F" w:rsidRPr="0055661D" w:rsidRDefault="0004593F" w:rsidP="0055661D">
            <w:pPr>
              <w:spacing w:after="0"/>
              <w:ind w:right="-57"/>
              <w:contextualSpacing/>
              <w:rPr>
                <w:rFonts w:eastAsia="Calibri" w:cs="Calibri"/>
                <w:color w:val="000000"/>
                <w:sz w:val="18"/>
                <w:szCs w:val="20"/>
              </w:rPr>
            </w:pPr>
            <w:r w:rsidRPr="0055661D">
              <w:rPr>
                <w:rFonts w:eastAsia="Calibri" w:cs="Calibri"/>
                <w:color w:val="000000"/>
                <w:sz w:val="18"/>
                <w:szCs w:val="20"/>
              </w:rPr>
              <w:t>Centrum pro regionální rozvoj ČR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57EBFE"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37 417 045,00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055254" w14:textId="77777777" w:rsidR="0004593F" w:rsidRPr="0055661D" w:rsidRDefault="0004593F" w:rsidP="004B583B">
            <w:pPr>
              <w:spacing w:after="0"/>
              <w:contextualSpacing/>
              <w:jc w:val="center"/>
              <w:rPr>
                <w:rFonts w:eastAsia="Calibri" w:cs="Calibri"/>
                <w:color w:val="000000"/>
                <w:sz w:val="18"/>
                <w:szCs w:val="20"/>
              </w:rPr>
            </w:pPr>
            <w:r w:rsidRPr="0055661D">
              <w:rPr>
                <w:rFonts w:eastAsia="Calibri" w:cs="Calibri"/>
                <w:color w:val="000000"/>
                <w:sz w:val="18"/>
                <w:szCs w:val="20"/>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343F4E" w14:textId="77777777" w:rsidR="0004593F" w:rsidRPr="0055661D" w:rsidRDefault="0004593F" w:rsidP="004B583B">
            <w:pPr>
              <w:spacing w:after="0"/>
              <w:contextualSpacing/>
              <w:jc w:val="center"/>
              <w:rPr>
                <w:rFonts w:eastAsia="Calibri" w:cs="Calibri"/>
                <w:color w:val="000000"/>
                <w:sz w:val="18"/>
                <w:szCs w:val="20"/>
              </w:rPr>
            </w:pPr>
            <w:r w:rsidRPr="0055661D">
              <w:rPr>
                <w:rFonts w:eastAsia="Calibri" w:cs="Calibri"/>
                <w:color w:val="000000"/>
                <w:sz w:val="18"/>
                <w:szCs w:val="20"/>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6D3E32" w14:textId="77777777" w:rsidR="0004593F" w:rsidRPr="0055661D" w:rsidRDefault="0004593F" w:rsidP="004B583B">
            <w:pPr>
              <w:spacing w:after="0"/>
              <w:contextualSpacing/>
              <w:jc w:val="center"/>
              <w:rPr>
                <w:rFonts w:eastAsia="Calibri" w:cs="Calibri"/>
                <w:color w:val="000000"/>
                <w:sz w:val="18"/>
                <w:szCs w:val="20"/>
              </w:rPr>
            </w:pPr>
            <w:r w:rsidRPr="0055661D">
              <w:rPr>
                <w:rFonts w:eastAsia="Calibri" w:cs="Calibri"/>
                <w:color w:val="000000"/>
                <w:sz w:val="18"/>
                <w:szCs w:val="20"/>
              </w:rPr>
              <w:t>x</w:t>
            </w:r>
          </w:p>
        </w:tc>
        <w:tc>
          <w:tcPr>
            <w:tcW w:w="1276" w:type="dxa"/>
            <w:tcBorders>
              <w:top w:val="single" w:sz="4" w:space="0" w:color="auto"/>
              <w:left w:val="nil"/>
              <w:bottom w:val="single" w:sz="4" w:space="0" w:color="auto"/>
              <w:right w:val="single" w:sz="4" w:space="0" w:color="auto"/>
            </w:tcBorders>
            <w:vAlign w:val="center"/>
          </w:tcPr>
          <w:p w14:paraId="5EF7DA1C" w14:textId="77777777" w:rsidR="0004593F" w:rsidRPr="0055661D" w:rsidRDefault="0004593F" w:rsidP="004B583B">
            <w:pPr>
              <w:spacing w:after="0"/>
              <w:contextualSpacing/>
              <w:jc w:val="center"/>
              <w:rPr>
                <w:rFonts w:eastAsia="Calibri" w:cs="Calibri"/>
                <w:color w:val="000000"/>
                <w:sz w:val="18"/>
                <w:szCs w:val="20"/>
              </w:rPr>
            </w:pPr>
            <w:r w:rsidRPr="0055661D">
              <w:rPr>
                <w:rFonts w:eastAsia="Calibri" w:cs="Calibri"/>
                <w:color w:val="000000"/>
                <w:sz w:val="18"/>
                <w:szCs w:val="20"/>
              </w:rPr>
              <w:t>x</w:t>
            </w:r>
          </w:p>
        </w:tc>
      </w:tr>
      <w:tr w:rsidR="0004593F" w:rsidRPr="0055661D" w14:paraId="78C50D1D" w14:textId="77777777" w:rsidTr="004B583B">
        <w:trPr>
          <w:trHeight w:val="255"/>
        </w:trPr>
        <w:tc>
          <w:tcPr>
            <w:tcW w:w="822" w:type="dxa"/>
            <w:tcBorders>
              <w:top w:val="single" w:sz="4" w:space="0" w:color="auto"/>
              <w:left w:val="single" w:sz="4" w:space="0" w:color="auto"/>
              <w:bottom w:val="single" w:sz="4" w:space="0" w:color="auto"/>
              <w:right w:val="single" w:sz="4" w:space="0" w:color="auto"/>
            </w:tcBorders>
            <w:vAlign w:val="center"/>
          </w:tcPr>
          <w:p w14:paraId="2A3C8EA5" w14:textId="77777777" w:rsidR="0004593F" w:rsidRPr="0055661D" w:rsidRDefault="0004593F" w:rsidP="0055661D">
            <w:pPr>
              <w:spacing w:after="0"/>
              <w:ind w:right="-57"/>
              <w:contextualSpacing/>
              <w:rPr>
                <w:rFonts w:eastAsia="Calibri" w:cs="Calibri"/>
                <w:color w:val="000000"/>
                <w:sz w:val="18"/>
                <w:szCs w:val="20"/>
              </w:rPr>
            </w:pPr>
            <w:r w:rsidRPr="0055661D">
              <w:rPr>
                <w:rFonts w:eastAsia="Calibri" w:cs="Calibri"/>
                <w:color w:val="000000"/>
                <w:sz w:val="18"/>
                <w:szCs w:val="20"/>
              </w:rPr>
              <w:t>49277600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90B82" w14:textId="77777777" w:rsidR="0004593F" w:rsidRPr="0055661D" w:rsidRDefault="0004593F" w:rsidP="0055661D">
            <w:pPr>
              <w:spacing w:after="0"/>
              <w:ind w:right="-57"/>
              <w:contextualSpacing/>
              <w:rPr>
                <w:rFonts w:eastAsia="Calibri" w:cs="Calibri"/>
                <w:color w:val="000000"/>
                <w:sz w:val="18"/>
                <w:szCs w:val="20"/>
              </w:rPr>
            </w:pPr>
            <w:r w:rsidRPr="0055661D">
              <w:rPr>
                <w:rFonts w:eastAsia="Calibri" w:cs="Calibri"/>
                <w:color w:val="000000"/>
                <w:sz w:val="18"/>
                <w:szCs w:val="20"/>
              </w:rPr>
              <w:t>Česká centrála cestovního ruchu</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7B6393"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387 057 129,00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A7E73A"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359 531 099,00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5E7A54"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348 935 154,00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87D5B1"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350 699 898,00</w:t>
            </w:r>
          </w:p>
        </w:tc>
        <w:tc>
          <w:tcPr>
            <w:tcW w:w="1276" w:type="dxa"/>
            <w:tcBorders>
              <w:top w:val="single" w:sz="4" w:space="0" w:color="auto"/>
              <w:left w:val="nil"/>
              <w:bottom w:val="single" w:sz="4" w:space="0" w:color="auto"/>
              <w:right w:val="single" w:sz="4" w:space="0" w:color="auto"/>
            </w:tcBorders>
            <w:vAlign w:val="center"/>
          </w:tcPr>
          <w:p w14:paraId="301D8D5E" w14:textId="77777777" w:rsidR="0004593F" w:rsidRPr="0055661D" w:rsidRDefault="0004593F" w:rsidP="004B583B">
            <w:pPr>
              <w:spacing w:after="0"/>
              <w:contextualSpacing/>
              <w:jc w:val="right"/>
              <w:rPr>
                <w:rFonts w:eastAsia="Calibri" w:cs="Calibri"/>
                <w:color w:val="000000"/>
                <w:sz w:val="18"/>
                <w:szCs w:val="20"/>
              </w:rPr>
            </w:pPr>
            <w:r w:rsidRPr="0055661D">
              <w:rPr>
                <w:rFonts w:eastAsia="Calibri" w:cs="Calibri"/>
                <w:color w:val="000000"/>
                <w:sz w:val="18"/>
                <w:szCs w:val="20"/>
              </w:rPr>
              <w:t>350 568 226,00</w:t>
            </w:r>
          </w:p>
        </w:tc>
      </w:tr>
      <w:tr w:rsidR="0046732E" w:rsidRPr="0055661D" w14:paraId="73C11ABC" w14:textId="77777777" w:rsidTr="004B583B">
        <w:trPr>
          <w:trHeight w:val="255"/>
        </w:trPr>
        <w:tc>
          <w:tcPr>
            <w:tcW w:w="822" w:type="dxa"/>
            <w:tcBorders>
              <w:top w:val="single" w:sz="4" w:space="0" w:color="auto"/>
              <w:left w:val="single" w:sz="4" w:space="0" w:color="auto"/>
              <w:bottom w:val="single" w:sz="4" w:space="0" w:color="auto"/>
              <w:right w:val="single" w:sz="4" w:space="0" w:color="auto"/>
            </w:tcBorders>
            <w:shd w:val="clear" w:color="auto" w:fill="F2C6C9"/>
            <w:vAlign w:val="center"/>
          </w:tcPr>
          <w:p w14:paraId="1288B8D5" w14:textId="1C2FD308" w:rsidR="0046732E" w:rsidRPr="0055661D" w:rsidRDefault="0046732E" w:rsidP="0046732E">
            <w:pPr>
              <w:spacing w:after="0"/>
              <w:ind w:right="-57"/>
              <w:contextualSpacing/>
              <w:rPr>
                <w:rFonts w:eastAsia="Calibri" w:cs="Calibri"/>
                <w:color w:val="000000"/>
                <w:sz w:val="18"/>
                <w:szCs w:val="20"/>
              </w:rPr>
            </w:pPr>
            <w:r w:rsidRPr="000118B2">
              <w:rPr>
                <w:rFonts w:eastAsia="Calibri" w:cs="Calibri"/>
                <w:b/>
                <w:bCs/>
                <w:color w:val="000000"/>
                <w:sz w:val="18"/>
                <w:szCs w:val="20"/>
              </w:rPr>
              <w:t>Celkem</w:t>
            </w:r>
          </w:p>
        </w:tc>
        <w:tc>
          <w:tcPr>
            <w:tcW w:w="1814" w:type="dxa"/>
            <w:tcBorders>
              <w:top w:val="single" w:sz="4" w:space="0" w:color="auto"/>
              <w:left w:val="single" w:sz="4" w:space="0" w:color="auto"/>
              <w:bottom w:val="single" w:sz="4" w:space="0" w:color="auto"/>
              <w:right w:val="single" w:sz="4" w:space="0" w:color="auto"/>
            </w:tcBorders>
            <w:shd w:val="clear" w:color="auto" w:fill="F2C6C9"/>
            <w:noWrap/>
            <w:vAlign w:val="center"/>
          </w:tcPr>
          <w:p w14:paraId="22277A4E" w14:textId="77777777" w:rsidR="0046732E" w:rsidRPr="0055661D" w:rsidRDefault="0046732E" w:rsidP="0046732E">
            <w:pPr>
              <w:spacing w:after="0"/>
              <w:ind w:right="-57"/>
              <w:contextualSpacing/>
              <w:rPr>
                <w:rFonts w:eastAsia="Calibri" w:cs="Calibri"/>
                <w:color w:val="000000"/>
                <w:sz w:val="18"/>
                <w:szCs w:val="20"/>
              </w:rPr>
            </w:pPr>
          </w:p>
        </w:tc>
        <w:tc>
          <w:tcPr>
            <w:tcW w:w="1276" w:type="dxa"/>
            <w:tcBorders>
              <w:top w:val="single" w:sz="4" w:space="0" w:color="auto"/>
              <w:left w:val="nil"/>
              <w:bottom w:val="single" w:sz="4" w:space="0" w:color="auto"/>
              <w:right w:val="single" w:sz="4" w:space="0" w:color="auto"/>
            </w:tcBorders>
            <w:shd w:val="clear" w:color="auto" w:fill="F2C6C9"/>
            <w:noWrap/>
            <w:vAlign w:val="center"/>
          </w:tcPr>
          <w:p w14:paraId="5F8BBB48" w14:textId="4CCEFFAF" w:rsidR="0046732E" w:rsidRPr="0055661D" w:rsidRDefault="0046732E" w:rsidP="004B583B">
            <w:pPr>
              <w:spacing w:after="0"/>
              <w:contextualSpacing/>
              <w:jc w:val="right"/>
              <w:rPr>
                <w:rFonts w:eastAsia="Calibri" w:cs="Calibri"/>
                <w:color w:val="000000"/>
                <w:sz w:val="18"/>
                <w:szCs w:val="20"/>
              </w:rPr>
            </w:pPr>
            <w:r w:rsidRPr="0055661D">
              <w:rPr>
                <w:rFonts w:eastAsia="Calibri" w:cs="Calibri"/>
                <w:b/>
                <w:bCs/>
                <w:color w:val="000000"/>
                <w:sz w:val="18"/>
                <w:szCs w:val="20"/>
              </w:rPr>
              <w:t>424 474 174,00</w:t>
            </w:r>
          </w:p>
        </w:tc>
        <w:tc>
          <w:tcPr>
            <w:tcW w:w="1276" w:type="dxa"/>
            <w:tcBorders>
              <w:top w:val="single" w:sz="4" w:space="0" w:color="auto"/>
              <w:left w:val="nil"/>
              <w:bottom w:val="single" w:sz="4" w:space="0" w:color="auto"/>
              <w:right w:val="single" w:sz="4" w:space="0" w:color="auto"/>
            </w:tcBorders>
            <w:shd w:val="clear" w:color="auto" w:fill="F2C6C9"/>
            <w:noWrap/>
            <w:vAlign w:val="center"/>
          </w:tcPr>
          <w:p w14:paraId="0E9C94CC" w14:textId="3C33AD92" w:rsidR="0046732E" w:rsidRPr="0055661D" w:rsidRDefault="0046732E" w:rsidP="004B583B">
            <w:pPr>
              <w:spacing w:after="0"/>
              <w:contextualSpacing/>
              <w:jc w:val="right"/>
              <w:rPr>
                <w:rFonts w:eastAsia="Calibri" w:cs="Calibri"/>
                <w:color w:val="000000"/>
                <w:sz w:val="18"/>
                <w:szCs w:val="20"/>
              </w:rPr>
            </w:pPr>
            <w:r w:rsidRPr="0055661D">
              <w:rPr>
                <w:rFonts w:eastAsia="Calibri" w:cs="Calibri"/>
                <w:b/>
                <w:bCs/>
                <w:color w:val="000000"/>
                <w:sz w:val="18"/>
                <w:szCs w:val="20"/>
              </w:rPr>
              <w:t>368 312 746,81</w:t>
            </w:r>
          </w:p>
        </w:tc>
        <w:tc>
          <w:tcPr>
            <w:tcW w:w="1276" w:type="dxa"/>
            <w:tcBorders>
              <w:top w:val="single" w:sz="4" w:space="0" w:color="auto"/>
              <w:left w:val="nil"/>
              <w:bottom w:val="single" w:sz="4" w:space="0" w:color="auto"/>
              <w:right w:val="single" w:sz="4" w:space="0" w:color="auto"/>
            </w:tcBorders>
            <w:shd w:val="clear" w:color="auto" w:fill="F2C6C9"/>
            <w:noWrap/>
            <w:vAlign w:val="center"/>
          </w:tcPr>
          <w:p w14:paraId="28050F35" w14:textId="2596A171" w:rsidR="0046732E" w:rsidRPr="0055661D" w:rsidRDefault="0046732E" w:rsidP="004B583B">
            <w:pPr>
              <w:spacing w:after="0"/>
              <w:contextualSpacing/>
              <w:jc w:val="right"/>
              <w:rPr>
                <w:rFonts w:eastAsia="Calibri" w:cs="Calibri"/>
                <w:color w:val="000000"/>
                <w:sz w:val="18"/>
                <w:szCs w:val="20"/>
              </w:rPr>
            </w:pPr>
            <w:r w:rsidRPr="0055661D">
              <w:rPr>
                <w:rFonts w:eastAsia="Calibri" w:cs="Calibri"/>
                <w:b/>
                <w:bCs/>
                <w:color w:val="000000"/>
                <w:sz w:val="18"/>
                <w:szCs w:val="20"/>
              </w:rPr>
              <w:t>420 198 244,00</w:t>
            </w:r>
          </w:p>
        </w:tc>
        <w:tc>
          <w:tcPr>
            <w:tcW w:w="1276" w:type="dxa"/>
            <w:tcBorders>
              <w:top w:val="single" w:sz="4" w:space="0" w:color="auto"/>
              <w:left w:val="nil"/>
              <w:bottom w:val="single" w:sz="4" w:space="0" w:color="auto"/>
              <w:right w:val="single" w:sz="4" w:space="0" w:color="auto"/>
            </w:tcBorders>
            <w:shd w:val="clear" w:color="auto" w:fill="F2C6C9"/>
            <w:noWrap/>
            <w:vAlign w:val="center"/>
          </w:tcPr>
          <w:p w14:paraId="65252776" w14:textId="1EBC3901" w:rsidR="0046732E" w:rsidRPr="0055661D" w:rsidRDefault="0046732E" w:rsidP="004B583B">
            <w:pPr>
              <w:spacing w:after="0"/>
              <w:contextualSpacing/>
              <w:jc w:val="right"/>
              <w:rPr>
                <w:rFonts w:eastAsia="Calibri" w:cs="Calibri"/>
                <w:color w:val="000000"/>
                <w:sz w:val="18"/>
                <w:szCs w:val="20"/>
              </w:rPr>
            </w:pPr>
            <w:r w:rsidRPr="0055661D">
              <w:rPr>
                <w:rFonts w:eastAsia="Calibri" w:cs="Calibri"/>
                <w:b/>
                <w:bCs/>
                <w:color w:val="000000"/>
                <w:sz w:val="18"/>
                <w:szCs w:val="20"/>
              </w:rPr>
              <w:t>436 554 729,09</w:t>
            </w:r>
          </w:p>
        </w:tc>
        <w:tc>
          <w:tcPr>
            <w:tcW w:w="1276" w:type="dxa"/>
            <w:tcBorders>
              <w:top w:val="single" w:sz="4" w:space="0" w:color="auto"/>
              <w:left w:val="nil"/>
              <w:bottom w:val="single" w:sz="4" w:space="0" w:color="auto"/>
              <w:right w:val="single" w:sz="4" w:space="0" w:color="auto"/>
            </w:tcBorders>
            <w:shd w:val="clear" w:color="auto" w:fill="F2C6C9"/>
            <w:vAlign w:val="center"/>
          </w:tcPr>
          <w:p w14:paraId="5D67D772" w14:textId="35E3A3BF" w:rsidR="0046732E" w:rsidRPr="0055661D" w:rsidRDefault="0046732E" w:rsidP="004B583B">
            <w:pPr>
              <w:spacing w:after="0"/>
              <w:contextualSpacing/>
              <w:jc w:val="right"/>
              <w:rPr>
                <w:rFonts w:eastAsia="Calibri" w:cs="Calibri"/>
                <w:color w:val="000000"/>
                <w:sz w:val="18"/>
                <w:szCs w:val="20"/>
              </w:rPr>
            </w:pPr>
            <w:r w:rsidRPr="0055661D">
              <w:rPr>
                <w:rFonts w:eastAsia="Calibri" w:cs="Calibri"/>
                <w:b/>
                <w:bCs/>
                <w:color w:val="000000"/>
                <w:sz w:val="18"/>
                <w:szCs w:val="20"/>
              </w:rPr>
              <w:t>427 991 644,45</w:t>
            </w:r>
          </w:p>
        </w:tc>
      </w:tr>
    </w:tbl>
    <w:p w14:paraId="2BFB648B" w14:textId="2F84AB31" w:rsidR="0004593F" w:rsidRDefault="0004593F" w:rsidP="0055661D">
      <w:pPr>
        <w:spacing w:before="40" w:after="0"/>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 xml:space="preserve">ISSP-CSÚIS – výkaz „přehled o rozpočtu SPO – část II“ (údaje ze sloupce </w:t>
      </w:r>
      <w:r w:rsidRPr="0004593F">
        <w:rPr>
          <w:rFonts w:cs="Calibri"/>
          <w:i/>
          <w:color w:val="000000"/>
          <w:sz w:val="20"/>
          <w:szCs w:val="20"/>
          <w:lang w:eastAsia="cs-CZ"/>
        </w:rPr>
        <w:t>Skutečnost minulého roku v Kč</w:t>
      </w:r>
      <w:r w:rsidRPr="0004593F">
        <w:rPr>
          <w:rFonts w:cs="Calibri"/>
          <w:color w:val="000000"/>
          <w:sz w:val="20"/>
          <w:szCs w:val="20"/>
          <w:lang w:eastAsia="cs-CZ"/>
        </w:rPr>
        <w:t>).</w:t>
      </w:r>
    </w:p>
    <w:p w14:paraId="0FA83FC9" w14:textId="77777777" w:rsidR="0004593F" w:rsidRPr="00B97C4B" w:rsidRDefault="0004593F" w:rsidP="0004593F">
      <w:pPr>
        <w:spacing w:after="0"/>
        <w:contextualSpacing/>
        <w:rPr>
          <w:rFonts w:cs="Calibri"/>
          <w:bCs/>
          <w:color w:val="000000"/>
          <w:lang w:eastAsia="cs-CZ"/>
        </w:rPr>
      </w:pPr>
    </w:p>
    <w:p w14:paraId="664CF67F" w14:textId="4E5EDDBA" w:rsidR="0004593F" w:rsidRPr="00B97C4B" w:rsidRDefault="0004593F" w:rsidP="00B97C4B">
      <w:pPr>
        <w:spacing w:after="40"/>
        <w:rPr>
          <w:rFonts w:cs="Calibri"/>
          <w:b/>
          <w:iCs/>
        </w:rPr>
      </w:pPr>
      <w:bookmarkStart w:id="99" w:name="_Toc8984558"/>
      <w:bookmarkStart w:id="100" w:name="_Toc33100933"/>
      <w:r w:rsidRPr="00B97C4B">
        <w:rPr>
          <w:rFonts w:cs="Calibri"/>
          <w:b/>
          <w:iCs/>
        </w:rPr>
        <w:t xml:space="preserve">Tabulka č. </w:t>
      </w:r>
      <w:r w:rsidRPr="00B97C4B">
        <w:rPr>
          <w:rFonts w:cs="Calibri"/>
          <w:b/>
          <w:iCs/>
        </w:rPr>
        <w:fldChar w:fldCharType="begin"/>
      </w:r>
      <w:r w:rsidRPr="00B97C4B">
        <w:rPr>
          <w:rFonts w:cs="Calibri"/>
          <w:b/>
          <w:iCs/>
        </w:rPr>
        <w:instrText xml:space="preserve"> SEQ Tabulka \* ARABIC </w:instrText>
      </w:r>
      <w:r w:rsidRPr="00B97C4B">
        <w:rPr>
          <w:rFonts w:cs="Calibri"/>
          <w:b/>
          <w:iCs/>
        </w:rPr>
        <w:fldChar w:fldCharType="separate"/>
      </w:r>
      <w:r w:rsidR="00015BEA">
        <w:rPr>
          <w:rFonts w:cs="Calibri"/>
          <w:b/>
          <w:iCs/>
          <w:noProof/>
        </w:rPr>
        <w:t>26</w:t>
      </w:r>
      <w:r w:rsidRPr="00B97C4B">
        <w:rPr>
          <w:rFonts w:cs="Calibri"/>
          <w:b/>
          <w:iCs/>
        </w:rPr>
        <w:fldChar w:fldCharType="end"/>
      </w:r>
      <w:r w:rsidRPr="00B97C4B">
        <w:rPr>
          <w:rFonts w:cs="Calibri"/>
          <w:b/>
          <w:iCs/>
        </w:rPr>
        <w:t>: Podíl výnosů z transferů na celkových výnosech PO</w:t>
      </w:r>
      <w:bookmarkEnd w:id="99"/>
      <w:bookmarkEnd w:id="100"/>
      <w:r w:rsidRPr="00B97C4B">
        <w:rPr>
          <w:rFonts w:cs="Calibri"/>
          <w:b/>
          <w:iCs/>
        </w:rPr>
        <w:t xml:space="preserve"> kapitoly 317 MMR</w:t>
      </w:r>
    </w:p>
    <w:tbl>
      <w:tblPr>
        <w:tblW w:w="5000" w:type="pct"/>
        <w:tblCellMar>
          <w:left w:w="70" w:type="dxa"/>
          <w:right w:w="70" w:type="dxa"/>
        </w:tblCellMar>
        <w:tblLook w:val="04A0" w:firstRow="1" w:lastRow="0" w:firstColumn="1" w:lastColumn="0" w:noHBand="0" w:noVBand="1"/>
      </w:tblPr>
      <w:tblGrid>
        <w:gridCol w:w="951"/>
        <w:gridCol w:w="3903"/>
        <w:gridCol w:w="912"/>
        <w:gridCol w:w="823"/>
        <w:gridCol w:w="823"/>
        <w:gridCol w:w="824"/>
        <w:gridCol w:w="824"/>
      </w:tblGrid>
      <w:tr w:rsidR="0004593F" w:rsidRPr="0004593F" w14:paraId="724E48A8"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shd w:val="clear" w:color="auto" w:fill="E5F1FF"/>
            <w:vAlign w:val="center"/>
          </w:tcPr>
          <w:p w14:paraId="31994359" w14:textId="77777777" w:rsidR="0004593F" w:rsidRPr="0004593F" w:rsidRDefault="0004593F" w:rsidP="00B97C4B">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IČO</w:t>
            </w:r>
          </w:p>
        </w:tc>
        <w:tc>
          <w:tcPr>
            <w:tcW w:w="1311"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FB985AC" w14:textId="77777777" w:rsidR="0004593F" w:rsidRPr="0004593F" w:rsidRDefault="0004593F" w:rsidP="00B97C4B">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Účetní jednotka</w:t>
            </w:r>
          </w:p>
        </w:tc>
        <w:tc>
          <w:tcPr>
            <w:tcW w:w="690" w:type="pct"/>
            <w:tcBorders>
              <w:top w:val="single" w:sz="4" w:space="0" w:color="auto"/>
              <w:left w:val="nil"/>
              <w:bottom w:val="single" w:sz="4" w:space="0" w:color="auto"/>
              <w:right w:val="single" w:sz="4" w:space="0" w:color="auto"/>
            </w:tcBorders>
            <w:shd w:val="clear" w:color="auto" w:fill="E5F1FF"/>
            <w:noWrap/>
            <w:vAlign w:val="center"/>
            <w:hideMark/>
          </w:tcPr>
          <w:p w14:paraId="6B49F73E" w14:textId="77777777" w:rsidR="0004593F" w:rsidRPr="0004593F" w:rsidRDefault="0004593F" w:rsidP="00B97C4B">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0F9EE49C" w14:textId="77777777" w:rsidR="0004593F" w:rsidRPr="0004593F" w:rsidRDefault="0004593F" w:rsidP="00B97C4B">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5DB4FB7A" w14:textId="77777777" w:rsidR="0004593F" w:rsidRPr="0004593F" w:rsidRDefault="0004593F" w:rsidP="00B97C4B">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03206A1D" w14:textId="77777777" w:rsidR="0004593F" w:rsidRPr="0004593F" w:rsidRDefault="0004593F" w:rsidP="00B97C4B">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641" w:type="pct"/>
            <w:tcBorders>
              <w:top w:val="single" w:sz="4" w:space="0" w:color="auto"/>
              <w:left w:val="nil"/>
              <w:bottom w:val="single" w:sz="4" w:space="0" w:color="auto"/>
              <w:right w:val="single" w:sz="4" w:space="0" w:color="auto"/>
            </w:tcBorders>
            <w:shd w:val="clear" w:color="auto" w:fill="E5F1FF"/>
            <w:vAlign w:val="center"/>
          </w:tcPr>
          <w:p w14:paraId="0D939881" w14:textId="77777777" w:rsidR="0004593F" w:rsidRPr="0004593F" w:rsidRDefault="0004593F" w:rsidP="00B97C4B">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5629F64B" w14:textId="77777777" w:rsidTr="0004593F">
        <w:trPr>
          <w:trHeight w:val="255"/>
        </w:trPr>
        <w:tc>
          <w:tcPr>
            <w:tcW w:w="435" w:type="pct"/>
            <w:tcBorders>
              <w:top w:val="nil"/>
              <w:left w:val="single" w:sz="4" w:space="0" w:color="auto"/>
              <w:bottom w:val="single" w:sz="4" w:space="0" w:color="auto"/>
              <w:right w:val="single" w:sz="4" w:space="0" w:color="auto"/>
            </w:tcBorders>
            <w:vAlign w:val="center"/>
          </w:tcPr>
          <w:p w14:paraId="404643ED" w14:textId="77777777" w:rsidR="0004593F" w:rsidRPr="0004593F" w:rsidRDefault="0004593F" w:rsidP="00B97C4B">
            <w:pPr>
              <w:spacing w:after="0"/>
              <w:contextualSpacing/>
              <w:jc w:val="both"/>
              <w:rPr>
                <w:rFonts w:eastAsia="Calibri" w:cs="Calibri"/>
                <w:color w:val="000000"/>
                <w:sz w:val="20"/>
                <w:szCs w:val="20"/>
              </w:rPr>
            </w:pPr>
            <w:r w:rsidRPr="0004593F">
              <w:rPr>
                <w:rFonts w:eastAsia="Calibri" w:cs="Calibri"/>
                <w:color w:val="000000"/>
                <w:sz w:val="20"/>
                <w:szCs w:val="20"/>
              </w:rPr>
              <w:t>4095316</w:t>
            </w:r>
          </w:p>
        </w:tc>
        <w:tc>
          <w:tcPr>
            <w:tcW w:w="1311" w:type="pct"/>
            <w:tcBorders>
              <w:top w:val="nil"/>
              <w:left w:val="single" w:sz="4" w:space="0" w:color="auto"/>
              <w:bottom w:val="single" w:sz="4" w:space="0" w:color="auto"/>
              <w:right w:val="single" w:sz="4" w:space="0" w:color="auto"/>
            </w:tcBorders>
            <w:shd w:val="clear" w:color="auto" w:fill="auto"/>
            <w:noWrap/>
            <w:vAlign w:val="center"/>
          </w:tcPr>
          <w:p w14:paraId="62A8AE57" w14:textId="77777777" w:rsidR="0004593F" w:rsidRPr="0004593F" w:rsidRDefault="0004593F" w:rsidP="00B97C4B">
            <w:pPr>
              <w:spacing w:after="0"/>
              <w:contextualSpacing/>
              <w:jc w:val="both"/>
              <w:rPr>
                <w:rFonts w:eastAsia="Calibri" w:cs="Calibri"/>
                <w:color w:val="000000"/>
                <w:sz w:val="20"/>
                <w:szCs w:val="20"/>
              </w:rPr>
            </w:pPr>
            <w:r w:rsidRPr="0004593F">
              <w:rPr>
                <w:rFonts w:eastAsia="Calibri" w:cs="Calibri"/>
                <w:color w:val="000000"/>
                <w:sz w:val="20"/>
                <w:szCs w:val="20"/>
              </w:rPr>
              <w:t>Centrum pro regionální rozvoj České republiky</w:t>
            </w:r>
          </w:p>
        </w:tc>
        <w:tc>
          <w:tcPr>
            <w:tcW w:w="690" w:type="pct"/>
            <w:tcBorders>
              <w:top w:val="nil"/>
              <w:left w:val="nil"/>
              <w:bottom w:val="single" w:sz="4" w:space="0" w:color="auto"/>
              <w:right w:val="single" w:sz="4" w:space="0" w:color="auto"/>
            </w:tcBorders>
            <w:shd w:val="clear" w:color="auto" w:fill="auto"/>
            <w:noWrap/>
            <w:vAlign w:val="center"/>
          </w:tcPr>
          <w:p w14:paraId="7C35383D" w14:textId="77777777" w:rsidR="0004593F" w:rsidRPr="0004593F" w:rsidRDefault="0004593F" w:rsidP="00B97C4B">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nil"/>
              <w:left w:val="nil"/>
              <w:bottom w:val="single" w:sz="4" w:space="0" w:color="auto"/>
              <w:right w:val="single" w:sz="4" w:space="0" w:color="auto"/>
            </w:tcBorders>
            <w:shd w:val="clear" w:color="auto" w:fill="auto"/>
            <w:noWrap/>
            <w:vAlign w:val="center"/>
          </w:tcPr>
          <w:p w14:paraId="20BB66EF"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98,42 %</w:t>
            </w:r>
          </w:p>
        </w:tc>
        <w:tc>
          <w:tcPr>
            <w:tcW w:w="641" w:type="pct"/>
            <w:tcBorders>
              <w:top w:val="nil"/>
              <w:left w:val="nil"/>
              <w:bottom w:val="single" w:sz="4" w:space="0" w:color="auto"/>
              <w:right w:val="single" w:sz="4" w:space="0" w:color="auto"/>
            </w:tcBorders>
            <w:shd w:val="clear" w:color="auto" w:fill="auto"/>
            <w:noWrap/>
            <w:vAlign w:val="center"/>
          </w:tcPr>
          <w:p w14:paraId="5068B285"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99,12 %</w:t>
            </w:r>
          </w:p>
        </w:tc>
        <w:tc>
          <w:tcPr>
            <w:tcW w:w="641" w:type="pct"/>
            <w:tcBorders>
              <w:top w:val="nil"/>
              <w:left w:val="nil"/>
              <w:bottom w:val="single" w:sz="4" w:space="0" w:color="auto"/>
              <w:right w:val="single" w:sz="4" w:space="0" w:color="auto"/>
            </w:tcBorders>
            <w:shd w:val="clear" w:color="auto" w:fill="auto"/>
            <w:noWrap/>
            <w:vAlign w:val="center"/>
          </w:tcPr>
          <w:p w14:paraId="5B956E08"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99,84 %</w:t>
            </w:r>
          </w:p>
        </w:tc>
        <w:tc>
          <w:tcPr>
            <w:tcW w:w="641" w:type="pct"/>
            <w:tcBorders>
              <w:top w:val="nil"/>
              <w:left w:val="nil"/>
              <w:bottom w:val="single" w:sz="4" w:space="0" w:color="auto"/>
              <w:right w:val="single" w:sz="4" w:space="0" w:color="auto"/>
            </w:tcBorders>
            <w:vAlign w:val="center"/>
          </w:tcPr>
          <w:p w14:paraId="0EAB2152"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99,96 %</w:t>
            </w:r>
          </w:p>
        </w:tc>
      </w:tr>
      <w:tr w:rsidR="0004593F" w:rsidRPr="0004593F" w14:paraId="3C02F5FB"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vAlign w:val="center"/>
          </w:tcPr>
          <w:p w14:paraId="22DA7B3B" w14:textId="77777777" w:rsidR="0004593F" w:rsidRPr="0004593F" w:rsidRDefault="0004593F" w:rsidP="00B97C4B">
            <w:pPr>
              <w:spacing w:after="0"/>
              <w:contextualSpacing/>
              <w:jc w:val="both"/>
              <w:rPr>
                <w:rFonts w:eastAsia="Calibri" w:cs="Calibri"/>
                <w:color w:val="000000"/>
                <w:sz w:val="20"/>
                <w:szCs w:val="20"/>
              </w:rPr>
            </w:pPr>
            <w:r w:rsidRPr="0004593F">
              <w:rPr>
                <w:rFonts w:eastAsia="Calibri" w:cs="Calibri"/>
                <w:color w:val="000000"/>
                <w:sz w:val="20"/>
                <w:szCs w:val="20"/>
              </w:rPr>
              <w:t>65993870</w:t>
            </w:r>
          </w:p>
        </w:tc>
        <w:tc>
          <w:tcPr>
            <w:tcW w:w="1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6540F" w14:textId="77777777" w:rsidR="0004593F" w:rsidRPr="0004593F" w:rsidRDefault="0004593F" w:rsidP="00B97C4B">
            <w:pPr>
              <w:spacing w:after="0"/>
              <w:contextualSpacing/>
              <w:jc w:val="both"/>
              <w:rPr>
                <w:rFonts w:eastAsia="Calibri" w:cs="Calibri"/>
                <w:color w:val="000000"/>
                <w:sz w:val="20"/>
                <w:szCs w:val="20"/>
              </w:rPr>
            </w:pPr>
            <w:r w:rsidRPr="0004593F">
              <w:rPr>
                <w:rFonts w:eastAsia="Calibri" w:cs="Calibri"/>
                <w:color w:val="000000"/>
                <w:sz w:val="20"/>
                <w:szCs w:val="20"/>
              </w:rPr>
              <w:t>Centrum pro regionální rozvoj ČR</w:t>
            </w:r>
          </w:p>
        </w:tc>
        <w:tc>
          <w:tcPr>
            <w:tcW w:w="690" w:type="pct"/>
            <w:tcBorders>
              <w:top w:val="single" w:sz="4" w:space="0" w:color="auto"/>
              <w:left w:val="nil"/>
              <w:bottom w:val="single" w:sz="4" w:space="0" w:color="auto"/>
              <w:right w:val="single" w:sz="4" w:space="0" w:color="auto"/>
            </w:tcBorders>
            <w:shd w:val="clear" w:color="auto" w:fill="auto"/>
            <w:noWrap/>
            <w:vAlign w:val="center"/>
          </w:tcPr>
          <w:p w14:paraId="17C3A42F"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97,93 %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477E65A8" w14:textId="77777777" w:rsidR="0004593F" w:rsidRPr="0004593F" w:rsidRDefault="0004593F" w:rsidP="00B97C4B">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570EBBEA" w14:textId="77777777" w:rsidR="0004593F" w:rsidRPr="0004593F" w:rsidRDefault="0004593F" w:rsidP="00B97C4B">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6B4BF0B3" w14:textId="77777777" w:rsidR="0004593F" w:rsidRPr="0004593F" w:rsidRDefault="0004593F" w:rsidP="00B97C4B">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vAlign w:val="center"/>
          </w:tcPr>
          <w:p w14:paraId="5B5DE40F" w14:textId="77777777" w:rsidR="0004593F" w:rsidRPr="0004593F" w:rsidRDefault="0004593F" w:rsidP="00B97C4B">
            <w:pPr>
              <w:spacing w:after="0"/>
              <w:contextualSpacing/>
              <w:jc w:val="center"/>
              <w:rPr>
                <w:rFonts w:eastAsia="Calibri" w:cs="Calibri"/>
                <w:color w:val="000000"/>
                <w:sz w:val="20"/>
                <w:szCs w:val="20"/>
              </w:rPr>
            </w:pPr>
            <w:r w:rsidRPr="0004593F">
              <w:rPr>
                <w:rFonts w:eastAsia="Calibri" w:cs="Calibri"/>
                <w:color w:val="000000"/>
                <w:sz w:val="20"/>
                <w:szCs w:val="20"/>
              </w:rPr>
              <w:t>x</w:t>
            </w:r>
          </w:p>
        </w:tc>
      </w:tr>
      <w:tr w:rsidR="0004593F" w:rsidRPr="0004593F" w14:paraId="22ED7076"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vAlign w:val="center"/>
          </w:tcPr>
          <w:p w14:paraId="58A3728D" w14:textId="77777777" w:rsidR="0004593F" w:rsidRPr="0004593F" w:rsidRDefault="0004593F" w:rsidP="00B97C4B">
            <w:pPr>
              <w:spacing w:after="0"/>
              <w:contextualSpacing/>
              <w:jc w:val="both"/>
              <w:rPr>
                <w:rFonts w:eastAsia="Calibri" w:cs="Calibri"/>
                <w:color w:val="000000"/>
                <w:sz w:val="20"/>
                <w:szCs w:val="20"/>
              </w:rPr>
            </w:pPr>
            <w:r w:rsidRPr="0004593F">
              <w:rPr>
                <w:rFonts w:eastAsia="Calibri" w:cs="Calibri"/>
                <w:color w:val="000000"/>
                <w:sz w:val="20"/>
                <w:szCs w:val="20"/>
              </w:rPr>
              <w:t>49277600</w:t>
            </w:r>
          </w:p>
        </w:tc>
        <w:tc>
          <w:tcPr>
            <w:tcW w:w="1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E794C" w14:textId="77777777" w:rsidR="0004593F" w:rsidRPr="0004593F" w:rsidRDefault="0004593F" w:rsidP="00B97C4B">
            <w:pPr>
              <w:spacing w:after="0"/>
              <w:contextualSpacing/>
              <w:jc w:val="both"/>
              <w:rPr>
                <w:rFonts w:eastAsia="Calibri" w:cs="Calibri"/>
                <w:color w:val="000000"/>
                <w:sz w:val="20"/>
                <w:szCs w:val="20"/>
              </w:rPr>
            </w:pPr>
            <w:r w:rsidRPr="0004593F">
              <w:rPr>
                <w:rFonts w:eastAsia="Calibri" w:cs="Calibri"/>
                <w:color w:val="000000"/>
                <w:sz w:val="20"/>
                <w:szCs w:val="20"/>
              </w:rPr>
              <w:t>Česká centrála cestovního ruchu</w:t>
            </w:r>
          </w:p>
        </w:tc>
        <w:tc>
          <w:tcPr>
            <w:tcW w:w="690" w:type="pct"/>
            <w:tcBorders>
              <w:top w:val="single" w:sz="4" w:space="0" w:color="auto"/>
              <w:left w:val="nil"/>
              <w:bottom w:val="single" w:sz="4" w:space="0" w:color="auto"/>
              <w:right w:val="single" w:sz="4" w:space="0" w:color="auto"/>
            </w:tcBorders>
            <w:shd w:val="clear" w:color="auto" w:fill="auto"/>
            <w:noWrap/>
            <w:vAlign w:val="center"/>
          </w:tcPr>
          <w:p w14:paraId="56300591"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84,41 %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0B5264EB"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94,18 %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72F64BA8"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95,49 %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6DC16663"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98,71 %</w:t>
            </w:r>
          </w:p>
        </w:tc>
        <w:tc>
          <w:tcPr>
            <w:tcW w:w="641" w:type="pct"/>
            <w:tcBorders>
              <w:top w:val="single" w:sz="4" w:space="0" w:color="auto"/>
              <w:left w:val="nil"/>
              <w:bottom w:val="single" w:sz="4" w:space="0" w:color="auto"/>
              <w:right w:val="single" w:sz="4" w:space="0" w:color="auto"/>
            </w:tcBorders>
            <w:vAlign w:val="center"/>
          </w:tcPr>
          <w:p w14:paraId="2F81D5A2" w14:textId="77777777" w:rsidR="0004593F" w:rsidRPr="0004593F" w:rsidRDefault="0004593F" w:rsidP="00B97C4B">
            <w:pPr>
              <w:spacing w:after="0"/>
              <w:contextualSpacing/>
              <w:jc w:val="right"/>
              <w:rPr>
                <w:rFonts w:eastAsia="Calibri" w:cs="Calibri"/>
                <w:color w:val="000000"/>
                <w:sz w:val="20"/>
                <w:szCs w:val="20"/>
              </w:rPr>
            </w:pPr>
            <w:r w:rsidRPr="0004593F">
              <w:rPr>
                <w:rFonts w:eastAsia="Calibri" w:cs="Calibri"/>
                <w:color w:val="000000"/>
                <w:sz w:val="20"/>
                <w:szCs w:val="20"/>
              </w:rPr>
              <w:t>98,09 %</w:t>
            </w:r>
          </w:p>
        </w:tc>
      </w:tr>
      <w:tr w:rsidR="0004593F" w:rsidRPr="0004593F" w14:paraId="43DC139D" w14:textId="77777777" w:rsidTr="0004593F">
        <w:trPr>
          <w:trHeight w:val="255"/>
        </w:trPr>
        <w:tc>
          <w:tcPr>
            <w:tcW w:w="1745" w:type="pct"/>
            <w:gridSpan w:val="2"/>
            <w:tcBorders>
              <w:top w:val="single" w:sz="4" w:space="0" w:color="auto"/>
              <w:left w:val="single" w:sz="4" w:space="0" w:color="auto"/>
              <w:bottom w:val="single" w:sz="4" w:space="0" w:color="auto"/>
              <w:right w:val="single" w:sz="4" w:space="0" w:color="auto"/>
            </w:tcBorders>
            <w:shd w:val="clear" w:color="auto" w:fill="F2C6C9"/>
          </w:tcPr>
          <w:p w14:paraId="0A0012B9" w14:textId="0D3CA119" w:rsidR="0004593F" w:rsidRPr="0004593F" w:rsidRDefault="0004593F" w:rsidP="00B97C4B">
            <w:pPr>
              <w:spacing w:after="0"/>
              <w:contextualSpacing/>
              <w:jc w:val="both"/>
              <w:rPr>
                <w:rFonts w:eastAsia="Calibri" w:cs="Calibri"/>
                <w:b/>
                <w:color w:val="000000"/>
                <w:sz w:val="20"/>
                <w:szCs w:val="20"/>
              </w:rPr>
            </w:pPr>
            <w:r w:rsidRPr="0004593F">
              <w:rPr>
                <w:rFonts w:eastAsia="Calibri" w:cs="Calibri"/>
                <w:b/>
                <w:color w:val="000000"/>
                <w:sz w:val="20"/>
                <w:szCs w:val="20"/>
              </w:rPr>
              <w:t xml:space="preserve">Podíl výnosů z transferů PO v rozpočtové kapitole </w:t>
            </w:r>
            <w:r w:rsidR="00C21FB6">
              <w:rPr>
                <w:rFonts w:eastAsia="Calibri" w:cs="Calibri"/>
                <w:b/>
                <w:color w:val="000000"/>
                <w:sz w:val="20"/>
                <w:szCs w:val="20"/>
              </w:rPr>
              <w:br/>
            </w:r>
            <w:r w:rsidRPr="0004593F">
              <w:rPr>
                <w:rFonts w:eastAsia="Calibri" w:cs="Calibri"/>
                <w:b/>
                <w:color w:val="000000"/>
                <w:sz w:val="20"/>
                <w:szCs w:val="20"/>
              </w:rPr>
              <w:t>317 MMR na celkových výnosech těchto PO</w:t>
            </w:r>
          </w:p>
        </w:tc>
        <w:tc>
          <w:tcPr>
            <w:tcW w:w="690" w:type="pct"/>
            <w:tcBorders>
              <w:top w:val="single" w:sz="4" w:space="0" w:color="auto"/>
              <w:left w:val="nil"/>
              <w:bottom w:val="single" w:sz="4" w:space="0" w:color="auto"/>
              <w:right w:val="single" w:sz="4" w:space="0" w:color="auto"/>
            </w:tcBorders>
            <w:shd w:val="clear" w:color="auto" w:fill="F2C6C9"/>
            <w:noWrap/>
            <w:vAlign w:val="center"/>
          </w:tcPr>
          <w:p w14:paraId="3FDAEAFF" w14:textId="77777777" w:rsidR="0004593F" w:rsidRPr="0004593F" w:rsidRDefault="0004593F" w:rsidP="00B97C4B">
            <w:pPr>
              <w:spacing w:after="0"/>
              <w:contextualSpacing/>
              <w:jc w:val="right"/>
              <w:rPr>
                <w:rFonts w:eastAsia="Calibri" w:cs="Calibri"/>
                <w:b/>
                <w:bCs/>
                <w:color w:val="000000"/>
                <w:sz w:val="20"/>
                <w:szCs w:val="20"/>
              </w:rPr>
            </w:pPr>
            <w:r w:rsidRPr="0004593F">
              <w:rPr>
                <w:rFonts w:eastAsia="Calibri" w:cs="Calibri"/>
                <w:b/>
                <w:bCs/>
                <w:color w:val="000000"/>
                <w:sz w:val="20"/>
                <w:szCs w:val="20"/>
              </w:rPr>
              <w:t>86,56 %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4C75FD6C" w14:textId="77777777" w:rsidR="0004593F" w:rsidRPr="0004593F" w:rsidRDefault="0004593F" w:rsidP="00B97C4B">
            <w:pPr>
              <w:spacing w:after="0"/>
              <w:contextualSpacing/>
              <w:jc w:val="right"/>
              <w:rPr>
                <w:rFonts w:eastAsia="Calibri" w:cs="Calibri"/>
                <w:b/>
                <w:bCs/>
                <w:color w:val="000000"/>
                <w:sz w:val="20"/>
                <w:szCs w:val="20"/>
              </w:rPr>
            </w:pPr>
            <w:r w:rsidRPr="0004593F">
              <w:rPr>
                <w:rFonts w:eastAsia="Calibri" w:cs="Calibri"/>
                <w:b/>
                <w:bCs/>
                <w:color w:val="000000"/>
                <w:sz w:val="20"/>
                <w:szCs w:val="20"/>
              </w:rPr>
              <w:t>94,75 %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6587E855" w14:textId="77777777" w:rsidR="0004593F" w:rsidRPr="0004593F" w:rsidRDefault="0004593F" w:rsidP="00B97C4B">
            <w:pPr>
              <w:spacing w:after="0"/>
              <w:contextualSpacing/>
              <w:jc w:val="right"/>
              <w:rPr>
                <w:rFonts w:eastAsia="Calibri" w:cs="Calibri"/>
                <w:b/>
                <w:bCs/>
                <w:color w:val="000000"/>
                <w:sz w:val="20"/>
                <w:szCs w:val="20"/>
              </w:rPr>
            </w:pPr>
            <w:r w:rsidRPr="0004593F">
              <w:rPr>
                <w:rFonts w:eastAsia="Calibri" w:cs="Calibri"/>
                <w:b/>
                <w:bCs/>
                <w:color w:val="000000"/>
                <w:sz w:val="20"/>
                <w:szCs w:val="20"/>
              </w:rPr>
              <w:t>97,03 %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29E8E563" w14:textId="77777777" w:rsidR="0004593F" w:rsidRPr="0004593F" w:rsidRDefault="0004593F" w:rsidP="00B97C4B">
            <w:pPr>
              <w:spacing w:after="0"/>
              <w:contextualSpacing/>
              <w:jc w:val="right"/>
              <w:rPr>
                <w:rFonts w:eastAsia="Calibri" w:cs="Calibri"/>
                <w:b/>
                <w:bCs/>
                <w:color w:val="000000"/>
                <w:sz w:val="20"/>
                <w:szCs w:val="20"/>
              </w:rPr>
            </w:pPr>
            <w:r w:rsidRPr="0004593F">
              <w:rPr>
                <w:rFonts w:eastAsia="Calibri" w:cs="Calibri"/>
                <w:b/>
                <w:bCs/>
                <w:color w:val="000000"/>
                <w:sz w:val="20"/>
                <w:szCs w:val="20"/>
              </w:rPr>
              <w:t>99,29 %</w:t>
            </w:r>
          </w:p>
        </w:tc>
        <w:tc>
          <w:tcPr>
            <w:tcW w:w="641" w:type="pct"/>
            <w:tcBorders>
              <w:top w:val="single" w:sz="4" w:space="0" w:color="auto"/>
              <w:left w:val="nil"/>
              <w:bottom w:val="single" w:sz="4" w:space="0" w:color="auto"/>
              <w:right w:val="single" w:sz="4" w:space="0" w:color="auto"/>
            </w:tcBorders>
            <w:shd w:val="clear" w:color="auto" w:fill="F2C6C9"/>
            <w:vAlign w:val="center"/>
          </w:tcPr>
          <w:p w14:paraId="66B4DF01" w14:textId="77777777" w:rsidR="0004593F" w:rsidRPr="0004593F" w:rsidRDefault="0004593F" w:rsidP="00B97C4B">
            <w:pPr>
              <w:spacing w:after="0"/>
              <w:contextualSpacing/>
              <w:jc w:val="right"/>
              <w:rPr>
                <w:rFonts w:eastAsia="Calibri" w:cs="Calibri"/>
                <w:b/>
                <w:bCs/>
                <w:color w:val="000000"/>
                <w:sz w:val="20"/>
                <w:szCs w:val="20"/>
              </w:rPr>
            </w:pPr>
            <w:r w:rsidRPr="0004593F">
              <w:rPr>
                <w:rFonts w:eastAsia="Calibri" w:cs="Calibri"/>
                <w:b/>
                <w:bCs/>
                <w:color w:val="000000"/>
                <w:sz w:val="20"/>
                <w:szCs w:val="20"/>
              </w:rPr>
              <w:t>99,09 %</w:t>
            </w:r>
          </w:p>
        </w:tc>
      </w:tr>
    </w:tbl>
    <w:p w14:paraId="6CE9373D" w14:textId="6A3411F5" w:rsidR="0004593F" w:rsidRDefault="0004593F" w:rsidP="00B97C4B">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informační portál MONITOR; výpočet</w:t>
      </w:r>
      <w:r w:rsidR="00C21FB6">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04A4ED06" w14:textId="77777777" w:rsidR="0004593F" w:rsidRPr="00B97C4B" w:rsidRDefault="0004593F" w:rsidP="0004593F">
      <w:pPr>
        <w:spacing w:after="0"/>
        <w:contextualSpacing/>
        <w:jc w:val="both"/>
        <w:rPr>
          <w:rFonts w:cs="Calibri"/>
          <w:bCs/>
          <w:color w:val="000000"/>
          <w:lang w:eastAsia="cs-CZ"/>
        </w:rPr>
      </w:pPr>
    </w:p>
    <w:p w14:paraId="49F90AC2" w14:textId="71D64F85" w:rsidR="0004593F" w:rsidRPr="00B97C4B" w:rsidRDefault="0004593F" w:rsidP="004B583B">
      <w:pPr>
        <w:spacing w:after="40"/>
        <w:rPr>
          <w:rFonts w:cs="Calibri"/>
          <w:b/>
          <w:iCs/>
        </w:rPr>
      </w:pPr>
      <w:bookmarkStart w:id="101" w:name="_Toc520714352"/>
      <w:bookmarkStart w:id="102" w:name="_Toc8984559"/>
      <w:bookmarkStart w:id="103" w:name="_Toc33100934"/>
      <w:r w:rsidRPr="00B97C4B">
        <w:rPr>
          <w:rFonts w:cs="Calibri"/>
          <w:b/>
          <w:iCs/>
        </w:rPr>
        <w:t xml:space="preserve">Tabulka č. </w:t>
      </w:r>
      <w:r w:rsidRPr="00B97C4B">
        <w:rPr>
          <w:rFonts w:cs="Calibri"/>
          <w:b/>
          <w:iCs/>
        </w:rPr>
        <w:fldChar w:fldCharType="begin"/>
      </w:r>
      <w:r w:rsidRPr="00B97C4B">
        <w:rPr>
          <w:rFonts w:cs="Calibri"/>
          <w:b/>
          <w:iCs/>
        </w:rPr>
        <w:instrText xml:space="preserve"> SEQ Tabulka \* ARABIC </w:instrText>
      </w:r>
      <w:r w:rsidRPr="00B97C4B">
        <w:rPr>
          <w:rFonts w:cs="Calibri"/>
          <w:b/>
          <w:iCs/>
        </w:rPr>
        <w:fldChar w:fldCharType="separate"/>
      </w:r>
      <w:r w:rsidR="00015BEA">
        <w:rPr>
          <w:rFonts w:cs="Calibri"/>
          <w:b/>
          <w:iCs/>
          <w:noProof/>
        </w:rPr>
        <w:t>27</w:t>
      </w:r>
      <w:r w:rsidRPr="00B97C4B">
        <w:rPr>
          <w:rFonts w:cs="Calibri"/>
          <w:b/>
          <w:iCs/>
        </w:rPr>
        <w:fldChar w:fldCharType="end"/>
      </w:r>
      <w:r w:rsidRPr="00B97C4B">
        <w:rPr>
          <w:rFonts w:cs="Calibri"/>
          <w:b/>
          <w:iCs/>
        </w:rPr>
        <w:t>: Podíl příspěvku na provoz na celkových výnosech PO</w:t>
      </w:r>
      <w:bookmarkEnd w:id="101"/>
      <w:bookmarkEnd w:id="102"/>
      <w:bookmarkEnd w:id="103"/>
    </w:p>
    <w:tbl>
      <w:tblPr>
        <w:tblW w:w="5000" w:type="pct"/>
        <w:tblCellMar>
          <w:left w:w="70" w:type="dxa"/>
          <w:right w:w="70" w:type="dxa"/>
        </w:tblCellMar>
        <w:tblLook w:val="04A0" w:firstRow="1" w:lastRow="0" w:firstColumn="1" w:lastColumn="0" w:noHBand="0" w:noVBand="1"/>
      </w:tblPr>
      <w:tblGrid>
        <w:gridCol w:w="951"/>
        <w:gridCol w:w="3903"/>
        <w:gridCol w:w="912"/>
        <w:gridCol w:w="823"/>
        <w:gridCol w:w="823"/>
        <w:gridCol w:w="824"/>
        <w:gridCol w:w="824"/>
      </w:tblGrid>
      <w:tr w:rsidR="0004593F" w:rsidRPr="0004593F" w14:paraId="23CB0B37"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shd w:val="clear" w:color="auto" w:fill="E5F1FF"/>
            <w:vAlign w:val="center"/>
          </w:tcPr>
          <w:p w14:paraId="721E8805"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IČO</w:t>
            </w:r>
          </w:p>
        </w:tc>
        <w:tc>
          <w:tcPr>
            <w:tcW w:w="1311"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85515F7"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Účetní jednotka</w:t>
            </w:r>
          </w:p>
        </w:tc>
        <w:tc>
          <w:tcPr>
            <w:tcW w:w="690" w:type="pct"/>
            <w:tcBorders>
              <w:top w:val="single" w:sz="4" w:space="0" w:color="auto"/>
              <w:left w:val="nil"/>
              <w:bottom w:val="single" w:sz="4" w:space="0" w:color="auto"/>
              <w:right w:val="single" w:sz="4" w:space="0" w:color="auto"/>
            </w:tcBorders>
            <w:shd w:val="clear" w:color="auto" w:fill="E5F1FF"/>
            <w:noWrap/>
            <w:vAlign w:val="center"/>
            <w:hideMark/>
          </w:tcPr>
          <w:p w14:paraId="133858CF"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73B3B9E3"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50EF3E9D"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0541DE56"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641" w:type="pct"/>
            <w:tcBorders>
              <w:top w:val="single" w:sz="4" w:space="0" w:color="auto"/>
              <w:left w:val="nil"/>
              <w:bottom w:val="single" w:sz="4" w:space="0" w:color="auto"/>
              <w:right w:val="single" w:sz="4" w:space="0" w:color="auto"/>
            </w:tcBorders>
            <w:shd w:val="clear" w:color="auto" w:fill="E5F1FF"/>
            <w:vAlign w:val="center"/>
          </w:tcPr>
          <w:p w14:paraId="4AFB3FCA"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52F40579" w14:textId="77777777" w:rsidTr="0004593F">
        <w:trPr>
          <w:trHeight w:val="255"/>
        </w:trPr>
        <w:tc>
          <w:tcPr>
            <w:tcW w:w="435" w:type="pct"/>
            <w:tcBorders>
              <w:top w:val="nil"/>
              <w:left w:val="single" w:sz="4" w:space="0" w:color="auto"/>
              <w:bottom w:val="single" w:sz="4" w:space="0" w:color="auto"/>
              <w:right w:val="single" w:sz="4" w:space="0" w:color="auto"/>
            </w:tcBorders>
            <w:vAlign w:val="center"/>
          </w:tcPr>
          <w:p w14:paraId="3F7A06DC"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4095316</w:t>
            </w:r>
          </w:p>
        </w:tc>
        <w:tc>
          <w:tcPr>
            <w:tcW w:w="1311" w:type="pct"/>
            <w:tcBorders>
              <w:top w:val="nil"/>
              <w:left w:val="single" w:sz="4" w:space="0" w:color="auto"/>
              <w:bottom w:val="single" w:sz="4" w:space="0" w:color="auto"/>
              <w:right w:val="single" w:sz="4" w:space="0" w:color="auto"/>
            </w:tcBorders>
            <w:shd w:val="clear" w:color="auto" w:fill="auto"/>
            <w:noWrap/>
            <w:vAlign w:val="center"/>
          </w:tcPr>
          <w:p w14:paraId="47660382"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Centrum pro regionální rozvoj České republiky</w:t>
            </w:r>
          </w:p>
        </w:tc>
        <w:tc>
          <w:tcPr>
            <w:tcW w:w="690" w:type="pct"/>
            <w:tcBorders>
              <w:top w:val="nil"/>
              <w:left w:val="nil"/>
              <w:bottom w:val="single" w:sz="4" w:space="0" w:color="auto"/>
              <w:right w:val="single" w:sz="4" w:space="0" w:color="auto"/>
            </w:tcBorders>
            <w:shd w:val="clear" w:color="auto" w:fill="auto"/>
            <w:noWrap/>
            <w:vAlign w:val="center"/>
          </w:tcPr>
          <w:p w14:paraId="2FA1670C" w14:textId="77777777" w:rsidR="0004593F" w:rsidRPr="0004593F" w:rsidRDefault="0004593F" w:rsidP="0004593F">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nil"/>
              <w:left w:val="nil"/>
              <w:bottom w:val="single" w:sz="4" w:space="0" w:color="auto"/>
              <w:right w:val="single" w:sz="4" w:space="0" w:color="auto"/>
            </w:tcBorders>
            <w:shd w:val="clear" w:color="auto" w:fill="auto"/>
            <w:noWrap/>
            <w:vAlign w:val="center"/>
          </w:tcPr>
          <w:p w14:paraId="5DFB0283"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9,30 %</w:t>
            </w:r>
          </w:p>
        </w:tc>
        <w:tc>
          <w:tcPr>
            <w:tcW w:w="641" w:type="pct"/>
            <w:tcBorders>
              <w:top w:val="nil"/>
              <w:left w:val="nil"/>
              <w:bottom w:val="single" w:sz="4" w:space="0" w:color="auto"/>
              <w:right w:val="single" w:sz="4" w:space="0" w:color="auto"/>
            </w:tcBorders>
            <w:shd w:val="clear" w:color="auto" w:fill="auto"/>
            <w:noWrap/>
            <w:vAlign w:val="center"/>
          </w:tcPr>
          <w:p w14:paraId="019C3C8D"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21,78 %</w:t>
            </w:r>
          </w:p>
        </w:tc>
        <w:tc>
          <w:tcPr>
            <w:tcW w:w="641" w:type="pct"/>
            <w:tcBorders>
              <w:top w:val="nil"/>
              <w:left w:val="nil"/>
              <w:bottom w:val="single" w:sz="4" w:space="0" w:color="auto"/>
              <w:right w:val="single" w:sz="4" w:space="0" w:color="auto"/>
            </w:tcBorders>
            <w:shd w:val="clear" w:color="auto" w:fill="auto"/>
            <w:noWrap/>
            <w:vAlign w:val="center"/>
          </w:tcPr>
          <w:p w14:paraId="61CBA258"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18,44 %</w:t>
            </w:r>
          </w:p>
        </w:tc>
        <w:tc>
          <w:tcPr>
            <w:tcW w:w="641" w:type="pct"/>
            <w:tcBorders>
              <w:top w:val="nil"/>
              <w:left w:val="nil"/>
              <w:bottom w:val="single" w:sz="4" w:space="0" w:color="auto"/>
              <w:right w:val="single" w:sz="4" w:space="0" w:color="auto"/>
            </w:tcBorders>
            <w:vAlign w:val="center"/>
          </w:tcPr>
          <w:p w14:paraId="5C2001DB"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13,85 %</w:t>
            </w:r>
          </w:p>
        </w:tc>
      </w:tr>
      <w:tr w:rsidR="0004593F" w:rsidRPr="0004593F" w14:paraId="20B5A059"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vAlign w:val="center"/>
          </w:tcPr>
          <w:p w14:paraId="7682E7C4"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65993870</w:t>
            </w:r>
          </w:p>
        </w:tc>
        <w:tc>
          <w:tcPr>
            <w:tcW w:w="1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513A"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Centrum pro regionální rozvoj ČR</w:t>
            </w:r>
          </w:p>
        </w:tc>
        <w:tc>
          <w:tcPr>
            <w:tcW w:w="690" w:type="pct"/>
            <w:tcBorders>
              <w:top w:val="single" w:sz="4" w:space="0" w:color="auto"/>
              <w:left w:val="nil"/>
              <w:bottom w:val="single" w:sz="4" w:space="0" w:color="auto"/>
              <w:right w:val="single" w:sz="4" w:space="0" w:color="auto"/>
            </w:tcBorders>
            <w:shd w:val="clear" w:color="auto" w:fill="auto"/>
            <w:noWrap/>
            <w:vAlign w:val="center"/>
          </w:tcPr>
          <w:p w14:paraId="4EF2DDD5"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22,94 %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56352452" w14:textId="77777777" w:rsidR="0004593F" w:rsidRPr="0004593F" w:rsidRDefault="0004593F" w:rsidP="0004593F">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4FBF45DD" w14:textId="77777777" w:rsidR="0004593F" w:rsidRPr="0004593F" w:rsidRDefault="0004593F" w:rsidP="0004593F">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77E81496" w14:textId="77777777" w:rsidR="0004593F" w:rsidRPr="0004593F" w:rsidRDefault="0004593F" w:rsidP="0004593F">
            <w:pPr>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vAlign w:val="center"/>
          </w:tcPr>
          <w:p w14:paraId="1D6AAE83" w14:textId="77777777" w:rsidR="0004593F" w:rsidRPr="0004593F" w:rsidRDefault="0004593F" w:rsidP="0004593F">
            <w:pPr>
              <w:spacing w:after="0"/>
              <w:contextualSpacing/>
              <w:jc w:val="center"/>
              <w:rPr>
                <w:rFonts w:eastAsia="Calibri" w:cs="Calibri"/>
                <w:color w:val="000000"/>
                <w:sz w:val="20"/>
                <w:szCs w:val="20"/>
              </w:rPr>
            </w:pPr>
            <w:r w:rsidRPr="0004593F">
              <w:rPr>
                <w:rFonts w:eastAsia="Calibri" w:cs="Calibri"/>
                <w:color w:val="000000"/>
                <w:sz w:val="20"/>
                <w:szCs w:val="20"/>
              </w:rPr>
              <w:t>x</w:t>
            </w:r>
          </w:p>
        </w:tc>
      </w:tr>
      <w:tr w:rsidR="0004593F" w:rsidRPr="0004593F" w14:paraId="6B8C9AF9"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vAlign w:val="center"/>
          </w:tcPr>
          <w:p w14:paraId="72D5381E"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49277600</w:t>
            </w:r>
          </w:p>
        </w:tc>
        <w:tc>
          <w:tcPr>
            <w:tcW w:w="1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6C32B"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Česká centrála cestovního ruchu</w:t>
            </w:r>
          </w:p>
        </w:tc>
        <w:tc>
          <w:tcPr>
            <w:tcW w:w="690" w:type="pct"/>
            <w:tcBorders>
              <w:top w:val="single" w:sz="4" w:space="0" w:color="auto"/>
              <w:left w:val="nil"/>
              <w:bottom w:val="single" w:sz="4" w:space="0" w:color="auto"/>
              <w:right w:val="single" w:sz="4" w:space="0" w:color="auto"/>
            </w:tcBorders>
            <w:shd w:val="clear" w:color="auto" w:fill="auto"/>
            <w:noWrap/>
            <w:vAlign w:val="center"/>
          </w:tcPr>
          <w:p w14:paraId="620A349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44,94 %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3C907B51"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59,30 %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0DD7B2F0"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78,09 %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26F852DE"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78,51 %</w:t>
            </w:r>
          </w:p>
        </w:tc>
        <w:tc>
          <w:tcPr>
            <w:tcW w:w="641" w:type="pct"/>
            <w:tcBorders>
              <w:top w:val="single" w:sz="4" w:space="0" w:color="auto"/>
              <w:left w:val="nil"/>
              <w:bottom w:val="single" w:sz="4" w:space="0" w:color="auto"/>
              <w:right w:val="single" w:sz="4" w:space="0" w:color="auto"/>
            </w:tcBorders>
            <w:vAlign w:val="center"/>
          </w:tcPr>
          <w:p w14:paraId="1F8FD289"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71,78 %</w:t>
            </w:r>
          </w:p>
        </w:tc>
      </w:tr>
      <w:tr w:rsidR="0004593F" w:rsidRPr="0004593F" w14:paraId="47D77046" w14:textId="77777777" w:rsidTr="0004593F">
        <w:trPr>
          <w:trHeight w:val="255"/>
        </w:trPr>
        <w:tc>
          <w:tcPr>
            <w:tcW w:w="1745" w:type="pct"/>
            <w:gridSpan w:val="2"/>
            <w:tcBorders>
              <w:top w:val="single" w:sz="4" w:space="0" w:color="auto"/>
              <w:left w:val="single" w:sz="4" w:space="0" w:color="auto"/>
              <w:bottom w:val="single" w:sz="4" w:space="0" w:color="auto"/>
              <w:right w:val="single" w:sz="4" w:space="0" w:color="auto"/>
            </w:tcBorders>
            <w:shd w:val="clear" w:color="auto" w:fill="F2C6C9"/>
          </w:tcPr>
          <w:p w14:paraId="0C222E0F" w14:textId="77777777" w:rsidR="0004593F" w:rsidRPr="0004593F" w:rsidRDefault="0004593F" w:rsidP="0004593F">
            <w:pPr>
              <w:spacing w:after="0"/>
              <w:contextualSpacing/>
              <w:jc w:val="both"/>
              <w:rPr>
                <w:rFonts w:eastAsia="Calibri" w:cs="Calibri"/>
                <w:b/>
                <w:color w:val="000000"/>
                <w:sz w:val="20"/>
                <w:szCs w:val="20"/>
              </w:rPr>
            </w:pPr>
            <w:r w:rsidRPr="0004593F">
              <w:rPr>
                <w:rFonts w:eastAsia="Calibri" w:cs="Calibri"/>
                <w:b/>
                <w:color w:val="000000"/>
                <w:sz w:val="20"/>
                <w:szCs w:val="20"/>
              </w:rPr>
              <w:t>Podíl výše příspěvku na provoz na celkových výnosech PO</w:t>
            </w:r>
          </w:p>
        </w:tc>
        <w:tc>
          <w:tcPr>
            <w:tcW w:w="690" w:type="pct"/>
            <w:tcBorders>
              <w:top w:val="single" w:sz="4" w:space="0" w:color="auto"/>
              <w:left w:val="nil"/>
              <w:bottom w:val="single" w:sz="4" w:space="0" w:color="auto"/>
              <w:right w:val="single" w:sz="4" w:space="0" w:color="auto"/>
            </w:tcBorders>
            <w:shd w:val="clear" w:color="auto" w:fill="F2C6C9"/>
            <w:noWrap/>
            <w:vAlign w:val="center"/>
          </w:tcPr>
          <w:p w14:paraId="164DA2A2" w14:textId="77777777" w:rsidR="0004593F" w:rsidRPr="0004593F" w:rsidRDefault="0004593F" w:rsidP="0004593F">
            <w:pPr>
              <w:spacing w:after="0"/>
              <w:contextualSpacing/>
              <w:jc w:val="right"/>
              <w:rPr>
                <w:rFonts w:eastAsia="Calibri" w:cs="Calibri"/>
                <w:b/>
                <w:bCs/>
                <w:color w:val="000000"/>
                <w:sz w:val="20"/>
                <w:szCs w:val="20"/>
              </w:rPr>
            </w:pPr>
            <w:r w:rsidRPr="0004593F">
              <w:rPr>
                <w:rFonts w:eastAsia="Calibri" w:cs="Calibri"/>
                <w:b/>
                <w:bCs/>
                <w:color w:val="000000"/>
                <w:sz w:val="20"/>
                <w:szCs w:val="20"/>
              </w:rPr>
              <w:t>41,43 %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3B64E8A2" w14:textId="77777777" w:rsidR="0004593F" w:rsidRPr="0004593F" w:rsidRDefault="0004593F" w:rsidP="0004593F">
            <w:pPr>
              <w:spacing w:after="0"/>
              <w:contextualSpacing/>
              <w:jc w:val="right"/>
              <w:rPr>
                <w:rFonts w:eastAsia="Calibri" w:cs="Calibri"/>
                <w:b/>
                <w:bCs/>
                <w:color w:val="000000"/>
                <w:sz w:val="20"/>
                <w:szCs w:val="20"/>
              </w:rPr>
            </w:pPr>
            <w:r w:rsidRPr="0004593F">
              <w:rPr>
                <w:rFonts w:eastAsia="Calibri" w:cs="Calibri"/>
                <w:b/>
                <w:bCs/>
                <w:color w:val="000000"/>
                <w:sz w:val="20"/>
                <w:szCs w:val="20"/>
              </w:rPr>
              <w:t>52,56 %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293D6924" w14:textId="77777777" w:rsidR="0004593F" w:rsidRPr="0004593F" w:rsidRDefault="0004593F" w:rsidP="0004593F">
            <w:pPr>
              <w:spacing w:after="0"/>
              <w:contextualSpacing/>
              <w:jc w:val="right"/>
              <w:rPr>
                <w:rFonts w:eastAsia="Calibri" w:cs="Calibri"/>
                <w:b/>
                <w:bCs/>
                <w:color w:val="000000"/>
                <w:sz w:val="20"/>
                <w:szCs w:val="20"/>
              </w:rPr>
            </w:pPr>
            <w:r w:rsidRPr="0004593F">
              <w:rPr>
                <w:rFonts w:eastAsia="Calibri" w:cs="Calibri"/>
                <w:b/>
                <w:bCs/>
                <w:color w:val="000000"/>
                <w:sz w:val="20"/>
                <w:szCs w:val="20"/>
              </w:rPr>
              <w:t>54,28 %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33F75F33" w14:textId="77777777" w:rsidR="0004593F" w:rsidRPr="0004593F" w:rsidRDefault="0004593F" w:rsidP="0004593F">
            <w:pPr>
              <w:spacing w:after="0"/>
              <w:contextualSpacing/>
              <w:jc w:val="right"/>
              <w:rPr>
                <w:rFonts w:eastAsia="Calibri" w:cs="Calibri"/>
                <w:b/>
                <w:bCs/>
                <w:color w:val="000000"/>
                <w:sz w:val="20"/>
                <w:szCs w:val="20"/>
              </w:rPr>
            </w:pPr>
            <w:r w:rsidRPr="0004593F">
              <w:rPr>
                <w:rFonts w:eastAsia="Calibri" w:cs="Calibri"/>
                <w:b/>
                <w:bCs/>
                <w:color w:val="000000"/>
                <w:sz w:val="20"/>
                <w:szCs w:val="20"/>
              </w:rPr>
              <w:t>47,85 %</w:t>
            </w:r>
          </w:p>
        </w:tc>
        <w:tc>
          <w:tcPr>
            <w:tcW w:w="641" w:type="pct"/>
            <w:tcBorders>
              <w:top w:val="single" w:sz="4" w:space="0" w:color="auto"/>
              <w:left w:val="nil"/>
              <w:bottom w:val="single" w:sz="4" w:space="0" w:color="auto"/>
              <w:right w:val="single" w:sz="4" w:space="0" w:color="auto"/>
            </w:tcBorders>
            <w:shd w:val="clear" w:color="auto" w:fill="F2C6C9"/>
            <w:vAlign w:val="center"/>
          </w:tcPr>
          <w:p w14:paraId="340BE831" w14:textId="77777777" w:rsidR="0004593F" w:rsidRPr="0004593F" w:rsidRDefault="0004593F" w:rsidP="0004593F">
            <w:pPr>
              <w:spacing w:after="0"/>
              <w:contextualSpacing/>
              <w:jc w:val="right"/>
              <w:rPr>
                <w:rFonts w:eastAsia="Calibri" w:cs="Calibri"/>
                <w:b/>
                <w:bCs/>
                <w:color w:val="000000"/>
                <w:sz w:val="20"/>
                <w:szCs w:val="20"/>
              </w:rPr>
            </w:pPr>
            <w:r w:rsidRPr="0004593F">
              <w:rPr>
                <w:rFonts w:eastAsia="Calibri" w:cs="Calibri"/>
                <w:b/>
                <w:bCs/>
                <w:color w:val="000000"/>
                <w:sz w:val="20"/>
                <w:szCs w:val="20"/>
              </w:rPr>
              <w:t>40,86 %</w:t>
            </w:r>
          </w:p>
        </w:tc>
      </w:tr>
    </w:tbl>
    <w:p w14:paraId="2EFB0A6B" w14:textId="55DE6761" w:rsidR="0004593F" w:rsidRDefault="0004593F" w:rsidP="004B583B">
      <w:pPr>
        <w:spacing w:before="40" w:after="0"/>
        <w:ind w:left="567" w:hanging="567"/>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 xml:space="preserve">CSÚIS, ISSP-CSÚIS – výkaz „přehled o rozpočtu SPO – část II“ (údaje ze sloupce </w:t>
      </w:r>
      <w:r w:rsidRPr="0004593F">
        <w:rPr>
          <w:rFonts w:cs="Calibri"/>
          <w:i/>
          <w:color w:val="000000"/>
          <w:sz w:val="20"/>
          <w:szCs w:val="20"/>
          <w:lang w:eastAsia="cs-CZ"/>
        </w:rPr>
        <w:t>Skutečnost minulého roku v Kč</w:t>
      </w:r>
      <w:r w:rsidRPr="0004593F">
        <w:rPr>
          <w:rFonts w:cs="Calibri"/>
          <w:color w:val="000000"/>
          <w:sz w:val="20"/>
          <w:szCs w:val="20"/>
          <w:lang w:eastAsia="cs-CZ"/>
        </w:rPr>
        <w:t>);</w:t>
      </w:r>
      <w:r w:rsidRPr="0004593F">
        <w:rPr>
          <w:rFonts w:cs="Calibri"/>
          <w:i/>
          <w:color w:val="000000"/>
          <w:sz w:val="20"/>
          <w:szCs w:val="20"/>
          <w:lang w:eastAsia="cs-CZ"/>
        </w:rPr>
        <w:t xml:space="preserve"> </w:t>
      </w:r>
      <w:r w:rsidRPr="0004593F">
        <w:rPr>
          <w:rFonts w:cs="Calibri"/>
          <w:color w:val="000000"/>
          <w:sz w:val="20"/>
          <w:szCs w:val="20"/>
          <w:lang w:eastAsia="cs-CZ"/>
        </w:rPr>
        <w:t>výpočet</w:t>
      </w:r>
      <w:r w:rsidR="00C21FB6">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5AA69767" w14:textId="77777777" w:rsidR="0004593F" w:rsidRPr="00B97C4B" w:rsidRDefault="0004593F" w:rsidP="0004593F">
      <w:pPr>
        <w:spacing w:after="0"/>
        <w:contextualSpacing/>
        <w:jc w:val="both"/>
        <w:rPr>
          <w:rFonts w:cs="Calibri"/>
          <w:color w:val="000000"/>
          <w:lang w:eastAsia="cs-CZ"/>
        </w:rPr>
      </w:pPr>
    </w:p>
    <w:p w14:paraId="6FCB6E4E" w14:textId="37F8BD6A" w:rsidR="0004593F" w:rsidRPr="00B97C4B" w:rsidRDefault="0004593F" w:rsidP="00B6380A">
      <w:pPr>
        <w:keepNext/>
        <w:spacing w:after="40"/>
        <w:rPr>
          <w:rFonts w:cs="Calibri"/>
          <w:b/>
          <w:iCs/>
        </w:rPr>
      </w:pPr>
      <w:bookmarkStart w:id="104" w:name="_Toc520714353"/>
      <w:bookmarkStart w:id="105" w:name="_Toc8984560"/>
      <w:bookmarkStart w:id="106" w:name="_Toc33100935"/>
      <w:r w:rsidRPr="00B97C4B">
        <w:rPr>
          <w:rFonts w:cs="Calibri"/>
          <w:b/>
          <w:iCs/>
        </w:rPr>
        <w:lastRenderedPageBreak/>
        <w:t xml:space="preserve">Tabulka č. </w:t>
      </w:r>
      <w:r w:rsidRPr="00B97C4B">
        <w:rPr>
          <w:rFonts w:cs="Calibri"/>
          <w:b/>
          <w:iCs/>
        </w:rPr>
        <w:fldChar w:fldCharType="begin"/>
      </w:r>
      <w:r w:rsidRPr="00B97C4B">
        <w:rPr>
          <w:rFonts w:cs="Calibri"/>
          <w:b/>
          <w:iCs/>
        </w:rPr>
        <w:instrText xml:space="preserve"> SEQ Tabulka \* ARABIC </w:instrText>
      </w:r>
      <w:r w:rsidRPr="00B97C4B">
        <w:rPr>
          <w:rFonts w:cs="Calibri"/>
          <w:b/>
          <w:iCs/>
        </w:rPr>
        <w:fldChar w:fldCharType="separate"/>
      </w:r>
      <w:r w:rsidR="00015BEA">
        <w:rPr>
          <w:rFonts w:cs="Calibri"/>
          <w:b/>
          <w:iCs/>
          <w:noProof/>
        </w:rPr>
        <w:t>28</w:t>
      </w:r>
      <w:r w:rsidRPr="00B97C4B">
        <w:rPr>
          <w:rFonts w:cs="Calibri"/>
          <w:b/>
          <w:iCs/>
        </w:rPr>
        <w:fldChar w:fldCharType="end"/>
      </w:r>
      <w:r w:rsidRPr="00B97C4B">
        <w:rPr>
          <w:rFonts w:cs="Calibri"/>
          <w:b/>
          <w:iCs/>
        </w:rPr>
        <w:t>: Podíl výše příspěvku na provoz na výnosech z transferů PO (účet 671)</w:t>
      </w:r>
      <w:bookmarkEnd w:id="104"/>
      <w:bookmarkEnd w:id="105"/>
      <w:bookmarkEnd w:id="106"/>
    </w:p>
    <w:tbl>
      <w:tblPr>
        <w:tblW w:w="5000" w:type="pct"/>
        <w:tblCellMar>
          <w:left w:w="70" w:type="dxa"/>
          <w:right w:w="70" w:type="dxa"/>
        </w:tblCellMar>
        <w:tblLook w:val="04A0" w:firstRow="1" w:lastRow="0" w:firstColumn="1" w:lastColumn="0" w:noHBand="0" w:noVBand="1"/>
      </w:tblPr>
      <w:tblGrid>
        <w:gridCol w:w="951"/>
        <w:gridCol w:w="3903"/>
        <w:gridCol w:w="912"/>
        <w:gridCol w:w="823"/>
        <w:gridCol w:w="823"/>
        <w:gridCol w:w="824"/>
        <w:gridCol w:w="824"/>
      </w:tblGrid>
      <w:tr w:rsidR="0004593F" w:rsidRPr="0004593F" w14:paraId="28DD257E"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shd w:val="clear" w:color="auto" w:fill="E5F1FF"/>
            <w:vAlign w:val="center"/>
          </w:tcPr>
          <w:p w14:paraId="6A539275" w14:textId="77777777" w:rsidR="0004593F" w:rsidRPr="0004593F" w:rsidRDefault="0004593F" w:rsidP="00B97C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IČO</w:t>
            </w:r>
          </w:p>
        </w:tc>
        <w:tc>
          <w:tcPr>
            <w:tcW w:w="1311"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326708A" w14:textId="77777777" w:rsidR="0004593F" w:rsidRPr="0004593F" w:rsidRDefault="0004593F" w:rsidP="00B97C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Účetní jednotka</w:t>
            </w:r>
          </w:p>
        </w:tc>
        <w:tc>
          <w:tcPr>
            <w:tcW w:w="690" w:type="pct"/>
            <w:tcBorders>
              <w:top w:val="single" w:sz="4" w:space="0" w:color="auto"/>
              <w:left w:val="nil"/>
              <w:bottom w:val="single" w:sz="4" w:space="0" w:color="auto"/>
              <w:right w:val="single" w:sz="4" w:space="0" w:color="auto"/>
            </w:tcBorders>
            <w:shd w:val="clear" w:color="auto" w:fill="E5F1FF"/>
            <w:noWrap/>
            <w:vAlign w:val="center"/>
            <w:hideMark/>
          </w:tcPr>
          <w:p w14:paraId="14B83667" w14:textId="77777777" w:rsidR="0004593F" w:rsidRPr="0004593F" w:rsidRDefault="0004593F" w:rsidP="00B97C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7A0BBFD7" w14:textId="77777777" w:rsidR="0004593F" w:rsidRPr="0004593F" w:rsidRDefault="0004593F" w:rsidP="00B97C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2FCBA4AD" w14:textId="77777777" w:rsidR="0004593F" w:rsidRPr="0004593F" w:rsidRDefault="0004593F" w:rsidP="00B97C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641" w:type="pct"/>
            <w:tcBorders>
              <w:top w:val="single" w:sz="4" w:space="0" w:color="auto"/>
              <w:left w:val="nil"/>
              <w:bottom w:val="single" w:sz="4" w:space="0" w:color="auto"/>
              <w:right w:val="single" w:sz="4" w:space="0" w:color="auto"/>
            </w:tcBorders>
            <w:shd w:val="clear" w:color="auto" w:fill="E5F1FF"/>
            <w:noWrap/>
            <w:vAlign w:val="center"/>
            <w:hideMark/>
          </w:tcPr>
          <w:p w14:paraId="32794735" w14:textId="77777777" w:rsidR="0004593F" w:rsidRPr="0004593F" w:rsidRDefault="0004593F" w:rsidP="00B97C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641" w:type="pct"/>
            <w:tcBorders>
              <w:top w:val="single" w:sz="4" w:space="0" w:color="auto"/>
              <w:left w:val="nil"/>
              <w:bottom w:val="single" w:sz="4" w:space="0" w:color="auto"/>
              <w:right w:val="single" w:sz="4" w:space="0" w:color="auto"/>
            </w:tcBorders>
            <w:shd w:val="clear" w:color="auto" w:fill="E5F1FF"/>
            <w:vAlign w:val="center"/>
          </w:tcPr>
          <w:p w14:paraId="71AD853B" w14:textId="77777777" w:rsidR="0004593F" w:rsidRPr="0004593F" w:rsidRDefault="0004593F" w:rsidP="00B97C4B">
            <w:pPr>
              <w:keepNext/>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6B8074D4" w14:textId="77777777" w:rsidTr="0004593F">
        <w:trPr>
          <w:trHeight w:val="255"/>
        </w:trPr>
        <w:tc>
          <w:tcPr>
            <w:tcW w:w="435" w:type="pct"/>
            <w:tcBorders>
              <w:top w:val="nil"/>
              <w:left w:val="single" w:sz="4" w:space="0" w:color="auto"/>
              <w:bottom w:val="single" w:sz="4" w:space="0" w:color="auto"/>
              <w:right w:val="single" w:sz="4" w:space="0" w:color="auto"/>
            </w:tcBorders>
            <w:vAlign w:val="center"/>
          </w:tcPr>
          <w:p w14:paraId="46F40C65" w14:textId="77777777" w:rsidR="0004593F" w:rsidRPr="0004593F" w:rsidRDefault="0004593F" w:rsidP="00B97C4B">
            <w:pPr>
              <w:keepNext/>
              <w:spacing w:after="0"/>
              <w:contextualSpacing/>
              <w:jc w:val="both"/>
              <w:rPr>
                <w:rFonts w:eastAsia="Calibri" w:cs="Calibri"/>
                <w:color w:val="000000"/>
                <w:sz w:val="20"/>
                <w:szCs w:val="20"/>
              </w:rPr>
            </w:pPr>
            <w:r w:rsidRPr="0004593F">
              <w:rPr>
                <w:rFonts w:eastAsia="Calibri" w:cs="Calibri"/>
                <w:color w:val="000000"/>
                <w:sz w:val="20"/>
                <w:szCs w:val="20"/>
              </w:rPr>
              <w:t>4095316</w:t>
            </w:r>
          </w:p>
        </w:tc>
        <w:tc>
          <w:tcPr>
            <w:tcW w:w="1311" w:type="pct"/>
            <w:tcBorders>
              <w:top w:val="nil"/>
              <w:left w:val="single" w:sz="4" w:space="0" w:color="auto"/>
              <w:bottom w:val="single" w:sz="4" w:space="0" w:color="auto"/>
              <w:right w:val="single" w:sz="4" w:space="0" w:color="auto"/>
            </w:tcBorders>
            <w:shd w:val="clear" w:color="auto" w:fill="auto"/>
            <w:noWrap/>
            <w:vAlign w:val="center"/>
          </w:tcPr>
          <w:p w14:paraId="1B8C4C52" w14:textId="77777777" w:rsidR="0004593F" w:rsidRPr="0004593F" w:rsidRDefault="0004593F" w:rsidP="00B97C4B">
            <w:pPr>
              <w:keepNext/>
              <w:spacing w:after="0"/>
              <w:contextualSpacing/>
              <w:jc w:val="both"/>
              <w:rPr>
                <w:rFonts w:eastAsia="Calibri" w:cs="Calibri"/>
                <w:color w:val="000000"/>
                <w:sz w:val="20"/>
                <w:szCs w:val="20"/>
              </w:rPr>
            </w:pPr>
            <w:r w:rsidRPr="0004593F">
              <w:rPr>
                <w:rFonts w:eastAsia="Calibri" w:cs="Calibri"/>
                <w:color w:val="000000"/>
                <w:sz w:val="20"/>
                <w:szCs w:val="20"/>
              </w:rPr>
              <w:t>Centrum pro regionální rozvoj České republiky</w:t>
            </w:r>
          </w:p>
        </w:tc>
        <w:tc>
          <w:tcPr>
            <w:tcW w:w="690" w:type="pct"/>
            <w:tcBorders>
              <w:top w:val="nil"/>
              <w:left w:val="nil"/>
              <w:bottom w:val="single" w:sz="4" w:space="0" w:color="auto"/>
              <w:right w:val="single" w:sz="4" w:space="0" w:color="auto"/>
            </w:tcBorders>
            <w:shd w:val="clear" w:color="auto" w:fill="auto"/>
            <w:noWrap/>
            <w:vAlign w:val="center"/>
          </w:tcPr>
          <w:p w14:paraId="7058A028" w14:textId="77777777" w:rsidR="0004593F" w:rsidRPr="0004593F" w:rsidRDefault="0004593F" w:rsidP="00B97C4B">
            <w:pPr>
              <w:keepNext/>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nil"/>
              <w:left w:val="nil"/>
              <w:bottom w:val="single" w:sz="4" w:space="0" w:color="auto"/>
              <w:right w:val="single" w:sz="4" w:space="0" w:color="auto"/>
            </w:tcBorders>
            <w:shd w:val="clear" w:color="auto" w:fill="auto"/>
            <w:noWrap/>
            <w:vAlign w:val="center"/>
          </w:tcPr>
          <w:p w14:paraId="13050B7B"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9,45 %</w:t>
            </w:r>
          </w:p>
        </w:tc>
        <w:tc>
          <w:tcPr>
            <w:tcW w:w="641" w:type="pct"/>
            <w:tcBorders>
              <w:top w:val="nil"/>
              <w:left w:val="nil"/>
              <w:bottom w:val="single" w:sz="4" w:space="0" w:color="auto"/>
              <w:right w:val="single" w:sz="4" w:space="0" w:color="auto"/>
            </w:tcBorders>
            <w:shd w:val="clear" w:color="auto" w:fill="auto"/>
            <w:noWrap/>
            <w:vAlign w:val="center"/>
          </w:tcPr>
          <w:p w14:paraId="4396255B"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21,97 %</w:t>
            </w:r>
          </w:p>
        </w:tc>
        <w:tc>
          <w:tcPr>
            <w:tcW w:w="641" w:type="pct"/>
            <w:tcBorders>
              <w:top w:val="nil"/>
              <w:left w:val="nil"/>
              <w:bottom w:val="single" w:sz="4" w:space="0" w:color="auto"/>
              <w:right w:val="single" w:sz="4" w:space="0" w:color="auto"/>
            </w:tcBorders>
            <w:shd w:val="clear" w:color="auto" w:fill="auto"/>
            <w:noWrap/>
            <w:vAlign w:val="center"/>
          </w:tcPr>
          <w:p w14:paraId="7223EC52"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18,47 %</w:t>
            </w:r>
          </w:p>
        </w:tc>
        <w:tc>
          <w:tcPr>
            <w:tcW w:w="641" w:type="pct"/>
            <w:tcBorders>
              <w:top w:val="nil"/>
              <w:left w:val="nil"/>
              <w:bottom w:val="single" w:sz="4" w:space="0" w:color="auto"/>
              <w:right w:val="single" w:sz="4" w:space="0" w:color="auto"/>
            </w:tcBorders>
            <w:vAlign w:val="center"/>
          </w:tcPr>
          <w:p w14:paraId="672E04F1"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13,86 %</w:t>
            </w:r>
          </w:p>
        </w:tc>
      </w:tr>
      <w:tr w:rsidR="0004593F" w:rsidRPr="0004593F" w14:paraId="53E7C8D7"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vAlign w:val="center"/>
          </w:tcPr>
          <w:p w14:paraId="3A0EDCB5" w14:textId="77777777" w:rsidR="0004593F" w:rsidRPr="0004593F" w:rsidRDefault="0004593F" w:rsidP="00B97C4B">
            <w:pPr>
              <w:keepNext/>
              <w:spacing w:after="0"/>
              <w:contextualSpacing/>
              <w:jc w:val="both"/>
              <w:rPr>
                <w:rFonts w:eastAsia="Calibri" w:cs="Calibri"/>
                <w:color w:val="000000"/>
                <w:sz w:val="20"/>
                <w:szCs w:val="20"/>
              </w:rPr>
            </w:pPr>
            <w:r w:rsidRPr="0004593F">
              <w:rPr>
                <w:rFonts w:eastAsia="Calibri" w:cs="Calibri"/>
                <w:color w:val="000000"/>
                <w:sz w:val="20"/>
                <w:szCs w:val="20"/>
              </w:rPr>
              <w:t>65993870</w:t>
            </w:r>
          </w:p>
        </w:tc>
        <w:tc>
          <w:tcPr>
            <w:tcW w:w="1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5D09C" w14:textId="77777777" w:rsidR="0004593F" w:rsidRPr="0004593F" w:rsidRDefault="0004593F" w:rsidP="00B97C4B">
            <w:pPr>
              <w:keepNext/>
              <w:spacing w:after="0"/>
              <w:contextualSpacing/>
              <w:jc w:val="both"/>
              <w:rPr>
                <w:rFonts w:eastAsia="Calibri" w:cs="Calibri"/>
                <w:color w:val="000000"/>
                <w:sz w:val="20"/>
                <w:szCs w:val="20"/>
              </w:rPr>
            </w:pPr>
            <w:r w:rsidRPr="0004593F">
              <w:rPr>
                <w:rFonts w:eastAsia="Calibri" w:cs="Calibri"/>
                <w:color w:val="000000"/>
                <w:sz w:val="20"/>
                <w:szCs w:val="20"/>
              </w:rPr>
              <w:t>Centrum pro regionální rozvoj ČR</w:t>
            </w:r>
          </w:p>
        </w:tc>
        <w:tc>
          <w:tcPr>
            <w:tcW w:w="690" w:type="pct"/>
            <w:tcBorders>
              <w:top w:val="single" w:sz="4" w:space="0" w:color="auto"/>
              <w:left w:val="nil"/>
              <w:bottom w:val="single" w:sz="4" w:space="0" w:color="auto"/>
              <w:right w:val="single" w:sz="4" w:space="0" w:color="auto"/>
            </w:tcBorders>
            <w:shd w:val="clear" w:color="auto" w:fill="auto"/>
            <w:noWrap/>
            <w:vAlign w:val="center"/>
          </w:tcPr>
          <w:p w14:paraId="1690EE1B"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23,42 %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510B37D5" w14:textId="77777777" w:rsidR="0004593F" w:rsidRPr="0004593F" w:rsidRDefault="0004593F" w:rsidP="00B97C4B">
            <w:pPr>
              <w:keepNext/>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3669BECC" w14:textId="77777777" w:rsidR="0004593F" w:rsidRPr="0004593F" w:rsidRDefault="0004593F" w:rsidP="00B97C4B">
            <w:pPr>
              <w:keepNext/>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11C9587A" w14:textId="77777777" w:rsidR="0004593F" w:rsidRPr="0004593F" w:rsidRDefault="0004593F" w:rsidP="00B97C4B">
            <w:pPr>
              <w:keepNext/>
              <w:spacing w:after="0"/>
              <w:contextualSpacing/>
              <w:jc w:val="center"/>
              <w:rPr>
                <w:rFonts w:eastAsia="Calibri" w:cs="Calibri"/>
                <w:color w:val="000000"/>
                <w:sz w:val="20"/>
                <w:szCs w:val="20"/>
              </w:rPr>
            </w:pPr>
            <w:r w:rsidRPr="0004593F">
              <w:rPr>
                <w:rFonts w:eastAsia="Calibri" w:cs="Calibri"/>
                <w:color w:val="000000"/>
                <w:sz w:val="20"/>
                <w:szCs w:val="20"/>
              </w:rPr>
              <w:t>x</w:t>
            </w:r>
          </w:p>
        </w:tc>
        <w:tc>
          <w:tcPr>
            <w:tcW w:w="641" w:type="pct"/>
            <w:tcBorders>
              <w:top w:val="single" w:sz="4" w:space="0" w:color="auto"/>
              <w:left w:val="nil"/>
              <w:bottom w:val="single" w:sz="4" w:space="0" w:color="auto"/>
              <w:right w:val="single" w:sz="4" w:space="0" w:color="auto"/>
            </w:tcBorders>
            <w:vAlign w:val="center"/>
          </w:tcPr>
          <w:p w14:paraId="7453F4EB" w14:textId="77777777" w:rsidR="0004593F" w:rsidRPr="0004593F" w:rsidRDefault="0004593F" w:rsidP="00B97C4B">
            <w:pPr>
              <w:keepNext/>
              <w:spacing w:after="0"/>
              <w:contextualSpacing/>
              <w:jc w:val="center"/>
              <w:rPr>
                <w:rFonts w:eastAsia="Calibri" w:cs="Calibri"/>
                <w:color w:val="000000"/>
                <w:sz w:val="20"/>
                <w:szCs w:val="20"/>
              </w:rPr>
            </w:pPr>
            <w:r w:rsidRPr="0004593F">
              <w:rPr>
                <w:rFonts w:eastAsia="Calibri" w:cs="Calibri"/>
                <w:color w:val="000000"/>
                <w:sz w:val="20"/>
                <w:szCs w:val="20"/>
              </w:rPr>
              <w:t>x</w:t>
            </w:r>
          </w:p>
        </w:tc>
      </w:tr>
      <w:tr w:rsidR="0004593F" w:rsidRPr="0004593F" w14:paraId="65D8913A" w14:textId="77777777" w:rsidTr="0004593F">
        <w:trPr>
          <w:trHeight w:val="255"/>
        </w:trPr>
        <w:tc>
          <w:tcPr>
            <w:tcW w:w="435" w:type="pct"/>
            <w:tcBorders>
              <w:top w:val="single" w:sz="4" w:space="0" w:color="auto"/>
              <w:left w:val="single" w:sz="4" w:space="0" w:color="auto"/>
              <w:bottom w:val="single" w:sz="4" w:space="0" w:color="auto"/>
              <w:right w:val="single" w:sz="4" w:space="0" w:color="auto"/>
            </w:tcBorders>
            <w:vAlign w:val="center"/>
          </w:tcPr>
          <w:p w14:paraId="7E10C87A" w14:textId="77777777" w:rsidR="0004593F" w:rsidRPr="0004593F" w:rsidRDefault="0004593F" w:rsidP="00B97C4B">
            <w:pPr>
              <w:keepNext/>
              <w:spacing w:after="0"/>
              <w:contextualSpacing/>
              <w:jc w:val="both"/>
              <w:rPr>
                <w:rFonts w:eastAsia="Calibri" w:cs="Calibri"/>
                <w:color w:val="000000"/>
                <w:sz w:val="20"/>
                <w:szCs w:val="20"/>
              </w:rPr>
            </w:pPr>
            <w:r w:rsidRPr="0004593F">
              <w:rPr>
                <w:rFonts w:eastAsia="Calibri" w:cs="Calibri"/>
                <w:color w:val="000000"/>
                <w:sz w:val="20"/>
                <w:szCs w:val="20"/>
              </w:rPr>
              <w:t>49277600</w:t>
            </w:r>
          </w:p>
        </w:tc>
        <w:tc>
          <w:tcPr>
            <w:tcW w:w="1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7F17F" w14:textId="77777777" w:rsidR="0004593F" w:rsidRPr="0004593F" w:rsidRDefault="0004593F" w:rsidP="00B97C4B">
            <w:pPr>
              <w:keepNext/>
              <w:spacing w:after="0"/>
              <w:contextualSpacing/>
              <w:jc w:val="both"/>
              <w:rPr>
                <w:rFonts w:eastAsia="Calibri" w:cs="Calibri"/>
                <w:color w:val="000000"/>
                <w:sz w:val="20"/>
                <w:szCs w:val="20"/>
              </w:rPr>
            </w:pPr>
            <w:r w:rsidRPr="0004593F">
              <w:rPr>
                <w:rFonts w:eastAsia="Calibri" w:cs="Calibri"/>
                <w:color w:val="000000"/>
                <w:sz w:val="20"/>
                <w:szCs w:val="20"/>
              </w:rPr>
              <w:t>Česká centrála cestovního ruchu</w:t>
            </w:r>
          </w:p>
        </w:tc>
        <w:tc>
          <w:tcPr>
            <w:tcW w:w="690" w:type="pct"/>
            <w:tcBorders>
              <w:top w:val="single" w:sz="4" w:space="0" w:color="auto"/>
              <w:left w:val="nil"/>
              <w:bottom w:val="single" w:sz="4" w:space="0" w:color="auto"/>
              <w:right w:val="single" w:sz="4" w:space="0" w:color="auto"/>
            </w:tcBorders>
            <w:shd w:val="clear" w:color="auto" w:fill="auto"/>
            <w:noWrap/>
            <w:vAlign w:val="center"/>
          </w:tcPr>
          <w:p w14:paraId="312874AC"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53,24 %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7810B4A9"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62,97 %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33EFB0DB"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81,77 %</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0D6085F9"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79,53 %</w:t>
            </w:r>
          </w:p>
        </w:tc>
        <w:tc>
          <w:tcPr>
            <w:tcW w:w="641" w:type="pct"/>
            <w:tcBorders>
              <w:top w:val="single" w:sz="4" w:space="0" w:color="auto"/>
              <w:left w:val="nil"/>
              <w:bottom w:val="single" w:sz="4" w:space="0" w:color="auto"/>
              <w:right w:val="single" w:sz="4" w:space="0" w:color="auto"/>
            </w:tcBorders>
            <w:vAlign w:val="center"/>
          </w:tcPr>
          <w:p w14:paraId="4B004EB7" w14:textId="77777777" w:rsidR="0004593F" w:rsidRPr="0004593F" w:rsidRDefault="0004593F" w:rsidP="00B97C4B">
            <w:pPr>
              <w:keepNext/>
              <w:spacing w:after="0"/>
              <w:contextualSpacing/>
              <w:jc w:val="right"/>
              <w:rPr>
                <w:rFonts w:eastAsia="Calibri" w:cs="Calibri"/>
                <w:color w:val="000000"/>
                <w:sz w:val="20"/>
                <w:szCs w:val="20"/>
              </w:rPr>
            </w:pPr>
            <w:r w:rsidRPr="0004593F">
              <w:rPr>
                <w:rFonts w:eastAsia="Calibri" w:cs="Calibri"/>
                <w:color w:val="000000"/>
                <w:sz w:val="20"/>
                <w:szCs w:val="20"/>
              </w:rPr>
              <w:t>73,18 %</w:t>
            </w:r>
          </w:p>
        </w:tc>
      </w:tr>
      <w:tr w:rsidR="0004593F" w:rsidRPr="0004593F" w14:paraId="72E81554" w14:textId="77777777" w:rsidTr="0004593F">
        <w:trPr>
          <w:trHeight w:val="255"/>
        </w:trPr>
        <w:tc>
          <w:tcPr>
            <w:tcW w:w="1745" w:type="pct"/>
            <w:gridSpan w:val="2"/>
            <w:tcBorders>
              <w:top w:val="single" w:sz="4" w:space="0" w:color="auto"/>
              <w:left w:val="single" w:sz="4" w:space="0" w:color="auto"/>
              <w:bottom w:val="single" w:sz="4" w:space="0" w:color="auto"/>
              <w:right w:val="single" w:sz="4" w:space="0" w:color="auto"/>
            </w:tcBorders>
            <w:shd w:val="clear" w:color="auto" w:fill="F2C6C9"/>
          </w:tcPr>
          <w:p w14:paraId="40485A9A" w14:textId="77777777" w:rsidR="0004593F" w:rsidRPr="0004593F" w:rsidRDefault="0004593F" w:rsidP="00B97C4B">
            <w:pPr>
              <w:keepNext/>
              <w:spacing w:after="0"/>
              <w:contextualSpacing/>
              <w:jc w:val="both"/>
              <w:rPr>
                <w:rFonts w:eastAsia="Calibri" w:cs="Calibri"/>
                <w:b/>
                <w:color w:val="000000"/>
                <w:sz w:val="20"/>
                <w:szCs w:val="20"/>
              </w:rPr>
            </w:pPr>
            <w:r w:rsidRPr="0004593F">
              <w:rPr>
                <w:rFonts w:eastAsia="Calibri" w:cs="Calibri"/>
                <w:b/>
                <w:color w:val="000000"/>
                <w:sz w:val="20"/>
                <w:szCs w:val="20"/>
              </w:rPr>
              <w:t>Podíl výše příspěvku na provoz na výnosech z transferů PO (účet 671)</w:t>
            </w:r>
          </w:p>
        </w:tc>
        <w:tc>
          <w:tcPr>
            <w:tcW w:w="690" w:type="pct"/>
            <w:tcBorders>
              <w:top w:val="single" w:sz="4" w:space="0" w:color="auto"/>
              <w:left w:val="nil"/>
              <w:bottom w:val="single" w:sz="4" w:space="0" w:color="auto"/>
              <w:right w:val="single" w:sz="4" w:space="0" w:color="auto"/>
            </w:tcBorders>
            <w:shd w:val="clear" w:color="auto" w:fill="F2C6C9"/>
            <w:noWrap/>
            <w:vAlign w:val="center"/>
          </w:tcPr>
          <w:p w14:paraId="32C89B71" w14:textId="77777777" w:rsidR="0004593F" w:rsidRPr="0004593F" w:rsidRDefault="0004593F" w:rsidP="00B97C4B">
            <w:pPr>
              <w:keepNext/>
              <w:spacing w:after="0"/>
              <w:contextualSpacing/>
              <w:jc w:val="right"/>
              <w:rPr>
                <w:rFonts w:eastAsia="Calibri" w:cs="Calibri"/>
                <w:b/>
                <w:bCs/>
                <w:color w:val="000000"/>
                <w:sz w:val="20"/>
                <w:szCs w:val="20"/>
              </w:rPr>
            </w:pPr>
            <w:r w:rsidRPr="0004593F">
              <w:rPr>
                <w:rFonts w:eastAsia="Calibri" w:cs="Calibri"/>
                <w:b/>
                <w:bCs/>
                <w:color w:val="000000"/>
                <w:sz w:val="20"/>
                <w:szCs w:val="20"/>
              </w:rPr>
              <w:t>47,87 %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54FFFB31" w14:textId="77777777" w:rsidR="0004593F" w:rsidRPr="0004593F" w:rsidRDefault="0004593F" w:rsidP="00B97C4B">
            <w:pPr>
              <w:keepNext/>
              <w:spacing w:after="0"/>
              <w:contextualSpacing/>
              <w:jc w:val="right"/>
              <w:rPr>
                <w:rFonts w:eastAsia="Calibri" w:cs="Calibri"/>
                <w:b/>
                <w:bCs/>
                <w:color w:val="000000"/>
                <w:sz w:val="20"/>
                <w:szCs w:val="20"/>
              </w:rPr>
            </w:pPr>
            <w:r w:rsidRPr="0004593F">
              <w:rPr>
                <w:rFonts w:eastAsia="Calibri" w:cs="Calibri"/>
                <w:b/>
                <w:bCs/>
                <w:color w:val="000000"/>
                <w:sz w:val="20"/>
                <w:szCs w:val="20"/>
              </w:rPr>
              <w:t>55,47 %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7B546907" w14:textId="77777777" w:rsidR="0004593F" w:rsidRPr="0004593F" w:rsidRDefault="0004593F" w:rsidP="00B97C4B">
            <w:pPr>
              <w:keepNext/>
              <w:spacing w:after="0"/>
              <w:contextualSpacing/>
              <w:jc w:val="right"/>
              <w:rPr>
                <w:rFonts w:eastAsia="Calibri" w:cs="Calibri"/>
                <w:b/>
                <w:bCs/>
                <w:color w:val="000000"/>
                <w:sz w:val="20"/>
                <w:szCs w:val="20"/>
              </w:rPr>
            </w:pPr>
            <w:r w:rsidRPr="0004593F">
              <w:rPr>
                <w:rFonts w:eastAsia="Calibri" w:cs="Calibri"/>
                <w:b/>
                <w:bCs/>
                <w:color w:val="000000"/>
                <w:sz w:val="20"/>
                <w:szCs w:val="20"/>
              </w:rPr>
              <w:t>55,94 %</w:t>
            </w:r>
          </w:p>
        </w:tc>
        <w:tc>
          <w:tcPr>
            <w:tcW w:w="641" w:type="pct"/>
            <w:tcBorders>
              <w:top w:val="single" w:sz="4" w:space="0" w:color="auto"/>
              <w:left w:val="nil"/>
              <w:bottom w:val="single" w:sz="4" w:space="0" w:color="auto"/>
              <w:right w:val="single" w:sz="4" w:space="0" w:color="auto"/>
            </w:tcBorders>
            <w:shd w:val="clear" w:color="auto" w:fill="F2C6C9"/>
            <w:noWrap/>
            <w:vAlign w:val="center"/>
          </w:tcPr>
          <w:p w14:paraId="704E36C3" w14:textId="77777777" w:rsidR="0004593F" w:rsidRPr="0004593F" w:rsidRDefault="0004593F" w:rsidP="00B97C4B">
            <w:pPr>
              <w:keepNext/>
              <w:spacing w:after="0"/>
              <w:contextualSpacing/>
              <w:jc w:val="right"/>
              <w:rPr>
                <w:rFonts w:eastAsia="Calibri" w:cs="Calibri"/>
                <w:b/>
                <w:bCs/>
                <w:color w:val="000000"/>
                <w:sz w:val="20"/>
                <w:szCs w:val="20"/>
              </w:rPr>
            </w:pPr>
            <w:r w:rsidRPr="0004593F">
              <w:rPr>
                <w:rFonts w:eastAsia="Calibri" w:cs="Calibri"/>
                <w:b/>
                <w:bCs/>
                <w:color w:val="000000"/>
                <w:sz w:val="20"/>
                <w:szCs w:val="20"/>
              </w:rPr>
              <w:t>48,19 %</w:t>
            </w:r>
          </w:p>
        </w:tc>
        <w:tc>
          <w:tcPr>
            <w:tcW w:w="641" w:type="pct"/>
            <w:tcBorders>
              <w:top w:val="single" w:sz="4" w:space="0" w:color="auto"/>
              <w:left w:val="nil"/>
              <w:bottom w:val="single" w:sz="4" w:space="0" w:color="auto"/>
              <w:right w:val="single" w:sz="4" w:space="0" w:color="auto"/>
            </w:tcBorders>
            <w:shd w:val="clear" w:color="auto" w:fill="F2C6C9"/>
            <w:vAlign w:val="center"/>
          </w:tcPr>
          <w:p w14:paraId="0397D58C" w14:textId="77777777" w:rsidR="0004593F" w:rsidRPr="0004593F" w:rsidRDefault="0004593F" w:rsidP="00B97C4B">
            <w:pPr>
              <w:keepNext/>
              <w:spacing w:after="0"/>
              <w:contextualSpacing/>
              <w:jc w:val="right"/>
              <w:rPr>
                <w:rFonts w:eastAsia="Calibri" w:cs="Calibri"/>
                <w:b/>
                <w:bCs/>
                <w:color w:val="000000"/>
                <w:sz w:val="20"/>
                <w:szCs w:val="20"/>
              </w:rPr>
            </w:pPr>
            <w:r w:rsidRPr="0004593F">
              <w:rPr>
                <w:rFonts w:eastAsia="Calibri" w:cs="Calibri"/>
                <w:b/>
                <w:bCs/>
                <w:color w:val="000000"/>
                <w:sz w:val="20"/>
                <w:szCs w:val="20"/>
              </w:rPr>
              <w:t>41,24 %</w:t>
            </w:r>
          </w:p>
        </w:tc>
      </w:tr>
    </w:tbl>
    <w:p w14:paraId="4C871D91" w14:textId="6276F6EB" w:rsidR="0004593F" w:rsidRDefault="0004593F" w:rsidP="00B6380A">
      <w:pPr>
        <w:spacing w:before="40" w:after="0"/>
        <w:ind w:left="567" w:hanging="567"/>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 xml:space="preserve">CSÚIS, ISSP-CSÚIS – výkaz „přehled o rozpočtu SPO – část II“ (údaje ze sloupce </w:t>
      </w:r>
      <w:r w:rsidRPr="0004593F">
        <w:rPr>
          <w:rFonts w:cs="Calibri"/>
          <w:i/>
          <w:color w:val="000000"/>
          <w:sz w:val="20"/>
          <w:szCs w:val="20"/>
          <w:lang w:eastAsia="cs-CZ"/>
        </w:rPr>
        <w:t>Skutečnost minulého roku v Kč</w:t>
      </w:r>
      <w:r w:rsidRPr="0004593F">
        <w:rPr>
          <w:rFonts w:cs="Calibri"/>
          <w:color w:val="000000"/>
          <w:sz w:val="20"/>
          <w:szCs w:val="20"/>
          <w:lang w:eastAsia="cs-CZ"/>
        </w:rPr>
        <w:t>),</w:t>
      </w:r>
      <w:r w:rsidRPr="0004593F">
        <w:rPr>
          <w:rFonts w:cs="Calibri"/>
          <w:i/>
          <w:color w:val="000000"/>
          <w:sz w:val="20"/>
          <w:szCs w:val="20"/>
          <w:lang w:eastAsia="cs-CZ"/>
        </w:rPr>
        <w:t xml:space="preserve"> </w:t>
      </w:r>
      <w:r w:rsidRPr="0004593F">
        <w:rPr>
          <w:rFonts w:cs="Calibri"/>
          <w:color w:val="000000"/>
          <w:sz w:val="20"/>
          <w:szCs w:val="20"/>
          <w:lang w:eastAsia="cs-CZ"/>
        </w:rPr>
        <w:t>výpočet</w:t>
      </w:r>
      <w:r w:rsidR="00C21FB6">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7AEE3F8F" w14:textId="77777777" w:rsidR="0004593F" w:rsidRPr="00F410B5" w:rsidRDefault="0004593F" w:rsidP="0004593F">
      <w:pPr>
        <w:spacing w:after="0"/>
        <w:contextualSpacing/>
        <w:jc w:val="both"/>
        <w:rPr>
          <w:rFonts w:cs="Calibri"/>
          <w:bCs/>
          <w:color w:val="000000"/>
          <w:lang w:eastAsia="cs-CZ"/>
        </w:rPr>
      </w:pPr>
    </w:p>
    <w:p w14:paraId="76862CCC" w14:textId="6DD319A1" w:rsidR="0004593F" w:rsidRPr="00F410B5" w:rsidRDefault="0004593F" w:rsidP="00F410B5">
      <w:pPr>
        <w:spacing w:after="40"/>
        <w:ind w:left="1418" w:hanging="1418"/>
        <w:jc w:val="both"/>
        <w:rPr>
          <w:rFonts w:cs="Calibri"/>
          <w:b/>
          <w:iCs/>
        </w:rPr>
      </w:pPr>
      <w:bookmarkStart w:id="107" w:name="_Toc8984561"/>
      <w:bookmarkStart w:id="108" w:name="_Toc33100936"/>
      <w:bookmarkStart w:id="109" w:name="_Toc520714354"/>
      <w:r w:rsidRPr="00F410B5">
        <w:rPr>
          <w:rFonts w:cs="Calibri"/>
          <w:b/>
          <w:iCs/>
        </w:rPr>
        <w:t xml:space="preserve">Tabulka č. </w:t>
      </w:r>
      <w:r w:rsidRPr="00F410B5">
        <w:rPr>
          <w:rFonts w:cs="Calibri"/>
          <w:b/>
          <w:iCs/>
        </w:rPr>
        <w:fldChar w:fldCharType="begin"/>
      </w:r>
      <w:r w:rsidRPr="00F410B5">
        <w:rPr>
          <w:rFonts w:cs="Calibri"/>
          <w:b/>
          <w:iCs/>
        </w:rPr>
        <w:instrText xml:space="preserve"> SEQ Tabulka \* ARABIC </w:instrText>
      </w:r>
      <w:r w:rsidRPr="00F410B5">
        <w:rPr>
          <w:rFonts w:cs="Calibri"/>
          <w:b/>
          <w:iCs/>
        </w:rPr>
        <w:fldChar w:fldCharType="separate"/>
      </w:r>
      <w:r w:rsidR="00015BEA">
        <w:rPr>
          <w:rFonts w:cs="Calibri"/>
          <w:b/>
          <w:iCs/>
          <w:noProof/>
        </w:rPr>
        <w:t>29</w:t>
      </w:r>
      <w:r w:rsidRPr="00F410B5">
        <w:rPr>
          <w:rFonts w:cs="Calibri"/>
          <w:b/>
          <w:iCs/>
        </w:rPr>
        <w:fldChar w:fldCharType="end"/>
      </w:r>
      <w:r w:rsidRPr="00F410B5">
        <w:rPr>
          <w:rFonts w:cs="Calibri"/>
          <w:b/>
          <w:iCs/>
        </w:rPr>
        <w:t>: Porovnání výše příspěvku na provoz s celkovými výnosy a s výnosy</w:t>
      </w:r>
      <w:bookmarkEnd w:id="107"/>
      <w:r w:rsidRPr="00F410B5">
        <w:rPr>
          <w:rFonts w:cs="Calibri"/>
          <w:b/>
          <w:iCs/>
        </w:rPr>
        <w:t xml:space="preserve"> z transferů</w:t>
      </w:r>
      <w:bookmarkEnd w:id="108"/>
      <w:r w:rsidRPr="00F410B5">
        <w:rPr>
          <w:rFonts w:cs="Calibri"/>
          <w:b/>
          <w:iCs/>
        </w:rPr>
        <w:t xml:space="preserve"> (za všechny PO v rozpočtové kapitole 317 MMR)</w:t>
      </w:r>
      <w:bookmarkEnd w:id="109"/>
    </w:p>
    <w:tbl>
      <w:tblPr>
        <w:tblW w:w="5000" w:type="pct"/>
        <w:tblCellMar>
          <w:left w:w="70" w:type="dxa"/>
          <w:right w:w="70" w:type="dxa"/>
        </w:tblCellMar>
        <w:tblLook w:val="04A0" w:firstRow="1" w:lastRow="0" w:firstColumn="1" w:lastColumn="0" w:noHBand="0" w:noVBand="1"/>
      </w:tblPr>
      <w:tblGrid>
        <w:gridCol w:w="3418"/>
        <w:gridCol w:w="1128"/>
        <w:gridCol w:w="1130"/>
        <w:gridCol w:w="1128"/>
        <w:gridCol w:w="1129"/>
        <w:gridCol w:w="1127"/>
      </w:tblGrid>
      <w:tr w:rsidR="0004593F" w:rsidRPr="0004593F" w14:paraId="3D56A75C" w14:textId="77777777" w:rsidTr="0004593F">
        <w:trPr>
          <w:trHeight w:val="255"/>
        </w:trPr>
        <w:tc>
          <w:tcPr>
            <w:tcW w:w="1705"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471883F" w14:textId="77777777" w:rsidR="0004593F" w:rsidRPr="0004593F" w:rsidRDefault="0004593F" w:rsidP="0004593F">
            <w:pPr>
              <w:spacing w:after="0"/>
              <w:contextualSpacing/>
              <w:jc w:val="both"/>
              <w:rPr>
                <w:rFonts w:cs="Calibri"/>
                <w:b/>
                <w:bCs/>
                <w:color w:val="000000"/>
                <w:sz w:val="20"/>
                <w:szCs w:val="20"/>
                <w:lang w:eastAsia="cs-CZ"/>
              </w:rPr>
            </w:pPr>
            <w:r w:rsidRPr="0004593F">
              <w:rPr>
                <w:rFonts w:cs="Calibri"/>
                <w:b/>
                <w:bCs/>
                <w:color w:val="000000"/>
                <w:sz w:val="20"/>
                <w:szCs w:val="20"/>
                <w:lang w:eastAsia="cs-CZ"/>
              </w:rPr>
              <w:t>Ukazatel</w:t>
            </w:r>
          </w:p>
        </w:tc>
        <w:tc>
          <w:tcPr>
            <w:tcW w:w="659" w:type="pct"/>
            <w:tcBorders>
              <w:top w:val="single" w:sz="4" w:space="0" w:color="auto"/>
              <w:left w:val="nil"/>
              <w:bottom w:val="single" w:sz="4" w:space="0" w:color="auto"/>
              <w:right w:val="single" w:sz="4" w:space="0" w:color="auto"/>
            </w:tcBorders>
            <w:shd w:val="clear" w:color="auto" w:fill="E5F1FF"/>
            <w:noWrap/>
            <w:vAlign w:val="center"/>
            <w:hideMark/>
          </w:tcPr>
          <w:p w14:paraId="62848F5C"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2014</w:t>
            </w:r>
          </w:p>
        </w:tc>
        <w:tc>
          <w:tcPr>
            <w:tcW w:w="660" w:type="pct"/>
            <w:tcBorders>
              <w:top w:val="single" w:sz="4" w:space="0" w:color="auto"/>
              <w:left w:val="nil"/>
              <w:bottom w:val="single" w:sz="4" w:space="0" w:color="auto"/>
              <w:right w:val="single" w:sz="4" w:space="0" w:color="auto"/>
            </w:tcBorders>
            <w:shd w:val="clear" w:color="auto" w:fill="E5F1FF"/>
            <w:noWrap/>
            <w:vAlign w:val="center"/>
            <w:hideMark/>
          </w:tcPr>
          <w:p w14:paraId="127C9849"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p>
        </w:tc>
        <w:tc>
          <w:tcPr>
            <w:tcW w:w="659" w:type="pct"/>
            <w:tcBorders>
              <w:top w:val="single" w:sz="4" w:space="0" w:color="auto"/>
              <w:left w:val="nil"/>
              <w:bottom w:val="single" w:sz="4" w:space="0" w:color="auto"/>
              <w:right w:val="single" w:sz="4" w:space="0" w:color="auto"/>
            </w:tcBorders>
            <w:shd w:val="clear" w:color="auto" w:fill="E5F1FF"/>
            <w:noWrap/>
            <w:vAlign w:val="center"/>
            <w:hideMark/>
          </w:tcPr>
          <w:p w14:paraId="50EAF685"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p>
        </w:tc>
        <w:tc>
          <w:tcPr>
            <w:tcW w:w="659" w:type="pct"/>
            <w:tcBorders>
              <w:top w:val="single" w:sz="4" w:space="0" w:color="auto"/>
              <w:left w:val="nil"/>
              <w:bottom w:val="single" w:sz="4" w:space="0" w:color="auto"/>
              <w:right w:val="single" w:sz="4" w:space="0" w:color="auto"/>
            </w:tcBorders>
            <w:shd w:val="clear" w:color="auto" w:fill="E5F1FF"/>
            <w:noWrap/>
            <w:vAlign w:val="center"/>
            <w:hideMark/>
          </w:tcPr>
          <w:p w14:paraId="61002987"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p>
        </w:tc>
        <w:tc>
          <w:tcPr>
            <w:tcW w:w="658" w:type="pct"/>
            <w:tcBorders>
              <w:top w:val="single" w:sz="4" w:space="0" w:color="auto"/>
              <w:left w:val="nil"/>
              <w:bottom w:val="single" w:sz="4" w:space="0" w:color="auto"/>
              <w:right w:val="single" w:sz="4" w:space="0" w:color="auto"/>
            </w:tcBorders>
            <w:shd w:val="clear" w:color="auto" w:fill="E5F1FF"/>
          </w:tcPr>
          <w:p w14:paraId="5E45F862" w14:textId="77777777" w:rsidR="0004593F" w:rsidRPr="0004593F" w:rsidRDefault="0004593F" w:rsidP="0004593F">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p>
        </w:tc>
      </w:tr>
      <w:tr w:rsidR="0004593F" w:rsidRPr="0004593F" w14:paraId="1933A79A" w14:textId="77777777" w:rsidTr="0004593F">
        <w:trPr>
          <w:trHeight w:val="255"/>
        </w:trPr>
        <w:tc>
          <w:tcPr>
            <w:tcW w:w="1705" w:type="pct"/>
            <w:tcBorders>
              <w:top w:val="nil"/>
              <w:left w:val="single" w:sz="4" w:space="0" w:color="auto"/>
              <w:bottom w:val="single" w:sz="4" w:space="0" w:color="auto"/>
              <w:right w:val="single" w:sz="4" w:space="0" w:color="auto"/>
            </w:tcBorders>
            <w:shd w:val="clear" w:color="auto" w:fill="auto"/>
            <w:noWrap/>
            <w:vAlign w:val="center"/>
          </w:tcPr>
          <w:p w14:paraId="405F5382"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Příspěvek na provoz / celkové výnosy</w:t>
            </w:r>
          </w:p>
        </w:tc>
        <w:tc>
          <w:tcPr>
            <w:tcW w:w="659" w:type="pct"/>
            <w:tcBorders>
              <w:top w:val="nil"/>
              <w:left w:val="nil"/>
              <w:bottom w:val="single" w:sz="4" w:space="0" w:color="auto"/>
              <w:right w:val="single" w:sz="4" w:space="0" w:color="auto"/>
            </w:tcBorders>
            <w:shd w:val="clear" w:color="auto" w:fill="auto"/>
            <w:noWrap/>
            <w:vAlign w:val="center"/>
          </w:tcPr>
          <w:p w14:paraId="241368F6"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41,43 %</w:t>
            </w:r>
          </w:p>
        </w:tc>
        <w:tc>
          <w:tcPr>
            <w:tcW w:w="660" w:type="pct"/>
            <w:tcBorders>
              <w:top w:val="nil"/>
              <w:left w:val="nil"/>
              <w:bottom w:val="single" w:sz="4" w:space="0" w:color="auto"/>
              <w:right w:val="single" w:sz="4" w:space="0" w:color="auto"/>
            </w:tcBorders>
            <w:shd w:val="clear" w:color="auto" w:fill="auto"/>
            <w:noWrap/>
            <w:vAlign w:val="center"/>
          </w:tcPr>
          <w:p w14:paraId="17AE6AD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52,56 %</w:t>
            </w:r>
          </w:p>
        </w:tc>
        <w:tc>
          <w:tcPr>
            <w:tcW w:w="659" w:type="pct"/>
            <w:tcBorders>
              <w:top w:val="nil"/>
              <w:left w:val="nil"/>
              <w:bottom w:val="single" w:sz="4" w:space="0" w:color="auto"/>
              <w:right w:val="single" w:sz="4" w:space="0" w:color="auto"/>
            </w:tcBorders>
            <w:shd w:val="clear" w:color="auto" w:fill="auto"/>
            <w:noWrap/>
            <w:vAlign w:val="center"/>
          </w:tcPr>
          <w:p w14:paraId="1945091B"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54,28 %</w:t>
            </w:r>
          </w:p>
        </w:tc>
        <w:tc>
          <w:tcPr>
            <w:tcW w:w="659" w:type="pct"/>
            <w:tcBorders>
              <w:top w:val="nil"/>
              <w:left w:val="nil"/>
              <w:bottom w:val="single" w:sz="4" w:space="0" w:color="auto"/>
              <w:right w:val="single" w:sz="4" w:space="0" w:color="auto"/>
            </w:tcBorders>
            <w:shd w:val="clear" w:color="auto" w:fill="auto"/>
            <w:noWrap/>
            <w:vAlign w:val="center"/>
          </w:tcPr>
          <w:p w14:paraId="087B0C3B"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47,85 %</w:t>
            </w:r>
          </w:p>
        </w:tc>
        <w:tc>
          <w:tcPr>
            <w:tcW w:w="658" w:type="pct"/>
            <w:tcBorders>
              <w:top w:val="nil"/>
              <w:left w:val="nil"/>
              <w:bottom w:val="single" w:sz="4" w:space="0" w:color="auto"/>
              <w:right w:val="single" w:sz="4" w:space="0" w:color="auto"/>
            </w:tcBorders>
            <w:vAlign w:val="center"/>
          </w:tcPr>
          <w:p w14:paraId="7390E87B"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40,86 %</w:t>
            </w:r>
          </w:p>
        </w:tc>
      </w:tr>
      <w:tr w:rsidR="0004593F" w:rsidRPr="0004593F" w14:paraId="64F6DD9B" w14:textId="77777777" w:rsidTr="0004593F">
        <w:trPr>
          <w:trHeight w:val="255"/>
        </w:trPr>
        <w:tc>
          <w:tcPr>
            <w:tcW w:w="1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18E97" w14:textId="77777777" w:rsidR="0004593F" w:rsidRPr="0004593F" w:rsidRDefault="0004593F" w:rsidP="0004593F">
            <w:pPr>
              <w:spacing w:after="0"/>
              <w:contextualSpacing/>
              <w:jc w:val="both"/>
              <w:rPr>
                <w:rFonts w:eastAsia="Calibri" w:cs="Calibri"/>
                <w:color w:val="000000"/>
                <w:sz w:val="20"/>
                <w:szCs w:val="20"/>
              </w:rPr>
            </w:pPr>
            <w:r w:rsidRPr="0004593F">
              <w:rPr>
                <w:rFonts w:eastAsia="Calibri" w:cs="Calibri"/>
                <w:color w:val="000000"/>
                <w:sz w:val="20"/>
                <w:szCs w:val="20"/>
              </w:rPr>
              <w:t>Příspěvek na provoz / výnosy z transferů</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FB83A4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47,87 %</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69A0A6B5"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55,47 %</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532863B1"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55,94 %</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F855365"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48,19 %</w:t>
            </w:r>
          </w:p>
        </w:tc>
        <w:tc>
          <w:tcPr>
            <w:tcW w:w="658" w:type="pct"/>
            <w:tcBorders>
              <w:top w:val="single" w:sz="4" w:space="0" w:color="auto"/>
              <w:left w:val="nil"/>
              <w:bottom w:val="single" w:sz="4" w:space="0" w:color="auto"/>
              <w:right w:val="single" w:sz="4" w:space="0" w:color="auto"/>
            </w:tcBorders>
            <w:vAlign w:val="center"/>
          </w:tcPr>
          <w:p w14:paraId="48DD183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41,24 %</w:t>
            </w:r>
          </w:p>
        </w:tc>
      </w:tr>
    </w:tbl>
    <w:p w14:paraId="6DA0652A" w14:textId="5C24A688" w:rsidR="0004593F" w:rsidRDefault="0004593F" w:rsidP="00F410B5">
      <w:pPr>
        <w:spacing w:before="40" w:after="0"/>
        <w:jc w:val="both"/>
        <w:rPr>
          <w:rFonts w:cs="Calibri"/>
          <w:color w:val="000000"/>
          <w:sz w:val="20"/>
          <w:szCs w:val="20"/>
          <w:lang w:eastAsia="cs-CZ"/>
        </w:rPr>
      </w:pPr>
      <w:r w:rsidRPr="0004593F">
        <w:rPr>
          <w:rFonts w:cs="Calibri"/>
          <w:b/>
          <w:color w:val="000000"/>
          <w:sz w:val="20"/>
          <w:szCs w:val="20"/>
          <w:lang w:eastAsia="cs-CZ"/>
        </w:rPr>
        <w:t xml:space="preserve">Zdroj: </w:t>
      </w:r>
      <w:r w:rsidRPr="0004593F">
        <w:rPr>
          <w:rFonts w:cs="Calibri"/>
          <w:color w:val="000000"/>
          <w:sz w:val="20"/>
          <w:szCs w:val="20"/>
          <w:lang w:eastAsia="cs-CZ"/>
        </w:rPr>
        <w:t>výpočet</w:t>
      </w:r>
      <w:r w:rsidR="00C21FB6">
        <w:rPr>
          <w:rFonts w:cs="Calibri"/>
          <w:color w:val="000000"/>
          <w:sz w:val="20"/>
          <w:szCs w:val="20"/>
          <w:lang w:eastAsia="cs-CZ"/>
        </w:rPr>
        <w:t xml:space="preserve"> vypracoval</w:t>
      </w:r>
      <w:r w:rsidRPr="0004593F">
        <w:rPr>
          <w:rFonts w:cs="Calibri"/>
          <w:color w:val="000000"/>
          <w:sz w:val="20"/>
          <w:szCs w:val="20"/>
          <w:lang w:eastAsia="cs-CZ"/>
        </w:rPr>
        <w:t xml:space="preserve"> NKÚ.</w:t>
      </w:r>
    </w:p>
    <w:p w14:paraId="20D66ACC" w14:textId="77777777" w:rsidR="0004593F" w:rsidRPr="007C34C4" w:rsidRDefault="0004593F" w:rsidP="0004593F">
      <w:pPr>
        <w:spacing w:after="0"/>
        <w:contextualSpacing/>
        <w:jc w:val="both"/>
        <w:rPr>
          <w:rFonts w:cs="Calibri"/>
          <w:bCs/>
          <w:color w:val="000000"/>
          <w:szCs w:val="20"/>
          <w:lang w:eastAsia="cs-CZ"/>
        </w:rPr>
      </w:pPr>
    </w:p>
    <w:p w14:paraId="3D55DEA4" w14:textId="64AFAAEF" w:rsidR="0004593F" w:rsidRPr="007C34C4" w:rsidRDefault="0004593F" w:rsidP="007C34C4">
      <w:pPr>
        <w:spacing w:after="40"/>
        <w:rPr>
          <w:rFonts w:cs="Calibri"/>
          <w:b/>
          <w:iCs/>
          <w:szCs w:val="20"/>
        </w:rPr>
      </w:pPr>
      <w:bookmarkStart w:id="110" w:name="_Toc8984562"/>
      <w:bookmarkStart w:id="111" w:name="_Toc33100937"/>
      <w:r w:rsidRPr="007C34C4">
        <w:rPr>
          <w:rFonts w:cs="Calibri"/>
          <w:b/>
          <w:iCs/>
          <w:szCs w:val="20"/>
        </w:rPr>
        <w:t xml:space="preserve">Tabulka č. </w:t>
      </w:r>
      <w:r w:rsidRPr="007C34C4">
        <w:rPr>
          <w:rFonts w:cs="Calibri"/>
          <w:b/>
          <w:iCs/>
          <w:szCs w:val="20"/>
        </w:rPr>
        <w:fldChar w:fldCharType="begin"/>
      </w:r>
      <w:r w:rsidRPr="007C34C4">
        <w:rPr>
          <w:rFonts w:cs="Calibri"/>
          <w:b/>
          <w:iCs/>
          <w:szCs w:val="20"/>
        </w:rPr>
        <w:instrText xml:space="preserve"> SEQ Tabulka \* ARABIC </w:instrText>
      </w:r>
      <w:r w:rsidRPr="007C34C4">
        <w:rPr>
          <w:rFonts w:cs="Calibri"/>
          <w:b/>
          <w:iCs/>
          <w:szCs w:val="20"/>
        </w:rPr>
        <w:fldChar w:fldCharType="separate"/>
      </w:r>
      <w:r w:rsidR="00015BEA">
        <w:rPr>
          <w:rFonts w:cs="Calibri"/>
          <w:b/>
          <w:iCs/>
          <w:noProof/>
          <w:szCs w:val="20"/>
        </w:rPr>
        <w:t>30</w:t>
      </w:r>
      <w:r w:rsidRPr="007C34C4">
        <w:rPr>
          <w:rFonts w:cs="Calibri"/>
          <w:b/>
          <w:iCs/>
          <w:szCs w:val="20"/>
        </w:rPr>
        <w:fldChar w:fldCharType="end"/>
      </w:r>
      <w:r w:rsidRPr="007C34C4">
        <w:rPr>
          <w:rFonts w:cs="Calibri"/>
          <w:b/>
          <w:iCs/>
          <w:szCs w:val="20"/>
        </w:rPr>
        <w:t>: Tempo růstu výnosů a příspěvku na provoz PO kapitoly 317</w:t>
      </w:r>
      <w:bookmarkEnd w:id="110"/>
      <w:bookmarkEnd w:id="111"/>
      <w:r w:rsidRPr="007C34C4">
        <w:rPr>
          <w:rFonts w:cs="Calibri"/>
          <w:b/>
          <w:iCs/>
          <w:szCs w:val="20"/>
        </w:rPr>
        <w:t xml:space="preserve"> MMR</w:t>
      </w:r>
    </w:p>
    <w:tbl>
      <w:tblPr>
        <w:tblW w:w="9068" w:type="dxa"/>
        <w:tblLayout w:type="fixed"/>
        <w:tblCellMar>
          <w:left w:w="70" w:type="dxa"/>
          <w:right w:w="70" w:type="dxa"/>
        </w:tblCellMar>
        <w:tblLook w:val="04A0" w:firstRow="1" w:lastRow="0" w:firstColumn="1" w:lastColumn="0" w:noHBand="0" w:noVBand="1"/>
      </w:tblPr>
      <w:tblGrid>
        <w:gridCol w:w="2830"/>
        <w:gridCol w:w="1559"/>
        <w:gridCol w:w="1559"/>
        <w:gridCol w:w="1560"/>
        <w:gridCol w:w="1560"/>
      </w:tblGrid>
      <w:tr w:rsidR="0004593F" w:rsidRPr="0004593F" w14:paraId="25CA1534"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24B0016" w14:textId="77777777" w:rsidR="0004593F" w:rsidRPr="0004593F" w:rsidRDefault="0004593F" w:rsidP="007D251A">
            <w:pPr>
              <w:spacing w:after="0"/>
              <w:contextualSpacing/>
              <w:rPr>
                <w:rFonts w:cs="Calibri"/>
                <w:b/>
                <w:bCs/>
                <w:color w:val="000000"/>
                <w:sz w:val="20"/>
                <w:szCs w:val="20"/>
                <w:lang w:eastAsia="cs-CZ"/>
              </w:rPr>
            </w:pPr>
            <w:r w:rsidRPr="0004593F">
              <w:rPr>
                <w:rFonts w:cs="Calibri"/>
                <w:b/>
                <w:bCs/>
                <w:color w:val="000000"/>
                <w:sz w:val="20"/>
                <w:szCs w:val="20"/>
                <w:lang w:eastAsia="cs-CZ"/>
              </w:rPr>
              <w:t>Tempo růstu (absolutní změna)</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324F22E9" w14:textId="19140787" w:rsidR="0004593F" w:rsidRPr="0004593F" w:rsidRDefault="0004593F" w:rsidP="00C21FB6">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2015</w:t>
            </w:r>
            <w:r w:rsidR="00C21FB6">
              <w:rPr>
                <w:rFonts w:cs="Calibri"/>
                <w:b/>
                <w:bCs/>
                <w:color w:val="000000"/>
                <w:sz w:val="20"/>
                <w:szCs w:val="20"/>
                <w:lang w:eastAsia="cs-CZ"/>
              </w:rPr>
              <w:t>–</w:t>
            </w:r>
            <w:r w:rsidRPr="0004593F">
              <w:rPr>
                <w:rFonts w:cs="Calibri"/>
                <w:b/>
                <w:bCs/>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20FB1319" w14:textId="4DE8250A" w:rsidR="0004593F" w:rsidRPr="0004593F" w:rsidRDefault="0004593F" w:rsidP="00C21FB6">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2016</w:t>
            </w:r>
            <w:r w:rsidR="00C21FB6">
              <w:rPr>
                <w:rFonts w:cs="Calibri"/>
                <w:b/>
                <w:bCs/>
                <w:color w:val="000000"/>
                <w:sz w:val="20"/>
                <w:szCs w:val="20"/>
                <w:lang w:eastAsia="cs-CZ"/>
              </w:rPr>
              <w:t>–</w:t>
            </w:r>
            <w:r w:rsidRPr="0004593F">
              <w:rPr>
                <w:rFonts w:cs="Calibri"/>
                <w:b/>
                <w:bCs/>
                <w:color w:val="000000"/>
                <w:sz w:val="20"/>
                <w:szCs w:val="20"/>
                <w:lang w:eastAsia="cs-CZ"/>
              </w:rPr>
              <w:t>2015</w:t>
            </w:r>
          </w:p>
        </w:tc>
        <w:tc>
          <w:tcPr>
            <w:tcW w:w="1560" w:type="dxa"/>
            <w:tcBorders>
              <w:top w:val="single" w:sz="4" w:space="0" w:color="auto"/>
              <w:left w:val="nil"/>
              <w:bottom w:val="single" w:sz="4" w:space="0" w:color="auto"/>
              <w:right w:val="single" w:sz="4" w:space="0" w:color="auto"/>
            </w:tcBorders>
            <w:shd w:val="clear" w:color="auto" w:fill="E5F1FF"/>
            <w:noWrap/>
            <w:vAlign w:val="center"/>
            <w:hideMark/>
          </w:tcPr>
          <w:p w14:paraId="5B186060" w14:textId="5791E9AF" w:rsidR="0004593F" w:rsidRPr="0004593F" w:rsidRDefault="0004593F" w:rsidP="00C21FB6">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2017</w:t>
            </w:r>
            <w:r w:rsidR="00C21FB6">
              <w:rPr>
                <w:rFonts w:cs="Calibri"/>
                <w:b/>
                <w:bCs/>
                <w:color w:val="000000"/>
                <w:sz w:val="20"/>
                <w:szCs w:val="20"/>
                <w:lang w:eastAsia="cs-CZ"/>
              </w:rPr>
              <w:t>–</w:t>
            </w:r>
            <w:r w:rsidRPr="0004593F">
              <w:rPr>
                <w:rFonts w:cs="Calibri"/>
                <w:b/>
                <w:bCs/>
                <w:color w:val="000000"/>
                <w:sz w:val="20"/>
                <w:szCs w:val="20"/>
                <w:lang w:eastAsia="cs-CZ"/>
              </w:rPr>
              <w:t>2016</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513628DA" w14:textId="3FED8ECD" w:rsidR="0004593F" w:rsidRPr="0004593F" w:rsidRDefault="0004593F" w:rsidP="00C21FB6">
            <w:pPr>
              <w:spacing w:after="0"/>
              <w:contextualSpacing/>
              <w:jc w:val="center"/>
              <w:rPr>
                <w:rFonts w:cs="Calibri"/>
                <w:b/>
                <w:bCs/>
                <w:color w:val="000000"/>
                <w:sz w:val="20"/>
                <w:szCs w:val="20"/>
                <w:lang w:eastAsia="cs-CZ"/>
              </w:rPr>
            </w:pPr>
            <w:r w:rsidRPr="0004593F">
              <w:rPr>
                <w:rFonts w:cs="Calibri"/>
                <w:b/>
                <w:bCs/>
                <w:color w:val="000000"/>
                <w:sz w:val="20"/>
                <w:szCs w:val="20"/>
                <w:lang w:eastAsia="cs-CZ"/>
              </w:rPr>
              <w:t>2018</w:t>
            </w:r>
            <w:r w:rsidR="00C21FB6">
              <w:rPr>
                <w:rFonts w:cs="Calibri"/>
                <w:b/>
                <w:bCs/>
                <w:color w:val="000000"/>
                <w:sz w:val="20"/>
                <w:szCs w:val="20"/>
                <w:lang w:eastAsia="cs-CZ"/>
              </w:rPr>
              <w:t>–</w:t>
            </w:r>
            <w:r w:rsidRPr="0004593F">
              <w:rPr>
                <w:rFonts w:cs="Calibri"/>
                <w:b/>
                <w:bCs/>
                <w:color w:val="000000"/>
                <w:sz w:val="20"/>
                <w:szCs w:val="20"/>
                <w:lang w:eastAsia="cs-CZ"/>
              </w:rPr>
              <w:t>2017</w:t>
            </w:r>
          </w:p>
        </w:tc>
      </w:tr>
      <w:tr w:rsidR="0004593F" w:rsidRPr="0004593F" w14:paraId="60A86EF5"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C35D8" w14:textId="77777777" w:rsidR="0004593F" w:rsidRPr="0004593F" w:rsidRDefault="0004593F" w:rsidP="007D251A">
            <w:pPr>
              <w:spacing w:after="0"/>
              <w:contextualSpacing/>
              <w:rPr>
                <w:rFonts w:cs="Calibri"/>
                <w:bCs/>
                <w:color w:val="000000"/>
                <w:sz w:val="20"/>
                <w:szCs w:val="20"/>
                <w:lang w:eastAsia="cs-CZ"/>
              </w:rPr>
            </w:pPr>
            <w:r w:rsidRPr="0004593F">
              <w:rPr>
                <w:rFonts w:cs="Calibri"/>
                <w:bCs/>
                <w:color w:val="000000"/>
                <w:sz w:val="20"/>
                <w:szCs w:val="20"/>
                <w:lang w:eastAsia="cs-CZ"/>
              </w:rPr>
              <w:t>Výnosy celkem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CA8407"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-323 708 825,83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37AAE0"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73 390 352,82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A34545"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138 238 112,73</w:t>
            </w:r>
          </w:p>
        </w:tc>
        <w:tc>
          <w:tcPr>
            <w:tcW w:w="1560" w:type="dxa"/>
            <w:tcBorders>
              <w:top w:val="single" w:sz="4" w:space="0" w:color="auto"/>
              <w:left w:val="nil"/>
              <w:bottom w:val="single" w:sz="4" w:space="0" w:color="auto"/>
              <w:right w:val="single" w:sz="4" w:space="0" w:color="auto"/>
            </w:tcBorders>
            <w:vAlign w:val="center"/>
          </w:tcPr>
          <w:p w14:paraId="33A51F2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135 000 624,21</w:t>
            </w:r>
          </w:p>
        </w:tc>
      </w:tr>
      <w:tr w:rsidR="0004593F" w:rsidRPr="0004593F" w14:paraId="256BC11E"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5A6C3" w14:textId="77777777" w:rsidR="0004593F" w:rsidRPr="0004593F" w:rsidRDefault="0004593F" w:rsidP="007D251A">
            <w:pPr>
              <w:spacing w:after="0"/>
              <w:contextualSpacing/>
              <w:rPr>
                <w:rFonts w:cs="Calibri"/>
                <w:bCs/>
                <w:color w:val="000000"/>
                <w:sz w:val="20"/>
                <w:szCs w:val="20"/>
                <w:lang w:eastAsia="cs-CZ"/>
              </w:rPr>
            </w:pPr>
            <w:r w:rsidRPr="0004593F">
              <w:rPr>
                <w:rFonts w:cs="Calibri"/>
                <w:bCs/>
                <w:color w:val="000000"/>
                <w:sz w:val="20"/>
                <w:szCs w:val="20"/>
                <w:lang w:eastAsia="cs-CZ"/>
              </w:rPr>
              <w:t>Výnosy transferové (účet 671)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CB670D"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-222 803 448,91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3D19E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87 166 622,87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417143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154 778 822,64</w:t>
            </w:r>
          </w:p>
        </w:tc>
        <w:tc>
          <w:tcPr>
            <w:tcW w:w="1560" w:type="dxa"/>
            <w:tcBorders>
              <w:top w:val="single" w:sz="4" w:space="0" w:color="auto"/>
              <w:left w:val="nil"/>
              <w:bottom w:val="single" w:sz="4" w:space="0" w:color="auto"/>
              <w:right w:val="single" w:sz="4" w:space="0" w:color="auto"/>
            </w:tcBorders>
            <w:vAlign w:val="center"/>
          </w:tcPr>
          <w:p w14:paraId="046EB03D"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131 918 982,42</w:t>
            </w:r>
          </w:p>
        </w:tc>
      </w:tr>
      <w:tr w:rsidR="0004593F" w:rsidRPr="0004593F" w14:paraId="1B76139E"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C7524" w14:textId="77777777" w:rsidR="0004593F" w:rsidRPr="0004593F" w:rsidRDefault="0004593F" w:rsidP="007D251A">
            <w:pPr>
              <w:spacing w:after="0"/>
              <w:contextualSpacing/>
              <w:rPr>
                <w:rFonts w:cs="Calibri"/>
                <w:bCs/>
                <w:color w:val="000000"/>
                <w:sz w:val="20"/>
                <w:szCs w:val="20"/>
                <w:lang w:eastAsia="cs-CZ"/>
              </w:rPr>
            </w:pPr>
            <w:r w:rsidRPr="0004593F">
              <w:rPr>
                <w:rFonts w:cs="Calibri"/>
                <w:bCs/>
                <w:color w:val="000000"/>
                <w:sz w:val="20"/>
                <w:szCs w:val="20"/>
                <w:lang w:eastAsia="cs-CZ"/>
              </w:rPr>
              <w:t>Příspěvek na provoz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86A65D"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-56 161 427,19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A9382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51 885 497,19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7DBAEBE"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16 356 485,09</w:t>
            </w:r>
          </w:p>
        </w:tc>
        <w:tc>
          <w:tcPr>
            <w:tcW w:w="1560" w:type="dxa"/>
            <w:tcBorders>
              <w:top w:val="single" w:sz="4" w:space="0" w:color="auto"/>
              <w:left w:val="nil"/>
              <w:bottom w:val="single" w:sz="4" w:space="0" w:color="auto"/>
              <w:right w:val="single" w:sz="4" w:space="0" w:color="auto"/>
            </w:tcBorders>
            <w:vAlign w:val="center"/>
          </w:tcPr>
          <w:p w14:paraId="21CB9DEB"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-8 563 084,64</w:t>
            </w:r>
          </w:p>
        </w:tc>
      </w:tr>
      <w:tr w:rsidR="0004593F" w:rsidRPr="0004593F" w14:paraId="269369EE"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1BDB66AC" w14:textId="0452155C" w:rsidR="0004593F" w:rsidRPr="0004593F" w:rsidRDefault="0004593F" w:rsidP="007D251A">
            <w:pPr>
              <w:spacing w:after="0"/>
              <w:contextualSpacing/>
              <w:rPr>
                <w:rFonts w:cs="Calibri"/>
                <w:b/>
                <w:bCs/>
                <w:color w:val="000000"/>
                <w:sz w:val="20"/>
                <w:szCs w:val="20"/>
                <w:lang w:eastAsia="cs-CZ"/>
              </w:rPr>
            </w:pPr>
            <w:r w:rsidRPr="0004593F">
              <w:rPr>
                <w:rFonts w:cs="Calibri"/>
                <w:b/>
                <w:bCs/>
                <w:color w:val="000000"/>
                <w:sz w:val="20"/>
                <w:szCs w:val="20"/>
                <w:lang w:eastAsia="cs-CZ"/>
              </w:rPr>
              <w:t>Tempo růstu v % (relativní změna)</w:t>
            </w:r>
            <w:r w:rsidR="00C21FB6">
              <w:rPr>
                <w:rFonts w:cs="Calibri"/>
                <w:b/>
                <w:bCs/>
                <w:color w:val="000000"/>
                <w:sz w:val="20"/>
                <w:szCs w:val="20"/>
                <w:lang w:eastAsia="cs-CZ"/>
              </w:rPr>
              <w:t>,</w:t>
            </w:r>
            <w:r w:rsidRPr="0004593F">
              <w:rPr>
                <w:rFonts w:cs="Calibri"/>
                <w:b/>
                <w:bCs/>
                <w:color w:val="000000"/>
                <w:sz w:val="20"/>
                <w:szCs w:val="20"/>
                <w:lang w:eastAsia="cs-CZ"/>
              </w:rPr>
              <w:t xml:space="preserve"> (((x+1)-x)/x)*100</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4AFE98E5" w14:textId="77777777" w:rsidR="0004593F" w:rsidRPr="0004593F" w:rsidRDefault="0004593F" w:rsidP="0004593F">
            <w:pPr>
              <w:spacing w:after="0"/>
              <w:contextualSpacing/>
              <w:jc w:val="center"/>
              <w:rPr>
                <w:rFonts w:eastAsia="Calibri" w:cs="Calibri"/>
                <w:b/>
                <w:color w:val="000000"/>
                <w:sz w:val="20"/>
                <w:szCs w:val="20"/>
              </w:rPr>
            </w:pPr>
            <w:r w:rsidRPr="0004593F">
              <w:rPr>
                <w:rFonts w:eastAsia="Calibri" w:cs="Calibri"/>
                <w:b/>
                <w:color w:val="000000"/>
                <w:sz w:val="20"/>
                <w:szCs w:val="20"/>
              </w:rPr>
              <w:t>2015/2014</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243C5CD0" w14:textId="77777777" w:rsidR="0004593F" w:rsidRPr="0004593F" w:rsidRDefault="0004593F" w:rsidP="0004593F">
            <w:pPr>
              <w:spacing w:after="0"/>
              <w:contextualSpacing/>
              <w:jc w:val="center"/>
              <w:rPr>
                <w:rFonts w:eastAsia="Calibri" w:cs="Calibri"/>
                <w:b/>
                <w:color w:val="000000"/>
                <w:sz w:val="20"/>
                <w:szCs w:val="20"/>
              </w:rPr>
            </w:pPr>
            <w:r w:rsidRPr="0004593F">
              <w:rPr>
                <w:rFonts w:eastAsia="Calibri" w:cs="Calibri"/>
                <w:b/>
                <w:color w:val="000000"/>
                <w:sz w:val="20"/>
                <w:szCs w:val="20"/>
              </w:rPr>
              <w:t>2016/2015</w:t>
            </w:r>
          </w:p>
        </w:tc>
        <w:tc>
          <w:tcPr>
            <w:tcW w:w="1560" w:type="dxa"/>
            <w:tcBorders>
              <w:top w:val="single" w:sz="4" w:space="0" w:color="auto"/>
              <w:left w:val="nil"/>
              <w:bottom w:val="single" w:sz="4" w:space="0" w:color="auto"/>
              <w:right w:val="single" w:sz="4" w:space="0" w:color="auto"/>
            </w:tcBorders>
            <w:shd w:val="clear" w:color="auto" w:fill="E5F1FF"/>
            <w:noWrap/>
            <w:vAlign w:val="center"/>
          </w:tcPr>
          <w:p w14:paraId="3AC16650" w14:textId="77777777" w:rsidR="0004593F" w:rsidRPr="0004593F" w:rsidRDefault="0004593F" w:rsidP="0004593F">
            <w:pPr>
              <w:spacing w:after="0"/>
              <w:contextualSpacing/>
              <w:jc w:val="center"/>
              <w:rPr>
                <w:rFonts w:eastAsia="Calibri" w:cs="Calibri"/>
                <w:b/>
                <w:color w:val="000000"/>
                <w:sz w:val="20"/>
                <w:szCs w:val="20"/>
              </w:rPr>
            </w:pPr>
            <w:r w:rsidRPr="0004593F">
              <w:rPr>
                <w:rFonts w:eastAsia="Calibri" w:cs="Calibri"/>
                <w:b/>
                <w:color w:val="000000"/>
                <w:sz w:val="20"/>
                <w:szCs w:val="20"/>
              </w:rPr>
              <w:t>2017/2016</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287EE13B" w14:textId="77777777" w:rsidR="0004593F" w:rsidRPr="0004593F" w:rsidRDefault="0004593F" w:rsidP="0004593F">
            <w:pPr>
              <w:spacing w:after="0"/>
              <w:contextualSpacing/>
              <w:jc w:val="center"/>
              <w:rPr>
                <w:rFonts w:eastAsia="Calibri" w:cs="Calibri"/>
                <w:b/>
                <w:color w:val="000000"/>
                <w:sz w:val="20"/>
                <w:szCs w:val="20"/>
              </w:rPr>
            </w:pPr>
            <w:r w:rsidRPr="0004593F">
              <w:rPr>
                <w:rFonts w:eastAsia="Calibri" w:cs="Calibri"/>
                <w:b/>
                <w:color w:val="000000"/>
                <w:sz w:val="20"/>
                <w:szCs w:val="20"/>
              </w:rPr>
              <w:t>2018/2017</w:t>
            </w:r>
          </w:p>
        </w:tc>
      </w:tr>
      <w:tr w:rsidR="0004593F" w:rsidRPr="0004593F" w14:paraId="1E4B8F22"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38C9B" w14:textId="77777777" w:rsidR="0004593F" w:rsidRPr="0004593F" w:rsidRDefault="0004593F" w:rsidP="007D251A">
            <w:pPr>
              <w:spacing w:after="0"/>
              <w:contextualSpacing/>
              <w:rPr>
                <w:rFonts w:cs="Calibri"/>
                <w:bCs/>
                <w:color w:val="000000"/>
                <w:sz w:val="20"/>
                <w:szCs w:val="20"/>
                <w:lang w:eastAsia="cs-CZ"/>
              </w:rPr>
            </w:pPr>
            <w:r w:rsidRPr="0004593F">
              <w:rPr>
                <w:rFonts w:cs="Calibri"/>
                <w:bCs/>
                <w:color w:val="000000"/>
                <w:sz w:val="20"/>
                <w:szCs w:val="20"/>
                <w:lang w:eastAsia="cs-CZ"/>
              </w:rPr>
              <w:t>Výnosy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45D22E"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-31,60 %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9CE736"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10,47 %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B5EC2D4"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17,86 %</w:t>
            </w:r>
          </w:p>
        </w:tc>
        <w:tc>
          <w:tcPr>
            <w:tcW w:w="1560" w:type="dxa"/>
            <w:tcBorders>
              <w:top w:val="single" w:sz="4" w:space="0" w:color="auto"/>
              <w:left w:val="nil"/>
              <w:bottom w:val="single" w:sz="4" w:space="0" w:color="auto"/>
              <w:right w:val="single" w:sz="4" w:space="0" w:color="auto"/>
            </w:tcBorders>
            <w:vAlign w:val="center"/>
          </w:tcPr>
          <w:p w14:paraId="2D653268"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14,80 %</w:t>
            </w:r>
          </w:p>
        </w:tc>
      </w:tr>
      <w:tr w:rsidR="0004593F" w:rsidRPr="0004593F" w14:paraId="42482326"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ECC8A" w14:textId="77777777" w:rsidR="0004593F" w:rsidRPr="0004593F" w:rsidRDefault="0004593F" w:rsidP="007D251A">
            <w:pPr>
              <w:spacing w:after="0"/>
              <w:contextualSpacing/>
              <w:rPr>
                <w:rFonts w:cs="Calibri"/>
                <w:bCs/>
                <w:color w:val="000000"/>
                <w:sz w:val="20"/>
                <w:szCs w:val="20"/>
                <w:lang w:eastAsia="cs-CZ"/>
              </w:rPr>
            </w:pPr>
            <w:r w:rsidRPr="0004593F">
              <w:rPr>
                <w:rFonts w:cs="Calibri"/>
                <w:bCs/>
                <w:color w:val="000000"/>
                <w:sz w:val="20"/>
                <w:szCs w:val="20"/>
                <w:lang w:eastAsia="cs-CZ"/>
              </w:rPr>
              <w:t>Výnosy transferové (účet 671)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B9A505"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-25,13 %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C9752"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13,13 %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45EADA"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20,61 %</w:t>
            </w:r>
          </w:p>
        </w:tc>
        <w:tc>
          <w:tcPr>
            <w:tcW w:w="1560" w:type="dxa"/>
            <w:tcBorders>
              <w:top w:val="single" w:sz="4" w:space="0" w:color="auto"/>
              <w:left w:val="nil"/>
              <w:bottom w:val="single" w:sz="4" w:space="0" w:color="auto"/>
              <w:right w:val="single" w:sz="4" w:space="0" w:color="auto"/>
            </w:tcBorders>
            <w:vAlign w:val="center"/>
          </w:tcPr>
          <w:p w14:paraId="1F4F5A4E"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14,56 %</w:t>
            </w:r>
          </w:p>
        </w:tc>
      </w:tr>
      <w:tr w:rsidR="0004593F" w:rsidRPr="0004593F" w14:paraId="6016A4FF" w14:textId="77777777" w:rsidTr="007D251A">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94736" w14:textId="77777777" w:rsidR="0004593F" w:rsidRPr="0004593F" w:rsidRDefault="0004593F" w:rsidP="007D251A">
            <w:pPr>
              <w:spacing w:after="0"/>
              <w:contextualSpacing/>
              <w:rPr>
                <w:rFonts w:cs="Calibri"/>
                <w:bCs/>
                <w:color w:val="000000"/>
                <w:sz w:val="20"/>
                <w:szCs w:val="20"/>
                <w:lang w:eastAsia="cs-CZ"/>
              </w:rPr>
            </w:pPr>
            <w:r w:rsidRPr="0004593F">
              <w:rPr>
                <w:rFonts w:cs="Calibri"/>
                <w:bCs/>
                <w:color w:val="000000"/>
                <w:sz w:val="20"/>
                <w:szCs w:val="20"/>
                <w:lang w:eastAsia="cs-CZ"/>
              </w:rPr>
              <w:t>Příspěvek na provoz</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ADDDBA"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-13,23 %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1FECC1"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14,09 %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BCA8D30"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3,89 %</w:t>
            </w:r>
          </w:p>
        </w:tc>
        <w:tc>
          <w:tcPr>
            <w:tcW w:w="1560" w:type="dxa"/>
            <w:tcBorders>
              <w:top w:val="single" w:sz="4" w:space="0" w:color="auto"/>
              <w:left w:val="nil"/>
              <w:bottom w:val="single" w:sz="4" w:space="0" w:color="auto"/>
              <w:right w:val="single" w:sz="4" w:space="0" w:color="auto"/>
            </w:tcBorders>
            <w:vAlign w:val="center"/>
          </w:tcPr>
          <w:p w14:paraId="24976BFE" w14:textId="77777777" w:rsidR="0004593F" w:rsidRPr="0004593F" w:rsidRDefault="0004593F" w:rsidP="0004593F">
            <w:pPr>
              <w:spacing w:after="0"/>
              <w:contextualSpacing/>
              <w:jc w:val="right"/>
              <w:rPr>
                <w:rFonts w:eastAsia="Calibri" w:cs="Calibri"/>
                <w:color w:val="000000"/>
                <w:sz w:val="20"/>
                <w:szCs w:val="20"/>
              </w:rPr>
            </w:pPr>
            <w:r w:rsidRPr="0004593F">
              <w:rPr>
                <w:rFonts w:eastAsia="Calibri" w:cs="Calibri"/>
                <w:color w:val="000000"/>
                <w:sz w:val="20"/>
                <w:szCs w:val="20"/>
              </w:rPr>
              <w:t>-1,96 %</w:t>
            </w:r>
          </w:p>
        </w:tc>
      </w:tr>
    </w:tbl>
    <w:p w14:paraId="48D1E452" w14:textId="14E2AF7D" w:rsidR="0004593F" w:rsidRPr="0004593F" w:rsidRDefault="0004593F" w:rsidP="007C34C4">
      <w:pPr>
        <w:spacing w:before="40" w:after="0"/>
        <w:jc w:val="both"/>
        <w:rPr>
          <w:rFonts w:eastAsiaTheme="minorHAnsi" w:cs="Calibri"/>
          <w:sz w:val="20"/>
          <w:szCs w:val="20"/>
        </w:rPr>
      </w:pPr>
      <w:r w:rsidRPr="0004593F">
        <w:rPr>
          <w:rFonts w:cs="Calibri"/>
          <w:b/>
          <w:color w:val="000000"/>
          <w:sz w:val="20"/>
          <w:szCs w:val="20"/>
          <w:lang w:eastAsia="cs-CZ"/>
        </w:rPr>
        <w:t xml:space="preserve">Zdroj: </w:t>
      </w:r>
      <w:r w:rsidRPr="0004593F">
        <w:rPr>
          <w:rFonts w:cs="Calibri"/>
          <w:color w:val="000000"/>
          <w:sz w:val="20"/>
          <w:szCs w:val="20"/>
          <w:lang w:eastAsia="cs-CZ"/>
        </w:rPr>
        <w:t>výpočet</w:t>
      </w:r>
      <w:r w:rsidR="00C21FB6">
        <w:rPr>
          <w:rFonts w:cs="Calibri"/>
          <w:color w:val="000000"/>
          <w:sz w:val="20"/>
          <w:szCs w:val="20"/>
          <w:lang w:eastAsia="cs-CZ"/>
        </w:rPr>
        <w:t xml:space="preserve"> vypracoval</w:t>
      </w:r>
      <w:r w:rsidRPr="0004593F">
        <w:rPr>
          <w:rFonts w:cs="Calibri"/>
          <w:color w:val="000000"/>
          <w:sz w:val="20"/>
          <w:szCs w:val="20"/>
          <w:lang w:eastAsia="cs-CZ"/>
        </w:rPr>
        <w:t xml:space="preserve"> NKÚ.</w:t>
      </w:r>
    </w:p>
    <w:sectPr w:rsidR="0004593F" w:rsidRPr="0004593F" w:rsidSect="00B97C4B">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29B6" w14:textId="77777777" w:rsidR="00E71D49" w:rsidRDefault="00E71D49">
      <w:pPr>
        <w:spacing w:after="0"/>
      </w:pPr>
      <w:r>
        <w:separator/>
      </w:r>
    </w:p>
  </w:endnote>
  <w:endnote w:type="continuationSeparator" w:id="0">
    <w:p w14:paraId="048572CB" w14:textId="77777777" w:rsidR="00E71D49" w:rsidRDefault="00E71D49">
      <w:pPr>
        <w:spacing w:after="0"/>
      </w:pPr>
      <w:r>
        <w:continuationSeparator/>
      </w:r>
    </w:p>
  </w:endnote>
  <w:endnote w:type="continuationNotice" w:id="1">
    <w:p w14:paraId="1C97FFF7" w14:textId="77777777" w:rsidR="00E71D49" w:rsidRDefault="00E71D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48060"/>
      <w:docPartObj>
        <w:docPartGallery w:val="Page Numbers (Bottom of Page)"/>
        <w:docPartUnique/>
      </w:docPartObj>
    </w:sdtPr>
    <w:sdtEndPr>
      <w:rPr>
        <w:sz w:val="20"/>
        <w:szCs w:val="20"/>
      </w:rPr>
    </w:sdtEndPr>
    <w:sdtContent>
      <w:p w14:paraId="622A1DB7" w14:textId="74553A55" w:rsidR="00E71D49" w:rsidRPr="00D6011A" w:rsidRDefault="00E71D49" w:rsidP="00CA5B95">
        <w:pPr>
          <w:pStyle w:val="Zpat"/>
          <w:jc w:val="center"/>
          <w:rPr>
            <w:sz w:val="20"/>
            <w:szCs w:val="20"/>
          </w:rPr>
        </w:pPr>
        <w:r w:rsidRPr="00D6011A">
          <w:rPr>
            <w:sz w:val="20"/>
            <w:szCs w:val="20"/>
          </w:rPr>
          <w:fldChar w:fldCharType="begin"/>
        </w:r>
        <w:r w:rsidRPr="00D6011A">
          <w:rPr>
            <w:sz w:val="20"/>
            <w:szCs w:val="20"/>
          </w:rPr>
          <w:instrText>PAGE   \* MERGEFORMAT</w:instrText>
        </w:r>
        <w:r w:rsidRPr="00D6011A">
          <w:rPr>
            <w:sz w:val="20"/>
            <w:szCs w:val="20"/>
          </w:rPr>
          <w:fldChar w:fldCharType="separate"/>
        </w:r>
        <w:r w:rsidR="008F7230">
          <w:rPr>
            <w:noProof/>
            <w:sz w:val="20"/>
            <w:szCs w:val="20"/>
          </w:rPr>
          <w:t>2</w:t>
        </w:r>
        <w:r w:rsidRPr="00D6011A">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D63E" w14:textId="40DEDFA4" w:rsidR="00E71D49" w:rsidRDefault="00E71D49" w:rsidP="00B4738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787193"/>
      <w:docPartObj>
        <w:docPartGallery w:val="Page Numbers (Bottom of Page)"/>
        <w:docPartUnique/>
      </w:docPartObj>
    </w:sdtPr>
    <w:sdtEndPr>
      <w:rPr>
        <w:rFonts w:cs="Calibri"/>
        <w:sz w:val="20"/>
        <w:szCs w:val="20"/>
      </w:rPr>
    </w:sdtEndPr>
    <w:sdtContent>
      <w:p w14:paraId="667D65E4" w14:textId="43DAB059" w:rsidR="00E71D49" w:rsidRPr="00D6011A" w:rsidRDefault="00E71D49" w:rsidP="00D6011A">
        <w:pPr>
          <w:pStyle w:val="Zpat"/>
          <w:jc w:val="center"/>
          <w:rPr>
            <w:rFonts w:cs="Calibri"/>
            <w:sz w:val="20"/>
            <w:szCs w:val="20"/>
          </w:rPr>
        </w:pPr>
        <w:r w:rsidRPr="00D6011A">
          <w:rPr>
            <w:rFonts w:cs="Calibri"/>
            <w:sz w:val="20"/>
            <w:szCs w:val="20"/>
          </w:rPr>
          <w:fldChar w:fldCharType="begin"/>
        </w:r>
        <w:r w:rsidRPr="00D6011A">
          <w:rPr>
            <w:rFonts w:cs="Calibri"/>
            <w:sz w:val="20"/>
            <w:szCs w:val="20"/>
          </w:rPr>
          <w:instrText>PAGE   \* MERGEFORMAT</w:instrText>
        </w:r>
        <w:r w:rsidRPr="00D6011A">
          <w:rPr>
            <w:rFonts w:cs="Calibri"/>
            <w:sz w:val="20"/>
            <w:szCs w:val="20"/>
          </w:rPr>
          <w:fldChar w:fldCharType="separate"/>
        </w:r>
        <w:r w:rsidR="008F7230">
          <w:rPr>
            <w:rFonts w:cs="Calibri"/>
            <w:noProof/>
            <w:sz w:val="20"/>
            <w:szCs w:val="20"/>
          </w:rPr>
          <w:t>27</w:t>
        </w:r>
        <w:r w:rsidRPr="00D6011A">
          <w:rPr>
            <w:rFonts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ECCB0" w14:textId="77777777" w:rsidR="00E71D49" w:rsidRDefault="00E71D49" w:rsidP="002B7978">
      <w:pPr>
        <w:spacing w:after="0"/>
      </w:pPr>
      <w:r>
        <w:separator/>
      </w:r>
    </w:p>
  </w:footnote>
  <w:footnote w:type="continuationSeparator" w:id="0">
    <w:p w14:paraId="45F5F5CB" w14:textId="77777777" w:rsidR="00E71D49" w:rsidRDefault="00E71D49" w:rsidP="002B7978">
      <w:pPr>
        <w:spacing w:after="0"/>
      </w:pPr>
      <w:r>
        <w:continuationSeparator/>
      </w:r>
    </w:p>
  </w:footnote>
  <w:footnote w:type="continuationNotice" w:id="1">
    <w:p w14:paraId="35D291C2" w14:textId="77777777" w:rsidR="00E71D49" w:rsidRDefault="00E71D49">
      <w:pPr>
        <w:spacing w:after="0"/>
      </w:pPr>
    </w:p>
  </w:footnote>
  <w:footnote w:id="2">
    <w:p w14:paraId="333F37DB" w14:textId="1C3E1498" w:rsidR="00E71D49" w:rsidRPr="00CA5B95" w:rsidRDefault="00E71D49" w:rsidP="007E24CE">
      <w:pPr>
        <w:pStyle w:val="Textpoznpodarou"/>
        <w:ind w:left="284" w:hanging="284"/>
        <w:jc w:val="both"/>
        <w:rPr>
          <w:rFonts w:ascii="Calibri" w:hAnsi="Calibri" w:cs="Calibri"/>
        </w:rPr>
      </w:pPr>
      <w:r w:rsidRPr="00CA5B95">
        <w:rPr>
          <w:rStyle w:val="Znakapoznpodarou"/>
          <w:rFonts w:ascii="Calibri" w:hAnsi="Calibri" w:cs="Calibri"/>
        </w:rPr>
        <w:footnoteRef/>
      </w:r>
      <w:r w:rsidRPr="00CA5B95">
        <w:rPr>
          <w:rFonts w:ascii="Calibri" w:hAnsi="Calibri" w:cs="Calibri"/>
        </w:rPr>
        <w:t xml:space="preserve"> </w:t>
      </w:r>
      <w:r>
        <w:rPr>
          <w:rFonts w:ascii="Calibri" w:hAnsi="Calibri" w:cs="Calibri"/>
        </w:rPr>
        <w:tab/>
      </w:r>
      <w:r w:rsidRPr="00CA5B95">
        <w:rPr>
          <w:rFonts w:ascii="Calibri" w:hAnsi="Calibri" w:cs="Calibri"/>
        </w:rPr>
        <w:t>Informace zveřejňované správcem kapitoly státního rozpočtu o hospodaření v příslušném rozpočtovém roce ve formě účetní závěrky, výkazu pro hodnocení plnění rozpočtu a závěrečného účtu</w:t>
      </w:r>
      <w:r>
        <w:rPr>
          <w:rFonts w:ascii="Calibri" w:hAnsi="Calibri" w:cs="Calibri"/>
        </w:rPr>
        <w:t>,</w:t>
      </w:r>
      <w:r w:rsidRPr="00CA5B95">
        <w:rPr>
          <w:rFonts w:ascii="Calibri" w:hAnsi="Calibri" w:cs="Calibri"/>
        </w:rPr>
        <w:t xml:space="preserve"> a to pro účely kontroly a</w:t>
      </w:r>
      <w:r>
        <w:rPr>
          <w:rFonts w:ascii="Calibri" w:hAnsi="Calibri" w:cs="Calibri"/>
        </w:rPr>
        <w:t> </w:t>
      </w:r>
      <w:r w:rsidRPr="00CA5B95">
        <w:rPr>
          <w:rFonts w:ascii="Calibri" w:hAnsi="Calibri" w:cs="Calibri"/>
        </w:rPr>
        <w:t>vyvozování odpovědnosti za hospodaření.</w:t>
      </w:r>
    </w:p>
  </w:footnote>
  <w:footnote w:id="3">
    <w:p w14:paraId="2407F583" w14:textId="719D9D95" w:rsidR="00E71D49" w:rsidRPr="00CA5B95" w:rsidRDefault="00E71D49" w:rsidP="001A79A3">
      <w:pPr>
        <w:pStyle w:val="Textpoznpodarou"/>
        <w:ind w:left="284" w:hanging="284"/>
        <w:jc w:val="both"/>
        <w:rPr>
          <w:rFonts w:ascii="Calibri" w:hAnsi="Calibri" w:cs="Calibri"/>
        </w:rPr>
      </w:pPr>
      <w:r w:rsidRPr="00CA5B95">
        <w:rPr>
          <w:rStyle w:val="Znakapoznpodarou"/>
          <w:rFonts w:ascii="Calibri" w:eastAsia="Calibri" w:hAnsi="Calibri" w:cs="Calibri"/>
        </w:rPr>
        <w:footnoteRef/>
      </w:r>
      <w:r w:rsidRPr="00CA5B95">
        <w:rPr>
          <w:rFonts w:ascii="Calibri" w:hAnsi="Calibri" w:cs="Calibri"/>
        </w:rPr>
        <w:t xml:space="preserve"> </w:t>
      </w:r>
      <w:r>
        <w:rPr>
          <w:rFonts w:ascii="Calibri" w:hAnsi="Calibri" w:cs="Calibri"/>
        </w:rPr>
        <w:tab/>
      </w:r>
      <w:r w:rsidRPr="00CA5B95">
        <w:rPr>
          <w:rFonts w:ascii="Calibri" w:hAnsi="Calibri" w:cs="Calibri"/>
        </w:rPr>
        <w:t>Celkové zjištěné a vyčíslené nesprávnosti v účetní závěrce.</w:t>
      </w:r>
    </w:p>
  </w:footnote>
  <w:footnote w:id="4">
    <w:p w14:paraId="6062686C" w14:textId="2FA0666D" w:rsidR="00E71D49" w:rsidRPr="00CA5B95" w:rsidRDefault="00E71D49" w:rsidP="001A79A3">
      <w:pPr>
        <w:pStyle w:val="Textpoznpodarou"/>
        <w:ind w:left="284" w:hanging="284"/>
        <w:jc w:val="both"/>
        <w:rPr>
          <w:rFonts w:ascii="Calibri" w:hAnsi="Calibri" w:cs="Calibri"/>
        </w:rPr>
      </w:pPr>
      <w:r w:rsidRPr="00CA5B95">
        <w:rPr>
          <w:rStyle w:val="Znakapoznpodarou"/>
          <w:rFonts w:ascii="Calibri" w:eastAsia="Calibri" w:hAnsi="Calibri" w:cs="Calibri"/>
        </w:rPr>
        <w:footnoteRef/>
      </w:r>
      <w:r w:rsidRPr="00CA5B95">
        <w:rPr>
          <w:rFonts w:ascii="Calibri" w:hAnsi="Calibri" w:cs="Calibri"/>
        </w:rPr>
        <w:t xml:space="preserve"> </w:t>
      </w:r>
      <w:r>
        <w:rPr>
          <w:rFonts w:ascii="Calibri" w:hAnsi="Calibri" w:cs="Calibri"/>
        </w:rPr>
        <w:tab/>
      </w:r>
      <w:r w:rsidRPr="00CA5B95">
        <w:rPr>
          <w:rFonts w:ascii="Calibri" w:hAnsi="Calibri" w:cs="Calibri"/>
        </w:rPr>
        <w:t>Hladina významnosti reprezentuje u účetní závěrky hodnotu nesprávností, jejíž překročení by již mohlo ovlivnit přiměřeně znalého uživatele. Při stanovení hladiny významnosti postupuje NKÚ v souladu s mezinárodními standardy nejvyšších kontrolních institucí (ISSAI) pro finanční audit a kontrolními standardy NKÚ.</w:t>
      </w:r>
    </w:p>
  </w:footnote>
  <w:footnote w:id="5">
    <w:p w14:paraId="3A4CDC2A" w14:textId="30550CE0" w:rsidR="00E71D49" w:rsidRPr="00CA5B95" w:rsidRDefault="00E71D49" w:rsidP="001A79A3">
      <w:pPr>
        <w:pStyle w:val="Textpoznpodarou"/>
        <w:ind w:left="284" w:hanging="284"/>
        <w:jc w:val="both"/>
        <w:rPr>
          <w:rFonts w:ascii="Calibri" w:hAnsi="Calibri" w:cs="Calibri"/>
        </w:rPr>
      </w:pPr>
      <w:r w:rsidRPr="00CA5B95">
        <w:rPr>
          <w:rStyle w:val="Znakapoznpodarou"/>
          <w:rFonts w:ascii="Calibri" w:eastAsia="Calibri" w:hAnsi="Calibri" w:cs="Calibri"/>
        </w:rPr>
        <w:footnoteRef/>
      </w:r>
      <w:r w:rsidRPr="00CA5B95">
        <w:rPr>
          <w:rFonts w:ascii="Calibri" w:hAnsi="Calibri" w:cs="Calibri"/>
        </w:rPr>
        <w:t xml:space="preserve"> </w:t>
      </w:r>
      <w:r>
        <w:rPr>
          <w:rFonts w:ascii="Calibri" w:hAnsi="Calibri" w:cs="Calibri"/>
        </w:rPr>
        <w:tab/>
      </w:r>
      <w:r w:rsidRPr="00CA5B95">
        <w:rPr>
          <w:rFonts w:ascii="Calibri" w:hAnsi="Calibri" w:cs="Calibri"/>
        </w:rPr>
        <w:t>Pro posouzení významnosti zjištěných nesprávností v údajích účetní závěrky byla stanovena hladina významnosti na úrovni 2 % z nákladů, které byly vykázány ve výši 22 346 mil. Kč.</w:t>
      </w:r>
    </w:p>
  </w:footnote>
  <w:footnote w:id="6">
    <w:p w14:paraId="6F61F39B" w14:textId="43A730BA" w:rsidR="00E71D49" w:rsidRPr="00CA5B95" w:rsidRDefault="00E71D49" w:rsidP="00CA5B95">
      <w:pPr>
        <w:pStyle w:val="Textpoznpodarou"/>
        <w:ind w:left="284" w:hanging="284"/>
        <w:jc w:val="both"/>
        <w:rPr>
          <w:rFonts w:ascii="Calibri" w:hAnsi="Calibri" w:cs="Calibri"/>
        </w:rPr>
      </w:pPr>
      <w:r w:rsidRPr="00CA5B95">
        <w:rPr>
          <w:rStyle w:val="Znakapoznpodarou"/>
          <w:rFonts w:ascii="Calibri" w:eastAsia="Calibri" w:hAnsi="Calibri" w:cs="Calibri"/>
        </w:rPr>
        <w:footnoteRef/>
      </w:r>
      <w:r w:rsidRPr="00CA5B95">
        <w:rPr>
          <w:rFonts w:ascii="Calibri" w:hAnsi="Calibri" w:cs="Calibri"/>
        </w:rPr>
        <w:t xml:space="preserve"> </w:t>
      </w:r>
      <w:r>
        <w:rPr>
          <w:rFonts w:ascii="Calibri" w:hAnsi="Calibri" w:cs="Calibri"/>
        </w:rPr>
        <w:tab/>
      </w:r>
      <w:r w:rsidRPr="00CA5B95">
        <w:rPr>
          <w:rFonts w:ascii="Calibri" w:hAnsi="Calibri" w:cs="Calibri"/>
        </w:rPr>
        <w:t>Pro posouzení významnosti zjištěných nesprávností v údajích předkládaných pro hodnocení plnění rozpočtu byla stanovena hladina významnosti na úrovni 2 % z výdajů, které byly vykázány ve výši 22 088 mil. Kč.</w:t>
      </w:r>
    </w:p>
  </w:footnote>
  <w:footnote w:id="7">
    <w:p w14:paraId="3AAA0A49" w14:textId="652159CA" w:rsidR="00E71D49" w:rsidRPr="005775F0" w:rsidRDefault="00E71D49" w:rsidP="005775F0">
      <w:pPr>
        <w:pStyle w:val="Textpoznpodarou"/>
        <w:ind w:left="284" w:hanging="284"/>
        <w:rPr>
          <w:rFonts w:ascii="Calibri" w:hAnsi="Calibri" w:cs="Calibri"/>
        </w:rPr>
      </w:pPr>
      <w:r w:rsidRPr="005775F0">
        <w:rPr>
          <w:rStyle w:val="Znakapoznpodarou"/>
          <w:rFonts w:ascii="Calibri" w:hAnsi="Calibri" w:cs="Calibri"/>
        </w:rPr>
        <w:footnoteRef/>
      </w:r>
      <w:r w:rsidRPr="005775F0">
        <w:rPr>
          <w:rFonts w:ascii="Calibri" w:hAnsi="Calibri" w:cs="Calibri"/>
        </w:rPr>
        <w:t xml:space="preserve"> </w:t>
      </w:r>
      <w:r>
        <w:rPr>
          <w:rFonts w:ascii="Calibri" w:hAnsi="Calibri" w:cs="Calibri"/>
        </w:rPr>
        <w:tab/>
      </w:r>
      <w:r w:rsidRPr="005775F0">
        <w:rPr>
          <w:rFonts w:ascii="Calibri" w:hAnsi="Calibri" w:cs="Calibri"/>
        </w:rPr>
        <w:t>Zákon č. 563/1991 Sb., o účetnictví.</w:t>
      </w:r>
    </w:p>
  </w:footnote>
  <w:footnote w:id="8">
    <w:p w14:paraId="1BCB86FC" w14:textId="1296F239" w:rsidR="00E71D49" w:rsidRPr="005775F0" w:rsidRDefault="00E71D49" w:rsidP="005775F0">
      <w:pPr>
        <w:pStyle w:val="Textpoznpodarou"/>
        <w:ind w:left="284" w:hanging="284"/>
        <w:jc w:val="both"/>
        <w:rPr>
          <w:rFonts w:ascii="Calibri" w:hAnsi="Calibri" w:cs="Calibri"/>
        </w:rPr>
      </w:pPr>
      <w:r w:rsidRPr="005775F0">
        <w:rPr>
          <w:rStyle w:val="Znakapoznpodarou"/>
          <w:rFonts w:ascii="Calibri" w:hAnsi="Calibri" w:cs="Calibri"/>
        </w:rPr>
        <w:footnoteRef/>
      </w:r>
      <w:r w:rsidRPr="005775F0">
        <w:rPr>
          <w:rFonts w:ascii="Calibri" w:hAnsi="Calibri" w:cs="Calibri"/>
        </w:rPr>
        <w:t xml:space="preserve"> </w:t>
      </w:r>
      <w:r>
        <w:rPr>
          <w:rFonts w:ascii="Calibri" w:hAnsi="Calibri" w:cs="Calibri"/>
        </w:rPr>
        <w:tab/>
      </w:r>
      <w:r w:rsidRPr="005775F0">
        <w:rPr>
          <w:rFonts w:ascii="Calibri" w:hAnsi="Calibri" w:cs="Calibri"/>
        </w:rPr>
        <w:t xml:space="preserve">Dostupné z </w:t>
      </w:r>
      <w:hyperlink r:id="rId1" w:history="1">
        <w:r w:rsidRPr="005775F0">
          <w:rPr>
            <w:rStyle w:val="Hypertextovodkaz"/>
            <w:rFonts w:ascii="Calibri" w:hAnsi="Calibri" w:cs="Calibri"/>
          </w:rPr>
          <w:t>https://monitor.statnipokladna.cz/ucetni-jednotka/66002222/prehled?rad=t&amp;obdobi=2002</w:t>
        </w:r>
      </w:hyperlink>
      <w:r w:rsidRPr="005775F0">
        <w:rPr>
          <w:rFonts w:ascii="Calibri" w:hAnsi="Calibri" w:cs="Calibri"/>
        </w:rPr>
        <w:t>, dále viz záložka „ÚČETNÍ ZÁVĚRKA“.</w:t>
      </w:r>
    </w:p>
  </w:footnote>
  <w:footnote w:id="9">
    <w:p w14:paraId="6A0626D2" w14:textId="07DF5331" w:rsidR="00E71D49" w:rsidRPr="005775F0" w:rsidRDefault="00E71D49" w:rsidP="005775F0">
      <w:pPr>
        <w:pStyle w:val="Textpoznpodarou"/>
        <w:ind w:left="284" w:hanging="284"/>
        <w:jc w:val="both"/>
        <w:rPr>
          <w:rFonts w:ascii="Calibri" w:hAnsi="Calibri" w:cs="Calibri"/>
        </w:rPr>
      </w:pPr>
      <w:r w:rsidRPr="005775F0">
        <w:rPr>
          <w:rStyle w:val="Znakapoznpodarou"/>
          <w:rFonts w:ascii="Calibri" w:hAnsi="Calibri" w:cs="Calibri"/>
        </w:rPr>
        <w:footnoteRef/>
      </w:r>
      <w:r w:rsidRPr="005775F0">
        <w:rPr>
          <w:rFonts w:ascii="Calibri" w:hAnsi="Calibri" w:cs="Calibri"/>
        </w:rPr>
        <w:t xml:space="preserve"> </w:t>
      </w:r>
      <w:r>
        <w:rPr>
          <w:rFonts w:ascii="Calibri" w:hAnsi="Calibri" w:cs="Calibri"/>
        </w:rPr>
        <w:tab/>
      </w:r>
      <w:r w:rsidRPr="005775F0">
        <w:rPr>
          <w:rFonts w:ascii="Calibri" w:hAnsi="Calibri" w:cs="Calibri"/>
        </w:rPr>
        <w:t>Výčet ne</w:t>
      </w:r>
      <w:r w:rsidRPr="005775F0">
        <w:rPr>
          <w:rFonts w:ascii="Calibri" w:eastAsia="Calibri" w:hAnsi="Calibri" w:cs="Calibri"/>
        </w:rPr>
        <w:t xml:space="preserve">zahrnuje nesprávnost ve výši 3 284 mil. Kč týkající se neúčtování o převodu schváleného výsledku hospodaření za předchozí rok z účtu 431 – </w:t>
      </w:r>
      <w:r w:rsidRPr="005775F0">
        <w:rPr>
          <w:rFonts w:ascii="Calibri" w:eastAsia="Calibri" w:hAnsi="Calibri" w:cs="Calibri"/>
          <w:i/>
        </w:rPr>
        <w:t>Výsledek hospodaření ve schvalovacím řízení</w:t>
      </w:r>
      <w:r w:rsidRPr="005775F0">
        <w:rPr>
          <w:rFonts w:ascii="Calibri" w:eastAsia="Calibri" w:hAnsi="Calibri" w:cs="Calibri"/>
        </w:rPr>
        <w:t xml:space="preserve"> na účet 432 – </w:t>
      </w:r>
      <w:r w:rsidRPr="005775F0">
        <w:rPr>
          <w:rFonts w:ascii="Calibri" w:eastAsia="Calibri" w:hAnsi="Calibri" w:cs="Calibri"/>
          <w:i/>
        </w:rPr>
        <w:t>Výsledek hospodaření předcházejících účetních období</w:t>
      </w:r>
      <w:r w:rsidRPr="005775F0">
        <w:rPr>
          <w:rFonts w:ascii="Calibri" w:eastAsia="Calibri" w:hAnsi="Calibri" w:cs="Calibri"/>
        </w:rPr>
        <w:t xml:space="preserve"> k okamžiku schválení účetní závěrky. Nesprávnost je sice nejvýznamnější z hlediska hodnoty, z pohledu uživatele a potenciálních dopadů se ale nejedná o nejvýznamnější nesprávnost.</w:t>
      </w:r>
    </w:p>
  </w:footnote>
  <w:footnote w:id="10">
    <w:p w14:paraId="090C25C0" w14:textId="3FB63F8C" w:rsidR="00E71D49" w:rsidRPr="00135042" w:rsidRDefault="00E71D49" w:rsidP="00135042">
      <w:pPr>
        <w:pStyle w:val="Textpoznpodarou"/>
        <w:ind w:left="284" w:hanging="284"/>
        <w:jc w:val="both"/>
        <w:rPr>
          <w:rFonts w:asciiTheme="minorHAnsi" w:hAnsiTheme="minorHAnsi"/>
        </w:rPr>
      </w:pPr>
      <w:r w:rsidRPr="00135042">
        <w:rPr>
          <w:rStyle w:val="Znakapoznpodarou"/>
          <w:rFonts w:asciiTheme="minorHAnsi" w:hAnsiTheme="minorHAnsi"/>
        </w:rPr>
        <w:footnoteRef/>
      </w:r>
      <w:r w:rsidRPr="00135042">
        <w:rPr>
          <w:rFonts w:asciiTheme="minorHAnsi" w:hAnsiTheme="minorHAnsi"/>
        </w:rPr>
        <w:t xml:space="preserve"> </w:t>
      </w:r>
      <w:r>
        <w:rPr>
          <w:rFonts w:asciiTheme="minorHAnsi" w:hAnsiTheme="minorHAnsi"/>
        </w:rPr>
        <w:tab/>
      </w:r>
      <w:r w:rsidRPr="00135042">
        <w:rPr>
          <w:rFonts w:asciiTheme="minorHAnsi" w:hAnsiTheme="minorHAnsi"/>
        </w:rPr>
        <w:t xml:space="preserve">Jednalo se o soudní spory, u nichž žalovaná částka převyšovala významnost ve výši 40 mil. Kč stanovenou </w:t>
      </w:r>
      <w:r>
        <w:rPr>
          <w:rFonts w:asciiTheme="minorHAnsi" w:hAnsiTheme="minorHAnsi"/>
        </w:rPr>
        <w:t>v roce 2018 MMR</w:t>
      </w:r>
      <w:r w:rsidRPr="00135042">
        <w:rPr>
          <w:rFonts w:asciiTheme="minorHAnsi" w:hAnsiTheme="minorHAnsi"/>
        </w:rPr>
        <w:t xml:space="preserve"> pro účtování o podmíněných závazcích z tohoto titulu</w:t>
      </w:r>
      <w:r>
        <w:rPr>
          <w:rFonts w:asciiTheme="minorHAnsi" w:hAnsiTheme="minorHAnsi"/>
        </w:rPr>
        <w:t xml:space="preserve"> na podrozvahových účtech.</w:t>
      </w:r>
    </w:p>
  </w:footnote>
  <w:footnote w:id="11">
    <w:p w14:paraId="3210F9F6" w14:textId="2FED8318" w:rsidR="00E71D49" w:rsidRPr="00790A4A" w:rsidRDefault="00E71D49" w:rsidP="00171682">
      <w:pPr>
        <w:pStyle w:val="Textpoznpodarou"/>
        <w:ind w:left="284" w:hanging="284"/>
        <w:rPr>
          <w:rFonts w:asciiTheme="minorHAnsi" w:hAnsiTheme="minorHAnsi" w:cstheme="minorHAnsi"/>
        </w:rPr>
      </w:pPr>
      <w:r w:rsidRPr="00790A4A">
        <w:rPr>
          <w:rStyle w:val="Znakapoznpodarou"/>
          <w:rFonts w:asciiTheme="minorHAnsi" w:hAnsiTheme="minorHAnsi" w:cstheme="minorHAnsi"/>
        </w:rPr>
        <w:footnoteRef/>
      </w:r>
      <w:r w:rsidRPr="00790A4A">
        <w:rPr>
          <w:rFonts w:asciiTheme="minorHAnsi" w:hAnsiTheme="minorHAnsi" w:cstheme="minorHAnsi"/>
        </w:rPr>
        <w:t xml:space="preserve"> </w:t>
      </w:r>
      <w:r w:rsidRPr="00790A4A">
        <w:rPr>
          <w:rFonts w:asciiTheme="minorHAnsi" w:hAnsiTheme="minorHAnsi" w:cstheme="minorHAnsi"/>
        </w:rPr>
        <w:tab/>
        <w:t xml:space="preserve">Dostupné z: </w:t>
      </w:r>
      <w:hyperlink r:id="rId2" w:history="1">
        <w:r w:rsidRPr="00721673">
          <w:rPr>
            <w:rStyle w:val="Hypertextovodkaz"/>
            <w:rFonts w:asciiTheme="minorHAnsi" w:hAnsiTheme="minorHAnsi" w:cstheme="minorHAnsi"/>
          </w:rPr>
          <w:t>https://monitor.statnipokladna.cz/ucetni-jednotka/66002222/rozpocet/vydaje-druhovy?obdobi=1812&amp;rad=j</w:t>
        </w:r>
      </w:hyperlink>
      <w:r w:rsidRPr="00790A4A">
        <w:rPr>
          <w:rStyle w:val="Hypertextovodkaz"/>
          <w:rFonts w:asciiTheme="minorHAnsi" w:hAnsiTheme="minorHAnsi" w:cstheme="minorHAnsi"/>
          <w:color w:val="auto"/>
          <w:u w:val="none"/>
        </w:rPr>
        <w:t>.</w:t>
      </w:r>
    </w:p>
  </w:footnote>
  <w:footnote w:id="12">
    <w:p w14:paraId="129189B1" w14:textId="024DF47F" w:rsidR="00E71D49" w:rsidRPr="005775F0" w:rsidRDefault="00E71D49" w:rsidP="00790A4A">
      <w:pPr>
        <w:spacing w:after="0"/>
        <w:ind w:left="284" w:hanging="284"/>
        <w:jc w:val="both"/>
        <w:rPr>
          <w:rFonts w:cs="Calibri"/>
        </w:rPr>
      </w:pPr>
      <w:r w:rsidRPr="005775F0">
        <w:rPr>
          <w:rStyle w:val="Znakapoznpodarou"/>
          <w:rFonts w:cs="Calibri"/>
          <w:sz w:val="20"/>
          <w:szCs w:val="20"/>
        </w:rPr>
        <w:footnoteRef/>
      </w:r>
      <w:r w:rsidRPr="005775F0">
        <w:rPr>
          <w:rFonts w:cs="Calibri"/>
        </w:rPr>
        <w:t xml:space="preserve"> </w:t>
      </w:r>
      <w:r w:rsidRPr="005775F0">
        <w:rPr>
          <w:rFonts w:cs="Calibri"/>
        </w:rPr>
        <w:tab/>
      </w:r>
      <w:r w:rsidRPr="005775F0">
        <w:rPr>
          <w:rFonts w:cs="Calibri"/>
          <w:sz w:val="20"/>
          <w:szCs w:val="20"/>
        </w:rPr>
        <w:t xml:space="preserve">Kontrolní závěr z kontrolní akce č. 17/08 – </w:t>
      </w:r>
      <w:r w:rsidRPr="005775F0">
        <w:rPr>
          <w:rFonts w:cs="Calibri"/>
          <w:i/>
          <w:sz w:val="20"/>
          <w:szCs w:val="20"/>
        </w:rPr>
        <w:t>Závěrečný účet kapitoly státního rozpočtu Ministerstvo pro místní rozvoj za rok 2016, účetní závěrka Ministerstva pro místní rozvoj za rok 2016 a údaje předkládané Ministerstvem pro místní rozvoj pro hodnocení plnění státního rozpočtu za rok 2016</w:t>
      </w:r>
      <w:r w:rsidRPr="005775F0">
        <w:rPr>
          <w:rFonts w:cs="Calibri"/>
          <w:sz w:val="20"/>
          <w:szCs w:val="20"/>
        </w:rPr>
        <w:t xml:space="preserve"> byl zveřejněn v částce 1/2018 </w:t>
      </w:r>
      <w:r w:rsidRPr="005775F0">
        <w:rPr>
          <w:rFonts w:cs="Calibri"/>
          <w:i/>
          <w:sz w:val="20"/>
          <w:szCs w:val="20"/>
        </w:rPr>
        <w:t>Věstníku NKÚ.</w:t>
      </w:r>
    </w:p>
  </w:footnote>
  <w:footnote w:id="13">
    <w:p w14:paraId="745C06CB" w14:textId="77777777" w:rsidR="00E71D49" w:rsidRPr="005775F0" w:rsidRDefault="00E71D49" w:rsidP="00BA6E7E">
      <w:pPr>
        <w:spacing w:after="0"/>
        <w:ind w:left="284" w:hanging="284"/>
        <w:jc w:val="both"/>
        <w:rPr>
          <w:rFonts w:cs="Calibri"/>
          <w:sz w:val="20"/>
          <w:szCs w:val="20"/>
        </w:rPr>
      </w:pPr>
      <w:r w:rsidRPr="005775F0">
        <w:rPr>
          <w:rStyle w:val="Znakapoznpodarou"/>
          <w:rFonts w:cs="Calibri"/>
          <w:sz w:val="20"/>
          <w:szCs w:val="20"/>
        </w:rPr>
        <w:footnoteRef/>
      </w:r>
      <w:r w:rsidRPr="005775F0">
        <w:rPr>
          <w:rFonts w:cs="Calibri"/>
          <w:sz w:val="20"/>
          <w:szCs w:val="20"/>
        </w:rPr>
        <w:t xml:space="preserve"> </w:t>
      </w:r>
      <w:r w:rsidRPr="005775F0">
        <w:rPr>
          <w:rFonts w:cs="Calibri"/>
          <w:sz w:val="20"/>
          <w:szCs w:val="20"/>
        </w:rPr>
        <w:tab/>
        <w:t>Finanční výkazy v celém sestaveném rozsahu ale nejsou součástí (přílohou) závěrečných účtů kapitol státního rozpočtu.</w:t>
      </w:r>
    </w:p>
  </w:footnote>
  <w:footnote w:id="14">
    <w:p w14:paraId="097D9322" w14:textId="77777777" w:rsidR="00E71D49" w:rsidRPr="00BA0F46" w:rsidRDefault="00E71D49" w:rsidP="005D79F3">
      <w:pPr>
        <w:pStyle w:val="Textpoznpodarou"/>
        <w:ind w:left="284" w:hanging="284"/>
        <w:jc w:val="both"/>
        <w:rPr>
          <w:rFonts w:asciiTheme="minorHAnsi" w:hAnsiTheme="minorHAnsi" w:cstheme="minorHAnsi"/>
        </w:rPr>
      </w:pPr>
      <w:r w:rsidRPr="00BA0F46">
        <w:rPr>
          <w:rStyle w:val="Znakapoznpodarou"/>
          <w:rFonts w:asciiTheme="minorHAnsi" w:hAnsiTheme="minorHAnsi" w:cstheme="minorHAnsi"/>
        </w:rPr>
        <w:footnoteRef/>
      </w:r>
      <w:r w:rsidRPr="00BA0F46">
        <w:rPr>
          <w:rFonts w:asciiTheme="minorHAnsi" w:hAnsiTheme="minorHAnsi" w:cstheme="minorHAnsi"/>
        </w:rPr>
        <w:t xml:space="preserve"> </w:t>
      </w:r>
      <w:r w:rsidRPr="00BA0F46">
        <w:rPr>
          <w:rFonts w:asciiTheme="minorHAnsi" w:hAnsiTheme="minorHAnsi" w:cstheme="minorHAnsi"/>
        </w:rPr>
        <w:tab/>
        <w:t xml:space="preserve">Viz např. kontrolní závěry z kontrolních akcí č. 19/03 – </w:t>
      </w:r>
      <w:r w:rsidRPr="00BA0F46">
        <w:rPr>
          <w:rFonts w:asciiTheme="minorHAnsi" w:hAnsiTheme="minorHAnsi" w:cstheme="minorHAnsi"/>
          <w:i/>
        </w:rPr>
        <w:t>Závěrečný účet kapitoly státního rozpočtu Ministerstvo kultury za rok 2018, účetní závěrka Ministerstva kultury za rok 2018 a údaje předkládané Ministerstvem kultury pro hodnocení plnění státního rozpočtu za rok 2018</w:t>
      </w:r>
      <w:r w:rsidRPr="00BA0F46">
        <w:rPr>
          <w:rFonts w:asciiTheme="minorHAnsi" w:hAnsiTheme="minorHAnsi" w:cstheme="minorHAnsi"/>
        </w:rPr>
        <w:t xml:space="preserve"> (kontrolní závěr byl zveřejněn v částce 6/2019 </w:t>
      </w:r>
      <w:r w:rsidRPr="00BA0F46">
        <w:rPr>
          <w:rFonts w:asciiTheme="minorHAnsi" w:hAnsiTheme="minorHAnsi" w:cstheme="minorHAnsi"/>
          <w:i/>
        </w:rPr>
        <w:t>Věstníku NKÚ</w:t>
      </w:r>
      <w:r w:rsidRPr="00BA0F46">
        <w:rPr>
          <w:rFonts w:asciiTheme="minorHAnsi" w:hAnsiTheme="minorHAnsi" w:cstheme="minorHAnsi"/>
        </w:rPr>
        <w:t>) a č. 18/13 –</w:t>
      </w:r>
      <w:r w:rsidRPr="00BA0F46">
        <w:rPr>
          <w:rFonts w:asciiTheme="minorHAnsi" w:hAnsiTheme="minorHAnsi" w:cstheme="minorHAnsi"/>
          <w:i/>
        </w:rPr>
        <w:t xml:space="preserve"> Závěrečný účet kapitoly státního rozpočtu Ministerstvo zdravotnictví za rok 2017, účetní závěrka Ministerstva zdravotnictví za rok 2017 a údaje předkládané Ministerstvem zdravotnictví pro hodnocení plnění státního rozpočtu za rok 2017</w:t>
      </w:r>
      <w:r w:rsidRPr="00BA0F46">
        <w:rPr>
          <w:rFonts w:asciiTheme="minorHAnsi" w:hAnsiTheme="minorHAnsi" w:cstheme="minorHAnsi"/>
        </w:rPr>
        <w:t xml:space="preserve"> (kontrolní závěr byl zveřejněn v částce 1/2019</w:t>
      </w:r>
      <w:r w:rsidRPr="00BA0F46">
        <w:rPr>
          <w:rFonts w:asciiTheme="minorHAnsi" w:hAnsiTheme="minorHAnsi" w:cstheme="minorHAnsi"/>
          <w:i/>
        </w:rPr>
        <w:t xml:space="preserve"> Věstníku NKÚ</w:t>
      </w:r>
      <w:r w:rsidRPr="00BA0F46">
        <w:rPr>
          <w:rFonts w:asciiTheme="minorHAnsi" w:hAnsiTheme="minorHAnsi" w:cstheme="minorHAnsi"/>
        </w:rPr>
        <w:t>).</w:t>
      </w:r>
    </w:p>
  </w:footnote>
  <w:footnote w:id="15">
    <w:p w14:paraId="31823CB8" w14:textId="77777777" w:rsidR="00E71D49" w:rsidRPr="00BA0F46" w:rsidRDefault="00E71D49" w:rsidP="005D79F3">
      <w:pPr>
        <w:pStyle w:val="Textpoznpodarou"/>
        <w:ind w:left="284" w:hanging="284"/>
        <w:jc w:val="both"/>
        <w:rPr>
          <w:rFonts w:asciiTheme="minorHAnsi" w:hAnsiTheme="minorHAnsi" w:cstheme="minorHAnsi"/>
        </w:rPr>
      </w:pPr>
      <w:r w:rsidRPr="00BA0F46">
        <w:rPr>
          <w:rStyle w:val="Znakapoznpodarou"/>
          <w:rFonts w:asciiTheme="minorHAnsi" w:hAnsiTheme="minorHAnsi" w:cstheme="minorHAnsi"/>
        </w:rPr>
        <w:footnoteRef/>
      </w:r>
      <w:r w:rsidRPr="00BA0F46">
        <w:rPr>
          <w:rFonts w:asciiTheme="minorHAnsi" w:hAnsiTheme="minorHAnsi" w:cstheme="minorHAnsi"/>
        </w:rPr>
        <w:t xml:space="preserve"> </w:t>
      </w:r>
      <w:r w:rsidRPr="00BA0F46">
        <w:rPr>
          <w:rFonts w:asciiTheme="minorHAnsi" w:hAnsiTheme="minorHAnsi" w:cstheme="minorHAnsi"/>
        </w:rPr>
        <w:tab/>
        <w:t>Ustanovení § 29 zákona č. 218/2000 Sb., o rozpočtových pravidlech a o změně některých souvisejících zákonů (rozpočtová pravidla), stanoví, že státní závěrečný účet obsahuje údaje o výsledcích rozpočtového hospodaření minulého roku.</w:t>
      </w:r>
    </w:p>
  </w:footnote>
  <w:footnote w:id="16">
    <w:p w14:paraId="6C602F9D" w14:textId="77777777" w:rsidR="00E71D49" w:rsidRPr="00BA0F46" w:rsidRDefault="00E71D49" w:rsidP="005D79F3">
      <w:pPr>
        <w:spacing w:after="0"/>
        <w:ind w:left="284" w:hanging="284"/>
        <w:jc w:val="both"/>
        <w:rPr>
          <w:rFonts w:asciiTheme="minorHAnsi" w:hAnsiTheme="minorHAnsi" w:cstheme="minorHAnsi"/>
          <w:sz w:val="20"/>
          <w:szCs w:val="20"/>
        </w:rPr>
      </w:pPr>
      <w:r w:rsidRPr="00BA0F46">
        <w:rPr>
          <w:rStyle w:val="Znakapoznpodarou"/>
          <w:rFonts w:asciiTheme="minorHAnsi" w:hAnsiTheme="minorHAnsi" w:cstheme="minorHAnsi"/>
          <w:sz w:val="20"/>
          <w:szCs w:val="20"/>
        </w:rPr>
        <w:footnoteRef/>
      </w:r>
      <w:r w:rsidRPr="00BA0F46">
        <w:rPr>
          <w:rFonts w:asciiTheme="minorHAnsi" w:hAnsiTheme="minorHAnsi" w:cstheme="minorHAnsi"/>
          <w:sz w:val="20"/>
          <w:szCs w:val="20"/>
        </w:rPr>
        <w:t xml:space="preserve"> </w:t>
      </w:r>
      <w:r w:rsidRPr="00BA0F46">
        <w:rPr>
          <w:rFonts w:asciiTheme="minorHAnsi" w:hAnsiTheme="minorHAnsi" w:cstheme="minorHAnsi"/>
          <w:sz w:val="20"/>
          <w:szCs w:val="20"/>
        </w:rPr>
        <w:tab/>
        <w:t>Na rozdíl od finančních výkazů se v účetnictví zobrazuje např. to, že transfer byl poskytnut formou zálohy a očekává se z tohoto důvodu ještě jeho vypořádání, a proto náklad z něj je jen odhad; nebo to, že organizační složce státu vznikl nárok na refundaci (např. z rozpočtu Evropské unie).</w:t>
      </w:r>
    </w:p>
  </w:footnote>
  <w:footnote w:id="17">
    <w:p w14:paraId="410F92E5" w14:textId="77777777" w:rsidR="00E71D49" w:rsidRPr="00BA0F46" w:rsidRDefault="00E71D49" w:rsidP="005D79F3">
      <w:pPr>
        <w:spacing w:after="0"/>
        <w:ind w:left="284" w:hanging="284"/>
        <w:jc w:val="both"/>
        <w:rPr>
          <w:rFonts w:asciiTheme="minorHAnsi" w:hAnsiTheme="minorHAnsi" w:cstheme="minorHAnsi"/>
          <w:sz w:val="20"/>
          <w:szCs w:val="20"/>
        </w:rPr>
      </w:pPr>
      <w:r w:rsidRPr="00BA0F46">
        <w:rPr>
          <w:rStyle w:val="Znakapoznpodarou"/>
          <w:rFonts w:asciiTheme="minorHAnsi" w:hAnsiTheme="minorHAnsi" w:cstheme="minorHAnsi"/>
          <w:sz w:val="20"/>
          <w:szCs w:val="20"/>
        </w:rPr>
        <w:footnoteRef/>
      </w:r>
      <w:r w:rsidRPr="00BA0F46">
        <w:rPr>
          <w:rFonts w:asciiTheme="minorHAnsi" w:hAnsiTheme="minorHAnsi" w:cstheme="minorHAnsi"/>
          <w:sz w:val="20"/>
          <w:szCs w:val="20"/>
        </w:rPr>
        <w:t xml:space="preserve"> </w:t>
      </w:r>
      <w:r w:rsidRPr="00BA0F46">
        <w:rPr>
          <w:rFonts w:asciiTheme="minorHAnsi" w:hAnsiTheme="minorHAnsi" w:cstheme="minorHAnsi"/>
          <w:sz w:val="20"/>
          <w:szCs w:val="20"/>
        </w:rPr>
        <w:tab/>
        <w:t>Akruální princip (nebo také báze, koncept) je jedna ze základních účetních zásad a spočívá v tom, že náklady a výnosy se účtují do období, se kterým věcně a časově souvisejí, aniž by bylo bráno v úvahu, kdy došlo k reálnému pohybu peněz.</w:t>
      </w:r>
    </w:p>
  </w:footnote>
  <w:footnote w:id="18">
    <w:p w14:paraId="0D833496" w14:textId="77777777" w:rsidR="00E71D49" w:rsidRPr="00BA0F46" w:rsidRDefault="00E71D49" w:rsidP="005D79F3">
      <w:pPr>
        <w:spacing w:after="0"/>
        <w:ind w:left="284" w:hanging="284"/>
        <w:jc w:val="both"/>
        <w:rPr>
          <w:rFonts w:cstheme="minorHAnsi"/>
          <w:sz w:val="20"/>
          <w:szCs w:val="20"/>
        </w:rPr>
      </w:pPr>
      <w:r w:rsidRPr="00BA0F46">
        <w:rPr>
          <w:rStyle w:val="Znakapoznpodarou"/>
          <w:rFonts w:asciiTheme="minorHAnsi" w:hAnsiTheme="minorHAnsi" w:cstheme="minorHAnsi"/>
          <w:sz w:val="20"/>
          <w:szCs w:val="20"/>
        </w:rPr>
        <w:footnoteRef/>
      </w:r>
      <w:r w:rsidRPr="00BA0F46">
        <w:rPr>
          <w:rFonts w:asciiTheme="minorHAnsi" w:hAnsiTheme="minorHAnsi" w:cstheme="minorHAnsi"/>
          <w:sz w:val="20"/>
          <w:szCs w:val="20"/>
        </w:rPr>
        <w:t xml:space="preserve"> </w:t>
      </w:r>
      <w:r w:rsidRPr="00BA0F46">
        <w:rPr>
          <w:rFonts w:asciiTheme="minorHAnsi" w:hAnsiTheme="minorHAnsi" w:cstheme="minorHAnsi"/>
          <w:sz w:val="20"/>
          <w:szCs w:val="20"/>
        </w:rPr>
        <w:tab/>
        <w:t xml:space="preserve">Viz </w:t>
      </w:r>
      <w:r w:rsidRPr="00BA0F46">
        <w:rPr>
          <w:rFonts w:asciiTheme="minorHAnsi" w:hAnsiTheme="minorHAnsi" w:cstheme="minorHAnsi"/>
          <w:i/>
          <w:iCs/>
          <w:sz w:val="20"/>
          <w:szCs w:val="20"/>
        </w:rPr>
        <w:t xml:space="preserve">Zpráva o účetních výkazech za Českou republiku za rok 2018 </w:t>
      </w:r>
      <w:r w:rsidRPr="00BA0F46">
        <w:rPr>
          <w:rFonts w:asciiTheme="minorHAnsi" w:hAnsiTheme="minorHAnsi" w:cstheme="minorHAnsi"/>
          <w:sz w:val="20"/>
          <w:szCs w:val="20"/>
        </w:rPr>
        <w:t>(dostupné z:</w:t>
      </w:r>
      <w:r w:rsidRPr="00BA0F46">
        <w:rPr>
          <w:rFonts w:cstheme="minorHAnsi"/>
          <w:sz w:val="20"/>
          <w:szCs w:val="20"/>
        </w:rPr>
        <w:t xml:space="preserve"> </w:t>
      </w:r>
      <w:hyperlink r:id="rId3" w:history="1">
        <w:r w:rsidRPr="00BA0F46">
          <w:rPr>
            <w:rStyle w:val="Hypertextovodkaz"/>
            <w:sz w:val="20"/>
            <w:szCs w:val="20"/>
          </w:rPr>
          <w:t>https://www.mfcr.cz/cs/verejny-sektor/ucetnictvi-a-ucetnictvi-statu/ucetni-reforma-verejnych-financi-ucetnic/ucetni-vykaznictvi-statu/ucetni-vykazy-za-ceskou-republiku</w:t>
        </w:r>
      </w:hyperlink>
      <w:r w:rsidRPr="00BA0F46">
        <w:rPr>
          <w:sz w:val="20"/>
          <w:szCs w:val="20"/>
        </w:rPr>
        <w:t>).</w:t>
      </w:r>
    </w:p>
  </w:footnote>
  <w:footnote w:id="19">
    <w:p w14:paraId="7D85065A" w14:textId="3056BF90" w:rsidR="00E71D49" w:rsidRPr="00223E25" w:rsidRDefault="00E71D49" w:rsidP="006E504C">
      <w:pPr>
        <w:spacing w:after="0"/>
        <w:ind w:left="284" w:hanging="284"/>
        <w:jc w:val="both"/>
        <w:rPr>
          <w:rFonts w:asciiTheme="minorHAnsi" w:eastAsia="Calibri" w:hAnsiTheme="minorHAnsi" w:cstheme="minorHAnsi"/>
          <w:sz w:val="20"/>
          <w:szCs w:val="20"/>
        </w:rPr>
      </w:pPr>
      <w:r w:rsidRPr="00223E25">
        <w:rPr>
          <w:rStyle w:val="Znakapoznpodarou"/>
          <w:rFonts w:asciiTheme="minorHAnsi" w:hAnsiTheme="minorHAnsi" w:cstheme="minorHAnsi"/>
          <w:sz w:val="20"/>
          <w:szCs w:val="20"/>
        </w:rPr>
        <w:footnoteRef/>
      </w:r>
      <w:r w:rsidRPr="00223E25">
        <w:rPr>
          <w:rFonts w:asciiTheme="minorHAnsi" w:hAnsiTheme="minorHAnsi" w:cstheme="minorHAnsi"/>
          <w:sz w:val="20"/>
          <w:szCs w:val="20"/>
        </w:rPr>
        <w:tab/>
        <w:t>P</w:t>
      </w:r>
      <w:r w:rsidRPr="00223E25">
        <w:rPr>
          <w:rFonts w:asciiTheme="minorHAnsi" w:eastAsia="Calibri" w:hAnsiTheme="minorHAnsi" w:cstheme="minorHAnsi"/>
          <w:sz w:val="20"/>
          <w:szCs w:val="20"/>
        </w:rPr>
        <w:t xml:space="preserve">odmíněné závazky za kapitolu 317 MMR </w:t>
      </w:r>
      <w:r>
        <w:rPr>
          <w:rFonts w:asciiTheme="minorHAnsi" w:eastAsia="Calibri" w:hAnsiTheme="minorHAnsi" w:cstheme="minorHAnsi"/>
          <w:sz w:val="20"/>
          <w:szCs w:val="20"/>
        </w:rPr>
        <w:t>[</w:t>
      </w:r>
      <w:r w:rsidRPr="00223E25">
        <w:rPr>
          <w:rFonts w:asciiTheme="minorHAnsi" w:eastAsia="Calibri" w:hAnsiTheme="minorHAnsi" w:cstheme="minorHAnsi"/>
          <w:sz w:val="20"/>
          <w:szCs w:val="20"/>
        </w:rPr>
        <w:t>za organizační složky státu (dále také „OSS“) a příspěvkové organizace (dále také „PO“)</w:t>
      </w:r>
      <w:r>
        <w:rPr>
          <w:rFonts w:asciiTheme="minorHAnsi" w:eastAsia="Calibri" w:hAnsiTheme="minorHAnsi" w:cstheme="minorHAnsi"/>
          <w:sz w:val="20"/>
          <w:szCs w:val="20"/>
        </w:rPr>
        <w:t>]</w:t>
      </w:r>
      <w:r w:rsidRPr="00223E25">
        <w:rPr>
          <w:rFonts w:asciiTheme="minorHAnsi" w:eastAsia="Calibri" w:hAnsiTheme="minorHAnsi" w:cstheme="minorHAnsi"/>
          <w:sz w:val="20"/>
          <w:szCs w:val="20"/>
        </w:rPr>
        <w:t xml:space="preserve"> byly k 31. prosinci 2018 dle údajů zveřejněných z účetních závěrek v informačním portálu MONITOR ve výši 48,6 mld. Kč; z toho 99,3 % podmíněných závazků vykazuje MMR. U</w:t>
      </w:r>
      <w:r>
        <w:rPr>
          <w:rFonts w:asciiTheme="minorHAnsi" w:eastAsia="Calibri" w:hAnsiTheme="minorHAnsi" w:cstheme="minorHAnsi"/>
          <w:sz w:val="20"/>
          <w:szCs w:val="20"/>
        </w:rPr>
        <w:t> </w:t>
      </w:r>
      <w:r w:rsidRPr="00223E25">
        <w:rPr>
          <w:rFonts w:asciiTheme="minorHAnsi" w:eastAsia="Calibri" w:hAnsiTheme="minorHAnsi" w:cstheme="minorHAnsi"/>
          <w:sz w:val="20"/>
          <w:szCs w:val="20"/>
        </w:rPr>
        <w:t>podmíněných závazků lze očekávat, resp. nelze vyloučit, potenciálně významný dopad na budoucí výdaje státního rozpočtu, což vyplývá ze zákona č. 23/2017 Sb., o pravidlech rozpočtové odpovědnos</w:t>
      </w:r>
      <w:r>
        <w:rPr>
          <w:rFonts w:asciiTheme="minorHAnsi" w:eastAsia="Calibri" w:hAnsiTheme="minorHAnsi" w:cstheme="minorHAnsi"/>
          <w:sz w:val="20"/>
          <w:szCs w:val="20"/>
        </w:rPr>
        <w:t>ti. Přesto nejsou vyhláškou č. </w:t>
      </w:r>
      <w:r w:rsidRPr="00223E25">
        <w:rPr>
          <w:rFonts w:asciiTheme="minorHAnsi" w:eastAsia="Calibri" w:hAnsiTheme="minorHAnsi" w:cstheme="minorHAnsi"/>
          <w:sz w:val="20"/>
          <w:szCs w:val="20"/>
        </w:rPr>
        <w:t>419/2001 Sb. tyto skutečnosti stanoveny jako povinné informace v průvodní zprávě závěrečného účtu.</w:t>
      </w:r>
    </w:p>
  </w:footnote>
  <w:footnote w:id="20">
    <w:p w14:paraId="73519CCF" w14:textId="77777777" w:rsidR="00E71D49" w:rsidRPr="0057330E" w:rsidRDefault="00E71D49" w:rsidP="006E504C">
      <w:pPr>
        <w:pStyle w:val="Textpoznpodarou"/>
        <w:ind w:left="284" w:hanging="284"/>
        <w:jc w:val="both"/>
        <w:rPr>
          <w:rFonts w:asciiTheme="minorHAnsi" w:hAnsiTheme="minorHAnsi" w:cstheme="minorHAnsi"/>
        </w:rPr>
      </w:pPr>
      <w:r w:rsidRPr="00223E25">
        <w:rPr>
          <w:rStyle w:val="Znakapoznpodarou"/>
          <w:rFonts w:asciiTheme="minorHAnsi" w:hAnsiTheme="minorHAnsi" w:cstheme="minorHAnsi"/>
        </w:rPr>
        <w:footnoteRef/>
      </w:r>
      <w:r w:rsidRPr="00223E25">
        <w:rPr>
          <w:rFonts w:asciiTheme="minorHAnsi" w:hAnsiTheme="minorHAnsi" w:cstheme="minorHAnsi"/>
        </w:rPr>
        <w:t xml:space="preserve"> </w:t>
      </w:r>
      <w:r w:rsidRPr="00223E25">
        <w:rPr>
          <w:rFonts w:asciiTheme="minorHAnsi" w:hAnsiTheme="minorHAnsi" w:cstheme="minorHAnsi"/>
        </w:rPr>
        <w:tab/>
        <w:t>Náklady jsou v příslušném roce spotřebované ekonomické zdroje bez ohledu na to, zda v tomto období došlo k jejich úhradě.</w:t>
      </w:r>
    </w:p>
  </w:footnote>
  <w:footnote w:id="21">
    <w:p w14:paraId="1CF9A39E" w14:textId="3C9F50B7" w:rsidR="00E71D49" w:rsidRPr="00622561" w:rsidRDefault="00E71D49" w:rsidP="00C35D38">
      <w:pPr>
        <w:pStyle w:val="Textpoznpodarou"/>
        <w:ind w:left="284" w:hanging="284"/>
        <w:jc w:val="both"/>
        <w:rPr>
          <w:rFonts w:asciiTheme="minorHAnsi" w:hAnsiTheme="minorHAnsi" w:cstheme="minorHAnsi"/>
        </w:rPr>
      </w:pPr>
      <w:r w:rsidRPr="001A79A3">
        <w:rPr>
          <w:rStyle w:val="Znakapoznpodarou"/>
          <w:rFonts w:asciiTheme="minorHAnsi" w:hAnsiTheme="minorHAnsi" w:cstheme="minorHAnsi"/>
        </w:rPr>
        <w:footnoteRef/>
      </w:r>
      <w:r w:rsidRPr="001A79A3">
        <w:rPr>
          <w:rFonts w:asciiTheme="minorHAnsi" w:hAnsiTheme="minorHAnsi" w:cstheme="minorHAnsi"/>
        </w:rPr>
        <w:t xml:space="preserve"> </w:t>
      </w:r>
      <w:r>
        <w:rPr>
          <w:rFonts w:asciiTheme="minorHAnsi" w:hAnsiTheme="minorHAnsi" w:cstheme="minorHAnsi"/>
        </w:rPr>
        <w:tab/>
      </w:r>
      <w:r w:rsidRPr="00622561">
        <w:rPr>
          <w:rFonts w:asciiTheme="minorHAnsi" w:hAnsiTheme="minorHAnsi" w:cstheme="minorHAnsi"/>
        </w:rPr>
        <w:t xml:space="preserve">Na nízkou účinnost těchto kontrolních prvků i u jiných kontrolovaných osob upozornil NKÚ již v několika kontrolních závěrech např. z kontrolní akce č. 19/03 – </w:t>
      </w:r>
      <w:r w:rsidRPr="00622561">
        <w:rPr>
          <w:rFonts w:asciiTheme="minorHAnsi" w:hAnsiTheme="minorHAnsi" w:cstheme="minorHAnsi"/>
          <w:i/>
        </w:rPr>
        <w:t>Závěrečný účet kapitoly státního rozpočtu Ministerstvo kultury za rok 2018, účetní závěrka Ministerstva kultury za rok 2018 a údaje předkládané Ministerstvem kultury pro hodnocení plnění státního rozpočtu za rok 2018</w:t>
      </w:r>
      <w:r w:rsidRPr="00622561">
        <w:rPr>
          <w:rFonts w:asciiTheme="minorHAnsi" w:hAnsiTheme="minorHAnsi" w:cstheme="minorHAnsi"/>
        </w:rPr>
        <w:t xml:space="preserve"> (kontrolní závěr byl zveřejněn v částce 6/2019 </w:t>
      </w:r>
      <w:r w:rsidRPr="00622561">
        <w:rPr>
          <w:rFonts w:asciiTheme="minorHAnsi" w:hAnsiTheme="minorHAnsi" w:cstheme="minorHAnsi"/>
          <w:i/>
        </w:rPr>
        <w:t>Věstníku NKÚ</w:t>
      </w:r>
      <w:r w:rsidRPr="00622561">
        <w:rPr>
          <w:rFonts w:asciiTheme="minorHAnsi" w:hAnsiTheme="minorHAnsi" w:cstheme="minorHAnsi"/>
        </w:rPr>
        <w:t xml:space="preserve">) nebo z kontrolní akce č. 18/25 – </w:t>
      </w:r>
      <w:r w:rsidRPr="00622561">
        <w:rPr>
          <w:rFonts w:asciiTheme="minorHAnsi" w:hAnsiTheme="minorHAnsi" w:cstheme="minorHAnsi"/>
          <w:i/>
        </w:rPr>
        <w:t>Účetní závěrka Městského soudu v Praze za rok 2017</w:t>
      </w:r>
      <w:r w:rsidRPr="00622561">
        <w:rPr>
          <w:rFonts w:asciiTheme="minorHAnsi" w:hAnsiTheme="minorHAnsi" w:cstheme="minorHAnsi"/>
        </w:rPr>
        <w:t xml:space="preserve"> (kontrolní závěr byl zveřejněn v částce 4/2019 </w:t>
      </w:r>
      <w:r w:rsidRPr="00622561">
        <w:rPr>
          <w:rFonts w:asciiTheme="minorHAnsi" w:hAnsiTheme="minorHAnsi" w:cstheme="minorHAnsi"/>
          <w:i/>
        </w:rPr>
        <w:t>Věstníku NKÚ</w:t>
      </w:r>
      <w:r w:rsidRPr="00622561">
        <w:rPr>
          <w:rFonts w:asciiTheme="minorHAnsi" w:hAnsiTheme="minorHAnsi" w:cstheme="minorHAnsi"/>
        </w:rPr>
        <w:t>).</w:t>
      </w:r>
    </w:p>
  </w:footnote>
  <w:footnote w:id="22">
    <w:p w14:paraId="3006A5F6" w14:textId="0CCE382F" w:rsidR="00E71D49" w:rsidRPr="00DA13E2" w:rsidRDefault="00E71D49" w:rsidP="00C35D38">
      <w:pPr>
        <w:pStyle w:val="Textpoznpodarou"/>
        <w:ind w:left="284" w:hanging="284"/>
        <w:jc w:val="both"/>
        <w:rPr>
          <w:rFonts w:asciiTheme="minorHAnsi" w:hAnsiTheme="minorHAnsi" w:cstheme="minorHAnsi"/>
          <w:i/>
        </w:rPr>
      </w:pPr>
      <w:r w:rsidRPr="001A79A3">
        <w:rPr>
          <w:rStyle w:val="Znakapoznpodarou"/>
          <w:rFonts w:asciiTheme="minorHAnsi" w:hAnsiTheme="minorHAnsi" w:cstheme="minorHAnsi"/>
        </w:rPr>
        <w:footnoteRef/>
      </w:r>
      <w:r w:rsidRPr="001A79A3">
        <w:rPr>
          <w:rFonts w:asciiTheme="minorHAnsi" w:hAnsiTheme="minorHAnsi" w:cstheme="minorHAnsi"/>
        </w:rPr>
        <w:t xml:space="preserve"> </w:t>
      </w:r>
      <w:r>
        <w:rPr>
          <w:rFonts w:asciiTheme="minorHAnsi" w:hAnsiTheme="minorHAnsi" w:cstheme="minorHAnsi"/>
        </w:rPr>
        <w:tab/>
      </w:r>
      <w:r w:rsidRPr="00622561">
        <w:rPr>
          <w:rFonts w:asciiTheme="minorHAnsi" w:hAnsiTheme="minorHAnsi" w:cstheme="minorHAnsi"/>
        </w:rPr>
        <w:t xml:space="preserve">Ustanovení § 19 odst. </w:t>
      </w:r>
      <w:r>
        <w:rPr>
          <w:rFonts w:asciiTheme="minorHAnsi" w:hAnsiTheme="minorHAnsi" w:cstheme="minorHAnsi"/>
        </w:rPr>
        <w:t>7</w:t>
      </w:r>
      <w:r w:rsidRPr="00622561">
        <w:rPr>
          <w:rFonts w:asciiTheme="minorHAnsi" w:hAnsiTheme="minorHAnsi" w:cstheme="minorHAnsi"/>
        </w:rPr>
        <w:t xml:space="preserve"> zákona o účetnictví stanoví:</w:t>
      </w:r>
      <w:r>
        <w:rPr>
          <w:rFonts w:asciiTheme="minorHAnsi" w:hAnsiTheme="minorHAnsi" w:cstheme="minorHAnsi"/>
        </w:rPr>
        <w:t xml:space="preserve"> „</w:t>
      </w:r>
      <w:r w:rsidRPr="00622561">
        <w:rPr>
          <w:rFonts w:asciiTheme="minorHAnsi" w:hAnsiTheme="minorHAnsi" w:cstheme="minorHAnsi"/>
          <w:i/>
        </w:rPr>
        <w:t>Informace se považuje za spolehlivou, jestliže splňuje požadavek § 7 odst. 1 a je-li úplná a včasná“.</w:t>
      </w:r>
    </w:p>
  </w:footnote>
  <w:footnote w:id="23">
    <w:p w14:paraId="0A19A5BD" w14:textId="77777777" w:rsidR="00E71D49" w:rsidRPr="00B406C8" w:rsidRDefault="00E71D49" w:rsidP="00DB408A">
      <w:pPr>
        <w:pStyle w:val="Textpoznpodarou"/>
        <w:ind w:left="278" w:hanging="278"/>
        <w:jc w:val="both"/>
        <w:rPr>
          <w:rFonts w:asciiTheme="minorHAnsi" w:hAnsiTheme="minorHAnsi" w:cstheme="minorHAnsi"/>
        </w:rPr>
      </w:pPr>
      <w:r w:rsidRPr="00B406C8">
        <w:rPr>
          <w:rStyle w:val="Znakapoznpodarou"/>
          <w:rFonts w:asciiTheme="minorHAnsi" w:hAnsiTheme="minorHAnsi" w:cstheme="minorHAnsi"/>
        </w:rPr>
        <w:footnoteRef/>
      </w:r>
      <w:r w:rsidRPr="00B406C8">
        <w:rPr>
          <w:rFonts w:asciiTheme="minorHAnsi" w:hAnsiTheme="minorHAnsi" w:cstheme="minorHAnsi"/>
        </w:rPr>
        <w:t xml:space="preserve"> </w:t>
      </w:r>
      <w:r w:rsidRPr="00B406C8">
        <w:rPr>
          <w:rFonts w:asciiTheme="minorHAnsi" w:hAnsiTheme="minorHAnsi" w:cstheme="minorHAnsi"/>
        </w:rPr>
        <w:tab/>
      </w:r>
      <w:r>
        <w:rPr>
          <w:rFonts w:asciiTheme="minorHAnsi" w:hAnsiTheme="minorHAnsi" w:cstheme="minorHAnsi"/>
        </w:rPr>
        <w:t>Dle ustanovení § 3 písm. o) rozpočtových pravidel je rozpočtový systém informačním systémem veřejné správy, v němž se mj. soustřeďují údaje pro hodnocení plnění státního rozpočtu</w:t>
      </w:r>
      <w:r w:rsidRPr="00B406C8">
        <w:rPr>
          <w:rFonts w:asciiTheme="minorHAnsi" w:hAnsiTheme="minorHAnsi" w:cstheme="minorHAnsi"/>
        </w:rPr>
        <w:t>.</w:t>
      </w:r>
    </w:p>
  </w:footnote>
  <w:footnote w:id="24">
    <w:p w14:paraId="14F7EF32" w14:textId="53C301AF" w:rsidR="00E71D49" w:rsidRPr="00B30899" w:rsidRDefault="00E71D49" w:rsidP="00BF0C81">
      <w:pPr>
        <w:pStyle w:val="Textpoznpodarou"/>
        <w:ind w:left="284" w:hanging="284"/>
        <w:jc w:val="both"/>
        <w:rPr>
          <w:rFonts w:ascii="Calibri" w:hAnsi="Calibri" w:cs="Calibri"/>
        </w:rPr>
      </w:pPr>
      <w:r w:rsidRPr="00B30899">
        <w:rPr>
          <w:rStyle w:val="Znakapoznpodarou"/>
          <w:rFonts w:ascii="Calibri" w:hAnsi="Calibri" w:cs="Calibri"/>
        </w:rPr>
        <w:footnoteRef/>
      </w:r>
      <w:r w:rsidRPr="00B30899">
        <w:rPr>
          <w:rFonts w:ascii="Calibri" w:hAnsi="Calibri" w:cs="Calibri"/>
        </w:rPr>
        <w:t xml:space="preserve"> </w:t>
      </w:r>
      <w:r w:rsidRPr="00B30899">
        <w:rPr>
          <w:rFonts w:ascii="Calibri" w:hAnsi="Calibri" w:cs="Calibri"/>
        </w:rPr>
        <w:tab/>
        <w:t>Dle ustanovení § 20</w:t>
      </w:r>
      <w:r>
        <w:rPr>
          <w:rFonts w:ascii="Calibri" w:hAnsi="Calibri" w:cs="Calibri"/>
        </w:rPr>
        <w:t xml:space="preserve"> odst. 4</w:t>
      </w:r>
      <w:r w:rsidRPr="00B30899">
        <w:rPr>
          <w:rFonts w:ascii="Calibri" w:hAnsi="Calibri" w:cs="Calibri"/>
        </w:rPr>
        <w:t xml:space="preserve"> rozpočtových pravid</w:t>
      </w:r>
      <w:r>
        <w:rPr>
          <w:rFonts w:ascii="Calibri" w:hAnsi="Calibri" w:cs="Calibri"/>
        </w:rPr>
        <w:t>e</w:t>
      </w:r>
      <w:r w:rsidRPr="00B30899">
        <w:rPr>
          <w:rFonts w:ascii="Calibri" w:hAnsi="Calibri" w:cs="Calibri"/>
        </w:rPr>
        <w:t>l</w:t>
      </w:r>
      <w:r>
        <w:rPr>
          <w:rFonts w:ascii="Calibri" w:hAnsi="Calibri" w:cs="Calibri"/>
        </w:rPr>
        <w:t xml:space="preserve"> jsou OSS</w:t>
      </w:r>
      <w:r w:rsidRPr="00B30899">
        <w:rPr>
          <w:rFonts w:ascii="Calibri" w:hAnsi="Calibri" w:cs="Calibri"/>
        </w:rPr>
        <w:t xml:space="preserve"> povinny předkládat údaje potřebné pro průběžné hodnocení plnění státního rozpočtu. Způsob a termíny předkládání údajů a jejich rozsah stanovuje vyhláška č. 5/2014 Sb., o způsobu, termínech a rozsahu údajů předkládaných pro hodnocení plnění státního rozpočtu, rozpočtů státních fondů, rozpočtů územních samosprávných celků, rozpočtů dobrovolných svazků obcí a</w:t>
      </w:r>
      <w:r>
        <w:rPr>
          <w:rFonts w:ascii="Calibri" w:hAnsi="Calibri" w:cs="Calibri"/>
        </w:rPr>
        <w:t> </w:t>
      </w:r>
      <w:r w:rsidRPr="00B30899">
        <w:rPr>
          <w:rFonts w:ascii="Calibri" w:hAnsi="Calibri" w:cs="Calibri"/>
        </w:rPr>
        <w:t xml:space="preserve">rozpočtů </w:t>
      </w:r>
      <w:r>
        <w:rPr>
          <w:rFonts w:ascii="Calibri" w:hAnsi="Calibri" w:cs="Calibri"/>
        </w:rPr>
        <w:t>r</w:t>
      </w:r>
      <w:r w:rsidRPr="00B30899">
        <w:rPr>
          <w:rFonts w:ascii="Calibri" w:hAnsi="Calibri" w:cs="Calibri"/>
        </w:rPr>
        <w:t xml:space="preserve">egionálních rad regionů soudržnosti. Dle </w:t>
      </w:r>
      <w:r>
        <w:rPr>
          <w:rFonts w:ascii="Calibri" w:hAnsi="Calibri" w:cs="Calibri"/>
        </w:rPr>
        <w:t>ustanovení § 5 odst. 1 a</w:t>
      </w:r>
      <w:r w:rsidRPr="00B30899">
        <w:rPr>
          <w:rFonts w:ascii="Calibri" w:hAnsi="Calibri" w:cs="Calibri"/>
        </w:rPr>
        <w:t xml:space="preserve"> dle přílohy č. </w:t>
      </w:r>
      <w:r>
        <w:rPr>
          <w:rFonts w:ascii="Calibri" w:hAnsi="Calibri" w:cs="Calibri"/>
        </w:rPr>
        <w:t>1 této vyhlášky zpracovávají OSS</w:t>
      </w:r>
      <w:r w:rsidRPr="00B30899">
        <w:rPr>
          <w:rFonts w:ascii="Calibri" w:hAnsi="Calibri" w:cs="Calibri"/>
        </w:rPr>
        <w:t xml:space="preserve"> údaje pro hodnocení p</w:t>
      </w:r>
      <w:r>
        <w:rPr>
          <w:rFonts w:ascii="Calibri" w:hAnsi="Calibri" w:cs="Calibri"/>
        </w:rPr>
        <w:t>lnění státního rozpočtu přímo v </w:t>
      </w:r>
      <w:r w:rsidRPr="00B30899">
        <w:rPr>
          <w:rFonts w:ascii="Calibri" w:hAnsi="Calibri" w:cs="Calibri"/>
        </w:rPr>
        <w:t>rozpočtovém systému, ve kterém je z </w:t>
      </w:r>
      <w:r>
        <w:rPr>
          <w:rFonts w:ascii="Calibri" w:hAnsi="Calibri" w:cs="Calibri"/>
        </w:rPr>
        <w:t>nich následně sestavován výkaz FIN 1-12 OSS</w:t>
      </w:r>
      <w:r w:rsidRPr="00B30899">
        <w:rPr>
          <w:rFonts w:ascii="Calibri" w:hAnsi="Calibri" w:cs="Calibri"/>
        </w:rPr>
        <w:t>.</w:t>
      </w:r>
    </w:p>
  </w:footnote>
  <w:footnote w:id="25">
    <w:p w14:paraId="06A01919" w14:textId="77777777" w:rsidR="00E71D49" w:rsidRPr="00306CED" w:rsidRDefault="00E71D49" w:rsidP="00916785">
      <w:pPr>
        <w:pStyle w:val="Textpoznpodarou"/>
        <w:ind w:left="284" w:hanging="284"/>
        <w:jc w:val="both"/>
        <w:rPr>
          <w:rFonts w:asciiTheme="minorHAnsi" w:hAnsiTheme="minorHAnsi" w:cstheme="minorHAnsi"/>
        </w:rPr>
      </w:pPr>
      <w:r w:rsidRPr="00306CED">
        <w:rPr>
          <w:rStyle w:val="Znakapoznpodarou"/>
          <w:rFonts w:asciiTheme="minorHAnsi" w:hAnsiTheme="minorHAnsi" w:cstheme="minorHAnsi"/>
        </w:rPr>
        <w:footnoteRef/>
      </w:r>
      <w:r w:rsidRPr="00306CED">
        <w:rPr>
          <w:rFonts w:asciiTheme="minorHAnsi" w:hAnsiTheme="minorHAnsi" w:cstheme="minorHAnsi"/>
        </w:rPr>
        <w:t xml:space="preserve"> </w:t>
      </w:r>
      <w:r>
        <w:rPr>
          <w:rFonts w:asciiTheme="minorHAnsi" w:hAnsiTheme="minorHAnsi" w:cstheme="minorHAnsi"/>
        </w:rPr>
        <w:tab/>
      </w:r>
      <w:r w:rsidRPr="00ED3F44">
        <w:rPr>
          <w:rFonts w:asciiTheme="minorHAnsi" w:hAnsiTheme="minorHAnsi" w:cstheme="minorHAnsi"/>
        </w:rPr>
        <w:t>M</w:t>
      </w:r>
      <w:r>
        <w:rPr>
          <w:rFonts w:asciiTheme="minorHAnsi" w:hAnsiTheme="minorHAnsi" w:cstheme="minorHAnsi"/>
        </w:rPr>
        <w:t>MR</w:t>
      </w:r>
      <w:r w:rsidRPr="00ED3F44">
        <w:rPr>
          <w:rFonts w:asciiTheme="minorHAnsi" w:hAnsiTheme="minorHAnsi" w:cstheme="minorHAnsi"/>
        </w:rPr>
        <w:t xml:space="preserve"> jako OSS je povinno v soulad</w:t>
      </w:r>
      <w:r>
        <w:rPr>
          <w:rFonts w:asciiTheme="minorHAnsi" w:hAnsiTheme="minorHAnsi" w:cstheme="minorHAnsi"/>
        </w:rPr>
        <w:t xml:space="preserve">u se zákonem </w:t>
      </w:r>
      <w:r w:rsidRPr="00ED3F44">
        <w:rPr>
          <w:rFonts w:asciiTheme="minorHAnsi" w:hAnsiTheme="minorHAnsi" w:cstheme="minorHAnsi"/>
        </w:rPr>
        <w:t>o účetnictví účtovat o stavu a pohybu majetku a jiných aktiv, závazků a jiných pasiv, o nákladech a výnosech a o výsledku hospodaření. Informace, které předkládá v účetní závěrce, musí být spolehlivé, srovnatelné, srozumitelné a posuzují se z hlediska významnosti.</w:t>
      </w:r>
    </w:p>
  </w:footnote>
  <w:footnote w:id="26">
    <w:p w14:paraId="46EF95F2" w14:textId="00E763A1" w:rsidR="00E71D49" w:rsidRPr="001A79A3" w:rsidRDefault="00E71D49" w:rsidP="00E71D49">
      <w:pPr>
        <w:spacing w:after="5"/>
        <w:ind w:left="284" w:hanging="284"/>
        <w:jc w:val="both"/>
        <w:rPr>
          <w:rFonts w:asciiTheme="minorHAnsi" w:hAnsiTheme="minorHAnsi" w:cstheme="minorHAnsi"/>
          <w:sz w:val="20"/>
          <w:szCs w:val="20"/>
        </w:rPr>
      </w:pPr>
      <w:r w:rsidRPr="001A79A3">
        <w:rPr>
          <w:rStyle w:val="Znakapoznpodarou"/>
          <w:rFonts w:asciiTheme="minorHAnsi" w:hAnsiTheme="minorHAnsi" w:cstheme="minorHAnsi"/>
          <w:sz w:val="20"/>
          <w:szCs w:val="20"/>
        </w:rPr>
        <w:footnoteRef/>
      </w:r>
      <w:r w:rsidRPr="001A79A3">
        <w:rPr>
          <w:rFonts w:asciiTheme="minorHAnsi" w:hAnsiTheme="minorHAnsi" w:cstheme="minorHAnsi"/>
          <w:sz w:val="20"/>
          <w:szCs w:val="20"/>
        </w:rPr>
        <w:t xml:space="preserve"> </w:t>
      </w:r>
      <w:r>
        <w:rPr>
          <w:rFonts w:asciiTheme="minorHAnsi" w:hAnsiTheme="minorHAnsi" w:cstheme="minorHAnsi"/>
          <w:sz w:val="20"/>
          <w:szCs w:val="20"/>
        </w:rPr>
        <w:tab/>
      </w:r>
      <w:r w:rsidRPr="001A79A3">
        <w:rPr>
          <w:rFonts w:asciiTheme="minorHAnsi" w:eastAsia="Calibri" w:hAnsiTheme="minorHAnsi" w:cstheme="minorHAnsi"/>
          <w:sz w:val="20"/>
          <w:szCs w:val="20"/>
        </w:rPr>
        <w:t xml:space="preserve">Částka celkové započtené nesprávnosti nezahrnuje neúplnost, kterou </w:t>
      </w:r>
      <w:r>
        <w:rPr>
          <w:rFonts w:asciiTheme="minorHAnsi" w:eastAsia="Calibri" w:hAnsiTheme="minorHAnsi" w:cstheme="minorHAnsi"/>
          <w:sz w:val="20"/>
          <w:szCs w:val="20"/>
        </w:rPr>
        <w:t>NKÚ</w:t>
      </w:r>
      <w:r w:rsidRPr="001A79A3">
        <w:rPr>
          <w:rFonts w:asciiTheme="minorHAnsi" w:eastAsia="Calibri" w:hAnsiTheme="minorHAnsi" w:cstheme="minorHAnsi"/>
          <w:sz w:val="20"/>
          <w:szCs w:val="20"/>
        </w:rPr>
        <w:t xml:space="preserve"> vyčíslil minimálně ve výši 1</w:t>
      </w:r>
      <w:r>
        <w:rPr>
          <w:rFonts w:asciiTheme="minorHAnsi" w:eastAsia="Calibri" w:hAnsiTheme="minorHAnsi" w:cstheme="minorHAnsi"/>
          <w:sz w:val="20"/>
          <w:szCs w:val="20"/>
        </w:rPr>
        <w:t>,</w:t>
      </w:r>
      <w:r w:rsidRPr="001A79A3">
        <w:rPr>
          <w:rFonts w:asciiTheme="minorHAnsi" w:eastAsia="Calibri" w:hAnsiTheme="minorHAnsi" w:cstheme="minorHAnsi"/>
          <w:sz w:val="20"/>
          <w:szCs w:val="20"/>
        </w:rPr>
        <w:t>5</w:t>
      </w:r>
      <w:r>
        <w:rPr>
          <w:rFonts w:asciiTheme="minorHAnsi" w:eastAsia="Calibri" w:hAnsiTheme="minorHAnsi" w:cstheme="minorHAnsi"/>
          <w:sz w:val="20"/>
          <w:szCs w:val="20"/>
        </w:rPr>
        <w:t> mld. </w:t>
      </w:r>
      <w:r w:rsidRPr="001A79A3">
        <w:rPr>
          <w:rFonts w:asciiTheme="minorHAnsi" w:eastAsia="Calibri" w:hAnsiTheme="minorHAnsi" w:cstheme="minorHAnsi"/>
          <w:sz w:val="20"/>
          <w:szCs w:val="20"/>
        </w:rPr>
        <w:t xml:space="preserve">Kč a která byla způsobena meziročním významným navýšením významnosti pro účtování na podrozvahových účtech. </w:t>
      </w:r>
    </w:p>
  </w:footnote>
  <w:footnote w:id="27">
    <w:p w14:paraId="705831CA" w14:textId="34E6A3E4" w:rsidR="00E71D49" w:rsidRPr="00976762" w:rsidRDefault="00E71D49" w:rsidP="00C35D38">
      <w:pPr>
        <w:pStyle w:val="Textpoznpodarou"/>
        <w:ind w:left="284" w:hanging="284"/>
        <w:jc w:val="both"/>
        <w:rPr>
          <w:rFonts w:asciiTheme="minorHAnsi" w:hAnsiTheme="minorHAnsi" w:cstheme="minorHAnsi"/>
        </w:rPr>
      </w:pPr>
      <w:r w:rsidRPr="008E5E28">
        <w:rPr>
          <w:rStyle w:val="Znakapoznpodarou"/>
          <w:rFonts w:asciiTheme="minorHAnsi" w:hAnsiTheme="minorHAnsi" w:cstheme="minorHAnsi"/>
        </w:rPr>
        <w:footnoteRef/>
      </w:r>
      <w:r w:rsidRPr="008E5E28">
        <w:rPr>
          <w:rFonts w:asciiTheme="minorHAnsi" w:hAnsiTheme="minorHAnsi" w:cstheme="minorHAnsi"/>
        </w:rPr>
        <w:t xml:space="preserve"> </w:t>
      </w:r>
      <w:r>
        <w:rPr>
          <w:rFonts w:asciiTheme="minorHAnsi" w:hAnsiTheme="minorHAnsi" w:cstheme="minorHAnsi"/>
        </w:rPr>
        <w:tab/>
      </w:r>
      <w:r w:rsidRPr="008E5E28">
        <w:rPr>
          <w:rFonts w:asciiTheme="minorHAnsi" w:hAnsiTheme="minorHAnsi" w:cstheme="minorHAnsi"/>
        </w:rPr>
        <w:t>Informace o výši předfinancování prostředků Evropské unie ze státního rozpočtu mají přímý vliv na vyčíslení tzv. neutralizačních operací prováděných Českým statistickým úřadem za úč</w:t>
      </w:r>
      <w:r>
        <w:rPr>
          <w:rFonts w:asciiTheme="minorHAnsi" w:hAnsiTheme="minorHAnsi" w:cstheme="minorHAnsi"/>
        </w:rPr>
        <w:t>elem eliminace jejich dopadu na </w:t>
      </w:r>
      <w:r w:rsidRPr="008E5E28">
        <w:rPr>
          <w:rFonts w:asciiTheme="minorHAnsi" w:hAnsiTheme="minorHAnsi" w:cstheme="minorHAnsi"/>
        </w:rPr>
        <w:t>výši deficitu (schodku) a dluhu sektoru vládních institucí, a to při sestavování národních účtů, které jsou vrcholnou soustavou národohospodářských bilancí státu.</w:t>
      </w:r>
    </w:p>
  </w:footnote>
  <w:footnote w:id="28">
    <w:p w14:paraId="027AFA2A" w14:textId="2BA0BC6F" w:rsidR="00E71D49" w:rsidRPr="0006539C" w:rsidRDefault="00E71D49" w:rsidP="00C35D38">
      <w:pPr>
        <w:pStyle w:val="Textpoznpodarou"/>
        <w:ind w:left="284" w:hanging="284"/>
        <w:rPr>
          <w:rFonts w:asciiTheme="minorHAnsi" w:hAnsiTheme="minorHAnsi" w:cstheme="minorHAnsi"/>
        </w:rPr>
      </w:pPr>
      <w:r w:rsidRPr="001A79A3">
        <w:rPr>
          <w:rStyle w:val="Znakapoznpodarou"/>
          <w:rFonts w:asciiTheme="minorHAnsi" w:hAnsiTheme="minorHAnsi" w:cstheme="minorHAnsi"/>
        </w:rPr>
        <w:footnoteRef/>
      </w:r>
      <w:r w:rsidRPr="001A79A3">
        <w:rPr>
          <w:rFonts w:asciiTheme="minorHAnsi" w:hAnsiTheme="minorHAnsi" w:cstheme="minorHAnsi"/>
        </w:rPr>
        <w:t xml:space="preserve"> </w:t>
      </w:r>
      <w:r>
        <w:rPr>
          <w:rFonts w:asciiTheme="minorHAnsi" w:hAnsiTheme="minorHAnsi" w:cstheme="minorHAnsi"/>
        </w:rPr>
        <w:tab/>
      </w:r>
      <w:r w:rsidRPr="0006539C">
        <w:rPr>
          <w:rFonts w:asciiTheme="minorHAnsi" w:hAnsiTheme="minorHAnsi" w:cstheme="minorHAnsi"/>
        </w:rPr>
        <w:t>Ve sloupci NETTO</w:t>
      </w:r>
      <w:r>
        <w:rPr>
          <w:rFonts w:asciiTheme="minorHAnsi" w:hAnsiTheme="minorHAnsi" w:cstheme="minorHAnsi"/>
        </w:rPr>
        <w:t>.</w:t>
      </w:r>
    </w:p>
  </w:footnote>
  <w:footnote w:id="29">
    <w:p w14:paraId="42DBC066" w14:textId="3E58772B" w:rsidR="00E71D49" w:rsidRPr="00F06243" w:rsidRDefault="00E71D49" w:rsidP="00C35D38">
      <w:pPr>
        <w:pStyle w:val="Textpoznpodarou"/>
        <w:ind w:left="284" w:hanging="284"/>
        <w:jc w:val="both"/>
        <w:rPr>
          <w:rFonts w:asciiTheme="minorHAnsi" w:hAnsiTheme="minorHAnsi" w:cstheme="minorHAnsi"/>
        </w:rPr>
      </w:pPr>
      <w:r w:rsidRPr="001A79A3">
        <w:rPr>
          <w:rStyle w:val="Znakapoznpodarou"/>
          <w:rFonts w:asciiTheme="minorHAnsi" w:hAnsiTheme="minorHAnsi" w:cstheme="minorHAnsi"/>
        </w:rPr>
        <w:footnoteRef/>
      </w:r>
      <w:r w:rsidRPr="001A79A3">
        <w:rPr>
          <w:rFonts w:asciiTheme="minorHAnsi" w:hAnsiTheme="minorHAnsi" w:cstheme="minorHAnsi"/>
        </w:rPr>
        <w:t xml:space="preserve"> </w:t>
      </w:r>
      <w:r>
        <w:rPr>
          <w:rFonts w:asciiTheme="minorHAnsi" w:hAnsiTheme="minorHAnsi" w:cstheme="minorHAnsi"/>
        </w:rPr>
        <w:tab/>
      </w:r>
      <w:r w:rsidRPr="0006539C">
        <w:rPr>
          <w:rFonts w:asciiTheme="minorHAnsi" w:hAnsiTheme="minorHAnsi" w:cstheme="minorHAnsi"/>
        </w:rPr>
        <w:t xml:space="preserve">Dle ustanovení bodu 6.7 ČÚS </w:t>
      </w:r>
      <w:r>
        <w:rPr>
          <w:rFonts w:asciiTheme="minorHAnsi" w:hAnsiTheme="minorHAnsi" w:cstheme="minorHAnsi"/>
        </w:rPr>
        <w:t xml:space="preserve">č. </w:t>
      </w:r>
      <w:r w:rsidRPr="0006539C">
        <w:rPr>
          <w:rFonts w:asciiTheme="minorHAnsi" w:hAnsiTheme="minorHAnsi" w:cstheme="minorHAnsi"/>
        </w:rPr>
        <w:t>701:</w:t>
      </w:r>
      <w:r>
        <w:rPr>
          <w:rFonts w:asciiTheme="minorHAnsi" w:hAnsiTheme="minorHAnsi" w:cstheme="minorHAnsi"/>
        </w:rPr>
        <w:t xml:space="preserve"> „</w:t>
      </w:r>
      <w:r w:rsidRPr="0006539C">
        <w:rPr>
          <w:rFonts w:asciiTheme="minorHAnsi" w:hAnsiTheme="minorHAnsi" w:cstheme="minorHAnsi"/>
          <w:i/>
        </w:rPr>
        <w:t>Ve vztahu k účtování na podrozvahových účtech se považuje informace za významnou, pokud je využitelná pro uživatele účetní závěrky sestavované ke konci rozvahového dne nebo pro rozhodování řídících pracovníků účetní jednotky nebo je nutná pro plnění dalších informačních povinností účetní</w:t>
      </w:r>
      <w:r>
        <w:rPr>
          <w:rFonts w:asciiTheme="minorHAnsi" w:hAnsiTheme="minorHAnsi" w:cstheme="minorHAnsi"/>
          <w:i/>
        </w:rPr>
        <w:t xml:space="preserve"> jednotky; s ohledem na tuto významnost může v případě některých účetních případů být okamžikem účtování na </w:t>
      </w:r>
      <w:r w:rsidRPr="0006539C">
        <w:rPr>
          <w:rFonts w:asciiTheme="minorHAnsi" w:hAnsiTheme="minorHAnsi" w:cstheme="minorHAnsi"/>
          <w:i/>
        </w:rPr>
        <w:t>podrozvahových účtech rozvahový den. Za významnou informaci se považuje vždy</w:t>
      </w:r>
      <w:r>
        <w:rPr>
          <w:rFonts w:asciiTheme="minorHAnsi" w:hAnsiTheme="minorHAnsi" w:cstheme="minorHAnsi"/>
          <w:i/>
        </w:rPr>
        <w:t xml:space="preserve"> informace o </w:t>
      </w:r>
      <w:r w:rsidRPr="0006539C">
        <w:rPr>
          <w:rFonts w:asciiTheme="minorHAnsi" w:hAnsiTheme="minorHAnsi" w:cstheme="minorHAnsi"/>
          <w:i/>
        </w:rPr>
        <w:t>transferu, který se z části nebo zcela týká prostředků ze zahraničí.</w:t>
      </w:r>
      <w:r w:rsidRPr="00F06243">
        <w:rPr>
          <w:rFonts w:asciiTheme="minorHAnsi" w:hAnsiTheme="minorHAnsi" w:cstheme="minorHAnsi"/>
        </w:rPr>
        <w:t>“</w:t>
      </w:r>
    </w:p>
  </w:footnote>
  <w:footnote w:id="30">
    <w:p w14:paraId="0370EA2B" w14:textId="49A1E9D2" w:rsidR="00E71D49" w:rsidRPr="00F06243" w:rsidRDefault="00E71D49" w:rsidP="00C35D38">
      <w:pPr>
        <w:pStyle w:val="Textpoznpodarou"/>
        <w:ind w:left="284" w:hanging="284"/>
        <w:jc w:val="both"/>
        <w:rPr>
          <w:rFonts w:asciiTheme="minorHAnsi" w:hAnsiTheme="minorHAnsi" w:cstheme="minorHAnsi"/>
        </w:rPr>
      </w:pPr>
      <w:r w:rsidRPr="001A79A3">
        <w:rPr>
          <w:rStyle w:val="Znakapoznpodarou"/>
          <w:rFonts w:asciiTheme="minorHAnsi" w:hAnsiTheme="minorHAnsi" w:cstheme="minorHAnsi"/>
        </w:rPr>
        <w:footnoteRef/>
      </w:r>
      <w:r w:rsidRPr="001A79A3">
        <w:rPr>
          <w:rFonts w:asciiTheme="minorHAnsi" w:hAnsiTheme="minorHAnsi" w:cstheme="minorHAnsi"/>
        </w:rPr>
        <w:t xml:space="preserve"> </w:t>
      </w:r>
      <w:r>
        <w:rPr>
          <w:rFonts w:asciiTheme="minorHAnsi" w:hAnsiTheme="minorHAnsi" w:cstheme="minorHAnsi"/>
        </w:rPr>
        <w:tab/>
      </w:r>
      <w:r w:rsidRPr="0006539C">
        <w:rPr>
          <w:rFonts w:asciiTheme="minorHAnsi" w:hAnsiTheme="minorHAnsi" w:cstheme="minorHAnsi"/>
        </w:rPr>
        <w:t xml:space="preserve">Dle ustanovení § 19 odst. </w:t>
      </w:r>
      <w:r>
        <w:rPr>
          <w:rFonts w:asciiTheme="minorHAnsi" w:hAnsiTheme="minorHAnsi" w:cstheme="minorHAnsi"/>
        </w:rPr>
        <w:t>7</w:t>
      </w:r>
      <w:r w:rsidRPr="0006539C">
        <w:rPr>
          <w:rFonts w:asciiTheme="minorHAnsi" w:hAnsiTheme="minorHAnsi" w:cstheme="minorHAnsi"/>
        </w:rPr>
        <w:t xml:space="preserve"> zákona o účetnictví:</w:t>
      </w:r>
      <w:r>
        <w:rPr>
          <w:rFonts w:asciiTheme="minorHAnsi" w:hAnsiTheme="minorHAnsi" w:cstheme="minorHAnsi"/>
        </w:rPr>
        <w:t xml:space="preserve"> „</w:t>
      </w:r>
      <w:r w:rsidRPr="0006539C">
        <w:rPr>
          <w:rFonts w:asciiTheme="minorHAnsi" w:hAnsiTheme="minorHAnsi" w:cstheme="minorHAnsi"/>
          <w:i/>
        </w:rPr>
        <w:t>Informace v účetní závěrce musí být spolehlivé, srovnatelné, srozumitelné a posuzují se z hlediska významnosti.</w:t>
      </w:r>
      <w:r>
        <w:rPr>
          <w:rFonts w:asciiTheme="minorHAnsi" w:hAnsiTheme="minorHAnsi" w:cstheme="minorHAnsi"/>
          <w:i/>
        </w:rPr>
        <w:t>“</w:t>
      </w:r>
      <w:r w:rsidRPr="0006539C">
        <w:rPr>
          <w:rFonts w:asciiTheme="minorHAnsi" w:hAnsiTheme="minorHAnsi" w:cstheme="minorHAnsi"/>
          <w:i/>
        </w:rPr>
        <w:t>...</w:t>
      </w:r>
      <w:r>
        <w:rPr>
          <w:rFonts w:asciiTheme="minorHAnsi" w:hAnsiTheme="minorHAnsi" w:cstheme="minorHAnsi"/>
          <w:i/>
        </w:rPr>
        <w:t xml:space="preserve"> „</w:t>
      </w:r>
      <w:r w:rsidRPr="0006539C">
        <w:rPr>
          <w:rFonts w:asciiTheme="minorHAnsi" w:hAnsiTheme="minorHAnsi" w:cstheme="minorHAnsi"/>
          <w:i/>
        </w:rPr>
        <w:t>Informace se považuje za významnou, jestliže</w:t>
      </w:r>
      <w:r>
        <w:rPr>
          <w:rFonts w:asciiTheme="minorHAnsi" w:hAnsiTheme="minorHAnsi" w:cstheme="minorHAnsi"/>
          <w:i/>
        </w:rPr>
        <w:t xml:space="preserve"> ...</w:t>
      </w:r>
      <w:r w:rsidRPr="0006539C">
        <w:rPr>
          <w:rFonts w:asciiTheme="minorHAnsi" w:hAnsiTheme="minorHAnsi" w:cstheme="minorHAnsi"/>
          <w:i/>
        </w:rPr>
        <w:t xml:space="preserve"> by její neuvedení nebo chybné uvedení mohlo ovlivnit úsudek</w:t>
      </w:r>
      <w:r>
        <w:rPr>
          <w:rFonts w:asciiTheme="minorHAnsi" w:hAnsiTheme="minorHAnsi" w:cstheme="minorHAnsi"/>
          <w:i/>
        </w:rPr>
        <w:t xml:space="preserve"> uživatele..</w:t>
      </w:r>
      <w:r w:rsidRPr="0006539C">
        <w:rPr>
          <w:rFonts w:asciiTheme="minorHAnsi" w:hAnsiTheme="minorHAnsi" w:cstheme="minorHAnsi"/>
          <w:i/>
        </w:rPr>
        <w:t>.</w:t>
      </w:r>
      <w:r w:rsidRPr="00F06243">
        <w:rPr>
          <w:rFonts w:asciiTheme="minorHAnsi" w:hAnsiTheme="minorHAnsi" w:cstheme="minorHAnsi"/>
        </w:rPr>
        <w:t>“</w:t>
      </w:r>
    </w:p>
  </w:footnote>
  <w:footnote w:id="31">
    <w:p w14:paraId="1DD42753" w14:textId="6336C4FC" w:rsidR="00E71D49" w:rsidRPr="00F06243" w:rsidRDefault="00E71D49" w:rsidP="001A79A3">
      <w:pPr>
        <w:pStyle w:val="Textpoznpodarou"/>
        <w:ind w:left="284" w:hanging="284"/>
        <w:jc w:val="both"/>
        <w:rPr>
          <w:rFonts w:asciiTheme="minorHAnsi" w:hAnsiTheme="minorHAnsi" w:cstheme="minorHAnsi"/>
          <w:color w:val="000000" w:themeColor="text1"/>
        </w:rPr>
      </w:pPr>
      <w:r w:rsidRPr="001A79A3">
        <w:rPr>
          <w:rStyle w:val="Znakapoznpodarou"/>
          <w:rFonts w:asciiTheme="minorHAnsi" w:hAnsiTheme="minorHAnsi" w:cstheme="minorHAnsi"/>
        </w:rPr>
        <w:footnoteRef/>
      </w:r>
      <w:r w:rsidRPr="001A79A3">
        <w:rPr>
          <w:rFonts w:asciiTheme="minorHAnsi" w:hAnsiTheme="minorHAnsi" w:cstheme="minorHAnsi"/>
        </w:rPr>
        <w:t xml:space="preserve"> </w:t>
      </w:r>
      <w:r>
        <w:rPr>
          <w:rFonts w:asciiTheme="minorHAnsi" w:hAnsiTheme="minorHAnsi" w:cstheme="minorHAnsi"/>
        </w:rPr>
        <w:tab/>
      </w:r>
      <w:r w:rsidRPr="0006539C">
        <w:rPr>
          <w:rFonts w:asciiTheme="minorHAnsi" w:hAnsiTheme="minorHAnsi" w:cstheme="minorHAnsi"/>
        </w:rPr>
        <w:t xml:space="preserve">Na příkladu je toto pojetí podrobně vysvětleno ve studii </w:t>
      </w:r>
      <w:r w:rsidRPr="004A0534">
        <w:rPr>
          <w:rFonts w:asciiTheme="minorHAnsi" w:hAnsiTheme="minorHAnsi" w:cstheme="minorHAnsi"/>
          <w:i/>
        </w:rPr>
        <w:t xml:space="preserve">Public Sector Comitte </w:t>
      </w:r>
      <w:r w:rsidRPr="0006539C">
        <w:rPr>
          <w:rFonts w:asciiTheme="minorHAnsi" w:hAnsiTheme="minorHAnsi" w:cstheme="minorHAnsi"/>
        </w:rPr>
        <w:t xml:space="preserve">Mezinárodní federace účetních (IFAC); dostupné z </w:t>
      </w:r>
      <w:hyperlink r:id="rId4" w:history="1">
        <w:r w:rsidRPr="0006539C">
          <w:rPr>
            <w:rStyle w:val="Hypertextovodkaz"/>
            <w:rFonts w:asciiTheme="minorHAnsi" w:eastAsiaTheme="minorHAnsi" w:hAnsiTheme="minorHAnsi" w:cstheme="minorHAnsi"/>
          </w:rPr>
          <w:t>https://www.ifac.org/system/files/publications/files/study-14-transition-to-th.pdf</w:t>
        </w:r>
      </w:hyperlink>
      <w:r>
        <w:rPr>
          <w:rStyle w:val="Hypertextovodkaz"/>
          <w:rFonts w:asciiTheme="minorHAnsi" w:eastAsiaTheme="minorHAnsi" w:hAnsiTheme="minorHAnsi" w:cstheme="minorHAnsi"/>
        </w:rPr>
        <w:t>, s. 92</w:t>
      </w:r>
      <w:r>
        <w:rPr>
          <w:rStyle w:val="Hypertextovodkaz"/>
          <w:rFonts w:asciiTheme="minorHAnsi" w:eastAsiaTheme="minorHAnsi" w:hAnsiTheme="minorHAnsi" w:cstheme="minorHAnsi"/>
          <w:color w:val="000000" w:themeColor="text1"/>
          <w:u w:val="none"/>
        </w:rPr>
        <w:t>.</w:t>
      </w:r>
    </w:p>
  </w:footnote>
  <w:footnote w:id="32">
    <w:p w14:paraId="6EF55B5D" w14:textId="5BD013DD" w:rsidR="00E71D49" w:rsidRPr="0006539C" w:rsidRDefault="00E71D49" w:rsidP="001A79A3">
      <w:pPr>
        <w:pStyle w:val="Textpoznpodarou"/>
        <w:ind w:left="284" w:hanging="284"/>
        <w:jc w:val="both"/>
        <w:rPr>
          <w:rFonts w:asciiTheme="minorHAnsi" w:hAnsiTheme="minorHAnsi" w:cstheme="minorHAnsi"/>
        </w:rPr>
      </w:pPr>
      <w:r w:rsidRPr="0006539C">
        <w:rPr>
          <w:rStyle w:val="Znakapoznpodarou"/>
          <w:rFonts w:asciiTheme="minorHAnsi" w:hAnsiTheme="minorHAnsi" w:cstheme="minorHAnsi"/>
        </w:rPr>
        <w:footnoteRef/>
      </w:r>
      <w:r w:rsidRPr="0006539C">
        <w:rPr>
          <w:rFonts w:asciiTheme="minorHAnsi" w:hAnsiTheme="minorHAnsi" w:cstheme="minorHAnsi"/>
        </w:rPr>
        <w:t xml:space="preserve"> </w:t>
      </w:r>
      <w:r>
        <w:rPr>
          <w:rFonts w:asciiTheme="minorHAnsi" w:hAnsiTheme="minorHAnsi" w:cstheme="minorHAnsi"/>
        </w:rPr>
        <w:tab/>
      </w:r>
      <w:r w:rsidRPr="0006539C">
        <w:rPr>
          <w:rFonts w:asciiTheme="minorHAnsi" w:hAnsiTheme="minorHAnsi" w:cstheme="minorHAnsi"/>
        </w:rPr>
        <w:t>A z nich plynoucích potenciálních závazků MMR.</w:t>
      </w:r>
    </w:p>
  </w:footnote>
  <w:footnote w:id="33">
    <w:p w14:paraId="195D77B3" w14:textId="25B3598A" w:rsidR="00E71D49" w:rsidRPr="008E58FF" w:rsidRDefault="00E71D49" w:rsidP="001A79A3">
      <w:pPr>
        <w:pStyle w:val="Textpoznpodarou"/>
        <w:ind w:left="284" w:hanging="284"/>
        <w:jc w:val="both"/>
        <w:rPr>
          <w:rFonts w:ascii="Calibri" w:hAnsi="Calibri" w:cs="Calibri"/>
        </w:rPr>
      </w:pPr>
      <w:r w:rsidRPr="0006539C">
        <w:rPr>
          <w:rStyle w:val="Znakapoznpodarou"/>
          <w:rFonts w:asciiTheme="minorHAnsi" w:hAnsiTheme="minorHAnsi" w:cstheme="minorHAnsi"/>
        </w:rPr>
        <w:footnoteRef/>
      </w:r>
      <w:r w:rsidRPr="0006539C">
        <w:rPr>
          <w:rFonts w:asciiTheme="minorHAnsi" w:hAnsiTheme="minorHAnsi" w:cstheme="minorHAnsi"/>
        </w:rPr>
        <w:t xml:space="preserve"> </w:t>
      </w:r>
      <w:r>
        <w:rPr>
          <w:rFonts w:asciiTheme="minorHAnsi" w:hAnsiTheme="minorHAnsi" w:cstheme="minorHAnsi"/>
        </w:rPr>
        <w:tab/>
      </w:r>
      <w:r w:rsidRPr="0006539C">
        <w:rPr>
          <w:rFonts w:asciiTheme="minorHAnsi" w:hAnsiTheme="minorHAnsi" w:cstheme="minorHAnsi"/>
        </w:rPr>
        <w:t>A z nich plynoucích potenciálních nároků/pohledávek</w:t>
      </w:r>
      <w:r w:rsidRPr="008E58FF">
        <w:rPr>
          <w:rFonts w:ascii="Calibri" w:hAnsi="Calibri" w:cs="Calibri"/>
        </w:rPr>
        <w:t xml:space="preserve"> MMR.</w:t>
      </w:r>
    </w:p>
  </w:footnote>
  <w:footnote w:id="34">
    <w:p w14:paraId="193C248B" w14:textId="53B83907" w:rsidR="00E71D49" w:rsidRPr="004776B3" w:rsidRDefault="00E71D49" w:rsidP="001A79A3">
      <w:pPr>
        <w:pStyle w:val="Textpoznpodarou"/>
        <w:ind w:left="284" w:hanging="284"/>
        <w:jc w:val="both"/>
        <w:rPr>
          <w:rFonts w:asciiTheme="minorHAnsi" w:hAnsiTheme="minorHAnsi" w:cstheme="minorHAnsi"/>
        </w:rPr>
      </w:pPr>
      <w:r w:rsidRPr="004776B3">
        <w:rPr>
          <w:rStyle w:val="Znakapoznpodarou"/>
          <w:rFonts w:asciiTheme="minorHAnsi" w:hAnsiTheme="minorHAnsi" w:cstheme="minorHAnsi"/>
        </w:rPr>
        <w:footnoteRef/>
      </w:r>
      <w:r w:rsidRPr="004776B3">
        <w:rPr>
          <w:rFonts w:asciiTheme="minorHAnsi" w:hAnsiTheme="minorHAnsi" w:cstheme="minorHAnsi"/>
        </w:rPr>
        <w:t xml:space="preserve"> </w:t>
      </w:r>
      <w:r>
        <w:rPr>
          <w:rFonts w:asciiTheme="minorHAnsi" w:hAnsiTheme="minorHAnsi" w:cstheme="minorHAnsi"/>
        </w:rPr>
        <w:tab/>
      </w:r>
      <w:r w:rsidRPr="004776B3">
        <w:rPr>
          <w:rFonts w:asciiTheme="minorHAnsi" w:hAnsiTheme="minorHAnsi" w:cstheme="minorHAnsi"/>
        </w:rPr>
        <w:t xml:space="preserve">Nejednalo se přitom o případy, </w:t>
      </w:r>
      <w:r>
        <w:rPr>
          <w:rFonts w:asciiTheme="minorHAnsi" w:hAnsiTheme="minorHAnsi" w:cstheme="minorHAnsi"/>
        </w:rPr>
        <w:t>které se dle vnitřního předpisu MMR časově nerozlišují</w:t>
      </w:r>
      <w:r w:rsidRPr="004776B3">
        <w:rPr>
          <w:rFonts w:asciiTheme="minorHAnsi" w:hAnsiTheme="minorHAnsi" w:cstheme="minorHAnsi"/>
        </w:rPr>
        <w:t>.</w:t>
      </w:r>
    </w:p>
  </w:footnote>
  <w:footnote w:id="35">
    <w:p w14:paraId="585781E1" w14:textId="77777777" w:rsidR="00E71D49" w:rsidRPr="001A79A3" w:rsidRDefault="00E71D49" w:rsidP="00DD321E">
      <w:pPr>
        <w:pStyle w:val="Textpoznpodarou"/>
        <w:ind w:left="284" w:hanging="284"/>
        <w:jc w:val="both"/>
        <w:rPr>
          <w:rFonts w:asciiTheme="minorHAnsi" w:hAnsiTheme="minorHAnsi" w:cstheme="minorHAnsi"/>
        </w:rPr>
      </w:pPr>
      <w:r w:rsidRPr="00790A4A">
        <w:rPr>
          <w:rStyle w:val="Znakapoznpodarou"/>
          <w:rFonts w:asciiTheme="minorHAnsi" w:hAnsiTheme="minorHAnsi" w:cstheme="minorHAnsi"/>
        </w:rPr>
        <w:footnoteRef/>
      </w:r>
      <w:r w:rsidRPr="00790A4A">
        <w:rPr>
          <w:rFonts w:asciiTheme="minorHAnsi" w:hAnsiTheme="minorHAnsi" w:cstheme="minorHAnsi"/>
        </w:rPr>
        <w:t xml:space="preserve"> </w:t>
      </w:r>
      <w:r w:rsidRPr="00790A4A">
        <w:rPr>
          <w:rFonts w:asciiTheme="minorHAnsi" w:hAnsiTheme="minorHAnsi" w:cstheme="minorHAnsi"/>
        </w:rPr>
        <w:tab/>
        <w:t xml:space="preserve">Dostupný na adrese: </w:t>
      </w:r>
      <w:hyperlink r:id="rId5" w:history="1">
        <w:r w:rsidRPr="00790A4A">
          <w:rPr>
            <w:rStyle w:val="Hypertextovodkaz"/>
            <w:rFonts w:asciiTheme="minorHAnsi" w:hAnsiTheme="minorHAnsi" w:cstheme="minorHAnsi"/>
          </w:rPr>
          <w:t>https://www.mmr.cz/cs/ministerstvo/urad/rozpocet/zaverecne-ucty</w:t>
        </w:r>
      </w:hyperlink>
      <w:r w:rsidRPr="00790A4A">
        <w:rPr>
          <w:rStyle w:val="Hypertextovodkaz"/>
          <w:rFonts w:asciiTheme="minorHAnsi" w:hAnsiTheme="minorHAnsi" w:cstheme="minorHAnsi"/>
          <w:color w:val="auto"/>
          <w:u w:val="none"/>
        </w:rPr>
        <w:t>.</w:t>
      </w:r>
    </w:p>
  </w:footnote>
  <w:footnote w:id="36">
    <w:p w14:paraId="301E820F" w14:textId="16E42356" w:rsidR="00E71D49" w:rsidRPr="00790A4A" w:rsidRDefault="00E71D49" w:rsidP="00C35D38">
      <w:pPr>
        <w:pStyle w:val="Textpoznpodarou"/>
        <w:ind w:left="284" w:hanging="284"/>
        <w:jc w:val="both"/>
        <w:rPr>
          <w:rFonts w:asciiTheme="minorHAnsi" w:hAnsiTheme="minorHAnsi" w:cstheme="minorHAnsi"/>
        </w:rPr>
      </w:pPr>
      <w:r w:rsidRPr="00790A4A">
        <w:rPr>
          <w:rStyle w:val="Znakapoznpodarou"/>
          <w:rFonts w:asciiTheme="minorHAnsi" w:hAnsiTheme="minorHAnsi" w:cstheme="minorHAnsi"/>
        </w:rPr>
        <w:footnoteRef/>
      </w:r>
      <w:r w:rsidRPr="00790A4A">
        <w:rPr>
          <w:rFonts w:asciiTheme="minorHAnsi" w:hAnsiTheme="minorHAnsi" w:cstheme="minorHAnsi"/>
        </w:rPr>
        <w:t xml:space="preserve"> </w:t>
      </w:r>
      <w:r>
        <w:rPr>
          <w:rFonts w:asciiTheme="minorHAnsi" w:hAnsiTheme="minorHAnsi" w:cstheme="minorHAnsi"/>
        </w:rPr>
        <w:tab/>
      </w:r>
      <w:r w:rsidRPr="00790A4A">
        <w:rPr>
          <w:rFonts w:asciiTheme="minorHAnsi" w:hAnsiTheme="minorHAnsi" w:cstheme="minorHAnsi"/>
        </w:rPr>
        <w:t xml:space="preserve">Z toho například na stavební připravenost a instalace připadala částka 8,1 mil. Kč, na gastrotechnologie částka 2,3 mil. Kč a na projekty a inženýring částka 0,6 mil. Kč. </w:t>
      </w:r>
    </w:p>
  </w:footnote>
  <w:footnote w:id="37">
    <w:p w14:paraId="6F9883F6" w14:textId="2383116D" w:rsidR="00E71D49" w:rsidRPr="00790A4A" w:rsidRDefault="00E71D49" w:rsidP="00BF0DAB">
      <w:pPr>
        <w:pStyle w:val="Textpoznpodarou"/>
        <w:ind w:left="284" w:hanging="284"/>
        <w:jc w:val="both"/>
        <w:rPr>
          <w:rFonts w:asciiTheme="minorHAnsi" w:hAnsiTheme="minorHAnsi" w:cstheme="minorHAnsi"/>
          <w:i/>
        </w:rPr>
      </w:pPr>
      <w:r w:rsidRPr="001A79A3">
        <w:rPr>
          <w:rStyle w:val="Znakapoznpodarou"/>
          <w:rFonts w:asciiTheme="minorHAnsi" w:hAnsiTheme="minorHAnsi" w:cstheme="minorHAnsi"/>
        </w:rPr>
        <w:footnoteRef/>
      </w:r>
      <w:r w:rsidRPr="001A79A3">
        <w:rPr>
          <w:rFonts w:asciiTheme="minorHAnsi" w:hAnsiTheme="minorHAnsi" w:cstheme="minorHAnsi"/>
        </w:rPr>
        <w:t xml:space="preserve"> </w:t>
      </w:r>
      <w:r>
        <w:rPr>
          <w:rFonts w:asciiTheme="minorHAnsi" w:hAnsiTheme="minorHAnsi" w:cstheme="minorHAnsi"/>
        </w:rPr>
        <w:tab/>
      </w:r>
      <w:r w:rsidRPr="00790A4A">
        <w:rPr>
          <w:rFonts w:asciiTheme="minorHAnsi" w:hAnsiTheme="minorHAnsi" w:cstheme="minorHAnsi"/>
        </w:rPr>
        <w:t xml:space="preserve">Ustanovení § 45 odst. </w:t>
      </w:r>
      <w:r>
        <w:rPr>
          <w:rFonts w:asciiTheme="minorHAnsi" w:hAnsiTheme="minorHAnsi" w:cstheme="minorHAnsi"/>
        </w:rPr>
        <w:t>1</w:t>
      </w:r>
      <w:r w:rsidRPr="00790A4A">
        <w:rPr>
          <w:rFonts w:asciiTheme="minorHAnsi" w:hAnsiTheme="minorHAnsi" w:cstheme="minorHAnsi"/>
        </w:rPr>
        <w:t xml:space="preserve"> rozpočtových pravidel pro OSS stanoví: „</w:t>
      </w:r>
      <w:r w:rsidRPr="00286B8D">
        <w:rPr>
          <w:rFonts w:asciiTheme="minorHAnsi" w:hAnsiTheme="minorHAnsi" w:cstheme="minorHAnsi"/>
          <w:i/>
        </w:rPr>
        <w:t>... Rozpočet organizační složky státu může zahrnovat pouze příjmy a výdaje související s činnostmi vymezenými ve zřizovací listině nebo příjmy a výdaje související s činnostmi stanovenými jí zákonem.</w:t>
      </w:r>
      <w:r w:rsidRPr="00790A4A">
        <w:rPr>
          <w:rFonts w:asciiTheme="minorHAnsi" w:hAnsiTheme="minorHAnsi" w:cstheme="minorHAnsi"/>
          <w:i/>
        </w:rPr>
        <w:t>“</w:t>
      </w:r>
    </w:p>
  </w:footnote>
  <w:footnote w:id="38">
    <w:p w14:paraId="794C2EA5" w14:textId="6D96A1ED" w:rsidR="00E71D49" w:rsidRPr="00F06243" w:rsidRDefault="00E71D49" w:rsidP="008A03BD">
      <w:pPr>
        <w:pStyle w:val="Textpoznpodarou"/>
        <w:ind w:left="284" w:hanging="284"/>
        <w:rPr>
          <w:rStyle w:val="Znakapoznpodarou"/>
          <w:rFonts w:asciiTheme="minorHAnsi" w:hAnsiTheme="minorHAnsi" w:cstheme="minorHAnsi"/>
          <w:color w:val="000000" w:themeColor="text1"/>
          <w:vertAlign w:val="baseline"/>
        </w:rPr>
      </w:pPr>
      <w:r w:rsidRPr="00790A4A">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color w:val="000000" w:themeColor="text1"/>
        </w:rPr>
        <w:t xml:space="preserve">Viz </w:t>
      </w:r>
      <w:hyperlink r:id="rId6" w:history="1">
        <w:r w:rsidRPr="00790A4A">
          <w:rPr>
            <w:rStyle w:val="Hypertextovodkaz"/>
            <w:rFonts w:asciiTheme="minorHAnsi" w:hAnsiTheme="minorHAnsi" w:cstheme="minorHAnsi"/>
          </w:rPr>
          <w:t>https://smlouvy.gov.cz/</w:t>
        </w:r>
      </w:hyperlink>
      <w:r>
        <w:rPr>
          <w:rStyle w:val="Hypertextovodkaz"/>
          <w:rFonts w:asciiTheme="minorHAnsi" w:hAnsiTheme="minorHAnsi" w:cstheme="minorHAnsi"/>
          <w:color w:val="000000" w:themeColor="text1"/>
          <w:u w:val="none"/>
        </w:rPr>
        <w:t>.</w:t>
      </w:r>
    </w:p>
  </w:footnote>
  <w:footnote w:id="39">
    <w:p w14:paraId="7AA67935" w14:textId="52E04CE3" w:rsidR="00E71D49" w:rsidRPr="004E2BD6" w:rsidRDefault="00E71D49" w:rsidP="001F4F92">
      <w:pPr>
        <w:pStyle w:val="Zpat"/>
        <w:ind w:left="284" w:hanging="284"/>
        <w:jc w:val="both"/>
        <w:rPr>
          <w:sz w:val="20"/>
          <w:szCs w:val="20"/>
        </w:rPr>
      </w:pPr>
      <w:r w:rsidRPr="00FF39DF">
        <w:rPr>
          <w:rStyle w:val="Znakapoznpodarou"/>
          <w:sz w:val="20"/>
          <w:szCs w:val="20"/>
        </w:rPr>
        <w:footnoteRef/>
      </w:r>
      <w:r w:rsidRPr="00FF39DF">
        <w:rPr>
          <w:sz w:val="20"/>
          <w:szCs w:val="20"/>
        </w:rPr>
        <w:t xml:space="preserve"> </w:t>
      </w:r>
      <w:r w:rsidRPr="00FF39DF">
        <w:rPr>
          <w:sz w:val="20"/>
          <w:szCs w:val="20"/>
        </w:rPr>
        <w:tab/>
      </w:r>
      <w:r w:rsidRPr="004E2BD6">
        <w:rPr>
          <w:sz w:val="20"/>
          <w:szCs w:val="20"/>
        </w:rPr>
        <w:t>Zákon o finanční kontrole v ustanovení § 28 odst. 4 písm. a) stanoví, že interní audit zahrnuje zejména finanční audity, které ověřují, zda údaje vykázané ve finančních, účetních a jiných výkazech věrně zobrazují majetek, zdroje jeho financování a hospodaření s ním. Dále pak v ustanovení § 30 odst. 4 stanoví, že plány interního auditu zpracovává útvar interního auditu na základě objektivního hodn</w:t>
      </w:r>
      <w:r>
        <w:rPr>
          <w:sz w:val="20"/>
          <w:szCs w:val="20"/>
        </w:rPr>
        <w:t xml:space="preserve">ocení rizik, která vyplývají ze </w:t>
      </w:r>
      <w:r w:rsidRPr="004E2BD6">
        <w:rPr>
          <w:sz w:val="20"/>
          <w:szCs w:val="20"/>
        </w:rPr>
        <w:t>stanovených úkolů orgánu veřejné správy, s přihlédnutím k výsledkům veřejnosprávní a jiné kontroly uskutečněné u tohoto orgánu a ke zjištěním vnitřního kontrolního systému.</w:t>
      </w:r>
      <w:r>
        <w:rPr>
          <w:sz w:val="20"/>
          <w:szCs w:val="20"/>
        </w:rPr>
        <w:t xml:space="preserve"> </w:t>
      </w:r>
      <w:r w:rsidRPr="009425DD">
        <w:rPr>
          <w:sz w:val="20"/>
          <w:szCs w:val="20"/>
        </w:rPr>
        <w:t>Zvyšující se význam finančních kontrol a interních auditů, jejichž předmětem je oblast účetnictví</w:t>
      </w:r>
      <w:r>
        <w:rPr>
          <w:sz w:val="20"/>
          <w:szCs w:val="20"/>
        </w:rPr>
        <w:t>,</w:t>
      </w:r>
      <w:r w:rsidRPr="009425DD">
        <w:rPr>
          <w:sz w:val="20"/>
          <w:szCs w:val="20"/>
        </w:rPr>
        <w:t xml:space="preserve"> je zřejmý nejen ze zákona o finanční kontrole a jeho novely provedené zákonem č. 64/2014 Sb., kterým se mění</w:t>
      </w:r>
      <w:r>
        <w:rPr>
          <w:sz w:val="20"/>
          <w:szCs w:val="20"/>
        </w:rPr>
        <w:t xml:space="preserve"> některé zákony v souvislosti s </w:t>
      </w:r>
      <w:r w:rsidRPr="009425DD">
        <w:rPr>
          <w:sz w:val="20"/>
          <w:szCs w:val="20"/>
        </w:rPr>
        <w:t xml:space="preserve">přijetím kontrolního řádu, ale též z </w:t>
      </w:r>
      <w:r>
        <w:rPr>
          <w:sz w:val="20"/>
          <w:szCs w:val="20"/>
        </w:rPr>
        <w:t>u</w:t>
      </w:r>
      <w:r w:rsidRPr="009425DD">
        <w:rPr>
          <w:sz w:val="20"/>
          <w:szCs w:val="20"/>
        </w:rPr>
        <w:t>snesení vlády České republiky ze dne 22. července 2019 č. 524</w:t>
      </w:r>
      <w:r>
        <w:rPr>
          <w:sz w:val="20"/>
          <w:szCs w:val="20"/>
        </w:rPr>
        <w:t>,</w:t>
      </w:r>
      <w:r w:rsidRPr="009425DD">
        <w:rPr>
          <w:sz w:val="20"/>
          <w:szCs w:val="20"/>
        </w:rPr>
        <w:t xml:space="preserve"> </w:t>
      </w:r>
      <w:r w:rsidRPr="00F06243">
        <w:rPr>
          <w:i/>
          <w:sz w:val="20"/>
          <w:szCs w:val="20"/>
        </w:rPr>
        <w:t>ke Zprávě o výsledcích finančních kontrol ve veřejné správě za rok 2018</w:t>
      </w:r>
      <w:r w:rsidRPr="009425DD">
        <w:rPr>
          <w:sz w:val="20"/>
          <w:szCs w:val="20"/>
        </w:rPr>
        <w:t>. Tímto usnesením bylo členům vlády a</w:t>
      </w:r>
      <w:r>
        <w:rPr>
          <w:sz w:val="20"/>
          <w:szCs w:val="20"/>
        </w:rPr>
        <w:t> </w:t>
      </w:r>
      <w:r w:rsidRPr="009425DD">
        <w:rPr>
          <w:sz w:val="20"/>
          <w:szCs w:val="20"/>
        </w:rPr>
        <w:t>vedoucím ostatních správních úřadů opětovně</w:t>
      </w:r>
      <w:r>
        <w:rPr>
          <w:sz w:val="20"/>
          <w:szCs w:val="20"/>
        </w:rPr>
        <w:t xml:space="preserve"> (v</w:t>
      </w:r>
      <w:r w:rsidRPr="009425DD">
        <w:rPr>
          <w:sz w:val="20"/>
          <w:szCs w:val="20"/>
        </w:rPr>
        <w:t xml:space="preserve"> předchozím roce se jednalo o </w:t>
      </w:r>
      <w:r>
        <w:rPr>
          <w:sz w:val="20"/>
          <w:szCs w:val="20"/>
        </w:rPr>
        <w:t>u</w:t>
      </w:r>
      <w:r w:rsidRPr="009425DD">
        <w:rPr>
          <w:sz w:val="20"/>
          <w:szCs w:val="20"/>
        </w:rPr>
        <w:t>snesení vlády České republiky ze dne 19. června 2018 č. 398</w:t>
      </w:r>
      <w:r>
        <w:rPr>
          <w:sz w:val="20"/>
          <w:szCs w:val="20"/>
        </w:rPr>
        <w:t>,</w:t>
      </w:r>
      <w:r w:rsidRPr="009425DD">
        <w:rPr>
          <w:sz w:val="20"/>
          <w:szCs w:val="20"/>
        </w:rPr>
        <w:t xml:space="preserve"> </w:t>
      </w:r>
      <w:r w:rsidRPr="00F06243">
        <w:rPr>
          <w:i/>
          <w:sz w:val="20"/>
          <w:szCs w:val="20"/>
        </w:rPr>
        <w:t>ke Zprávě o výsledcích finančních kontrol ve veřejné správě za rok 2017</w:t>
      </w:r>
      <w:r>
        <w:rPr>
          <w:sz w:val="20"/>
          <w:szCs w:val="20"/>
        </w:rPr>
        <w:t>)</w:t>
      </w:r>
      <w:r w:rsidRPr="009425DD">
        <w:rPr>
          <w:sz w:val="20"/>
          <w:szCs w:val="20"/>
        </w:rPr>
        <w:t xml:space="preserve"> uloženo zaměřovat finanční kontroly a interní audity v orgánech veřejné správy i na</w:t>
      </w:r>
      <w:r>
        <w:rPr>
          <w:sz w:val="20"/>
          <w:szCs w:val="20"/>
        </w:rPr>
        <w:t xml:space="preserve"> dodržování právních předpisů v </w:t>
      </w:r>
      <w:r w:rsidRPr="009425DD">
        <w:rPr>
          <w:sz w:val="20"/>
          <w:szCs w:val="20"/>
        </w:rPr>
        <w:t>oblasti účetnictví a na evidenci a vymáhání pohledávek.</w:t>
      </w:r>
    </w:p>
  </w:footnote>
  <w:footnote w:id="40">
    <w:p w14:paraId="5F84DD77" w14:textId="119926B0" w:rsidR="00E71D49" w:rsidRPr="00DA13E2" w:rsidRDefault="00E71D49" w:rsidP="008872DE">
      <w:pPr>
        <w:pStyle w:val="Textpoznpodarou"/>
        <w:ind w:left="284" w:hanging="284"/>
        <w:rPr>
          <w:rFonts w:asciiTheme="minorHAnsi" w:hAnsiTheme="minorHAnsi" w:cstheme="minorHAnsi"/>
        </w:rPr>
      </w:pPr>
      <w:r w:rsidRPr="00DA13E2">
        <w:rPr>
          <w:rStyle w:val="Znakapoznpodarou"/>
          <w:rFonts w:asciiTheme="minorHAnsi" w:hAnsiTheme="minorHAnsi" w:cstheme="minorHAnsi"/>
        </w:rPr>
        <w:footnoteRef/>
      </w:r>
      <w:r w:rsidRPr="00DA13E2">
        <w:rPr>
          <w:rFonts w:asciiTheme="minorHAnsi" w:hAnsiTheme="minorHAnsi" w:cstheme="minorHAnsi"/>
        </w:rPr>
        <w:t xml:space="preserve"> </w:t>
      </w:r>
      <w:r>
        <w:rPr>
          <w:rFonts w:asciiTheme="minorHAnsi" w:hAnsiTheme="minorHAnsi" w:cstheme="minorHAnsi"/>
        </w:rPr>
        <w:tab/>
      </w:r>
      <w:r w:rsidRPr="00DA13E2">
        <w:rPr>
          <w:rFonts w:asciiTheme="minorHAnsi" w:hAnsiTheme="minorHAnsi" w:cstheme="minorHAnsi"/>
        </w:rPr>
        <w:t>Výpočet: (16/186 x 100).</w:t>
      </w:r>
    </w:p>
  </w:footnote>
  <w:footnote w:id="41">
    <w:p w14:paraId="122174BE" w14:textId="47396D2D" w:rsidR="00E71D49" w:rsidRPr="00CC1B4A" w:rsidRDefault="00E71D49" w:rsidP="00D9229A">
      <w:pPr>
        <w:pStyle w:val="Textpoznpodarou"/>
        <w:ind w:left="284" w:hanging="284"/>
        <w:rPr>
          <w:rFonts w:asciiTheme="minorHAnsi" w:hAnsiTheme="minorHAnsi" w:cstheme="minorHAnsi"/>
        </w:rPr>
      </w:pPr>
      <w:r w:rsidRPr="00CC1B4A">
        <w:rPr>
          <w:rStyle w:val="Znakapoznpodarou"/>
          <w:rFonts w:asciiTheme="minorHAnsi" w:hAnsiTheme="minorHAnsi" w:cstheme="minorHAnsi"/>
        </w:rPr>
        <w:footnoteRef/>
      </w:r>
      <w:r w:rsidRPr="00CC1B4A">
        <w:rPr>
          <w:rFonts w:asciiTheme="minorHAnsi" w:hAnsiTheme="minorHAnsi" w:cstheme="minorHAnsi"/>
        </w:rPr>
        <w:t xml:space="preserve"> </w:t>
      </w:r>
      <w:r>
        <w:rPr>
          <w:rFonts w:asciiTheme="minorHAnsi" w:hAnsiTheme="minorHAnsi" w:cstheme="minorHAnsi"/>
        </w:rPr>
        <w:tab/>
      </w:r>
      <w:r w:rsidRPr="00CC1B4A">
        <w:rPr>
          <w:rFonts w:asciiTheme="minorHAnsi" w:hAnsiTheme="minorHAnsi" w:cstheme="minorHAnsi"/>
        </w:rPr>
        <w:t xml:space="preserve">Zdroj: </w:t>
      </w:r>
      <w:r>
        <w:rPr>
          <w:rFonts w:asciiTheme="minorHAnsi" w:hAnsiTheme="minorHAnsi" w:cstheme="minorHAnsi"/>
        </w:rPr>
        <w:t>z</w:t>
      </w:r>
      <w:r w:rsidRPr="00CC1B4A">
        <w:rPr>
          <w:rFonts w:asciiTheme="minorHAnsi" w:hAnsiTheme="minorHAnsi" w:cstheme="minorHAnsi"/>
        </w:rPr>
        <w:t>ávěrečný účet kapitoly 317</w:t>
      </w:r>
      <w:r>
        <w:rPr>
          <w:rFonts w:asciiTheme="minorHAnsi" w:hAnsiTheme="minorHAnsi" w:cstheme="minorHAnsi"/>
        </w:rPr>
        <w:t xml:space="preserve"> MMR</w:t>
      </w:r>
      <w:r w:rsidRPr="00CC1B4A">
        <w:rPr>
          <w:rFonts w:asciiTheme="minorHAnsi" w:hAnsiTheme="minorHAnsi" w:cstheme="minorHAnsi"/>
        </w:rPr>
        <w:t xml:space="preserve"> za rok 2018</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C979" w14:textId="77777777" w:rsidR="00E71D49" w:rsidRDefault="00E71D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6C"/>
    <w:multiLevelType w:val="hybridMultilevel"/>
    <w:tmpl w:val="20944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3E642B"/>
    <w:multiLevelType w:val="hybridMultilevel"/>
    <w:tmpl w:val="0A6A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7E491A"/>
    <w:multiLevelType w:val="hybridMultilevel"/>
    <w:tmpl w:val="86A4E28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3B102A"/>
    <w:multiLevelType w:val="hybridMultilevel"/>
    <w:tmpl w:val="8D84A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696BEB"/>
    <w:multiLevelType w:val="hybridMultilevel"/>
    <w:tmpl w:val="C1C67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B42D2C"/>
    <w:multiLevelType w:val="hybridMultilevel"/>
    <w:tmpl w:val="0B984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4234CC"/>
    <w:multiLevelType w:val="hybridMultilevel"/>
    <w:tmpl w:val="4E385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555943"/>
    <w:multiLevelType w:val="hybridMultilevel"/>
    <w:tmpl w:val="78362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C27FFA"/>
    <w:multiLevelType w:val="hybridMultilevel"/>
    <w:tmpl w:val="A16A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9A6F2F"/>
    <w:multiLevelType w:val="hybridMultilevel"/>
    <w:tmpl w:val="4ECE846A"/>
    <w:lvl w:ilvl="0" w:tplc="CE2CED62">
      <w:start w:val="1"/>
      <w:numFmt w:val="decimal"/>
      <w:pStyle w:val="Nadpis2"/>
      <w:lvlText w:val="%1."/>
      <w:lvlJc w:val="left"/>
      <w:pPr>
        <w:ind w:left="720" w:hanging="360"/>
      </w:pPr>
      <w:rPr>
        <w:rFonts w:hint="default"/>
      </w:rPr>
    </w:lvl>
    <w:lvl w:ilvl="1" w:tplc="5E02F03C">
      <w:start w:val="1"/>
      <w:numFmt w:val="lowerLetter"/>
      <w:lvlText w:val="%2."/>
      <w:lvlJc w:val="left"/>
      <w:pPr>
        <w:ind w:left="1440" w:hanging="360"/>
      </w:pPr>
    </w:lvl>
    <w:lvl w:ilvl="2" w:tplc="ADE6C7EE" w:tentative="1">
      <w:start w:val="1"/>
      <w:numFmt w:val="lowerRoman"/>
      <w:lvlText w:val="%3."/>
      <w:lvlJc w:val="right"/>
      <w:pPr>
        <w:ind w:left="2160" w:hanging="180"/>
      </w:pPr>
    </w:lvl>
    <w:lvl w:ilvl="3" w:tplc="A98E3622" w:tentative="1">
      <w:start w:val="1"/>
      <w:numFmt w:val="decimal"/>
      <w:lvlText w:val="%4."/>
      <w:lvlJc w:val="left"/>
      <w:pPr>
        <w:ind w:left="2880" w:hanging="360"/>
      </w:pPr>
    </w:lvl>
    <w:lvl w:ilvl="4" w:tplc="FE6AD990" w:tentative="1">
      <w:start w:val="1"/>
      <w:numFmt w:val="lowerLetter"/>
      <w:lvlText w:val="%5."/>
      <w:lvlJc w:val="left"/>
      <w:pPr>
        <w:ind w:left="3600" w:hanging="360"/>
      </w:pPr>
    </w:lvl>
    <w:lvl w:ilvl="5" w:tplc="F84C1D10" w:tentative="1">
      <w:start w:val="1"/>
      <w:numFmt w:val="lowerRoman"/>
      <w:lvlText w:val="%6."/>
      <w:lvlJc w:val="right"/>
      <w:pPr>
        <w:ind w:left="4320" w:hanging="180"/>
      </w:pPr>
    </w:lvl>
    <w:lvl w:ilvl="6" w:tplc="4F10AFD4" w:tentative="1">
      <w:start w:val="1"/>
      <w:numFmt w:val="decimal"/>
      <w:lvlText w:val="%7."/>
      <w:lvlJc w:val="left"/>
      <w:pPr>
        <w:ind w:left="5040" w:hanging="360"/>
      </w:pPr>
    </w:lvl>
    <w:lvl w:ilvl="7" w:tplc="C2E42DB0" w:tentative="1">
      <w:start w:val="1"/>
      <w:numFmt w:val="lowerLetter"/>
      <w:lvlText w:val="%8."/>
      <w:lvlJc w:val="left"/>
      <w:pPr>
        <w:ind w:left="5760" w:hanging="360"/>
      </w:pPr>
    </w:lvl>
    <w:lvl w:ilvl="8" w:tplc="0DF02588" w:tentative="1">
      <w:start w:val="1"/>
      <w:numFmt w:val="lowerRoman"/>
      <w:lvlText w:val="%9."/>
      <w:lvlJc w:val="right"/>
      <w:pPr>
        <w:ind w:left="6480" w:hanging="180"/>
      </w:pPr>
    </w:lvl>
  </w:abstractNum>
  <w:abstractNum w:abstractNumId="10" w15:restartNumberingAfterBreak="0">
    <w:nsid w:val="3E865483"/>
    <w:multiLevelType w:val="multilevel"/>
    <w:tmpl w:val="E5B88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AA0B9B"/>
    <w:multiLevelType w:val="multilevel"/>
    <w:tmpl w:val="B4F6C20E"/>
    <w:lvl w:ilvl="0">
      <w:start w:val="1"/>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8228F2"/>
    <w:multiLevelType w:val="hybridMultilevel"/>
    <w:tmpl w:val="EF86A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39D2072"/>
    <w:multiLevelType w:val="hybridMultilevel"/>
    <w:tmpl w:val="C4E8A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CC2F6E"/>
    <w:multiLevelType w:val="hybridMultilevel"/>
    <w:tmpl w:val="74208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3"/>
  </w:num>
  <w:num w:numId="5">
    <w:abstractNumId w:val="4"/>
  </w:num>
  <w:num w:numId="6">
    <w:abstractNumId w:val="1"/>
  </w:num>
  <w:num w:numId="7">
    <w:abstractNumId w:val="6"/>
  </w:num>
  <w:num w:numId="8">
    <w:abstractNumId w:val="12"/>
  </w:num>
  <w:num w:numId="9">
    <w:abstractNumId w:val="8"/>
  </w:num>
  <w:num w:numId="10">
    <w:abstractNumId w:val="7"/>
  </w:num>
  <w:num w:numId="11">
    <w:abstractNumId w:val="5"/>
  </w:num>
  <w:num w:numId="12">
    <w:abstractNumId w:val="2"/>
  </w:num>
  <w:num w:numId="13">
    <w:abstractNumId w:val="13"/>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trackRevisions/>
  <w:doNotTrackMove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62"/>
    <w:rsid w:val="00000293"/>
    <w:rsid w:val="000015DC"/>
    <w:rsid w:val="00001D77"/>
    <w:rsid w:val="00002B29"/>
    <w:rsid w:val="000030C9"/>
    <w:rsid w:val="000039E4"/>
    <w:rsid w:val="00004EF9"/>
    <w:rsid w:val="00005413"/>
    <w:rsid w:val="00006AE8"/>
    <w:rsid w:val="000102DC"/>
    <w:rsid w:val="00010565"/>
    <w:rsid w:val="00010948"/>
    <w:rsid w:val="00010B7B"/>
    <w:rsid w:val="00010BF4"/>
    <w:rsid w:val="000116ED"/>
    <w:rsid w:val="000118B2"/>
    <w:rsid w:val="00012047"/>
    <w:rsid w:val="00012090"/>
    <w:rsid w:val="000121C2"/>
    <w:rsid w:val="00012334"/>
    <w:rsid w:val="000136D6"/>
    <w:rsid w:val="00013D01"/>
    <w:rsid w:val="00013F4A"/>
    <w:rsid w:val="00014250"/>
    <w:rsid w:val="000150C6"/>
    <w:rsid w:val="0001554C"/>
    <w:rsid w:val="00015BEA"/>
    <w:rsid w:val="00015F85"/>
    <w:rsid w:val="00017CCE"/>
    <w:rsid w:val="00017D5E"/>
    <w:rsid w:val="00017EA4"/>
    <w:rsid w:val="000205FD"/>
    <w:rsid w:val="000209B1"/>
    <w:rsid w:val="0002107A"/>
    <w:rsid w:val="00021226"/>
    <w:rsid w:val="00022153"/>
    <w:rsid w:val="000221DC"/>
    <w:rsid w:val="000233DE"/>
    <w:rsid w:val="00024CEB"/>
    <w:rsid w:val="00025582"/>
    <w:rsid w:val="000263DE"/>
    <w:rsid w:val="00026B84"/>
    <w:rsid w:val="00026FB4"/>
    <w:rsid w:val="0002708F"/>
    <w:rsid w:val="00027C18"/>
    <w:rsid w:val="000305CE"/>
    <w:rsid w:val="00031DBA"/>
    <w:rsid w:val="00031FF6"/>
    <w:rsid w:val="000342EB"/>
    <w:rsid w:val="00034649"/>
    <w:rsid w:val="0003469E"/>
    <w:rsid w:val="0003552A"/>
    <w:rsid w:val="00035C23"/>
    <w:rsid w:val="000365ED"/>
    <w:rsid w:val="00036961"/>
    <w:rsid w:val="000370E9"/>
    <w:rsid w:val="0004116C"/>
    <w:rsid w:val="00041308"/>
    <w:rsid w:val="00041B06"/>
    <w:rsid w:val="000428C2"/>
    <w:rsid w:val="00042F32"/>
    <w:rsid w:val="00042F6E"/>
    <w:rsid w:val="00044496"/>
    <w:rsid w:val="00044B71"/>
    <w:rsid w:val="00044F4C"/>
    <w:rsid w:val="000453AD"/>
    <w:rsid w:val="0004593F"/>
    <w:rsid w:val="00045D1D"/>
    <w:rsid w:val="00045D4B"/>
    <w:rsid w:val="00046890"/>
    <w:rsid w:val="000473BB"/>
    <w:rsid w:val="00050275"/>
    <w:rsid w:val="0005245C"/>
    <w:rsid w:val="0005321F"/>
    <w:rsid w:val="00054662"/>
    <w:rsid w:val="00054A5F"/>
    <w:rsid w:val="00054D70"/>
    <w:rsid w:val="00054DA8"/>
    <w:rsid w:val="00055401"/>
    <w:rsid w:val="00055581"/>
    <w:rsid w:val="000562E0"/>
    <w:rsid w:val="0005659D"/>
    <w:rsid w:val="00056E58"/>
    <w:rsid w:val="000570C7"/>
    <w:rsid w:val="00057428"/>
    <w:rsid w:val="00060CDE"/>
    <w:rsid w:val="000615D0"/>
    <w:rsid w:val="00062738"/>
    <w:rsid w:val="00063109"/>
    <w:rsid w:val="00063528"/>
    <w:rsid w:val="00063906"/>
    <w:rsid w:val="000641B2"/>
    <w:rsid w:val="0006539C"/>
    <w:rsid w:val="00065568"/>
    <w:rsid w:val="00066AC4"/>
    <w:rsid w:val="00071B5F"/>
    <w:rsid w:val="0007244A"/>
    <w:rsid w:val="000728F2"/>
    <w:rsid w:val="00073218"/>
    <w:rsid w:val="00074829"/>
    <w:rsid w:val="0007561C"/>
    <w:rsid w:val="00075A94"/>
    <w:rsid w:val="00076191"/>
    <w:rsid w:val="00076557"/>
    <w:rsid w:val="00076EA6"/>
    <w:rsid w:val="00077ACA"/>
    <w:rsid w:val="00080832"/>
    <w:rsid w:val="00080C2B"/>
    <w:rsid w:val="00080C55"/>
    <w:rsid w:val="0008172A"/>
    <w:rsid w:val="00081853"/>
    <w:rsid w:val="00081916"/>
    <w:rsid w:val="000819E2"/>
    <w:rsid w:val="00082128"/>
    <w:rsid w:val="000822BF"/>
    <w:rsid w:val="00082C74"/>
    <w:rsid w:val="0008321B"/>
    <w:rsid w:val="000834FD"/>
    <w:rsid w:val="0008453D"/>
    <w:rsid w:val="00084BDF"/>
    <w:rsid w:val="000851F9"/>
    <w:rsid w:val="00085D01"/>
    <w:rsid w:val="000867C9"/>
    <w:rsid w:val="000872BF"/>
    <w:rsid w:val="00090DB9"/>
    <w:rsid w:val="00091AD5"/>
    <w:rsid w:val="0009214F"/>
    <w:rsid w:val="0009232A"/>
    <w:rsid w:val="00092816"/>
    <w:rsid w:val="00093120"/>
    <w:rsid w:val="00094908"/>
    <w:rsid w:val="0009689F"/>
    <w:rsid w:val="0009702E"/>
    <w:rsid w:val="000A0E8B"/>
    <w:rsid w:val="000A13E8"/>
    <w:rsid w:val="000A1E9B"/>
    <w:rsid w:val="000A36E9"/>
    <w:rsid w:val="000A3F7E"/>
    <w:rsid w:val="000A4006"/>
    <w:rsid w:val="000A5267"/>
    <w:rsid w:val="000A5714"/>
    <w:rsid w:val="000A5A79"/>
    <w:rsid w:val="000A5BDF"/>
    <w:rsid w:val="000A5C4F"/>
    <w:rsid w:val="000A5D44"/>
    <w:rsid w:val="000A5ECA"/>
    <w:rsid w:val="000A5F4A"/>
    <w:rsid w:val="000A7032"/>
    <w:rsid w:val="000A7370"/>
    <w:rsid w:val="000A75DF"/>
    <w:rsid w:val="000A78B3"/>
    <w:rsid w:val="000B0C14"/>
    <w:rsid w:val="000B169C"/>
    <w:rsid w:val="000B1794"/>
    <w:rsid w:val="000B2255"/>
    <w:rsid w:val="000B25A8"/>
    <w:rsid w:val="000B3825"/>
    <w:rsid w:val="000B4ABD"/>
    <w:rsid w:val="000B4B91"/>
    <w:rsid w:val="000B59DC"/>
    <w:rsid w:val="000B63A1"/>
    <w:rsid w:val="000B7B7B"/>
    <w:rsid w:val="000B7E39"/>
    <w:rsid w:val="000B7ED0"/>
    <w:rsid w:val="000C04E6"/>
    <w:rsid w:val="000C06CC"/>
    <w:rsid w:val="000C1D99"/>
    <w:rsid w:val="000C1DDA"/>
    <w:rsid w:val="000C3F19"/>
    <w:rsid w:val="000C591E"/>
    <w:rsid w:val="000C69E5"/>
    <w:rsid w:val="000C7DE9"/>
    <w:rsid w:val="000D1BFE"/>
    <w:rsid w:val="000D1EC1"/>
    <w:rsid w:val="000D22A5"/>
    <w:rsid w:val="000D72DE"/>
    <w:rsid w:val="000D7A9E"/>
    <w:rsid w:val="000D7EB0"/>
    <w:rsid w:val="000E044D"/>
    <w:rsid w:val="000E04F4"/>
    <w:rsid w:val="000E082C"/>
    <w:rsid w:val="000E0A92"/>
    <w:rsid w:val="000E0B18"/>
    <w:rsid w:val="000E12F1"/>
    <w:rsid w:val="000E25B5"/>
    <w:rsid w:val="000E2836"/>
    <w:rsid w:val="000E31D2"/>
    <w:rsid w:val="000E3621"/>
    <w:rsid w:val="000E4ED7"/>
    <w:rsid w:val="000E4F78"/>
    <w:rsid w:val="000E6A8C"/>
    <w:rsid w:val="000E7644"/>
    <w:rsid w:val="000E7694"/>
    <w:rsid w:val="000E7D3E"/>
    <w:rsid w:val="000F09F5"/>
    <w:rsid w:val="000F209F"/>
    <w:rsid w:val="000F2220"/>
    <w:rsid w:val="000F2B19"/>
    <w:rsid w:val="000F3D0A"/>
    <w:rsid w:val="000F3E30"/>
    <w:rsid w:val="000F42EF"/>
    <w:rsid w:val="000F55E2"/>
    <w:rsid w:val="000F5927"/>
    <w:rsid w:val="000F7AA7"/>
    <w:rsid w:val="00100FAA"/>
    <w:rsid w:val="00101CEF"/>
    <w:rsid w:val="00103E92"/>
    <w:rsid w:val="001055C3"/>
    <w:rsid w:val="00106409"/>
    <w:rsid w:val="001076FC"/>
    <w:rsid w:val="00107771"/>
    <w:rsid w:val="001077EB"/>
    <w:rsid w:val="001118F1"/>
    <w:rsid w:val="00111FB1"/>
    <w:rsid w:val="00112642"/>
    <w:rsid w:val="00112DFF"/>
    <w:rsid w:val="00113B06"/>
    <w:rsid w:val="00113F2D"/>
    <w:rsid w:val="00114033"/>
    <w:rsid w:val="001141E0"/>
    <w:rsid w:val="00114527"/>
    <w:rsid w:val="00114660"/>
    <w:rsid w:val="00114968"/>
    <w:rsid w:val="00115015"/>
    <w:rsid w:val="00116A85"/>
    <w:rsid w:val="00117093"/>
    <w:rsid w:val="0011741A"/>
    <w:rsid w:val="00120064"/>
    <w:rsid w:val="001202CB"/>
    <w:rsid w:val="00121D77"/>
    <w:rsid w:val="00121D7E"/>
    <w:rsid w:val="00122BD1"/>
    <w:rsid w:val="00122E3A"/>
    <w:rsid w:val="00122E42"/>
    <w:rsid w:val="001231C4"/>
    <w:rsid w:val="00124183"/>
    <w:rsid w:val="00124C3F"/>
    <w:rsid w:val="00124CA1"/>
    <w:rsid w:val="00124FA7"/>
    <w:rsid w:val="0012538B"/>
    <w:rsid w:val="0012623F"/>
    <w:rsid w:val="00126597"/>
    <w:rsid w:val="001268C7"/>
    <w:rsid w:val="001276E3"/>
    <w:rsid w:val="001317BD"/>
    <w:rsid w:val="00133A17"/>
    <w:rsid w:val="00133CBE"/>
    <w:rsid w:val="001344EE"/>
    <w:rsid w:val="00135042"/>
    <w:rsid w:val="00135658"/>
    <w:rsid w:val="00135727"/>
    <w:rsid w:val="00136983"/>
    <w:rsid w:val="00137C89"/>
    <w:rsid w:val="00141652"/>
    <w:rsid w:val="00141F5F"/>
    <w:rsid w:val="001426DD"/>
    <w:rsid w:val="001433FE"/>
    <w:rsid w:val="001441BA"/>
    <w:rsid w:val="00144E09"/>
    <w:rsid w:val="00144E9E"/>
    <w:rsid w:val="001468C2"/>
    <w:rsid w:val="00147136"/>
    <w:rsid w:val="00147308"/>
    <w:rsid w:val="00147575"/>
    <w:rsid w:val="0015019D"/>
    <w:rsid w:val="0015058F"/>
    <w:rsid w:val="00150A18"/>
    <w:rsid w:val="001519E4"/>
    <w:rsid w:val="00152AD3"/>
    <w:rsid w:val="00153444"/>
    <w:rsid w:val="0015589D"/>
    <w:rsid w:val="00155F56"/>
    <w:rsid w:val="001569F8"/>
    <w:rsid w:val="001579AE"/>
    <w:rsid w:val="00157F5E"/>
    <w:rsid w:val="00160F7E"/>
    <w:rsid w:val="00161C6F"/>
    <w:rsid w:val="0016246A"/>
    <w:rsid w:val="00163CD9"/>
    <w:rsid w:val="001645E7"/>
    <w:rsid w:val="00164D18"/>
    <w:rsid w:val="0016566E"/>
    <w:rsid w:val="001658FB"/>
    <w:rsid w:val="00166481"/>
    <w:rsid w:val="0016764F"/>
    <w:rsid w:val="00167779"/>
    <w:rsid w:val="00171017"/>
    <w:rsid w:val="00171682"/>
    <w:rsid w:val="00174F1F"/>
    <w:rsid w:val="001755B0"/>
    <w:rsid w:val="00175C4F"/>
    <w:rsid w:val="00175DD4"/>
    <w:rsid w:val="00175EAB"/>
    <w:rsid w:val="00175F87"/>
    <w:rsid w:val="00176D6E"/>
    <w:rsid w:val="00180B90"/>
    <w:rsid w:val="00181225"/>
    <w:rsid w:val="00181402"/>
    <w:rsid w:val="00181725"/>
    <w:rsid w:val="00181B91"/>
    <w:rsid w:val="0018212D"/>
    <w:rsid w:val="0018243E"/>
    <w:rsid w:val="00182DA3"/>
    <w:rsid w:val="00182ED1"/>
    <w:rsid w:val="00183D64"/>
    <w:rsid w:val="001842ED"/>
    <w:rsid w:val="00184895"/>
    <w:rsid w:val="001848D6"/>
    <w:rsid w:val="00184BF9"/>
    <w:rsid w:val="001866A7"/>
    <w:rsid w:val="00186EEC"/>
    <w:rsid w:val="00187AEF"/>
    <w:rsid w:val="00187C99"/>
    <w:rsid w:val="0019218B"/>
    <w:rsid w:val="00192BAA"/>
    <w:rsid w:val="001937B5"/>
    <w:rsid w:val="00193A3D"/>
    <w:rsid w:val="0019444D"/>
    <w:rsid w:val="00194BE8"/>
    <w:rsid w:val="00194E00"/>
    <w:rsid w:val="001A07D1"/>
    <w:rsid w:val="001A1065"/>
    <w:rsid w:val="001A164B"/>
    <w:rsid w:val="001A2929"/>
    <w:rsid w:val="001A3920"/>
    <w:rsid w:val="001A482C"/>
    <w:rsid w:val="001A5200"/>
    <w:rsid w:val="001A58EA"/>
    <w:rsid w:val="001A601C"/>
    <w:rsid w:val="001A6A35"/>
    <w:rsid w:val="001A6D72"/>
    <w:rsid w:val="001A7309"/>
    <w:rsid w:val="001A79A3"/>
    <w:rsid w:val="001B06A1"/>
    <w:rsid w:val="001B0BE7"/>
    <w:rsid w:val="001B1165"/>
    <w:rsid w:val="001B189F"/>
    <w:rsid w:val="001B19A8"/>
    <w:rsid w:val="001B1CD4"/>
    <w:rsid w:val="001B2E9E"/>
    <w:rsid w:val="001B4272"/>
    <w:rsid w:val="001B461B"/>
    <w:rsid w:val="001B48A7"/>
    <w:rsid w:val="001B5272"/>
    <w:rsid w:val="001B571E"/>
    <w:rsid w:val="001B5B1F"/>
    <w:rsid w:val="001B65AD"/>
    <w:rsid w:val="001B76BE"/>
    <w:rsid w:val="001B7E65"/>
    <w:rsid w:val="001C0001"/>
    <w:rsid w:val="001C1977"/>
    <w:rsid w:val="001C2B16"/>
    <w:rsid w:val="001C456E"/>
    <w:rsid w:val="001C48EB"/>
    <w:rsid w:val="001C4B29"/>
    <w:rsid w:val="001C4BBF"/>
    <w:rsid w:val="001C555C"/>
    <w:rsid w:val="001C649A"/>
    <w:rsid w:val="001C718B"/>
    <w:rsid w:val="001C7DCC"/>
    <w:rsid w:val="001D163A"/>
    <w:rsid w:val="001D24A7"/>
    <w:rsid w:val="001D24FB"/>
    <w:rsid w:val="001D2A6F"/>
    <w:rsid w:val="001D2F47"/>
    <w:rsid w:val="001D2FF8"/>
    <w:rsid w:val="001D3757"/>
    <w:rsid w:val="001D383E"/>
    <w:rsid w:val="001D4050"/>
    <w:rsid w:val="001D4C2D"/>
    <w:rsid w:val="001D57E4"/>
    <w:rsid w:val="001D7EAE"/>
    <w:rsid w:val="001E0315"/>
    <w:rsid w:val="001E0C8B"/>
    <w:rsid w:val="001E0CB2"/>
    <w:rsid w:val="001E1607"/>
    <w:rsid w:val="001E389E"/>
    <w:rsid w:val="001E416B"/>
    <w:rsid w:val="001E453B"/>
    <w:rsid w:val="001E4832"/>
    <w:rsid w:val="001E58E4"/>
    <w:rsid w:val="001E5E41"/>
    <w:rsid w:val="001E63C1"/>
    <w:rsid w:val="001E668D"/>
    <w:rsid w:val="001E68F5"/>
    <w:rsid w:val="001E6D4C"/>
    <w:rsid w:val="001E6D9E"/>
    <w:rsid w:val="001E79D0"/>
    <w:rsid w:val="001E7D4B"/>
    <w:rsid w:val="001F0066"/>
    <w:rsid w:val="001F0BB9"/>
    <w:rsid w:val="001F1A92"/>
    <w:rsid w:val="001F1F57"/>
    <w:rsid w:val="001F24A6"/>
    <w:rsid w:val="001F2AF2"/>
    <w:rsid w:val="001F396F"/>
    <w:rsid w:val="001F3DD9"/>
    <w:rsid w:val="001F41D0"/>
    <w:rsid w:val="001F4BFD"/>
    <w:rsid w:val="001F4F92"/>
    <w:rsid w:val="001F5A2A"/>
    <w:rsid w:val="001F6159"/>
    <w:rsid w:val="001F68CD"/>
    <w:rsid w:val="001F740C"/>
    <w:rsid w:val="001F78DB"/>
    <w:rsid w:val="002008C3"/>
    <w:rsid w:val="002010CA"/>
    <w:rsid w:val="002014C2"/>
    <w:rsid w:val="00201CD3"/>
    <w:rsid w:val="00203788"/>
    <w:rsid w:val="00203DF0"/>
    <w:rsid w:val="00203F77"/>
    <w:rsid w:val="0020473E"/>
    <w:rsid w:val="0020520F"/>
    <w:rsid w:val="002053F1"/>
    <w:rsid w:val="002055DA"/>
    <w:rsid w:val="00205C1D"/>
    <w:rsid w:val="0020630C"/>
    <w:rsid w:val="002065FA"/>
    <w:rsid w:val="00206C3F"/>
    <w:rsid w:val="00206F66"/>
    <w:rsid w:val="0020705B"/>
    <w:rsid w:val="002073BC"/>
    <w:rsid w:val="0020792D"/>
    <w:rsid w:val="00207A52"/>
    <w:rsid w:val="00207AE7"/>
    <w:rsid w:val="00207EEB"/>
    <w:rsid w:val="0021095E"/>
    <w:rsid w:val="002112A1"/>
    <w:rsid w:val="00211708"/>
    <w:rsid w:val="00211909"/>
    <w:rsid w:val="00211E0B"/>
    <w:rsid w:val="0021388F"/>
    <w:rsid w:val="002141AD"/>
    <w:rsid w:val="002142FC"/>
    <w:rsid w:val="002145B6"/>
    <w:rsid w:val="002202D3"/>
    <w:rsid w:val="0022055C"/>
    <w:rsid w:val="00220657"/>
    <w:rsid w:val="00220FB8"/>
    <w:rsid w:val="00221698"/>
    <w:rsid w:val="00221B06"/>
    <w:rsid w:val="00221ED8"/>
    <w:rsid w:val="00223C06"/>
    <w:rsid w:val="00223E25"/>
    <w:rsid w:val="00224417"/>
    <w:rsid w:val="0022512B"/>
    <w:rsid w:val="002256BA"/>
    <w:rsid w:val="00225771"/>
    <w:rsid w:val="002257CC"/>
    <w:rsid w:val="00227273"/>
    <w:rsid w:val="002272FC"/>
    <w:rsid w:val="00227A36"/>
    <w:rsid w:val="00230275"/>
    <w:rsid w:val="00230568"/>
    <w:rsid w:val="00230C75"/>
    <w:rsid w:val="00231A23"/>
    <w:rsid w:val="00231E37"/>
    <w:rsid w:val="00232234"/>
    <w:rsid w:val="002322B2"/>
    <w:rsid w:val="00232F32"/>
    <w:rsid w:val="00233035"/>
    <w:rsid w:val="00233606"/>
    <w:rsid w:val="00233B65"/>
    <w:rsid w:val="0023597E"/>
    <w:rsid w:val="0023599C"/>
    <w:rsid w:val="00236288"/>
    <w:rsid w:val="00236760"/>
    <w:rsid w:val="00236DA8"/>
    <w:rsid w:val="00237D37"/>
    <w:rsid w:val="00241B52"/>
    <w:rsid w:val="00243613"/>
    <w:rsid w:val="00243906"/>
    <w:rsid w:val="00243A2D"/>
    <w:rsid w:val="00243D16"/>
    <w:rsid w:val="00245288"/>
    <w:rsid w:val="002454E6"/>
    <w:rsid w:val="00247441"/>
    <w:rsid w:val="002477D6"/>
    <w:rsid w:val="00247804"/>
    <w:rsid w:val="00247A0D"/>
    <w:rsid w:val="00247A8C"/>
    <w:rsid w:val="00247AFD"/>
    <w:rsid w:val="002513FC"/>
    <w:rsid w:val="0025166D"/>
    <w:rsid w:val="00252999"/>
    <w:rsid w:val="00252CA2"/>
    <w:rsid w:val="00254A73"/>
    <w:rsid w:val="002560D8"/>
    <w:rsid w:val="00256992"/>
    <w:rsid w:val="00260714"/>
    <w:rsid w:val="00261A10"/>
    <w:rsid w:val="00261E6F"/>
    <w:rsid w:val="00261EB6"/>
    <w:rsid w:val="002633BE"/>
    <w:rsid w:val="00263E20"/>
    <w:rsid w:val="002640B7"/>
    <w:rsid w:val="00264B64"/>
    <w:rsid w:val="002653B6"/>
    <w:rsid w:val="0026684F"/>
    <w:rsid w:val="002668D3"/>
    <w:rsid w:val="0026773F"/>
    <w:rsid w:val="00267A31"/>
    <w:rsid w:val="0027012B"/>
    <w:rsid w:val="00270555"/>
    <w:rsid w:val="002705EA"/>
    <w:rsid w:val="002706A7"/>
    <w:rsid w:val="00270CEC"/>
    <w:rsid w:val="00271621"/>
    <w:rsid w:val="00273C0E"/>
    <w:rsid w:val="00276D86"/>
    <w:rsid w:val="00276FF1"/>
    <w:rsid w:val="0028022D"/>
    <w:rsid w:val="002806CD"/>
    <w:rsid w:val="00280CE6"/>
    <w:rsid w:val="002811B0"/>
    <w:rsid w:val="00281B56"/>
    <w:rsid w:val="0028239D"/>
    <w:rsid w:val="00282745"/>
    <w:rsid w:val="00282A5D"/>
    <w:rsid w:val="00282CC9"/>
    <w:rsid w:val="00282F61"/>
    <w:rsid w:val="0028508F"/>
    <w:rsid w:val="002856DF"/>
    <w:rsid w:val="00285731"/>
    <w:rsid w:val="00285C02"/>
    <w:rsid w:val="00286962"/>
    <w:rsid w:val="00286992"/>
    <w:rsid w:val="00286A25"/>
    <w:rsid w:val="00286B8D"/>
    <w:rsid w:val="00287651"/>
    <w:rsid w:val="00287DDE"/>
    <w:rsid w:val="002902F1"/>
    <w:rsid w:val="00290CBF"/>
    <w:rsid w:val="00291417"/>
    <w:rsid w:val="00292355"/>
    <w:rsid w:val="0029287A"/>
    <w:rsid w:val="0029328F"/>
    <w:rsid w:val="002940F9"/>
    <w:rsid w:val="0029520A"/>
    <w:rsid w:val="00295B5D"/>
    <w:rsid w:val="0029650F"/>
    <w:rsid w:val="00297BF1"/>
    <w:rsid w:val="00297D3D"/>
    <w:rsid w:val="002A0082"/>
    <w:rsid w:val="002A0552"/>
    <w:rsid w:val="002A1679"/>
    <w:rsid w:val="002A1F17"/>
    <w:rsid w:val="002A2279"/>
    <w:rsid w:val="002A28B1"/>
    <w:rsid w:val="002A2937"/>
    <w:rsid w:val="002A2D90"/>
    <w:rsid w:val="002A3A62"/>
    <w:rsid w:val="002A4667"/>
    <w:rsid w:val="002A46D6"/>
    <w:rsid w:val="002A4B22"/>
    <w:rsid w:val="002A4CFB"/>
    <w:rsid w:val="002A5276"/>
    <w:rsid w:val="002B0534"/>
    <w:rsid w:val="002B0775"/>
    <w:rsid w:val="002B0C1D"/>
    <w:rsid w:val="002B25DC"/>
    <w:rsid w:val="002B2D52"/>
    <w:rsid w:val="002B33D1"/>
    <w:rsid w:val="002B3F57"/>
    <w:rsid w:val="002B48A1"/>
    <w:rsid w:val="002B4ACE"/>
    <w:rsid w:val="002B4BE1"/>
    <w:rsid w:val="002B4FE0"/>
    <w:rsid w:val="002B5103"/>
    <w:rsid w:val="002B520E"/>
    <w:rsid w:val="002B593E"/>
    <w:rsid w:val="002B59BC"/>
    <w:rsid w:val="002B5BE9"/>
    <w:rsid w:val="002B6C82"/>
    <w:rsid w:val="002B738A"/>
    <w:rsid w:val="002B7978"/>
    <w:rsid w:val="002B7E11"/>
    <w:rsid w:val="002C06ED"/>
    <w:rsid w:val="002C1255"/>
    <w:rsid w:val="002C1566"/>
    <w:rsid w:val="002C1F2D"/>
    <w:rsid w:val="002C1FF8"/>
    <w:rsid w:val="002C3C7D"/>
    <w:rsid w:val="002C4053"/>
    <w:rsid w:val="002C4512"/>
    <w:rsid w:val="002C45B7"/>
    <w:rsid w:val="002C5963"/>
    <w:rsid w:val="002C5DFF"/>
    <w:rsid w:val="002C610A"/>
    <w:rsid w:val="002C616D"/>
    <w:rsid w:val="002C6339"/>
    <w:rsid w:val="002C66A8"/>
    <w:rsid w:val="002C6A7C"/>
    <w:rsid w:val="002C7334"/>
    <w:rsid w:val="002C7709"/>
    <w:rsid w:val="002D0B15"/>
    <w:rsid w:val="002D0C97"/>
    <w:rsid w:val="002D2A4C"/>
    <w:rsid w:val="002D30C7"/>
    <w:rsid w:val="002D42BE"/>
    <w:rsid w:val="002D454E"/>
    <w:rsid w:val="002D5086"/>
    <w:rsid w:val="002D512A"/>
    <w:rsid w:val="002E0571"/>
    <w:rsid w:val="002E0E60"/>
    <w:rsid w:val="002E0FF5"/>
    <w:rsid w:val="002E16B9"/>
    <w:rsid w:val="002E1B90"/>
    <w:rsid w:val="002E1E39"/>
    <w:rsid w:val="002E291B"/>
    <w:rsid w:val="002E2B4E"/>
    <w:rsid w:val="002E391D"/>
    <w:rsid w:val="002E46CB"/>
    <w:rsid w:val="002E4D79"/>
    <w:rsid w:val="002E54F7"/>
    <w:rsid w:val="002E5FCA"/>
    <w:rsid w:val="002E74EE"/>
    <w:rsid w:val="002E7E66"/>
    <w:rsid w:val="002F05A9"/>
    <w:rsid w:val="002F13D4"/>
    <w:rsid w:val="002F196C"/>
    <w:rsid w:val="002F271F"/>
    <w:rsid w:val="002F5762"/>
    <w:rsid w:val="002F62E6"/>
    <w:rsid w:val="002F660E"/>
    <w:rsid w:val="002F6F90"/>
    <w:rsid w:val="002F71C4"/>
    <w:rsid w:val="003008F2"/>
    <w:rsid w:val="00301691"/>
    <w:rsid w:val="00302EA8"/>
    <w:rsid w:val="00303714"/>
    <w:rsid w:val="00303DFA"/>
    <w:rsid w:val="0030463F"/>
    <w:rsid w:val="00304A16"/>
    <w:rsid w:val="003061F0"/>
    <w:rsid w:val="003065EB"/>
    <w:rsid w:val="00306A28"/>
    <w:rsid w:val="00306CED"/>
    <w:rsid w:val="00307089"/>
    <w:rsid w:val="00310273"/>
    <w:rsid w:val="003135C0"/>
    <w:rsid w:val="00313968"/>
    <w:rsid w:val="0031446D"/>
    <w:rsid w:val="00314558"/>
    <w:rsid w:val="003165D4"/>
    <w:rsid w:val="00317CD3"/>
    <w:rsid w:val="00321595"/>
    <w:rsid w:val="00323475"/>
    <w:rsid w:val="00323ED7"/>
    <w:rsid w:val="00325610"/>
    <w:rsid w:val="00326274"/>
    <w:rsid w:val="003275F1"/>
    <w:rsid w:val="00330263"/>
    <w:rsid w:val="003319DD"/>
    <w:rsid w:val="0033247B"/>
    <w:rsid w:val="00333E78"/>
    <w:rsid w:val="0033466E"/>
    <w:rsid w:val="00334C15"/>
    <w:rsid w:val="00334D28"/>
    <w:rsid w:val="00335A64"/>
    <w:rsid w:val="00336C97"/>
    <w:rsid w:val="00336FCE"/>
    <w:rsid w:val="0033740F"/>
    <w:rsid w:val="00337885"/>
    <w:rsid w:val="00337CCB"/>
    <w:rsid w:val="003411FB"/>
    <w:rsid w:val="0034133D"/>
    <w:rsid w:val="00341F93"/>
    <w:rsid w:val="003422CC"/>
    <w:rsid w:val="003426E4"/>
    <w:rsid w:val="003432D5"/>
    <w:rsid w:val="0034549B"/>
    <w:rsid w:val="00346ADF"/>
    <w:rsid w:val="00346E29"/>
    <w:rsid w:val="00347457"/>
    <w:rsid w:val="00350CE5"/>
    <w:rsid w:val="0035229C"/>
    <w:rsid w:val="00352670"/>
    <w:rsid w:val="00354510"/>
    <w:rsid w:val="0035533B"/>
    <w:rsid w:val="00356B7D"/>
    <w:rsid w:val="003570EC"/>
    <w:rsid w:val="00357F64"/>
    <w:rsid w:val="00360D8E"/>
    <w:rsid w:val="0036124F"/>
    <w:rsid w:val="00361537"/>
    <w:rsid w:val="00361C7A"/>
    <w:rsid w:val="00362548"/>
    <w:rsid w:val="003634E8"/>
    <w:rsid w:val="003637BB"/>
    <w:rsid w:val="00363867"/>
    <w:rsid w:val="003640D1"/>
    <w:rsid w:val="003652CE"/>
    <w:rsid w:val="00365903"/>
    <w:rsid w:val="00366026"/>
    <w:rsid w:val="0036604E"/>
    <w:rsid w:val="00366983"/>
    <w:rsid w:val="00366B32"/>
    <w:rsid w:val="00367CD1"/>
    <w:rsid w:val="00367E2A"/>
    <w:rsid w:val="00370481"/>
    <w:rsid w:val="00370E6F"/>
    <w:rsid w:val="00371092"/>
    <w:rsid w:val="0037115E"/>
    <w:rsid w:val="003715A0"/>
    <w:rsid w:val="00371BF4"/>
    <w:rsid w:val="00371D47"/>
    <w:rsid w:val="00373044"/>
    <w:rsid w:val="00373721"/>
    <w:rsid w:val="003738A8"/>
    <w:rsid w:val="00376FAE"/>
    <w:rsid w:val="0037709C"/>
    <w:rsid w:val="0037750C"/>
    <w:rsid w:val="00377C5F"/>
    <w:rsid w:val="00380502"/>
    <w:rsid w:val="0038058B"/>
    <w:rsid w:val="003808DA"/>
    <w:rsid w:val="0038145B"/>
    <w:rsid w:val="00382976"/>
    <w:rsid w:val="00382BBC"/>
    <w:rsid w:val="00382FBD"/>
    <w:rsid w:val="0038314C"/>
    <w:rsid w:val="0038395C"/>
    <w:rsid w:val="00383F1A"/>
    <w:rsid w:val="0038445D"/>
    <w:rsid w:val="003861AF"/>
    <w:rsid w:val="003862F0"/>
    <w:rsid w:val="00387118"/>
    <w:rsid w:val="003873A4"/>
    <w:rsid w:val="00387654"/>
    <w:rsid w:val="003879E9"/>
    <w:rsid w:val="00387A0E"/>
    <w:rsid w:val="00387D65"/>
    <w:rsid w:val="00390044"/>
    <w:rsid w:val="00391B34"/>
    <w:rsid w:val="003921D0"/>
    <w:rsid w:val="00392434"/>
    <w:rsid w:val="003929D8"/>
    <w:rsid w:val="00393398"/>
    <w:rsid w:val="003933AB"/>
    <w:rsid w:val="00393A72"/>
    <w:rsid w:val="00395031"/>
    <w:rsid w:val="00395544"/>
    <w:rsid w:val="003957E2"/>
    <w:rsid w:val="003964D2"/>
    <w:rsid w:val="00396FF7"/>
    <w:rsid w:val="00397AD4"/>
    <w:rsid w:val="003A00C2"/>
    <w:rsid w:val="003A04B9"/>
    <w:rsid w:val="003A0501"/>
    <w:rsid w:val="003A1E97"/>
    <w:rsid w:val="003A21C5"/>
    <w:rsid w:val="003A2FA5"/>
    <w:rsid w:val="003A4602"/>
    <w:rsid w:val="003A4B77"/>
    <w:rsid w:val="003A5F72"/>
    <w:rsid w:val="003A6213"/>
    <w:rsid w:val="003A6939"/>
    <w:rsid w:val="003A6C7D"/>
    <w:rsid w:val="003A6E50"/>
    <w:rsid w:val="003A78E6"/>
    <w:rsid w:val="003B09A2"/>
    <w:rsid w:val="003B0E12"/>
    <w:rsid w:val="003B0F9A"/>
    <w:rsid w:val="003B1447"/>
    <w:rsid w:val="003B21F7"/>
    <w:rsid w:val="003B23D8"/>
    <w:rsid w:val="003B32FC"/>
    <w:rsid w:val="003B3B2E"/>
    <w:rsid w:val="003B42BC"/>
    <w:rsid w:val="003B4E0F"/>
    <w:rsid w:val="003B54C8"/>
    <w:rsid w:val="003B5B51"/>
    <w:rsid w:val="003B699F"/>
    <w:rsid w:val="003B6CDF"/>
    <w:rsid w:val="003C1E0F"/>
    <w:rsid w:val="003C1FEE"/>
    <w:rsid w:val="003C21D3"/>
    <w:rsid w:val="003C30C4"/>
    <w:rsid w:val="003C3550"/>
    <w:rsid w:val="003C3C48"/>
    <w:rsid w:val="003C3F82"/>
    <w:rsid w:val="003C4974"/>
    <w:rsid w:val="003C6B59"/>
    <w:rsid w:val="003C6E4B"/>
    <w:rsid w:val="003C7D04"/>
    <w:rsid w:val="003D0A7A"/>
    <w:rsid w:val="003D0BF4"/>
    <w:rsid w:val="003D138C"/>
    <w:rsid w:val="003D167A"/>
    <w:rsid w:val="003D2077"/>
    <w:rsid w:val="003D2549"/>
    <w:rsid w:val="003D2874"/>
    <w:rsid w:val="003D2AEE"/>
    <w:rsid w:val="003D2C17"/>
    <w:rsid w:val="003D3350"/>
    <w:rsid w:val="003D3386"/>
    <w:rsid w:val="003D43EB"/>
    <w:rsid w:val="003D4CF9"/>
    <w:rsid w:val="003D5D9E"/>
    <w:rsid w:val="003D7BCD"/>
    <w:rsid w:val="003E0084"/>
    <w:rsid w:val="003E0CEF"/>
    <w:rsid w:val="003E177A"/>
    <w:rsid w:val="003E1DB6"/>
    <w:rsid w:val="003E2779"/>
    <w:rsid w:val="003E298D"/>
    <w:rsid w:val="003E466F"/>
    <w:rsid w:val="003E4AEB"/>
    <w:rsid w:val="003E5E47"/>
    <w:rsid w:val="003E7636"/>
    <w:rsid w:val="003F0379"/>
    <w:rsid w:val="003F0EB8"/>
    <w:rsid w:val="003F12C5"/>
    <w:rsid w:val="003F1D52"/>
    <w:rsid w:val="003F247B"/>
    <w:rsid w:val="003F31C8"/>
    <w:rsid w:val="003F36CA"/>
    <w:rsid w:val="003F40F6"/>
    <w:rsid w:val="003F4E76"/>
    <w:rsid w:val="003F5954"/>
    <w:rsid w:val="003F66C4"/>
    <w:rsid w:val="003F6D54"/>
    <w:rsid w:val="003F709A"/>
    <w:rsid w:val="003F77EA"/>
    <w:rsid w:val="003F7927"/>
    <w:rsid w:val="00401044"/>
    <w:rsid w:val="00401592"/>
    <w:rsid w:val="00401CFF"/>
    <w:rsid w:val="00401DFC"/>
    <w:rsid w:val="00402643"/>
    <w:rsid w:val="00402B73"/>
    <w:rsid w:val="00402F5B"/>
    <w:rsid w:val="00403262"/>
    <w:rsid w:val="004035F3"/>
    <w:rsid w:val="00403FB0"/>
    <w:rsid w:val="00404F7D"/>
    <w:rsid w:val="00405668"/>
    <w:rsid w:val="00405F08"/>
    <w:rsid w:val="00406FE3"/>
    <w:rsid w:val="00410562"/>
    <w:rsid w:val="00410963"/>
    <w:rsid w:val="00410F0E"/>
    <w:rsid w:val="00411527"/>
    <w:rsid w:val="00411630"/>
    <w:rsid w:val="004117CE"/>
    <w:rsid w:val="004123A2"/>
    <w:rsid w:val="0041378F"/>
    <w:rsid w:val="004139C8"/>
    <w:rsid w:val="00413AA2"/>
    <w:rsid w:val="004145B5"/>
    <w:rsid w:val="00414922"/>
    <w:rsid w:val="00415138"/>
    <w:rsid w:val="00415F77"/>
    <w:rsid w:val="00416341"/>
    <w:rsid w:val="00416B49"/>
    <w:rsid w:val="004173DA"/>
    <w:rsid w:val="00417569"/>
    <w:rsid w:val="00417F82"/>
    <w:rsid w:val="00420B57"/>
    <w:rsid w:val="00420E03"/>
    <w:rsid w:val="004218DF"/>
    <w:rsid w:val="0042198F"/>
    <w:rsid w:val="004219C5"/>
    <w:rsid w:val="00421C51"/>
    <w:rsid w:val="00421CCE"/>
    <w:rsid w:val="004228A6"/>
    <w:rsid w:val="00422CFF"/>
    <w:rsid w:val="0042309E"/>
    <w:rsid w:val="004232AD"/>
    <w:rsid w:val="004240B5"/>
    <w:rsid w:val="004245EB"/>
    <w:rsid w:val="0042481C"/>
    <w:rsid w:val="004249DB"/>
    <w:rsid w:val="00424DE4"/>
    <w:rsid w:val="0042576A"/>
    <w:rsid w:val="00425BA9"/>
    <w:rsid w:val="00426C29"/>
    <w:rsid w:val="00426C9B"/>
    <w:rsid w:val="004270B8"/>
    <w:rsid w:val="0043045F"/>
    <w:rsid w:val="00430D48"/>
    <w:rsid w:val="0043145D"/>
    <w:rsid w:val="0043187C"/>
    <w:rsid w:val="00431D15"/>
    <w:rsid w:val="00431F30"/>
    <w:rsid w:val="00432127"/>
    <w:rsid w:val="0043303A"/>
    <w:rsid w:val="00433FFC"/>
    <w:rsid w:val="004340F7"/>
    <w:rsid w:val="004360FE"/>
    <w:rsid w:val="00436F99"/>
    <w:rsid w:val="00436FAE"/>
    <w:rsid w:val="004378C7"/>
    <w:rsid w:val="00437C41"/>
    <w:rsid w:val="004409DB"/>
    <w:rsid w:val="00441288"/>
    <w:rsid w:val="004412F2"/>
    <w:rsid w:val="00441627"/>
    <w:rsid w:val="0044274D"/>
    <w:rsid w:val="00443BAF"/>
    <w:rsid w:val="00445147"/>
    <w:rsid w:val="00445900"/>
    <w:rsid w:val="00445CBB"/>
    <w:rsid w:val="00445E50"/>
    <w:rsid w:val="004469C7"/>
    <w:rsid w:val="00446B25"/>
    <w:rsid w:val="00446B75"/>
    <w:rsid w:val="00447180"/>
    <w:rsid w:val="0044736D"/>
    <w:rsid w:val="00447728"/>
    <w:rsid w:val="00450781"/>
    <w:rsid w:val="00450883"/>
    <w:rsid w:val="004508AB"/>
    <w:rsid w:val="0045093D"/>
    <w:rsid w:val="00450C45"/>
    <w:rsid w:val="004512E1"/>
    <w:rsid w:val="00452ACB"/>
    <w:rsid w:val="00452CBF"/>
    <w:rsid w:val="00453B6A"/>
    <w:rsid w:val="00454860"/>
    <w:rsid w:val="00454A54"/>
    <w:rsid w:val="004550FC"/>
    <w:rsid w:val="0045581D"/>
    <w:rsid w:val="00456329"/>
    <w:rsid w:val="004566B8"/>
    <w:rsid w:val="00456AEA"/>
    <w:rsid w:val="00456FCA"/>
    <w:rsid w:val="00457435"/>
    <w:rsid w:val="00457B47"/>
    <w:rsid w:val="00457D3E"/>
    <w:rsid w:val="0046154A"/>
    <w:rsid w:val="00462094"/>
    <w:rsid w:val="00462BF9"/>
    <w:rsid w:val="00462E1E"/>
    <w:rsid w:val="00463376"/>
    <w:rsid w:val="004638F2"/>
    <w:rsid w:val="00464118"/>
    <w:rsid w:val="004641C2"/>
    <w:rsid w:val="00464329"/>
    <w:rsid w:val="004649BF"/>
    <w:rsid w:val="00465B7F"/>
    <w:rsid w:val="00465DAF"/>
    <w:rsid w:val="00466BA1"/>
    <w:rsid w:val="0046732E"/>
    <w:rsid w:val="00467C0B"/>
    <w:rsid w:val="004707B3"/>
    <w:rsid w:val="00470CEF"/>
    <w:rsid w:val="00471A12"/>
    <w:rsid w:val="00471CBB"/>
    <w:rsid w:val="00474B53"/>
    <w:rsid w:val="00474B60"/>
    <w:rsid w:val="004751E9"/>
    <w:rsid w:val="004753F9"/>
    <w:rsid w:val="00476545"/>
    <w:rsid w:val="0047654A"/>
    <w:rsid w:val="0047696E"/>
    <w:rsid w:val="004776B3"/>
    <w:rsid w:val="00477F42"/>
    <w:rsid w:val="00480446"/>
    <w:rsid w:val="00480BF6"/>
    <w:rsid w:val="0048142A"/>
    <w:rsid w:val="004814C4"/>
    <w:rsid w:val="00481547"/>
    <w:rsid w:val="004830A7"/>
    <w:rsid w:val="00483F2C"/>
    <w:rsid w:val="00484687"/>
    <w:rsid w:val="004850D2"/>
    <w:rsid w:val="00485E1A"/>
    <w:rsid w:val="00485FED"/>
    <w:rsid w:val="004907BB"/>
    <w:rsid w:val="004907D9"/>
    <w:rsid w:val="00491140"/>
    <w:rsid w:val="004931F3"/>
    <w:rsid w:val="00493351"/>
    <w:rsid w:val="00493895"/>
    <w:rsid w:val="00493A7D"/>
    <w:rsid w:val="00493FDA"/>
    <w:rsid w:val="00494B0F"/>
    <w:rsid w:val="00494D7D"/>
    <w:rsid w:val="00495715"/>
    <w:rsid w:val="004957E9"/>
    <w:rsid w:val="00495AA8"/>
    <w:rsid w:val="00495EFD"/>
    <w:rsid w:val="004966AD"/>
    <w:rsid w:val="00497DD3"/>
    <w:rsid w:val="00497F32"/>
    <w:rsid w:val="004A017B"/>
    <w:rsid w:val="004A0534"/>
    <w:rsid w:val="004A0ADF"/>
    <w:rsid w:val="004A1717"/>
    <w:rsid w:val="004A2DEB"/>
    <w:rsid w:val="004A2E8F"/>
    <w:rsid w:val="004A43A8"/>
    <w:rsid w:val="004A482D"/>
    <w:rsid w:val="004A4AEB"/>
    <w:rsid w:val="004A4FC0"/>
    <w:rsid w:val="004A4FD6"/>
    <w:rsid w:val="004A52DD"/>
    <w:rsid w:val="004A5A3E"/>
    <w:rsid w:val="004A6ED0"/>
    <w:rsid w:val="004A7344"/>
    <w:rsid w:val="004B022C"/>
    <w:rsid w:val="004B04D2"/>
    <w:rsid w:val="004B16DD"/>
    <w:rsid w:val="004B2913"/>
    <w:rsid w:val="004B3999"/>
    <w:rsid w:val="004B4069"/>
    <w:rsid w:val="004B45EC"/>
    <w:rsid w:val="004B583B"/>
    <w:rsid w:val="004C0A38"/>
    <w:rsid w:val="004C15A4"/>
    <w:rsid w:val="004C1B38"/>
    <w:rsid w:val="004C1EC8"/>
    <w:rsid w:val="004C2048"/>
    <w:rsid w:val="004C25B7"/>
    <w:rsid w:val="004C287D"/>
    <w:rsid w:val="004C2AA2"/>
    <w:rsid w:val="004C33C8"/>
    <w:rsid w:val="004C3BD3"/>
    <w:rsid w:val="004C5487"/>
    <w:rsid w:val="004C5793"/>
    <w:rsid w:val="004C5C8D"/>
    <w:rsid w:val="004C6E57"/>
    <w:rsid w:val="004C73BA"/>
    <w:rsid w:val="004C759B"/>
    <w:rsid w:val="004C76A5"/>
    <w:rsid w:val="004D05B3"/>
    <w:rsid w:val="004D1174"/>
    <w:rsid w:val="004D1438"/>
    <w:rsid w:val="004D1C8E"/>
    <w:rsid w:val="004D2490"/>
    <w:rsid w:val="004D2F5D"/>
    <w:rsid w:val="004D3692"/>
    <w:rsid w:val="004D3BC8"/>
    <w:rsid w:val="004D45A2"/>
    <w:rsid w:val="004D4B30"/>
    <w:rsid w:val="004D4CE9"/>
    <w:rsid w:val="004D5986"/>
    <w:rsid w:val="004D5A4F"/>
    <w:rsid w:val="004D5EA9"/>
    <w:rsid w:val="004D6020"/>
    <w:rsid w:val="004D6D6E"/>
    <w:rsid w:val="004E0283"/>
    <w:rsid w:val="004E0354"/>
    <w:rsid w:val="004E0EF5"/>
    <w:rsid w:val="004E1DEA"/>
    <w:rsid w:val="004E2BD6"/>
    <w:rsid w:val="004E2DFE"/>
    <w:rsid w:val="004E3929"/>
    <w:rsid w:val="004E45DC"/>
    <w:rsid w:val="004E51D8"/>
    <w:rsid w:val="004E5CB5"/>
    <w:rsid w:val="004E5F90"/>
    <w:rsid w:val="004E62D1"/>
    <w:rsid w:val="004E681A"/>
    <w:rsid w:val="004E6877"/>
    <w:rsid w:val="004E6DB5"/>
    <w:rsid w:val="004F0B43"/>
    <w:rsid w:val="004F17CC"/>
    <w:rsid w:val="004F2707"/>
    <w:rsid w:val="004F3336"/>
    <w:rsid w:val="004F373C"/>
    <w:rsid w:val="004F408E"/>
    <w:rsid w:val="004F5BF8"/>
    <w:rsid w:val="004F6213"/>
    <w:rsid w:val="004F6901"/>
    <w:rsid w:val="004F7A10"/>
    <w:rsid w:val="0050080C"/>
    <w:rsid w:val="00500A39"/>
    <w:rsid w:val="00501308"/>
    <w:rsid w:val="0050225B"/>
    <w:rsid w:val="005022D7"/>
    <w:rsid w:val="005037D0"/>
    <w:rsid w:val="00503EC8"/>
    <w:rsid w:val="00505E75"/>
    <w:rsid w:val="00510195"/>
    <w:rsid w:val="00511295"/>
    <w:rsid w:val="005121AE"/>
    <w:rsid w:val="0051220C"/>
    <w:rsid w:val="005127E7"/>
    <w:rsid w:val="00512D9D"/>
    <w:rsid w:val="0051353E"/>
    <w:rsid w:val="005138A0"/>
    <w:rsid w:val="005141FD"/>
    <w:rsid w:val="00514807"/>
    <w:rsid w:val="00514AB2"/>
    <w:rsid w:val="00515564"/>
    <w:rsid w:val="005167CF"/>
    <w:rsid w:val="00521611"/>
    <w:rsid w:val="005226B4"/>
    <w:rsid w:val="005229EA"/>
    <w:rsid w:val="00524918"/>
    <w:rsid w:val="00524C7A"/>
    <w:rsid w:val="0052587D"/>
    <w:rsid w:val="00525D4F"/>
    <w:rsid w:val="00525FE4"/>
    <w:rsid w:val="0052634B"/>
    <w:rsid w:val="00526ED1"/>
    <w:rsid w:val="00531553"/>
    <w:rsid w:val="0053282F"/>
    <w:rsid w:val="00533382"/>
    <w:rsid w:val="0053413D"/>
    <w:rsid w:val="00534338"/>
    <w:rsid w:val="00535BBA"/>
    <w:rsid w:val="00535EDF"/>
    <w:rsid w:val="00535FCD"/>
    <w:rsid w:val="005362DD"/>
    <w:rsid w:val="00536BDC"/>
    <w:rsid w:val="005377D4"/>
    <w:rsid w:val="00537A17"/>
    <w:rsid w:val="0054059A"/>
    <w:rsid w:val="005409DD"/>
    <w:rsid w:val="00541078"/>
    <w:rsid w:val="00541808"/>
    <w:rsid w:val="005422BD"/>
    <w:rsid w:val="005449FF"/>
    <w:rsid w:val="005453FA"/>
    <w:rsid w:val="0054571C"/>
    <w:rsid w:val="005465F2"/>
    <w:rsid w:val="005466A4"/>
    <w:rsid w:val="00546DCA"/>
    <w:rsid w:val="00547CC6"/>
    <w:rsid w:val="00547D0C"/>
    <w:rsid w:val="00547F59"/>
    <w:rsid w:val="00550879"/>
    <w:rsid w:val="00550F2D"/>
    <w:rsid w:val="005512FE"/>
    <w:rsid w:val="0055132B"/>
    <w:rsid w:val="005517FD"/>
    <w:rsid w:val="005529DF"/>
    <w:rsid w:val="00553060"/>
    <w:rsid w:val="005530D4"/>
    <w:rsid w:val="00553238"/>
    <w:rsid w:val="00554E3B"/>
    <w:rsid w:val="0055653C"/>
    <w:rsid w:val="0055661D"/>
    <w:rsid w:val="00556A45"/>
    <w:rsid w:val="00556BF1"/>
    <w:rsid w:val="00556D1E"/>
    <w:rsid w:val="00557379"/>
    <w:rsid w:val="00557716"/>
    <w:rsid w:val="00560E20"/>
    <w:rsid w:val="0056112E"/>
    <w:rsid w:val="00561D7A"/>
    <w:rsid w:val="00562690"/>
    <w:rsid w:val="005630B8"/>
    <w:rsid w:val="00563BD7"/>
    <w:rsid w:val="00563BEB"/>
    <w:rsid w:val="00563E22"/>
    <w:rsid w:val="00563FEE"/>
    <w:rsid w:val="00564083"/>
    <w:rsid w:val="00564B23"/>
    <w:rsid w:val="00564E8F"/>
    <w:rsid w:val="00565349"/>
    <w:rsid w:val="00565512"/>
    <w:rsid w:val="005655FB"/>
    <w:rsid w:val="0057113F"/>
    <w:rsid w:val="0057162B"/>
    <w:rsid w:val="00571BE9"/>
    <w:rsid w:val="00571F58"/>
    <w:rsid w:val="005721CF"/>
    <w:rsid w:val="0057256E"/>
    <w:rsid w:val="0057330E"/>
    <w:rsid w:val="00573587"/>
    <w:rsid w:val="005745AB"/>
    <w:rsid w:val="00574826"/>
    <w:rsid w:val="005759AF"/>
    <w:rsid w:val="00575BE8"/>
    <w:rsid w:val="00575E1B"/>
    <w:rsid w:val="00576C0A"/>
    <w:rsid w:val="005773AE"/>
    <w:rsid w:val="005775F0"/>
    <w:rsid w:val="0057798A"/>
    <w:rsid w:val="0058089B"/>
    <w:rsid w:val="00580947"/>
    <w:rsid w:val="00581B21"/>
    <w:rsid w:val="00581CE8"/>
    <w:rsid w:val="00581D6B"/>
    <w:rsid w:val="00581F8E"/>
    <w:rsid w:val="00582484"/>
    <w:rsid w:val="005825EF"/>
    <w:rsid w:val="00582C01"/>
    <w:rsid w:val="005838FC"/>
    <w:rsid w:val="0058538D"/>
    <w:rsid w:val="00585F30"/>
    <w:rsid w:val="005863F1"/>
    <w:rsid w:val="00586C12"/>
    <w:rsid w:val="005874C0"/>
    <w:rsid w:val="00590193"/>
    <w:rsid w:val="0059028E"/>
    <w:rsid w:val="005903C0"/>
    <w:rsid w:val="005913B7"/>
    <w:rsid w:val="00591832"/>
    <w:rsid w:val="00592193"/>
    <w:rsid w:val="00593273"/>
    <w:rsid w:val="00595357"/>
    <w:rsid w:val="00595C6F"/>
    <w:rsid w:val="00595E0E"/>
    <w:rsid w:val="00596B90"/>
    <w:rsid w:val="00596BDB"/>
    <w:rsid w:val="00597612"/>
    <w:rsid w:val="0059781D"/>
    <w:rsid w:val="005A07A0"/>
    <w:rsid w:val="005A0F92"/>
    <w:rsid w:val="005A1156"/>
    <w:rsid w:val="005A1523"/>
    <w:rsid w:val="005A194D"/>
    <w:rsid w:val="005A260B"/>
    <w:rsid w:val="005A3F1A"/>
    <w:rsid w:val="005A4DBA"/>
    <w:rsid w:val="005A50CA"/>
    <w:rsid w:val="005A66F4"/>
    <w:rsid w:val="005A689C"/>
    <w:rsid w:val="005A6A6F"/>
    <w:rsid w:val="005A7618"/>
    <w:rsid w:val="005B0805"/>
    <w:rsid w:val="005B1200"/>
    <w:rsid w:val="005B2A02"/>
    <w:rsid w:val="005B3644"/>
    <w:rsid w:val="005B379B"/>
    <w:rsid w:val="005B385D"/>
    <w:rsid w:val="005B3C72"/>
    <w:rsid w:val="005B41D9"/>
    <w:rsid w:val="005B4815"/>
    <w:rsid w:val="005B4C77"/>
    <w:rsid w:val="005B584C"/>
    <w:rsid w:val="005B70AC"/>
    <w:rsid w:val="005B73E0"/>
    <w:rsid w:val="005B7807"/>
    <w:rsid w:val="005C15FF"/>
    <w:rsid w:val="005C25B2"/>
    <w:rsid w:val="005C304C"/>
    <w:rsid w:val="005C3250"/>
    <w:rsid w:val="005C3755"/>
    <w:rsid w:val="005C3BF4"/>
    <w:rsid w:val="005C3C2B"/>
    <w:rsid w:val="005C411C"/>
    <w:rsid w:val="005C4475"/>
    <w:rsid w:val="005C4963"/>
    <w:rsid w:val="005C519D"/>
    <w:rsid w:val="005C56B4"/>
    <w:rsid w:val="005C5B58"/>
    <w:rsid w:val="005C6382"/>
    <w:rsid w:val="005C66C2"/>
    <w:rsid w:val="005C70C8"/>
    <w:rsid w:val="005D031D"/>
    <w:rsid w:val="005D0F32"/>
    <w:rsid w:val="005D1545"/>
    <w:rsid w:val="005D207F"/>
    <w:rsid w:val="005D3033"/>
    <w:rsid w:val="005D3ABB"/>
    <w:rsid w:val="005D4DD4"/>
    <w:rsid w:val="005D5D2C"/>
    <w:rsid w:val="005D5FF4"/>
    <w:rsid w:val="005D6067"/>
    <w:rsid w:val="005D62FB"/>
    <w:rsid w:val="005D67D6"/>
    <w:rsid w:val="005D723B"/>
    <w:rsid w:val="005D79F3"/>
    <w:rsid w:val="005D7D07"/>
    <w:rsid w:val="005E09BA"/>
    <w:rsid w:val="005E1998"/>
    <w:rsid w:val="005E231D"/>
    <w:rsid w:val="005E23AC"/>
    <w:rsid w:val="005E2524"/>
    <w:rsid w:val="005E273E"/>
    <w:rsid w:val="005E387D"/>
    <w:rsid w:val="005E41D6"/>
    <w:rsid w:val="005E5E30"/>
    <w:rsid w:val="005E6054"/>
    <w:rsid w:val="005F0312"/>
    <w:rsid w:val="005F0A0B"/>
    <w:rsid w:val="005F237A"/>
    <w:rsid w:val="005F2754"/>
    <w:rsid w:val="005F327A"/>
    <w:rsid w:val="005F3BC0"/>
    <w:rsid w:val="005F3DD6"/>
    <w:rsid w:val="005F462F"/>
    <w:rsid w:val="005F4DAE"/>
    <w:rsid w:val="005F51F6"/>
    <w:rsid w:val="005F5320"/>
    <w:rsid w:val="005F59BC"/>
    <w:rsid w:val="005F5FA7"/>
    <w:rsid w:val="005F6102"/>
    <w:rsid w:val="005F61DD"/>
    <w:rsid w:val="005F6DA2"/>
    <w:rsid w:val="005F7187"/>
    <w:rsid w:val="005F745F"/>
    <w:rsid w:val="005F7727"/>
    <w:rsid w:val="005F7AE1"/>
    <w:rsid w:val="006005A6"/>
    <w:rsid w:val="0060076C"/>
    <w:rsid w:val="00600E54"/>
    <w:rsid w:val="006016CF"/>
    <w:rsid w:val="006027A3"/>
    <w:rsid w:val="006043BA"/>
    <w:rsid w:val="00604D2C"/>
    <w:rsid w:val="00605746"/>
    <w:rsid w:val="00606269"/>
    <w:rsid w:val="0060687A"/>
    <w:rsid w:val="00606AFB"/>
    <w:rsid w:val="006070FB"/>
    <w:rsid w:val="00607210"/>
    <w:rsid w:val="006102DE"/>
    <w:rsid w:val="0061037D"/>
    <w:rsid w:val="00612A11"/>
    <w:rsid w:val="00612D84"/>
    <w:rsid w:val="00615A72"/>
    <w:rsid w:val="00615B53"/>
    <w:rsid w:val="00615E4C"/>
    <w:rsid w:val="00615F42"/>
    <w:rsid w:val="00616144"/>
    <w:rsid w:val="0061633E"/>
    <w:rsid w:val="00616A11"/>
    <w:rsid w:val="00617271"/>
    <w:rsid w:val="0061735F"/>
    <w:rsid w:val="00617556"/>
    <w:rsid w:val="00617E2D"/>
    <w:rsid w:val="006202A7"/>
    <w:rsid w:val="006204DA"/>
    <w:rsid w:val="00620AB5"/>
    <w:rsid w:val="00621846"/>
    <w:rsid w:val="006221B8"/>
    <w:rsid w:val="00622561"/>
    <w:rsid w:val="00622AA1"/>
    <w:rsid w:val="00622DEC"/>
    <w:rsid w:val="0062404B"/>
    <w:rsid w:val="00624A7F"/>
    <w:rsid w:val="00624F83"/>
    <w:rsid w:val="0062642D"/>
    <w:rsid w:val="0062674F"/>
    <w:rsid w:val="006268C3"/>
    <w:rsid w:val="00627021"/>
    <w:rsid w:val="0063180E"/>
    <w:rsid w:val="006325DF"/>
    <w:rsid w:val="00632EB8"/>
    <w:rsid w:val="006335D5"/>
    <w:rsid w:val="00633830"/>
    <w:rsid w:val="0063520C"/>
    <w:rsid w:val="00635CD5"/>
    <w:rsid w:val="00635D62"/>
    <w:rsid w:val="0063621B"/>
    <w:rsid w:val="006366D4"/>
    <w:rsid w:val="00637284"/>
    <w:rsid w:val="00637D90"/>
    <w:rsid w:val="00640C33"/>
    <w:rsid w:val="0064287A"/>
    <w:rsid w:val="006432CB"/>
    <w:rsid w:val="0064527C"/>
    <w:rsid w:val="006455AD"/>
    <w:rsid w:val="00646D22"/>
    <w:rsid w:val="00646E23"/>
    <w:rsid w:val="0065031F"/>
    <w:rsid w:val="00650738"/>
    <w:rsid w:val="00650CD7"/>
    <w:rsid w:val="00652BB4"/>
    <w:rsid w:val="00652E21"/>
    <w:rsid w:val="006548B8"/>
    <w:rsid w:val="00655F71"/>
    <w:rsid w:val="00656961"/>
    <w:rsid w:val="00656B7E"/>
    <w:rsid w:val="0066026C"/>
    <w:rsid w:val="00661E69"/>
    <w:rsid w:val="006621E5"/>
    <w:rsid w:val="00663442"/>
    <w:rsid w:val="00663657"/>
    <w:rsid w:val="00664567"/>
    <w:rsid w:val="006645BB"/>
    <w:rsid w:val="00664A0E"/>
    <w:rsid w:val="00664D24"/>
    <w:rsid w:val="00664DC0"/>
    <w:rsid w:val="00666DCA"/>
    <w:rsid w:val="00666FB3"/>
    <w:rsid w:val="006700B2"/>
    <w:rsid w:val="00671DA0"/>
    <w:rsid w:val="00672F76"/>
    <w:rsid w:val="00673511"/>
    <w:rsid w:val="00673642"/>
    <w:rsid w:val="00673AEF"/>
    <w:rsid w:val="00673EB8"/>
    <w:rsid w:val="006744B0"/>
    <w:rsid w:val="00674982"/>
    <w:rsid w:val="00674FF2"/>
    <w:rsid w:val="00676B98"/>
    <w:rsid w:val="00680D51"/>
    <w:rsid w:val="00680F28"/>
    <w:rsid w:val="00681B87"/>
    <w:rsid w:val="00681C83"/>
    <w:rsid w:val="00681D82"/>
    <w:rsid w:val="0068234C"/>
    <w:rsid w:val="00682A34"/>
    <w:rsid w:val="00682FEA"/>
    <w:rsid w:val="0068404C"/>
    <w:rsid w:val="006840FC"/>
    <w:rsid w:val="006847C5"/>
    <w:rsid w:val="00684871"/>
    <w:rsid w:val="00684BE4"/>
    <w:rsid w:val="00684F20"/>
    <w:rsid w:val="00684FE1"/>
    <w:rsid w:val="006855EE"/>
    <w:rsid w:val="00686898"/>
    <w:rsid w:val="00686A98"/>
    <w:rsid w:val="00686CF7"/>
    <w:rsid w:val="00687A4F"/>
    <w:rsid w:val="00687D48"/>
    <w:rsid w:val="00690CC4"/>
    <w:rsid w:val="0069206B"/>
    <w:rsid w:val="00692D27"/>
    <w:rsid w:val="006934D4"/>
    <w:rsid w:val="00694594"/>
    <w:rsid w:val="006957FD"/>
    <w:rsid w:val="00695A31"/>
    <w:rsid w:val="006960EB"/>
    <w:rsid w:val="0069760A"/>
    <w:rsid w:val="006976BB"/>
    <w:rsid w:val="00697C52"/>
    <w:rsid w:val="006A2419"/>
    <w:rsid w:val="006A2890"/>
    <w:rsid w:val="006A4948"/>
    <w:rsid w:val="006A4E4E"/>
    <w:rsid w:val="006A5F7C"/>
    <w:rsid w:val="006A6565"/>
    <w:rsid w:val="006A7E85"/>
    <w:rsid w:val="006B05F9"/>
    <w:rsid w:val="006B13FF"/>
    <w:rsid w:val="006B1BCA"/>
    <w:rsid w:val="006B25A0"/>
    <w:rsid w:val="006B2761"/>
    <w:rsid w:val="006B30AD"/>
    <w:rsid w:val="006B3281"/>
    <w:rsid w:val="006B4171"/>
    <w:rsid w:val="006B4DEB"/>
    <w:rsid w:val="006B5E4A"/>
    <w:rsid w:val="006B685D"/>
    <w:rsid w:val="006B6AD1"/>
    <w:rsid w:val="006B71B6"/>
    <w:rsid w:val="006C0537"/>
    <w:rsid w:val="006C0608"/>
    <w:rsid w:val="006C0725"/>
    <w:rsid w:val="006C0E9F"/>
    <w:rsid w:val="006C11D9"/>
    <w:rsid w:val="006C2664"/>
    <w:rsid w:val="006C2990"/>
    <w:rsid w:val="006C29BB"/>
    <w:rsid w:val="006C2BF4"/>
    <w:rsid w:val="006C2F01"/>
    <w:rsid w:val="006C3E1F"/>
    <w:rsid w:val="006C3FC5"/>
    <w:rsid w:val="006C4114"/>
    <w:rsid w:val="006C468D"/>
    <w:rsid w:val="006C5A9E"/>
    <w:rsid w:val="006C5D57"/>
    <w:rsid w:val="006C5FF3"/>
    <w:rsid w:val="006C60CB"/>
    <w:rsid w:val="006C650B"/>
    <w:rsid w:val="006C6938"/>
    <w:rsid w:val="006C6A42"/>
    <w:rsid w:val="006C6B19"/>
    <w:rsid w:val="006C6E80"/>
    <w:rsid w:val="006C7027"/>
    <w:rsid w:val="006C7725"/>
    <w:rsid w:val="006D1134"/>
    <w:rsid w:val="006D19AE"/>
    <w:rsid w:val="006D1C09"/>
    <w:rsid w:val="006D28BD"/>
    <w:rsid w:val="006D35D1"/>
    <w:rsid w:val="006D3799"/>
    <w:rsid w:val="006D42F4"/>
    <w:rsid w:val="006D5259"/>
    <w:rsid w:val="006D52EC"/>
    <w:rsid w:val="006D5C75"/>
    <w:rsid w:val="006D6480"/>
    <w:rsid w:val="006D77F8"/>
    <w:rsid w:val="006E0BA4"/>
    <w:rsid w:val="006E0C3E"/>
    <w:rsid w:val="006E1090"/>
    <w:rsid w:val="006E214E"/>
    <w:rsid w:val="006E2F21"/>
    <w:rsid w:val="006E42AC"/>
    <w:rsid w:val="006E4D88"/>
    <w:rsid w:val="006E4F11"/>
    <w:rsid w:val="006E504C"/>
    <w:rsid w:val="006E6758"/>
    <w:rsid w:val="006E693A"/>
    <w:rsid w:val="006F0ECE"/>
    <w:rsid w:val="006F151D"/>
    <w:rsid w:val="006F1961"/>
    <w:rsid w:val="006F2E83"/>
    <w:rsid w:val="006F3417"/>
    <w:rsid w:val="006F3F69"/>
    <w:rsid w:val="006F4FE2"/>
    <w:rsid w:val="006F5B9A"/>
    <w:rsid w:val="006F655F"/>
    <w:rsid w:val="0070021B"/>
    <w:rsid w:val="00700DDE"/>
    <w:rsid w:val="007012B8"/>
    <w:rsid w:val="00702396"/>
    <w:rsid w:val="00702D4B"/>
    <w:rsid w:val="00703420"/>
    <w:rsid w:val="00703907"/>
    <w:rsid w:val="007040AA"/>
    <w:rsid w:val="007050C7"/>
    <w:rsid w:val="0070588C"/>
    <w:rsid w:val="007058D8"/>
    <w:rsid w:val="00706A27"/>
    <w:rsid w:val="00706F07"/>
    <w:rsid w:val="00707E4A"/>
    <w:rsid w:val="007104C2"/>
    <w:rsid w:val="007109D7"/>
    <w:rsid w:val="00710DCE"/>
    <w:rsid w:val="00711621"/>
    <w:rsid w:val="00714F53"/>
    <w:rsid w:val="00714F84"/>
    <w:rsid w:val="007150C6"/>
    <w:rsid w:val="007153BF"/>
    <w:rsid w:val="00715624"/>
    <w:rsid w:val="007161EF"/>
    <w:rsid w:val="0071755D"/>
    <w:rsid w:val="00717569"/>
    <w:rsid w:val="00717B10"/>
    <w:rsid w:val="00717FC5"/>
    <w:rsid w:val="00720C07"/>
    <w:rsid w:val="007215AD"/>
    <w:rsid w:val="007217CE"/>
    <w:rsid w:val="007222F8"/>
    <w:rsid w:val="0072283D"/>
    <w:rsid w:val="00723890"/>
    <w:rsid w:val="007254E8"/>
    <w:rsid w:val="00725FF3"/>
    <w:rsid w:val="007266D1"/>
    <w:rsid w:val="00727173"/>
    <w:rsid w:val="00731036"/>
    <w:rsid w:val="007320C8"/>
    <w:rsid w:val="0073319F"/>
    <w:rsid w:val="007331FA"/>
    <w:rsid w:val="007340FF"/>
    <w:rsid w:val="00736F0B"/>
    <w:rsid w:val="00736F70"/>
    <w:rsid w:val="00737849"/>
    <w:rsid w:val="00740753"/>
    <w:rsid w:val="007421DB"/>
    <w:rsid w:val="0074292C"/>
    <w:rsid w:val="00742E28"/>
    <w:rsid w:val="00743797"/>
    <w:rsid w:val="00743B19"/>
    <w:rsid w:val="007440F8"/>
    <w:rsid w:val="0074455A"/>
    <w:rsid w:val="00744F09"/>
    <w:rsid w:val="00745253"/>
    <w:rsid w:val="007461F4"/>
    <w:rsid w:val="00746938"/>
    <w:rsid w:val="00746C9B"/>
    <w:rsid w:val="00747FFC"/>
    <w:rsid w:val="00750FBA"/>
    <w:rsid w:val="00751A84"/>
    <w:rsid w:val="00751CE9"/>
    <w:rsid w:val="00751F00"/>
    <w:rsid w:val="00752A7B"/>
    <w:rsid w:val="00752AD1"/>
    <w:rsid w:val="00755C99"/>
    <w:rsid w:val="00755DD7"/>
    <w:rsid w:val="007567C6"/>
    <w:rsid w:val="00757611"/>
    <w:rsid w:val="00757862"/>
    <w:rsid w:val="0076032B"/>
    <w:rsid w:val="00760ABF"/>
    <w:rsid w:val="00761129"/>
    <w:rsid w:val="007620B8"/>
    <w:rsid w:val="007626B8"/>
    <w:rsid w:val="00763197"/>
    <w:rsid w:val="007638E7"/>
    <w:rsid w:val="007640A8"/>
    <w:rsid w:val="00765366"/>
    <w:rsid w:val="00766569"/>
    <w:rsid w:val="007668FB"/>
    <w:rsid w:val="00767827"/>
    <w:rsid w:val="00770322"/>
    <w:rsid w:val="00770506"/>
    <w:rsid w:val="007719D3"/>
    <w:rsid w:val="00772221"/>
    <w:rsid w:val="00772A28"/>
    <w:rsid w:val="00774579"/>
    <w:rsid w:val="007745F6"/>
    <w:rsid w:val="00774805"/>
    <w:rsid w:val="0077709F"/>
    <w:rsid w:val="00777119"/>
    <w:rsid w:val="007771C2"/>
    <w:rsid w:val="007771FA"/>
    <w:rsid w:val="00777390"/>
    <w:rsid w:val="007777A7"/>
    <w:rsid w:val="007814C9"/>
    <w:rsid w:val="00782503"/>
    <w:rsid w:val="00782830"/>
    <w:rsid w:val="00782FF9"/>
    <w:rsid w:val="00783492"/>
    <w:rsid w:val="0078374F"/>
    <w:rsid w:val="0078422D"/>
    <w:rsid w:val="00784650"/>
    <w:rsid w:val="00786318"/>
    <w:rsid w:val="00786390"/>
    <w:rsid w:val="00787729"/>
    <w:rsid w:val="00787F69"/>
    <w:rsid w:val="0079022A"/>
    <w:rsid w:val="0079078A"/>
    <w:rsid w:val="00790A4A"/>
    <w:rsid w:val="00790ECD"/>
    <w:rsid w:val="007917EF"/>
    <w:rsid w:val="007932B5"/>
    <w:rsid w:val="00794491"/>
    <w:rsid w:val="0079712A"/>
    <w:rsid w:val="0079722E"/>
    <w:rsid w:val="00797997"/>
    <w:rsid w:val="007A062A"/>
    <w:rsid w:val="007A0E0E"/>
    <w:rsid w:val="007A1349"/>
    <w:rsid w:val="007A1654"/>
    <w:rsid w:val="007A22F9"/>
    <w:rsid w:val="007A2400"/>
    <w:rsid w:val="007A29CA"/>
    <w:rsid w:val="007A31B7"/>
    <w:rsid w:val="007A3C4B"/>
    <w:rsid w:val="007A63FF"/>
    <w:rsid w:val="007A64BA"/>
    <w:rsid w:val="007A748F"/>
    <w:rsid w:val="007A7522"/>
    <w:rsid w:val="007A7591"/>
    <w:rsid w:val="007B01E8"/>
    <w:rsid w:val="007B0677"/>
    <w:rsid w:val="007B100C"/>
    <w:rsid w:val="007B1430"/>
    <w:rsid w:val="007B1AC1"/>
    <w:rsid w:val="007B46B9"/>
    <w:rsid w:val="007B498C"/>
    <w:rsid w:val="007B4E02"/>
    <w:rsid w:val="007B553A"/>
    <w:rsid w:val="007B6245"/>
    <w:rsid w:val="007B6924"/>
    <w:rsid w:val="007C05E5"/>
    <w:rsid w:val="007C088E"/>
    <w:rsid w:val="007C0E64"/>
    <w:rsid w:val="007C1D16"/>
    <w:rsid w:val="007C1E01"/>
    <w:rsid w:val="007C2EE5"/>
    <w:rsid w:val="007C34C4"/>
    <w:rsid w:val="007C3C40"/>
    <w:rsid w:val="007C4176"/>
    <w:rsid w:val="007C43B0"/>
    <w:rsid w:val="007C48B9"/>
    <w:rsid w:val="007C49AC"/>
    <w:rsid w:val="007C5D7D"/>
    <w:rsid w:val="007C5E0B"/>
    <w:rsid w:val="007C7C81"/>
    <w:rsid w:val="007D0244"/>
    <w:rsid w:val="007D05BC"/>
    <w:rsid w:val="007D0987"/>
    <w:rsid w:val="007D0B38"/>
    <w:rsid w:val="007D15FE"/>
    <w:rsid w:val="007D18DF"/>
    <w:rsid w:val="007D1BDA"/>
    <w:rsid w:val="007D251A"/>
    <w:rsid w:val="007D2B98"/>
    <w:rsid w:val="007D2F7E"/>
    <w:rsid w:val="007D3126"/>
    <w:rsid w:val="007D39CE"/>
    <w:rsid w:val="007D4146"/>
    <w:rsid w:val="007D4CAA"/>
    <w:rsid w:val="007D5C02"/>
    <w:rsid w:val="007D7EE3"/>
    <w:rsid w:val="007E0113"/>
    <w:rsid w:val="007E146D"/>
    <w:rsid w:val="007E207B"/>
    <w:rsid w:val="007E22DF"/>
    <w:rsid w:val="007E24CE"/>
    <w:rsid w:val="007E3BF4"/>
    <w:rsid w:val="007E3F8F"/>
    <w:rsid w:val="007E467D"/>
    <w:rsid w:val="007E48AB"/>
    <w:rsid w:val="007E490A"/>
    <w:rsid w:val="007E4F1C"/>
    <w:rsid w:val="007E519A"/>
    <w:rsid w:val="007E5640"/>
    <w:rsid w:val="007E58AE"/>
    <w:rsid w:val="007E5DD4"/>
    <w:rsid w:val="007E6100"/>
    <w:rsid w:val="007E6185"/>
    <w:rsid w:val="007E6F1A"/>
    <w:rsid w:val="007E755D"/>
    <w:rsid w:val="007E7613"/>
    <w:rsid w:val="007F0A88"/>
    <w:rsid w:val="007F120A"/>
    <w:rsid w:val="007F196A"/>
    <w:rsid w:val="007F1CE1"/>
    <w:rsid w:val="007F2456"/>
    <w:rsid w:val="007F2B6B"/>
    <w:rsid w:val="007F2E81"/>
    <w:rsid w:val="007F352D"/>
    <w:rsid w:val="007F391B"/>
    <w:rsid w:val="007F4097"/>
    <w:rsid w:val="007F40EC"/>
    <w:rsid w:val="007F42B0"/>
    <w:rsid w:val="007F4B00"/>
    <w:rsid w:val="007F55F5"/>
    <w:rsid w:val="007F75E3"/>
    <w:rsid w:val="00800204"/>
    <w:rsid w:val="00800516"/>
    <w:rsid w:val="00802046"/>
    <w:rsid w:val="0080259A"/>
    <w:rsid w:val="008046B3"/>
    <w:rsid w:val="0080552E"/>
    <w:rsid w:val="00805B7A"/>
    <w:rsid w:val="00811613"/>
    <w:rsid w:val="00811CF7"/>
    <w:rsid w:val="00812390"/>
    <w:rsid w:val="00812617"/>
    <w:rsid w:val="008126B8"/>
    <w:rsid w:val="00812CBE"/>
    <w:rsid w:val="00813203"/>
    <w:rsid w:val="0081324E"/>
    <w:rsid w:val="00813437"/>
    <w:rsid w:val="0081347E"/>
    <w:rsid w:val="00813BFC"/>
    <w:rsid w:val="00813EF6"/>
    <w:rsid w:val="008149BA"/>
    <w:rsid w:val="00814CF6"/>
    <w:rsid w:val="00814E79"/>
    <w:rsid w:val="00815346"/>
    <w:rsid w:val="00816C6F"/>
    <w:rsid w:val="008203C0"/>
    <w:rsid w:val="00820829"/>
    <w:rsid w:val="00820E5C"/>
    <w:rsid w:val="00821266"/>
    <w:rsid w:val="008222AC"/>
    <w:rsid w:val="00824D16"/>
    <w:rsid w:val="00825348"/>
    <w:rsid w:val="0082603F"/>
    <w:rsid w:val="008269E4"/>
    <w:rsid w:val="008273C3"/>
    <w:rsid w:val="00830DD9"/>
    <w:rsid w:val="00831872"/>
    <w:rsid w:val="00832DBA"/>
    <w:rsid w:val="0083314C"/>
    <w:rsid w:val="00833A3E"/>
    <w:rsid w:val="008341ED"/>
    <w:rsid w:val="00834976"/>
    <w:rsid w:val="008363E6"/>
    <w:rsid w:val="008379F2"/>
    <w:rsid w:val="00837EDF"/>
    <w:rsid w:val="0084031C"/>
    <w:rsid w:val="0084044E"/>
    <w:rsid w:val="0084049B"/>
    <w:rsid w:val="008416B4"/>
    <w:rsid w:val="00841975"/>
    <w:rsid w:val="00841FBE"/>
    <w:rsid w:val="0084279E"/>
    <w:rsid w:val="00843327"/>
    <w:rsid w:val="00843DF1"/>
    <w:rsid w:val="00843FA7"/>
    <w:rsid w:val="0084436D"/>
    <w:rsid w:val="008465AF"/>
    <w:rsid w:val="008467AB"/>
    <w:rsid w:val="00847737"/>
    <w:rsid w:val="0085093F"/>
    <w:rsid w:val="00851238"/>
    <w:rsid w:val="00851DC3"/>
    <w:rsid w:val="00853140"/>
    <w:rsid w:val="00853A11"/>
    <w:rsid w:val="008551B0"/>
    <w:rsid w:val="00856754"/>
    <w:rsid w:val="00857C61"/>
    <w:rsid w:val="00857E67"/>
    <w:rsid w:val="00860D6A"/>
    <w:rsid w:val="008615D8"/>
    <w:rsid w:val="00861E3F"/>
    <w:rsid w:val="008621B6"/>
    <w:rsid w:val="008630B0"/>
    <w:rsid w:val="00866402"/>
    <w:rsid w:val="008664C0"/>
    <w:rsid w:val="0086705E"/>
    <w:rsid w:val="00867315"/>
    <w:rsid w:val="00867AC8"/>
    <w:rsid w:val="00870767"/>
    <w:rsid w:val="0087180F"/>
    <w:rsid w:val="008728F6"/>
    <w:rsid w:val="0087383B"/>
    <w:rsid w:val="00873EAF"/>
    <w:rsid w:val="00876A46"/>
    <w:rsid w:val="00876B67"/>
    <w:rsid w:val="008770EC"/>
    <w:rsid w:val="00877106"/>
    <w:rsid w:val="00877DC8"/>
    <w:rsid w:val="00880B4B"/>
    <w:rsid w:val="00880DAA"/>
    <w:rsid w:val="008814BA"/>
    <w:rsid w:val="00881C61"/>
    <w:rsid w:val="008827CC"/>
    <w:rsid w:val="00885ACA"/>
    <w:rsid w:val="008862B9"/>
    <w:rsid w:val="00886903"/>
    <w:rsid w:val="008872DE"/>
    <w:rsid w:val="00890040"/>
    <w:rsid w:val="00890925"/>
    <w:rsid w:val="00890F72"/>
    <w:rsid w:val="0089247E"/>
    <w:rsid w:val="008940E5"/>
    <w:rsid w:val="00894C8E"/>
    <w:rsid w:val="00896409"/>
    <w:rsid w:val="00896E6E"/>
    <w:rsid w:val="00897C8D"/>
    <w:rsid w:val="008A0176"/>
    <w:rsid w:val="008A03BD"/>
    <w:rsid w:val="008A160F"/>
    <w:rsid w:val="008A1A05"/>
    <w:rsid w:val="008A26DF"/>
    <w:rsid w:val="008A2FF6"/>
    <w:rsid w:val="008A31C1"/>
    <w:rsid w:val="008A3328"/>
    <w:rsid w:val="008A34C3"/>
    <w:rsid w:val="008A49CA"/>
    <w:rsid w:val="008A49F7"/>
    <w:rsid w:val="008A4CC0"/>
    <w:rsid w:val="008A53A8"/>
    <w:rsid w:val="008A7641"/>
    <w:rsid w:val="008A7E7C"/>
    <w:rsid w:val="008B0836"/>
    <w:rsid w:val="008B48D4"/>
    <w:rsid w:val="008B4910"/>
    <w:rsid w:val="008B4BAA"/>
    <w:rsid w:val="008B5D16"/>
    <w:rsid w:val="008B6763"/>
    <w:rsid w:val="008B7A99"/>
    <w:rsid w:val="008B7B0C"/>
    <w:rsid w:val="008B7EC5"/>
    <w:rsid w:val="008C0614"/>
    <w:rsid w:val="008C072D"/>
    <w:rsid w:val="008C14D7"/>
    <w:rsid w:val="008C1CDF"/>
    <w:rsid w:val="008C1F91"/>
    <w:rsid w:val="008C3C42"/>
    <w:rsid w:val="008C3F00"/>
    <w:rsid w:val="008C4A3A"/>
    <w:rsid w:val="008C54C3"/>
    <w:rsid w:val="008C5754"/>
    <w:rsid w:val="008C5896"/>
    <w:rsid w:val="008C6B5E"/>
    <w:rsid w:val="008C6C35"/>
    <w:rsid w:val="008D027C"/>
    <w:rsid w:val="008D0A0E"/>
    <w:rsid w:val="008D2BCC"/>
    <w:rsid w:val="008D381A"/>
    <w:rsid w:val="008D49BB"/>
    <w:rsid w:val="008D562A"/>
    <w:rsid w:val="008D5A72"/>
    <w:rsid w:val="008D5F5E"/>
    <w:rsid w:val="008D6124"/>
    <w:rsid w:val="008D655F"/>
    <w:rsid w:val="008D6D79"/>
    <w:rsid w:val="008D7339"/>
    <w:rsid w:val="008D77C5"/>
    <w:rsid w:val="008D7A23"/>
    <w:rsid w:val="008D7FE9"/>
    <w:rsid w:val="008E18AD"/>
    <w:rsid w:val="008E1AA9"/>
    <w:rsid w:val="008E1CBC"/>
    <w:rsid w:val="008E2B4A"/>
    <w:rsid w:val="008E4736"/>
    <w:rsid w:val="008E4E1E"/>
    <w:rsid w:val="008E56BF"/>
    <w:rsid w:val="008E58FF"/>
    <w:rsid w:val="008E5DA3"/>
    <w:rsid w:val="008E5E28"/>
    <w:rsid w:val="008E5FBA"/>
    <w:rsid w:val="008E6938"/>
    <w:rsid w:val="008E6E48"/>
    <w:rsid w:val="008E71A5"/>
    <w:rsid w:val="008F2934"/>
    <w:rsid w:val="008F2E27"/>
    <w:rsid w:val="008F44BC"/>
    <w:rsid w:val="008F46EE"/>
    <w:rsid w:val="008F4798"/>
    <w:rsid w:val="008F4DAA"/>
    <w:rsid w:val="008F7230"/>
    <w:rsid w:val="008F7D80"/>
    <w:rsid w:val="008F7F32"/>
    <w:rsid w:val="00901331"/>
    <w:rsid w:val="0090153E"/>
    <w:rsid w:val="00902397"/>
    <w:rsid w:val="00902664"/>
    <w:rsid w:val="0090292C"/>
    <w:rsid w:val="00902E90"/>
    <w:rsid w:val="00903359"/>
    <w:rsid w:val="00904187"/>
    <w:rsid w:val="0090450E"/>
    <w:rsid w:val="00904871"/>
    <w:rsid w:val="00904F96"/>
    <w:rsid w:val="00906654"/>
    <w:rsid w:val="00906808"/>
    <w:rsid w:val="00906D08"/>
    <w:rsid w:val="0090721E"/>
    <w:rsid w:val="009107FE"/>
    <w:rsid w:val="00910C92"/>
    <w:rsid w:val="00911643"/>
    <w:rsid w:val="00911D19"/>
    <w:rsid w:val="009121D7"/>
    <w:rsid w:val="009127B0"/>
    <w:rsid w:val="00912B31"/>
    <w:rsid w:val="00913200"/>
    <w:rsid w:val="00915F3D"/>
    <w:rsid w:val="00916785"/>
    <w:rsid w:val="009172AF"/>
    <w:rsid w:val="00917D91"/>
    <w:rsid w:val="00920135"/>
    <w:rsid w:val="00920BDB"/>
    <w:rsid w:val="00921D7F"/>
    <w:rsid w:val="00921FAA"/>
    <w:rsid w:val="0092230C"/>
    <w:rsid w:val="00923725"/>
    <w:rsid w:val="0092400A"/>
    <w:rsid w:val="00924384"/>
    <w:rsid w:val="00924D4E"/>
    <w:rsid w:val="0092527D"/>
    <w:rsid w:val="00925B64"/>
    <w:rsid w:val="00926311"/>
    <w:rsid w:val="00926363"/>
    <w:rsid w:val="00926B71"/>
    <w:rsid w:val="0092707C"/>
    <w:rsid w:val="009273FF"/>
    <w:rsid w:val="009276CE"/>
    <w:rsid w:val="009277AD"/>
    <w:rsid w:val="00927F39"/>
    <w:rsid w:val="00930479"/>
    <w:rsid w:val="009317ED"/>
    <w:rsid w:val="00931D82"/>
    <w:rsid w:val="0093276B"/>
    <w:rsid w:val="00933D6A"/>
    <w:rsid w:val="009348E8"/>
    <w:rsid w:val="00934952"/>
    <w:rsid w:val="009350ED"/>
    <w:rsid w:val="00935DF3"/>
    <w:rsid w:val="009363E5"/>
    <w:rsid w:val="00936D3F"/>
    <w:rsid w:val="009374F1"/>
    <w:rsid w:val="00937703"/>
    <w:rsid w:val="00937A73"/>
    <w:rsid w:val="009402CE"/>
    <w:rsid w:val="009416E0"/>
    <w:rsid w:val="00941984"/>
    <w:rsid w:val="00941B6E"/>
    <w:rsid w:val="00941CA4"/>
    <w:rsid w:val="00941E2F"/>
    <w:rsid w:val="00941E90"/>
    <w:rsid w:val="00941F14"/>
    <w:rsid w:val="00942492"/>
    <w:rsid w:val="009425DD"/>
    <w:rsid w:val="00942B30"/>
    <w:rsid w:val="00942BF3"/>
    <w:rsid w:val="00943CBE"/>
    <w:rsid w:val="00950912"/>
    <w:rsid w:val="00950D12"/>
    <w:rsid w:val="00951261"/>
    <w:rsid w:val="00952D1F"/>
    <w:rsid w:val="00952FA0"/>
    <w:rsid w:val="00953F8F"/>
    <w:rsid w:val="0095492C"/>
    <w:rsid w:val="00955325"/>
    <w:rsid w:val="0095566B"/>
    <w:rsid w:val="00955BFB"/>
    <w:rsid w:val="00955E99"/>
    <w:rsid w:val="00957889"/>
    <w:rsid w:val="009603A1"/>
    <w:rsid w:val="009610AC"/>
    <w:rsid w:val="009620BE"/>
    <w:rsid w:val="0096405F"/>
    <w:rsid w:val="0096488A"/>
    <w:rsid w:val="0096495F"/>
    <w:rsid w:val="009652DC"/>
    <w:rsid w:val="00965820"/>
    <w:rsid w:val="00965F90"/>
    <w:rsid w:val="00966331"/>
    <w:rsid w:val="009674A3"/>
    <w:rsid w:val="009675BF"/>
    <w:rsid w:val="009710D3"/>
    <w:rsid w:val="009712DF"/>
    <w:rsid w:val="00973537"/>
    <w:rsid w:val="0097519D"/>
    <w:rsid w:val="00975E4C"/>
    <w:rsid w:val="00976762"/>
    <w:rsid w:val="0097756E"/>
    <w:rsid w:val="0097792E"/>
    <w:rsid w:val="009817CF"/>
    <w:rsid w:val="00981B3C"/>
    <w:rsid w:val="00981BEB"/>
    <w:rsid w:val="00983025"/>
    <w:rsid w:val="0098311D"/>
    <w:rsid w:val="0098384B"/>
    <w:rsid w:val="009845A6"/>
    <w:rsid w:val="00985587"/>
    <w:rsid w:val="0098569D"/>
    <w:rsid w:val="0098622B"/>
    <w:rsid w:val="0098626D"/>
    <w:rsid w:val="00986748"/>
    <w:rsid w:val="00986F24"/>
    <w:rsid w:val="009870AA"/>
    <w:rsid w:val="00987C68"/>
    <w:rsid w:val="00987C9F"/>
    <w:rsid w:val="00991368"/>
    <w:rsid w:val="009919D8"/>
    <w:rsid w:val="00991BFC"/>
    <w:rsid w:val="009925F7"/>
    <w:rsid w:val="00992A5D"/>
    <w:rsid w:val="00993907"/>
    <w:rsid w:val="0099622C"/>
    <w:rsid w:val="0099645D"/>
    <w:rsid w:val="00996850"/>
    <w:rsid w:val="00997573"/>
    <w:rsid w:val="009A0289"/>
    <w:rsid w:val="009A02B1"/>
    <w:rsid w:val="009A0566"/>
    <w:rsid w:val="009A1F98"/>
    <w:rsid w:val="009A267D"/>
    <w:rsid w:val="009A4156"/>
    <w:rsid w:val="009A4237"/>
    <w:rsid w:val="009A5088"/>
    <w:rsid w:val="009A50E5"/>
    <w:rsid w:val="009A5ED2"/>
    <w:rsid w:val="009A6157"/>
    <w:rsid w:val="009A6A9B"/>
    <w:rsid w:val="009A785F"/>
    <w:rsid w:val="009B2607"/>
    <w:rsid w:val="009B57B3"/>
    <w:rsid w:val="009B6040"/>
    <w:rsid w:val="009B60D4"/>
    <w:rsid w:val="009B6778"/>
    <w:rsid w:val="009B6FFA"/>
    <w:rsid w:val="009B71EA"/>
    <w:rsid w:val="009C1214"/>
    <w:rsid w:val="009C16AC"/>
    <w:rsid w:val="009C1955"/>
    <w:rsid w:val="009C3736"/>
    <w:rsid w:val="009C3A50"/>
    <w:rsid w:val="009C4862"/>
    <w:rsid w:val="009C5484"/>
    <w:rsid w:val="009C54D5"/>
    <w:rsid w:val="009C559B"/>
    <w:rsid w:val="009C6098"/>
    <w:rsid w:val="009C6BE5"/>
    <w:rsid w:val="009D10CF"/>
    <w:rsid w:val="009D254F"/>
    <w:rsid w:val="009D3800"/>
    <w:rsid w:val="009D3CEA"/>
    <w:rsid w:val="009D42AF"/>
    <w:rsid w:val="009D4806"/>
    <w:rsid w:val="009D4B10"/>
    <w:rsid w:val="009D5159"/>
    <w:rsid w:val="009D6FEE"/>
    <w:rsid w:val="009D7C97"/>
    <w:rsid w:val="009D7CE8"/>
    <w:rsid w:val="009D7EB8"/>
    <w:rsid w:val="009E060C"/>
    <w:rsid w:val="009E1123"/>
    <w:rsid w:val="009E1D5E"/>
    <w:rsid w:val="009E1F6A"/>
    <w:rsid w:val="009E2554"/>
    <w:rsid w:val="009E57D6"/>
    <w:rsid w:val="009E5BD7"/>
    <w:rsid w:val="009E712F"/>
    <w:rsid w:val="009E715B"/>
    <w:rsid w:val="009E7304"/>
    <w:rsid w:val="009E775D"/>
    <w:rsid w:val="009E7F05"/>
    <w:rsid w:val="009F018F"/>
    <w:rsid w:val="009F0793"/>
    <w:rsid w:val="009F0CA6"/>
    <w:rsid w:val="009F1B47"/>
    <w:rsid w:val="009F20AA"/>
    <w:rsid w:val="009F2E65"/>
    <w:rsid w:val="009F35C8"/>
    <w:rsid w:val="009F38B1"/>
    <w:rsid w:val="009F3BD4"/>
    <w:rsid w:val="009F44E6"/>
    <w:rsid w:val="009F4763"/>
    <w:rsid w:val="009F485A"/>
    <w:rsid w:val="009F53DB"/>
    <w:rsid w:val="009F57CC"/>
    <w:rsid w:val="009F6D1C"/>
    <w:rsid w:val="009F797B"/>
    <w:rsid w:val="009F7D01"/>
    <w:rsid w:val="00A00033"/>
    <w:rsid w:val="00A00F11"/>
    <w:rsid w:val="00A01F1B"/>
    <w:rsid w:val="00A02511"/>
    <w:rsid w:val="00A02D75"/>
    <w:rsid w:val="00A0370E"/>
    <w:rsid w:val="00A039F2"/>
    <w:rsid w:val="00A03D68"/>
    <w:rsid w:val="00A04607"/>
    <w:rsid w:val="00A04AED"/>
    <w:rsid w:val="00A06EE9"/>
    <w:rsid w:val="00A0762F"/>
    <w:rsid w:val="00A07DE6"/>
    <w:rsid w:val="00A100BE"/>
    <w:rsid w:val="00A10162"/>
    <w:rsid w:val="00A11FF6"/>
    <w:rsid w:val="00A121D3"/>
    <w:rsid w:val="00A12882"/>
    <w:rsid w:val="00A13246"/>
    <w:rsid w:val="00A138A9"/>
    <w:rsid w:val="00A13A73"/>
    <w:rsid w:val="00A15F37"/>
    <w:rsid w:val="00A160DA"/>
    <w:rsid w:val="00A16619"/>
    <w:rsid w:val="00A1675E"/>
    <w:rsid w:val="00A1771E"/>
    <w:rsid w:val="00A17978"/>
    <w:rsid w:val="00A204D4"/>
    <w:rsid w:val="00A21459"/>
    <w:rsid w:val="00A2184F"/>
    <w:rsid w:val="00A22952"/>
    <w:rsid w:val="00A2472A"/>
    <w:rsid w:val="00A24AAC"/>
    <w:rsid w:val="00A24C8F"/>
    <w:rsid w:val="00A25186"/>
    <w:rsid w:val="00A2585B"/>
    <w:rsid w:val="00A25BE9"/>
    <w:rsid w:val="00A26691"/>
    <w:rsid w:val="00A269ED"/>
    <w:rsid w:val="00A278EA"/>
    <w:rsid w:val="00A30CD9"/>
    <w:rsid w:val="00A3170C"/>
    <w:rsid w:val="00A322CB"/>
    <w:rsid w:val="00A33361"/>
    <w:rsid w:val="00A33719"/>
    <w:rsid w:val="00A34C9E"/>
    <w:rsid w:val="00A35684"/>
    <w:rsid w:val="00A35F6B"/>
    <w:rsid w:val="00A36905"/>
    <w:rsid w:val="00A36C62"/>
    <w:rsid w:val="00A36F3A"/>
    <w:rsid w:val="00A3736C"/>
    <w:rsid w:val="00A3756B"/>
    <w:rsid w:val="00A40A8C"/>
    <w:rsid w:val="00A414C8"/>
    <w:rsid w:val="00A41DA2"/>
    <w:rsid w:val="00A428DD"/>
    <w:rsid w:val="00A42FE7"/>
    <w:rsid w:val="00A449CE"/>
    <w:rsid w:val="00A45819"/>
    <w:rsid w:val="00A46958"/>
    <w:rsid w:val="00A46FBF"/>
    <w:rsid w:val="00A500B4"/>
    <w:rsid w:val="00A50B68"/>
    <w:rsid w:val="00A5208D"/>
    <w:rsid w:val="00A52745"/>
    <w:rsid w:val="00A52BF7"/>
    <w:rsid w:val="00A52F21"/>
    <w:rsid w:val="00A54100"/>
    <w:rsid w:val="00A5506D"/>
    <w:rsid w:val="00A5665E"/>
    <w:rsid w:val="00A56AEA"/>
    <w:rsid w:val="00A56B67"/>
    <w:rsid w:val="00A60C5D"/>
    <w:rsid w:val="00A60E2B"/>
    <w:rsid w:val="00A60F40"/>
    <w:rsid w:val="00A63102"/>
    <w:rsid w:val="00A637FA"/>
    <w:rsid w:val="00A640AE"/>
    <w:rsid w:val="00A644FC"/>
    <w:rsid w:val="00A647F4"/>
    <w:rsid w:val="00A70D4E"/>
    <w:rsid w:val="00A71002"/>
    <w:rsid w:val="00A7261F"/>
    <w:rsid w:val="00A72717"/>
    <w:rsid w:val="00A73898"/>
    <w:rsid w:val="00A7490F"/>
    <w:rsid w:val="00A75D02"/>
    <w:rsid w:val="00A75F33"/>
    <w:rsid w:val="00A771A5"/>
    <w:rsid w:val="00A77239"/>
    <w:rsid w:val="00A772B2"/>
    <w:rsid w:val="00A7759D"/>
    <w:rsid w:val="00A77C5B"/>
    <w:rsid w:val="00A80924"/>
    <w:rsid w:val="00A8236D"/>
    <w:rsid w:val="00A83AB5"/>
    <w:rsid w:val="00A857A5"/>
    <w:rsid w:val="00A859D0"/>
    <w:rsid w:val="00A86A19"/>
    <w:rsid w:val="00A877B4"/>
    <w:rsid w:val="00A93E91"/>
    <w:rsid w:val="00A94CCD"/>
    <w:rsid w:val="00A95548"/>
    <w:rsid w:val="00A956E7"/>
    <w:rsid w:val="00A959A4"/>
    <w:rsid w:val="00A95DCE"/>
    <w:rsid w:val="00A96EC8"/>
    <w:rsid w:val="00A97466"/>
    <w:rsid w:val="00A97504"/>
    <w:rsid w:val="00AA0261"/>
    <w:rsid w:val="00AA04F9"/>
    <w:rsid w:val="00AA099C"/>
    <w:rsid w:val="00AA09C4"/>
    <w:rsid w:val="00AA197B"/>
    <w:rsid w:val="00AA20E7"/>
    <w:rsid w:val="00AA2533"/>
    <w:rsid w:val="00AA34F9"/>
    <w:rsid w:val="00AA3707"/>
    <w:rsid w:val="00AA3C31"/>
    <w:rsid w:val="00AA3C3C"/>
    <w:rsid w:val="00AA4143"/>
    <w:rsid w:val="00AA4FD5"/>
    <w:rsid w:val="00AA633C"/>
    <w:rsid w:val="00AB0B60"/>
    <w:rsid w:val="00AB0DFB"/>
    <w:rsid w:val="00AB0FF4"/>
    <w:rsid w:val="00AB10C6"/>
    <w:rsid w:val="00AB129E"/>
    <w:rsid w:val="00AB4161"/>
    <w:rsid w:val="00AB4BA0"/>
    <w:rsid w:val="00AB50E7"/>
    <w:rsid w:val="00AB5A6D"/>
    <w:rsid w:val="00AB61E3"/>
    <w:rsid w:val="00AB7EA8"/>
    <w:rsid w:val="00AC0ACE"/>
    <w:rsid w:val="00AC112F"/>
    <w:rsid w:val="00AC1417"/>
    <w:rsid w:val="00AC15F8"/>
    <w:rsid w:val="00AC1867"/>
    <w:rsid w:val="00AC34D2"/>
    <w:rsid w:val="00AC3932"/>
    <w:rsid w:val="00AC4259"/>
    <w:rsid w:val="00AC44B1"/>
    <w:rsid w:val="00AC5728"/>
    <w:rsid w:val="00AC5B2E"/>
    <w:rsid w:val="00AC6B2D"/>
    <w:rsid w:val="00AC738F"/>
    <w:rsid w:val="00AC7CAF"/>
    <w:rsid w:val="00AC7DF4"/>
    <w:rsid w:val="00AD2396"/>
    <w:rsid w:val="00AD4107"/>
    <w:rsid w:val="00AD4ADD"/>
    <w:rsid w:val="00AD7C22"/>
    <w:rsid w:val="00AD7C84"/>
    <w:rsid w:val="00AD7D39"/>
    <w:rsid w:val="00AD7F2B"/>
    <w:rsid w:val="00AE1FFB"/>
    <w:rsid w:val="00AE224A"/>
    <w:rsid w:val="00AE26FF"/>
    <w:rsid w:val="00AE4B12"/>
    <w:rsid w:val="00AE5596"/>
    <w:rsid w:val="00AE55B5"/>
    <w:rsid w:val="00AE5B52"/>
    <w:rsid w:val="00AE7A36"/>
    <w:rsid w:val="00AF004C"/>
    <w:rsid w:val="00AF022B"/>
    <w:rsid w:val="00AF0AB0"/>
    <w:rsid w:val="00AF0C4B"/>
    <w:rsid w:val="00AF12FA"/>
    <w:rsid w:val="00AF2925"/>
    <w:rsid w:val="00AF3204"/>
    <w:rsid w:val="00AF379A"/>
    <w:rsid w:val="00AF3A64"/>
    <w:rsid w:val="00AF3C62"/>
    <w:rsid w:val="00AF3FC2"/>
    <w:rsid w:val="00AF4A6C"/>
    <w:rsid w:val="00AF4B43"/>
    <w:rsid w:val="00AF5183"/>
    <w:rsid w:val="00AF758E"/>
    <w:rsid w:val="00AF7B55"/>
    <w:rsid w:val="00B003C8"/>
    <w:rsid w:val="00B0051F"/>
    <w:rsid w:val="00B007A2"/>
    <w:rsid w:val="00B00AEC"/>
    <w:rsid w:val="00B01CAE"/>
    <w:rsid w:val="00B01E55"/>
    <w:rsid w:val="00B022F8"/>
    <w:rsid w:val="00B027D7"/>
    <w:rsid w:val="00B0347B"/>
    <w:rsid w:val="00B035D1"/>
    <w:rsid w:val="00B03EA6"/>
    <w:rsid w:val="00B03FEA"/>
    <w:rsid w:val="00B048D5"/>
    <w:rsid w:val="00B057B3"/>
    <w:rsid w:val="00B05F4F"/>
    <w:rsid w:val="00B07170"/>
    <w:rsid w:val="00B078B1"/>
    <w:rsid w:val="00B1117E"/>
    <w:rsid w:val="00B1171E"/>
    <w:rsid w:val="00B12570"/>
    <w:rsid w:val="00B13568"/>
    <w:rsid w:val="00B143AD"/>
    <w:rsid w:val="00B144F7"/>
    <w:rsid w:val="00B15087"/>
    <w:rsid w:val="00B15320"/>
    <w:rsid w:val="00B15EA8"/>
    <w:rsid w:val="00B160BC"/>
    <w:rsid w:val="00B171F6"/>
    <w:rsid w:val="00B17FF9"/>
    <w:rsid w:val="00B209EE"/>
    <w:rsid w:val="00B223ED"/>
    <w:rsid w:val="00B246DA"/>
    <w:rsid w:val="00B27066"/>
    <w:rsid w:val="00B2722B"/>
    <w:rsid w:val="00B27974"/>
    <w:rsid w:val="00B3079B"/>
    <w:rsid w:val="00B30899"/>
    <w:rsid w:val="00B30F37"/>
    <w:rsid w:val="00B31304"/>
    <w:rsid w:val="00B32C03"/>
    <w:rsid w:val="00B339DE"/>
    <w:rsid w:val="00B33CC7"/>
    <w:rsid w:val="00B351C5"/>
    <w:rsid w:val="00B35632"/>
    <w:rsid w:val="00B35C4A"/>
    <w:rsid w:val="00B370E8"/>
    <w:rsid w:val="00B37CEC"/>
    <w:rsid w:val="00B406C8"/>
    <w:rsid w:val="00B40BB1"/>
    <w:rsid w:val="00B41352"/>
    <w:rsid w:val="00B4161E"/>
    <w:rsid w:val="00B41E33"/>
    <w:rsid w:val="00B4276F"/>
    <w:rsid w:val="00B42AE8"/>
    <w:rsid w:val="00B44033"/>
    <w:rsid w:val="00B442CE"/>
    <w:rsid w:val="00B45498"/>
    <w:rsid w:val="00B468C8"/>
    <w:rsid w:val="00B4738C"/>
    <w:rsid w:val="00B500E7"/>
    <w:rsid w:val="00B5079B"/>
    <w:rsid w:val="00B507A7"/>
    <w:rsid w:val="00B5096E"/>
    <w:rsid w:val="00B5152A"/>
    <w:rsid w:val="00B5318E"/>
    <w:rsid w:val="00B53D75"/>
    <w:rsid w:val="00B54F45"/>
    <w:rsid w:val="00B55890"/>
    <w:rsid w:val="00B56AA2"/>
    <w:rsid w:val="00B56CEA"/>
    <w:rsid w:val="00B6192D"/>
    <w:rsid w:val="00B630BC"/>
    <w:rsid w:val="00B6380A"/>
    <w:rsid w:val="00B63DFD"/>
    <w:rsid w:val="00B63E5D"/>
    <w:rsid w:val="00B647D9"/>
    <w:rsid w:val="00B64CF6"/>
    <w:rsid w:val="00B65AA7"/>
    <w:rsid w:val="00B65B6A"/>
    <w:rsid w:val="00B65BDC"/>
    <w:rsid w:val="00B660AB"/>
    <w:rsid w:val="00B671A7"/>
    <w:rsid w:val="00B671FC"/>
    <w:rsid w:val="00B6741C"/>
    <w:rsid w:val="00B67C67"/>
    <w:rsid w:val="00B7018D"/>
    <w:rsid w:val="00B71402"/>
    <w:rsid w:val="00B718E0"/>
    <w:rsid w:val="00B7190B"/>
    <w:rsid w:val="00B71C3A"/>
    <w:rsid w:val="00B7238F"/>
    <w:rsid w:val="00B733E5"/>
    <w:rsid w:val="00B73817"/>
    <w:rsid w:val="00B7495C"/>
    <w:rsid w:val="00B754DD"/>
    <w:rsid w:val="00B7593C"/>
    <w:rsid w:val="00B77ECB"/>
    <w:rsid w:val="00B807C5"/>
    <w:rsid w:val="00B82E1F"/>
    <w:rsid w:val="00B83057"/>
    <w:rsid w:val="00B8437D"/>
    <w:rsid w:val="00B844B8"/>
    <w:rsid w:val="00B85259"/>
    <w:rsid w:val="00B85592"/>
    <w:rsid w:val="00B85827"/>
    <w:rsid w:val="00B85D2E"/>
    <w:rsid w:val="00B85E6B"/>
    <w:rsid w:val="00B8607C"/>
    <w:rsid w:val="00B9024A"/>
    <w:rsid w:val="00B90A56"/>
    <w:rsid w:val="00B922BC"/>
    <w:rsid w:val="00B9236E"/>
    <w:rsid w:val="00B9251A"/>
    <w:rsid w:val="00B92712"/>
    <w:rsid w:val="00B92BDD"/>
    <w:rsid w:val="00B931B2"/>
    <w:rsid w:val="00B936B2"/>
    <w:rsid w:val="00B93BAE"/>
    <w:rsid w:val="00B93CEB"/>
    <w:rsid w:val="00B9426B"/>
    <w:rsid w:val="00B94677"/>
    <w:rsid w:val="00B94944"/>
    <w:rsid w:val="00B950BD"/>
    <w:rsid w:val="00B96841"/>
    <w:rsid w:val="00B9754B"/>
    <w:rsid w:val="00B97C4B"/>
    <w:rsid w:val="00BA001C"/>
    <w:rsid w:val="00BA0F46"/>
    <w:rsid w:val="00BA10E7"/>
    <w:rsid w:val="00BA1342"/>
    <w:rsid w:val="00BA157C"/>
    <w:rsid w:val="00BA1A35"/>
    <w:rsid w:val="00BA20EC"/>
    <w:rsid w:val="00BA2B93"/>
    <w:rsid w:val="00BA33D4"/>
    <w:rsid w:val="00BA40F3"/>
    <w:rsid w:val="00BA429B"/>
    <w:rsid w:val="00BA4A08"/>
    <w:rsid w:val="00BA61B4"/>
    <w:rsid w:val="00BA6374"/>
    <w:rsid w:val="00BA6E7E"/>
    <w:rsid w:val="00BA7F5E"/>
    <w:rsid w:val="00BB1D4B"/>
    <w:rsid w:val="00BB20C2"/>
    <w:rsid w:val="00BB21E7"/>
    <w:rsid w:val="00BB2B8B"/>
    <w:rsid w:val="00BB4028"/>
    <w:rsid w:val="00BB4B3B"/>
    <w:rsid w:val="00BB5BEC"/>
    <w:rsid w:val="00BB7137"/>
    <w:rsid w:val="00BB7329"/>
    <w:rsid w:val="00BB74C7"/>
    <w:rsid w:val="00BB77D1"/>
    <w:rsid w:val="00BB7D14"/>
    <w:rsid w:val="00BB7DA9"/>
    <w:rsid w:val="00BB7ECE"/>
    <w:rsid w:val="00BC00C1"/>
    <w:rsid w:val="00BC13B9"/>
    <w:rsid w:val="00BC18A7"/>
    <w:rsid w:val="00BC47BC"/>
    <w:rsid w:val="00BC60EA"/>
    <w:rsid w:val="00BC6C74"/>
    <w:rsid w:val="00BC6C9B"/>
    <w:rsid w:val="00BD0976"/>
    <w:rsid w:val="00BD0A52"/>
    <w:rsid w:val="00BD0DA4"/>
    <w:rsid w:val="00BD1756"/>
    <w:rsid w:val="00BD17EB"/>
    <w:rsid w:val="00BD1851"/>
    <w:rsid w:val="00BD1935"/>
    <w:rsid w:val="00BD23A2"/>
    <w:rsid w:val="00BD4356"/>
    <w:rsid w:val="00BD47DE"/>
    <w:rsid w:val="00BD4838"/>
    <w:rsid w:val="00BD4892"/>
    <w:rsid w:val="00BD489D"/>
    <w:rsid w:val="00BD4B1F"/>
    <w:rsid w:val="00BD4E31"/>
    <w:rsid w:val="00BD5488"/>
    <w:rsid w:val="00BD55A4"/>
    <w:rsid w:val="00BD6244"/>
    <w:rsid w:val="00BD6285"/>
    <w:rsid w:val="00BD6CCF"/>
    <w:rsid w:val="00BE08D3"/>
    <w:rsid w:val="00BE0DA1"/>
    <w:rsid w:val="00BE1738"/>
    <w:rsid w:val="00BE17E5"/>
    <w:rsid w:val="00BE1F4E"/>
    <w:rsid w:val="00BE28C6"/>
    <w:rsid w:val="00BE4CFF"/>
    <w:rsid w:val="00BE5004"/>
    <w:rsid w:val="00BE52B3"/>
    <w:rsid w:val="00BE5F9D"/>
    <w:rsid w:val="00BE6F64"/>
    <w:rsid w:val="00BE73C9"/>
    <w:rsid w:val="00BF0440"/>
    <w:rsid w:val="00BF0C6B"/>
    <w:rsid w:val="00BF0C81"/>
    <w:rsid w:val="00BF0DAB"/>
    <w:rsid w:val="00BF36E0"/>
    <w:rsid w:val="00BF433E"/>
    <w:rsid w:val="00BF536A"/>
    <w:rsid w:val="00BF59BC"/>
    <w:rsid w:val="00BF5F53"/>
    <w:rsid w:val="00BF6772"/>
    <w:rsid w:val="00BF6997"/>
    <w:rsid w:val="00BF749F"/>
    <w:rsid w:val="00BF7606"/>
    <w:rsid w:val="00C0030F"/>
    <w:rsid w:val="00C0057C"/>
    <w:rsid w:val="00C00B71"/>
    <w:rsid w:val="00C014E4"/>
    <w:rsid w:val="00C02436"/>
    <w:rsid w:val="00C02608"/>
    <w:rsid w:val="00C02639"/>
    <w:rsid w:val="00C03629"/>
    <w:rsid w:val="00C03A4A"/>
    <w:rsid w:val="00C04075"/>
    <w:rsid w:val="00C04489"/>
    <w:rsid w:val="00C05510"/>
    <w:rsid w:val="00C05582"/>
    <w:rsid w:val="00C05A88"/>
    <w:rsid w:val="00C06665"/>
    <w:rsid w:val="00C0679B"/>
    <w:rsid w:val="00C074F1"/>
    <w:rsid w:val="00C07715"/>
    <w:rsid w:val="00C107F1"/>
    <w:rsid w:val="00C11DE4"/>
    <w:rsid w:val="00C12C40"/>
    <w:rsid w:val="00C130DC"/>
    <w:rsid w:val="00C13157"/>
    <w:rsid w:val="00C132DE"/>
    <w:rsid w:val="00C13CB8"/>
    <w:rsid w:val="00C14926"/>
    <w:rsid w:val="00C14C19"/>
    <w:rsid w:val="00C14D2E"/>
    <w:rsid w:val="00C156EF"/>
    <w:rsid w:val="00C15718"/>
    <w:rsid w:val="00C159BE"/>
    <w:rsid w:val="00C166AE"/>
    <w:rsid w:val="00C16899"/>
    <w:rsid w:val="00C1695F"/>
    <w:rsid w:val="00C16E3A"/>
    <w:rsid w:val="00C172CD"/>
    <w:rsid w:val="00C2018D"/>
    <w:rsid w:val="00C20336"/>
    <w:rsid w:val="00C212D0"/>
    <w:rsid w:val="00C21FB6"/>
    <w:rsid w:val="00C22D02"/>
    <w:rsid w:val="00C22E30"/>
    <w:rsid w:val="00C23A97"/>
    <w:rsid w:val="00C24CD6"/>
    <w:rsid w:val="00C271FD"/>
    <w:rsid w:val="00C2778F"/>
    <w:rsid w:val="00C30899"/>
    <w:rsid w:val="00C317B0"/>
    <w:rsid w:val="00C31BF9"/>
    <w:rsid w:val="00C32364"/>
    <w:rsid w:val="00C32A01"/>
    <w:rsid w:val="00C32C07"/>
    <w:rsid w:val="00C33132"/>
    <w:rsid w:val="00C331DA"/>
    <w:rsid w:val="00C33362"/>
    <w:rsid w:val="00C33752"/>
    <w:rsid w:val="00C341C2"/>
    <w:rsid w:val="00C34CC0"/>
    <w:rsid w:val="00C35359"/>
    <w:rsid w:val="00C35D38"/>
    <w:rsid w:val="00C366FC"/>
    <w:rsid w:val="00C40653"/>
    <w:rsid w:val="00C40742"/>
    <w:rsid w:val="00C40841"/>
    <w:rsid w:val="00C40956"/>
    <w:rsid w:val="00C409E7"/>
    <w:rsid w:val="00C40DD4"/>
    <w:rsid w:val="00C417B7"/>
    <w:rsid w:val="00C424ED"/>
    <w:rsid w:val="00C439E8"/>
    <w:rsid w:val="00C43C6E"/>
    <w:rsid w:val="00C44ADE"/>
    <w:rsid w:val="00C45B56"/>
    <w:rsid w:val="00C46423"/>
    <w:rsid w:val="00C47251"/>
    <w:rsid w:val="00C47BC0"/>
    <w:rsid w:val="00C5131D"/>
    <w:rsid w:val="00C51914"/>
    <w:rsid w:val="00C51F0F"/>
    <w:rsid w:val="00C51F38"/>
    <w:rsid w:val="00C520E8"/>
    <w:rsid w:val="00C52804"/>
    <w:rsid w:val="00C52A59"/>
    <w:rsid w:val="00C52E1A"/>
    <w:rsid w:val="00C53B82"/>
    <w:rsid w:val="00C546B6"/>
    <w:rsid w:val="00C55985"/>
    <w:rsid w:val="00C56885"/>
    <w:rsid w:val="00C56DED"/>
    <w:rsid w:val="00C60D60"/>
    <w:rsid w:val="00C617AE"/>
    <w:rsid w:val="00C61E7D"/>
    <w:rsid w:val="00C62B22"/>
    <w:rsid w:val="00C633EB"/>
    <w:rsid w:val="00C63FBD"/>
    <w:rsid w:val="00C64E66"/>
    <w:rsid w:val="00C6684D"/>
    <w:rsid w:val="00C66B9F"/>
    <w:rsid w:val="00C66C5F"/>
    <w:rsid w:val="00C67C92"/>
    <w:rsid w:val="00C71B0C"/>
    <w:rsid w:val="00C7349C"/>
    <w:rsid w:val="00C73D75"/>
    <w:rsid w:val="00C746E4"/>
    <w:rsid w:val="00C74B55"/>
    <w:rsid w:val="00C76B39"/>
    <w:rsid w:val="00C777AA"/>
    <w:rsid w:val="00C801D9"/>
    <w:rsid w:val="00C80B0F"/>
    <w:rsid w:val="00C811A3"/>
    <w:rsid w:val="00C81244"/>
    <w:rsid w:val="00C81454"/>
    <w:rsid w:val="00C817FB"/>
    <w:rsid w:val="00C81AD9"/>
    <w:rsid w:val="00C824F8"/>
    <w:rsid w:val="00C83265"/>
    <w:rsid w:val="00C83FD1"/>
    <w:rsid w:val="00C84584"/>
    <w:rsid w:val="00C84949"/>
    <w:rsid w:val="00C853A1"/>
    <w:rsid w:val="00C853FE"/>
    <w:rsid w:val="00C854EE"/>
    <w:rsid w:val="00C85F67"/>
    <w:rsid w:val="00C86E71"/>
    <w:rsid w:val="00C8761C"/>
    <w:rsid w:val="00C87D77"/>
    <w:rsid w:val="00C907BA"/>
    <w:rsid w:val="00C90E95"/>
    <w:rsid w:val="00C910FE"/>
    <w:rsid w:val="00C91418"/>
    <w:rsid w:val="00C936AD"/>
    <w:rsid w:val="00C9525D"/>
    <w:rsid w:val="00C952E0"/>
    <w:rsid w:val="00C95394"/>
    <w:rsid w:val="00C96B06"/>
    <w:rsid w:val="00C97371"/>
    <w:rsid w:val="00C97ED8"/>
    <w:rsid w:val="00CA063F"/>
    <w:rsid w:val="00CA0747"/>
    <w:rsid w:val="00CA1396"/>
    <w:rsid w:val="00CA1E22"/>
    <w:rsid w:val="00CA221F"/>
    <w:rsid w:val="00CA2D2A"/>
    <w:rsid w:val="00CA3561"/>
    <w:rsid w:val="00CA50F5"/>
    <w:rsid w:val="00CA519E"/>
    <w:rsid w:val="00CA587F"/>
    <w:rsid w:val="00CA5B95"/>
    <w:rsid w:val="00CA72AE"/>
    <w:rsid w:val="00CA744D"/>
    <w:rsid w:val="00CB100C"/>
    <w:rsid w:val="00CB1690"/>
    <w:rsid w:val="00CB2BAC"/>
    <w:rsid w:val="00CB304D"/>
    <w:rsid w:val="00CB39F5"/>
    <w:rsid w:val="00CB3EC2"/>
    <w:rsid w:val="00CB4645"/>
    <w:rsid w:val="00CB4ED4"/>
    <w:rsid w:val="00CB4EE1"/>
    <w:rsid w:val="00CB530B"/>
    <w:rsid w:val="00CB541E"/>
    <w:rsid w:val="00CB6633"/>
    <w:rsid w:val="00CB7A50"/>
    <w:rsid w:val="00CB7B14"/>
    <w:rsid w:val="00CC0706"/>
    <w:rsid w:val="00CC07F8"/>
    <w:rsid w:val="00CC1AFE"/>
    <w:rsid w:val="00CC207A"/>
    <w:rsid w:val="00CC21FD"/>
    <w:rsid w:val="00CC2710"/>
    <w:rsid w:val="00CC272D"/>
    <w:rsid w:val="00CC2ADF"/>
    <w:rsid w:val="00CC583A"/>
    <w:rsid w:val="00CC62DF"/>
    <w:rsid w:val="00CC68CE"/>
    <w:rsid w:val="00CC75E7"/>
    <w:rsid w:val="00CD2009"/>
    <w:rsid w:val="00CD2142"/>
    <w:rsid w:val="00CD2841"/>
    <w:rsid w:val="00CD2FE1"/>
    <w:rsid w:val="00CD41AB"/>
    <w:rsid w:val="00CD4AE2"/>
    <w:rsid w:val="00CD5914"/>
    <w:rsid w:val="00CD5C63"/>
    <w:rsid w:val="00CD609F"/>
    <w:rsid w:val="00CD6334"/>
    <w:rsid w:val="00CD75D0"/>
    <w:rsid w:val="00CD7785"/>
    <w:rsid w:val="00CE0DC1"/>
    <w:rsid w:val="00CE1D2B"/>
    <w:rsid w:val="00CE3276"/>
    <w:rsid w:val="00CE3980"/>
    <w:rsid w:val="00CE4009"/>
    <w:rsid w:val="00CE4424"/>
    <w:rsid w:val="00CE4D3D"/>
    <w:rsid w:val="00CE5E4F"/>
    <w:rsid w:val="00CE668D"/>
    <w:rsid w:val="00CE748B"/>
    <w:rsid w:val="00CE7A77"/>
    <w:rsid w:val="00CF14A6"/>
    <w:rsid w:val="00CF18F9"/>
    <w:rsid w:val="00CF2F57"/>
    <w:rsid w:val="00CF32E5"/>
    <w:rsid w:val="00CF35ED"/>
    <w:rsid w:val="00CF3DC6"/>
    <w:rsid w:val="00CF4288"/>
    <w:rsid w:val="00CF46DA"/>
    <w:rsid w:val="00CF48DC"/>
    <w:rsid w:val="00CF6602"/>
    <w:rsid w:val="00CF72B0"/>
    <w:rsid w:val="00CF7492"/>
    <w:rsid w:val="00D01E14"/>
    <w:rsid w:val="00D029FF"/>
    <w:rsid w:val="00D0424A"/>
    <w:rsid w:val="00D04F88"/>
    <w:rsid w:val="00D05DC3"/>
    <w:rsid w:val="00D06D43"/>
    <w:rsid w:val="00D100CD"/>
    <w:rsid w:val="00D10374"/>
    <w:rsid w:val="00D104F0"/>
    <w:rsid w:val="00D10667"/>
    <w:rsid w:val="00D113F2"/>
    <w:rsid w:val="00D118FD"/>
    <w:rsid w:val="00D129A7"/>
    <w:rsid w:val="00D12A57"/>
    <w:rsid w:val="00D12E29"/>
    <w:rsid w:val="00D148CE"/>
    <w:rsid w:val="00D16053"/>
    <w:rsid w:val="00D16408"/>
    <w:rsid w:val="00D16D62"/>
    <w:rsid w:val="00D16EAD"/>
    <w:rsid w:val="00D201FC"/>
    <w:rsid w:val="00D20529"/>
    <w:rsid w:val="00D2056F"/>
    <w:rsid w:val="00D207EA"/>
    <w:rsid w:val="00D213E8"/>
    <w:rsid w:val="00D223F2"/>
    <w:rsid w:val="00D224D8"/>
    <w:rsid w:val="00D22BDC"/>
    <w:rsid w:val="00D24148"/>
    <w:rsid w:val="00D25171"/>
    <w:rsid w:val="00D258F4"/>
    <w:rsid w:val="00D25BD9"/>
    <w:rsid w:val="00D2616D"/>
    <w:rsid w:val="00D263E6"/>
    <w:rsid w:val="00D26592"/>
    <w:rsid w:val="00D26B45"/>
    <w:rsid w:val="00D26BAC"/>
    <w:rsid w:val="00D275F9"/>
    <w:rsid w:val="00D27704"/>
    <w:rsid w:val="00D30AE6"/>
    <w:rsid w:val="00D30EF2"/>
    <w:rsid w:val="00D31D2D"/>
    <w:rsid w:val="00D31E6E"/>
    <w:rsid w:val="00D32BC9"/>
    <w:rsid w:val="00D32D62"/>
    <w:rsid w:val="00D3347A"/>
    <w:rsid w:val="00D335A0"/>
    <w:rsid w:val="00D33605"/>
    <w:rsid w:val="00D33C70"/>
    <w:rsid w:val="00D3522D"/>
    <w:rsid w:val="00D354C2"/>
    <w:rsid w:val="00D35A8B"/>
    <w:rsid w:val="00D365B8"/>
    <w:rsid w:val="00D366A4"/>
    <w:rsid w:val="00D367E6"/>
    <w:rsid w:val="00D370D4"/>
    <w:rsid w:val="00D37A9B"/>
    <w:rsid w:val="00D37E4D"/>
    <w:rsid w:val="00D4126E"/>
    <w:rsid w:val="00D417E3"/>
    <w:rsid w:val="00D43444"/>
    <w:rsid w:val="00D44055"/>
    <w:rsid w:val="00D4412C"/>
    <w:rsid w:val="00D44352"/>
    <w:rsid w:val="00D4489F"/>
    <w:rsid w:val="00D47ACB"/>
    <w:rsid w:val="00D47F83"/>
    <w:rsid w:val="00D51A1F"/>
    <w:rsid w:val="00D52A12"/>
    <w:rsid w:val="00D53232"/>
    <w:rsid w:val="00D537F9"/>
    <w:rsid w:val="00D5389A"/>
    <w:rsid w:val="00D53A6E"/>
    <w:rsid w:val="00D542D3"/>
    <w:rsid w:val="00D54DAC"/>
    <w:rsid w:val="00D56081"/>
    <w:rsid w:val="00D5627E"/>
    <w:rsid w:val="00D57B0C"/>
    <w:rsid w:val="00D6011A"/>
    <w:rsid w:val="00D6064E"/>
    <w:rsid w:val="00D6078C"/>
    <w:rsid w:val="00D60F5E"/>
    <w:rsid w:val="00D61033"/>
    <w:rsid w:val="00D61A7A"/>
    <w:rsid w:val="00D61A7F"/>
    <w:rsid w:val="00D62D53"/>
    <w:rsid w:val="00D6379A"/>
    <w:rsid w:val="00D6436C"/>
    <w:rsid w:val="00D65274"/>
    <w:rsid w:val="00D6552A"/>
    <w:rsid w:val="00D6680B"/>
    <w:rsid w:val="00D66B50"/>
    <w:rsid w:val="00D67801"/>
    <w:rsid w:val="00D7331F"/>
    <w:rsid w:val="00D74282"/>
    <w:rsid w:val="00D74791"/>
    <w:rsid w:val="00D74D66"/>
    <w:rsid w:val="00D75277"/>
    <w:rsid w:val="00D75415"/>
    <w:rsid w:val="00D75EAE"/>
    <w:rsid w:val="00D75F19"/>
    <w:rsid w:val="00D76A27"/>
    <w:rsid w:val="00D76AC4"/>
    <w:rsid w:val="00D816F4"/>
    <w:rsid w:val="00D81912"/>
    <w:rsid w:val="00D8238F"/>
    <w:rsid w:val="00D825D6"/>
    <w:rsid w:val="00D85452"/>
    <w:rsid w:val="00D85514"/>
    <w:rsid w:val="00D8683C"/>
    <w:rsid w:val="00D879BB"/>
    <w:rsid w:val="00D9059D"/>
    <w:rsid w:val="00D90A66"/>
    <w:rsid w:val="00D90B09"/>
    <w:rsid w:val="00D92085"/>
    <w:rsid w:val="00D9217D"/>
    <w:rsid w:val="00D9218A"/>
    <w:rsid w:val="00D9229A"/>
    <w:rsid w:val="00D9255C"/>
    <w:rsid w:val="00D92EA4"/>
    <w:rsid w:val="00D9354C"/>
    <w:rsid w:val="00D93FE4"/>
    <w:rsid w:val="00D9452A"/>
    <w:rsid w:val="00D95C64"/>
    <w:rsid w:val="00D95F53"/>
    <w:rsid w:val="00D96206"/>
    <w:rsid w:val="00D966F6"/>
    <w:rsid w:val="00D96722"/>
    <w:rsid w:val="00D979EE"/>
    <w:rsid w:val="00D97E65"/>
    <w:rsid w:val="00DA031C"/>
    <w:rsid w:val="00DA040F"/>
    <w:rsid w:val="00DA13E2"/>
    <w:rsid w:val="00DA1772"/>
    <w:rsid w:val="00DA1D73"/>
    <w:rsid w:val="00DA26B6"/>
    <w:rsid w:val="00DA2E28"/>
    <w:rsid w:val="00DA38B0"/>
    <w:rsid w:val="00DA56BB"/>
    <w:rsid w:val="00DA5B07"/>
    <w:rsid w:val="00DA5F54"/>
    <w:rsid w:val="00DA609B"/>
    <w:rsid w:val="00DA6A88"/>
    <w:rsid w:val="00DA7442"/>
    <w:rsid w:val="00DA77D7"/>
    <w:rsid w:val="00DB0290"/>
    <w:rsid w:val="00DB2AC1"/>
    <w:rsid w:val="00DB31F1"/>
    <w:rsid w:val="00DB3899"/>
    <w:rsid w:val="00DB408A"/>
    <w:rsid w:val="00DB44A2"/>
    <w:rsid w:val="00DB44C5"/>
    <w:rsid w:val="00DB49B4"/>
    <w:rsid w:val="00DB5A84"/>
    <w:rsid w:val="00DB5EA6"/>
    <w:rsid w:val="00DB63C9"/>
    <w:rsid w:val="00DB6C92"/>
    <w:rsid w:val="00DB783D"/>
    <w:rsid w:val="00DC06D0"/>
    <w:rsid w:val="00DC0A33"/>
    <w:rsid w:val="00DC0F11"/>
    <w:rsid w:val="00DC1F27"/>
    <w:rsid w:val="00DC2519"/>
    <w:rsid w:val="00DC4129"/>
    <w:rsid w:val="00DC6D7B"/>
    <w:rsid w:val="00DC7496"/>
    <w:rsid w:val="00DC7A44"/>
    <w:rsid w:val="00DD1E81"/>
    <w:rsid w:val="00DD321E"/>
    <w:rsid w:val="00DD3464"/>
    <w:rsid w:val="00DD3903"/>
    <w:rsid w:val="00DD516E"/>
    <w:rsid w:val="00DD56F0"/>
    <w:rsid w:val="00DD5AEB"/>
    <w:rsid w:val="00DD5C1A"/>
    <w:rsid w:val="00DD5F2D"/>
    <w:rsid w:val="00DD6B68"/>
    <w:rsid w:val="00DD6C78"/>
    <w:rsid w:val="00DD7970"/>
    <w:rsid w:val="00DE06F3"/>
    <w:rsid w:val="00DE11C2"/>
    <w:rsid w:val="00DE13D3"/>
    <w:rsid w:val="00DE25AC"/>
    <w:rsid w:val="00DE3790"/>
    <w:rsid w:val="00DE3CF0"/>
    <w:rsid w:val="00DE3F53"/>
    <w:rsid w:val="00DE410E"/>
    <w:rsid w:val="00DE42E3"/>
    <w:rsid w:val="00DE51EE"/>
    <w:rsid w:val="00DE6626"/>
    <w:rsid w:val="00DE78CB"/>
    <w:rsid w:val="00DF1B14"/>
    <w:rsid w:val="00DF1C73"/>
    <w:rsid w:val="00DF2873"/>
    <w:rsid w:val="00DF373B"/>
    <w:rsid w:val="00DF37D3"/>
    <w:rsid w:val="00DF4D59"/>
    <w:rsid w:val="00DF573B"/>
    <w:rsid w:val="00DF5EC8"/>
    <w:rsid w:val="00DF6276"/>
    <w:rsid w:val="00DF63F9"/>
    <w:rsid w:val="00DF6819"/>
    <w:rsid w:val="00E00F70"/>
    <w:rsid w:val="00E0117C"/>
    <w:rsid w:val="00E016D0"/>
    <w:rsid w:val="00E01895"/>
    <w:rsid w:val="00E01C21"/>
    <w:rsid w:val="00E028E5"/>
    <w:rsid w:val="00E02D50"/>
    <w:rsid w:val="00E02F7D"/>
    <w:rsid w:val="00E0387D"/>
    <w:rsid w:val="00E05753"/>
    <w:rsid w:val="00E0626F"/>
    <w:rsid w:val="00E0671D"/>
    <w:rsid w:val="00E06FB3"/>
    <w:rsid w:val="00E0735B"/>
    <w:rsid w:val="00E073A2"/>
    <w:rsid w:val="00E0797F"/>
    <w:rsid w:val="00E07C86"/>
    <w:rsid w:val="00E1052F"/>
    <w:rsid w:val="00E10598"/>
    <w:rsid w:val="00E1077D"/>
    <w:rsid w:val="00E108AF"/>
    <w:rsid w:val="00E10CE1"/>
    <w:rsid w:val="00E111AA"/>
    <w:rsid w:val="00E112A5"/>
    <w:rsid w:val="00E11ED6"/>
    <w:rsid w:val="00E11F05"/>
    <w:rsid w:val="00E11F44"/>
    <w:rsid w:val="00E1206A"/>
    <w:rsid w:val="00E12426"/>
    <w:rsid w:val="00E1340F"/>
    <w:rsid w:val="00E13BD4"/>
    <w:rsid w:val="00E14C27"/>
    <w:rsid w:val="00E14DF3"/>
    <w:rsid w:val="00E14F49"/>
    <w:rsid w:val="00E153D6"/>
    <w:rsid w:val="00E15B38"/>
    <w:rsid w:val="00E15BD3"/>
    <w:rsid w:val="00E1609A"/>
    <w:rsid w:val="00E16149"/>
    <w:rsid w:val="00E16499"/>
    <w:rsid w:val="00E16C86"/>
    <w:rsid w:val="00E20979"/>
    <w:rsid w:val="00E20D3B"/>
    <w:rsid w:val="00E21748"/>
    <w:rsid w:val="00E21FE5"/>
    <w:rsid w:val="00E23194"/>
    <w:rsid w:val="00E232F0"/>
    <w:rsid w:val="00E235CA"/>
    <w:rsid w:val="00E23807"/>
    <w:rsid w:val="00E24B84"/>
    <w:rsid w:val="00E2659A"/>
    <w:rsid w:val="00E27E65"/>
    <w:rsid w:val="00E301D2"/>
    <w:rsid w:val="00E311D9"/>
    <w:rsid w:val="00E319E0"/>
    <w:rsid w:val="00E31A3B"/>
    <w:rsid w:val="00E3250E"/>
    <w:rsid w:val="00E32AFC"/>
    <w:rsid w:val="00E3337E"/>
    <w:rsid w:val="00E33943"/>
    <w:rsid w:val="00E3406A"/>
    <w:rsid w:val="00E3419E"/>
    <w:rsid w:val="00E35131"/>
    <w:rsid w:val="00E360E3"/>
    <w:rsid w:val="00E368D8"/>
    <w:rsid w:val="00E37232"/>
    <w:rsid w:val="00E3748D"/>
    <w:rsid w:val="00E40494"/>
    <w:rsid w:val="00E4114E"/>
    <w:rsid w:val="00E418A4"/>
    <w:rsid w:val="00E42812"/>
    <w:rsid w:val="00E43E22"/>
    <w:rsid w:val="00E43F6E"/>
    <w:rsid w:val="00E455D4"/>
    <w:rsid w:val="00E462CE"/>
    <w:rsid w:val="00E468AC"/>
    <w:rsid w:val="00E468DD"/>
    <w:rsid w:val="00E47BA8"/>
    <w:rsid w:val="00E500A1"/>
    <w:rsid w:val="00E500FD"/>
    <w:rsid w:val="00E50600"/>
    <w:rsid w:val="00E50B34"/>
    <w:rsid w:val="00E51204"/>
    <w:rsid w:val="00E51C0B"/>
    <w:rsid w:val="00E51FDF"/>
    <w:rsid w:val="00E525CC"/>
    <w:rsid w:val="00E534B0"/>
    <w:rsid w:val="00E5459F"/>
    <w:rsid w:val="00E55D04"/>
    <w:rsid w:val="00E55EED"/>
    <w:rsid w:val="00E55FAC"/>
    <w:rsid w:val="00E56B76"/>
    <w:rsid w:val="00E57CFB"/>
    <w:rsid w:val="00E612A2"/>
    <w:rsid w:val="00E613A1"/>
    <w:rsid w:val="00E6240D"/>
    <w:rsid w:val="00E62519"/>
    <w:rsid w:val="00E6291C"/>
    <w:rsid w:val="00E636EB"/>
    <w:rsid w:val="00E64EBD"/>
    <w:rsid w:val="00E6515A"/>
    <w:rsid w:val="00E65FFF"/>
    <w:rsid w:val="00E674DF"/>
    <w:rsid w:val="00E676DA"/>
    <w:rsid w:val="00E706AA"/>
    <w:rsid w:val="00E70E87"/>
    <w:rsid w:val="00E71D49"/>
    <w:rsid w:val="00E720D7"/>
    <w:rsid w:val="00E72C9A"/>
    <w:rsid w:val="00E73343"/>
    <w:rsid w:val="00E74095"/>
    <w:rsid w:val="00E74C2D"/>
    <w:rsid w:val="00E74CF9"/>
    <w:rsid w:val="00E75224"/>
    <w:rsid w:val="00E7535E"/>
    <w:rsid w:val="00E75CF2"/>
    <w:rsid w:val="00E76D23"/>
    <w:rsid w:val="00E77BBF"/>
    <w:rsid w:val="00E77D9E"/>
    <w:rsid w:val="00E80263"/>
    <w:rsid w:val="00E80277"/>
    <w:rsid w:val="00E80840"/>
    <w:rsid w:val="00E80E88"/>
    <w:rsid w:val="00E81474"/>
    <w:rsid w:val="00E81D3A"/>
    <w:rsid w:val="00E83899"/>
    <w:rsid w:val="00E84A53"/>
    <w:rsid w:val="00E84C9A"/>
    <w:rsid w:val="00E84EA4"/>
    <w:rsid w:val="00E851D5"/>
    <w:rsid w:val="00E85A61"/>
    <w:rsid w:val="00E85EFE"/>
    <w:rsid w:val="00E86085"/>
    <w:rsid w:val="00E87CCE"/>
    <w:rsid w:val="00E915EB"/>
    <w:rsid w:val="00E917E1"/>
    <w:rsid w:val="00E919A1"/>
    <w:rsid w:val="00E91FF5"/>
    <w:rsid w:val="00E9262F"/>
    <w:rsid w:val="00E93037"/>
    <w:rsid w:val="00E93B2F"/>
    <w:rsid w:val="00E93E4A"/>
    <w:rsid w:val="00E9563C"/>
    <w:rsid w:val="00E960EE"/>
    <w:rsid w:val="00E9679A"/>
    <w:rsid w:val="00E96E6B"/>
    <w:rsid w:val="00EA0637"/>
    <w:rsid w:val="00EA06A4"/>
    <w:rsid w:val="00EA0BDA"/>
    <w:rsid w:val="00EA0DB3"/>
    <w:rsid w:val="00EA1240"/>
    <w:rsid w:val="00EA1E03"/>
    <w:rsid w:val="00EA1F6B"/>
    <w:rsid w:val="00EA29CC"/>
    <w:rsid w:val="00EA3FD4"/>
    <w:rsid w:val="00EA44A3"/>
    <w:rsid w:val="00EA4CF3"/>
    <w:rsid w:val="00EA563D"/>
    <w:rsid w:val="00EA628D"/>
    <w:rsid w:val="00EA6647"/>
    <w:rsid w:val="00EA66CC"/>
    <w:rsid w:val="00EA6C1D"/>
    <w:rsid w:val="00EA6CA8"/>
    <w:rsid w:val="00EA6E7C"/>
    <w:rsid w:val="00EA71EB"/>
    <w:rsid w:val="00EA736C"/>
    <w:rsid w:val="00EB0724"/>
    <w:rsid w:val="00EB0A96"/>
    <w:rsid w:val="00EB212D"/>
    <w:rsid w:val="00EB3291"/>
    <w:rsid w:val="00EB3FE1"/>
    <w:rsid w:val="00EB50B6"/>
    <w:rsid w:val="00EB57E9"/>
    <w:rsid w:val="00EB5838"/>
    <w:rsid w:val="00EB5F6F"/>
    <w:rsid w:val="00EC1B25"/>
    <w:rsid w:val="00EC2BBE"/>
    <w:rsid w:val="00EC339E"/>
    <w:rsid w:val="00EC3A0D"/>
    <w:rsid w:val="00EC3E31"/>
    <w:rsid w:val="00EC4E38"/>
    <w:rsid w:val="00EC5B74"/>
    <w:rsid w:val="00EC6B2A"/>
    <w:rsid w:val="00EC722B"/>
    <w:rsid w:val="00EC7650"/>
    <w:rsid w:val="00EC79D2"/>
    <w:rsid w:val="00EC7FEE"/>
    <w:rsid w:val="00ED0B0F"/>
    <w:rsid w:val="00ED1ECF"/>
    <w:rsid w:val="00ED2790"/>
    <w:rsid w:val="00ED2DBF"/>
    <w:rsid w:val="00ED2F1E"/>
    <w:rsid w:val="00ED347C"/>
    <w:rsid w:val="00ED3E43"/>
    <w:rsid w:val="00ED3F44"/>
    <w:rsid w:val="00ED5143"/>
    <w:rsid w:val="00ED6174"/>
    <w:rsid w:val="00ED6741"/>
    <w:rsid w:val="00ED6997"/>
    <w:rsid w:val="00ED69DA"/>
    <w:rsid w:val="00ED73DF"/>
    <w:rsid w:val="00ED7FAD"/>
    <w:rsid w:val="00EE018D"/>
    <w:rsid w:val="00EE1666"/>
    <w:rsid w:val="00EE189C"/>
    <w:rsid w:val="00EE36C4"/>
    <w:rsid w:val="00EE492B"/>
    <w:rsid w:val="00EE63BB"/>
    <w:rsid w:val="00EE6F0D"/>
    <w:rsid w:val="00EE7930"/>
    <w:rsid w:val="00EE7AF3"/>
    <w:rsid w:val="00EE7C77"/>
    <w:rsid w:val="00EF2443"/>
    <w:rsid w:val="00EF3204"/>
    <w:rsid w:val="00EF32F8"/>
    <w:rsid w:val="00EF5D04"/>
    <w:rsid w:val="00EF6018"/>
    <w:rsid w:val="00F00A24"/>
    <w:rsid w:val="00F00C1B"/>
    <w:rsid w:val="00F01C29"/>
    <w:rsid w:val="00F02134"/>
    <w:rsid w:val="00F0213D"/>
    <w:rsid w:val="00F0275F"/>
    <w:rsid w:val="00F03BD1"/>
    <w:rsid w:val="00F04633"/>
    <w:rsid w:val="00F04BD7"/>
    <w:rsid w:val="00F05073"/>
    <w:rsid w:val="00F054EE"/>
    <w:rsid w:val="00F06243"/>
    <w:rsid w:val="00F063BC"/>
    <w:rsid w:val="00F06F8E"/>
    <w:rsid w:val="00F0746C"/>
    <w:rsid w:val="00F07D07"/>
    <w:rsid w:val="00F11463"/>
    <w:rsid w:val="00F127DF"/>
    <w:rsid w:val="00F1295A"/>
    <w:rsid w:val="00F13BB9"/>
    <w:rsid w:val="00F13C39"/>
    <w:rsid w:val="00F14289"/>
    <w:rsid w:val="00F142FA"/>
    <w:rsid w:val="00F145F5"/>
    <w:rsid w:val="00F14722"/>
    <w:rsid w:val="00F14BE6"/>
    <w:rsid w:val="00F15777"/>
    <w:rsid w:val="00F15E93"/>
    <w:rsid w:val="00F15F28"/>
    <w:rsid w:val="00F16CC4"/>
    <w:rsid w:val="00F16E98"/>
    <w:rsid w:val="00F1719F"/>
    <w:rsid w:val="00F17530"/>
    <w:rsid w:val="00F17CB7"/>
    <w:rsid w:val="00F21C42"/>
    <w:rsid w:val="00F21E06"/>
    <w:rsid w:val="00F21FAB"/>
    <w:rsid w:val="00F2233D"/>
    <w:rsid w:val="00F2295D"/>
    <w:rsid w:val="00F2298B"/>
    <w:rsid w:val="00F230DA"/>
    <w:rsid w:val="00F233E1"/>
    <w:rsid w:val="00F24D4F"/>
    <w:rsid w:val="00F254E7"/>
    <w:rsid w:val="00F26302"/>
    <w:rsid w:val="00F270A2"/>
    <w:rsid w:val="00F27594"/>
    <w:rsid w:val="00F279C1"/>
    <w:rsid w:val="00F27C73"/>
    <w:rsid w:val="00F27DC8"/>
    <w:rsid w:val="00F30112"/>
    <w:rsid w:val="00F30BA1"/>
    <w:rsid w:val="00F30F2D"/>
    <w:rsid w:val="00F31657"/>
    <w:rsid w:val="00F323B3"/>
    <w:rsid w:val="00F32922"/>
    <w:rsid w:val="00F32C40"/>
    <w:rsid w:val="00F3395E"/>
    <w:rsid w:val="00F3504D"/>
    <w:rsid w:val="00F3598C"/>
    <w:rsid w:val="00F37279"/>
    <w:rsid w:val="00F37799"/>
    <w:rsid w:val="00F37D4B"/>
    <w:rsid w:val="00F40713"/>
    <w:rsid w:val="00F4099F"/>
    <w:rsid w:val="00F40CE2"/>
    <w:rsid w:val="00F410B5"/>
    <w:rsid w:val="00F41954"/>
    <w:rsid w:val="00F41A40"/>
    <w:rsid w:val="00F42496"/>
    <w:rsid w:val="00F42BEB"/>
    <w:rsid w:val="00F42D25"/>
    <w:rsid w:val="00F4342A"/>
    <w:rsid w:val="00F44E64"/>
    <w:rsid w:val="00F45AA0"/>
    <w:rsid w:val="00F45D35"/>
    <w:rsid w:val="00F46CDD"/>
    <w:rsid w:val="00F47FFB"/>
    <w:rsid w:val="00F51365"/>
    <w:rsid w:val="00F51D71"/>
    <w:rsid w:val="00F520D0"/>
    <w:rsid w:val="00F52215"/>
    <w:rsid w:val="00F52D53"/>
    <w:rsid w:val="00F53CB6"/>
    <w:rsid w:val="00F545FE"/>
    <w:rsid w:val="00F55A83"/>
    <w:rsid w:val="00F56051"/>
    <w:rsid w:val="00F561D0"/>
    <w:rsid w:val="00F56A6C"/>
    <w:rsid w:val="00F56C49"/>
    <w:rsid w:val="00F57B2D"/>
    <w:rsid w:val="00F617AD"/>
    <w:rsid w:val="00F6225B"/>
    <w:rsid w:val="00F633CE"/>
    <w:rsid w:val="00F63871"/>
    <w:rsid w:val="00F64046"/>
    <w:rsid w:val="00F64160"/>
    <w:rsid w:val="00F647F8"/>
    <w:rsid w:val="00F65158"/>
    <w:rsid w:val="00F667EA"/>
    <w:rsid w:val="00F6696E"/>
    <w:rsid w:val="00F676E4"/>
    <w:rsid w:val="00F70464"/>
    <w:rsid w:val="00F70932"/>
    <w:rsid w:val="00F70EAC"/>
    <w:rsid w:val="00F71588"/>
    <w:rsid w:val="00F71891"/>
    <w:rsid w:val="00F71A27"/>
    <w:rsid w:val="00F71FC9"/>
    <w:rsid w:val="00F72678"/>
    <w:rsid w:val="00F727D7"/>
    <w:rsid w:val="00F73BEB"/>
    <w:rsid w:val="00F73C4A"/>
    <w:rsid w:val="00F73E57"/>
    <w:rsid w:val="00F741D2"/>
    <w:rsid w:val="00F74AD4"/>
    <w:rsid w:val="00F74C0E"/>
    <w:rsid w:val="00F754C2"/>
    <w:rsid w:val="00F762BF"/>
    <w:rsid w:val="00F80074"/>
    <w:rsid w:val="00F802FB"/>
    <w:rsid w:val="00F80462"/>
    <w:rsid w:val="00F8246C"/>
    <w:rsid w:val="00F8401C"/>
    <w:rsid w:val="00F84DF6"/>
    <w:rsid w:val="00F856EE"/>
    <w:rsid w:val="00F85AA8"/>
    <w:rsid w:val="00F85B6F"/>
    <w:rsid w:val="00F85EEF"/>
    <w:rsid w:val="00F8743A"/>
    <w:rsid w:val="00F87C66"/>
    <w:rsid w:val="00F91286"/>
    <w:rsid w:val="00F91483"/>
    <w:rsid w:val="00F921A7"/>
    <w:rsid w:val="00F92B8C"/>
    <w:rsid w:val="00F938C3"/>
    <w:rsid w:val="00F93A3B"/>
    <w:rsid w:val="00F93B03"/>
    <w:rsid w:val="00F94683"/>
    <w:rsid w:val="00F94732"/>
    <w:rsid w:val="00F94EE7"/>
    <w:rsid w:val="00F9608B"/>
    <w:rsid w:val="00F96F26"/>
    <w:rsid w:val="00F97A53"/>
    <w:rsid w:val="00F97BE1"/>
    <w:rsid w:val="00FA08FC"/>
    <w:rsid w:val="00FA0928"/>
    <w:rsid w:val="00FA1361"/>
    <w:rsid w:val="00FA17CE"/>
    <w:rsid w:val="00FA1A3E"/>
    <w:rsid w:val="00FA1F9F"/>
    <w:rsid w:val="00FA1FEB"/>
    <w:rsid w:val="00FA2FE2"/>
    <w:rsid w:val="00FA3A2E"/>
    <w:rsid w:val="00FA3F34"/>
    <w:rsid w:val="00FA59C5"/>
    <w:rsid w:val="00FA7E9D"/>
    <w:rsid w:val="00FB12CD"/>
    <w:rsid w:val="00FB15C1"/>
    <w:rsid w:val="00FB2152"/>
    <w:rsid w:val="00FB2260"/>
    <w:rsid w:val="00FB2D9F"/>
    <w:rsid w:val="00FB30C0"/>
    <w:rsid w:val="00FB3B00"/>
    <w:rsid w:val="00FB3BF5"/>
    <w:rsid w:val="00FB4E08"/>
    <w:rsid w:val="00FB4F9E"/>
    <w:rsid w:val="00FB50A5"/>
    <w:rsid w:val="00FB54EB"/>
    <w:rsid w:val="00FB6581"/>
    <w:rsid w:val="00FB67B9"/>
    <w:rsid w:val="00FB7387"/>
    <w:rsid w:val="00FB7802"/>
    <w:rsid w:val="00FC0886"/>
    <w:rsid w:val="00FC18FB"/>
    <w:rsid w:val="00FC2246"/>
    <w:rsid w:val="00FC25C0"/>
    <w:rsid w:val="00FC289A"/>
    <w:rsid w:val="00FC2C95"/>
    <w:rsid w:val="00FC2E22"/>
    <w:rsid w:val="00FC33CB"/>
    <w:rsid w:val="00FC4832"/>
    <w:rsid w:val="00FC4A9D"/>
    <w:rsid w:val="00FC517B"/>
    <w:rsid w:val="00FC53F8"/>
    <w:rsid w:val="00FC5F8D"/>
    <w:rsid w:val="00FC606C"/>
    <w:rsid w:val="00FC6F63"/>
    <w:rsid w:val="00FC728E"/>
    <w:rsid w:val="00FD17E3"/>
    <w:rsid w:val="00FD364D"/>
    <w:rsid w:val="00FD417D"/>
    <w:rsid w:val="00FD4424"/>
    <w:rsid w:val="00FD4E62"/>
    <w:rsid w:val="00FD5E03"/>
    <w:rsid w:val="00FD5F9E"/>
    <w:rsid w:val="00FD606C"/>
    <w:rsid w:val="00FD643A"/>
    <w:rsid w:val="00FD713B"/>
    <w:rsid w:val="00FD7464"/>
    <w:rsid w:val="00FD7CB7"/>
    <w:rsid w:val="00FD7DA7"/>
    <w:rsid w:val="00FD7F20"/>
    <w:rsid w:val="00FE1AB7"/>
    <w:rsid w:val="00FE2C6E"/>
    <w:rsid w:val="00FE3CA3"/>
    <w:rsid w:val="00FE479E"/>
    <w:rsid w:val="00FE5672"/>
    <w:rsid w:val="00FE62B5"/>
    <w:rsid w:val="00FE68FB"/>
    <w:rsid w:val="00FE78BA"/>
    <w:rsid w:val="00FE79CF"/>
    <w:rsid w:val="00FF054A"/>
    <w:rsid w:val="00FF0989"/>
    <w:rsid w:val="00FF100A"/>
    <w:rsid w:val="00FF12E5"/>
    <w:rsid w:val="00FF23C6"/>
    <w:rsid w:val="00FF39DF"/>
    <w:rsid w:val="00FF4223"/>
    <w:rsid w:val="00FF4466"/>
    <w:rsid w:val="00FF474B"/>
    <w:rsid w:val="00FF480A"/>
    <w:rsid w:val="00FF5260"/>
    <w:rsid w:val="00FF5995"/>
    <w:rsid w:val="00FF7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9F6474"/>
  <w15:chartTrackingRefBased/>
  <w15:docId w15:val="{1BDA39A0-5B88-4DD6-A0F4-E3E9F521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7801"/>
    <w:pPr>
      <w:spacing w:after="120" w:line="240" w:lineRule="auto"/>
    </w:pPr>
    <w:rPr>
      <w:rFonts w:ascii="Calibri" w:hAnsi="Calibri" w:cs="Times New Roman"/>
      <w:sz w:val="24"/>
      <w:szCs w:val="24"/>
    </w:rPr>
  </w:style>
  <w:style w:type="paragraph" w:styleId="Nadpis1">
    <w:name w:val="heading 1"/>
    <w:basedOn w:val="Normln"/>
    <w:next w:val="Normln"/>
    <w:link w:val="Nadpis1Char"/>
    <w:uiPriority w:val="9"/>
    <w:qFormat/>
    <w:rsid w:val="0033466E"/>
    <w:pPr>
      <w:spacing w:after="160" w:line="259" w:lineRule="auto"/>
      <w:jc w:val="center"/>
      <w:outlineLvl w:val="0"/>
    </w:pPr>
    <w:rPr>
      <w:rFonts w:asciiTheme="minorHAnsi" w:eastAsiaTheme="minorHAnsi" w:hAnsiTheme="minorHAnsi" w:cstheme="minorHAnsi"/>
      <w:b/>
      <w:sz w:val="28"/>
      <w:szCs w:val="28"/>
    </w:rPr>
  </w:style>
  <w:style w:type="paragraph" w:styleId="Nadpis2">
    <w:name w:val="heading 2"/>
    <w:basedOn w:val="Odstavecseseznamem"/>
    <w:next w:val="Normln"/>
    <w:link w:val="Nadpis2Char"/>
    <w:uiPriority w:val="9"/>
    <w:unhideWhenUsed/>
    <w:qFormat/>
    <w:rsid w:val="006F3F69"/>
    <w:pPr>
      <w:numPr>
        <w:numId w:val="1"/>
      </w:numPr>
      <w:spacing w:after="60" w:line="259" w:lineRule="auto"/>
      <w:jc w:val="both"/>
      <w:outlineLvl w:val="1"/>
    </w:pPr>
    <w:rPr>
      <w:rFonts w:asciiTheme="minorHAnsi" w:eastAsia="Calibri" w:hAnsiTheme="minorHAnsi" w:cstheme="minorHAnsi"/>
      <w:b/>
    </w:rPr>
  </w:style>
  <w:style w:type="paragraph" w:styleId="Nadpis3">
    <w:name w:val="heading 3"/>
    <w:basedOn w:val="Odstavecseseznamem"/>
    <w:next w:val="Normln"/>
    <w:link w:val="Nadpis3Char"/>
    <w:uiPriority w:val="9"/>
    <w:unhideWhenUsed/>
    <w:qFormat/>
    <w:rsid w:val="0043045F"/>
    <w:pPr>
      <w:keepNext/>
      <w:numPr>
        <w:ilvl w:val="1"/>
        <w:numId w:val="3"/>
      </w:numPr>
      <w:spacing w:after="0"/>
      <w:jc w:val="both"/>
      <w:outlineLvl w:val="2"/>
    </w:pPr>
    <w:rPr>
      <w:rFonts w:cs="Calibri"/>
      <w:b/>
    </w:rPr>
  </w:style>
  <w:style w:type="paragraph" w:styleId="Nadpis4">
    <w:name w:val="heading 4"/>
    <w:basedOn w:val="Normln"/>
    <w:next w:val="Normln"/>
    <w:link w:val="Nadpis4Char"/>
    <w:uiPriority w:val="9"/>
    <w:unhideWhenUsed/>
    <w:qFormat/>
    <w:rsid w:val="00115015"/>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15015"/>
    <w:pPr>
      <w:keepNext/>
      <w:keepLines/>
      <w:spacing w:before="40" w:after="0"/>
      <w:ind w:left="1008" w:hanging="1008"/>
      <w:outlineLvl w:val="4"/>
    </w:pPr>
    <w:rPr>
      <w:rFonts w:ascii="Arial" w:hAnsi="Arial"/>
      <w:b/>
      <w:bCs/>
      <w:sz w:val="22"/>
      <w:szCs w:val="26"/>
      <w:u w:val="single"/>
    </w:rPr>
  </w:style>
  <w:style w:type="paragraph" w:styleId="Nadpis6">
    <w:name w:val="heading 6"/>
    <w:basedOn w:val="Normln"/>
    <w:next w:val="Normln"/>
    <w:link w:val="Nadpis6Char"/>
    <w:unhideWhenUsed/>
    <w:qFormat/>
    <w:rsid w:val="0022055C"/>
    <w:pPr>
      <w:keepNext/>
      <w:spacing w:before="120" w:after="0"/>
      <w:jc w:val="center"/>
      <w:outlineLvl w:val="5"/>
    </w:pPr>
    <w:rPr>
      <w:rFonts w:ascii="Times New Roman" w:hAnsi="Times New Roman"/>
      <w:b/>
      <w:bCs/>
    </w:rPr>
  </w:style>
  <w:style w:type="paragraph" w:styleId="Nadpis7">
    <w:name w:val="heading 7"/>
    <w:basedOn w:val="Normln"/>
    <w:next w:val="Normln"/>
    <w:link w:val="Nadpis7Char"/>
    <w:uiPriority w:val="9"/>
    <w:semiHidden/>
    <w:unhideWhenUsed/>
    <w:qFormat/>
    <w:rsid w:val="0011501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1501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1501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466E"/>
    <w:rPr>
      <w:rFonts w:eastAsiaTheme="minorHAnsi" w:cstheme="minorHAnsi"/>
      <w:b/>
      <w:sz w:val="28"/>
      <w:szCs w:val="28"/>
    </w:rPr>
  </w:style>
  <w:style w:type="paragraph" w:styleId="Odstavecseseznamem">
    <w:name w:val="List Paragraph"/>
    <w:aliases w:val="Nad,Nadpis pro KZ,Odstavec_muj,odrážky,List Paragraph_0,List Paragraph,Odstavec cíl se seznamem,List Paragraph (Czech Tourism),Odstavec se seznamem5"/>
    <w:basedOn w:val="Normln"/>
    <w:link w:val="OdstavecseseznamemChar"/>
    <w:uiPriority w:val="34"/>
    <w:qFormat/>
    <w:rsid w:val="00F21FAB"/>
    <w:pPr>
      <w:ind w:left="720"/>
      <w:contextualSpacing/>
    </w:pPr>
  </w:style>
  <w:style w:type="character" w:customStyle="1" w:styleId="OdstavecseseznamemChar">
    <w:name w:val="Odstavec se seznamem Char"/>
    <w:aliases w:val="Nad Char,Nadpis pro KZ Char,Odstavec_muj Char,odrážky Char,List Paragraph_0 Char,List Paragraph Char,Odstavec cíl se seznamem Char,List Paragraph (Czech Tourism) Char,Odstavec se seznamem5 Char"/>
    <w:link w:val="Odstavecseseznamem"/>
    <w:uiPriority w:val="34"/>
    <w:locked/>
    <w:rsid w:val="004139C8"/>
    <w:rPr>
      <w:rFonts w:ascii="Calibri" w:hAnsi="Calibri" w:cs="Times New Roman"/>
      <w:sz w:val="24"/>
      <w:szCs w:val="24"/>
    </w:rPr>
  </w:style>
  <w:style w:type="character" w:customStyle="1" w:styleId="Nadpis2Char">
    <w:name w:val="Nadpis 2 Char"/>
    <w:basedOn w:val="Standardnpsmoodstavce"/>
    <w:link w:val="Nadpis2"/>
    <w:uiPriority w:val="9"/>
    <w:rsid w:val="006F3F69"/>
    <w:rPr>
      <w:rFonts w:eastAsia="Calibri" w:cstheme="minorHAnsi"/>
      <w:b/>
      <w:sz w:val="24"/>
      <w:szCs w:val="24"/>
    </w:rPr>
  </w:style>
  <w:style w:type="character" w:customStyle="1" w:styleId="Nadpis3Char">
    <w:name w:val="Nadpis 3 Char"/>
    <w:basedOn w:val="Standardnpsmoodstavce"/>
    <w:link w:val="Nadpis3"/>
    <w:uiPriority w:val="9"/>
    <w:rsid w:val="0043045F"/>
    <w:rPr>
      <w:rFonts w:ascii="Calibri" w:hAnsi="Calibri" w:cs="Calibri"/>
      <w:b/>
      <w:sz w:val="24"/>
      <w:szCs w:val="24"/>
    </w:rPr>
  </w:style>
  <w:style w:type="character" w:customStyle="1" w:styleId="Nadpis4Char">
    <w:name w:val="Nadpis 4 Char"/>
    <w:basedOn w:val="Standardnpsmoodstavce"/>
    <w:link w:val="Nadpis4"/>
    <w:uiPriority w:val="9"/>
    <w:rsid w:val="00115015"/>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semiHidden/>
    <w:rsid w:val="00C52E1A"/>
    <w:rPr>
      <w:rFonts w:ascii="Arial" w:hAnsi="Arial" w:cs="Times New Roman"/>
      <w:b/>
      <w:bCs/>
      <w:szCs w:val="26"/>
      <w:u w:val="single"/>
    </w:rPr>
  </w:style>
  <w:style w:type="character" w:customStyle="1" w:styleId="Nadpis6Char">
    <w:name w:val="Nadpis 6 Char"/>
    <w:basedOn w:val="Standardnpsmoodstavce"/>
    <w:link w:val="Nadpis6"/>
    <w:rsid w:val="0022055C"/>
    <w:rPr>
      <w:rFonts w:ascii="Times New Roman" w:hAnsi="Times New Roman" w:cs="Times New Roman"/>
      <w:b/>
      <w:bCs/>
      <w:sz w:val="24"/>
      <w:szCs w:val="24"/>
    </w:rPr>
  </w:style>
  <w:style w:type="character" w:customStyle="1" w:styleId="Nadpis7Char">
    <w:name w:val="Nadpis 7 Char"/>
    <w:basedOn w:val="Standardnpsmoodstavce"/>
    <w:link w:val="Nadpis7"/>
    <w:uiPriority w:val="9"/>
    <w:semiHidden/>
    <w:rsid w:val="0011501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11501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15015"/>
    <w:rPr>
      <w:rFonts w:asciiTheme="majorHAnsi" w:eastAsiaTheme="majorEastAsia" w:hAnsiTheme="majorHAnsi" w:cstheme="majorBidi"/>
      <w:i/>
      <w:iCs/>
      <w:color w:val="272727" w:themeColor="text1" w:themeTint="D8"/>
      <w:sz w:val="21"/>
      <w:szCs w:val="21"/>
    </w:rPr>
  </w:style>
  <w:style w:type="character" w:styleId="Znakapoznpodarou">
    <w:name w:val="footnote reference"/>
    <w:aliases w:val="12 b.,PGI Fußnote Ziffer,PGI Fußnote Ziffer + Times New Roman,Zúžené o ...,number"/>
    <w:basedOn w:val="Standardnpsmoodstavce"/>
    <w:uiPriority w:val="99"/>
    <w:rsid w:val="002B7978"/>
    <w:rPr>
      <w:vertAlign w:val="superscript"/>
    </w:rPr>
  </w:style>
  <w:style w:type="paragraph" w:styleId="Textpoznpodarou">
    <w:name w:val="footnote text"/>
    <w:aliases w:val="Boston 10,Font: Geneva 9,Footnote,Fußnotentextf,Geneva 9,Podrozdzia3,Podrozdział,Schriftart: 10 pt,Schriftart: 8 pt,Schriftart: 9 pt,Text pozn. pod čarou times,Text poznámky pod čiarou 007,f,pozn. pod čarou"/>
    <w:basedOn w:val="Normln"/>
    <w:link w:val="TextpoznpodarouChar"/>
    <w:uiPriority w:val="99"/>
    <w:qFormat/>
    <w:rsid w:val="002B7978"/>
    <w:pPr>
      <w:spacing w:after="0"/>
    </w:pPr>
    <w:rPr>
      <w:rFonts w:ascii="Times New Roman" w:hAnsi="Times New Roman"/>
      <w:sz w:val="20"/>
      <w:szCs w:val="20"/>
      <w:lang w:eastAsia="cs-CZ"/>
    </w:rPr>
  </w:style>
  <w:style w:type="character" w:customStyle="1" w:styleId="TextpoznpodarouChar">
    <w:name w:val="Text pozn. pod čarou Char"/>
    <w:aliases w:val="Boston 10 Char,Font: Geneva 9 Char,Footnote Char,Fußnotentextf Char,Geneva 9 Char,Podrozdzia3 Char,Podrozdział Char,Schriftart: 10 pt Char,Schriftart: 8 pt Char,Schriftart: 9 pt Char,Text pozn. pod čarou times Char,f Char"/>
    <w:basedOn w:val="Standardnpsmoodstavce"/>
    <w:link w:val="Textpoznpodarou"/>
    <w:uiPriority w:val="99"/>
    <w:rsid w:val="002B7978"/>
    <w:rPr>
      <w:rFonts w:ascii="Times New Roman" w:hAnsi="Times New Roman" w:cs="Times New Roman"/>
      <w:sz w:val="20"/>
      <w:szCs w:val="20"/>
      <w:lang w:eastAsia="cs-CZ"/>
    </w:rPr>
  </w:style>
  <w:style w:type="character" w:styleId="Hypertextovodkaz">
    <w:name w:val="Hyperlink"/>
    <w:basedOn w:val="Standardnpsmoodstavce"/>
    <w:uiPriority w:val="99"/>
    <w:unhideWhenUsed/>
    <w:rsid w:val="00FE78BA"/>
    <w:rPr>
      <w:color w:val="0563C1" w:themeColor="hyperlink"/>
      <w:u w:val="single"/>
    </w:rPr>
  </w:style>
  <w:style w:type="paragraph" w:customStyle="1" w:styleId="textKZ">
    <w:name w:val="text KZ"/>
    <w:basedOn w:val="Normln"/>
    <w:link w:val="textKZChar"/>
    <w:qFormat/>
    <w:rsid w:val="00833A3E"/>
    <w:pPr>
      <w:jc w:val="both"/>
    </w:pPr>
  </w:style>
  <w:style w:type="character" w:customStyle="1" w:styleId="textKZChar">
    <w:name w:val="text KZ Char"/>
    <w:basedOn w:val="Standardnpsmoodstavce"/>
    <w:link w:val="textKZ"/>
    <w:rsid w:val="00833A3E"/>
    <w:rPr>
      <w:rFonts w:ascii="Calibri" w:hAnsi="Calibri" w:cs="Times New Roman"/>
      <w:sz w:val="24"/>
      <w:szCs w:val="24"/>
    </w:rPr>
  </w:style>
  <w:style w:type="paragraph" w:styleId="Zhlav">
    <w:name w:val="header"/>
    <w:basedOn w:val="Normln"/>
    <w:link w:val="ZhlavChar"/>
    <w:uiPriority w:val="99"/>
    <w:unhideWhenUsed/>
    <w:rsid w:val="007E5640"/>
    <w:pPr>
      <w:tabs>
        <w:tab w:val="center" w:pos="4536"/>
        <w:tab w:val="right" w:pos="9072"/>
      </w:tabs>
      <w:spacing w:after="0"/>
    </w:pPr>
  </w:style>
  <w:style w:type="character" w:customStyle="1" w:styleId="ZhlavChar">
    <w:name w:val="Záhlaví Char"/>
    <w:basedOn w:val="Standardnpsmoodstavce"/>
    <w:link w:val="Zhlav"/>
    <w:uiPriority w:val="99"/>
    <w:rsid w:val="007E5640"/>
    <w:rPr>
      <w:rFonts w:ascii="Calibri" w:hAnsi="Calibri" w:cs="Times New Roman"/>
      <w:sz w:val="24"/>
      <w:szCs w:val="24"/>
    </w:rPr>
  </w:style>
  <w:style w:type="paragraph" w:styleId="Zpat">
    <w:name w:val="footer"/>
    <w:basedOn w:val="Normln"/>
    <w:link w:val="ZpatChar"/>
    <w:uiPriority w:val="99"/>
    <w:unhideWhenUsed/>
    <w:rsid w:val="007E5640"/>
    <w:pPr>
      <w:tabs>
        <w:tab w:val="center" w:pos="4536"/>
        <w:tab w:val="right" w:pos="9072"/>
      </w:tabs>
      <w:spacing w:after="0"/>
    </w:pPr>
  </w:style>
  <w:style w:type="character" w:customStyle="1" w:styleId="ZpatChar">
    <w:name w:val="Zápatí Char"/>
    <w:basedOn w:val="Standardnpsmoodstavce"/>
    <w:link w:val="Zpat"/>
    <w:uiPriority w:val="99"/>
    <w:rsid w:val="007E5640"/>
    <w:rPr>
      <w:rFonts w:ascii="Calibri" w:hAnsi="Calibri" w:cs="Times New Roman"/>
      <w:sz w:val="24"/>
      <w:szCs w:val="24"/>
    </w:rPr>
  </w:style>
  <w:style w:type="paragraph" w:customStyle="1" w:styleId="NormlnKZ">
    <w:name w:val="Normální KZ"/>
    <w:basedOn w:val="Normln"/>
    <w:rsid w:val="001B19A8"/>
    <w:pPr>
      <w:ind w:firstLine="425"/>
      <w:jc w:val="both"/>
    </w:pPr>
    <w:rPr>
      <w:rFonts w:ascii="Times New Roman" w:hAnsi="Times New Roman"/>
      <w:sz w:val="22"/>
      <w:lang w:eastAsia="cs-CZ"/>
    </w:rPr>
  </w:style>
  <w:style w:type="paragraph" w:styleId="Textbubliny">
    <w:name w:val="Balloon Text"/>
    <w:basedOn w:val="Normln"/>
    <w:link w:val="TextbublinyChar"/>
    <w:uiPriority w:val="99"/>
    <w:semiHidden/>
    <w:unhideWhenUsed/>
    <w:rsid w:val="00CC272D"/>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CC272D"/>
    <w:rPr>
      <w:rFonts w:ascii="Arial" w:hAnsi="Arial" w:cs="Arial"/>
      <w:sz w:val="18"/>
      <w:szCs w:val="18"/>
    </w:rPr>
  </w:style>
  <w:style w:type="table" w:customStyle="1" w:styleId="Mkatabulky21">
    <w:name w:val="Mřížka tabulky21"/>
    <w:basedOn w:val="Normlntabulka"/>
    <w:next w:val="Mkatabulky"/>
    <w:uiPriority w:val="59"/>
    <w:rsid w:val="006B1B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B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1347E"/>
    <w:rPr>
      <w:sz w:val="16"/>
      <w:szCs w:val="16"/>
    </w:rPr>
  </w:style>
  <w:style w:type="paragraph" w:styleId="Textkomente">
    <w:name w:val="annotation text"/>
    <w:basedOn w:val="Normln"/>
    <w:link w:val="TextkomenteChar"/>
    <w:uiPriority w:val="99"/>
    <w:semiHidden/>
    <w:unhideWhenUsed/>
    <w:rsid w:val="0081347E"/>
    <w:rPr>
      <w:sz w:val="20"/>
      <w:szCs w:val="20"/>
    </w:rPr>
  </w:style>
  <w:style w:type="character" w:customStyle="1" w:styleId="TextkomenteChar">
    <w:name w:val="Text komentáře Char"/>
    <w:basedOn w:val="Standardnpsmoodstavce"/>
    <w:link w:val="Textkomente"/>
    <w:uiPriority w:val="99"/>
    <w:semiHidden/>
    <w:rsid w:val="0081347E"/>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1347E"/>
    <w:rPr>
      <w:b/>
      <w:bCs/>
    </w:rPr>
  </w:style>
  <w:style w:type="character" w:customStyle="1" w:styleId="PedmtkomenteChar">
    <w:name w:val="Předmět komentáře Char"/>
    <w:basedOn w:val="TextkomenteChar"/>
    <w:link w:val="Pedmtkomente"/>
    <w:uiPriority w:val="99"/>
    <w:semiHidden/>
    <w:rsid w:val="0081347E"/>
    <w:rPr>
      <w:rFonts w:ascii="Calibri" w:hAnsi="Calibri" w:cs="Times New Roman"/>
      <w:b/>
      <w:bCs/>
      <w:sz w:val="20"/>
      <w:szCs w:val="20"/>
    </w:rPr>
  </w:style>
  <w:style w:type="paragraph" w:customStyle="1" w:styleId="Default">
    <w:name w:val="Default"/>
    <w:rsid w:val="00F667EA"/>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138A0"/>
    <w:pPr>
      <w:spacing w:after="0" w:line="240" w:lineRule="auto"/>
    </w:pPr>
    <w:rPr>
      <w:rFonts w:ascii="Calibri" w:hAnsi="Calibri" w:cs="Times New Roman"/>
      <w:sz w:val="24"/>
      <w:szCs w:val="24"/>
    </w:rPr>
  </w:style>
  <w:style w:type="character" w:styleId="Sledovanodkaz">
    <w:name w:val="FollowedHyperlink"/>
    <w:basedOn w:val="Standardnpsmoodstavce"/>
    <w:uiPriority w:val="99"/>
    <w:semiHidden/>
    <w:unhideWhenUsed/>
    <w:rsid w:val="007F120A"/>
    <w:rPr>
      <w:color w:val="954F72" w:themeColor="followedHyperlink"/>
      <w:u w:val="single"/>
    </w:rPr>
  </w:style>
  <w:style w:type="paragraph" w:customStyle="1" w:styleId="msonormal0">
    <w:name w:val="msonormal"/>
    <w:basedOn w:val="Normln"/>
    <w:rsid w:val="0022055C"/>
    <w:pPr>
      <w:spacing w:before="100" w:beforeAutospacing="1" w:after="100" w:afterAutospacing="1"/>
    </w:pPr>
    <w:rPr>
      <w:rFonts w:ascii="Times New Roman" w:hAnsi="Times New Roman"/>
      <w:lang w:eastAsia="cs-CZ"/>
    </w:rPr>
  </w:style>
  <w:style w:type="paragraph" w:styleId="Obsah1">
    <w:name w:val="toc 1"/>
    <w:basedOn w:val="Normln"/>
    <w:next w:val="Normln"/>
    <w:autoRedefine/>
    <w:uiPriority w:val="39"/>
    <w:semiHidden/>
    <w:unhideWhenUsed/>
    <w:rsid w:val="0022055C"/>
    <w:pPr>
      <w:spacing w:before="240"/>
    </w:pPr>
    <w:rPr>
      <w:rFonts w:asciiTheme="minorHAnsi" w:hAnsiTheme="minorHAnsi"/>
      <w:b/>
      <w:bCs/>
      <w:sz w:val="20"/>
      <w:szCs w:val="20"/>
    </w:rPr>
  </w:style>
  <w:style w:type="paragraph" w:styleId="Obsah6">
    <w:name w:val="toc 6"/>
    <w:basedOn w:val="Normln"/>
    <w:next w:val="Normln"/>
    <w:autoRedefine/>
    <w:uiPriority w:val="39"/>
    <w:semiHidden/>
    <w:unhideWhenUsed/>
    <w:rsid w:val="0022055C"/>
    <w:pPr>
      <w:spacing w:after="0"/>
      <w:ind w:left="1200"/>
    </w:pPr>
    <w:rPr>
      <w:rFonts w:asciiTheme="minorHAnsi" w:hAnsiTheme="minorHAnsi"/>
      <w:sz w:val="20"/>
      <w:szCs w:val="20"/>
    </w:rPr>
  </w:style>
  <w:style w:type="paragraph" w:styleId="Obsah7">
    <w:name w:val="toc 7"/>
    <w:basedOn w:val="Normln"/>
    <w:next w:val="Normln"/>
    <w:autoRedefine/>
    <w:uiPriority w:val="39"/>
    <w:semiHidden/>
    <w:unhideWhenUsed/>
    <w:rsid w:val="0022055C"/>
    <w:pPr>
      <w:spacing w:after="0"/>
      <w:ind w:left="1440"/>
    </w:pPr>
    <w:rPr>
      <w:rFonts w:asciiTheme="minorHAnsi" w:hAnsiTheme="minorHAnsi"/>
      <w:sz w:val="20"/>
      <w:szCs w:val="20"/>
    </w:rPr>
  </w:style>
  <w:style w:type="paragraph" w:styleId="Titulek">
    <w:name w:val="caption"/>
    <w:basedOn w:val="Normln"/>
    <w:next w:val="Normln"/>
    <w:uiPriority w:val="35"/>
    <w:unhideWhenUsed/>
    <w:qFormat/>
    <w:rsid w:val="0022055C"/>
    <w:pPr>
      <w:keepNext/>
      <w:spacing w:before="240"/>
    </w:pPr>
    <w:rPr>
      <w:rFonts w:cs="Calibri"/>
      <w:b/>
      <w:bCs/>
      <w:szCs w:val="20"/>
    </w:rPr>
  </w:style>
  <w:style w:type="character" w:customStyle="1" w:styleId="SeznamobrzkChar">
    <w:name w:val="Seznam obrázků Char"/>
    <w:basedOn w:val="Standardnpsmoodstavce"/>
    <w:link w:val="Seznamobrzk"/>
    <w:uiPriority w:val="99"/>
    <w:semiHidden/>
    <w:locked/>
    <w:rsid w:val="0022055C"/>
    <w:rPr>
      <w:rFonts w:ascii="Times New Roman" w:hAnsi="Times New Roman" w:cs="Times New Roman"/>
      <w:iCs/>
      <w:sz w:val="24"/>
      <w:szCs w:val="20"/>
    </w:rPr>
  </w:style>
  <w:style w:type="paragraph" w:styleId="Seznamobrzk">
    <w:name w:val="table of figures"/>
    <w:basedOn w:val="Normln"/>
    <w:next w:val="Normln"/>
    <w:link w:val="SeznamobrzkChar"/>
    <w:uiPriority w:val="99"/>
    <w:unhideWhenUsed/>
    <w:rsid w:val="0022055C"/>
    <w:pPr>
      <w:spacing w:after="0"/>
    </w:pPr>
    <w:rPr>
      <w:rFonts w:ascii="Times New Roman" w:hAnsi="Times New Roman"/>
      <w:iCs/>
      <w:szCs w:val="20"/>
    </w:rPr>
  </w:style>
  <w:style w:type="character" w:customStyle="1" w:styleId="ZdrojChar">
    <w:name w:val="Zdroj Char"/>
    <w:basedOn w:val="Standardnpsmoodstavce"/>
    <w:link w:val="Zdroj"/>
    <w:locked/>
    <w:rsid w:val="0022055C"/>
    <w:rPr>
      <w:rFonts w:ascii="Times New Roman" w:hAnsi="Times New Roman" w:cstheme="minorHAnsi"/>
      <w:i/>
      <w:sz w:val="20"/>
      <w:szCs w:val="20"/>
    </w:rPr>
  </w:style>
  <w:style w:type="paragraph" w:customStyle="1" w:styleId="Zdroj">
    <w:name w:val="Zdroj"/>
    <w:basedOn w:val="Normln"/>
    <w:link w:val="ZdrojChar"/>
    <w:qFormat/>
    <w:rsid w:val="0022055C"/>
    <w:pPr>
      <w:spacing w:before="120" w:after="0"/>
    </w:pPr>
    <w:rPr>
      <w:rFonts w:ascii="Times New Roman" w:hAnsi="Times New Roman" w:cstheme="minorHAnsi"/>
      <w:i/>
      <w:sz w:val="20"/>
      <w:szCs w:val="20"/>
    </w:rPr>
  </w:style>
  <w:style w:type="paragraph" w:styleId="Zkladntextodsazen2">
    <w:name w:val="Body Text Indent 2"/>
    <w:basedOn w:val="Normln"/>
    <w:link w:val="Zkladntextodsazen2Char"/>
    <w:uiPriority w:val="99"/>
    <w:semiHidden/>
    <w:unhideWhenUsed/>
    <w:rsid w:val="0022055C"/>
    <w:pPr>
      <w:spacing w:line="480" w:lineRule="auto"/>
      <w:ind w:left="283"/>
    </w:pPr>
    <w:rPr>
      <w:rFonts w:ascii="Times New Roman" w:hAnsi="Times New Roman"/>
    </w:rPr>
  </w:style>
  <w:style w:type="character" w:customStyle="1" w:styleId="Zkladntextodsazen2Char">
    <w:name w:val="Základní text odsazený 2 Char"/>
    <w:basedOn w:val="Standardnpsmoodstavce"/>
    <w:link w:val="Zkladntextodsazen2"/>
    <w:uiPriority w:val="99"/>
    <w:semiHidden/>
    <w:rsid w:val="0022055C"/>
    <w:rPr>
      <w:rFonts w:ascii="Times New Roman" w:hAnsi="Times New Roman" w:cs="Times New Roman"/>
      <w:sz w:val="24"/>
      <w:szCs w:val="24"/>
    </w:rPr>
  </w:style>
  <w:style w:type="paragraph" w:customStyle="1" w:styleId="textodstavce">
    <w:name w:val="text odstavce"/>
    <w:basedOn w:val="Normln"/>
    <w:link w:val="textodstavceChar"/>
    <w:qFormat/>
    <w:rsid w:val="006C468D"/>
    <w:pPr>
      <w:jc w:val="both"/>
    </w:pPr>
    <w:rPr>
      <w:rFonts w:cs="Calibri"/>
    </w:rPr>
  </w:style>
  <w:style w:type="character" w:customStyle="1" w:styleId="textodstavceChar">
    <w:name w:val="text odstavce Char"/>
    <w:basedOn w:val="Standardnpsmoodstavce"/>
    <w:link w:val="textodstavce"/>
    <w:rsid w:val="006C468D"/>
    <w:rPr>
      <w:rFonts w:ascii="Calibri" w:hAnsi="Calibri" w:cs="Calibri"/>
      <w:sz w:val="24"/>
      <w:szCs w:val="24"/>
    </w:rPr>
  </w:style>
  <w:style w:type="character" w:styleId="Siln">
    <w:name w:val="Strong"/>
    <w:uiPriority w:val="99"/>
    <w:qFormat/>
    <w:rsid w:val="00C14D2E"/>
    <w:rPr>
      <w:rFonts w:ascii="Calibri" w:hAnsi="Calibri" w:cs="Calibri"/>
      <w:b/>
      <w:sz w:val="24"/>
    </w:rPr>
  </w:style>
  <w:style w:type="paragraph" w:customStyle="1" w:styleId="Bezmezer1">
    <w:name w:val="Bez mezer1"/>
    <w:aliases w:val="KP,No Spacing"/>
    <w:basedOn w:val="Normln"/>
    <w:link w:val="Bezmezer1Char"/>
    <w:uiPriority w:val="1"/>
    <w:qFormat/>
    <w:rsid w:val="00C854EE"/>
    <w:pPr>
      <w:ind w:firstLine="567"/>
      <w:jc w:val="both"/>
    </w:pPr>
    <w:rPr>
      <w:rFonts w:ascii="Arial" w:hAnsi="Arial" w:cs="Arial"/>
      <w:sz w:val="22"/>
      <w:szCs w:val="22"/>
    </w:rPr>
  </w:style>
  <w:style w:type="character" w:customStyle="1" w:styleId="Bezmezer1Char">
    <w:name w:val="Bez mezer1 Char"/>
    <w:aliases w:val="KP Char,No Spacing Char"/>
    <w:basedOn w:val="Standardnpsmoodstavce"/>
    <w:link w:val="Bezmezer1"/>
    <w:uiPriority w:val="1"/>
    <w:rsid w:val="00C854EE"/>
    <w:rPr>
      <w:rFonts w:ascii="Arial" w:hAnsi="Arial" w:cs="Arial"/>
    </w:rPr>
  </w:style>
  <w:style w:type="paragraph" w:styleId="Prosttext">
    <w:name w:val="Plain Text"/>
    <w:basedOn w:val="Normln"/>
    <w:link w:val="ProsttextChar"/>
    <w:uiPriority w:val="99"/>
    <w:unhideWhenUsed/>
    <w:rsid w:val="00C67C92"/>
    <w:pPr>
      <w:spacing w:after="0"/>
    </w:pPr>
    <w:rPr>
      <w:rFonts w:ascii="Consolas" w:hAnsi="Consolas"/>
      <w:sz w:val="21"/>
      <w:szCs w:val="21"/>
    </w:rPr>
  </w:style>
  <w:style w:type="character" w:customStyle="1" w:styleId="ProsttextChar">
    <w:name w:val="Prostý text Char"/>
    <w:basedOn w:val="Standardnpsmoodstavce"/>
    <w:link w:val="Prosttext"/>
    <w:uiPriority w:val="99"/>
    <w:rsid w:val="00C67C92"/>
    <w:rPr>
      <w:rFonts w:ascii="Consolas" w:hAnsi="Consolas" w:cs="Times New Roman"/>
      <w:sz w:val="21"/>
      <w:szCs w:val="21"/>
    </w:rPr>
  </w:style>
  <w:style w:type="character" w:customStyle="1" w:styleId="Nadpis5Char1">
    <w:name w:val="Nadpis 5 Char1"/>
    <w:basedOn w:val="Standardnpsmoodstavce"/>
    <w:uiPriority w:val="9"/>
    <w:semiHidden/>
    <w:rsid w:val="00115015"/>
    <w:rPr>
      <w:rFonts w:asciiTheme="majorHAnsi" w:eastAsiaTheme="majorEastAsia" w:hAnsiTheme="majorHAnsi" w:cstheme="majorBidi"/>
      <w:color w:val="2E74B5" w:themeColor="accent1" w:themeShade="BF"/>
      <w:sz w:val="24"/>
      <w:szCs w:val="24"/>
    </w:rPr>
  </w:style>
  <w:style w:type="character" w:customStyle="1" w:styleId="RozloendokumentuChar">
    <w:name w:val="Rozložení dokumentu Char"/>
    <w:basedOn w:val="Standardnpsmoodstavce"/>
    <w:link w:val="Rozloendokumentu"/>
    <w:uiPriority w:val="99"/>
    <w:semiHidden/>
    <w:rsid w:val="00115015"/>
    <w:rPr>
      <w:rFonts w:ascii="Tahoma" w:hAnsi="Tahoma" w:cs="Tahoma"/>
      <w:sz w:val="16"/>
      <w:szCs w:val="16"/>
    </w:rPr>
  </w:style>
  <w:style w:type="paragraph" w:styleId="Rozloendokumentu">
    <w:name w:val="Document Map"/>
    <w:basedOn w:val="Normln"/>
    <w:link w:val="RozloendokumentuChar"/>
    <w:uiPriority w:val="99"/>
    <w:semiHidden/>
    <w:unhideWhenUsed/>
    <w:rsid w:val="00115015"/>
    <w:pPr>
      <w:spacing w:after="0"/>
    </w:pPr>
    <w:rPr>
      <w:rFonts w:ascii="Tahoma" w:hAnsi="Tahoma" w:cs="Tahoma"/>
      <w:sz w:val="16"/>
      <w:szCs w:val="16"/>
    </w:rPr>
  </w:style>
  <w:style w:type="character" w:customStyle="1" w:styleId="NormalChar">
    <w:name w:val="Normal Char"/>
    <w:basedOn w:val="Standardnpsmoodstavce"/>
    <w:link w:val="Normln1"/>
    <w:locked/>
    <w:rsid w:val="00673511"/>
    <w:rPr>
      <w:rFonts w:ascii="Times New Roman" w:hAnsi="Times New Roman" w:cstheme="minorHAnsi"/>
      <w:sz w:val="24"/>
      <w:szCs w:val="24"/>
    </w:rPr>
  </w:style>
  <w:style w:type="paragraph" w:customStyle="1" w:styleId="Normln1">
    <w:name w:val="Normální1"/>
    <w:basedOn w:val="Normln"/>
    <w:link w:val="NormalChar"/>
    <w:qFormat/>
    <w:rsid w:val="00673511"/>
    <w:pPr>
      <w:spacing w:after="0"/>
    </w:pPr>
    <w:rPr>
      <w:rFonts w:ascii="Times New Roman" w:hAnsi="Times New Roman" w:cstheme="minorHAnsi"/>
    </w:rPr>
  </w:style>
  <w:style w:type="paragraph" w:styleId="Obsah2">
    <w:name w:val="toc 2"/>
    <w:basedOn w:val="Normln"/>
    <w:next w:val="Normln"/>
    <w:autoRedefine/>
    <w:uiPriority w:val="39"/>
    <w:semiHidden/>
    <w:unhideWhenUsed/>
    <w:rsid w:val="00AD7C22"/>
    <w:pPr>
      <w:spacing w:after="100"/>
      <w:ind w:left="240"/>
    </w:pPr>
  </w:style>
  <w:style w:type="numbering" w:customStyle="1" w:styleId="Bezseznamu1">
    <w:name w:val="Bez seznamu1"/>
    <w:next w:val="Bezseznamu"/>
    <w:uiPriority w:val="99"/>
    <w:semiHidden/>
    <w:unhideWhenUsed/>
    <w:rsid w:val="00B53D75"/>
  </w:style>
  <w:style w:type="table" w:customStyle="1" w:styleId="Mkatabulky1">
    <w:name w:val="Mřížka tabulky1"/>
    <w:basedOn w:val="Normlntabulka"/>
    <w:next w:val="Mkatabulky"/>
    <w:uiPriority w:val="59"/>
    <w:rsid w:val="00B53D75"/>
    <w:pPr>
      <w:spacing w:after="0" w:line="240" w:lineRule="auto"/>
    </w:pPr>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236DA8"/>
    <w:rPr>
      <w:i/>
      <w:iCs/>
    </w:rPr>
  </w:style>
  <w:style w:type="numbering" w:customStyle="1" w:styleId="Bezseznamu2">
    <w:name w:val="Bez seznamu2"/>
    <w:next w:val="Bezseznamu"/>
    <w:uiPriority w:val="99"/>
    <w:semiHidden/>
    <w:unhideWhenUsed/>
    <w:rsid w:val="00E6240D"/>
  </w:style>
  <w:style w:type="character" w:styleId="slostrnky">
    <w:name w:val="page number"/>
    <w:basedOn w:val="Standardnpsmoodstavce"/>
    <w:semiHidden/>
    <w:rsid w:val="00E6240D"/>
  </w:style>
  <w:style w:type="numbering" w:customStyle="1" w:styleId="Bezseznamu11">
    <w:name w:val="Bez seznamu11"/>
    <w:next w:val="Bezseznamu"/>
    <w:uiPriority w:val="99"/>
    <w:semiHidden/>
    <w:unhideWhenUsed/>
    <w:rsid w:val="00E6240D"/>
  </w:style>
  <w:style w:type="paragraph" w:customStyle="1" w:styleId="Titulek1">
    <w:name w:val="Titulek1"/>
    <w:basedOn w:val="Normln"/>
    <w:next w:val="Normln"/>
    <w:uiPriority w:val="35"/>
    <w:unhideWhenUsed/>
    <w:qFormat/>
    <w:rsid w:val="00E6240D"/>
    <w:pPr>
      <w:keepNext/>
      <w:tabs>
        <w:tab w:val="left" w:pos="1134"/>
        <w:tab w:val="right" w:pos="9356"/>
      </w:tabs>
      <w:spacing w:after="40"/>
      <w:jc w:val="both"/>
    </w:pPr>
    <w:rPr>
      <w:b/>
      <w:iCs/>
      <w:sz w:val="20"/>
      <w:szCs w:val="18"/>
    </w:rPr>
  </w:style>
  <w:style w:type="paragraph" w:customStyle="1" w:styleId="Textpoznpodarou1">
    <w:name w:val="Text pozn. pod čarou1"/>
    <w:basedOn w:val="Normln"/>
    <w:next w:val="Textpoznpodarou"/>
    <w:uiPriority w:val="99"/>
    <w:semiHidden/>
    <w:unhideWhenUsed/>
    <w:rsid w:val="00E6240D"/>
    <w:pPr>
      <w:spacing w:after="0"/>
      <w:jc w:val="both"/>
    </w:pPr>
    <w:rPr>
      <w:sz w:val="20"/>
      <w:szCs w:val="20"/>
    </w:rPr>
  </w:style>
  <w:style w:type="paragraph" w:customStyle="1" w:styleId="Nadpisobsahu1">
    <w:name w:val="Nadpis obsahu1"/>
    <w:basedOn w:val="Nadpis1"/>
    <w:next w:val="Normln"/>
    <w:uiPriority w:val="39"/>
    <w:unhideWhenUsed/>
    <w:qFormat/>
    <w:rsid w:val="00E6240D"/>
    <w:pPr>
      <w:keepNext/>
      <w:keepLines/>
      <w:pageBreakBefore/>
      <w:spacing w:before="240" w:after="240"/>
      <w:ind w:left="432" w:hanging="432"/>
      <w:jc w:val="both"/>
      <w:outlineLvl w:val="9"/>
    </w:pPr>
    <w:rPr>
      <w:rFonts w:ascii="Calibri Light" w:eastAsia="Times New Roman" w:hAnsi="Calibri Light" w:cs="Times New Roman"/>
      <w:b w:val="0"/>
      <w:color w:val="2E74B5"/>
      <w:sz w:val="32"/>
      <w:szCs w:val="32"/>
      <w:lang w:eastAsia="cs-CZ"/>
    </w:rPr>
  </w:style>
  <w:style w:type="paragraph" w:customStyle="1" w:styleId="Obsah11">
    <w:name w:val="Obsah 11"/>
    <w:basedOn w:val="Normln"/>
    <w:next w:val="Normln"/>
    <w:autoRedefine/>
    <w:uiPriority w:val="39"/>
    <w:unhideWhenUsed/>
    <w:rsid w:val="00E6240D"/>
    <w:pPr>
      <w:spacing w:after="100"/>
      <w:jc w:val="both"/>
    </w:pPr>
    <w:rPr>
      <w:rFonts w:eastAsia="Calibri"/>
      <w:szCs w:val="22"/>
    </w:rPr>
  </w:style>
  <w:style w:type="paragraph" w:customStyle="1" w:styleId="Obsah21">
    <w:name w:val="Obsah 21"/>
    <w:basedOn w:val="Normln"/>
    <w:next w:val="Normln"/>
    <w:autoRedefine/>
    <w:uiPriority w:val="39"/>
    <w:unhideWhenUsed/>
    <w:rsid w:val="00E6240D"/>
    <w:pPr>
      <w:spacing w:after="100"/>
      <w:ind w:left="240"/>
      <w:jc w:val="both"/>
    </w:pPr>
    <w:rPr>
      <w:rFonts w:eastAsia="Calibri"/>
      <w:szCs w:val="22"/>
    </w:rPr>
  </w:style>
  <w:style w:type="paragraph" w:customStyle="1" w:styleId="Obsah31">
    <w:name w:val="Obsah 31"/>
    <w:basedOn w:val="Normln"/>
    <w:next w:val="Normln"/>
    <w:autoRedefine/>
    <w:uiPriority w:val="39"/>
    <w:unhideWhenUsed/>
    <w:rsid w:val="00E6240D"/>
    <w:pPr>
      <w:spacing w:after="100"/>
      <w:ind w:left="480"/>
      <w:jc w:val="both"/>
    </w:pPr>
    <w:rPr>
      <w:rFonts w:eastAsia="Calibri"/>
      <w:szCs w:val="22"/>
    </w:rPr>
  </w:style>
  <w:style w:type="paragraph" w:customStyle="1" w:styleId="Obsah41">
    <w:name w:val="Obsah 41"/>
    <w:basedOn w:val="Normln"/>
    <w:next w:val="Normln"/>
    <w:autoRedefine/>
    <w:uiPriority w:val="39"/>
    <w:unhideWhenUsed/>
    <w:rsid w:val="00E6240D"/>
    <w:pPr>
      <w:spacing w:after="100" w:line="259" w:lineRule="auto"/>
      <w:ind w:left="660"/>
      <w:jc w:val="both"/>
    </w:pPr>
    <w:rPr>
      <w:sz w:val="22"/>
      <w:szCs w:val="22"/>
      <w:lang w:eastAsia="cs-CZ"/>
    </w:rPr>
  </w:style>
  <w:style w:type="paragraph" w:customStyle="1" w:styleId="Obsah51">
    <w:name w:val="Obsah 51"/>
    <w:basedOn w:val="Normln"/>
    <w:next w:val="Normln"/>
    <w:autoRedefine/>
    <w:uiPriority w:val="39"/>
    <w:unhideWhenUsed/>
    <w:rsid w:val="00E6240D"/>
    <w:pPr>
      <w:spacing w:after="100" w:line="259" w:lineRule="auto"/>
      <w:ind w:left="880"/>
      <w:jc w:val="both"/>
    </w:pPr>
    <w:rPr>
      <w:sz w:val="22"/>
      <w:szCs w:val="22"/>
      <w:lang w:eastAsia="cs-CZ"/>
    </w:rPr>
  </w:style>
  <w:style w:type="paragraph" w:customStyle="1" w:styleId="Obsah61">
    <w:name w:val="Obsah 61"/>
    <w:basedOn w:val="Normln"/>
    <w:next w:val="Normln"/>
    <w:autoRedefine/>
    <w:uiPriority w:val="39"/>
    <w:unhideWhenUsed/>
    <w:rsid w:val="00E6240D"/>
    <w:pPr>
      <w:spacing w:after="100" w:line="259" w:lineRule="auto"/>
      <w:ind w:left="1100"/>
      <w:jc w:val="both"/>
    </w:pPr>
    <w:rPr>
      <w:sz w:val="22"/>
      <w:szCs w:val="22"/>
      <w:lang w:eastAsia="cs-CZ"/>
    </w:rPr>
  </w:style>
  <w:style w:type="paragraph" w:customStyle="1" w:styleId="Obsah71">
    <w:name w:val="Obsah 71"/>
    <w:basedOn w:val="Normln"/>
    <w:next w:val="Normln"/>
    <w:autoRedefine/>
    <w:uiPriority w:val="39"/>
    <w:unhideWhenUsed/>
    <w:rsid w:val="00E6240D"/>
    <w:pPr>
      <w:spacing w:after="100" w:line="259" w:lineRule="auto"/>
      <w:ind w:left="1320"/>
      <w:jc w:val="both"/>
    </w:pPr>
    <w:rPr>
      <w:sz w:val="22"/>
      <w:szCs w:val="22"/>
      <w:lang w:eastAsia="cs-CZ"/>
    </w:rPr>
  </w:style>
  <w:style w:type="paragraph" w:customStyle="1" w:styleId="Obsah81">
    <w:name w:val="Obsah 81"/>
    <w:basedOn w:val="Normln"/>
    <w:next w:val="Normln"/>
    <w:autoRedefine/>
    <w:uiPriority w:val="39"/>
    <w:unhideWhenUsed/>
    <w:rsid w:val="00E6240D"/>
    <w:pPr>
      <w:spacing w:after="100" w:line="259" w:lineRule="auto"/>
      <w:ind w:left="1540"/>
      <w:jc w:val="both"/>
    </w:pPr>
    <w:rPr>
      <w:sz w:val="22"/>
      <w:szCs w:val="22"/>
      <w:lang w:eastAsia="cs-CZ"/>
    </w:rPr>
  </w:style>
  <w:style w:type="paragraph" w:customStyle="1" w:styleId="Obsah91">
    <w:name w:val="Obsah 91"/>
    <w:basedOn w:val="Normln"/>
    <w:next w:val="Normln"/>
    <w:autoRedefine/>
    <w:uiPriority w:val="39"/>
    <w:unhideWhenUsed/>
    <w:rsid w:val="00E6240D"/>
    <w:pPr>
      <w:spacing w:after="100" w:line="259" w:lineRule="auto"/>
      <w:ind w:left="1760"/>
      <w:jc w:val="both"/>
    </w:pPr>
    <w:rPr>
      <w:sz w:val="22"/>
      <w:szCs w:val="22"/>
      <w:lang w:eastAsia="cs-CZ"/>
    </w:rPr>
  </w:style>
  <w:style w:type="character" w:customStyle="1" w:styleId="Hypertextovodkaz1">
    <w:name w:val="Hypertextový odkaz1"/>
    <w:basedOn w:val="Standardnpsmoodstavce"/>
    <w:uiPriority w:val="99"/>
    <w:unhideWhenUsed/>
    <w:rsid w:val="00E6240D"/>
    <w:rPr>
      <w:color w:val="0563C1"/>
      <w:u w:val="single"/>
    </w:rPr>
  </w:style>
  <w:style w:type="paragraph" w:customStyle="1" w:styleId="Seznamobrzk1">
    <w:name w:val="Seznam obrázků1"/>
    <w:basedOn w:val="Normln"/>
    <w:next w:val="Normln"/>
    <w:uiPriority w:val="99"/>
    <w:unhideWhenUsed/>
    <w:rsid w:val="00E6240D"/>
    <w:pPr>
      <w:spacing w:after="0"/>
      <w:jc w:val="both"/>
    </w:pPr>
    <w:rPr>
      <w:rFonts w:eastAsia="Calibri"/>
      <w:szCs w:val="22"/>
    </w:rPr>
  </w:style>
  <w:style w:type="paragraph" w:customStyle="1" w:styleId="Textkomente1">
    <w:name w:val="Text komentáře1"/>
    <w:basedOn w:val="Normln"/>
    <w:next w:val="Textkomente"/>
    <w:uiPriority w:val="99"/>
    <w:semiHidden/>
    <w:unhideWhenUsed/>
    <w:rsid w:val="00E6240D"/>
    <w:pPr>
      <w:spacing w:after="0"/>
      <w:jc w:val="both"/>
    </w:pPr>
    <w:rPr>
      <w:rFonts w:eastAsia="Calibri"/>
      <w:sz w:val="20"/>
      <w:szCs w:val="20"/>
    </w:rPr>
  </w:style>
  <w:style w:type="paragraph" w:customStyle="1" w:styleId="Pedmtkomente1">
    <w:name w:val="Předmět komentáře1"/>
    <w:basedOn w:val="Textkomente"/>
    <w:next w:val="Textkomente"/>
    <w:uiPriority w:val="99"/>
    <w:semiHidden/>
    <w:unhideWhenUsed/>
    <w:rsid w:val="00E6240D"/>
    <w:pPr>
      <w:spacing w:after="0"/>
      <w:jc w:val="both"/>
    </w:pPr>
    <w:rPr>
      <w:rFonts w:eastAsia="Calibri"/>
      <w:b/>
      <w:bCs/>
    </w:rPr>
  </w:style>
  <w:style w:type="table" w:customStyle="1" w:styleId="Mkatabulky11">
    <w:name w:val="Mřížka tabulky11"/>
    <w:basedOn w:val="Normlntabulka"/>
    <w:next w:val="Mkatabulky"/>
    <w:uiPriority w:val="39"/>
    <w:rsid w:val="00E624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1">
    <w:name w:val="Text pozn. pod čarou Char1"/>
    <w:basedOn w:val="Standardnpsmoodstavce"/>
    <w:uiPriority w:val="99"/>
    <w:semiHidden/>
    <w:rsid w:val="00E6240D"/>
    <w:rPr>
      <w:rFonts w:ascii="Times New Roman" w:eastAsia="Times New Roman" w:hAnsi="Times New Roman" w:cs="Times New Roman"/>
      <w:sz w:val="20"/>
      <w:szCs w:val="20"/>
    </w:rPr>
  </w:style>
  <w:style w:type="character" w:customStyle="1" w:styleId="TextkomenteChar1">
    <w:name w:val="Text komentáře Char1"/>
    <w:basedOn w:val="Standardnpsmoodstavce"/>
    <w:uiPriority w:val="99"/>
    <w:semiHidden/>
    <w:rsid w:val="00E6240D"/>
    <w:rPr>
      <w:rFonts w:ascii="Times New Roman" w:eastAsia="Times New Roman" w:hAnsi="Times New Roman" w:cs="Times New Roman"/>
      <w:sz w:val="20"/>
      <w:szCs w:val="20"/>
    </w:rPr>
  </w:style>
  <w:style w:type="character" w:customStyle="1" w:styleId="PedmtkomenteChar1">
    <w:name w:val="Předmět komentáře Char1"/>
    <w:basedOn w:val="TextkomenteChar1"/>
    <w:uiPriority w:val="99"/>
    <w:semiHidden/>
    <w:rsid w:val="00E6240D"/>
    <w:rPr>
      <w:rFonts w:ascii="Times New Roman" w:eastAsia="Times New Roman" w:hAnsi="Times New Roman" w:cs="Times New Roman"/>
      <w:b/>
      <w:bCs/>
      <w:sz w:val="20"/>
      <w:szCs w:val="20"/>
    </w:rPr>
  </w:style>
  <w:style w:type="table" w:customStyle="1" w:styleId="Mkatabulky2">
    <w:name w:val="Mřížka tabulky2"/>
    <w:basedOn w:val="Normlntabulka"/>
    <w:next w:val="Mkatabulky"/>
    <w:uiPriority w:val="59"/>
    <w:rsid w:val="00E624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597612"/>
    <w:rPr>
      <w:color w:val="000000"/>
      <w:sz w:val="28"/>
      <w:szCs w:val="28"/>
    </w:rPr>
  </w:style>
  <w:style w:type="character" w:customStyle="1" w:styleId="A4">
    <w:name w:val="A4"/>
    <w:uiPriority w:val="99"/>
    <w:rsid w:val="00597612"/>
    <w:rPr>
      <w:color w:val="000000"/>
      <w:sz w:val="60"/>
      <w:szCs w:val="60"/>
    </w:rPr>
  </w:style>
  <w:style w:type="character" w:customStyle="1" w:styleId="A5">
    <w:name w:val="A5"/>
    <w:uiPriority w:val="99"/>
    <w:rsid w:val="00597612"/>
    <w:rPr>
      <w:b/>
      <w:b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19086">
      <w:bodyDiv w:val="1"/>
      <w:marLeft w:val="0"/>
      <w:marRight w:val="0"/>
      <w:marTop w:val="0"/>
      <w:marBottom w:val="0"/>
      <w:divBdr>
        <w:top w:val="none" w:sz="0" w:space="0" w:color="auto"/>
        <w:left w:val="none" w:sz="0" w:space="0" w:color="auto"/>
        <w:bottom w:val="none" w:sz="0" w:space="0" w:color="auto"/>
        <w:right w:val="none" w:sz="0" w:space="0" w:color="auto"/>
      </w:divBdr>
    </w:div>
    <w:div w:id="566840595">
      <w:bodyDiv w:val="1"/>
      <w:marLeft w:val="0"/>
      <w:marRight w:val="0"/>
      <w:marTop w:val="0"/>
      <w:marBottom w:val="0"/>
      <w:divBdr>
        <w:top w:val="none" w:sz="0" w:space="0" w:color="auto"/>
        <w:left w:val="none" w:sz="0" w:space="0" w:color="auto"/>
        <w:bottom w:val="none" w:sz="0" w:space="0" w:color="auto"/>
        <w:right w:val="none" w:sz="0" w:space="0" w:color="auto"/>
      </w:divBdr>
    </w:div>
    <w:div w:id="868374841">
      <w:bodyDiv w:val="1"/>
      <w:marLeft w:val="0"/>
      <w:marRight w:val="0"/>
      <w:marTop w:val="0"/>
      <w:marBottom w:val="0"/>
      <w:divBdr>
        <w:top w:val="none" w:sz="0" w:space="0" w:color="auto"/>
        <w:left w:val="none" w:sz="0" w:space="0" w:color="auto"/>
        <w:bottom w:val="none" w:sz="0" w:space="0" w:color="auto"/>
        <w:right w:val="none" w:sz="0" w:space="0" w:color="auto"/>
      </w:divBdr>
    </w:div>
    <w:div w:id="989208669">
      <w:bodyDiv w:val="1"/>
      <w:marLeft w:val="0"/>
      <w:marRight w:val="0"/>
      <w:marTop w:val="0"/>
      <w:marBottom w:val="0"/>
      <w:divBdr>
        <w:top w:val="none" w:sz="0" w:space="0" w:color="auto"/>
        <w:left w:val="none" w:sz="0" w:space="0" w:color="auto"/>
        <w:bottom w:val="none" w:sz="0" w:space="0" w:color="auto"/>
        <w:right w:val="none" w:sz="0" w:space="0" w:color="auto"/>
      </w:divBdr>
    </w:div>
    <w:div w:id="1174302033">
      <w:bodyDiv w:val="1"/>
      <w:marLeft w:val="0"/>
      <w:marRight w:val="0"/>
      <w:marTop w:val="0"/>
      <w:marBottom w:val="0"/>
      <w:divBdr>
        <w:top w:val="none" w:sz="0" w:space="0" w:color="auto"/>
        <w:left w:val="none" w:sz="0" w:space="0" w:color="auto"/>
        <w:bottom w:val="none" w:sz="0" w:space="0" w:color="auto"/>
        <w:right w:val="none" w:sz="0" w:space="0" w:color="auto"/>
      </w:divBdr>
    </w:div>
    <w:div w:id="15137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mfcr.cz/cs/verejny-sektor/ucetnictvi-a-ucetnictvi-statu/ucetni-reforma-verejnych-financi-ucetnic/ucetni-vykaznictvi-statu/ucetni-vykazy-za-ceskou-republiku" TargetMode="External"/><Relationship Id="rId2" Type="http://schemas.openxmlformats.org/officeDocument/2006/relationships/hyperlink" Target="https://monitor.statnipokladna.cz/ucetni-jednotka/66002222/rozpocet/vydaje-druhovy?obdobi=1812&amp;rad=j" TargetMode="External"/><Relationship Id="rId1" Type="http://schemas.openxmlformats.org/officeDocument/2006/relationships/hyperlink" Target="https://monitor.statnipokladna.cz/ucetni-jednotka/66002222/prehled?rad=t&amp;obdobi=2002" TargetMode="External"/><Relationship Id="rId6" Type="http://schemas.openxmlformats.org/officeDocument/2006/relationships/hyperlink" Target="https://smlouvy.gov.cz/" TargetMode="External"/><Relationship Id="rId5" Type="http://schemas.openxmlformats.org/officeDocument/2006/relationships/hyperlink" Target="https://www.mmr.cz/cs/ministerstvo/urad/rozpocet/zaverecne-ucty" TargetMode="External"/><Relationship Id="rId4" Type="http://schemas.openxmlformats.org/officeDocument/2006/relationships/hyperlink" Target="https://www.ifac.org/system/files/publications/files/study-14-transition-to-th.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103442493165322E-2"/>
          <c:y val="5.5912698412698428E-2"/>
          <c:w val="0.65568173220546544"/>
          <c:h val="0.85203068366454193"/>
        </c:manualLayout>
      </c:layout>
      <c:lineChart>
        <c:grouping val="standard"/>
        <c:varyColors val="0"/>
        <c:ser>
          <c:idx val="0"/>
          <c:order val="0"/>
          <c:tx>
            <c:strRef>
              <c:f>'PaV_ÚJ_vč. TR'!$E$163</c:f>
              <c:strCache>
                <c:ptCount val="1"/>
                <c:pt idx="0">
                  <c:v>Tempo růstu příjmů</c:v>
                </c:pt>
              </c:strCache>
            </c:strRef>
          </c:tx>
          <c:spPr>
            <a:ln w="28575" cap="rnd">
              <a:solidFill>
                <a:srgbClr val="004595"/>
              </a:solidFill>
              <a:round/>
            </a:ln>
            <a:effectLst/>
          </c:spPr>
          <c:marker>
            <c:symbol val="none"/>
          </c:marker>
          <c:dLbls>
            <c:dLbl>
              <c:idx val="1"/>
              <c:layout>
                <c:manualLayout>
                  <c:x val="-0.10694826341151804"/>
                  <c:y val="4.16834294476714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5C0-4DC4-A5BA-680D87845576}"/>
                </c:ext>
              </c:extLst>
            </c:dLbl>
            <c:dLbl>
              <c:idx val="2"/>
              <c:layout>
                <c:manualLayout>
                  <c:x val="3.3068783068783067E-2"/>
                  <c:y val="4.41598586884521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5C0-4DC4-A5BA-680D87845576}"/>
                </c:ext>
              </c:extLst>
            </c:dLbl>
            <c:dLbl>
              <c:idx val="3"/>
              <c:layout>
                <c:manualLayout>
                  <c:x val="-1.4160035551111587E-2"/>
                  <c:y val="-5.493138705420709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5C0-4DC4-A5BA-680D87845576}"/>
                </c:ext>
              </c:extLst>
            </c:dLbl>
            <c:numFmt formatCode="0.00_I%" sourceLinked="0"/>
            <c:spPr>
              <a:solidFill>
                <a:sysClr val="window" lastClr="FFFFFF"/>
              </a:solidFill>
              <a:ln>
                <a:solidFill>
                  <a:srgbClr val="004595"/>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ext>
            </c:extLst>
          </c:dLbls>
          <c:cat>
            <c:strRef>
              <c:f>'PaV_ÚJ_vč. TR'!$F$162:$I$162</c:f>
              <c:strCache>
                <c:ptCount val="4"/>
                <c:pt idx="0">
                  <c:v>2015</c:v>
                </c:pt>
                <c:pt idx="1">
                  <c:v>2016</c:v>
                </c:pt>
                <c:pt idx="2">
                  <c:v>2017</c:v>
                </c:pt>
                <c:pt idx="3">
                  <c:v>2018</c:v>
                </c:pt>
              </c:strCache>
            </c:strRef>
          </c:cat>
          <c:val>
            <c:numRef>
              <c:f>'PaV_ÚJ_vč. TR'!$F$163:$I$163</c:f>
              <c:numCache>
                <c:formatCode>0.00%</c:formatCode>
                <c:ptCount val="4"/>
                <c:pt idx="0">
                  <c:v>-8.6103676840752597E-2</c:v>
                </c:pt>
                <c:pt idx="1">
                  <c:v>-0.37251520621982676</c:v>
                </c:pt>
                <c:pt idx="2">
                  <c:v>-0.59205428855389342</c:v>
                </c:pt>
                <c:pt idx="3">
                  <c:v>3.0245845877193474</c:v>
                </c:pt>
              </c:numCache>
            </c:numRef>
          </c:val>
          <c:smooth val="0"/>
          <c:extLst>
            <c:ext xmlns:c16="http://schemas.microsoft.com/office/drawing/2014/chart" uri="{C3380CC4-5D6E-409C-BE32-E72D297353CC}">
              <c16:uniqueId val="{00000003-95C0-4DC4-A5BA-680D87845576}"/>
            </c:ext>
          </c:extLst>
        </c:ser>
        <c:ser>
          <c:idx val="1"/>
          <c:order val="1"/>
          <c:tx>
            <c:strRef>
              <c:f>'PaV_ÚJ_vč. TR'!$E$164</c:f>
              <c:strCache>
                <c:ptCount val="1"/>
                <c:pt idx="0">
                  <c:v>Tempo růstu výdajů</c:v>
                </c:pt>
              </c:strCache>
            </c:strRef>
          </c:tx>
          <c:spPr>
            <a:ln w="28575" cap="rnd">
              <a:solidFill>
                <a:srgbClr val="BD2A33"/>
              </a:solidFill>
              <a:round/>
            </a:ln>
            <a:effectLst/>
          </c:spPr>
          <c:marker>
            <c:symbol val="none"/>
          </c:marker>
          <c:dLbls>
            <c:dLbl>
              <c:idx val="1"/>
              <c:layout>
                <c:manualLayout>
                  <c:x val="-2.0969427432682066E-2"/>
                  <c:y val="6.3763358791897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5C0-4DC4-A5BA-680D87845576}"/>
                </c:ext>
              </c:extLst>
            </c:dLbl>
            <c:dLbl>
              <c:idx val="2"/>
              <c:layout>
                <c:manualLayout>
                  <c:x val="1.4303941174019914E-2"/>
                  <c:y val="-2.4019485972290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5C0-4DC4-A5BA-680D87845576}"/>
                </c:ext>
              </c:extLst>
            </c:dLbl>
            <c:dLbl>
              <c:idx val="3"/>
              <c:layout>
                <c:manualLayout>
                  <c:x val="-1.8569206626949327E-2"/>
                  <c:y val="-5.54682596669233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5C0-4DC4-A5BA-680D87845576}"/>
                </c:ext>
              </c:extLst>
            </c:dLbl>
            <c:numFmt formatCode="0.00_I%" sourceLinked="0"/>
            <c:spPr>
              <a:solidFill>
                <a:sysClr val="window" lastClr="FFFFFF"/>
              </a:solidFill>
              <a:ln>
                <a:solidFill>
                  <a:srgbClr val="BD2A33"/>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ext>
            </c:extLst>
          </c:dLbls>
          <c:cat>
            <c:strRef>
              <c:f>'PaV_ÚJ_vč. TR'!$F$162:$I$162</c:f>
              <c:strCache>
                <c:ptCount val="4"/>
                <c:pt idx="0">
                  <c:v>2015</c:v>
                </c:pt>
                <c:pt idx="1">
                  <c:v>2016</c:v>
                </c:pt>
                <c:pt idx="2">
                  <c:v>2017</c:v>
                </c:pt>
                <c:pt idx="3">
                  <c:v>2018</c:v>
                </c:pt>
              </c:strCache>
            </c:strRef>
          </c:cat>
          <c:val>
            <c:numRef>
              <c:f>'PaV_ÚJ_vč. TR'!$F$164:$I$164</c:f>
              <c:numCache>
                <c:formatCode>0.00%</c:formatCode>
                <c:ptCount val="4"/>
                <c:pt idx="0">
                  <c:v>0.41598780034344468</c:v>
                </c:pt>
                <c:pt idx="1">
                  <c:v>-0.4137508237041137</c:v>
                </c:pt>
                <c:pt idx="2">
                  <c:v>-0.55735746444507406</c:v>
                </c:pt>
                <c:pt idx="3">
                  <c:v>1.9771329651413185</c:v>
                </c:pt>
              </c:numCache>
            </c:numRef>
          </c:val>
          <c:smooth val="0"/>
          <c:extLst>
            <c:ext xmlns:c16="http://schemas.microsoft.com/office/drawing/2014/chart" uri="{C3380CC4-5D6E-409C-BE32-E72D297353CC}">
              <c16:uniqueId val="{00000007-95C0-4DC4-A5BA-680D87845576}"/>
            </c:ext>
          </c:extLst>
        </c:ser>
        <c:dLbls>
          <c:showLegendKey val="0"/>
          <c:showVal val="0"/>
          <c:showCatName val="0"/>
          <c:showSerName val="0"/>
          <c:showPercent val="0"/>
          <c:showBubbleSize val="0"/>
        </c:dLbls>
        <c:smooth val="0"/>
        <c:axId val="191466808"/>
        <c:axId val="191444968"/>
      </c:lineChart>
      <c:catAx>
        <c:axId val="1914668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1444968"/>
        <c:crosses val="autoZero"/>
        <c:auto val="1"/>
        <c:lblAlgn val="ctr"/>
        <c:lblOffset val="100"/>
        <c:noMultiLvlLbl val="0"/>
      </c:catAx>
      <c:valAx>
        <c:axId val="191444968"/>
        <c:scaling>
          <c:orientation val="minMax"/>
        </c:scaling>
        <c:delete val="0"/>
        <c:axPos val="l"/>
        <c:majorGridlines>
          <c:spPr>
            <a:ln w="9525" cap="flat" cmpd="sng" algn="ctr">
              <a:solidFill>
                <a:schemeClr val="tx1">
                  <a:lumMod val="15000"/>
                  <a:lumOff val="85000"/>
                </a:schemeClr>
              </a:solidFill>
              <a:round/>
            </a:ln>
            <a:effectLst/>
          </c:spPr>
        </c:majorGridlines>
        <c:numFmt formatCode="0_I%"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14668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103442493165322E-2"/>
          <c:y val="5.5912698412698428E-2"/>
          <c:w val="0.65568173220546544"/>
          <c:h val="0.85203068366454193"/>
        </c:manualLayout>
      </c:layout>
      <c:lineChart>
        <c:grouping val="standard"/>
        <c:varyColors val="0"/>
        <c:ser>
          <c:idx val="0"/>
          <c:order val="0"/>
          <c:tx>
            <c:strRef>
              <c:f>'NaV ÚJ_vč. TR'!$D$163</c:f>
              <c:strCache>
                <c:ptCount val="1"/>
                <c:pt idx="0">
                  <c:v>Tempo růstu výnosů</c:v>
                </c:pt>
              </c:strCache>
            </c:strRef>
          </c:tx>
          <c:spPr>
            <a:ln w="28575" cap="rnd">
              <a:solidFill>
                <a:srgbClr val="004595"/>
              </a:solidFill>
              <a:round/>
            </a:ln>
            <a:effectLst/>
          </c:spPr>
          <c:marker>
            <c:symbol val="none"/>
          </c:marker>
          <c:dLbls>
            <c:dLbl>
              <c:idx val="0"/>
              <c:layout>
                <c:manualLayout>
                  <c:x val="-8.1835951061672824E-2"/>
                  <c:y val="8.5843288136123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020-4D0E-BA46-80E7DF46DCBD}"/>
                </c:ext>
              </c:extLst>
            </c:dLbl>
            <c:dLbl>
              <c:idx val="2"/>
              <c:layout>
                <c:manualLayout>
                  <c:x val="-1.1281575914121845E-3"/>
                  <c:y val="1.96035001034453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020-4D0E-BA46-80E7DF46DCBD}"/>
                </c:ext>
              </c:extLst>
            </c:dLbl>
            <c:dLbl>
              <c:idx val="3"/>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020-4D0E-BA46-80E7DF46DCBD}"/>
                </c:ext>
              </c:extLst>
            </c:dLbl>
            <c:numFmt formatCode="0.00_I%" sourceLinked="0"/>
            <c:spPr>
              <a:solidFill>
                <a:sysClr val="window" lastClr="FFFFFF"/>
              </a:solidFill>
              <a:ln>
                <a:solidFill>
                  <a:srgbClr val="004595"/>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ext>
            </c:extLst>
          </c:dLbls>
          <c:cat>
            <c:strRef>
              <c:f>'NaV ÚJ_vč. TR'!$E$162:$H$162</c:f>
              <c:strCache>
                <c:ptCount val="4"/>
                <c:pt idx="0">
                  <c:v>2015</c:v>
                </c:pt>
                <c:pt idx="1">
                  <c:v>2016</c:v>
                </c:pt>
                <c:pt idx="2">
                  <c:v>2017</c:v>
                </c:pt>
                <c:pt idx="3">
                  <c:v>2018</c:v>
                </c:pt>
              </c:strCache>
            </c:strRef>
          </c:cat>
          <c:val>
            <c:numRef>
              <c:f>'NaV ÚJ_vč. TR'!$E$163:$H$163</c:f>
              <c:numCache>
                <c:formatCode>0.00%</c:formatCode>
                <c:ptCount val="4"/>
                <c:pt idx="0">
                  <c:v>0.30090863325726314</c:v>
                </c:pt>
                <c:pt idx="1">
                  <c:v>-0.29199977719989284</c:v>
                </c:pt>
                <c:pt idx="2">
                  <c:v>-0.75388879774451212</c:v>
                </c:pt>
                <c:pt idx="3">
                  <c:v>3.3286260977478541</c:v>
                </c:pt>
              </c:numCache>
            </c:numRef>
          </c:val>
          <c:smooth val="0"/>
          <c:extLst>
            <c:ext xmlns:c16="http://schemas.microsoft.com/office/drawing/2014/chart" uri="{C3380CC4-5D6E-409C-BE32-E72D297353CC}">
              <c16:uniqueId val="{00000003-8020-4D0E-BA46-80E7DF46DCBD}"/>
            </c:ext>
          </c:extLst>
        </c:ser>
        <c:ser>
          <c:idx val="1"/>
          <c:order val="1"/>
          <c:tx>
            <c:strRef>
              <c:f>'NaV ÚJ_vč. TR'!$D$164</c:f>
              <c:strCache>
                <c:ptCount val="1"/>
                <c:pt idx="0">
                  <c:v>Tempo růstu nákladů</c:v>
                </c:pt>
              </c:strCache>
            </c:strRef>
          </c:tx>
          <c:spPr>
            <a:ln w="28575" cap="rnd">
              <a:solidFill>
                <a:srgbClr val="BD2A33"/>
              </a:solidFill>
              <a:round/>
            </a:ln>
            <a:effectLst/>
          </c:spPr>
          <c:marker>
            <c:symbol val="none"/>
          </c:marker>
          <c:dLbls>
            <c:dLbl>
              <c:idx val="0"/>
              <c:layout>
                <c:manualLayout>
                  <c:x val="1.5165812606757489E-2"/>
                  <c:y val="-0.1128760759619112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020-4D0E-BA46-80E7DF46DCBD}"/>
                </c:ext>
              </c:extLst>
            </c:dLbl>
            <c:dLbl>
              <c:idx val="1"/>
              <c:layout>
                <c:manualLayout>
                  <c:x val="-0.10694826341151804"/>
                  <c:y val="5.49313870542069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020-4D0E-BA46-80E7DF46DCBD}"/>
                </c:ext>
              </c:extLst>
            </c:dLbl>
            <c:dLbl>
              <c:idx val="2"/>
              <c:layout>
                <c:manualLayout>
                  <c:x val="-8.4902408032329291E-2"/>
                  <c:y val="-0.12170804769960178"/>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020-4D0E-BA46-80E7DF46DCBD}"/>
                </c:ext>
              </c:extLst>
            </c:dLbl>
            <c:dLbl>
              <c:idx val="3"/>
              <c:layout>
                <c:manualLayout>
                  <c:x val="-2.0773792164868281E-2"/>
                  <c:y val="-5.051540118536191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020-4D0E-BA46-80E7DF46DCBD}"/>
                </c:ext>
              </c:extLst>
            </c:dLbl>
            <c:numFmt formatCode="0.00_I%" sourceLinked="0"/>
            <c:spPr>
              <a:solidFill>
                <a:sysClr val="window" lastClr="FFFFFF"/>
              </a:solidFill>
              <a:ln>
                <a:solidFill>
                  <a:srgbClr val="BD2A33"/>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'NaV ÚJ_vč. TR'!$E$162:$H$162</c:f>
              <c:strCache>
                <c:ptCount val="4"/>
                <c:pt idx="0">
                  <c:v>2015</c:v>
                </c:pt>
                <c:pt idx="1">
                  <c:v>2016</c:v>
                </c:pt>
                <c:pt idx="2">
                  <c:v>2017</c:v>
                </c:pt>
                <c:pt idx="3">
                  <c:v>2018</c:v>
                </c:pt>
              </c:strCache>
            </c:strRef>
          </c:cat>
          <c:val>
            <c:numRef>
              <c:f>'NaV ÚJ_vč. TR'!$E$164:$H$164</c:f>
              <c:numCache>
                <c:formatCode>0.00%</c:formatCode>
                <c:ptCount val="4"/>
                <c:pt idx="0">
                  <c:v>0.44750183540441169</c:v>
                </c:pt>
                <c:pt idx="1">
                  <c:v>-0.41769799850319667</c:v>
                </c:pt>
                <c:pt idx="2">
                  <c:v>-0.54960552182305134</c:v>
                </c:pt>
                <c:pt idx="3">
                  <c:v>1.9614592069822658</c:v>
                </c:pt>
              </c:numCache>
            </c:numRef>
          </c:val>
          <c:smooth val="0"/>
          <c:extLst>
            <c:ext xmlns:c16="http://schemas.microsoft.com/office/drawing/2014/chart" uri="{C3380CC4-5D6E-409C-BE32-E72D297353CC}">
              <c16:uniqueId val="{00000008-8020-4D0E-BA46-80E7DF46DCBD}"/>
            </c:ext>
          </c:extLst>
        </c:ser>
        <c:dLbls>
          <c:showLegendKey val="0"/>
          <c:showVal val="0"/>
          <c:showCatName val="0"/>
          <c:showSerName val="0"/>
          <c:showPercent val="0"/>
          <c:showBubbleSize val="0"/>
        </c:dLbls>
        <c:smooth val="0"/>
        <c:axId val="191466808"/>
        <c:axId val="191444968"/>
      </c:lineChart>
      <c:catAx>
        <c:axId val="1914668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1444968"/>
        <c:crosses val="autoZero"/>
        <c:auto val="1"/>
        <c:lblAlgn val="ctr"/>
        <c:lblOffset val="100"/>
        <c:noMultiLvlLbl val="0"/>
      </c:catAx>
      <c:valAx>
        <c:axId val="191444968"/>
        <c:scaling>
          <c:orientation val="minMax"/>
        </c:scaling>
        <c:delete val="0"/>
        <c:axPos val="l"/>
        <c:majorGridlines>
          <c:spPr>
            <a:ln w="9525" cap="flat" cmpd="sng" algn="ctr">
              <a:solidFill>
                <a:schemeClr val="tx1">
                  <a:lumMod val="15000"/>
                  <a:lumOff val="85000"/>
                </a:schemeClr>
              </a:solidFill>
              <a:round/>
            </a:ln>
            <a:effectLst/>
          </c:spPr>
        </c:majorGridlines>
        <c:numFmt formatCode="0_I%"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14668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72A984-2FEB-49F8-A2B4-A412070453BD}" type="doc">
      <dgm:prSet loTypeId="urn:microsoft.com/office/officeart/2005/8/layout/hierarchy2#1" loCatId="hierarchy" qsTypeId="urn:microsoft.com/office/officeart/2005/8/quickstyle/simple1" qsCatId="simple" csTypeId="urn:microsoft.com/office/officeart/2005/8/colors/accent1_2" csCatId="accent1" phldr="1"/>
      <dgm:spPr/>
      <dgm:t>
        <a:bodyPr/>
        <a:lstStyle/>
        <a:p>
          <a:endParaRPr lang="cs-CZ"/>
        </a:p>
      </dgm:t>
    </dgm:pt>
    <dgm:pt modelId="{8FA6C1A1-8185-44E8-9307-BF84F736F0CB}">
      <dgm:prSet phldrT="[Text]" custT="1"/>
      <dgm:spPr>
        <a:solidFill>
          <a:srgbClr val="004595"/>
        </a:solidFill>
      </dgm:spPr>
      <dgm:t>
        <a:bodyPr/>
        <a:lstStyle/>
        <a:p>
          <a:r>
            <a:rPr lang="cs-CZ" sz="1200" b="1"/>
            <a:t>17</a:t>
          </a:r>
          <a:r>
            <a:rPr lang="cs-CZ" sz="2300"/>
            <a:t/>
          </a:r>
          <a:br>
            <a:rPr lang="cs-CZ" sz="2300"/>
          </a:br>
          <a:r>
            <a:rPr lang="cs-CZ" sz="1050" b="1"/>
            <a:t>opatření přijatých </a:t>
          </a:r>
          <a:br>
            <a:rPr lang="cs-CZ" sz="1050" b="1"/>
          </a:br>
          <a:r>
            <a:rPr lang="cs-CZ" sz="1050" b="1"/>
            <a:t>k nápravě nedostatků</a:t>
          </a:r>
        </a:p>
      </dgm:t>
    </dgm:pt>
    <dgm:pt modelId="{27CF4CCA-0C3A-486E-9427-154FB302F30F}" type="parTrans" cxnId="{21ED4941-8B70-4D67-B0C0-AAC63D2F14B2}">
      <dgm:prSet/>
      <dgm:spPr/>
      <dgm:t>
        <a:bodyPr/>
        <a:lstStyle/>
        <a:p>
          <a:endParaRPr lang="cs-CZ"/>
        </a:p>
      </dgm:t>
    </dgm:pt>
    <dgm:pt modelId="{E8EFF9F4-DD71-4EA5-8263-E1EF6240E650}" type="sibTrans" cxnId="{21ED4941-8B70-4D67-B0C0-AAC63D2F14B2}">
      <dgm:prSet/>
      <dgm:spPr/>
      <dgm:t>
        <a:bodyPr/>
        <a:lstStyle/>
        <a:p>
          <a:endParaRPr lang="cs-CZ"/>
        </a:p>
      </dgm:t>
    </dgm:pt>
    <dgm:pt modelId="{33F05DAF-3E71-4AFD-942D-3C13C9AC2BF5}">
      <dgm:prSet phldrT="[Text]" custT="1"/>
      <dgm:spPr>
        <a:solidFill>
          <a:srgbClr val="BD2A33"/>
        </a:solidFill>
        <a:ln>
          <a:solidFill>
            <a:schemeClr val="bg1"/>
          </a:solidFill>
        </a:ln>
      </dgm:spPr>
      <dgm:t>
        <a:bodyPr/>
        <a:lstStyle/>
        <a:p>
          <a:r>
            <a:rPr lang="cs-CZ" sz="1200" b="1"/>
            <a:t>1</a:t>
          </a:r>
          <a:r>
            <a:rPr lang="cs-CZ" sz="2400"/>
            <a:t/>
          </a:r>
          <a:br>
            <a:rPr lang="cs-CZ" sz="2400"/>
          </a:br>
          <a:r>
            <a:rPr lang="cs-CZ" sz="1050" b="1"/>
            <a:t>opatření nerealizováno</a:t>
          </a:r>
        </a:p>
      </dgm:t>
    </dgm:pt>
    <dgm:pt modelId="{F9C483A4-74C0-4051-99BA-BBB2A25D0168}" type="parTrans" cxnId="{DFA341FD-5D81-454A-8596-0D43AEBE2FE2}">
      <dgm:prSet/>
      <dgm:spPr>
        <a:ln>
          <a:solidFill>
            <a:srgbClr val="004595"/>
          </a:solidFill>
        </a:ln>
      </dgm:spPr>
      <dgm:t>
        <a:bodyPr/>
        <a:lstStyle/>
        <a:p>
          <a:endParaRPr lang="cs-CZ"/>
        </a:p>
      </dgm:t>
    </dgm:pt>
    <dgm:pt modelId="{3A698D94-AA35-46FD-99B7-1F2D89CEBF06}" type="sibTrans" cxnId="{DFA341FD-5D81-454A-8596-0D43AEBE2FE2}">
      <dgm:prSet/>
      <dgm:spPr/>
      <dgm:t>
        <a:bodyPr/>
        <a:lstStyle/>
        <a:p>
          <a:endParaRPr lang="cs-CZ"/>
        </a:p>
      </dgm:t>
    </dgm:pt>
    <dgm:pt modelId="{C4B0540C-DBD0-4A41-852B-FC0C427A7AD8}">
      <dgm:prSet phldrT="[Text]" custT="1"/>
      <dgm:spPr>
        <a:solidFill>
          <a:srgbClr val="00B050"/>
        </a:solidFill>
      </dgm:spPr>
      <dgm:t>
        <a:bodyPr/>
        <a:lstStyle/>
        <a:p>
          <a:r>
            <a:rPr lang="cs-CZ" sz="1200" b="1"/>
            <a:t>11</a:t>
          </a:r>
          <a:r>
            <a:rPr lang="cs-CZ" sz="1500"/>
            <a:t/>
          </a:r>
          <a:br>
            <a:rPr lang="cs-CZ" sz="1500"/>
          </a:br>
          <a:r>
            <a:rPr lang="cs-CZ" sz="1050" b="1"/>
            <a:t>opatření realizováno úplně a správně</a:t>
          </a:r>
        </a:p>
      </dgm:t>
    </dgm:pt>
    <dgm:pt modelId="{4A50057D-2E13-4699-ABD1-D22725B0630B}" type="parTrans" cxnId="{218B8AA1-818F-4D6C-928D-EED9969E123B}">
      <dgm:prSet/>
      <dgm:spPr>
        <a:ln>
          <a:solidFill>
            <a:srgbClr val="004595"/>
          </a:solidFill>
        </a:ln>
      </dgm:spPr>
      <dgm:t>
        <a:bodyPr/>
        <a:lstStyle/>
        <a:p>
          <a:endParaRPr lang="cs-CZ"/>
        </a:p>
      </dgm:t>
    </dgm:pt>
    <dgm:pt modelId="{672A0378-DD68-4044-91A3-8BA809DEDC36}" type="sibTrans" cxnId="{218B8AA1-818F-4D6C-928D-EED9969E123B}">
      <dgm:prSet/>
      <dgm:spPr/>
      <dgm:t>
        <a:bodyPr/>
        <a:lstStyle/>
        <a:p>
          <a:endParaRPr lang="cs-CZ"/>
        </a:p>
      </dgm:t>
    </dgm:pt>
    <dgm:pt modelId="{359D99EC-4624-49C8-85F7-7C7204008BF7}">
      <dgm:prSet custT="1"/>
      <dgm:spPr>
        <a:solidFill>
          <a:schemeClr val="bg1">
            <a:lumMod val="50000"/>
          </a:schemeClr>
        </a:solidFill>
      </dgm:spPr>
      <dgm:t>
        <a:bodyPr/>
        <a:lstStyle/>
        <a:p>
          <a:r>
            <a:rPr lang="cs-CZ" sz="1200" b="1"/>
            <a:t>5</a:t>
          </a:r>
          <a:r>
            <a:rPr lang="cs-CZ" sz="1050" b="1"/>
            <a:t/>
          </a:r>
          <a:br>
            <a:rPr lang="cs-CZ" sz="1050" b="1"/>
          </a:br>
          <a:r>
            <a:rPr lang="cs-CZ" sz="1050" b="1"/>
            <a:t>opatření </a:t>
          </a:r>
          <a:br>
            <a:rPr lang="cs-CZ" sz="1050" b="1"/>
          </a:br>
          <a:r>
            <a:rPr lang="cs-CZ" sz="1050" b="1"/>
            <a:t>realizováno částečně </a:t>
          </a:r>
          <a:endParaRPr lang="cs-CZ" sz="1050"/>
        </a:p>
      </dgm:t>
    </dgm:pt>
    <dgm:pt modelId="{3C655246-362A-43C7-8F7B-FC3987EDC16F}" type="parTrans" cxnId="{F472E06F-DBEC-40E4-BC16-F383D06F0E4D}">
      <dgm:prSet/>
      <dgm:spPr>
        <a:ln>
          <a:solidFill>
            <a:srgbClr val="004595"/>
          </a:solidFill>
        </a:ln>
      </dgm:spPr>
      <dgm:t>
        <a:bodyPr/>
        <a:lstStyle/>
        <a:p>
          <a:endParaRPr lang="cs-CZ"/>
        </a:p>
      </dgm:t>
    </dgm:pt>
    <dgm:pt modelId="{C49EE212-C8C5-4881-9A4C-F72A3088FEB4}" type="sibTrans" cxnId="{F472E06F-DBEC-40E4-BC16-F383D06F0E4D}">
      <dgm:prSet/>
      <dgm:spPr/>
      <dgm:t>
        <a:bodyPr/>
        <a:lstStyle/>
        <a:p>
          <a:endParaRPr lang="cs-CZ"/>
        </a:p>
      </dgm:t>
    </dgm:pt>
    <dgm:pt modelId="{36CA7372-687B-41E9-BF38-0BC6731A5E38}" type="pres">
      <dgm:prSet presAssocID="{7272A984-2FEB-49F8-A2B4-A412070453BD}" presName="diagram" presStyleCnt="0">
        <dgm:presLayoutVars>
          <dgm:chPref val="1"/>
          <dgm:dir/>
          <dgm:animOne val="branch"/>
          <dgm:animLvl val="lvl"/>
          <dgm:resizeHandles val="exact"/>
        </dgm:presLayoutVars>
      </dgm:prSet>
      <dgm:spPr/>
      <dgm:t>
        <a:bodyPr/>
        <a:lstStyle/>
        <a:p>
          <a:endParaRPr lang="cs-CZ"/>
        </a:p>
      </dgm:t>
    </dgm:pt>
    <dgm:pt modelId="{68165A3C-25ED-48E8-8297-B3D7E646C286}" type="pres">
      <dgm:prSet presAssocID="{8FA6C1A1-8185-44E8-9307-BF84F736F0CB}" presName="root1" presStyleCnt="0"/>
      <dgm:spPr/>
    </dgm:pt>
    <dgm:pt modelId="{1EDA4475-363D-4BA3-BA17-B3107131ABF2}" type="pres">
      <dgm:prSet presAssocID="{8FA6C1A1-8185-44E8-9307-BF84F736F0CB}" presName="LevelOneTextNode" presStyleLbl="node0" presStyleIdx="0" presStyleCnt="1" custScaleY="109876" custLinFactNeighborX="482" custLinFactNeighborY="-26103">
        <dgm:presLayoutVars>
          <dgm:chPref val="3"/>
        </dgm:presLayoutVars>
      </dgm:prSet>
      <dgm:spPr/>
      <dgm:t>
        <a:bodyPr/>
        <a:lstStyle/>
        <a:p>
          <a:endParaRPr lang="cs-CZ"/>
        </a:p>
      </dgm:t>
    </dgm:pt>
    <dgm:pt modelId="{6D68655D-20F8-4673-8DA1-08E2489CEB56}" type="pres">
      <dgm:prSet presAssocID="{8FA6C1A1-8185-44E8-9307-BF84F736F0CB}" presName="level2hierChild" presStyleCnt="0"/>
      <dgm:spPr/>
    </dgm:pt>
    <dgm:pt modelId="{92CBDBFD-47C2-4FB3-B51C-049C7BD85FFA}" type="pres">
      <dgm:prSet presAssocID="{F9C483A4-74C0-4051-99BA-BBB2A25D0168}" presName="conn2-1" presStyleLbl="parChTrans1D2" presStyleIdx="0" presStyleCnt="3"/>
      <dgm:spPr/>
      <dgm:t>
        <a:bodyPr/>
        <a:lstStyle/>
        <a:p>
          <a:endParaRPr lang="cs-CZ"/>
        </a:p>
      </dgm:t>
    </dgm:pt>
    <dgm:pt modelId="{394FB309-86AF-43A3-983B-8DD41075EE38}" type="pres">
      <dgm:prSet presAssocID="{F9C483A4-74C0-4051-99BA-BBB2A25D0168}" presName="connTx" presStyleLbl="parChTrans1D2" presStyleIdx="0" presStyleCnt="3"/>
      <dgm:spPr/>
      <dgm:t>
        <a:bodyPr/>
        <a:lstStyle/>
        <a:p>
          <a:endParaRPr lang="cs-CZ"/>
        </a:p>
      </dgm:t>
    </dgm:pt>
    <dgm:pt modelId="{DF2A67D3-5CEC-496B-BE65-4565BA457EA4}" type="pres">
      <dgm:prSet presAssocID="{33F05DAF-3E71-4AFD-942D-3C13C9AC2BF5}" presName="root2" presStyleCnt="0"/>
      <dgm:spPr/>
    </dgm:pt>
    <dgm:pt modelId="{51D591E7-E940-4A66-8B29-FCFFC8D333DD}" type="pres">
      <dgm:prSet presAssocID="{33F05DAF-3E71-4AFD-942D-3C13C9AC2BF5}" presName="LevelTwoTextNode" presStyleLbl="node2" presStyleIdx="0" presStyleCnt="3" custScaleY="84904" custLinFactNeighborX="552" custLinFactNeighborY="-38275">
        <dgm:presLayoutVars>
          <dgm:chPref val="3"/>
        </dgm:presLayoutVars>
      </dgm:prSet>
      <dgm:spPr/>
      <dgm:t>
        <a:bodyPr/>
        <a:lstStyle/>
        <a:p>
          <a:endParaRPr lang="cs-CZ"/>
        </a:p>
      </dgm:t>
    </dgm:pt>
    <dgm:pt modelId="{2C8D63F4-CC6C-4FDD-B536-4B76BA6688F4}" type="pres">
      <dgm:prSet presAssocID="{33F05DAF-3E71-4AFD-942D-3C13C9AC2BF5}" presName="level3hierChild" presStyleCnt="0"/>
      <dgm:spPr/>
    </dgm:pt>
    <dgm:pt modelId="{E8CDD11E-E7BE-47EE-848C-ACA07A9F2567}" type="pres">
      <dgm:prSet presAssocID="{4A50057D-2E13-4699-ABD1-D22725B0630B}" presName="conn2-1" presStyleLbl="parChTrans1D2" presStyleIdx="1" presStyleCnt="3"/>
      <dgm:spPr/>
      <dgm:t>
        <a:bodyPr/>
        <a:lstStyle/>
        <a:p>
          <a:endParaRPr lang="cs-CZ"/>
        </a:p>
      </dgm:t>
    </dgm:pt>
    <dgm:pt modelId="{CFE1F748-D413-4666-9924-248A798586E6}" type="pres">
      <dgm:prSet presAssocID="{4A50057D-2E13-4699-ABD1-D22725B0630B}" presName="connTx" presStyleLbl="parChTrans1D2" presStyleIdx="1" presStyleCnt="3"/>
      <dgm:spPr/>
      <dgm:t>
        <a:bodyPr/>
        <a:lstStyle/>
        <a:p>
          <a:endParaRPr lang="cs-CZ"/>
        </a:p>
      </dgm:t>
    </dgm:pt>
    <dgm:pt modelId="{0F3AE7AD-893E-4B89-BCAB-F712AE4B94BC}" type="pres">
      <dgm:prSet presAssocID="{C4B0540C-DBD0-4A41-852B-FC0C427A7AD8}" presName="root2" presStyleCnt="0"/>
      <dgm:spPr/>
    </dgm:pt>
    <dgm:pt modelId="{3516A93C-5701-4BCE-9F09-1165EAC84DBF}" type="pres">
      <dgm:prSet presAssocID="{C4B0540C-DBD0-4A41-852B-FC0C427A7AD8}" presName="LevelTwoTextNode" presStyleLbl="node2" presStyleIdx="1" presStyleCnt="3" custScaleY="84904" custLinFactNeighborX="-36" custLinFactNeighborY="88505">
        <dgm:presLayoutVars>
          <dgm:chPref val="3"/>
        </dgm:presLayoutVars>
      </dgm:prSet>
      <dgm:spPr/>
      <dgm:t>
        <a:bodyPr/>
        <a:lstStyle/>
        <a:p>
          <a:endParaRPr lang="cs-CZ"/>
        </a:p>
      </dgm:t>
    </dgm:pt>
    <dgm:pt modelId="{1C9298E8-6F9B-4600-B59B-9B831F1CD831}" type="pres">
      <dgm:prSet presAssocID="{C4B0540C-DBD0-4A41-852B-FC0C427A7AD8}" presName="level3hierChild" presStyleCnt="0"/>
      <dgm:spPr/>
    </dgm:pt>
    <dgm:pt modelId="{D1627610-B0F3-41CC-9405-0B06E79E37D8}" type="pres">
      <dgm:prSet presAssocID="{3C655246-362A-43C7-8F7B-FC3987EDC16F}" presName="conn2-1" presStyleLbl="parChTrans1D2" presStyleIdx="2" presStyleCnt="3"/>
      <dgm:spPr/>
      <dgm:t>
        <a:bodyPr/>
        <a:lstStyle/>
        <a:p>
          <a:endParaRPr lang="cs-CZ"/>
        </a:p>
      </dgm:t>
    </dgm:pt>
    <dgm:pt modelId="{9B3FA6A8-A43D-4FD6-BA5F-68D2A7EE5370}" type="pres">
      <dgm:prSet presAssocID="{3C655246-362A-43C7-8F7B-FC3987EDC16F}" presName="connTx" presStyleLbl="parChTrans1D2" presStyleIdx="2" presStyleCnt="3"/>
      <dgm:spPr/>
      <dgm:t>
        <a:bodyPr/>
        <a:lstStyle/>
        <a:p>
          <a:endParaRPr lang="cs-CZ"/>
        </a:p>
      </dgm:t>
    </dgm:pt>
    <dgm:pt modelId="{06A3D438-DFA5-4AD0-9472-874F713E3DB0}" type="pres">
      <dgm:prSet presAssocID="{359D99EC-4624-49C8-85F7-7C7204008BF7}" presName="root2" presStyleCnt="0"/>
      <dgm:spPr/>
    </dgm:pt>
    <dgm:pt modelId="{DB829C95-4B68-4460-93C1-626B205AAB92}" type="pres">
      <dgm:prSet presAssocID="{359D99EC-4624-49C8-85F7-7C7204008BF7}" presName="LevelTwoTextNode" presStyleLbl="node2" presStyleIdx="2" presStyleCnt="3" custScaleY="84860" custLinFactY="-4665" custLinFactNeighborX="1080" custLinFactNeighborY="-100000">
        <dgm:presLayoutVars>
          <dgm:chPref val="3"/>
        </dgm:presLayoutVars>
      </dgm:prSet>
      <dgm:spPr/>
      <dgm:t>
        <a:bodyPr/>
        <a:lstStyle/>
        <a:p>
          <a:endParaRPr lang="cs-CZ"/>
        </a:p>
      </dgm:t>
    </dgm:pt>
    <dgm:pt modelId="{978AF6C3-5804-4B54-9ACD-AD70CE2B051D}" type="pres">
      <dgm:prSet presAssocID="{359D99EC-4624-49C8-85F7-7C7204008BF7}" presName="level3hierChild" presStyleCnt="0"/>
      <dgm:spPr/>
    </dgm:pt>
  </dgm:ptLst>
  <dgm:cxnLst>
    <dgm:cxn modelId="{21ED4941-8B70-4D67-B0C0-AAC63D2F14B2}" srcId="{7272A984-2FEB-49F8-A2B4-A412070453BD}" destId="{8FA6C1A1-8185-44E8-9307-BF84F736F0CB}" srcOrd="0" destOrd="0" parTransId="{27CF4CCA-0C3A-486E-9427-154FB302F30F}" sibTransId="{E8EFF9F4-DD71-4EA5-8263-E1EF6240E650}"/>
    <dgm:cxn modelId="{218B8AA1-818F-4D6C-928D-EED9969E123B}" srcId="{8FA6C1A1-8185-44E8-9307-BF84F736F0CB}" destId="{C4B0540C-DBD0-4A41-852B-FC0C427A7AD8}" srcOrd="1" destOrd="0" parTransId="{4A50057D-2E13-4699-ABD1-D22725B0630B}" sibTransId="{672A0378-DD68-4044-91A3-8BA809DEDC36}"/>
    <dgm:cxn modelId="{7BE01939-80CF-4740-B286-C154C11DD506}" type="presOf" srcId="{3C655246-362A-43C7-8F7B-FC3987EDC16F}" destId="{D1627610-B0F3-41CC-9405-0B06E79E37D8}" srcOrd="0" destOrd="0" presId="urn:microsoft.com/office/officeart/2005/8/layout/hierarchy2#1"/>
    <dgm:cxn modelId="{530F36CB-1B70-443B-A65E-EF4482B02E27}" type="presOf" srcId="{359D99EC-4624-49C8-85F7-7C7204008BF7}" destId="{DB829C95-4B68-4460-93C1-626B205AAB92}" srcOrd="0" destOrd="0" presId="urn:microsoft.com/office/officeart/2005/8/layout/hierarchy2#1"/>
    <dgm:cxn modelId="{05108FB7-A71A-4DA6-AF5B-6B5173BA0E8F}" type="presOf" srcId="{F9C483A4-74C0-4051-99BA-BBB2A25D0168}" destId="{92CBDBFD-47C2-4FB3-B51C-049C7BD85FFA}" srcOrd="0" destOrd="0" presId="urn:microsoft.com/office/officeart/2005/8/layout/hierarchy2#1"/>
    <dgm:cxn modelId="{F472E06F-DBEC-40E4-BC16-F383D06F0E4D}" srcId="{8FA6C1A1-8185-44E8-9307-BF84F736F0CB}" destId="{359D99EC-4624-49C8-85F7-7C7204008BF7}" srcOrd="2" destOrd="0" parTransId="{3C655246-362A-43C7-8F7B-FC3987EDC16F}" sibTransId="{C49EE212-C8C5-4881-9A4C-F72A3088FEB4}"/>
    <dgm:cxn modelId="{7BB17E78-48E1-487C-A829-35EDF0D0FBE3}" type="presOf" srcId="{3C655246-362A-43C7-8F7B-FC3987EDC16F}" destId="{9B3FA6A8-A43D-4FD6-BA5F-68D2A7EE5370}" srcOrd="1" destOrd="0" presId="urn:microsoft.com/office/officeart/2005/8/layout/hierarchy2#1"/>
    <dgm:cxn modelId="{DFA341FD-5D81-454A-8596-0D43AEBE2FE2}" srcId="{8FA6C1A1-8185-44E8-9307-BF84F736F0CB}" destId="{33F05DAF-3E71-4AFD-942D-3C13C9AC2BF5}" srcOrd="0" destOrd="0" parTransId="{F9C483A4-74C0-4051-99BA-BBB2A25D0168}" sibTransId="{3A698D94-AA35-46FD-99B7-1F2D89CEBF06}"/>
    <dgm:cxn modelId="{74AD3E2A-F16F-4F62-A031-5CF3003605AE}" type="presOf" srcId="{33F05DAF-3E71-4AFD-942D-3C13C9AC2BF5}" destId="{51D591E7-E940-4A66-8B29-FCFFC8D333DD}" srcOrd="0" destOrd="0" presId="urn:microsoft.com/office/officeart/2005/8/layout/hierarchy2#1"/>
    <dgm:cxn modelId="{BEACCF9C-E055-4C34-ABDA-0386DD33CB1B}" type="presOf" srcId="{8FA6C1A1-8185-44E8-9307-BF84F736F0CB}" destId="{1EDA4475-363D-4BA3-BA17-B3107131ABF2}" srcOrd="0" destOrd="0" presId="urn:microsoft.com/office/officeart/2005/8/layout/hierarchy2#1"/>
    <dgm:cxn modelId="{E10CE1D2-91A7-42D8-AE93-37EFDEB8FCD8}" type="presOf" srcId="{4A50057D-2E13-4699-ABD1-D22725B0630B}" destId="{E8CDD11E-E7BE-47EE-848C-ACA07A9F2567}" srcOrd="0" destOrd="0" presId="urn:microsoft.com/office/officeart/2005/8/layout/hierarchy2#1"/>
    <dgm:cxn modelId="{C6AE046E-C5D4-425E-AD02-F757ACBC344D}" type="presOf" srcId="{7272A984-2FEB-49F8-A2B4-A412070453BD}" destId="{36CA7372-687B-41E9-BF38-0BC6731A5E38}" srcOrd="0" destOrd="0" presId="urn:microsoft.com/office/officeart/2005/8/layout/hierarchy2#1"/>
    <dgm:cxn modelId="{8BA68C1E-6D31-4A69-B091-8898662CB5DC}" type="presOf" srcId="{F9C483A4-74C0-4051-99BA-BBB2A25D0168}" destId="{394FB309-86AF-43A3-983B-8DD41075EE38}" srcOrd="1" destOrd="0" presId="urn:microsoft.com/office/officeart/2005/8/layout/hierarchy2#1"/>
    <dgm:cxn modelId="{8F16461A-C1B8-4082-B5C7-40EF81F13509}" type="presOf" srcId="{4A50057D-2E13-4699-ABD1-D22725B0630B}" destId="{CFE1F748-D413-4666-9924-248A798586E6}" srcOrd="1" destOrd="0" presId="urn:microsoft.com/office/officeart/2005/8/layout/hierarchy2#1"/>
    <dgm:cxn modelId="{1EE7EF01-0FDB-42AE-9004-02F912712FDC}" type="presOf" srcId="{C4B0540C-DBD0-4A41-852B-FC0C427A7AD8}" destId="{3516A93C-5701-4BCE-9F09-1165EAC84DBF}" srcOrd="0" destOrd="0" presId="urn:microsoft.com/office/officeart/2005/8/layout/hierarchy2#1"/>
    <dgm:cxn modelId="{0471F507-AD46-44BB-A106-8F4EB55FC9C0}" type="presParOf" srcId="{36CA7372-687B-41E9-BF38-0BC6731A5E38}" destId="{68165A3C-25ED-48E8-8297-B3D7E646C286}" srcOrd="0" destOrd="0" presId="urn:microsoft.com/office/officeart/2005/8/layout/hierarchy2#1"/>
    <dgm:cxn modelId="{1FB11CE0-71B0-4630-A691-548A1641D8B0}" type="presParOf" srcId="{68165A3C-25ED-48E8-8297-B3D7E646C286}" destId="{1EDA4475-363D-4BA3-BA17-B3107131ABF2}" srcOrd="0" destOrd="0" presId="urn:microsoft.com/office/officeart/2005/8/layout/hierarchy2#1"/>
    <dgm:cxn modelId="{B7B9A975-573E-427C-B6CC-BA45FFB0D624}" type="presParOf" srcId="{68165A3C-25ED-48E8-8297-B3D7E646C286}" destId="{6D68655D-20F8-4673-8DA1-08E2489CEB56}" srcOrd="1" destOrd="0" presId="urn:microsoft.com/office/officeart/2005/8/layout/hierarchy2#1"/>
    <dgm:cxn modelId="{1CB86766-D704-49AF-849E-FA063F6A8C1C}" type="presParOf" srcId="{6D68655D-20F8-4673-8DA1-08E2489CEB56}" destId="{92CBDBFD-47C2-4FB3-B51C-049C7BD85FFA}" srcOrd="0" destOrd="0" presId="urn:microsoft.com/office/officeart/2005/8/layout/hierarchy2#1"/>
    <dgm:cxn modelId="{FCCB8260-CF3A-4D96-A9E6-5A9CB2A3B362}" type="presParOf" srcId="{92CBDBFD-47C2-4FB3-B51C-049C7BD85FFA}" destId="{394FB309-86AF-43A3-983B-8DD41075EE38}" srcOrd="0" destOrd="0" presId="urn:microsoft.com/office/officeart/2005/8/layout/hierarchy2#1"/>
    <dgm:cxn modelId="{8A2011DD-FA73-4BE2-8A8B-E8892A271371}" type="presParOf" srcId="{6D68655D-20F8-4673-8DA1-08E2489CEB56}" destId="{DF2A67D3-5CEC-496B-BE65-4565BA457EA4}" srcOrd="1" destOrd="0" presId="urn:microsoft.com/office/officeart/2005/8/layout/hierarchy2#1"/>
    <dgm:cxn modelId="{720523B2-1EA0-4BBC-8165-376D6452DF69}" type="presParOf" srcId="{DF2A67D3-5CEC-496B-BE65-4565BA457EA4}" destId="{51D591E7-E940-4A66-8B29-FCFFC8D333DD}" srcOrd="0" destOrd="0" presId="urn:microsoft.com/office/officeart/2005/8/layout/hierarchy2#1"/>
    <dgm:cxn modelId="{6874BD63-DA7A-4E39-AB9E-5D64C8015D64}" type="presParOf" srcId="{DF2A67D3-5CEC-496B-BE65-4565BA457EA4}" destId="{2C8D63F4-CC6C-4FDD-B536-4B76BA6688F4}" srcOrd="1" destOrd="0" presId="urn:microsoft.com/office/officeart/2005/8/layout/hierarchy2#1"/>
    <dgm:cxn modelId="{9760B81F-33AA-4A46-991D-80F4C66998B4}" type="presParOf" srcId="{6D68655D-20F8-4673-8DA1-08E2489CEB56}" destId="{E8CDD11E-E7BE-47EE-848C-ACA07A9F2567}" srcOrd="2" destOrd="0" presId="urn:microsoft.com/office/officeart/2005/8/layout/hierarchy2#1"/>
    <dgm:cxn modelId="{E84802F0-6F3D-464D-A3D7-33B68CC214A9}" type="presParOf" srcId="{E8CDD11E-E7BE-47EE-848C-ACA07A9F2567}" destId="{CFE1F748-D413-4666-9924-248A798586E6}" srcOrd="0" destOrd="0" presId="urn:microsoft.com/office/officeart/2005/8/layout/hierarchy2#1"/>
    <dgm:cxn modelId="{3101FE42-F33D-4E40-B02B-2C0BA68CADEE}" type="presParOf" srcId="{6D68655D-20F8-4673-8DA1-08E2489CEB56}" destId="{0F3AE7AD-893E-4B89-BCAB-F712AE4B94BC}" srcOrd="3" destOrd="0" presId="urn:microsoft.com/office/officeart/2005/8/layout/hierarchy2#1"/>
    <dgm:cxn modelId="{BC5CEDBB-E0BE-4184-BE91-77F273DE1A25}" type="presParOf" srcId="{0F3AE7AD-893E-4B89-BCAB-F712AE4B94BC}" destId="{3516A93C-5701-4BCE-9F09-1165EAC84DBF}" srcOrd="0" destOrd="0" presId="urn:microsoft.com/office/officeart/2005/8/layout/hierarchy2#1"/>
    <dgm:cxn modelId="{9B8F4ABC-3B3A-43EE-AA23-3FA92C66C393}" type="presParOf" srcId="{0F3AE7AD-893E-4B89-BCAB-F712AE4B94BC}" destId="{1C9298E8-6F9B-4600-B59B-9B831F1CD831}" srcOrd="1" destOrd="0" presId="urn:microsoft.com/office/officeart/2005/8/layout/hierarchy2#1"/>
    <dgm:cxn modelId="{BA34341D-3F34-4A5A-BD00-4326B8D6E331}" type="presParOf" srcId="{6D68655D-20F8-4673-8DA1-08E2489CEB56}" destId="{D1627610-B0F3-41CC-9405-0B06E79E37D8}" srcOrd="4" destOrd="0" presId="urn:microsoft.com/office/officeart/2005/8/layout/hierarchy2#1"/>
    <dgm:cxn modelId="{DBC1BB2A-7C9F-41CA-8C8D-669F0103E984}" type="presParOf" srcId="{D1627610-B0F3-41CC-9405-0B06E79E37D8}" destId="{9B3FA6A8-A43D-4FD6-BA5F-68D2A7EE5370}" srcOrd="0" destOrd="0" presId="urn:microsoft.com/office/officeart/2005/8/layout/hierarchy2#1"/>
    <dgm:cxn modelId="{E3B91022-C3A4-4361-84B3-3116A54F5FAA}" type="presParOf" srcId="{6D68655D-20F8-4673-8DA1-08E2489CEB56}" destId="{06A3D438-DFA5-4AD0-9472-874F713E3DB0}" srcOrd="5" destOrd="0" presId="urn:microsoft.com/office/officeart/2005/8/layout/hierarchy2#1"/>
    <dgm:cxn modelId="{CD4AB311-1B79-417B-9C12-CB81D7F48D43}" type="presParOf" srcId="{06A3D438-DFA5-4AD0-9472-874F713E3DB0}" destId="{DB829C95-4B68-4460-93C1-626B205AAB92}" srcOrd="0" destOrd="0" presId="urn:microsoft.com/office/officeart/2005/8/layout/hierarchy2#1"/>
    <dgm:cxn modelId="{536EBD48-3A3A-499F-AF4D-D961A7AAB210}" type="presParOf" srcId="{06A3D438-DFA5-4AD0-9472-874F713E3DB0}" destId="{978AF6C3-5804-4B54-9ACD-AD70CE2B051D}" srcOrd="1" destOrd="0" presId="urn:microsoft.com/office/officeart/2005/8/layout/hierarchy2#1"/>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DA4475-363D-4BA3-BA17-B3107131ABF2}">
      <dsp:nvSpPr>
        <dsp:cNvPr id="0" name=""/>
        <dsp:cNvSpPr/>
      </dsp:nvSpPr>
      <dsp:spPr>
        <a:xfrm>
          <a:off x="824270" y="492737"/>
          <a:ext cx="1605557" cy="882061"/>
        </a:xfrm>
        <a:prstGeom prst="roundRect">
          <a:avLst>
            <a:gd name="adj" fmla="val 10000"/>
          </a:avLst>
        </a:prstGeom>
        <a:solidFill>
          <a:srgbClr val="00459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17</a:t>
          </a:r>
          <a:r>
            <a:rPr lang="cs-CZ" sz="2300" kern="1200"/>
            <a:t/>
          </a:r>
          <a:br>
            <a:rPr lang="cs-CZ" sz="2300" kern="1200"/>
          </a:br>
          <a:r>
            <a:rPr lang="cs-CZ" sz="1050" b="1" kern="1200"/>
            <a:t>opatření přijatých </a:t>
          </a:r>
          <a:br>
            <a:rPr lang="cs-CZ" sz="1050" b="1" kern="1200"/>
          </a:br>
          <a:r>
            <a:rPr lang="cs-CZ" sz="1050" b="1" kern="1200"/>
            <a:t>k nápravě nedostatků</a:t>
          </a:r>
        </a:p>
      </dsp:txBody>
      <dsp:txXfrm>
        <a:off x="850105" y="518572"/>
        <a:ext cx="1553887" cy="830391"/>
      </dsp:txXfrm>
    </dsp:sp>
    <dsp:sp modelId="{92CBDBFD-47C2-4FB3-B51C-049C7BD85FFA}">
      <dsp:nvSpPr>
        <dsp:cNvPr id="0" name=""/>
        <dsp:cNvSpPr/>
      </dsp:nvSpPr>
      <dsp:spPr>
        <a:xfrm rot="19039994">
          <a:off x="2314033" y="605685"/>
          <a:ext cx="874935" cy="63193"/>
        </a:xfrm>
        <a:custGeom>
          <a:avLst/>
          <a:gdLst/>
          <a:ahLst/>
          <a:cxnLst/>
          <a:rect l="0" t="0" r="0" b="0"/>
          <a:pathLst>
            <a:path>
              <a:moveTo>
                <a:pt x="0" y="31596"/>
              </a:moveTo>
              <a:lnTo>
                <a:pt x="874935" y="31596"/>
              </a:lnTo>
            </a:path>
          </a:pathLst>
        </a:custGeom>
        <a:noFill/>
        <a:ln w="12700" cap="flat" cmpd="sng" algn="ctr">
          <a:solidFill>
            <a:srgbClr val="004595"/>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729627" y="615408"/>
        <a:ext cx="43746" cy="43746"/>
      </dsp:txXfrm>
    </dsp:sp>
    <dsp:sp modelId="{51D591E7-E940-4A66-8B29-FCFFC8D333DD}">
      <dsp:nvSpPr>
        <dsp:cNvPr id="0" name=""/>
        <dsp:cNvSpPr/>
      </dsp:nvSpPr>
      <dsp:spPr>
        <a:xfrm>
          <a:off x="3073174" y="0"/>
          <a:ext cx="1605557" cy="681591"/>
        </a:xfrm>
        <a:prstGeom prst="roundRect">
          <a:avLst>
            <a:gd name="adj" fmla="val 10000"/>
          </a:avLst>
        </a:prstGeom>
        <a:solidFill>
          <a:srgbClr val="BD2A33"/>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1</a:t>
          </a:r>
          <a:r>
            <a:rPr lang="cs-CZ" sz="2400" kern="1200"/>
            <a:t/>
          </a:r>
          <a:br>
            <a:rPr lang="cs-CZ" sz="2400" kern="1200"/>
          </a:br>
          <a:r>
            <a:rPr lang="cs-CZ" sz="1050" b="1" kern="1200"/>
            <a:t>opatření nerealizováno</a:t>
          </a:r>
        </a:p>
      </dsp:txBody>
      <dsp:txXfrm>
        <a:off x="3093137" y="19963"/>
        <a:ext cx="1565631" cy="641665"/>
      </dsp:txXfrm>
    </dsp:sp>
    <dsp:sp modelId="{E8CDD11E-E7BE-47EE-848C-ACA07A9F2567}">
      <dsp:nvSpPr>
        <dsp:cNvPr id="0" name=""/>
        <dsp:cNvSpPr/>
      </dsp:nvSpPr>
      <dsp:spPr>
        <a:xfrm rot="3326316">
          <a:off x="2188065" y="1362284"/>
          <a:ext cx="1117430" cy="63193"/>
        </a:xfrm>
        <a:custGeom>
          <a:avLst/>
          <a:gdLst/>
          <a:ahLst/>
          <a:cxnLst/>
          <a:rect l="0" t="0" r="0" b="0"/>
          <a:pathLst>
            <a:path>
              <a:moveTo>
                <a:pt x="0" y="31596"/>
              </a:moveTo>
              <a:lnTo>
                <a:pt x="1117430" y="31596"/>
              </a:lnTo>
            </a:path>
          </a:pathLst>
        </a:custGeom>
        <a:noFill/>
        <a:ln w="12700" cap="flat" cmpd="sng" algn="ctr">
          <a:solidFill>
            <a:srgbClr val="004595"/>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718844" y="1365944"/>
        <a:ext cx="55871" cy="55871"/>
      </dsp:txXfrm>
    </dsp:sp>
    <dsp:sp modelId="{3516A93C-5701-4BCE-9F09-1165EAC84DBF}">
      <dsp:nvSpPr>
        <dsp:cNvPr id="0" name=""/>
        <dsp:cNvSpPr/>
      </dsp:nvSpPr>
      <dsp:spPr>
        <a:xfrm>
          <a:off x="3063733" y="1513197"/>
          <a:ext cx="1605557" cy="681591"/>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11</a:t>
          </a:r>
          <a:r>
            <a:rPr lang="cs-CZ" sz="1500" kern="1200"/>
            <a:t/>
          </a:r>
          <a:br>
            <a:rPr lang="cs-CZ" sz="1500" kern="1200"/>
          </a:br>
          <a:r>
            <a:rPr lang="cs-CZ" sz="1050" b="1" kern="1200"/>
            <a:t>opatření realizováno úplně a správně</a:t>
          </a:r>
        </a:p>
      </dsp:txBody>
      <dsp:txXfrm>
        <a:off x="3083696" y="1533160"/>
        <a:ext cx="1565631" cy="641665"/>
      </dsp:txXfrm>
    </dsp:sp>
    <dsp:sp modelId="{D1627610-B0F3-41CC-9405-0B06E79E37D8}">
      <dsp:nvSpPr>
        <dsp:cNvPr id="0" name=""/>
        <dsp:cNvSpPr/>
      </dsp:nvSpPr>
      <dsp:spPr>
        <a:xfrm rot="883609">
          <a:off x="2418757" y="987836"/>
          <a:ext cx="673964" cy="63193"/>
        </a:xfrm>
        <a:custGeom>
          <a:avLst/>
          <a:gdLst/>
          <a:ahLst/>
          <a:cxnLst/>
          <a:rect l="0" t="0" r="0" b="0"/>
          <a:pathLst>
            <a:path>
              <a:moveTo>
                <a:pt x="0" y="31596"/>
              </a:moveTo>
              <a:lnTo>
                <a:pt x="673964" y="31596"/>
              </a:lnTo>
            </a:path>
          </a:pathLst>
        </a:custGeom>
        <a:noFill/>
        <a:ln w="12700" cap="flat" cmpd="sng" algn="ctr">
          <a:solidFill>
            <a:srgbClr val="004595"/>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738890" y="1002583"/>
        <a:ext cx="33698" cy="33698"/>
      </dsp:txXfrm>
    </dsp:sp>
    <dsp:sp modelId="{DB829C95-4B68-4460-93C1-626B205AAB92}">
      <dsp:nvSpPr>
        <dsp:cNvPr id="0" name=""/>
        <dsp:cNvSpPr/>
      </dsp:nvSpPr>
      <dsp:spPr>
        <a:xfrm>
          <a:off x="3081651" y="764478"/>
          <a:ext cx="1605557" cy="681237"/>
        </a:xfrm>
        <a:prstGeom prst="roundRect">
          <a:avLst>
            <a:gd name="adj" fmla="val 10000"/>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5</a:t>
          </a:r>
          <a:r>
            <a:rPr lang="cs-CZ" sz="1050" b="1" kern="1200"/>
            <a:t/>
          </a:r>
          <a:br>
            <a:rPr lang="cs-CZ" sz="1050" b="1" kern="1200"/>
          </a:br>
          <a:r>
            <a:rPr lang="cs-CZ" sz="1050" b="1" kern="1200"/>
            <a:t>opatření </a:t>
          </a:r>
          <a:br>
            <a:rPr lang="cs-CZ" sz="1050" b="1" kern="1200"/>
          </a:br>
          <a:r>
            <a:rPr lang="cs-CZ" sz="1050" b="1" kern="1200"/>
            <a:t>realizováno částečně </a:t>
          </a:r>
          <a:endParaRPr lang="cs-CZ" sz="1050" kern="1200"/>
        </a:p>
      </dsp:txBody>
      <dsp:txXfrm>
        <a:off x="3101604" y="784431"/>
        <a:ext cx="1565651" cy="6413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F923-7150-41FF-A829-D5640C567F8E}">
  <ds:schemaRefs>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4825B72B-5633-455C-9C8D-7ED23761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E732-A3B1-4BC1-B881-AEA3FB9EE595}">
  <ds:schemaRefs>
    <ds:schemaRef ds:uri="http://schemas.microsoft.com/sharepoint/v3/contenttype/forms"/>
  </ds:schemaRefs>
</ds:datastoreItem>
</file>

<file path=customXml/itemProps4.xml><?xml version="1.0" encoding="utf-8"?>
<ds:datastoreItem xmlns:ds="http://schemas.openxmlformats.org/officeDocument/2006/customXml" ds:itemID="{9B37F8D6-E8EB-4691-8362-112C148D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113B94E6.dotm</Template>
  <TotalTime>1</TotalTime>
  <Pages>40</Pages>
  <Words>13321</Words>
  <Characters>78596</Characters>
  <Application>Microsoft Office Word</Application>
  <DocSecurity>4</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91734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19/21 - Závěrečný účet kapitoly státního rozpočtu Ministerstvo pro místní rozvoj za rok 2018, účetní závěrka Ministerstva pro místní rozvoj za rok 2018 a údaje předkládané Ministerstvem pro místní rozvoj</dc:title>
  <dc:creator>Nejvyšší kontrolní úřad</dc:creator>
  <cp:keywords>kontrolní závěr, MMR, účetnictví</cp:keywords>
  <cp:lastModifiedBy>KOKRDA Daniel</cp:lastModifiedBy>
  <cp:revision>2</cp:revision>
  <cp:lastPrinted>2020-07-27T10:14:00Z</cp:lastPrinted>
  <dcterms:created xsi:type="dcterms:W3CDTF">2020-07-28T06:09:00Z</dcterms:created>
  <dcterms:modified xsi:type="dcterms:W3CDTF">2020-07-28T06:09:00Z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19/03-NKU30/1082/19</vt:lpwstr>
  </property>
  <property fmtid="{D5CDD505-2E9C-101B-9397-08002B2CF9AE}" pid="5" name="CJ_PostaDoruc_PisemnostOdpovedNa_Pisemnost">
    <vt:lpwstr>XXX-XXX-XXX</vt:lpwstr>
  </property>
  <property fmtid="{D5CDD505-2E9C-101B-9397-08002B2CF9AE}" pid="6" name="CJ_Spis_Pisemnost">
    <vt:lpwstr>510/142/18</vt:lpwstr>
  </property>
  <property fmtid="{D5CDD505-2E9C-101B-9397-08002B2CF9AE}" pid="7" name="Contact_PostaOdes_All">
    <vt:lpwstr>ROZDĚLOVNÍK...</vt:lpwstr>
  </property>
  <property fmtid="{D5CDD505-2E9C-101B-9397-08002B2CF9AE}" pid="8" name="ContentTypeId">
    <vt:lpwstr>0x0101002F7A625AE9F5AB4A939F92BCAA7FEC02</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7.10.2019</vt:lpwstr>
  </property>
  <property fmtid="{D5CDD505-2E9C-101B-9397-08002B2CF9AE}" pid="12" name="DisplayName_CJCol">
    <vt:lpwstr>&lt;TABLE&gt;&lt;TR&gt;&lt;TD&gt;Č.j.:&lt;/TD&gt;&lt;TD&gt;19/03-NKU30/1082/19&lt;/TD&gt;&lt;/TR&gt;&lt;TR&gt;&lt;TD&gt;&lt;/TD&gt;&lt;TD&gt;&lt;/TD&gt;&lt;/TR&gt;&lt;/TABLE&gt;</vt:lpwstr>
  </property>
  <property fmtid="{D5CDD505-2E9C-101B-9397-08002B2CF9AE}" pid="13" name="DisplayName_SlozkaStupenUtajeniCollection_Slozka_Pisemnost">
    <vt:lpwstr/>
  </property>
  <property fmtid="{D5CDD505-2E9C-101B-9397-08002B2CF9AE}" pid="14" name="DisplayName_SpisovyUzel_PoziceZodpo_Pisemnost">
    <vt:lpwstr>Členové Úřadu</vt:lpwstr>
  </property>
  <property fmtid="{D5CDD505-2E9C-101B-9397-08002B2CF9AE}" pid="15" name="DisplayName_UserPoriz_Pisemnost">
    <vt:lpwstr>Bc. Jana Pokorná</vt:lpwstr>
  </property>
  <property fmtid="{D5CDD505-2E9C-101B-9397-08002B2CF9AE}" pid="16" name="DuvodZmeny_SlozkaStupenUtajeniCollection_Slozka_Pisemnost">
    <vt:lpwstr/>
  </property>
  <property fmtid="{D5CDD505-2E9C-101B-9397-08002B2CF9AE}" pid="17" name="EC_Pisemnost">
    <vt:lpwstr>19-13020/NKU</vt:lpwstr>
  </property>
  <property fmtid="{D5CDD505-2E9C-101B-9397-08002B2CF9AE}" pid="18" name="Key_BarCode_Pisemnost">
    <vt:lpwstr>*B000344466*</vt:lpwstr>
  </property>
  <property fmtid="{D5CDD505-2E9C-101B-9397-08002B2CF9AE}" pid="19" name="KRukam">
    <vt:lpwstr>{KRukam}</vt:lpwstr>
  </property>
  <property fmtid="{D5CDD505-2E9C-101B-9397-08002B2CF9AE}" pid="20" name="NameAddress_Contact_SpisovyUzel_PoziceZodpo_Pisemnost">
    <vt:lpwstr>ADRESÁT SU...</vt:lpwstr>
  </property>
  <property fmtid="{D5CDD505-2E9C-101B-9397-08002B2CF9AE}" pid="21" name="NamePostalAddress_Contact_PostaOdes">
    <vt:lpwstr>{NameAddress_Contact_PostaOdes}
{PostalAddress_Contact_PostaOdes}</vt:lpwstr>
  </property>
  <property fmtid="{D5CDD505-2E9C-101B-9397-08002B2CF9AE}" pid="22" name="Odkaz">
    <vt:lpwstr>ODKAZ</vt:lpwstr>
  </property>
  <property fmtid="{D5CDD505-2E9C-101B-9397-08002B2CF9AE}" pid="23" name="Password_PisemnostTypZpristupneniInformaciZOSZ_Pisemnost">
    <vt:lpwstr>ZOSZ_Password</vt:lpwstr>
  </property>
  <property fmtid="{D5CDD505-2E9C-101B-9397-08002B2CF9AE}" pid="24" name="PocetListuDokumentu_Pisemnost">
    <vt:lpwstr>1</vt:lpwstr>
  </property>
  <property fmtid="{D5CDD505-2E9C-101B-9397-08002B2CF9AE}" pid="25" name="PocetListu_Pisemnost">
    <vt:lpwstr>1</vt:lpwstr>
  </property>
  <property fmtid="{D5CDD505-2E9C-101B-9397-08002B2CF9AE}" pid="26" name="PocetPriloh_Pisemnost">
    <vt:lpwstr>POČET PŘÍLOH</vt:lpwstr>
  </property>
  <property fmtid="{D5CDD505-2E9C-101B-9397-08002B2CF9AE}" pid="27" name="Podpis">
    <vt:lpwstr/>
  </property>
  <property fmtid="{D5CDD505-2E9C-101B-9397-08002B2CF9AE}" pid="28" name="PostalAddress_Contact_SpisovyUzel_PoziceZodpo_Pisemnost">
    <vt:lpwstr>ADRESA SU...</vt:lpwstr>
  </property>
  <property fmtid="{D5CDD505-2E9C-101B-9397-08002B2CF9AE}" pid="29" name="RC">
    <vt:lpwstr/>
  </property>
  <property fmtid="{D5CDD505-2E9C-101B-9397-08002B2CF9AE}" pid="30" name="SkartacniZnakLhuta_PisemnostZnak">
    <vt:lpwstr>?/?</vt:lpwstr>
  </property>
  <property fmtid="{D5CDD505-2E9C-101B-9397-08002B2CF9AE}" pid="31" name="SmlouvaCislo">
    <vt:lpwstr>ČÍSLO SMLOUVY</vt:lpwstr>
  </property>
  <property fmtid="{D5CDD505-2E9C-101B-9397-08002B2CF9AE}" pid="32" name="SZ_Spis_Pisemnost">
    <vt:lpwstr>19/03</vt:lpwstr>
  </property>
  <property fmtid="{D5CDD505-2E9C-101B-9397-08002B2CF9AE}" pid="33" name="TEST">
    <vt:lpwstr>testovací pole</vt:lpwstr>
  </property>
  <property fmtid="{D5CDD505-2E9C-101B-9397-08002B2CF9AE}" pid="34" name="TypPrilohy_Pisemnost">
    <vt:lpwstr>TYP PŘÍLOHY</vt:lpwstr>
  </property>
  <property fmtid="{D5CDD505-2E9C-101B-9397-08002B2CF9AE}" pid="35" name="UserName_PisemnostTypZpristupneniInformaciZOSZ_Pisemnost">
    <vt:lpwstr>ZOSZ_UserName</vt:lpwstr>
  </property>
  <property fmtid="{D5CDD505-2E9C-101B-9397-08002B2CF9AE}" pid="36" name="Vec_Pisemnost">
    <vt:lpwstr>Návrh kontrolního závěru 19/03 – do připomínek</vt:lpwstr>
  </property>
  <property fmtid="{D5CDD505-2E9C-101B-9397-08002B2CF9AE}" pid="37" name="Zkratka_SpisovyUzel_PoziceZodpo_Pisemnost">
    <vt:lpwstr>30</vt:lpwstr>
  </property>
</Properties>
</file>