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E2905" w14:textId="77777777" w:rsidR="000B5E04" w:rsidRDefault="00063156" w:rsidP="0020405C">
      <w:pPr>
        <w:spacing w:after="0"/>
        <w:jc w:val="center"/>
        <w:rPr>
          <w:rFonts w:ascii="Calibri" w:hAnsi="Calibri" w:cs="Calibri"/>
        </w:rPr>
      </w:pPr>
      <w:r w:rsidRPr="003D1C56">
        <w:rPr>
          <w:noProof/>
        </w:rPr>
        <w:drawing>
          <wp:anchor distT="0" distB="0" distL="114300" distR="114300" simplePos="0" relativeHeight="251658240" behindDoc="0" locked="0" layoutInCell="1" allowOverlap="1" wp14:anchorId="458082D9" wp14:editId="6E289260">
            <wp:simplePos x="0" y="0"/>
            <wp:positionH relativeFrom="column">
              <wp:posOffset>2535003</wp:posOffset>
            </wp:positionH>
            <wp:positionV relativeFrom="paragraph">
              <wp:posOffset>248</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9141"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14:paraId="6E684FE6" w14:textId="77777777" w:rsidR="00063156" w:rsidRDefault="00063156" w:rsidP="0020405C">
      <w:pPr>
        <w:spacing w:after="0"/>
        <w:jc w:val="center"/>
        <w:rPr>
          <w:rFonts w:ascii="Calibri" w:hAnsi="Calibri" w:cs="Calibri"/>
        </w:rPr>
      </w:pPr>
    </w:p>
    <w:p w14:paraId="32CE1568" w14:textId="77777777" w:rsidR="00462F78" w:rsidRPr="00840C68" w:rsidRDefault="00462F78" w:rsidP="0020405C">
      <w:pPr>
        <w:spacing w:after="0"/>
        <w:jc w:val="center"/>
        <w:rPr>
          <w:rFonts w:ascii="Calibri" w:hAnsi="Calibri" w:cs="Calibri"/>
        </w:rPr>
      </w:pPr>
    </w:p>
    <w:p w14:paraId="27180216" w14:textId="77777777" w:rsidR="00462F78" w:rsidRPr="003D1C56" w:rsidRDefault="00EC4C55" w:rsidP="0020405C">
      <w:pPr>
        <w:spacing w:after="0"/>
        <w:jc w:val="center"/>
        <w:rPr>
          <w:rFonts w:cstheme="minorHAnsi"/>
          <w:b/>
          <w:sz w:val="28"/>
        </w:rPr>
      </w:pPr>
      <w:r w:rsidRPr="003D1C56">
        <w:rPr>
          <w:rFonts w:cstheme="minorHAnsi"/>
          <w:b/>
          <w:sz w:val="28"/>
        </w:rPr>
        <w:t>Kontrolní závěr z kontrolní akce</w:t>
      </w:r>
    </w:p>
    <w:p w14:paraId="5F14CE85" w14:textId="77777777" w:rsidR="00462F78" w:rsidRPr="003D1C56" w:rsidRDefault="00462F78" w:rsidP="0020405C">
      <w:pPr>
        <w:spacing w:after="0"/>
        <w:jc w:val="center"/>
        <w:rPr>
          <w:rFonts w:ascii="Calibri" w:hAnsi="Calibri" w:cs="Calibri"/>
        </w:rPr>
      </w:pPr>
    </w:p>
    <w:p w14:paraId="3C43BDED" w14:textId="77777777" w:rsidR="00462F78" w:rsidRPr="00840C68" w:rsidRDefault="00A26662" w:rsidP="0020405C">
      <w:pPr>
        <w:spacing w:after="0"/>
        <w:ind w:right="68"/>
        <w:jc w:val="center"/>
        <w:rPr>
          <w:rFonts w:ascii="Calibri" w:hAnsi="Calibri" w:cs="Calibri"/>
          <w:b/>
          <w:bCs/>
          <w:sz w:val="28"/>
        </w:rPr>
      </w:pPr>
      <w:r>
        <w:rPr>
          <w:rFonts w:ascii="Calibri" w:hAnsi="Calibri" w:cs="Calibri"/>
          <w:b/>
          <w:bCs/>
          <w:sz w:val="28"/>
        </w:rPr>
        <w:t>21/07</w:t>
      </w:r>
      <w:bookmarkStart w:id="0" w:name="_GoBack"/>
      <w:bookmarkEnd w:id="0"/>
    </w:p>
    <w:p w14:paraId="0DD9FF5F" w14:textId="77777777" w:rsidR="007347A4" w:rsidRPr="003D1C56" w:rsidRDefault="00A26662" w:rsidP="0020405C">
      <w:pPr>
        <w:spacing w:after="0"/>
        <w:jc w:val="center"/>
        <w:rPr>
          <w:rFonts w:cstheme="minorHAnsi"/>
          <w:b/>
          <w:sz w:val="28"/>
          <w:szCs w:val="28"/>
        </w:rPr>
      </w:pPr>
      <w:r>
        <w:rPr>
          <w:rFonts w:cstheme="minorHAnsi"/>
          <w:b/>
          <w:sz w:val="28"/>
          <w:szCs w:val="28"/>
        </w:rPr>
        <w:t>Majetek a peněžní</w:t>
      </w:r>
      <w:r w:rsidR="00EC4C55" w:rsidRPr="008170F1">
        <w:rPr>
          <w:rFonts w:cstheme="minorHAnsi"/>
          <w:b/>
          <w:sz w:val="28"/>
          <w:szCs w:val="28"/>
        </w:rPr>
        <w:t xml:space="preserve"> prostředky státu</w:t>
      </w:r>
      <w:r>
        <w:rPr>
          <w:rFonts w:cstheme="minorHAnsi"/>
          <w:b/>
          <w:sz w:val="28"/>
          <w:szCs w:val="28"/>
        </w:rPr>
        <w:t>, se kterými jsou příslušné hospodařit vybrané organizace v resortu Ministerstva pro místní rozvoj</w:t>
      </w:r>
    </w:p>
    <w:p w14:paraId="7F26A3EB" w14:textId="77777777" w:rsidR="00462F78" w:rsidRDefault="00462F78" w:rsidP="0020405C">
      <w:pPr>
        <w:spacing w:after="0"/>
        <w:jc w:val="both"/>
        <w:rPr>
          <w:rFonts w:ascii="Calibri" w:hAnsi="Calibri" w:cs="Calibri"/>
        </w:rPr>
      </w:pPr>
    </w:p>
    <w:p w14:paraId="086B685C" w14:textId="77777777" w:rsidR="0020405C" w:rsidRPr="003D1C56" w:rsidRDefault="0020405C" w:rsidP="0020405C">
      <w:pPr>
        <w:spacing w:after="0"/>
        <w:jc w:val="both"/>
        <w:rPr>
          <w:rFonts w:ascii="Calibri" w:hAnsi="Calibri" w:cs="Calibri"/>
        </w:rPr>
      </w:pPr>
    </w:p>
    <w:p w14:paraId="1B8F39D0" w14:textId="77777777" w:rsidR="00462F78" w:rsidRPr="003D1C56" w:rsidRDefault="00EC4C55" w:rsidP="0020405C">
      <w:pPr>
        <w:pStyle w:val="Zkladn"/>
        <w:spacing w:before="0" w:after="0"/>
        <w:rPr>
          <w:rFonts w:ascii="Calibri" w:hAnsi="Calibri" w:cs="Calibri"/>
        </w:rPr>
      </w:pPr>
      <w:r w:rsidRPr="00BB1F71">
        <w:rPr>
          <w:rFonts w:ascii="Calibri" w:hAnsi="Calibri" w:cs="Calibri"/>
        </w:rPr>
        <w:t>Kontrolní akce byla zařazena do plánu kontrolní činnosti Nejvyššího kontrolního úřadu (dále</w:t>
      </w:r>
      <w:r w:rsidR="00AE72E8">
        <w:rPr>
          <w:rFonts w:ascii="Calibri" w:hAnsi="Calibri" w:cs="Calibri"/>
        </w:rPr>
        <w:t xml:space="preserve"> </w:t>
      </w:r>
      <w:r w:rsidR="000579F3" w:rsidRPr="00BB1F71">
        <w:rPr>
          <w:rFonts w:ascii="Calibri" w:hAnsi="Calibri" w:cs="Calibri"/>
        </w:rPr>
        <w:t xml:space="preserve">také </w:t>
      </w:r>
      <w:r w:rsidRPr="00BB1F71">
        <w:rPr>
          <w:rFonts w:ascii="Calibri" w:hAnsi="Calibri" w:cs="Calibri"/>
        </w:rPr>
        <w:t>„NKÚ“) na rok 20</w:t>
      </w:r>
      <w:r w:rsidR="00A26662">
        <w:rPr>
          <w:rFonts w:ascii="Calibri" w:hAnsi="Calibri" w:cs="Calibri"/>
        </w:rPr>
        <w:t>21</w:t>
      </w:r>
      <w:r w:rsidRPr="00BB1F71">
        <w:rPr>
          <w:rFonts w:ascii="Calibri" w:hAnsi="Calibri" w:cs="Calibri"/>
        </w:rPr>
        <w:t xml:space="preserve"> pod číslem </w:t>
      </w:r>
      <w:r w:rsidR="00A26662">
        <w:rPr>
          <w:rFonts w:ascii="Calibri" w:hAnsi="Calibri" w:cs="Calibri"/>
        </w:rPr>
        <w:t>21</w:t>
      </w:r>
      <w:r w:rsidRPr="00BB1F71">
        <w:rPr>
          <w:rFonts w:ascii="Calibri" w:hAnsi="Calibri" w:cs="Calibri"/>
        </w:rPr>
        <w:t>/</w:t>
      </w:r>
      <w:r w:rsidR="00A26662">
        <w:rPr>
          <w:rFonts w:ascii="Calibri" w:hAnsi="Calibri" w:cs="Calibri"/>
        </w:rPr>
        <w:t>07</w:t>
      </w:r>
      <w:r w:rsidRPr="00BB1F71">
        <w:rPr>
          <w:rFonts w:ascii="Calibri" w:hAnsi="Calibri" w:cs="Calibri"/>
        </w:rPr>
        <w:t>. Kontrolní akci řídil a kontrolní závěr vypracoval člen</w:t>
      </w:r>
      <w:r w:rsidR="00AE72E8">
        <w:rPr>
          <w:rFonts w:ascii="Calibri" w:hAnsi="Calibri" w:cs="Calibri"/>
        </w:rPr>
        <w:t> </w:t>
      </w:r>
      <w:r w:rsidRPr="00BB1F71">
        <w:rPr>
          <w:rFonts w:ascii="Calibri" w:hAnsi="Calibri" w:cs="Calibri"/>
        </w:rPr>
        <w:t xml:space="preserve">NKÚ </w:t>
      </w:r>
      <w:r w:rsidR="001D380D" w:rsidRPr="00BB1F71">
        <w:rPr>
          <w:rFonts w:ascii="Calibri" w:hAnsi="Calibri" w:cs="Calibri"/>
        </w:rPr>
        <w:t>Ing</w:t>
      </w:r>
      <w:r w:rsidRPr="00BB1F71">
        <w:rPr>
          <w:rFonts w:ascii="Calibri" w:hAnsi="Calibri" w:cs="Calibri"/>
        </w:rPr>
        <w:t>.</w:t>
      </w:r>
      <w:r w:rsidR="00AE72E8">
        <w:rPr>
          <w:rFonts w:ascii="Calibri" w:hAnsi="Calibri" w:cs="Calibri"/>
        </w:rPr>
        <w:t> </w:t>
      </w:r>
      <w:r w:rsidR="00A26662">
        <w:rPr>
          <w:rFonts w:ascii="Calibri" w:hAnsi="Calibri" w:cs="Calibri"/>
        </w:rPr>
        <w:t>Josef Kubíček</w:t>
      </w:r>
      <w:r w:rsidR="001D380D" w:rsidRPr="00BB1F71">
        <w:rPr>
          <w:rFonts w:ascii="Calibri" w:hAnsi="Calibri" w:cs="Calibri"/>
        </w:rPr>
        <w:t>.</w:t>
      </w:r>
      <w:r w:rsidRPr="003D1C56">
        <w:rPr>
          <w:rFonts w:ascii="Calibri" w:hAnsi="Calibri" w:cs="Calibri"/>
        </w:rPr>
        <w:t xml:space="preserve"> </w:t>
      </w:r>
    </w:p>
    <w:p w14:paraId="60A9905D" w14:textId="77777777" w:rsidR="00462F78" w:rsidRPr="003D1C56" w:rsidRDefault="00462F78" w:rsidP="0020405C">
      <w:pPr>
        <w:pStyle w:val="Zkladntextodsazen"/>
        <w:spacing w:after="0"/>
        <w:ind w:left="0"/>
        <w:jc w:val="both"/>
        <w:rPr>
          <w:rFonts w:ascii="Calibri" w:hAnsi="Calibri" w:cs="Calibri"/>
        </w:rPr>
      </w:pPr>
    </w:p>
    <w:p w14:paraId="64143BA4" w14:textId="77777777" w:rsidR="001D380D" w:rsidRPr="008170F1" w:rsidRDefault="00EC4C55" w:rsidP="0020405C">
      <w:pPr>
        <w:spacing w:after="0"/>
        <w:jc w:val="both"/>
        <w:rPr>
          <w:rFonts w:cstheme="minorHAnsi"/>
          <w:lang w:eastAsia="en-US"/>
        </w:rPr>
      </w:pPr>
      <w:r w:rsidRPr="003D1C56">
        <w:rPr>
          <w:rFonts w:cstheme="minorHAnsi"/>
          <w:lang w:eastAsia="en-US"/>
        </w:rPr>
        <w:t xml:space="preserve">Cílem kontroly </w:t>
      </w:r>
      <w:r w:rsidR="008170F1">
        <w:rPr>
          <w:rFonts w:cstheme="minorHAnsi"/>
          <w:lang w:eastAsia="en-US"/>
        </w:rPr>
        <w:t xml:space="preserve">bylo prověřit, </w:t>
      </w:r>
      <w:r w:rsidR="008170F1" w:rsidRPr="008170F1">
        <w:rPr>
          <w:rFonts w:cstheme="minorHAnsi"/>
          <w:lang w:eastAsia="en-US"/>
        </w:rPr>
        <w:t xml:space="preserve">zda </w:t>
      </w:r>
      <w:r w:rsidR="00A26662">
        <w:rPr>
          <w:rFonts w:cstheme="minorHAnsi"/>
          <w:lang w:eastAsia="en-US"/>
        </w:rPr>
        <w:t>vybrané organizace v resortu Ministerstva pro místní rozvoj hospodaří s majetkem a peněžními prostředky státu účelně, hospodárně a v souladu s právními předpisy</w:t>
      </w:r>
      <w:r w:rsidR="00BC3605">
        <w:rPr>
          <w:rFonts w:cstheme="minorHAnsi"/>
          <w:lang w:eastAsia="en-US"/>
        </w:rPr>
        <w:t>.</w:t>
      </w:r>
    </w:p>
    <w:p w14:paraId="7740E614" w14:textId="77777777" w:rsidR="0031051C" w:rsidRDefault="0031051C" w:rsidP="0020405C">
      <w:pPr>
        <w:pStyle w:val="Zkladn"/>
        <w:spacing w:before="0" w:after="0"/>
        <w:rPr>
          <w:rFonts w:ascii="Calibri" w:hAnsi="Calibri" w:cs="Calibri"/>
          <w:b/>
        </w:rPr>
      </w:pPr>
    </w:p>
    <w:p w14:paraId="0FC795DD" w14:textId="77777777" w:rsidR="0031051C" w:rsidRPr="003D1C56" w:rsidRDefault="00EC4C55" w:rsidP="0020405C">
      <w:pPr>
        <w:pStyle w:val="Zkladn"/>
        <w:spacing w:before="0" w:after="0"/>
        <w:rPr>
          <w:rFonts w:ascii="Calibri" w:hAnsi="Calibri" w:cs="Calibri"/>
          <w:b/>
        </w:rPr>
      </w:pPr>
      <w:r w:rsidRPr="003D1C56">
        <w:rPr>
          <w:rFonts w:ascii="Calibri" w:hAnsi="Calibri" w:cs="Calibri"/>
          <w:b/>
        </w:rPr>
        <w:t>Kontrolované osoby:</w:t>
      </w:r>
    </w:p>
    <w:p w14:paraId="76CCF7DA" w14:textId="77777777" w:rsidR="0031051C" w:rsidRPr="009134B9" w:rsidRDefault="00EC4C55" w:rsidP="0020405C">
      <w:pPr>
        <w:pStyle w:val="Zkladn"/>
        <w:spacing w:before="0" w:after="0"/>
        <w:jc w:val="left"/>
        <w:rPr>
          <w:rFonts w:ascii="Calibri" w:hAnsi="Calibri" w:cs="Calibri"/>
        </w:rPr>
      </w:pPr>
      <w:r w:rsidRPr="009134B9">
        <w:rPr>
          <w:rFonts w:ascii="Calibri" w:hAnsi="Calibri" w:cs="Calibri"/>
        </w:rPr>
        <w:t>Ministerstvo pro místní rozvoj</w:t>
      </w:r>
      <w:r w:rsidR="0017183F">
        <w:rPr>
          <w:rFonts w:ascii="Calibri" w:hAnsi="Calibri" w:cs="Calibri"/>
        </w:rPr>
        <w:t xml:space="preserve"> (dále také „MMR“);</w:t>
      </w:r>
    </w:p>
    <w:p w14:paraId="304D6BB8" w14:textId="77777777" w:rsidR="0031051C" w:rsidRDefault="00A26662" w:rsidP="0020405C">
      <w:pPr>
        <w:pStyle w:val="Zkladn"/>
        <w:spacing w:before="0" w:after="0"/>
        <w:rPr>
          <w:rFonts w:ascii="Calibri" w:hAnsi="Calibri" w:cs="Calibri"/>
        </w:rPr>
      </w:pPr>
      <w:r>
        <w:rPr>
          <w:rFonts w:ascii="Calibri" w:hAnsi="Calibri" w:cs="Calibri"/>
        </w:rPr>
        <w:t>Centrum pro regionální rozvoj České republiky</w:t>
      </w:r>
      <w:r w:rsidR="00244B1B">
        <w:rPr>
          <w:rFonts w:ascii="Calibri" w:hAnsi="Calibri" w:cs="Calibri"/>
        </w:rPr>
        <w:t>, Praha</w:t>
      </w:r>
      <w:r w:rsidR="0017183F">
        <w:rPr>
          <w:rFonts w:ascii="Calibri" w:hAnsi="Calibri" w:cs="Calibri"/>
        </w:rPr>
        <w:t xml:space="preserve"> (dále také „Centrum“);</w:t>
      </w:r>
    </w:p>
    <w:p w14:paraId="252A3FB2" w14:textId="356356F2" w:rsidR="00A26662" w:rsidRDefault="00A26662" w:rsidP="0020405C">
      <w:pPr>
        <w:pStyle w:val="Zkladn"/>
        <w:spacing w:before="0" w:after="0"/>
        <w:rPr>
          <w:rFonts w:ascii="Calibri" w:hAnsi="Calibri" w:cs="Calibri"/>
        </w:rPr>
      </w:pPr>
      <w:r>
        <w:rPr>
          <w:rFonts w:ascii="Calibri" w:hAnsi="Calibri" w:cs="Calibri"/>
        </w:rPr>
        <w:t>Česká centrála cestovního ruchu-</w:t>
      </w:r>
      <w:proofErr w:type="spellStart"/>
      <w:r>
        <w:rPr>
          <w:rFonts w:ascii="Calibri" w:hAnsi="Calibri" w:cs="Calibri"/>
        </w:rPr>
        <w:t>CzechTourism</w:t>
      </w:r>
      <w:proofErr w:type="spellEnd"/>
      <w:r w:rsidR="00D42233">
        <w:rPr>
          <w:rFonts w:ascii="Calibri" w:hAnsi="Calibri" w:cs="Calibri"/>
        </w:rPr>
        <w:t>, Praha</w:t>
      </w:r>
      <w:r w:rsidR="0017183F">
        <w:rPr>
          <w:rFonts w:ascii="Calibri" w:hAnsi="Calibri" w:cs="Calibri"/>
        </w:rPr>
        <w:t xml:space="preserve"> (dále také „</w:t>
      </w:r>
      <w:r w:rsidR="00DF46B6">
        <w:rPr>
          <w:rFonts w:ascii="Calibri" w:hAnsi="Calibri" w:cs="Calibri"/>
        </w:rPr>
        <w:t xml:space="preserve">agentura </w:t>
      </w:r>
      <w:proofErr w:type="spellStart"/>
      <w:r w:rsidR="0017183F">
        <w:rPr>
          <w:rFonts w:ascii="Calibri" w:hAnsi="Calibri" w:cs="Calibri"/>
        </w:rPr>
        <w:t>CzechTourism</w:t>
      </w:r>
      <w:proofErr w:type="spellEnd"/>
      <w:r w:rsidR="0017183F">
        <w:rPr>
          <w:rFonts w:ascii="Calibri" w:hAnsi="Calibri" w:cs="Calibri"/>
        </w:rPr>
        <w:t>“);</w:t>
      </w:r>
    </w:p>
    <w:p w14:paraId="60DA5EF0" w14:textId="77777777" w:rsidR="00A26662" w:rsidRPr="003D1C56" w:rsidRDefault="00A26662" w:rsidP="0020405C">
      <w:pPr>
        <w:pStyle w:val="Zkladn"/>
        <w:spacing w:before="0" w:after="0"/>
        <w:rPr>
          <w:rFonts w:ascii="Calibri" w:hAnsi="Calibri" w:cs="Calibri"/>
        </w:rPr>
      </w:pPr>
      <w:r>
        <w:rPr>
          <w:rFonts w:ascii="Calibri" w:hAnsi="Calibri" w:cs="Calibri"/>
        </w:rPr>
        <w:t>Horská služba ČR, o.p.s.</w:t>
      </w:r>
      <w:r w:rsidR="00D42233">
        <w:rPr>
          <w:rFonts w:ascii="Calibri" w:hAnsi="Calibri" w:cs="Calibri"/>
        </w:rPr>
        <w:t>, Špindlerův Mlýn</w:t>
      </w:r>
      <w:r w:rsidR="0017183F">
        <w:rPr>
          <w:rFonts w:ascii="Calibri" w:hAnsi="Calibri" w:cs="Calibri"/>
        </w:rPr>
        <w:t xml:space="preserve"> (dále také „Horská služba“). </w:t>
      </w:r>
      <w:r>
        <w:rPr>
          <w:rFonts w:ascii="Calibri" w:hAnsi="Calibri" w:cs="Calibri"/>
        </w:rPr>
        <w:t xml:space="preserve"> </w:t>
      </w:r>
    </w:p>
    <w:p w14:paraId="3478FDC5" w14:textId="77777777" w:rsidR="00244B1B" w:rsidRPr="003D1C56" w:rsidRDefault="00244B1B" w:rsidP="0020405C">
      <w:pPr>
        <w:spacing w:after="0"/>
        <w:jc w:val="both"/>
        <w:rPr>
          <w:rFonts w:cstheme="minorHAnsi"/>
          <w:noProof/>
          <w:color w:val="000000"/>
        </w:rPr>
      </w:pPr>
    </w:p>
    <w:p w14:paraId="20AC4D94" w14:textId="77777777" w:rsidR="0031051C" w:rsidRDefault="00EC4C55" w:rsidP="0020405C">
      <w:pPr>
        <w:pStyle w:val="Zkladntextodsazen"/>
        <w:spacing w:after="0"/>
        <w:ind w:left="0"/>
        <w:jc w:val="both"/>
        <w:rPr>
          <w:rFonts w:ascii="Calibri" w:hAnsi="Calibri" w:cs="Calibri"/>
        </w:rPr>
      </w:pPr>
      <w:r w:rsidRPr="00464FF3">
        <w:rPr>
          <w:rFonts w:ascii="Calibri" w:hAnsi="Calibri" w:cs="Calibri"/>
          <w:b/>
        </w:rPr>
        <w:t>Kontrolováno bylo období</w:t>
      </w:r>
      <w:r w:rsidRPr="003D1C56">
        <w:rPr>
          <w:rFonts w:ascii="Calibri" w:hAnsi="Calibri" w:cs="Calibri"/>
        </w:rPr>
        <w:t xml:space="preserve"> od roku 20</w:t>
      </w:r>
      <w:r w:rsidR="008170F1">
        <w:rPr>
          <w:rFonts w:ascii="Calibri" w:hAnsi="Calibri" w:cs="Calibri"/>
        </w:rPr>
        <w:t>1</w:t>
      </w:r>
      <w:r w:rsidR="00A26662">
        <w:rPr>
          <w:rFonts w:ascii="Calibri" w:hAnsi="Calibri" w:cs="Calibri"/>
        </w:rPr>
        <w:t>5</w:t>
      </w:r>
      <w:r w:rsidRPr="003D1C56">
        <w:rPr>
          <w:rFonts w:ascii="Calibri" w:hAnsi="Calibri" w:cs="Calibri"/>
        </w:rPr>
        <w:t xml:space="preserve"> do roku 20</w:t>
      </w:r>
      <w:r w:rsidR="00A26662">
        <w:rPr>
          <w:rFonts w:ascii="Calibri" w:hAnsi="Calibri" w:cs="Calibri"/>
        </w:rPr>
        <w:t>20</w:t>
      </w:r>
      <w:r w:rsidRPr="003D1C56">
        <w:rPr>
          <w:rFonts w:ascii="Calibri" w:hAnsi="Calibri" w:cs="Calibri"/>
        </w:rPr>
        <w:t>, v přípa</w:t>
      </w:r>
      <w:r w:rsidR="00055D97" w:rsidRPr="003D1C56">
        <w:rPr>
          <w:rFonts w:ascii="Calibri" w:hAnsi="Calibri" w:cs="Calibri"/>
        </w:rPr>
        <w:t xml:space="preserve">dě věcných souvislostí i období </w:t>
      </w:r>
      <w:r w:rsidRPr="003D1C56">
        <w:rPr>
          <w:rFonts w:ascii="Calibri" w:hAnsi="Calibri" w:cs="Calibri"/>
        </w:rPr>
        <w:t xml:space="preserve">předcházející a následující. </w:t>
      </w:r>
    </w:p>
    <w:p w14:paraId="0D28E688" w14:textId="77777777" w:rsidR="0031051C" w:rsidRDefault="0031051C" w:rsidP="0020405C">
      <w:pPr>
        <w:pStyle w:val="Zkladntextodsazen"/>
        <w:spacing w:after="0"/>
        <w:ind w:left="0"/>
        <w:jc w:val="both"/>
        <w:rPr>
          <w:rFonts w:ascii="Calibri" w:hAnsi="Calibri" w:cs="Calibri"/>
        </w:rPr>
      </w:pPr>
    </w:p>
    <w:p w14:paraId="7520B8FC" w14:textId="77777777" w:rsidR="00462F78" w:rsidRPr="003D1C56" w:rsidRDefault="00EC4C55" w:rsidP="0020405C">
      <w:pPr>
        <w:pStyle w:val="Zkladntextodsazen"/>
        <w:spacing w:after="0"/>
        <w:ind w:left="0"/>
        <w:jc w:val="both"/>
        <w:rPr>
          <w:rFonts w:ascii="Calibri" w:hAnsi="Calibri" w:cs="Calibri"/>
        </w:rPr>
      </w:pPr>
      <w:r w:rsidRPr="00BB1F71">
        <w:rPr>
          <w:rFonts w:ascii="Calibri" w:hAnsi="Calibri" w:cs="Calibri"/>
        </w:rPr>
        <w:t xml:space="preserve">Kontrola byla u kontrolovaných osob </w:t>
      </w:r>
      <w:r w:rsidR="00057447" w:rsidRPr="00BB1F71">
        <w:rPr>
          <w:rFonts w:ascii="Calibri" w:hAnsi="Calibri" w:cs="Calibri"/>
        </w:rPr>
        <w:t xml:space="preserve">prováděna </w:t>
      </w:r>
      <w:r w:rsidRPr="00BB1F71">
        <w:rPr>
          <w:rFonts w:ascii="Calibri" w:hAnsi="Calibri" w:cs="Calibri"/>
        </w:rPr>
        <w:t xml:space="preserve">od </w:t>
      </w:r>
      <w:r w:rsidR="00A26662">
        <w:rPr>
          <w:rFonts w:ascii="Calibri" w:hAnsi="Calibri" w:cs="Calibri"/>
        </w:rPr>
        <w:t>června</w:t>
      </w:r>
      <w:r w:rsidRPr="00BB1F71">
        <w:rPr>
          <w:rFonts w:ascii="Calibri" w:hAnsi="Calibri" w:cs="Calibri"/>
        </w:rPr>
        <w:t xml:space="preserve"> </w:t>
      </w:r>
      <w:r w:rsidR="001D380D" w:rsidRPr="00BB1F71">
        <w:rPr>
          <w:rFonts w:ascii="Calibri" w:hAnsi="Calibri" w:cs="Calibri"/>
        </w:rPr>
        <w:t>20</w:t>
      </w:r>
      <w:r w:rsidR="00A26662">
        <w:rPr>
          <w:rFonts w:ascii="Calibri" w:hAnsi="Calibri" w:cs="Calibri"/>
        </w:rPr>
        <w:t>21</w:t>
      </w:r>
      <w:r w:rsidR="001D380D" w:rsidRPr="00BB1F71">
        <w:rPr>
          <w:rFonts w:ascii="Calibri" w:hAnsi="Calibri" w:cs="Calibri"/>
        </w:rPr>
        <w:t xml:space="preserve"> </w:t>
      </w:r>
      <w:r w:rsidRPr="00BB1F71">
        <w:rPr>
          <w:rFonts w:ascii="Calibri" w:hAnsi="Calibri" w:cs="Calibri"/>
        </w:rPr>
        <w:t xml:space="preserve">do </w:t>
      </w:r>
      <w:r w:rsidR="00A26662">
        <w:rPr>
          <w:rFonts w:ascii="Calibri" w:hAnsi="Calibri" w:cs="Calibri"/>
        </w:rPr>
        <w:t>února</w:t>
      </w:r>
      <w:r w:rsidRPr="00BB1F71">
        <w:rPr>
          <w:rFonts w:ascii="Calibri" w:hAnsi="Calibri" w:cs="Calibri"/>
        </w:rPr>
        <w:t xml:space="preserve"> </w:t>
      </w:r>
      <w:r w:rsidR="008170F1" w:rsidRPr="00BB1F71">
        <w:rPr>
          <w:rFonts w:ascii="Calibri" w:hAnsi="Calibri" w:cs="Calibri"/>
        </w:rPr>
        <w:t>202</w:t>
      </w:r>
      <w:r w:rsidR="00A26662">
        <w:rPr>
          <w:rFonts w:ascii="Calibri" w:hAnsi="Calibri" w:cs="Calibri"/>
        </w:rPr>
        <w:t>2</w:t>
      </w:r>
      <w:r w:rsidRPr="00BB1F71">
        <w:rPr>
          <w:rFonts w:ascii="Calibri" w:hAnsi="Calibri" w:cs="Calibri"/>
        </w:rPr>
        <w:t>.</w:t>
      </w:r>
    </w:p>
    <w:p w14:paraId="036583A0" w14:textId="77777777" w:rsidR="00462F78" w:rsidRPr="003D1C56" w:rsidRDefault="00462F78" w:rsidP="0020405C">
      <w:pPr>
        <w:pStyle w:val="Zkladn"/>
        <w:spacing w:before="0" w:after="0"/>
        <w:rPr>
          <w:rFonts w:ascii="Calibri" w:hAnsi="Calibri" w:cs="Calibri"/>
        </w:rPr>
      </w:pPr>
    </w:p>
    <w:p w14:paraId="68775023" w14:textId="77777777" w:rsidR="00462F78" w:rsidRPr="003D1C56" w:rsidRDefault="00462F78" w:rsidP="0020405C">
      <w:pPr>
        <w:spacing w:after="0"/>
        <w:ind w:right="70"/>
        <w:jc w:val="both"/>
        <w:rPr>
          <w:rFonts w:ascii="Calibri" w:hAnsi="Calibri" w:cs="Calibri"/>
        </w:rPr>
      </w:pPr>
    </w:p>
    <w:p w14:paraId="444A45B3" w14:textId="77777777" w:rsidR="00462F78" w:rsidRPr="00BB1F71" w:rsidRDefault="00EC4C55" w:rsidP="0099191B">
      <w:pPr>
        <w:ind w:right="70"/>
        <w:jc w:val="both"/>
        <w:rPr>
          <w:rFonts w:ascii="Calibri" w:hAnsi="Calibri" w:cs="Calibri"/>
        </w:rPr>
      </w:pPr>
      <w:r w:rsidRPr="00BB1F71">
        <w:rPr>
          <w:rFonts w:ascii="Calibri" w:hAnsi="Calibri" w:cs="Calibri"/>
          <w:b/>
          <w:bCs/>
          <w:i/>
          <w:iCs/>
        </w:rPr>
        <w:t>K o l e g i u m</w:t>
      </w:r>
      <w:r w:rsidRPr="00BB1F71">
        <w:rPr>
          <w:rFonts w:ascii="Calibri" w:hAnsi="Calibri" w:cs="Calibri"/>
        </w:rPr>
        <w:t xml:space="preserve">   </w:t>
      </w:r>
      <w:r w:rsidRPr="00BB1F71">
        <w:rPr>
          <w:rFonts w:ascii="Calibri" w:hAnsi="Calibri" w:cs="Calibri"/>
          <w:b/>
          <w:bCs/>
          <w:i/>
          <w:iCs/>
        </w:rPr>
        <w:t xml:space="preserve">N K Ú  </w:t>
      </w:r>
      <w:r w:rsidRPr="00BB1F71">
        <w:rPr>
          <w:rFonts w:ascii="Calibri" w:hAnsi="Calibri" w:cs="Calibri"/>
          <w:b/>
          <w:bCs/>
          <w:iCs/>
        </w:rPr>
        <w:t xml:space="preserve"> </w:t>
      </w:r>
      <w:r w:rsidR="00293B21" w:rsidRPr="00BB1F71">
        <w:rPr>
          <w:rFonts w:ascii="Calibri" w:hAnsi="Calibri" w:cs="Calibri"/>
        </w:rPr>
        <w:t xml:space="preserve">na svém </w:t>
      </w:r>
      <w:r w:rsidR="000726C5">
        <w:rPr>
          <w:rFonts w:ascii="Calibri" w:hAnsi="Calibri" w:cs="Calibri"/>
        </w:rPr>
        <w:t>VIII</w:t>
      </w:r>
      <w:r w:rsidR="002C292F">
        <w:rPr>
          <w:rFonts w:ascii="Calibri" w:hAnsi="Calibri" w:cs="Calibri"/>
        </w:rPr>
        <w:t>.</w:t>
      </w:r>
      <w:r w:rsidR="001E42CE" w:rsidRPr="00BB1F71">
        <w:rPr>
          <w:rFonts w:ascii="Calibri" w:hAnsi="Calibri" w:cs="Calibri"/>
        </w:rPr>
        <w:t xml:space="preserve"> </w:t>
      </w:r>
      <w:r w:rsidRPr="00BB1F71">
        <w:rPr>
          <w:rFonts w:ascii="Calibri" w:hAnsi="Calibri" w:cs="Calibri"/>
        </w:rPr>
        <w:t xml:space="preserve">jednání, které se konalo dne </w:t>
      </w:r>
      <w:r w:rsidR="000726C5">
        <w:rPr>
          <w:rFonts w:ascii="Calibri" w:hAnsi="Calibri" w:cs="Calibri"/>
        </w:rPr>
        <w:t>30. května</w:t>
      </w:r>
      <w:r w:rsidR="00995C74">
        <w:rPr>
          <w:rFonts w:ascii="Calibri" w:hAnsi="Calibri" w:cs="Calibri"/>
        </w:rPr>
        <w:t xml:space="preserve"> 2022</w:t>
      </w:r>
      <w:r w:rsidR="00E47DE0" w:rsidRPr="00BB1F71">
        <w:rPr>
          <w:rFonts w:ascii="Calibri" w:hAnsi="Calibri" w:cs="Calibri"/>
        </w:rPr>
        <w:t>,</w:t>
      </w:r>
    </w:p>
    <w:p w14:paraId="7060CEF3" w14:textId="77777777" w:rsidR="00462F78" w:rsidRPr="00BB1F71" w:rsidRDefault="00EC4C55" w:rsidP="0099191B">
      <w:pPr>
        <w:ind w:right="68"/>
        <w:jc w:val="both"/>
        <w:rPr>
          <w:rFonts w:ascii="Calibri" w:hAnsi="Calibri" w:cs="Calibri"/>
        </w:rPr>
      </w:pPr>
      <w:r w:rsidRPr="00BB1F71">
        <w:rPr>
          <w:rFonts w:ascii="Calibri" w:hAnsi="Calibri" w:cs="Calibri"/>
          <w:b/>
          <w:bCs/>
          <w:i/>
          <w:iCs/>
        </w:rPr>
        <w:t>s c h v á l i l o</w:t>
      </w:r>
      <w:r w:rsidRPr="00BB1F71">
        <w:rPr>
          <w:rFonts w:ascii="Calibri" w:hAnsi="Calibri" w:cs="Calibri"/>
        </w:rPr>
        <w:t xml:space="preserve">   usnesením č. </w:t>
      </w:r>
      <w:r w:rsidR="000726C5">
        <w:rPr>
          <w:rFonts w:ascii="Calibri" w:hAnsi="Calibri" w:cs="Calibri"/>
        </w:rPr>
        <w:t>10</w:t>
      </w:r>
      <w:r w:rsidR="00E47DE0" w:rsidRPr="00BB1F71">
        <w:rPr>
          <w:rFonts w:ascii="Calibri" w:hAnsi="Calibri" w:cs="Calibri"/>
        </w:rPr>
        <w:t>/</w:t>
      </w:r>
      <w:r w:rsidR="000726C5">
        <w:rPr>
          <w:rFonts w:ascii="Calibri" w:hAnsi="Calibri" w:cs="Calibri"/>
        </w:rPr>
        <w:t>VIII</w:t>
      </w:r>
      <w:r w:rsidR="00E47DE0" w:rsidRPr="00BB1F71">
        <w:rPr>
          <w:rFonts w:ascii="Calibri" w:hAnsi="Calibri" w:cs="Calibri"/>
        </w:rPr>
        <w:t>/20</w:t>
      </w:r>
      <w:r w:rsidR="00F6481D" w:rsidRPr="00BB1F71">
        <w:rPr>
          <w:rFonts w:ascii="Calibri" w:hAnsi="Calibri" w:cs="Calibri"/>
        </w:rPr>
        <w:t>2</w:t>
      </w:r>
      <w:r w:rsidR="00995C74">
        <w:rPr>
          <w:rFonts w:ascii="Calibri" w:hAnsi="Calibri" w:cs="Calibri"/>
        </w:rPr>
        <w:t>2</w:t>
      </w:r>
    </w:p>
    <w:p w14:paraId="4CF021D5" w14:textId="77777777" w:rsidR="00462F78" w:rsidRPr="003D1C56" w:rsidRDefault="00EC4C55" w:rsidP="0099191B">
      <w:pPr>
        <w:ind w:right="70"/>
        <w:jc w:val="both"/>
        <w:rPr>
          <w:rFonts w:ascii="Calibri" w:hAnsi="Calibri" w:cs="Calibri"/>
        </w:rPr>
      </w:pPr>
      <w:r w:rsidRPr="00BB1F71">
        <w:rPr>
          <w:rFonts w:ascii="Calibri" w:hAnsi="Calibri" w:cs="Calibri"/>
          <w:b/>
          <w:bCs/>
          <w:i/>
          <w:iCs/>
        </w:rPr>
        <w:t>k o n t r o l n í   z á v ě r</w:t>
      </w:r>
      <w:r w:rsidRPr="00BB1F71">
        <w:rPr>
          <w:rFonts w:ascii="Calibri" w:hAnsi="Calibri" w:cs="Calibri"/>
        </w:rPr>
        <w:t xml:space="preserve">   v tomto znění:</w:t>
      </w:r>
    </w:p>
    <w:p w14:paraId="334ED567" w14:textId="77777777" w:rsidR="001E2774" w:rsidRPr="00063156" w:rsidRDefault="00EC4C55" w:rsidP="001E2774">
      <w:pPr>
        <w:rPr>
          <w:rFonts w:cstheme="minorHAnsi"/>
          <w:color w:val="000000" w:themeColor="text1"/>
        </w:rPr>
      </w:pPr>
      <w:r w:rsidRPr="0067386D">
        <w:rPr>
          <w:rFonts w:cstheme="minorHAnsi"/>
          <w:color w:val="5B9BD5"/>
          <w:sz w:val="50"/>
          <w:szCs w:val="50"/>
        </w:rPr>
        <w:br w:type="page"/>
      </w:r>
    </w:p>
    <w:p w14:paraId="725D8EE8" w14:textId="77777777" w:rsidR="002C50B7" w:rsidRDefault="002C50B7" w:rsidP="00A5755B">
      <w:pPr>
        <w:spacing w:after="0"/>
        <w:jc w:val="center"/>
        <w:rPr>
          <w:color w:val="5B9BD5"/>
          <w:sz w:val="40"/>
          <w:szCs w:val="40"/>
        </w:rPr>
      </w:pPr>
    </w:p>
    <w:p w14:paraId="0A4046DB" w14:textId="77777777" w:rsidR="002C50B7" w:rsidRDefault="002C50B7" w:rsidP="00A5755B">
      <w:pPr>
        <w:spacing w:after="0"/>
        <w:jc w:val="center"/>
        <w:rPr>
          <w:color w:val="5B9BD5"/>
          <w:sz w:val="40"/>
          <w:szCs w:val="40"/>
        </w:rPr>
      </w:pPr>
    </w:p>
    <w:p w14:paraId="5EEAFAAD" w14:textId="77777777" w:rsidR="00063156" w:rsidRDefault="009553EE" w:rsidP="00A5755B">
      <w:pPr>
        <w:spacing w:after="0"/>
        <w:jc w:val="center"/>
        <w:rPr>
          <w:color w:val="5B9BD5"/>
          <w:sz w:val="40"/>
          <w:szCs w:val="40"/>
        </w:rPr>
      </w:pPr>
      <w:r w:rsidRPr="009553EE">
        <w:rPr>
          <w:color w:val="5B9BD5"/>
          <w:sz w:val="40"/>
          <w:szCs w:val="40"/>
        </w:rPr>
        <w:t>Hospodaření vybraných organizací v působnosti Ministerstva pro místní rozvoj</w:t>
      </w:r>
    </w:p>
    <w:p w14:paraId="779FA4BF" w14:textId="77777777" w:rsidR="00803A67" w:rsidRPr="00A5755B" w:rsidRDefault="00803A67" w:rsidP="00A5755B">
      <w:pPr>
        <w:spacing w:after="0"/>
        <w:jc w:val="center"/>
        <w:rPr>
          <w:color w:val="5B9BD5"/>
          <w:sz w:val="40"/>
          <w:szCs w:val="36"/>
        </w:rPr>
      </w:pPr>
    </w:p>
    <w:p w14:paraId="428034CA" w14:textId="77777777" w:rsidR="004F3A8B" w:rsidRPr="00A5755B" w:rsidRDefault="004F3A8B" w:rsidP="00AE72E8">
      <w:pPr>
        <w:spacing w:after="0"/>
        <w:jc w:val="center"/>
        <w:rPr>
          <w:color w:val="5B9BD5"/>
          <w:sz w:val="40"/>
          <w:szCs w:val="36"/>
        </w:rPr>
      </w:pPr>
    </w:p>
    <w:tbl>
      <w:tblPr>
        <w:tblW w:w="9183" w:type="dxa"/>
        <w:tblCellMar>
          <w:left w:w="70" w:type="dxa"/>
          <w:right w:w="70" w:type="dxa"/>
        </w:tblCellMar>
        <w:tblLook w:val="04A0" w:firstRow="1" w:lastRow="0" w:firstColumn="1" w:lastColumn="0" w:noHBand="0" w:noVBand="1"/>
      </w:tblPr>
      <w:tblGrid>
        <w:gridCol w:w="3287"/>
        <w:gridCol w:w="2667"/>
        <w:gridCol w:w="3229"/>
      </w:tblGrid>
      <w:tr w:rsidR="006B6DB4" w:rsidRPr="00AE72E8" w14:paraId="07A6078F" w14:textId="77777777" w:rsidTr="00A5755B">
        <w:trPr>
          <w:trHeight w:val="600"/>
        </w:trPr>
        <w:tc>
          <w:tcPr>
            <w:tcW w:w="9179" w:type="dxa"/>
            <w:gridSpan w:val="3"/>
            <w:tcBorders>
              <w:top w:val="nil"/>
              <w:left w:val="nil"/>
              <w:bottom w:val="nil"/>
              <w:right w:val="nil"/>
            </w:tcBorders>
            <w:shd w:val="clear" w:color="auto" w:fill="auto"/>
            <w:vAlign w:val="bottom"/>
            <w:hideMark/>
          </w:tcPr>
          <w:p w14:paraId="4B75F788" w14:textId="3F0B456D" w:rsidR="006B6DB4" w:rsidRPr="00AE72E8" w:rsidRDefault="00FA691B" w:rsidP="00AE72E8">
            <w:pPr>
              <w:spacing w:after="0"/>
              <w:jc w:val="center"/>
              <w:rPr>
                <w:rFonts w:ascii="Calibri" w:hAnsi="Calibri" w:cs="Calibri"/>
                <w:b/>
                <w:bCs/>
                <w:color w:val="5B9BD5"/>
                <w:sz w:val="28"/>
                <w:szCs w:val="28"/>
              </w:rPr>
            </w:pPr>
            <w:r w:rsidRPr="00AE72E8">
              <w:rPr>
                <w:rFonts w:ascii="Calibri" w:hAnsi="Calibri" w:cs="Calibri"/>
                <w:b/>
                <w:bCs/>
                <w:color w:val="5B9BD5"/>
                <w:sz w:val="28"/>
                <w:szCs w:val="28"/>
              </w:rPr>
              <w:t>F</w:t>
            </w:r>
            <w:r w:rsidR="006B6DB4" w:rsidRPr="00AE72E8">
              <w:rPr>
                <w:rFonts w:ascii="Calibri" w:hAnsi="Calibri" w:cs="Calibri"/>
                <w:b/>
                <w:bCs/>
                <w:color w:val="5B9BD5"/>
                <w:sz w:val="28"/>
                <w:szCs w:val="28"/>
              </w:rPr>
              <w:t>inancování kontrolovaných osob</w:t>
            </w:r>
            <w:r w:rsidR="006241CF" w:rsidRPr="00AE72E8">
              <w:rPr>
                <w:rFonts w:ascii="Calibri" w:hAnsi="Calibri" w:cs="Calibri"/>
                <w:b/>
                <w:bCs/>
                <w:color w:val="5B9BD5"/>
                <w:sz w:val="28"/>
                <w:szCs w:val="28"/>
              </w:rPr>
              <w:t xml:space="preserve"> v letech 2015</w:t>
            </w:r>
            <w:r w:rsidR="00B26FAE">
              <w:rPr>
                <w:rFonts w:ascii="Calibri" w:hAnsi="Calibri" w:cs="Calibri"/>
                <w:b/>
                <w:bCs/>
                <w:color w:val="5B9BD5"/>
                <w:sz w:val="28"/>
                <w:szCs w:val="28"/>
              </w:rPr>
              <w:t>–</w:t>
            </w:r>
            <w:r w:rsidR="006241CF" w:rsidRPr="00AE72E8">
              <w:rPr>
                <w:rFonts w:ascii="Calibri" w:hAnsi="Calibri" w:cs="Calibri"/>
                <w:b/>
                <w:bCs/>
                <w:color w:val="5B9BD5"/>
                <w:sz w:val="28"/>
                <w:szCs w:val="28"/>
              </w:rPr>
              <w:t>2020</w:t>
            </w:r>
            <w:r w:rsidR="006B6DB4" w:rsidRPr="00AE72E8">
              <w:rPr>
                <w:rFonts w:ascii="Calibri" w:hAnsi="Calibri" w:cs="Calibri"/>
                <w:b/>
                <w:bCs/>
                <w:color w:val="5B9BD5"/>
                <w:sz w:val="28"/>
                <w:szCs w:val="28"/>
              </w:rPr>
              <w:br/>
            </w:r>
            <w:r w:rsidR="006B6DB4" w:rsidRPr="00AE72E8">
              <w:rPr>
                <w:rFonts w:ascii="Calibri" w:hAnsi="Calibri" w:cs="Calibri"/>
                <w:b/>
                <w:color w:val="5B9BD5"/>
                <w:sz w:val="28"/>
                <w:szCs w:val="28"/>
              </w:rPr>
              <w:t>(</w:t>
            </w:r>
            <w:r w:rsidR="006129D8" w:rsidRPr="00AE72E8">
              <w:rPr>
                <w:rFonts w:ascii="Calibri" w:hAnsi="Calibri" w:cs="Calibri"/>
                <w:b/>
                <w:color w:val="5B9BD5"/>
                <w:sz w:val="28"/>
                <w:szCs w:val="28"/>
              </w:rPr>
              <w:t>příspěvky</w:t>
            </w:r>
            <w:r w:rsidR="006B6DB4" w:rsidRPr="00AE72E8">
              <w:rPr>
                <w:rFonts w:ascii="Calibri" w:hAnsi="Calibri" w:cs="Calibri"/>
                <w:b/>
                <w:color w:val="5B9BD5"/>
                <w:sz w:val="28"/>
                <w:szCs w:val="28"/>
              </w:rPr>
              <w:t>/dotace z</w:t>
            </w:r>
            <w:r w:rsidR="00091A69" w:rsidRPr="00AE72E8">
              <w:rPr>
                <w:rFonts w:ascii="Calibri" w:hAnsi="Calibri" w:cs="Calibri"/>
                <w:b/>
                <w:color w:val="5B9BD5"/>
                <w:sz w:val="28"/>
                <w:szCs w:val="28"/>
              </w:rPr>
              <w:t> </w:t>
            </w:r>
            <w:r w:rsidR="006B6DB4" w:rsidRPr="00AE72E8">
              <w:rPr>
                <w:rFonts w:ascii="Calibri" w:hAnsi="Calibri" w:cs="Calibri"/>
                <w:b/>
                <w:color w:val="5B9BD5"/>
                <w:sz w:val="28"/>
                <w:szCs w:val="28"/>
              </w:rPr>
              <w:t xml:space="preserve">MMR) </w:t>
            </w:r>
          </w:p>
        </w:tc>
      </w:tr>
      <w:tr w:rsidR="006B6DB4" w:rsidRPr="006B6DB4" w14:paraId="6F68075E" w14:textId="77777777" w:rsidTr="00A5755B">
        <w:trPr>
          <w:trHeight w:val="330"/>
        </w:trPr>
        <w:tc>
          <w:tcPr>
            <w:tcW w:w="3287" w:type="dxa"/>
            <w:tcBorders>
              <w:top w:val="nil"/>
              <w:left w:val="nil"/>
              <w:bottom w:val="nil"/>
              <w:right w:val="nil"/>
            </w:tcBorders>
            <w:shd w:val="clear" w:color="auto" w:fill="auto"/>
            <w:noWrap/>
            <w:vAlign w:val="bottom"/>
            <w:hideMark/>
          </w:tcPr>
          <w:p w14:paraId="077CA2B0" w14:textId="77777777" w:rsidR="006B6DB4" w:rsidRPr="006B6DB4" w:rsidRDefault="006B6DB4" w:rsidP="006B6DB4">
            <w:pPr>
              <w:spacing w:after="0"/>
              <w:jc w:val="center"/>
              <w:rPr>
                <w:rFonts w:ascii="Calibri" w:hAnsi="Calibri" w:cs="Calibri"/>
                <w:b/>
                <w:bCs/>
                <w:color w:val="5B9BD5"/>
              </w:rPr>
            </w:pPr>
          </w:p>
        </w:tc>
        <w:tc>
          <w:tcPr>
            <w:tcW w:w="2667" w:type="dxa"/>
            <w:tcBorders>
              <w:top w:val="nil"/>
              <w:left w:val="nil"/>
              <w:bottom w:val="nil"/>
              <w:right w:val="nil"/>
            </w:tcBorders>
            <w:shd w:val="clear" w:color="auto" w:fill="auto"/>
            <w:noWrap/>
            <w:vAlign w:val="bottom"/>
            <w:hideMark/>
          </w:tcPr>
          <w:p w14:paraId="5379F415" w14:textId="77777777" w:rsidR="006B6DB4" w:rsidRPr="006B6DB4" w:rsidRDefault="006B6DB4" w:rsidP="006B6DB4">
            <w:pPr>
              <w:spacing w:after="0"/>
              <w:rPr>
                <w:rFonts w:ascii="Times New Roman" w:hAnsi="Times New Roman"/>
                <w:sz w:val="20"/>
                <w:szCs w:val="20"/>
              </w:rPr>
            </w:pPr>
          </w:p>
        </w:tc>
        <w:tc>
          <w:tcPr>
            <w:tcW w:w="3229" w:type="dxa"/>
            <w:tcBorders>
              <w:top w:val="nil"/>
              <w:left w:val="nil"/>
              <w:bottom w:val="nil"/>
              <w:right w:val="nil"/>
            </w:tcBorders>
            <w:shd w:val="clear" w:color="auto" w:fill="auto"/>
            <w:noWrap/>
            <w:vAlign w:val="bottom"/>
            <w:hideMark/>
          </w:tcPr>
          <w:p w14:paraId="0895A1AC" w14:textId="77777777" w:rsidR="006B6DB4" w:rsidRPr="006B6DB4" w:rsidRDefault="006B6DB4" w:rsidP="006B6DB4">
            <w:pPr>
              <w:spacing w:after="0"/>
              <w:rPr>
                <w:rFonts w:ascii="Times New Roman" w:hAnsi="Times New Roman"/>
                <w:sz w:val="20"/>
                <w:szCs w:val="20"/>
              </w:rPr>
            </w:pPr>
          </w:p>
        </w:tc>
      </w:tr>
      <w:tr w:rsidR="006B6DB4" w:rsidRPr="006B6DB4" w14:paraId="6C308F3B" w14:textId="77777777" w:rsidTr="00696A15">
        <w:trPr>
          <w:trHeight w:val="300"/>
        </w:trPr>
        <w:tc>
          <w:tcPr>
            <w:tcW w:w="3287" w:type="dxa"/>
            <w:tcBorders>
              <w:top w:val="nil"/>
              <w:left w:val="nil"/>
              <w:bottom w:val="nil"/>
              <w:right w:val="nil"/>
            </w:tcBorders>
            <w:shd w:val="clear" w:color="auto" w:fill="auto"/>
            <w:noWrap/>
            <w:hideMark/>
          </w:tcPr>
          <w:p w14:paraId="04EF90B8" w14:textId="77777777" w:rsidR="006B6DB4" w:rsidRPr="00AE72E8" w:rsidRDefault="006B6DB4" w:rsidP="00D569B8">
            <w:pPr>
              <w:spacing w:after="0"/>
              <w:jc w:val="center"/>
              <w:rPr>
                <w:rFonts w:ascii="Calibri" w:hAnsi="Calibri" w:cs="Calibri"/>
                <w:b/>
                <w:bCs/>
                <w:color w:val="000000"/>
                <w:szCs w:val="22"/>
              </w:rPr>
            </w:pPr>
            <w:r w:rsidRPr="00AE72E8">
              <w:rPr>
                <w:rFonts w:ascii="Calibri" w:hAnsi="Calibri" w:cs="Calibri"/>
                <w:b/>
                <w:bCs/>
                <w:color w:val="000000"/>
                <w:szCs w:val="22"/>
              </w:rPr>
              <w:t>Horská služba</w:t>
            </w:r>
          </w:p>
        </w:tc>
        <w:tc>
          <w:tcPr>
            <w:tcW w:w="2667" w:type="dxa"/>
            <w:tcBorders>
              <w:top w:val="nil"/>
              <w:left w:val="nil"/>
              <w:bottom w:val="nil"/>
              <w:right w:val="nil"/>
            </w:tcBorders>
            <w:shd w:val="clear" w:color="auto" w:fill="auto"/>
            <w:noWrap/>
            <w:hideMark/>
          </w:tcPr>
          <w:p w14:paraId="758FA826" w14:textId="40BCC453" w:rsidR="006B6DB4" w:rsidRPr="006B6DB4" w:rsidRDefault="00696A15" w:rsidP="00D569B8">
            <w:pPr>
              <w:spacing w:after="0"/>
              <w:jc w:val="center"/>
              <w:rPr>
                <w:rFonts w:ascii="Calibri" w:hAnsi="Calibri" w:cs="Calibri"/>
                <w:b/>
                <w:bCs/>
                <w:color w:val="000000"/>
                <w:sz w:val="22"/>
                <w:szCs w:val="22"/>
              </w:rPr>
            </w:pPr>
            <w:r>
              <w:rPr>
                <w:rFonts w:ascii="Calibri" w:hAnsi="Calibri" w:cs="Calibri"/>
                <w:b/>
                <w:bCs/>
                <w:color w:val="000000"/>
                <w:szCs w:val="22"/>
              </w:rPr>
              <w:t>A</w:t>
            </w:r>
            <w:r w:rsidR="00DF46B6">
              <w:rPr>
                <w:rFonts w:ascii="Calibri" w:hAnsi="Calibri" w:cs="Calibri"/>
                <w:b/>
                <w:bCs/>
                <w:color w:val="000000"/>
                <w:szCs w:val="22"/>
              </w:rPr>
              <w:t xml:space="preserve">gentura </w:t>
            </w:r>
            <w:proofErr w:type="spellStart"/>
            <w:r w:rsidR="006B6DB4" w:rsidRPr="00AE72E8">
              <w:rPr>
                <w:rFonts w:ascii="Calibri" w:hAnsi="Calibri" w:cs="Calibri"/>
                <w:b/>
                <w:bCs/>
                <w:color w:val="000000"/>
                <w:szCs w:val="22"/>
              </w:rPr>
              <w:t>CzechTourism</w:t>
            </w:r>
            <w:proofErr w:type="spellEnd"/>
          </w:p>
        </w:tc>
        <w:tc>
          <w:tcPr>
            <w:tcW w:w="3229" w:type="dxa"/>
            <w:tcBorders>
              <w:top w:val="nil"/>
              <w:left w:val="nil"/>
              <w:bottom w:val="nil"/>
              <w:right w:val="nil"/>
            </w:tcBorders>
            <w:shd w:val="clear" w:color="auto" w:fill="auto"/>
            <w:noWrap/>
            <w:hideMark/>
          </w:tcPr>
          <w:p w14:paraId="2332BAAF" w14:textId="50F795F8" w:rsidR="006B6DB4" w:rsidRPr="006B6DB4" w:rsidRDefault="00091A69" w:rsidP="00D569B8">
            <w:pPr>
              <w:spacing w:after="0"/>
              <w:jc w:val="center"/>
              <w:rPr>
                <w:rFonts w:ascii="Calibri" w:hAnsi="Calibri" w:cs="Calibri"/>
                <w:b/>
                <w:bCs/>
                <w:color w:val="000000"/>
                <w:sz w:val="22"/>
                <w:szCs w:val="22"/>
              </w:rPr>
            </w:pPr>
            <w:r w:rsidRPr="00AE72E8">
              <w:rPr>
                <w:rFonts w:ascii="Calibri" w:hAnsi="Calibri" w:cs="Calibri"/>
                <w:b/>
                <w:bCs/>
                <w:color w:val="000000"/>
                <w:szCs w:val="22"/>
              </w:rPr>
              <w:t>Centrum</w:t>
            </w:r>
            <w:r w:rsidR="003F0AF3" w:rsidRPr="00AE72E8">
              <w:rPr>
                <w:rFonts w:ascii="Calibri" w:hAnsi="Calibri" w:cs="Calibri"/>
                <w:b/>
                <w:bCs/>
                <w:color w:val="000000"/>
                <w:szCs w:val="22"/>
              </w:rPr>
              <w:t xml:space="preserve"> pro regionální rozvoj</w:t>
            </w:r>
            <w:r w:rsidR="00D569B8">
              <w:rPr>
                <w:rFonts w:ascii="Calibri" w:hAnsi="Calibri" w:cs="Calibri"/>
                <w:b/>
                <w:bCs/>
                <w:color w:val="000000"/>
                <w:szCs w:val="22"/>
              </w:rPr>
              <w:br/>
            </w:r>
          </w:p>
        </w:tc>
      </w:tr>
      <w:tr w:rsidR="0084746E" w:rsidRPr="006B6DB4" w14:paraId="20EC7391" w14:textId="77777777" w:rsidTr="00696A15">
        <w:trPr>
          <w:trHeight w:val="375"/>
        </w:trPr>
        <w:tc>
          <w:tcPr>
            <w:tcW w:w="3287" w:type="dxa"/>
            <w:tcBorders>
              <w:top w:val="nil"/>
              <w:left w:val="nil"/>
              <w:bottom w:val="nil"/>
              <w:right w:val="nil"/>
            </w:tcBorders>
            <w:shd w:val="clear" w:color="auto" w:fill="auto"/>
            <w:noWrap/>
            <w:hideMark/>
          </w:tcPr>
          <w:p w14:paraId="1DF3CB76" w14:textId="77777777" w:rsidR="0084746E" w:rsidRDefault="0084746E" w:rsidP="00D569B8">
            <w:pPr>
              <w:spacing w:after="0"/>
              <w:jc w:val="center"/>
              <w:rPr>
                <w:rFonts w:ascii="Calibri" w:hAnsi="Calibri" w:cs="Calibri"/>
                <w:b/>
                <w:bCs/>
                <w:color w:val="000000"/>
                <w:sz w:val="40"/>
                <w:szCs w:val="40"/>
              </w:rPr>
            </w:pPr>
            <w:r w:rsidRPr="006B6DB4">
              <w:rPr>
                <w:rFonts w:ascii="Calibri" w:hAnsi="Calibri" w:cs="Calibri"/>
                <w:b/>
                <w:bCs/>
                <w:color w:val="000000"/>
                <w:sz w:val="40"/>
                <w:szCs w:val="40"/>
              </w:rPr>
              <w:t>1</w:t>
            </w:r>
            <w:r>
              <w:rPr>
                <w:rFonts w:ascii="Calibri" w:hAnsi="Calibri" w:cs="Calibri"/>
                <w:b/>
                <w:bCs/>
                <w:color w:val="000000"/>
                <w:sz w:val="40"/>
                <w:szCs w:val="40"/>
              </w:rPr>
              <w:t> </w:t>
            </w:r>
            <w:r w:rsidRPr="006B6DB4">
              <w:rPr>
                <w:rFonts w:ascii="Calibri" w:hAnsi="Calibri" w:cs="Calibri"/>
                <w:b/>
                <w:bCs/>
                <w:color w:val="000000"/>
                <w:sz w:val="40"/>
                <w:szCs w:val="40"/>
              </w:rPr>
              <w:t>073</w:t>
            </w:r>
          </w:p>
          <w:p w14:paraId="2CD13F9E" w14:textId="1484D0FF" w:rsidR="0084746E" w:rsidRPr="006B6DB4" w:rsidRDefault="0084746E" w:rsidP="00D569B8">
            <w:pPr>
              <w:spacing w:after="0"/>
              <w:jc w:val="center"/>
              <w:rPr>
                <w:rFonts w:ascii="Calibri" w:hAnsi="Calibri" w:cs="Calibri"/>
                <w:b/>
                <w:bCs/>
                <w:color w:val="000000"/>
                <w:sz w:val="22"/>
                <w:szCs w:val="22"/>
              </w:rPr>
            </w:pPr>
            <w:r w:rsidRPr="00DF46B6">
              <w:rPr>
                <w:rFonts w:ascii="Calibri" w:hAnsi="Calibri" w:cs="Calibri"/>
                <w:b/>
                <w:color w:val="000000"/>
                <w:szCs w:val="22"/>
              </w:rPr>
              <w:t>mil. Kč</w:t>
            </w:r>
          </w:p>
        </w:tc>
        <w:tc>
          <w:tcPr>
            <w:tcW w:w="2667" w:type="dxa"/>
            <w:tcBorders>
              <w:top w:val="nil"/>
              <w:left w:val="nil"/>
              <w:bottom w:val="nil"/>
              <w:right w:val="nil"/>
            </w:tcBorders>
            <w:shd w:val="clear" w:color="auto" w:fill="auto"/>
            <w:noWrap/>
            <w:hideMark/>
          </w:tcPr>
          <w:p w14:paraId="72824A64" w14:textId="77777777" w:rsidR="0084746E" w:rsidRDefault="0084746E" w:rsidP="00D569B8">
            <w:pPr>
              <w:spacing w:after="0"/>
              <w:jc w:val="center"/>
              <w:rPr>
                <w:rFonts w:ascii="Calibri" w:hAnsi="Calibri" w:cs="Calibri"/>
                <w:b/>
                <w:bCs/>
                <w:color w:val="000000"/>
                <w:sz w:val="40"/>
                <w:szCs w:val="40"/>
              </w:rPr>
            </w:pPr>
            <w:r w:rsidRPr="006B6DB4">
              <w:rPr>
                <w:rFonts w:ascii="Calibri" w:hAnsi="Calibri" w:cs="Calibri"/>
                <w:b/>
                <w:bCs/>
                <w:color w:val="000000"/>
                <w:sz w:val="40"/>
                <w:szCs w:val="40"/>
              </w:rPr>
              <w:t>2</w:t>
            </w:r>
            <w:r>
              <w:rPr>
                <w:rFonts w:ascii="Calibri" w:hAnsi="Calibri" w:cs="Calibri"/>
                <w:b/>
                <w:bCs/>
                <w:color w:val="000000"/>
                <w:sz w:val="40"/>
                <w:szCs w:val="40"/>
              </w:rPr>
              <w:t> </w:t>
            </w:r>
            <w:r w:rsidRPr="006B6DB4">
              <w:rPr>
                <w:rFonts w:ascii="Calibri" w:hAnsi="Calibri" w:cs="Calibri"/>
                <w:b/>
                <w:bCs/>
                <w:color w:val="000000"/>
                <w:sz w:val="40"/>
                <w:szCs w:val="40"/>
              </w:rPr>
              <w:t>669</w:t>
            </w:r>
          </w:p>
          <w:p w14:paraId="0B6CCECD" w14:textId="63EA2A4D" w:rsidR="0084746E" w:rsidRPr="006B6DB4" w:rsidRDefault="0084746E" w:rsidP="00D569B8">
            <w:pPr>
              <w:spacing w:after="0"/>
              <w:jc w:val="center"/>
              <w:rPr>
                <w:rFonts w:ascii="Times New Roman" w:hAnsi="Times New Roman"/>
                <w:sz w:val="20"/>
                <w:szCs w:val="20"/>
              </w:rPr>
            </w:pPr>
            <w:r w:rsidRPr="00DF46B6">
              <w:rPr>
                <w:rFonts w:ascii="Calibri" w:hAnsi="Calibri" w:cs="Calibri"/>
                <w:b/>
                <w:color w:val="000000"/>
                <w:szCs w:val="22"/>
              </w:rPr>
              <w:t>mil. Kč</w:t>
            </w:r>
          </w:p>
        </w:tc>
        <w:tc>
          <w:tcPr>
            <w:tcW w:w="3229" w:type="dxa"/>
            <w:tcBorders>
              <w:top w:val="nil"/>
              <w:left w:val="nil"/>
              <w:bottom w:val="nil"/>
              <w:right w:val="nil"/>
            </w:tcBorders>
            <w:shd w:val="clear" w:color="auto" w:fill="auto"/>
            <w:noWrap/>
            <w:hideMark/>
          </w:tcPr>
          <w:p w14:paraId="6846344F" w14:textId="77777777" w:rsidR="0084746E" w:rsidRDefault="0084746E" w:rsidP="00D569B8">
            <w:pPr>
              <w:spacing w:after="0"/>
              <w:jc w:val="center"/>
              <w:rPr>
                <w:rFonts w:ascii="Calibri" w:hAnsi="Calibri" w:cs="Calibri"/>
                <w:b/>
                <w:bCs/>
                <w:color w:val="000000"/>
                <w:sz w:val="40"/>
                <w:szCs w:val="40"/>
              </w:rPr>
            </w:pPr>
            <w:r w:rsidRPr="006B6DB4">
              <w:rPr>
                <w:rFonts w:ascii="Calibri" w:hAnsi="Calibri" w:cs="Calibri"/>
                <w:b/>
                <w:bCs/>
                <w:color w:val="000000"/>
                <w:sz w:val="40"/>
                <w:szCs w:val="40"/>
              </w:rPr>
              <w:t>2</w:t>
            </w:r>
            <w:r>
              <w:rPr>
                <w:rFonts w:ascii="Calibri" w:hAnsi="Calibri" w:cs="Calibri"/>
                <w:b/>
                <w:bCs/>
                <w:color w:val="000000"/>
                <w:sz w:val="40"/>
                <w:szCs w:val="40"/>
              </w:rPr>
              <w:t> </w:t>
            </w:r>
            <w:r w:rsidRPr="006B6DB4">
              <w:rPr>
                <w:rFonts w:ascii="Calibri" w:hAnsi="Calibri" w:cs="Calibri"/>
                <w:b/>
                <w:bCs/>
                <w:color w:val="000000"/>
                <w:sz w:val="40"/>
                <w:szCs w:val="40"/>
              </w:rPr>
              <w:t>652</w:t>
            </w:r>
          </w:p>
          <w:p w14:paraId="6851B07C" w14:textId="3F992011" w:rsidR="0084746E" w:rsidRPr="006B6DB4" w:rsidRDefault="0084746E" w:rsidP="00D569B8">
            <w:pPr>
              <w:spacing w:after="0"/>
              <w:jc w:val="center"/>
              <w:rPr>
                <w:rFonts w:ascii="Times New Roman" w:hAnsi="Times New Roman"/>
                <w:sz w:val="20"/>
                <w:szCs w:val="20"/>
              </w:rPr>
            </w:pPr>
            <w:r w:rsidRPr="00DF46B6">
              <w:rPr>
                <w:rFonts w:ascii="Calibri" w:hAnsi="Calibri" w:cs="Calibri"/>
                <w:b/>
                <w:color w:val="000000"/>
                <w:szCs w:val="22"/>
              </w:rPr>
              <w:t>mil. Kč</w:t>
            </w:r>
          </w:p>
        </w:tc>
      </w:tr>
      <w:tr w:rsidR="0084746E" w:rsidRPr="006B6DB4" w14:paraId="56C34CDD" w14:textId="77777777" w:rsidTr="00696A15">
        <w:trPr>
          <w:trHeight w:val="405"/>
        </w:trPr>
        <w:tc>
          <w:tcPr>
            <w:tcW w:w="3287" w:type="dxa"/>
            <w:tcBorders>
              <w:top w:val="nil"/>
              <w:left w:val="nil"/>
              <w:bottom w:val="nil"/>
              <w:right w:val="nil"/>
            </w:tcBorders>
            <w:shd w:val="clear" w:color="auto" w:fill="auto"/>
            <w:noWrap/>
          </w:tcPr>
          <w:p w14:paraId="2A1A5872" w14:textId="77777777" w:rsidR="0084746E" w:rsidRPr="006B6DB4" w:rsidRDefault="0084746E" w:rsidP="00D569B8">
            <w:pPr>
              <w:spacing w:after="0"/>
              <w:jc w:val="center"/>
              <w:rPr>
                <w:rFonts w:ascii="Calibri" w:hAnsi="Calibri" w:cs="Calibri"/>
                <w:b/>
                <w:bCs/>
                <w:color w:val="000000"/>
                <w:sz w:val="40"/>
                <w:szCs w:val="40"/>
              </w:rPr>
            </w:pPr>
          </w:p>
        </w:tc>
        <w:tc>
          <w:tcPr>
            <w:tcW w:w="2667" w:type="dxa"/>
            <w:tcBorders>
              <w:top w:val="nil"/>
              <w:left w:val="nil"/>
              <w:bottom w:val="nil"/>
              <w:right w:val="nil"/>
            </w:tcBorders>
            <w:shd w:val="clear" w:color="auto" w:fill="auto"/>
            <w:noWrap/>
          </w:tcPr>
          <w:p w14:paraId="4FBFCDED" w14:textId="77777777" w:rsidR="0084746E" w:rsidRPr="006B6DB4" w:rsidRDefault="0084746E" w:rsidP="00D569B8">
            <w:pPr>
              <w:spacing w:after="0"/>
              <w:jc w:val="center"/>
              <w:rPr>
                <w:rFonts w:ascii="Calibri" w:hAnsi="Calibri" w:cs="Calibri"/>
                <w:b/>
                <w:bCs/>
                <w:color w:val="000000"/>
                <w:sz w:val="40"/>
                <w:szCs w:val="40"/>
              </w:rPr>
            </w:pPr>
          </w:p>
        </w:tc>
        <w:tc>
          <w:tcPr>
            <w:tcW w:w="3229" w:type="dxa"/>
            <w:tcBorders>
              <w:top w:val="nil"/>
              <w:left w:val="nil"/>
              <w:bottom w:val="nil"/>
              <w:right w:val="nil"/>
            </w:tcBorders>
            <w:shd w:val="clear" w:color="auto" w:fill="auto"/>
            <w:noWrap/>
          </w:tcPr>
          <w:p w14:paraId="0C4BE600" w14:textId="77777777" w:rsidR="0084746E" w:rsidRPr="006B6DB4" w:rsidRDefault="0084746E" w:rsidP="00D569B8">
            <w:pPr>
              <w:spacing w:after="0"/>
              <w:jc w:val="center"/>
              <w:rPr>
                <w:rFonts w:ascii="Calibri" w:hAnsi="Calibri" w:cs="Calibri"/>
                <w:b/>
                <w:bCs/>
                <w:color w:val="000000"/>
                <w:sz w:val="40"/>
                <w:szCs w:val="40"/>
              </w:rPr>
            </w:pPr>
          </w:p>
        </w:tc>
      </w:tr>
      <w:tr w:rsidR="0084746E" w:rsidRPr="006B6DB4" w14:paraId="1177DEBB" w14:textId="77777777" w:rsidTr="00A5755B">
        <w:trPr>
          <w:trHeight w:val="300"/>
        </w:trPr>
        <w:tc>
          <w:tcPr>
            <w:tcW w:w="3287" w:type="dxa"/>
            <w:tcBorders>
              <w:top w:val="nil"/>
              <w:left w:val="nil"/>
              <w:bottom w:val="nil"/>
              <w:right w:val="nil"/>
            </w:tcBorders>
            <w:shd w:val="clear" w:color="auto" w:fill="auto"/>
            <w:noWrap/>
            <w:vAlign w:val="bottom"/>
          </w:tcPr>
          <w:p w14:paraId="1D68A356" w14:textId="77777777" w:rsidR="00B44EFA" w:rsidRDefault="00B44EFA" w:rsidP="0084746E">
            <w:pPr>
              <w:spacing w:after="0"/>
              <w:jc w:val="center"/>
              <w:rPr>
                <w:rFonts w:ascii="Calibri" w:hAnsi="Calibri" w:cs="Calibri"/>
                <w:b/>
                <w:bCs/>
                <w:color w:val="000000"/>
              </w:rPr>
            </w:pPr>
          </w:p>
          <w:p w14:paraId="524EE70B" w14:textId="77777777" w:rsidR="00FA691B" w:rsidRDefault="00FA691B" w:rsidP="0084746E">
            <w:pPr>
              <w:spacing w:after="0"/>
              <w:jc w:val="center"/>
              <w:rPr>
                <w:rFonts w:ascii="Calibri" w:hAnsi="Calibri" w:cs="Calibri"/>
                <w:b/>
                <w:bCs/>
                <w:color w:val="000000"/>
              </w:rPr>
            </w:pPr>
          </w:p>
          <w:p w14:paraId="380271CE" w14:textId="77777777" w:rsidR="00FA691B" w:rsidRDefault="00FA691B" w:rsidP="0084746E">
            <w:pPr>
              <w:spacing w:after="0"/>
              <w:jc w:val="center"/>
              <w:rPr>
                <w:rFonts w:ascii="Calibri" w:hAnsi="Calibri" w:cs="Calibri"/>
                <w:b/>
                <w:bCs/>
                <w:color w:val="000000"/>
              </w:rPr>
            </w:pPr>
          </w:p>
          <w:p w14:paraId="50D4B963" w14:textId="77777777" w:rsidR="00FA691B" w:rsidRPr="00B44EFA" w:rsidRDefault="00FA691B" w:rsidP="0084746E">
            <w:pPr>
              <w:spacing w:after="0"/>
              <w:jc w:val="center"/>
              <w:rPr>
                <w:rFonts w:ascii="Calibri" w:hAnsi="Calibri" w:cs="Calibri"/>
                <w:b/>
                <w:bCs/>
                <w:color w:val="000000"/>
              </w:rPr>
            </w:pPr>
          </w:p>
        </w:tc>
        <w:tc>
          <w:tcPr>
            <w:tcW w:w="2667" w:type="dxa"/>
            <w:tcBorders>
              <w:top w:val="nil"/>
              <w:left w:val="nil"/>
              <w:bottom w:val="nil"/>
              <w:right w:val="nil"/>
            </w:tcBorders>
            <w:shd w:val="clear" w:color="auto" w:fill="auto"/>
            <w:noWrap/>
            <w:vAlign w:val="bottom"/>
          </w:tcPr>
          <w:p w14:paraId="0BD8E4BC" w14:textId="77777777" w:rsidR="0084746E" w:rsidRPr="006B6DB4" w:rsidRDefault="0084746E" w:rsidP="0084746E">
            <w:pPr>
              <w:spacing w:after="0"/>
              <w:rPr>
                <w:rFonts w:ascii="Times New Roman" w:hAnsi="Times New Roman"/>
                <w:sz w:val="20"/>
                <w:szCs w:val="20"/>
              </w:rPr>
            </w:pPr>
          </w:p>
        </w:tc>
        <w:tc>
          <w:tcPr>
            <w:tcW w:w="3229" w:type="dxa"/>
            <w:tcBorders>
              <w:top w:val="nil"/>
              <w:left w:val="nil"/>
              <w:bottom w:val="nil"/>
              <w:right w:val="nil"/>
            </w:tcBorders>
            <w:shd w:val="clear" w:color="auto" w:fill="auto"/>
            <w:noWrap/>
            <w:vAlign w:val="bottom"/>
          </w:tcPr>
          <w:p w14:paraId="1ACBA4A4" w14:textId="77777777" w:rsidR="0084746E" w:rsidRPr="006B6DB4" w:rsidRDefault="0084746E" w:rsidP="0084746E">
            <w:pPr>
              <w:spacing w:after="0"/>
              <w:rPr>
                <w:rFonts w:ascii="Times New Roman" w:hAnsi="Times New Roman"/>
                <w:sz w:val="20"/>
                <w:szCs w:val="20"/>
              </w:rPr>
            </w:pPr>
          </w:p>
        </w:tc>
      </w:tr>
      <w:tr w:rsidR="0084746E" w:rsidRPr="006B6DB4" w14:paraId="26CCCCD0" w14:textId="77777777" w:rsidTr="00A5755B">
        <w:trPr>
          <w:trHeight w:val="315"/>
        </w:trPr>
        <w:tc>
          <w:tcPr>
            <w:tcW w:w="9179" w:type="dxa"/>
            <w:gridSpan w:val="3"/>
            <w:tcBorders>
              <w:top w:val="nil"/>
              <w:left w:val="nil"/>
              <w:bottom w:val="nil"/>
              <w:right w:val="nil"/>
            </w:tcBorders>
            <w:shd w:val="clear" w:color="auto" w:fill="auto"/>
            <w:vAlign w:val="center"/>
            <w:hideMark/>
          </w:tcPr>
          <w:p w14:paraId="3EA8536C" w14:textId="77777777" w:rsidR="0084746E" w:rsidRDefault="0084746E" w:rsidP="0084746E">
            <w:pPr>
              <w:spacing w:after="0"/>
              <w:jc w:val="center"/>
              <w:rPr>
                <w:rFonts w:ascii="Calibri" w:hAnsi="Calibri" w:cs="Calibri"/>
                <w:b/>
                <w:bCs/>
                <w:color w:val="5B9BD5"/>
                <w:sz w:val="28"/>
              </w:rPr>
            </w:pPr>
            <w:r w:rsidRPr="00AE72E8">
              <w:rPr>
                <w:rFonts w:ascii="Calibri" w:hAnsi="Calibri" w:cs="Calibri"/>
                <w:b/>
                <w:bCs/>
                <w:color w:val="5B9BD5"/>
                <w:sz w:val="28"/>
              </w:rPr>
              <w:t>Veřejné zakázky</w:t>
            </w:r>
          </w:p>
          <w:p w14:paraId="5A952582" w14:textId="77777777" w:rsidR="00A5755B" w:rsidRPr="006B6DB4" w:rsidRDefault="00A5755B" w:rsidP="0084746E">
            <w:pPr>
              <w:spacing w:after="0"/>
              <w:jc w:val="center"/>
              <w:rPr>
                <w:rFonts w:ascii="Calibri" w:hAnsi="Calibri" w:cs="Calibri"/>
                <w:b/>
                <w:bCs/>
                <w:color w:val="5B9BD5"/>
              </w:rPr>
            </w:pPr>
          </w:p>
        </w:tc>
      </w:tr>
      <w:tr w:rsidR="0084746E" w:rsidRPr="006B6DB4" w14:paraId="685E90C9" w14:textId="77777777" w:rsidTr="00A5755B">
        <w:trPr>
          <w:trHeight w:val="300"/>
        </w:trPr>
        <w:tc>
          <w:tcPr>
            <w:tcW w:w="3287" w:type="dxa"/>
            <w:tcBorders>
              <w:top w:val="nil"/>
              <w:left w:val="nil"/>
              <w:bottom w:val="nil"/>
              <w:right w:val="nil"/>
            </w:tcBorders>
            <w:shd w:val="clear" w:color="auto" w:fill="auto"/>
            <w:noWrap/>
            <w:vAlign w:val="bottom"/>
            <w:hideMark/>
          </w:tcPr>
          <w:p w14:paraId="19DA0036" w14:textId="77777777" w:rsidR="0084746E" w:rsidRPr="006B6DB4" w:rsidRDefault="0084746E" w:rsidP="0084746E">
            <w:pPr>
              <w:spacing w:after="0"/>
              <w:jc w:val="center"/>
              <w:rPr>
                <w:rFonts w:ascii="Calibri" w:hAnsi="Calibri" w:cs="Calibri"/>
                <w:b/>
                <w:bCs/>
                <w:color w:val="5B9BD5"/>
              </w:rPr>
            </w:pPr>
          </w:p>
        </w:tc>
        <w:tc>
          <w:tcPr>
            <w:tcW w:w="2667" w:type="dxa"/>
            <w:tcBorders>
              <w:top w:val="nil"/>
              <w:left w:val="nil"/>
              <w:bottom w:val="nil"/>
              <w:right w:val="nil"/>
            </w:tcBorders>
            <w:shd w:val="clear" w:color="auto" w:fill="auto"/>
            <w:noWrap/>
            <w:vAlign w:val="bottom"/>
            <w:hideMark/>
          </w:tcPr>
          <w:p w14:paraId="5B46D761" w14:textId="77777777" w:rsidR="0084746E" w:rsidRPr="006B6DB4" w:rsidRDefault="0084746E" w:rsidP="0084746E">
            <w:pPr>
              <w:spacing w:after="0"/>
              <w:rPr>
                <w:rFonts w:ascii="Times New Roman" w:hAnsi="Times New Roman"/>
                <w:sz w:val="20"/>
                <w:szCs w:val="20"/>
              </w:rPr>
            </w:pPr>
          </w:p>
        </w:tc>
        <w:tc>
          <w:tcPr>
            <w:tcW w:w="3229" w:type="dxa"/>
            <w:tcBorders>
              <w:top w:val="nil"/>
              <w:left w:val="nil"/>
              <w:bottom w:val="nil"/>
              <w:right w:val="nil"/>
            </w:tcBorders>
            <w:shd w:val="clear" w:color="auto" w:fill="auto"/>
            <w:noWrap/>
            <w:vAlign w:val="bottom"/>
            <w:hideMark/>
          </w:tcPr>
          <w:p w14:paraId="47C1942E" w14:textId="77777777" w:rsidR="0084746E" w:rsidRPr="006B6DB4" w:rsidRDefault="0084746E" w:rsidP="0084746E">
            <w:pPr>
              <w:spacing w:after="0"/>
              <w:rPr>
                <w:rFonts w:ascii="Times New Roman" w:hAnsi="Times New Roman"/>
                <w:sz w:val="20"/>
                <w:szCs w:val="20"/>
              </w:rPr>
            </w:pPr>
          </w:p>
        </w:tc>
      </w:tr>
      <w:tr w:rsidR="0084746E" w:rsidRPr="006B6DB4" w14:paraId="4826BCD6" w14:textId="77777777" w:rsidTr="00A5755B">
        <w:trPr>
          <w:trHeight w:val="300"/>
        </w:trPr>
        <w:tc>
          <w:tcPr>
            <w:tcW w:w="3287" w:type="dxa"/>
            <w:tcBorders>
              <w:top w:val="nil"/>
              <w:left w:val="nil"/>
              <w:bottom w:val="nil"/>
              <w:right w:val="nil"/>
            </w:tcBorders>
            <w:shd w:val="clear" w:color="auto" w:fill="auto"/>
            <w:noWrap/>
            <w:hideMark/>
          </w:tcPr>
          <w:p w14:paraId="0EE55453" w14:textId="77777777" w:rsidR="0084746E" w:rsidRPr="00AE72E8" w:rsidRDefault="0084746E" w:rsidP="0084746E">
            <w:pPr>
              <w:spacing w:after="0"/>
              <w:jc w:val="center"/>
              <w:rPr>
                <w:rFonts w:ascii="Calibri" w:hAnsi="Calibri" w:cs="Calibri"/>
                <w:bCs/>
                <w:color w:val="000000"/>
                <w:szCs w:val="22"/>
              </w:rPr>
            </w:pPr>
            <w:r w:rsidRPr="00AE72E8">
              <w:rPr>
                <w:rFonts w:ascii="Calibri" w:hAnsi="Calibri" w:cs="Calibri"/>
                <w:bCs/>
                <w:color w:val="000000"/>
                <w:szCs w:val="22"/>
              </w:rPr>
              <w:t>Finanční objem zakázek vybraných ke kontrole</w:t>
            </w:r>
            <w:r w:rsidR="001D1017" w:rsidRPr="00AE72E8">
              <w:rPr>
                <w:rFonts w:ascii="Calibri" w:hAnsi="Calibri" w:cs="Calibri"/>
                <w:bCs/>
                <w:color w:val="000000"/>
                <w:szCs w:val="22"/>
              </w:rPr>
              <w:t xml:space="preserve"> NKÚ</w:t>
            </w:r>
          </w:p>
          <w:p w14:paraId="0EE0BDCF" w14:textId="77777777" w:rsidR="0084746E" w:rsidRDefault="0084746E" w:rsidP="0084746E">
            <w:pPr>
              <w:spacing w:after="0"/>
              <w:jc w:val="center"/>
              <w:rPr>
                <w:rFonts w:ascii="Calibri" w:hAnsi="Calibri" w:cs="Calibri"/>
                <w:b/>
                <w:bCs/>
                <w:color w:val="000000"/>
                <w:sz w:val="40"/>
                <w:szCs w:val="40"/>
              </w:rPr>
            </w:pPr>
            <w:r w:rsidRPr="006B6DB4">
              <w:rPr>
                <w:rFonts w:ascii="Calibri" w:hAnsi="Calibri" w:cs="Calibri"/>
                <w:b/>
                <w:bCs/>
                <w:color w:val="000000"/>
                <w:sz w:val="40"/>
                <w:szCs w:val="40"/>
              </w:rPr>
              <w:t>313</w:t>
            </w:r>
          </w:p>
          <w:p w14:paraId="5EDE76E1" w14:textId="02ED2225" w:rsidR="0084746E" w:rsidRPr="006B6DB4" w:rsidRDefault="0084746E" w:rsidP="0084746E">
            <w:pPr>
              <w:spacing w:after="0"/>
              <w:jc w:val="center"/>
              <w:rPr>
                <w:rFonts w:ascii="Calibri" w:hAnsi="Calibri" w:cs="Calibri"/>
                <w:b/>
                <w:bCs/>
                <w:color w:val="000000"/>
                <w:sz w:val="22"/>
                <w:szCs w:val="22"/>
              </w:rPr>
            </w:pPr>
            <w:r w:rsidRPr="00DF46B6">
              <w:rPr>
                <w:rFonts w:ascii="Calibri" w:hAnsi="Calibri" w:cs="Calibri"/>
                <w:b/>
                <w:color w:val="000000"/>
                <w:sz w:val="22"/>
                <w:szCs w:val="22"/>
              </w:rPr>
              <w:t>mil. Kč</w:t>
            </w:r>
          </w:p>
        </w:tc>
        <w:tc>
          <w:tcPr>
            <w:tcW w:w="2667" w:type="dxa"/>
            <w:tcBorders>
              <w:top w:val="nil"/>
              <w:left w:val="nil"/>
              <w:bottom w:val="nil"/>
              <w:right w:val="nil"/>
            </w:tcBorders>
            <w:shd w:val="clear" w:color="auto" w:fill="auto"/>
            <w:noWrap/>
            <w:hideMark/>
          </w:tcPr>
          <w:p w14:paraId="178376EC" w14:textId="6CD75775" w:rsidR="003245BA" w:rsidRPr="00AE72E8" w:rsidRDefault="00D569B8" w:rsidP="003245BA">
            <w:pPr>
              <w:spacing w:after="0"/>
              <w:jc w:val="center"/>
              <w:rPr>
                <w:rFonts w:ascii="Calibri" w:hAnsi="Calibri" w:cs="Calibri"/>
                <w:bCs/>
                <w:color w:val="000000"/>
                <w:szCs w:val="22"/>
              </w:rPr>
            </w:pPr>
            <w:r>
              <w:rPr>
                <w:rFonts w:ascii="Calibri" w:hAnsi="Calibri" w:cs="Calibri"/>
                <w:bCs/>
                <w:color w:val="000000"/>
                <w:szCs w:val="22"/>
              </w:rPr>
              <w:t>Počet z</w:t>
            </w:r>
            <w:r w:rsidR="002E6F70" w:rsidRPr="00AE72E8">
              <w:rPr>
                <w:rFonts w:ascii="Calibri" w:hAnsi="Calibri" w:cs="Calibri"/>
                <w:bCs/>
                <w:color w:val="000000"/>
                <w:szCs w:val="22"/>
              </w:rPr>
              <w:t>akáz</w:t>
            </w:r>
            <w:r>
              <w:rPr>
                <w:rFonts w:ascii="Calibri" w:hAnsi="Calibri" w:cs="Calibri"/>
                <w:bCs/>
                <w:color w:val="000000"/>
                <w:szCs w:val="22"/>
              </w:rPr>
              <w:t>e</w:t>
            </w:r>
            <w:r w:rsidR="002E6F70" w:rsidRPr="00AE72E8">
              <w:rPr>
                <w:rFonts w:ascii="Calibri" w:hAnsi="Calibri" w:cs="Calibri"/>
                <w:bCs/>
                <w:color w:val="000000"/>
                <w:szCs w:val="22"/>
              </w:rPr>
              <w:t>k vybran</w:t>
            </w:r>
            <w:r>
              <w:rPr>
                <w:rFonts w:ascii="Calibri" w:hAnsi="Calibri" w:cs="Calibri"/>
                <w:bCs/>
                <w:color w:val="000000"/>
                <w:szCs w:val="22"/>
              </w:rPr>
              <w:t>ých</w:t>
            </w:r>
            <w:r w:rsidR="00AE72E8">
              <w:rPr>
                <w:rFonts w:ascii="Calibri" w:hAnsi="Calibri" w:cs="Calibri"/>
                <w:bCs/>
                <w:color w:val="000000"/>
                <w:szCs w:val="22"/>
              </w:rPr>
              <w:br/>
            </w:r>
            <w:r w:rsidR="003245BA" w:rsidRPr="00AE72E8">
              <w:rPr>
                <w:rFonts w:ascii="Calibri" w:hAnsi="Calibri" w:cs="Calibri"/>
                <w:bCs/>
                <w:color w:val="000000"/>
                <w:szCs w:val="22"/>
              </w:rPr>
              <w:t>ke kontrole NKÚ</w:t>
            </w:r>
          </w:p>
          <w:p w14:paraId="297605C4" w14:textId="77777777" w:rsidR="0084746E" w:rsidRDefault="003245BA" w:rsidP="003245BA">
            <w:pPr>
              <w:spacing w:after="0"/>
              <w:jc w:val="center"/>
              <w:rPr>
                <w:rFonts w:ascii="Calibri" w:hAnsi="Calibri" w:cs="Calibri"/>
                <w:b/>
                <w:bCs/>
                <w:color w:val="000000"/>
                <w:sz w:val="40"/>
                <w:szCs w:val="40"/>
              </w:rPr>
            </w:pPr>
            <w:r w:rsidRPr="006B6DB4">
              <w:rPr>
                <w:rFonts w:ascii="Calibri" w:hAnsi="Calibri" w:cs="Calibri"/>
                <w:b/>
                <w:bCs/>
                <w:color w:val="000000"/>
                <w:sz w:val="40"/>
                <w:szCs w:val="40"/>
              </w:rPr>
              <w:t>88</w:t>
            </w:r>
          </w:p>
          <w:p w14:paraId="2FC7F55D" w14:textId="5E4386B5" w:rsidR="0068387D" w:rsidRPr="0068387D" w:rsidRDefault="0068387D" w:rsidP="003245BA">
            <w:pPr>
              <w:spacing w:after="0"/>
              <w:jc w:val="center"/>
              <w:rPr>
                <w:rFonts w:ascii="Calibri" w:hAnsi="Calibri" w:cs="Calibri"/>
                <w:bCs/>
                <w:color w:val="000000"/>
                <w:sz w:val="22"/>
                <w:szCs w:val="22"/>
              </w:rPr>
            </w:pPr>
          </w:p>
        </w:tc>
        <w:tc>
          <w:tcPr>
            <w:tcW w:w="3229" w:type="dxa"/>
            <w:tcBorders>
              <w:top w:val="nil"/>
              <w:left w:val="nil"/>
              <w:bottom w:val="nil"/>
              <w:right w:val="nil"/>
            </w:tcBorders>
            <w:shd w:val="clear" w:color="auto" w:fill="auto"/>
            <w:noWrap/>
            <w:hideMark/>
          </w:tcPr>
          <w:p w14:paraId="251CBD5D" w14:textId="77777777" w:rsidR="003245BA" w:rsidRPr="00A5755B" w:rsidRDefault="003245BA" w:rsidP="00A5755B">
            <w:pPr>
              <w:spacing w:after="0"/>
              <w:jc w:val="center"/>
              <w:rPr>
                <w:rFonts w:ascii="Calibri" w:hAnsi="Calibri" w:cs="Calibri"/>
                <w:bCs/>
                <w:color w:val="000000"/>
                <w:szCs w:val="22"/>
              </w:rPr>
            </w:pPr>
            <w:r w:rsidRPr="00A5755B">
              <w:rPr>
                <w:rFonts w:ascii="Calibri" w:hAnsi="Calibri" w:cs="Calibri"/>
                <w:bCs/>
                <w:color w:val="000000"/>
                <w:szCs w:val="22"/>
              </w:rPr>
              <w:t>Finanční objem nedostatků</w:t>
            </w:r>
            <w:r w:rsidR="00A5755B">
              <w:rPr>
                <w:rFonts w:ascii="Calibri" w:hAnsi="Calibri" w:cs="Calibri"/>
                <w:bCs/>
                <w:color w:val="000000"/>
                <w:szCs w:val="22"/>
              </w:rPr>
              <w:br/>
            </w:r>
            <w:r w:rsidRPr="00A5755B">
              <w:rPr>
                <w:rFonts w:ascii="Calibri" w:hAnsi="Calibri" w:cs="Calibri"/>
                <w:bCs/>
                <w:color w:val="000000"/>
                <w:szCs w:val="22"/>
              </w:rPr>
              <w:t>zjištěných NKÚ</w:t>
            </w:r>
          </w:p>
          <w:p w14:paraId="5A9964B0" w14:textId="77777777" w:rsidR="005F5872" w:rsidRDefault="003245BA" w:rsidP="005F5872">
            <w:pPr>
              <w:spacing w:after="0"/>
              <w:ind w:right="237"/>
              <w:jc w:val="center"/>
              <w:rPr>
                <w:rFonts w:ascii="Calibri" w:hAnsi="Calibri" w:cs="Calibri"/>
                <w:b/>
                <w:bCs/>
                <w:color w:val="000000"/>
                <w:sz w:val="40"/>
                <w:szCs w:val="40"/>
              </w:rPr>
            </w:pPr>
            <w:r w:rsidRPr="006B6DB4">
              <w:rPr>
                <w:rFonts w:ascii="Calibri" w:hAnsi="Calibri" w:cs="Calibri"/>
                <w:b/>
                <w:bCs/>
                <w:color w:val="000000"/>
                <w:sz w:val="40"/>
                <w:szCs w:val="40"/>
              </w:rPr>
              <w:t>11</w:t>
            </w:r>
            <w:r>
              <w:rPr>
                <w:rFonts w:ascii="Calibri" w:hAnsi="Calibri" w:cs="Calibri"/>
                <w:b/>
                <w:bCs/>
                <w:color w:val="000000"/>
                <w:sz w:val="40"/>
                <w:szCs w:val="40"/>
              </w:rPr>
              <w:t>4</w:t>
            </w:r>
          </w:p>
          <w:p w14:paraId="49B88DDA" w14:textId="424BAFF5" w:rsidR="0084746E" w:rsidRPr="006B6DB4" w:rsidRDefault="003245BA" w:rsidP="00A5755B">
            <w:pPr>
              <w:spacing w:after="0"/>
              <w:ind w:right="237"/>
              <w:jc w:val="center"/>
              <w:rPr>
                <w:rFonts w:ascii="Calibri" w:hAnsi="Calibri" w:cs="Calibri"/>
                <w:b/>
                <w:bCs/>
                <w:color w:val="000000"/>
                <w:sz w:val="22"/>
                <w:szCs w:val="22"/>
              </w:rPr>
            </w:pPr>
            <w:r w:rsidRPr="00DF46B6">
              <w:rPr>
                <w:rFonts w:ascii="Calibri" w:hAnsi="Calibri" w:cs="Calibri"/>
                <w:b/>
                <w:color w:val="000000"/>
                <w:sz w:val="22"/>
                <w:szCs w:val="22"/>
              </w:rPr>
              <w:t>mil. Kč</w:t>
            </w:r>
          </w:p>
        </w:tc>
      </w:tr>
      <w:tr w:rsidR="0084746E" w:rsidRPr="006B6DB4" w14:paraId="51FD9D24" w14:textId="77777777" w:rsidTr="00A5755B">
        <w:trPr>
          <w:trHeight w:val="300"/>
        </w:trPr>
        <w:tc>
          <w:tcPr>
            <w:tcW w:w="3287" w:type="dxa"/>
            <w:tcBorders>
              <w:top w:val="nil"/>
              <w:left w:val="nil"/>
              <w:bottom w:val="nil"/>
              <w:right w:val="nil"/>
            </w:tcBorders>
            <w:shd w:val="clear" w:color="auto" w:fill="auto"/>
            <w:noWrap/>
            <w:hideMark/>
          </w:tcPr>
          <w:p w14:paraId="11273304" w14:textId="77777777" w:rsidR="00C07AE1" w:rsidRPr="006B6DB4" w:rsidRDefault="00C07AE1" w:rsidP="004F3A8B">
            <w:pPr>
              <w:spacing w:after="0"/>
              <w:rPr>
                <w:rFonts w:ascii="Calibri" w:hAnsi="Calibri" w:cs="Calibri"/>
                <w:b/>
                <w:bCs/>
                <w:color w:val="000000"/>
                <w:sz w:val="22"/>
                <w:szCs w:val="22"/>
              </w:rPr>
            </w:pPr>
          </w:p>
        </w:tc>
        <w:tc>
          <w:tcPr>
            <w:tcW w:w="2667" w:type="dxa"/>
            <w:tcBorders>
              <w:top w:val="nil"/>
              <w:left w:val="nil"/>
              <w:bottom w:val="nil"/>
              <w:right w:val="nil"/>
            </w:tcBorders>
            <w:shd w:val="clear" w:color="auto" w:fill="auto"/>
            <w:noWrap/>
            <w:hideMark/>
          </w:tcPr>
          <w:p w14:paraId="27DCC8B1" w14:textId="77777777" w:rsidR="0084746E" w:rsidRPr="006B6DB4" w:rsidRDefault="0084746E" w:rsidP="0084746E">
            <w:pPr>
              <w:spacing w:after="0"/>
              <w:jc w:val="center"/>
              <w:rPr>
                <w:rFonts w:ascii="Times New Roman" w:hAnsi="Times New Roman"/>
                <w:sz w:val="20"/>
                <w:szCs w:val="20"/>
              </w:rPr>
            </w:pPr>
          </w:p>
        </w:tc>
        <w:tc>
          <w:tcPr>
            <w:tcW w:w="3229" w:type="dxa"/>
            <w:tcBorders>
              <w:top w:val="nil"/>
              <w:left w:val="nil"/>
              <w:bottom w:val="nil"/>
              <w:right w:val="nil"/>
            </w:tcBorders>
            <w:shd w:val="clear" w:color="auto" w:fill="auto"/>
            <w:noWrap/>
            <w:hideMark/>
          </w:tcPr>
          <w:p w14:paraId="5C0BF688" w14:textId="77777777" w:rsidR="0084746E" w:rsidRPr="006B6DB4" w:rsidRDefault="0084746E" w:rsidP="0084746E">
            <w:pPr>
              <w:spacing w:after="0"/>
              <w:jc w:val="center"/>
              <w:rPr>
                <w:rFonts w:ascii="Times New Roman" w:hAnsi="Times New Roman"/>
                <w:sz w:val="20"/>
                <w:szCs w:val="20"/>
              </w:rPr>
            </w:pPr>
          </w:p>
        </w:tc>
      </w:tr>
      <w:tr w:rsidR="00AA4727" w:rsidRPr="006B6DB4" w14:paraId="252AF088" w14:textId="77777777" w:rsidTr="00A5755B">
        <w:trPr>
          <w:trHeight w:val="300"/>
        </w:trPr>
        <w:tc>
          <w:tcPr>
            <w:tcW w:w="9179" w:type="dxa"/>
            <w:gridSpan w:val="3"/>
            <w:tcBorders>
              <w:top w:val="nil"/>
              <w:left w:val="nil"/>
              <w:bottom w:val="nil"/>
              <w:right w:val="nil"/>
            </w:tcBorders>
            <w:shd w:val="clear" w:color="auto" w:fill="auto"/>
            <w:noWrap/>
            <w:vAlign w:val="bottom"/>
            <w:hideMark/>
          </w:tcPr>
          <w:p w14:paraId="098250D6" w14:textId="77777777" w:rsidR="00AA4727" w:rsidRDefault="00AA4727" w:rsidP="00AA4727">
            <w:pPr>
              <w:spacing w:after="0"/>
              <w:jc w:val="center"/>
              <w:rPr>
                <w:rFonts w:ascii="Calibri" w:hAnsi="Calibri" w:cs="Calibri"/>
                <w:color w:val="000000"/>
              </w:rPr>
            </w:pPr>
          </w:p>
          <w:p w14:paraId="6763E4A7" w14:textId="77777777" w:rsidR="00AE72E8" w:rsidRDefault="00AE72E8" w:rsidP="00AA4727">
            <w:pPr>
              <w:spacing w:after="0"/>
              <w:jc w:val="center"/>
              <w:rPr>
                <w:rFonts w:ascii="Calibri" w:hAnsi="Calibri" w:cs="Calibri"/>
                <w:color w:val="000000"/>
              </w:rPr>
            </w:pPr>
          </w:p>
          <w:p w14:paraId="7E47BC5F" w14:textId="77777777" w:rsidR="00AE72E8" w:rsidRPr="00AE72E8" w:rsidRDefault="00AE72E8" w:rsidP="00AA4727">
            <w:pPr>
              <w:spacing w:after="0"/>
              <w:jc w:val="center"/>
              <w:rPr>
                <w:rFonts w:ascii="Calibri" w:hAnsi="Calibri" w:cs="Calibri"/>
                <w:color w:val="000000"/>
              </w:rPr>
            </w:pPr>
          </w:p>
          <w:p w14:paraId="21128352" w14:textId="105CD96F" w:rsidR="00AA4727" w:rsidRPr="00AE72E8" w:rsidRDefault="00B26FAE" w:rsidP="00AE72E8">
            <w:pPr>
              <w:spacing w:after="0"/>
              <w:jc w:val="center"/>
              <w:rPr>
                <w:rFonts w:ascii="Calibri" w:hAnsi="Calibri" w:cs="Calibri"/>
                <w:b/>
                <w:bCs/>
                <w:color w:val="000000"/>
              </w:rPr>
            </w:pPr>
            <w:r>
              <w:rPr>
                <w:rFonts w:ascii="Calibri" w:hAnsi="Calibri" w:cs="Calibri"/>
                <w:color w:val="000000"/>
              </w:rPr>
              <w:t>U</w:t>
            </w:r>
            <w:r w:rsidR="00AA4727" w:rsidRPr="00AE72E8">
              <w:rPr>
                <w:rFonts w:ascii="Calibri" w:hAnsi="Calibri" w:cs="Calibri"/>
                <w:color w:val="000000"/>
              </w:rPr>
              <w:t xml:space="preserve"> Horské služby </w:t>
            </w:r>
            <w:r w:rsidR="00C671DA">
              <w:rPr>
                <w:rFonts w:ascii="Calibri" w:hAnsi="Calibri" w:cs="Calibri"/>
                <w:color w:val="000000"/>
              </w:rPr>
              <w:t xml:space="preserve">byly </w:t>
            </w:r>
            <w:r w:rsidR="00AA4727" w:rsidRPr="00AE72E8">
              <w:rPr>
                <w:rFonts w:ascii="Calibri" w:hAnsi="Calibri" w:cs="Calibri"/>
                <w:color w:val="000000"/>
              </w:rPr>
              <w:t xml:space="preserve">zjištěny nedostatky u </w:t>
            </w:r>
            <w:r>
              <w:rPr>
                <w:rFonts w:ascii="Calibri" w:hAnsi="Calibri" w:cs="Calibri"/>
                <w:color w:val="000000"/>
              </w:rPr>
              <w:t>devíti</w:t>
            </w:r>
            <w:r w:rsidR="00AA4727" w:rsidRPr="00AE72E8">
              <w:rPr>
                <w:rFonts w:ascii="Calibri" w:hAnsi="Calibri" w:cs="Calibri"/>
                <w:color w:val="000000"/>
              </w:rPr>
              <w:t xml:space="preserve"> z 10 zakázek</w:t>
            </w:r>
            <w:r>
              <w:rPr>
                <w:rFonts w:ascii="Calibri" w:hAnsi="Calibri" w:cs="Calibri"/>
                <w:color w:val="000000"/>
              </w:rPr>
              <w:t>.</w:t>
            </w:r>
          </w:p>
          <w:p w14:paraId="5E44AF8A" w14:textId="1C4318E2" w:rsidR="00AA4727" w:rsidRPr="00AE72E8" w:rsidRDefault="00B26FAE" w:rsidP="00AE72E8">
            <w:pPr>
              <w:spacing w:after="0"/>
              <w:jc w:val="center"/>
              <w:rPr>
                <w:rFonts w:ascii="Calibri" w:hAnsi="Calibri" w:cs="Calibri"/>
                <w:color w:val="000000"/>
              </w:rPr>
            </w:pPr>
            <w:r>
              <w:rPr>
                <w:rFonts w:ascii="Calibri" w:hAnsi="Calibri" w:cs="Calibri"/>
                <w:color w:val="000000"/>
              </w:rPr>
              <w:t>U</w:t>
            </w:r>
            <w:r w:rsidR="00AA4727" w:rsidRPr="00AE72E8">
              <w:rPr>
                <w:rFonts w:ascii="Calibri" w:hAnsi="Calibri" w:cs="Calibri"/>
                <w:color w:val="000000"/>
              </w:rPr>
              <w:t xml:space="preserve"> </w:t>
            </w:r>
            <w:r w:rsidR="00C671DA">
              <w:rPr>
                <w:rFonts w:ascii="Calibri" w:hAnsi="Calibri" w:cs="Calibri"/>
                <w:color w:val="000000"/>
              </w:rPr>
              <w:t xml:space="preserve">agentury </w:t>
            </w:r>
            <w:proofErr w:type="spellStart"/>
            <w:r w:rsidR="00AA4727" w:rsidRPr="00AE72E8">
              <w:rPr>
                <w:rFonts w:ascii="Calibri" w:hAnsi="Calibri" w:cs="Calibri"/>
                <w:color w:val="000000"/>
              </w:rPr>
              <w:t>CzechTourism</w:t>
            </w:r>
            <w:proofErr w:type="spellEnd"/>
            <w:r w:rsidR="00AA4727" w:rsidRPr="00AE72E8">
              <w:rPr>
                <w:rFonts w:ascii="Calibri" w:hAnsi="Calibri" w:cs="Calibri"/>
                <w:color w:val="000000"/>
              </w:rPr>
              <w:t xml:space="preserve"> </w:t>
            </w:r>
            <w:r w:rsidR="00C671DA">
              <w:rPr>
                <w:rFonts w:ascii="Calibri" w:hAnsi="Calibri" w:cs="Calibri"/>
                <w:color w:val="000000"/>
              </w:rPr>
              <w:t xml:space="preserve">byly </w:t>
            </w:r>
            <w:r w:rsidR="00AA4727" w:rsidRPr="00AE72E8">
              <w:rPr>
                <w:rFonts w:ascii="Calibri" w:hAnsi="Calibri" w:cs="Calibri"/>
                <w:color w:val="000000"/>
              </w:rPr>
              <w:t xml:space="preserve">zjištěny nedostatky u </w:t>
            </w:r>
            <w:r w:rsidR="00856ACD">
              <w:rPr>
                <w:rFonts w:ascii="Calibri" w:hAnsi="Calibri" w:cs="Calibri"/>
                <w:color w:val="000000"/>
              </w:rPr>
              <w:t>devatenácti</w:t>
            </w:r>
            <w:r w:rsidR="00AA4727" w:rsidRPr="00AE72E8">
              <w:rPr>
                <w:rFonts w:ascii="Calibri" w:hAnsi="Calibri" w:cs="Calibri"/>
                <w:color w:val="000000"/>
              </w:rPr>
              <w:t xml:space="preserve"> z 60 zakázek</w:t>
            </w:r>
            <w:r>
              <w:rPr>
                <w:rFonts w:ascii="Calibri" w:hAnsi="Calibri" w:cs="Calibri"/>
                <w:color w:val="000000"/>
              </w:rPr>
              <w:t>.</w:t>
            </w:r>
          </w:p>
          <w:p w14:paraId="0C0F174E" w14:textId="1CE89C80" w:rsidR="00AA4727" w:rsidRPr="00AE72E8" w:rsidRDefault="00B26FAE" w:rsidP="00AE72E8">
            <w:pPr>
              <w:spacing w:after="0"/>
              <w:jc w:val="center"/>
              <w:rPr>
                <w:rFonts w:ascii="Calibri" w:hAnsi="Calibri" w:cs="Calibri"/>
                <w:color w:val="000000"/>
              </w:rPr>
            </w:pPr>
            <w:r>
              <w:rPr>
                <w:rFonts w:ascii="Calibri" w:hAnsi="Calibri" w:cs="Calibri"/>
                <w:color w:val="000000"/>
              </w:rPr>
              <w:t>U</w:t>
            </w:r>
            <w:r w:rsidR="00AA4727" w:rsidRPr="00AE72E8">
              <w:rPr>
                <w:rFonts w:ascii="Calibri" w:hAnsi="Calibri" w:cs="Calibri"/>
                <w:color w:val="000000"/>
              </w:rPr>
              <w:t xml:space="preserve"> Centra pro regionální rozvoj nebyly zjištěny nedostatky</w:t>
            </w:r>
            <w:r>
              <w:rPr>
                <w:rFonts w:ascii="Calibri" w:hAnsi="Calibri" w:cs="Calibri"/>
                <w:color w:val="000000"/>
              </w:rPr>
              <w:t>.</w:t>
            </w:r>
          </w:p>
          <w:p w14:paraId="39FDBA77" w14:textId="77777777" w:rsidR="00AA4727" w:rsidRPr="00AE72E8" w:rsidRDefault="00AA4727" w:rsidP="00AA4727">
            <w:pPr>
              <w:spacing w:after="0"/>
              <w:jc w:val="center"/>
              <w:rPr>
                <w:rFonts w:ascii="Calibri" w:hAnsi="Calibri" w:cs="Calibri"/>
              </w:rPr>
            </w:pPr>
          </w:p>
          <w:p w14:paraId="55E74ABC" w14:textId="77777777" w:rsidR="00AA4727" w:rsidRPr="006B6DB4" w:rsidRDefault="00AA4727" w:rsidP="00AA4727">
            <w:pPr>
              <w:spacing w:after="0"/>
              <w:jc w:val="center"/>
              <w:rPr>
                <w:rFonts w:ascii="Times New Roman" w:hAnsi="Times New Roman"/>
                <w:sz w:val="20"/>
                <w:szCs w:val="20"/>
              </w:rPr>
            </w:pPr>
          </w:p>
        </w:tc>
      </w:tr>
    </w:tbl>
    <w:p w14:paraId="7B5A49E6" w14:textId="77777777" w:rsidR="009736FE" w:rsidRDefault="009736FE" w:rsidP="009553EE">
      <w:pPr>
        <w:jc w:val="center"/>
        <w:rPr>
          <w:color w:val="5B9BD5"/>
          <w:sz w:val="40"/>
          <w:szCs w:val="40"/>
        </w:rPr>
      </w:pPr>
    </w:p>
    <w:p w14:paraId="51D1FB1C" w14:textId="77777777" w:rsidR="00AA4727" w:rsidRDefault="009736FE" w:rsidP="00F9365F">
      <w:pPr>
        <w:spacing w:after="0"/>
        <w:rPr>
          <w:color w:val="5B9BD5"/>
          <w:sz w:val="40"/>
          <w:szCs w:val="40"/>
        </w:rPr>
      </w:pPr>
      <w:r>
        <w:rPr>
          <w:color w:val="5B9BD5"/>
          <w:sz w:val="40"/>
          <w:szCs w:val="40"/>
        </w:rPr>
        <w:br w:type="page"/>
      </w:r>
    </w:p>
    <w:p w14:paraId="7F9B3311" w14:textId="77777777" w:rsidR="00462F78" w:rsidRDefault="00EC4C55" w:rsidP="00181F12">
      <w:pPr>
        <w:pStyle w:val="Nadpis1"/>
        <w:spacing w:before="0" w:after="240"/>
        <w:jc w:val="center"/>
      </w:pPr>
      <w:r w:rsidRPr="008124D7">
        <w:lastRenderedPageBreak/>
        <w:t>I.</w:t>
      </w:r>
      <w:r>
        <w:t xml:space="preserve"> </w:t>
      </w:r>
      <w:r w:rsidR="00CD2800" w:rsidRPr="008124D7">
        <w:t>Shrnutí</w:t>
      </w:r>
      <w:r w:rsidR="00CD2800" w:rsidRPr="003D1C56">
        <w:t xml:space="preserve"> a vyhodnocení</w:t>
      </w:r>
    </w:p>
    <w:p w14:paraId="00030179" w14:textId="04017CD2" w:rsidR="000E021F" w:rsidRDefault="00EC4C55" w:rsidP="0065012E">
      <w:pPr>
        <w:widowControl w:val="0"/>
        <w:autoSpaceDE w:val="0"/>
        <w:autoSpaceDN w:val="0"/>
        <w:adjustRightInd w:val="0"/>
        <w:jc w:val="both"/>
        <w:rPr>
          <w:rFonts w:ascii="Calibri" w:hAnsi="Calibri" w:cs="Calibri"/>
          <w:color w:val="000000"/>
        </w:rPr>
      </w:pPr>
      <w:r w:rsidRPr="00333A8D">
        <w:t xml:space="preserve">NKÚ provedl kontrolu </w:t>
      </w:r>
      <w:r w:rsidR="00EC228A">
        <w:t>majetku</w:t>
      </w:r>
      <w:r w:rsidR="00D42233" w:rsidRPr="00D42233">
        <w:rPr>
          <w:rFonts w:ascii="Calibri" w:hAnsi="Calibri" w:cs="Calibri"/>
          <w:color w:val="000000"/>
        </w:rPr>
        <w:t xml:space="preserve"> a peněžní</w:t>
      </w:r>
      <w:r w:rsidR="003B6647">
        <w:rPr>
          <w:rFonts w:ascii="Calibri" w:hAnsi="Calibri" w:cs="Calibri"/>
          <w:color w:val="000000"/>
        </w:rPr>
        <w:t>ch</w:t>
      </w:r>
      <w:r w:rsidR="00D42233" w:rsidRPr="00D42233">
        <w:rPr>
          <w:rFonts w:ascii="Calibri" w:hAnsi="Calibri" w:cs="Calibri"/>
          <w:color w:val="000000"/>
        </w:rPr>
        <w:t xml:space="preserve"> prostředk</w:t>
      </w:r>
      <w:r w:rsidR="003B6647">
        <w:rPr>
          <w:rFonts w:ascii="Calibri" w:hAnsi="Calibri" w:cs="Calibri"/>
          <w:color w:val="000000"/>
        </w:rPr>
        <w:t>ů</w:t>
      </w:r>
      <w:r w:rsidR="00D42233" w:rsidRPr="00D42233">
        <w:rPr>
          <w:rFonts w:ascii="Calibri" w:hAnsi="Calibri" w:cs="Calibri"/>
          <w:color w:val="000000"/>
        </w:rPr>
        <w:t xml:space="preserve"> státu, se kterými jsou příslušné hospodařit vybrané organizace v resortu Ministerstva pro místní rozvoj</w:t>
      </w:r>
      <w:r w:rsidR="0017183F">
        <w:rPr>
          <w:rFonts w:ascii="Calibri" w:hAnsi="Calibri" w:cs="Calibri"/>
          <w:color w:val="000000"/>
        </w:rPr>
        <w:t xml:space="preserve">. </w:t>
      </w:r>
      <w:r w:rsidR="00D42233">
        <w:rPr>
          <w:rFonts w:ascii="Calibri" w:hAnsi="Calibri" w:cs="Calibri"/>
          <w:color w:val="000000"/>
        </w:rPr>
        <w:t xml:space="preserve">Cílem kontroly bylo prověřit, zda vybrané organizace v resortu </w:t>
      </w:r>
      <w:r w:rsidR="00505067">
        <w:rPr>
          <w:rFonts w:ascii="Calibri" w:hAnsi="Calibri" w:cs="Calibri"/>
          <w:color w:val="000000"/>
        </w:rPr>
        <w:t>MMR</w:t>
      </w:r>
      <w:r w:rsidR="00D42233">
        <w:rPr>
          <w:rFonts w:ascii="Calibri" w:hAnsi="Calibri" w:cs="Calibri"/>
          <w:color w:val="000000"/>
        </w:rPr>
        <w:t xml:space="preserve"> hospodař</w:t>
      </w:r>
      <w:r w:rsidR="007A05FA">
        <w:rPr>
          <w:rFonts w:ascii="Calibri" w:hAnsi="Calibri" w:cs="Calibri"/>
          <w:color w:val="000000"/>
        </w:rPr>
        <w:t>ily</w:t>
      </w:r>
      <w:r w:rsidR="00D42233">
        <w:rPr>
          <w:rFonts w:ascii="Calibri" w:hAnsi="Calibri" w:cs="Calibri"/>
          <w:color w:val="000000"/>
        </w:rPr>
        <w:t xml:space="preserve"> s majetkem a peněžními prostředky státu účelně, hospodárně</w:t>
      </w:r>
      <w:r w:rsidR="00974A2A">
        <w:rPr>
          <w:rFonts w:ascii="Calibri" w:hAnsi="Calibri" w:cs="Calibri"/>
          <w:color w:val="000000"/>
        </w:rPr>
        <w:t xml:space="preserve"> </w:t>
      </w:r>
      <w:r w:rsidR="00D42233">
        <w:rPr>
          <w:rFonts w:ascii="Calibri" w:hAnsi="Calibri" w:cs="Calibri"/>
          <w:color w:val="000000"/>
        </w:rPr>
        <w:t xml:space="preserve">a v souladu s právními předpisy. </w:t>
      </w:r>
    </w:p>
    <w:p w14:paraId="0E5C40D3" w14:textId="77777777" w:rsidR="007577B1" w:rsidRDefault="00393F0F" w:rsidP="007577B1">
      <w:pPr>
        <w:widowControl w:val="0"/>
        <w:autoSpaceDE w:val="0"/>
        <w:autoSpaceDN w:val="0"/>
        <w:adjustRightInd w:val="0"/>
        <w:jc w:val="both"/>
        <w:rPr>
          <w:rFonts w:cstheme="minorHAnsi"/>
          <w:lang w:eastAsia="en-US"/>
        </w:rPr>
      </w:pPr>
      <w:r>
        <w:rPr>
          <w:rFonts w:cstheme="minorHAnsi"/>
          <w:lang w:eastAsia="en-US"/>
        </w:rPr>
        <w:t xml:space="preserve">NKÚ </w:t>
      </w:r>
      <w:r w:rsidR="007A5C3F">
        <w:rPr>
          <w:rFonts w:cstheme="minorHAnsi"/>
          <w:lang w:eastAsia="en-US"/>
        </w:rPr>
        <w:t xml:space="preserve">u </w:t>
      </w:r>
      <w:r w:rsidR="00505067">
        <w:rPr>
          <w:rFonts w:cstheme="minorHAnsi"/>
          <w:lang w:eastAsia="en-US"/>
        </w:rPr>
        <w:t>Ministerstva pro místní rozvoj</w:t>
      </w:r>
      <w:r w:rsidR="00D42233">
        <w:rPr>
          <w:rFonts w:cstheme="minorHAnsi"/>
          <w:lang w:eastAsia="en-US"/>
        </w:rPr>
        <w:t xml:space="preserve"> </w:t>
      </w:r>
      <w:r w:rsidR="00CD4FD2">
        <w:rPr>
          <w:rFonts w:cstheme="minorHAnsi"/>
          <w:lang w:eastAsia="en-US"/>
        </w:rPr>
        <w:t>ověřil</w:t>
      </w:r>
      <w:r w:rsidR="00CE6A71">
        <w:rPr>
          <w:rFonts w:cstheme="minorHAnsi"/>
          <w:lang w:eastAsia="en-US"/>
        </w:rPr>
        <w:t>, jak</w:t>
      </w:r>
      <w:r w:rsidR="001D0FDF">
        <w:rPr>
          <w:rFonts w:cstheme="minorHAnsi"/>
          <w:lang w:eastAsia="en-US"/>
        </w:rPr>
        <w:t>ým způsobem</w:t>
      </w:r>
      <w:r w:rsidR="00CE6A71">
        <w:rPr>
          <w:rFonts w:cstheme="minorHAnsi"/>
          <w:lang w:eastAsia="en-US"/>
        </w:rPr>
        <w:t xml:space="preserve"> </w:t>
      </w:r>
      <w:r w:rsidR="00DB1700">
        <w:rPr>
          <w:rFonts w:cstheme="minorHAnsi"/>
          <w:lang w:eastAsia="en-US"/>
        </w:rPr>
        <w:t xml:space="preserve">ministerstvo </w:t>
      </w:r>
      <w:r w:rsidR="00CE6A71">
        <w:rPr>
          <w:rFonts w:cstheme="minorHAnsi"/>
          <w:lang w:eastAsia="en-US"/>
        </w:rPr>
        <w:t>říd</w:t>
      </w:r>
      <w:r w:rsidR="007577B1">
        <w:rPr>
          <w:rFonts w:cstheme="minorHAnsi"/>
          <w:lang w:eastAsia="en-US"/>
        </w:rPr>
        <w:t>il</w:t>
      </w:r>
      <w:r w:rsidR="00D25906">
        <w:rPr>
          <w:rFonts w:cstheme="minorHAnsi"/>
          <w:lang w:eastAsia="en-US"/>
        </w:rPr>
        <w:t>o</w:t>
      </w:r>
      <w:r w:rsidR="00CE6A71">
        <w:rPr>
          <w:rFonts w:cstheme="minorHAnsi"/>
          <w:lang w:eastAsia="en-US"/>
        </w:rPr>
        <w:t xml:space="preserve"> a</w:t>
      </w:r>
      <w:r w:rsidR="00D15975">
        <w:rPr>
          <w:rFonts w:cstheme="minorHAnsi"/>
          <w:lang w:eastAsia="en-US"/>
        </w:rPr>
        <w:t> </w:t>
      </w:r>
      <w:r w:rsidR="00CE6A71">
        <w:rPr>
          <w:rFonts w:cstheme="minorHAnsi"/>
          <w:lang w:eastAsia="en-US"/>
        </w:rPr>
        <w:t>kontrol</w:t>
      </w:r>
      <w:r w:rsidR="007577B1">
        <w:rPr>
          <w:rFonts w:cstheme="minorHAnsi"/>
          <w:lang w:eastAsia="en-US"/>
        </w:rPr>
        <w:t>oval</w:t>
      </w:r>
      <w:r w:rsidR="00D25906">
        <w:rPr>
          <w:rFonts w:cstheme="minorHAnsi"/>
          <w:lang w:eastAsia="en-US"/>
        </w:rPr>
        <w:t>o</w:t>
      </w:r>
      <w:r w:rsidR="001D0FDF">
        <w:rPr>
          <w:rFonts w:cstheme="minorHAnsi"/>
          <w:lang w:eastAsia="en-US"/>
        </w:rPr>
        <w:t xml:space="preserve"> </w:t>
      </w:r>
      <w:r w:rsidR="00CD4FD2">
        <w:rPr>
          <w:rFonts w:cstheme="minorHAnsi"/>
          <w:lang w:eastAsia="en-US"/>
        </w:rPr>
        <w:t>tři</w:t>
      </w:r>
      <w:r w:rsidR="00E832B8">
        <w:rPr>
          <w:rFonts w:cstheme="minorHAnsi"/>
          <w:lang w:eastAsia="en-US"/>
        </w:rPr>
        <w:t xml:space="preserve"> </w:t>
      </w:r>
      <w:r w:rsidR="003B6647">
        <w:rPr>
          <w:rFonts w:cstheme="minorHAnsi"/>
          <w:lang w:eastAsia="en-US"/>
        </w:rPr>
        <w:t>vybran</w:t>
      </w:r>
      <w:r w:rsidR="00CD4FD2">
        <w:rPr>
          <w:rFonts w:cstheme="minorHAnsi"/>
          <w:lang w:eastAsia="en-US"/>
        </w:rPr>
        <w:t>é</w:t>
      </w:r>
      <w:r w:rsidR="003B6647">
        <w:rPr>
          <w:rFonts w:cstheme="minorHAnsi"/>
          <w:lang w:eastAsia="en-US"/>
        </w:rPr>
        <w:t xml:space="preserve"> organizac</w:t>
      </w:r>
      <w:r w:rsidR="00CD4FD2">
        <w:rPr>
          <w:rFonts w:cstheme="minorHAnsi"/>
          <w:lang w:eastAsia="en-US"/>
        </w:rPr>
        <w:t>e</w:t>
      </w:r>
      <w:r w:rsidR="00910B37">
        <w:rPr>
          <w:rFonts w:cstheme="minorHAnsi"/>
          <w:lang w:eastAsia="en-US"/>
        </w:rPr>
        <w:t xml:space="preserve"> – </w:t>
      </w:r>
      <w:r w:rsidR="00720FA8">
        <w:rPr>
          <w:rFonts w:cstheme="minorHAnsi"/>
          <w:lang w:eastAsia="en-US"/>
        </w:rPr>
        <w:t>Cent</w:t>
      </w:r>
      <w:r w:rsidR="005C2202">
        <w:rPr>
          <w:rFonts w:cstheme="minorHAnsi"/>
          <w:lang w:eastAsia="en-US"/>
        </w:rPr>
        <w:t>r</w:t>
      </w:r>
      <w:r w:rsidR="00B36145">
        <w:rPr>
          <w:rFonts w:cstheme="minorHAnsi"/>
          <w:lang w:eastAsia="en-US"/>
        </w:rPr>
        <w:t>um</w:t>
      </w:r>
      <w:r w:rsidR="00720FA8">
        <w:rPr>
          <w:rFonts w:cstheme="minorHAnsi"/>
          <w:lang w:eastAsia="en-US"/>
        </w:rPr>
        <w:t xml:space="preserve"> pro regionální rozvoj České republiky, </w:t>
      </w:r>
      <w:proofErr w:type="spellStart"/>
      <w:r w:rsidR="00720FA8">
        <w:rPr>
          <w:rFonts w:cstheme="minorHAnsi"/>
          <w:lang w:eastAsia="en-US"/>
        </w:rPr>
        <w:t>CzechTourism</w:t>
      </w:r>
      <w:proofErr w:type="spellEnd"/>
      <w:r w:rsidR="00720FA8">
        <w:rPr>
          <w:rFonts w:cstheme="minorHAnsi"/>
          <w:lang w:eastAsia="en-US"/>
        </w:rPr>
        <w:t xml:space="preserve"> </w:t>
      </w:r>
      <w:r w:rsidR="00910B37">
        <w:rPr>
          <w:rFonts w:cstheme="minorHAnsi"/>
          <w:lang w:eastAsia="en-US"/>
        </w:rPr>
        <w:t>a Horsk</w:t>
      </w:r>
      <w:r w:rsidR="00B36145">
        <w:rPr>
          <w:rFonts w:cstheme="minorHAnsi"/>
          <w:lang w:eastAsia="en-US"/>
        </w:rPr>
        <w:t>ou</w:t>
      </w:r>
      <w:r w:rsidR="00910B37">
        <w:rPr>
          <w:rFonts w:cstheme="minorHAnsi"/>
          <w:lang w:eastAsia="en-US"/>
        </w:rPr>
        <w:t xml:space="preserve"> služb</w:t>
      </w:r>
      <w:r w:rsidR="00B36145">
        <w:rPr>
          <w:rFonts w:cstheme="minorHAnsi"/>
          <w:lang w:eastAsia="en-US"/>
        </w:rPr>
        <w:t>u</w:t>
      </w:r>
      <w:r w:rsidR="003B6647">
        <w:rPr>
          <w:rFonts w:cstheme="minorHAnsi"/>
          <w:lang w:eastAsia="en-US"/>
        </w:rPr>
        <w:t xml:space="preserve">. </w:t>
      </w:r>
      <w:r w:rsidR="005036A4">
        <w:rPr>
          <w:rFonts w:cstheme="minorHAnsi"/>
          <w:lang w:eastAsia="en-US"/>
        </w:rPr>
        <w:t xml:space="preserve">NKÚ </w:t>
      </w:r>
      <w:r w:rsidR="00505067">
        <w:rPr>
          <w:rFonts w:cstheme="minorHAnsi"/>
          <w:lang w:eastAsia="en-US"/>
        </w:rPr>
        <w:t>také</w:t>
      </w:r>
      <w:r w:rsidR="005036A4">
        <w:rPr>
          <w:rFonts w:cstheme="minorHAnsi"/>
          <w:lang w:eastAsia="en-US"/>
        </w:rPr>
        <w:t xml:space="preserve"> ověřil</w:t>
      </w:r>
      <w:r w:rsidR="007577B1">
        <w:rPr>
          <w:rFonts w:cstheme="minorHAnsi"/>
          <w:lang w:eastAsia="en-US"/>
        </w:rPr>
        <w:t xml:space="preserve"> nastavení </w:t>
      </w:r>
      <w:r w:rsidR="00AB226F">
        <w:rPr>
          <w:rFonts w:cstheme="minorHAnsi"/>
          <w:lang w:eastAsia="en-US"/>
        </w:rPr>
        <w:t>postupů</w:t>
      </w:r>
      <w:r w:rsidR="00950EB2">
        <w:rPr>
          <w:rFonts w:cstheme="minorHAnsi"/>
          <w:lang w:eastAsia="en-US"/>
        </w:rPr>
        <w:t xml:space="preserve"> MMR</w:t>
      </w:r>
      <w:r w:rsidR="007577B1">
        <w:rPr>
          <w:rFonts w:cstheme="minorHAnsi"/>
          <w:lang w:eastAsia="en-US"/>
        </w:rPr>
        <w:t xml:space="preserve">, kterými </w:t>
      </w:r>
      <w:r w:rsidR="001D0FDF">
        <w:rPr>
          <w:rFonts w:cstheme="minorHAnsi"/>
          <w:lang w:eastAsia="en-US"/>
        </w:rPr>
        <w:t xml:space="preserve">ministerstvo jako správce kapitoly </w:t>
      </w:r>
      <w:r w:rsidR="007577B1">
        <w:rPr>
          <w:rFonts w:cstheme="minorHAnsi"/>
          <w:lang w:eastAsia="en-US"/>
        </w:rPr>
        <w:t>sledovalo a vyhodnocovalo</w:t>
      </w:r>
      <w:r w:rsidR="001D0FDF">
        <w:rPr>
          <w:rFonts w:cstheme="minorHAnsi"/>
          <w:lang w:eastAsia="en-US"/>
        </w:rPr>
        <w:t xml:space="preserve"> účelnost a hospodárnost </w:t>
      </w:r>
      <w:r w:rsidR="00950EB2">
        <w:rPr>
          <w:rFonts w:cstheme="minorHAnsi"/>
          <w:lang w:eastAsia="en-US"/>
        </w:rPr>
        <w:t xml:space="preserve">výdajů u těchto tří kontrolovaných organizací. </w:t>
      </w:r>
    </w:p>
    <w:p w14:paraId="042F852C" w14:textId="77777777" w:rsidR="00EF2EAB" w:rsidRPr="007C72A7" w:rsidRDefault="0034545C" w:rsidP="007C72A7">
      <w:pPr>
        <w:widowControl w:val="0"/>
        <w:autoSpaceDE w:val="0"/>
        <w:autoSpaceDN w:val="0"/>
        <w:adjustRightInd w:val="0"/>
        <w:jc w:val="both"/>
        <w:rPr>
          <w:b/>
          <w:i/>
        </w:rPr>
      </w:pPr>
      <w:r w:rsidRPr="00FD02E4">
        <w:rPr>
          <w:b/>
        </w:rPr>
        <w:t xml:space="preserve">NKÚ </w:t>
      </w:r>
      <w:r w:rsidR="00F53D78">
        <w:rPr>
          <w:b/>
        </w:rPr>
        <w:t>zjistil</w:t>
      </w:r>
      <w:r w:rsidR="002C50B7">
        <w:rPr>
          <w:b/>
        </w:rPr>
        <w:t xml:space="preserve"> nedostatky v</w:t>
      </w:r>
      <w:r w:rsidRPr="00FD02E4">
        <w:rPr>
          <w:b/>
        </w:rPr>
        <w:t xml:space="preserve"> </w:t>
      </w:r>
      <w:r w:rsidR="00720FA8">
        <w:rPr>
          <w:b/>
        </w:rPr>
        <w:t>systém</w:t>
      </w:r>
      <w:r w:rsidR="002C50B7">
        <w:rPr>
          <w:b/>
        </w:rPr>
        <w:t>u</w:t>
      </w:r>
      <w:r w:rsidR="00974A2A" w:rsidRPr="00FD02E4">
        <w:rPr>
          <w:b/>
        </w:rPr>
        <w:t xml:space="preserve"> </w:t>
      </w:r>
      <w:r w:rsidR="00AF03A6">
        <w:rPr>
          <w:b/>
        </w:rPr>
        <w:t xml:space="preserve">řízení a kontroly Ministerstva pro místní rozvoj </w:t>
      </w:r>
      <w:r w:rsidR="002C50B7">
        <w:rPr>
          <w:b/>
        </w:rPr>
        <w:t xml:space="preserve">ve vztahu ke kontrolovaným organizacím. Tyto nedostatky </w:t>
      </w:r>
      <w:r w:rsidR="00AF03A6">
        <w:rPr>
          <w:b/>
        </w:rPr>
        <w:t>zvyšují</w:t>
      </w:r>
      <w:r w:rsidR="007C72A7">
        <w:rPr>
          <w:b/>
        </w:rPr>
        <w:t xml:space="preserve"> riziko </w:t>
      </w:r>
      <w:r w:rsidR="00B9484D" w:rsidRPr="00AF03A6">
        <w:rPr>
          <w:rFonts w:eastAsia="Calibri" w:cstheme="minorHAnsi"/>
          <w:b/>
        </w:rPr>
        <w:t>nehospodárného a neúčelného vynakládání prostředků</w:t>
      </w:r>
      <w:r w:rsidR="00425A9C">
        <w:rPr>
          <w:rFonts w:eastAsia="Calibri" w:cstheme="minorHAnsi"/>
          <w:b/>
        </w:rPr>
        <w:t xml:space="preserve"> státu</w:t>
      </w:r>
      <w:r w:rsidR="002C50B7">
        <w:rPr>
          <w:rFonts w:eastAsia="Calibri" w:cstheme="minorHAnsi"/>
          <w:b/>
        </w:rPr>
        <w:t>.</w:t>
      </w:r>
      <w:r w:rsidR="007F3944">
        <w:rPr>
          <w:rFonts w:eastAsia="Calibri" w:cstheme="minorHAnsi"/>
          <w:b/>
        </w:rPr>
        <w:t xml:space="preserve"> </w:t>
      </w:r>
    </w:p>
    <w:p w14:paraId="2E1491DC" w14:textId="481E25A2" w:rsidR="00D5180C" w:rsidRPr="00AA502E" w:rsidRDefault="00EF2EAB" w:rsidP="00D5180C">
      <w:pPr>
        <w:pStyle w:val="kp-normlntun"/>
        <w:rPr>
          <w:rFonts w:cstheme="minorHAnsi"/>
        </w:rPr>
      </w:pPr>
      <w:r w:rsidRPr="00AA502E">
        <w:t xml:space="preserve">MMR </w:t>
      </w:r>
      <w:r w:rsidR="00DE7D94" w:rsidRPr="00AA502E">
        <w:t>v</w:t>
      </w:r>
      <w:r w:rsidR="000449FE" w:rsidRPr="00AA502E">
        <w:t> </w:t>
      </w:r>
      <w:r w:rsidR="00DE7D94" w:rsidRPr="00AA502E">
        <w:t>některých</w:t>
      </w:r>
      <w:r w:rsidR="000449FE" w:rsidRPr="00AA502E">
        <w:t xml:space="preserve"> případech</w:t>
      </w:r>
      <w:r w:rsidR="00DE7D94" w:rsidRPr="00AA502E">
        <w:t xml:space="preserve"> </w:t>
      </w:r>
      <w:r w:rsidR="00B9484D" w:rsidRPr="00AA502E">
        <w:t>poruš</w:t>
      </w:r>
      <w:r w:rsidR="007F3944" w:rsidRPr="00AA502E">
        <w:t>ilo</w:t>
      </w:r>
      <w:r w:rsidR="00B9484D" w:rsidRPr="00AA502E">
        <w:t xml:space="preserve"> </w:t>
      </w:r>
      <w:r w:rsidR="000449FE" w:rsidRPr="00AA502E">
        <w:t>zákon o finanční kontrole</w:t>
      </w:r>
      <w:r w:rsidR="000449FE" w:rsidRPr="00AA502E">
        <w:rPr>
          <w:rStyle w:val="Znakapoznpodarou"/>
        </w:rPr>
        <w:footnoteReference w:id="2"/>
      </w:r>
      <w:r w:rsidR="000449FE" w:rsidRPr="00AA502E">
        <w:t xml:space="preserve">. </w:t>
      </w:r>
      <w:r w:rsidR="00D5180C" w:rsidRPr="00AA502E">
        <w:rPr>
          <w:rFonts w:cstheme="minorHAnsi"/>
        </w:rPr>
        <w:t xml:space="preserve">NKÚ zjistil nedostatky v oblasti </w:t>
      </w:r>
      <w:r w:rsidR="001D0FDF">
        <w:rPr>
          <w:rFonts w:cstheme="minorHAnsi"/>
        </w:rPr>
        <w:t xml:space="preserve">provádění </w:t>
      </w:r>
      <w:r w:rsidR="00D5180C" w:rsidRPr="00AA502E">
        <w:rPr>
          <w:rFonts w:cstheme="minorHAnsi"/>
        </w:rPr>
        <w:t>veřejnosprávních kontrol na místě</w:t>
      </w:r>
      <w:r w:rsidR="00A4060E">
        <w:rPr>
          <w:rFonts w:cstheme="minorHAnsi"/>
        </w:rPr>
        <w:t xml:space="preserve"> a</w:t>
      </w:r>
      <w:r w:rsidR="00D5180C" w:rsidRPr="00AA502E">
        <w:rPr>
          <w:rFonts w:cstheme="minorHAnsi"/>
        </w:rPr>
        <w:t xml:space="preserve"> </w:t>
      </w:r>
      <w:r w:rsidR="001D0FDF">
        <w:rPr>
          <w:rFonts w:cstheme="minorHAnsi"/>
        </w:rPr>
        <w:t>předběžných kontrol</w:t>
      </w:r>
      <w:r w:rsidR="002F6F22">
        <w:rPr>
          <w:rFonts w:cstheme="minorHAnsi"/>
        </w:rPr>
        <w:t>.</w:t>
      </w:r>
      <w:r w:rsidR="001D0FDF">
        <w:rPr>
          <w:rFonts w:cstheme="minorHAnsi"/>
        </w:rPr>
        <w:t xml:space="preserve"> </w:t>
      </w:r>
    </w:p>
    <w:p w14:paraId="662C6ED6" w14:textId="62BDA15B" w:rsidR="00693DB8" w:rsidRDefault="00C671DA" w:rsidP="00A5755B">
      <w:pPr>
        <w:pStyle w:val="kp-normlntun"/>
        <w:spacing w:after="0"/>
        <w:rPr>
          <w:b w:val="0"/>
        </w:rPr>
      </w:pPr>
      <w:r>
        <w:t xml:space="preserve">Agentura </w:t>
      </w:r>
      <w:proofErr w:type="spellStart"/>
      <w:r w:rsidR="002A501E" w:rsidRPr="008A3D0B">
        <w:t>CzechTourism</w:t>
      </w:r>
      <w:proofErr w:type="spellEnd"/>
      <w:r w:rsidR="002A501E" w:rsidRPr="008A3D0B">
        <w:t xml:space="preserve"> v kontrolovaném období 2015</w:t>
      </w:r>
      <w:r w:rsidR="00967153">
        <w:t>–</w:t>
      </w:r>
      <w:r w:rsidR="002A501E" w:rsidRPr="008A3D0B">
        <w:t>2020 hospodařil</w:t>
      </w:r>
      <w:r w:rsidR="00DF46B6">
        <w:t>a</w:t>
      </w:r>
      <w:r w:rsidR="002A501E" w:rsidRPr="008A3D0B">
        <w:t xml:space="preserve"> s</w:t>
      </w:r>
      <w:r w:rsidR="00D43B0E">
        <w:t> </w:t>
      </w:r>
      <w:r w:rsidR="00D43B0E" w:rsidRPr="00EE4AE9">
        <w:t>kontrolovaným</w:t>
      </w:r>
      <w:r w:rsidR="00D43B0E">
        <w:t xml:space="preserve"> </w:t>
      </w:r>
      <w:r w:rsidR="002A501E" w:rsidRPr="008A3D0B">
        <w:t>majetkem a</w:t>
      </w:r>
      <w:r w:rsidR="00D15975">
        <w:t> </w:t>
      </w:r>
      <w:r w:rsidR="002A501E" w:rsidRPr="008A3D0B">
        <w:t xml:space="preserve">peněžními prostředky státu </w:t>
      </w:r>
      <w:r w:rsidR="00F0651B" w:rsidRPr="008A3D0B">
        <w:t>účelně</w:t>
      </w:r>
      <w:r w:rsidR="00720FA8">
        <w:t xml:space="preserve"> a</w:t>
      </w:r>
      <w:r w:rsidR="00F0651B" w:rsidRPr="008A3D0B">
        <w:t xml:space="preserve"> hospodárně</w:t>
      </w:r>
      <w:r w:rsidR="00561892">
        <w:t xml:space="preserve">. </w:t>
      </w:r>
      <w:r w:rsidR="00693DB8">
        <w:t xml:space="preserve">Při ověřování </w:t>
      </w:r>
      <w:r w:rsidR="002A501E" w:rsidRPr="008A3D0B">
        <w:t>souladu s právními předpisy</w:t>
      </w:r>
      <w:r w:rsidR="00693DB8">
        <w:t xml:space="preserve"> NKÚ </w:t>
      </w:r>
      <w:r w:rsidR="008926BB">
        <w:t xml:space="preserve">zjistil </w:t>
      </w:r>
      <w:r w:rsidR="00693DB8">
        <w:t xml:space="preserve">nedostatky v těchto oblastech: </w:t>
      </w:r>
    </w:p>
    <w:p w14:paraId="51A4FBFE" w14:textId="77777777" w:rsidR="00693DB8" w:rsidRDefault="00F2565E" w:rsidP="00A5755B">
      <w:pPr>
        <w:pStyle w:val="Odstavecseseznamem"/>
        <w:widowControl w:val="0"/>
        <w:numPr>
          <w:ilvl w:val="0"/>
          <w:numId w:val="23"/>
        </w:numPr>
        <w:autoSpaceDE w:val="0"/>
        <w:autoSpaceDN w:val="0"/>
        <w:adjustRightInd w:val="0"/>
        <w:spacing w:after="0"/>
        <w:ind w:left="284" w:hanging="284"/>
        <w:jc w:val="both"/>
        <w:rPr>
          <w:b/>
        </w:rPr>
      </w:pPr>
      <w:r>
        <w:rPr>
          <w:b/>
        </w:rPr>
        <w:t>zadávání veřejných zakázek</w:t>
      </w:r>
      <w:r w:rsidR="00F15CA8">
        <w:rPr>
          <w:b/>
        </w:rPr>
        <w:t xml:space="preserve"> na pořizování služeb</w:t>
      </w:r>
      <w:r>
        <w:rPr>
          <w:b/>
        </w:rPr>
        <w:t xml:space="preserve">, </w:t>
      </w:r>
      <w:r w:rsidR="00EF2EAB" w:rsidRPr="00693DB8">
        <w:rPr>
          <w:b/>
        </w:rPr>
        <w:t xml:space="preserve"> </w:t>
      </w:r>
    </w:p>
    <w:p w14:paraId="4164252D" w14:textId="77777777" w:rsidR="00693DB8" w:rsidRDefault="00EF2EAB" w:rsidP="00A5755B">
      <w:pPr>
        <w:pStyle w:val="Odstavecseseznamem"/>
        <w:widowControl w:val="0"/>
        <w:numPr>
          <w:ilvl w:val="0"/>
          <w:numId w:val="23"/>
        </w:numPr>
        <w:autoSpaceDE w:val="0"/>
        <w:autoSpaceDN w:val="0"/>
        <w:adjustRightInd w:val="0"/>
        <w:spacing w:after="0"/>
        <w:ind w:left="284" w:hanging="284"/>
        <w:jc w:val="both"/>
        <w:rPr>
          <w:b/>
        </w:rPr>
      </w:pPr>
      <w:r w:rsidRPr="00693DB8">
        <w:rPr>
          <w:b/>
        </w:rPr>
        <w:t xml:space="preserve">evidence a účtování </w:t>
      </w:r>
      <w:r w:rsidR="00CE6A71">
        <w:rPr>
          <w:b/>
        </w:rPr>
        <w:t xml:space="preserve">o </w:t>
      </w:r>
      <w:r w:rsidRPr="00693DB8">
        <w:rPr>
          <w:b/>
        </w:rPr>
        <w:t>majetku</w:t>
      </w:r>
      <w:r w:rsidR="00693DB8">
        <w:rPr>
          <w:b/>
        </w:rPr>
        <w:t xml:space="preserve">, </w:t>
      </w:r>
    </w:p>
    <w:p w14:paraId="39F30A63" w14:textId="77777777" w:rsidR="00693DB8" w:rsidRDefault="00F2565E" w:rsidP="00A5755B">
      <w:pPr>
        <w:pStyle w:val="Odstavecseseznamem"/>
        <w:widowControl w:val="0"/>
        <w:numPr>
          <w:ilvl w:val="0"/>
          <w:numId w:val="23"/>
        </w:numPr>
        <w:autoSpaceDE w:val="0"/>
        <w:autoSpaceDN w:val="0"/>
        <w:adjustRightInd w:val="0"/>
        <w:ind w:left="284" w:hanging="284"/>
        <w:jc w:val="both"/>
        <w:rPr>
          <w:b/>
        </w:rPr>
      </w:pPr>
      <w:r>
        <w:rPr>
          <w:b/>
        </w:rPr>
        <w:t xml:space="preserve">zavedení a funkčnost </w:t>
      </w:r>
      <w:r w:rsidR="00EF2EAB" w:rsidRPr="00693DB8">
        <w:rPr>
          <w:b/>
        </w:rPr>
        <w:t>vnitřní</w:t>
      </w:r>
      <w:r>
        <w:rPr>
          <w:b/>
        </w:rPr>
        <w:t>ho</w:t>
      </w:r>
      <w:r w:rsidR="00EF2EAB" w:rsidRPr="00693DB8">
        <w:rPr>
          <w:b/>
        </w:rPr>
        <w:t xml:space="preserve"> kontrolní</w:t>
      </w:r>
      <w:r>
        <w:rPr>
          <w:b/>
        </w:rPr>
        <w:t>ho</w:t>
      </w:r>
      <w:r w:rsidR="00EF2EAB" w:rsidRPr="00693DB8">
        <w:rPr>
          <w:b/>
        </w:rPr>
        <w:t xml:space="preserve"> systém</w:t>
      </w:r>
      <w:r>
        <w:rPr>
          <w:b/>
        </w:rPr>
        <w:t>u</w:t>
      </w:r>
      <w:r w:rsidR="00EF2EAB" w:rsidRPr="00693DB8">
        <w:rPr>
          <w:b/>
        </w:rPr>
        <w:t xml:space="preserve">. </w:t>
      </w:r>
      <w:r w:rsidR="008465F7" w:rsidRPr="00693DB8">
        <w:rPr>
          <w:b/>
        </w:rPr>
        <w:t xml:space="preserve"> </w:t>
      </w:r>
    </w:p>
    <w:p w14:paraId="3BE2460A" w14:textId="77777777" w:rsidR="00FE014A" w:rsidRDefault="007D3797" w:rsidP="00A5755B">
      <w:pPr>
        <w:widowControl w:val="0"/>
        <w:autoSpaceDE w:val="0"/>
        <w:autoSpaceDN w:val="0"/>
        <w:adjustRightInd w:val="0"/>
        <w:spacing w:after="0"/>
        <w:jc w:val="both"/>
        <w:rPr>
          <w:b/>
        </w:rPr>
      </w:pPr>
      <w:r>
        <w:rPr>
          <w:b/>
        </w:rPr>
        <w:t xml:space="preserve">NKÚ zjistil, že </w:t>
      </w:r>
      <w:r w:rsidR="008465F7" w:rsidRPr="00FE014A">
        <w:rPr>
          <w:b/>
        </w:rPr>
        <w:t xml:space="preserve">Horská služba </w:t>
      </w:r>
      <w:r w:rsidR="000A3C33">
        <w:rPr>
          <w:b/>
        </w:rPr>
        <w:t>ne</w:t>
      </w:r>
      <w:r w:rsidR="00816534" w:rsidRPr="00FE014A">
        <w:rPr>
          <w:b/>
        </w:rPr>
        <w:t>hospodařila s dotacemi poskytnutými ze státního rozpočtu</w:t>
      </w:r>
      <w:r w:rsidR="008926BB">
        <w:rPr>
          <w:b/>
        </w:rPr>
        <w:t xml:space="preserve"> účelně a</w:t>
      </w:r>
      <w:r w:rsidR="00D15975">
        <w:rPr>
          <w:b/>
        </w:rPr>
        <w:t> </w:t>
      </w:r>
      <w:r w:rsidR="008926BB">
        <w:rPr>
          <w:b/>
        </w:rPr>
        <w:t>hospodárně, kdy</w:t>
      </w:r>
      <w:r w:rsidR="000A3C33">
        <w:rPr>
          <w:b/>
        </w:rPr>
        <w:t>ž</w:t>
      </w:r>
      <w:r w:rsidR="00FE014A" w:rsidRPr="00FE014A">
        <w:rPr>
          <w:b/>
        </w:rPr>
        <w:t xml:space="preserve">: </w:t>
      </w:r>
    </w:p>
    <w:p w14:paraId="72A5D1CF" w14:textId="77777777" w:rsidR="00FE014A" w:rsidRPr="006C0093" w:rsidRDefault="00FE014A" w:rsidP="00A5755B">
      <w:pPr>
        <w:pStyle w:val="Odstavecseseznamem"/>
        <w:widowControl w:val="0"/>
        <w:numPr>
          <w:ilvl w:val="0"/>
          <w:numId w:val="27"/>
        </w:numPr>
        <w:autoSpaceDE w:val="0"/>
        <w:autoSpaceDN w:val="0"/>
        <w:adjustRightInd w:val="0"/>
        <w:spacing w:after="0"/>
        <w:ind w:left="284" w:hanging="284"/>
        <w:jc w:val="both"/>
        <w:rPr>
          <w:b/>
        </w:rPr>
      </w:pPr>
      <w:r w:rsidRPr="006C0093">
        <w:rPr>
          <w:b/>
        </w:rPr>
        <w:t xml:space="preserve">proplatila částku za poradenství nad rámec odměny sjednané smlouvou, </w:t>
      </w:r>
    </w:p>
    <w:p w14:paraId="5E6EECC8" w14:textId="77777777" w:rsidR="00087762" w:rsidRDefault="00FE014A" w:rsidP="00A5755B">
      <w:pPr>
        <w:pStyle w:val="Odstavecseseznamem"/>
        <w:widowControl w:val="0"/>
        <w:numPr>
          <w:ilvl w:val="0"/>
          <w:numId w:val="27"/>
        </w:numPr>
        <w:autoSpaceDE w:val="0"/>
        <w:autoSpaceDN w:val="0"/>
        <w:adjustRightInd w:val="0"/>
        <w:ind w:left="284" w:hanging="284"/>
        <w:jc w:val="both"/>
        <w:rPr>
          <w:b/>
        </w:rPr>
      </w:pPr>
      <w:r w:rsidRPr="006C0093">
        <w:rPr>
          <w:b/>
        </w:rPr>
        <w:t xml:space="preserve">proplatila z prostředků dotace duplicitně fakturované položky. </w:t>
      </w:r>
    </w:p>
    <w:p w14:paraId="607E94CA" w14:textId="77777777" w:rsidR="001D1017" w:rsidRDefault="00CC7382" w:rsidP="00181F12">
      <w:pPr>
        <w:widowControl w:val="0"/>
        <w:autoSpaceDE w:val="0"/>
        <w:autoSpaceDN w:val="0"/>
        <w:adjustRightInd w:val="0"/>
        <w:jc w:val="both"/>
        <w:rPr>
          <w:b/>
        </w:rPr>
      </w:pPr>
      <w:r w:rsidRPr="00AA502E">
        <w:rPr>
          <w:b/>
        </w:rPr>
        <w:t xml:space="preserve">Horská služba porušila </w:t>
      </w:r>
      <w:r w:rsidR="00E8682A">
        <w:rPr>
          <w:b/>
        </w:rPr>
        <w:t xml:space="preserve">podmínky </w:t>
      </w:r>
      <w:r w:rsidR="004148C5">
        <w:rPr>
          <w:b/>
        </w:rPr>
        <w:t xml:space="preserve">rozhodnutí o </w:t>
      </w:r>
      <w:r w:rsidR="00E8682A">
        <w:rPr>
          <w:b/>
        </w:rPr>
        <w:t xml:space="preserve">poskytnutí dotace a </w:t>
      </w:r>
      <w:r w:rsidRPr="00AA502E">
        <w:rPr>
          <w:b/>
        </w:rPr>
        <w:t>právní předpisy</w:t>
      </w:r>
      <w:r w:rsidR="00FE7D5A" w:rsidRPr="00AA502E">
        <w:rPr>
          <w:rStyle w:val="Znakapoznpodarou"/>
          <w:b/>
        </w:rPr>
        <w:footnoteReference w:id="3"/>
      </w:r>
      <w:r w:rsidR="00FE7D5A" w:rsidRPr="00AA502E">
        <w:rPr>
          <w:b/>
        </w:rPr>
        <w:t xml:space="preserve"> </w:t>
      </w:r>
      <w:r w:rsidR="009E2A07" w:rsidRPr="00AA502E">
        <w:rPr>
          <w:b/>
        </w:rPr>
        <w:t>v oblasti zadávání veřejných zakázek</w:t>
      </w:r>
      <w:r w:rsidR="00A950EE" w:rsidRPr="00AA502E">
        <w:rPr>
          <w:b/>
        </w:rPr>
        <w:t>. V</w:t>
      </w:r>
      <w:r w:rsidR="00281A86" w:rsidRPr="00AA502E">
        <w:rPr>
          <w:b/>
        </w:rPr>
        <w:t xml:space="preserve"> devíti z deseti kontrolovaných veřejných zakázek NKÚ zjistil </w:t>
      </w:r>
      <w:r w:rsidR="002F22BF" w:rsidRPr="00AA502E">
        <w:rPr>
          <w:b/>
        </w:rPr>
        <w:t>nedostatky</w:t>
      </w:r>
      <w:r w:rsidR="00F8548C" w:rsidRPr="00AA502E">
        <w:rPr>
          <w:b/>
        </w:rPr>
        <w:t xml:space="preserve"> v procesu zadávání</w:t>
      </w:r>
      <w:r w:rsidR="002F22BF" w:rsidRPr="00AA502E">
        <w:rPr>
          <w:b/>
        </w:rPr>
        <w:t xml:space="preserve"> veřejných zakázek</w:t>
      </w:r>
      <w:r w:rsidR="00F8548C" w:rsidRPr="00AA502E">
        <w:rPr>
          <w:b/>
        </w:rPr>
        <w:t>, například nedodržení lhůt nebo zveřejňování.</w:t>
      </w:r>
    </w:p>
    <w:p w14:paraId="731EE4F1" w14:textId="77777777" w:rsidR="00D100EF" w:rsidRPr="00F564DF" w:rsidRDefault="008465F7" w:rsidP="00F564DF">
      <w:pPr>
        <w:widowControl w:val="0"/>
        <w:autoSpaceDE w:val="0"/>
        <w:autoSpaceDN w:val="0"/>
        <w:adjustRightInd w:val="0"/>
        <w:jc w:val="both"/>
        <w:rPr>
          <w:b/>
        </w:rPr>
      </w:pPr>
      <w:r w:rsidRPr="008A3D0B">
        <w:rPr>
          <w:b/>
        </w:rPr>
        <w:t xml:space="preserve">V hospodaření Centra pro regionální rozvoj České republiky </w:t>
      </w:r>
      <w:r w:rsidR="00F2565E" w:rsidRPr="008A3D0B">
        <w:rPr>
          <w:b/>
        </w:rPr>
        <w:t xml:space="preserve">NKÚ </w:t>
      </w:r>
      <w:r w:rsidRPr="008A3D0B">
        <w:rPr>
          <w:b/>
        </w:rPr>
        <w:t xml:space="preserve">nezjistil </w:t>
      </w:r>
      <w:r w:rsidR="00AE4F34">
        <w:rPr>
          <w:b/>
        </w:rPr>
        <w:t xml:space="preserve">v kontrolovaných oblastech </w:t>
      </w:r>
      <w:r w:rsidRPr="008A3D0B">
        <w:rPr>
          <w:b/>
        </w:rPr>
        <w:t>nedostatky.</w:t>
      </w:r>
      <w:r w:rsidR="001D1017">
        <w:rPr>
          <w:b/>
        </w:rPr>
        <w:t xml:space="preserve"> </w:t>
      </w:r>
    </w:p>
    <w:p w14:paraId="0341F069" w14:textId="77777777" w:rsidR="006D3817" w:rsidRPr="006D3817" w:rsidRDefault="006D3817" w:rsidP="006D3817">
      <w:pPr>
        <w:keepNext/>
        <w:spacing w:before="360"/>
        <w:jc w:val="both"/>
        <w:rPr>
          <w:rFonts w:cstheme="minorHAnsi"/>
          <w:b/>
          <w:lang w:eastAsia="en-US"/>
        </w:rPr>
      </w:pPr>
      <w:r w:rsidRPr="006D3817">
        <w:rPr>
          <w:rFonts w:cstheme="minorHAnsi"/>
          <w:b/>
          <w:lang w:eastAsia="en-US"/>
        </w:rPr>
        <w:t>Celkové hodnocení vyplývá z následujících zjištěných nedostatků:</w:t>
      </w:r>
    </w:p>
    <w:p w14:paraId="13B08D31" w14:textId="6FD8E8C9" w:rsidR="00DB03C5" w:rsidRPr="00DB03C5" w:rsidRDefault="00A9580B" w:rsidP="00DB03C5">
      <w:pPr>
        <w:pStyle w:val="Odstavecseseznamem"/>
        <w:numPr>
          <w:ilvl w:val="0"/>
          <w:numId w:val="2"/>
        </w:numPr>
        <w:jc w:val="both"/>
        <w:rPr>
          <w:bCs/>
          <w:szCs w:val="20"/>
        </w:rPr>
      </w:pPr>
      <w:r w:rsidRPr="00087762">
        <w:rPr>
          <w:bCs/>
        </w:rPr>
        <w:t>MMR</w:t>
      </w:r>
      <w:r w:rsidR="00E11D24">
        <w:rPr>
          <w:bCs/>
        </w:rPr>
        <w:t xml:space="preserve"> neprovádělo pravidelné veřejnosprávní kontroly u </w:t>
      </w:r>
      <w:r w:rsidR="00C41F91">
        <w:rPr>
          <w:bCs/>
        </w:rPr>
        <w:t xml:space="preserve">jednotlivých </w:t>
      </w:r>
      <w:r w:rsidR="00F4367A">
        <w:rPr>
          <w:bCs/>
        </w:rPr>
        <w:t>kontrolovaných</w:t>
      </w:r>
      <w:r w:rsidR="00E11D24">
        <w:rPr>
          <w:bCs/>
        </w:rPr>
        <w:t xml:space="preserve"> organizací. </w:t>
      </w:r>
      <w:r w:rsidR="005D2907">
        <w:rPr>
          <w:bCs/>
        </w:rPr>
        <w:t>M</w:t>
      </w:r>
      <w:r w:rsidR="00EC02B8">
        <w:rPr>
          <w:bCs/>
        </w:rPr>
        <w:t>inisterstvo</w:t>
      </w:r>
      <w:r w:rsidR="00DF2359">
        <w:rPr>
          <w:bCs/>
        </w:rPr>
        <w:t xml:space="preserve"> </w:t>
      </w:r>
      <w:r w:rsidR="00732316">
        <w:rPr>
          <w:bCs/>
        </w:rPr>
        <w:t xml:space="preserve">neověřovalo v rámci svých veřejnosprávních kontrol na místě </w:t>
      </w:r>
      <w:r w:rsidR="00304CCA">
        <w:rPr>
          <w:bCs/>
        </w:rPr>
        <w:t>správný průběh zadávacích řízení</w:t>
      </w:r>
      <w:r w:rsidR="00732316" w:rsidRPr="00364198">
        <w:rPr>
          <w:bCs/>
        </w:rPr>
        <w:t xml:space="preserve">. U Horské služby </w:t>
      </w:r>
      <w:r w:rsidR="00E56BCE" w:rsidRPr="00364198">
        <w:rPr>
          <w:bCs/>
        </w:rPr>
        <w:t xml:space="preserve">ministerstvo </w:t>
      </w:r>
      <w:r w:rsidR="00732316" w:rsidRPr="00364198">
        <w:rPr>
          <w:bCs/>
        </w:rPr>
        <w:t>neověřovalo</w:t>
      </w:r>
      <w:r w:rsidR="00732316">
        <w:rPr>
          <w:bCs/>
        </w:rPr>
        <w:t xml:space="preserve"> provádění </w:t>
      </w:r>
      <w:r w:rsidR="00732316">
        <w:rPr>
          <w:bCs/>
        </w:rPr>
        <w:lastRenderedPageBreak/>
        <w:t>veřejných zakázek ani při předběžných kontrolách</w:t>
      </w:r>
      <w:r w:rsidR="00304CCA">
        <w:rPr>
          <w:bCs/>
        </w:rPr>
        <w:t>, čímž postupovalo v </w:t>
      </w:r>
      <w:r w:rsidR="00DC1F21">
        <w:rPr>
          <w:bCs/>
        </w:rPr>
        <w:t>rozporu</w:t>
      </w:r>
      <w:r w:rsidR="00304CCA">
        <w:rPr>
          <w:bCs/>
        </w:rPr>
        <w:t xml:space="preserve"> se zákonem č. 320/2001 Sb.</w:t>
      </w:r>
      <w:r w:rsidR="00304CCA">
        <w:rPr>
          <w:rStyle w:val="Znakapoznpodarou"/>
          <w:bCs/>
        </w:rPr>
        <w:footnoteReference w:id="4"/>
      </w:r>
      <w:r w:rsidR="00304CCA">
        <w:rPr>
          <w:bCs/>
        </w:rPr>
        <w:t xml:space="preserve"> a vyhláškou č. 416/2004 Sb.</w:t>
      </w:r>
      <w:r w:rsidR="00304CCA">
        <w:rPr>
          <w:rStyle w:val="Znakapoznpodarou"/>
          <w:bCs/>
        </w:rPr>
        <w:footnoteReference w:id="5"/>
      </w:r>
      <w:r w:rsidR="00304CCA">
        <w:rPr>
          <w:bCs/>
        </w:rPr>
        <w:t xml:space="preserve"> </w:t>
      </w:r>
      <w:r w:rsidR="00304CCA" w:rsidRPr="00087762">
        <w:rPr>
          <w:bCs/>
        </w:rPr>
        <w:t xml:space="preserve">(viz též </w:t>
      </w:r>
      <w:r w:rsidR="00304CCA" w:rsidRPr="0050375A">
        <w:rPr>
          <w:bCs/>
        </w:rPr>
        <w:t>část IV.2</w:t>
      </w:r>
      <w:r w:rsidR="00DC1F21">
        <w:rPr>
          <w:bCs/>
        </w:rPr>
        <w:t xml:space="preserve"> tohoto kontrolního závěru</w:t>
      </w:r>
      <w:r w:rsidR="00304CCA" w:rsidRPr="0050375A">
        <w:rPr>
          <w:bCs/>
        </w:rPr>
        <w:t>).</w:t>
      </w:r>
    </w:p>
    <w:p w14:paraId="7725483F" w14:textId="5D6D2A37" w:rsidR="00737B38" w:rsidRPr="00737B38" w:rsidRDefault="00737B38" w:rsidP="00737B38">
      <w:pPr>
        <w:pStyle w:val="Odstavecseseznamem"/>
        <w:numPr>
          <w:ilvl w:val="0"/>
          <w:numId w:val="2"/>
        </w:numPr>
        <w:jc w:val="both"/>
        <w:rPr>
          <w:bCs/>
          <w:szCs w:val="20"/>
        </w:rPr>
      </w:pPr>
      <w:r w:rsidRPr="00737B38">
        <w:rPr>
          <w:rFonts w:cstheme="minorHAnsi"/>
          <w:color w:val="000000" w:themeColor="text1"/>
        </w:rPr>
        <w:t>MMR zrušilo u</w:t>
      </w:r>
      <w:r w:rsidR="00C671DA">
        <w:rPr>
          <w:rFonts w:cstheme="minorHAnsi"/>
          <w:color w:val="000000" w:themeColor="text1"/>
        </w:rPr>
        <w:t> agentury</w:t>
      </w:r>
      <w:r w:rsidR="00DF46B6">
        <w:rPr>
          <w:rFonts w:cstheme="minorHAnsi"/>
          <w:color w:val="000000" w:themeColor="text1"/>
        </w:rPr>
        <w:t xml:space="preserve"> </w:t>
      </w:r>
      <w:proofErr w:type="spellStart"/>
      <w:r w:rsidRPr="00737B38">
        <w:rPr>
          <w:rFonts w:cstheme="minorHAnsi"/>
          <w:color w:val="000000" w:themeColor="text1"/>
        </w:rPr>
        <w:t>CzechTourism</w:t>
      </w:r>
      <w:proofErr w:type="spellEnd"/>
      <w:r w:rsidRPr="00737B38">
        <w:rPr>
          <w:rFonts w:cstheme="minorHAnsi"/>
          <w:color w:val="000000" w:themeColor="text1"/>
        </w:rPr>
        <w:t xml:space="preserve"> útvar interního auditu, přestože nebyly naplněny podmínky stanovené zákonem č. 320/2001 Sb.</w:t>
      </w:r>
      <w:r>
        <w:rPr>
          <w:rStyle w:val="Znakapoznpodarou"/>
          <w:rFonts w:cstheme="minorHAnsi"/>
          <w:color w:val="000000" w:themeColor="text1"/>
        </w:rPr>
        <w:footnoteReference w:id="6"/>
      </w:r>
      <w:r w:rsidRPr="00737B38">
        <w:rPr>
          <w:rFonts w:cstheme="minorHAnsi"/>
          <w:color w:val="000000" w:themeColor="text1"/>
        </w:rPr>
        <w:t xml:space="preserve"> MMR nadto po zrušení útvaru interního auditu neprovádělo u</w:t>
      </w:r>
      <w:r w:rsidR="00C671DA">
        <w:rPr>
          <w:rFonts w:cstheme="minorHAnsi"/>
          <w:color w:val="000000" w:themeColor="text1"/>
        </w:rPr>
        <w:t> agentury</w:t>
      </w:r>
      <w:r w:rsidRPr="00737B38">
        <w:rPr>
          <w:rFonts w:cstheme="minorHAnsi"/>
          <w:color w:val="000000" w:themeColor="text1"/>
        </w:rPr>
        <w:t xml:space="preserve"> </w:t>
      </w:r>
      <w:proofErr w:type="spellStart"/>
      <w:r w:rsidRPr="00737B38">
        <w:rPr>
          <w:rFonts w:cstheme="minorHAnsi"/>
          <w:color w:val="000000" w:themeColor="text1"/>
        </w:rPr>
        <w:t>CzechTourism</w:t>
      </w:r>
      <w:proofErr w:type="spellEnd"/>
      <w:r w:rsidRPr="00737B38">
        <w:rPr>
          <w:rFonts w:cstheme="minorHAnsi"/>
          <w:color w:val="000000" w:themeColor="text1"/>
        </w:rPr>
        <w:t xml:space="preserve"> veřejnosprávní kontroly, jejichž výkon podle zákona č. 320/2001 Sb. nahrazuje funkci útvaru interního auditu </w:t>
      </w:r>
      <w:r w:rsidRPr="00737B38">
        <w:rPr>
          <w:bCs/>
        </w:rPr>
        <w:t>(viz též část IV.1</w:t>
      </w:r>
      <w:r w:rsidR="00DC1F21">
        <w:rPr>
          <w:bCs/>
        </w:rPr>
        <w:t xml:space="preserve"> tohoto kontrolního závěru</w:t>
      </w:r>
      <w:r w:rsidRPr="00737B38">
        <w:rPr>
          <w:bCs/>
        </w:rPr>
        <w:t>).</w:t>
      </w:r>
    </w:p>
    <w:p w14:paraId="6C51999C" w14:textId="3F7D2A88" w:rsidR="006A6670" w:rsidRPr="00737B38" w:rsidRDefault="0096573E" w:rsidP="00737B38">
      <w:pPr>
        <w:pStyle w:val="Odstavecseseznamem"/>
        <w:numPr>
          <w:ilvl w:val="0"/>
          <w:numId w:val="32"/>
        </w:numPr>
        <w:jc w:val="both"/>
        <w:rPr>
          <w:bCs/>
          <w:szCs w:val="20"/>
        </w:rPr>
      </w:pPr>
      <w:r>
        <w:t xml:space="preserve">MMR jako </w:t>
      </w:r>
      <w:r w:rsidR="00284E29">
        <w:t>poskytovatel dotace</w:t>
      </w:r>
      <w:r>
        <w:t xml:space="preserve"> nevyzvalo v letech 2015</w:t>
      </w:r>
      <w:r w:rsidR="006A1B91">
        <w:t>–</w:t>
      </w:r>
      <w:r>
        <w:t>2020</w:t>
      </w:r>
      <w:r w:rsidR="00862370">
        <w:t xml:space="preserve"> </w:t>
      </w:r>
      <w:r>
        <w:t>Horskou službu k</w:t>
      </w:r>
      <w:r w:rsidR="00862370">
        <w:t xml:space="preserve"> předložení </w:t>
      </w:r>
      <w:r>
        <w:t xml:space="preserve">průběžných zpráv o realizaci akce za každý kalendářní rok. </w:t>
      </w:r>
      <w:r w:rsidR="002A1434">
        <w:t xml:space="preserve">Tím </w:t>
      </w:r>
      <w:r w:rsidR="00A165F1" w:rsidRPr="0096573E">
        <w:t>MMR</w:t>
      </w:r>
      <w:r w:rsidR="00AB226F">
        <w:t xml:space="preserve"> postupovalo </w:t>
      </w:r>
      <w:r w:rsidR="00A165F1">
        <w:t>v </w:t>
      </w:r>
      <w:r w:rsidR="00DC1F21">
        <w:t>rozporu</w:t>
      </w:r>
      <w:r w:rsidR="00A165F1">
        <w:t xml:space="preserve"> </w:t>
      </w:r>
      <w:r w:rsidR="006C0093">
        <w:t>se z</w:t>
      </w:r>
      <w:r w:rsidR="00A165F1">
        <w:t xml:space="preserve">ákonem </w:t>
      </w:r>
      <w:r w:rsidR="00A165F1" w:rsidRPr="008128FA">
        <w:t>č. 320/2001 Sb.</w:t>
      </w:r>
      <w:r w:rsidR="00F55C77" w:rsidRPr="008128FA">
        <w:rPr>
          <w:rStyle w:val="Znakapoznpodarou"/>
        </w:rPr>
        <w:footnoteReference w:id="7"/>
      </w:r>
      <w:r w:rsidR="00AB226F" w:rsidRPr="008128FA">
        <w:t>,</w:t>
      </w:r>
      <w:r w:rsidR="00AB226F">
        <w:t xml:space="preserve"> </w:t>
      </w:r>
      <w:r w:rsidR="00DC1F21">
        <w:t>neboť</w:t>
      </w:r>
      <w:r w:rsidR="00A165F1" w:rsidRPr="0096573E">
        <w:t xml:space="preserve"> </w:t>
      </w:r>
      <w:r w:rsidR="00AB226F">
        <w:t>ne</w:t>
      </w:r>
      <w:r w:rsidR="00A165F1" w:rsidRPr="0096573E">
        <w:t>ověřilo, zda příjemce postupoval v</w:t>
      </w:r>
      <w:r w:rsidR="00A165F1">
        <w:t> souladu s rozhodnutím o poskytnutí dotace a jeho podmínkami</w:t>
      </w:r>
      <w:r w:rsidR="00AB226F">
        <w:t xml:space="preserve"> a</w:t>
      </w:r>
      <w:r w:rsidR="00977150">
        <w:t> </w:t>
      </w:r>
      <w:r w:rsidR="00AB226F">
        <w:t>poskyt</w:t>
      </w:r>
      <w:r w:rsidR="00521DF5">
        <w:t>o</w:t>
      </w:r>
      <w:r w:rsidR="006C0093">
        <w:t>va</w:t>
      </w:r>
      <w:r w:rsidR="00AB226F">
        <w:t>lo</w:t>
      </w:r>
      <w:r w:rsidR="00A165F1">
        <w:t xml:space="preserve"> </w:t>
      </w:r>
      <w:r w:rsidR="00F80D4C" w:rsidRPr="0096573E">
        <w:t>Horsk</w:t>
      </w:r>
      <w:r w:rsidR="00AB226F">
        <w:t>é</w:t>
      </w:r>
      <w:r w:rsidR="00F80D4C" w:rsidRPr="0096573E">
        <w:t xml:space="preserve"> služb</w:t>
      </w:r>
      <w:r w:rsidR="00AB226F">
        <w:t>ě</w:t>
      </w:r>
      <w:r w:rsidR="00F80D4C" w:rsidRPr="0096573E">
        <w:t xml:space="preserve"> každoročně investiční dotace</w:t>
      </w:r>
      <w:r w:rsidR="00AB226F">
        <w:t xml:space="preserve"> </w:t>
      </w:r>
      <w:r w:rsidR="00F821CB">
        <w:t>(viz též část IV.2</w:t>
      </w:r>
      <w:r w:rsidR="00DC1F21">
        <w:t xml:space="preserve"> tohoto kontrolního závěru</w:t>
      </w:r>
      <w:r w:rsidR="00F821CB">
        <w:t>)</w:t>
      </w:r>
      <w:r w:rsidR="00F80D4C">
        <w:t xml:space="preserve">.  </w:t>
      </w:r>
    </w:p>
    <w:p w14:paraId="117EF846" w14:textId="3536D9DF" w:rsidR="00584A0F" w:rsidRPr="006A6670" w:rsidRDefault="006A6670" w:rsidP="00737B38">
      <w:pPr>
        <w:pStyle w:val="Odstavecseseznamem"/>
        <w:numPr>
          <w:ilvl w:val="0"/>
          <w:numId w:val="32"/>
        </w:numPr>
        <w:jc w:val="both"/>
        <w:rPr>
          <w:bCs/>
          <w:szCs w:val="20"/>
        </w:rPr>
      </w:pPr>
      <w:r>
        <w:t xml:space="preserve">Horská služba </w:t>
      </w:r>
      <w:r w:rsidR="007F2143" w:rsidRPr="00F554CF">
        <w:t>u</w:t>
      </w:r>
      <w:r w:rsidR="00F564DF">
        <w:t> </w:t>
      </w:r>
      <w:r w:rsidR="007F2143" w:rsidRPr="00F554CF">
        <w:t xml:space="preserve">dvou investičních dotací z programu </w:t>
      </w:r>
      <w:r w:rsidR="007F2143" w:rsidRPr="008A6545">
        <w:t>11701</w:t>
      </w:r>
      <w:r w:rsidR="00E96675">
        <w:rPr>
          <w:rStyle w:val="Znakapoznpodarou"/>
        </w:rPr>
        <w:footnoteReference w:id="8"/>
      </w:r>
      <w:r w:rsidR="007F2143" w:rsidRPr="00F554CF">
        <w:t xml:space="preserve"> </w:t>
      </w:r>
      <w:r w:rsidR="001C4DE2">
        <w:t xml:space="preserve">nepodala </w:t>
      </w:r>
      <w:r w:rsidR="001C5EA8">
        <w:t xml:space="preserve">MMR </w:t>
      </w:r>
      <w:r w:rsidR="001C5EA8" w:rsidRPr="006C0093">
        <w:t>jako správci akce</w:t>
      </w:r>
      <w:r w:rsidR="001C5EA8">
        <w:t xml:space="preserve"> </w:t>
      </w:r>
      <w:r w:rsidR="001C4DE2">
        <w:t>závěrečné vyhodnocení akce</w:t>
      </w:r>
      <w:r w:rsidR="000379D1">
        <w:t xml:space="preserve"> </w:t>
      </w:r>
      <w:r w:rsidR="00C907D4">
        <w:t xml:space="preserve">a </w:t>
      </w:r>
      <w:r w:rsidR="0096573E">
        <w:t xml:space="preserve">ke třem investičním dotacím </w:t>
      </w:r>
      <w:r w:rsidR="00C907D4">
        <w:t xml:space="preserve">nepodala zprávu pro závěrečný účet, </w:t>
      </w:r>
      <w:r w:rsidR="00C907D4">
        <w:rPr>
          <w:bCs/>
        </w:rPr>
        <w:t xml:space="preserve">čímž porušila podmínky </w:t>
      </w:r>
      <w:r w:rsidR="00C97833">
        <w:rPr>
          <w:bCs/>
        </w:rPr>
        <w:t xml:space="preserve">dotace </w:t>
      </w:r>
      <w:r w:rsidR="00C907D4" w:rsidRPr="006A6670">
        <w:rPr>
          <w:bCs/>
        </w:rPr>
        <w:t>(viz též část IV.2</w:t>
      </w:r>
      <w:r w:rsidR="00DC1F21">
        <w:rPr>
          <w:bCs/>
        </w:rPr>
        <w:t xml:space="preserve"> tohoto kontrolního závěru</w:t>
      </w:r>
      <w:r w:rsidR="00C907D4" w:rsidRPr="006A6670">
        <w:rPr>
          <w:bCs/>
        </w:rPr>
        <w:t>)</w:t>
      </w:r>
      <w:r w:rsidR="00973B7C" w:rsidRPr="006A6670">
        <w:rPr>
          <w:bCs/>
        </w:rPr>
        <w:t xml:space="preserve">. </w:t>
      </w:r>
    </w:p>
    <w:p w14:paraId="4F075FFC" w14:textId="0EB0A71D" w:rsidR="00584A0F" w:rsidRPr="000379D1" w:rsidRDefault="007F2143" w:rsidP="00737B38">
      <w:pPr>
        <w:pStyle w:val="Odstavecseseznamem"/>
        <w:numPr>
          <w:ilvl w:val="0"/>
          <w:numId w:val="32"/>
        </w:numPr>
        <w:jc w:val="both"/>
      </w:pPr>
      <w:r w:rsidRPr="000379D1">
        <w:t xml:space="preserve">V oblasti veřejných zakázek </w:t>
      </w:r>
      <w:r w:rsidR="00EB2A2D" w:rsidRPr="000379D1">
        <w:t xml:space="preserve">NKÚ </w:t>
      </w:r>
      <w:r w:rsidR="00D10687">
        <w:t>zjistil</w:t>
      </w:r>
      <w:r w:rsidR="00D10687" w:rsidRPr="000379D1">
        <w:t xml:space="preserve"> </w:t>
      </w:r>
      <w:r w:rsidR="00234D44" w:rsidRPr="000379D1">
        <w:t xml:space="preserve">u Horské služby </w:t>
      </w:r>
      <w:r w:rsidRPr="000379D1">
        <w:t xml:space="preserve">pochybení u </w:t>
      </w:r>
      <w:r w:rsidR="00EB2A2D" w:rsidRPr="000379D1">
        <w:t>devíti z deseti kontrolovaných zakázek</w:t>
      </w:r>
      <w:r w:rsidR="00975C44" w:rsidRPr="00975C44">
        <w:rPr>
          <w:vertAlign w:val="superscript"/>
        </w:rPr>
        <w:t>2</w:t>
      </w:r>
      <w:r w:rsidR="00EB2A2D" w:rsidRPr="000379D1">
        <w:t xml:space="preserve">. </w:t>
      </w:r>
      <w:r w:rsidR="000072EB" w:rsidRPr="000379D1">
        <w:t>Například, v</w:t>
      </w:r>
      <w:r w:rsidR="00584A0F" w:rsidRPr="000379D1">
        <w:t>e třech případech</w:t>
      </w:r>
      <w:r w:rsidR="00584A0F" w:rsidRPr="000379D1">
        <w:rPr>
          <w:rStyle w:val="Znakapoznpodarou"/>
        </w:rPr>
        <w:footnoteReference w:id="9"/>
      </w:r>
      <w:r w:rsidR="006A1B91">
        <w:t xml:space="preserve"> </w:t>
      </w:r>
      <w:r w:rsidR="000072EB" w:rsidRPr="000379D1">
        <w:t>Horská služba</w:t>
      </w:r>
      <w:r w:rsidR="00584A0F" w:rsidRPr="000379D1">
        <w:t xml:space="preserve"> nezrušila zadávací řízení, v</w:t>
      </w:r>
      <w:r w:rsidR="00DC1F21">
        <w:t> jejichž</w:t>
      </w:r>
      <w:r w:rsidR="00584A0F" w:rsidRPr="000379D1">
        <w:t xml:space="preserve"> rámci byla podána pouze jedna nabídka, čímž porušila povinnost stanovenou v podmínkách k rozhodnutí o poskytnutí dotace. N</w:t>
      </w:r>
      <w:r w:rsidR="00A9580B" w:rsidRPr="000379D1">
        <w:rPr>
          <w:rFonts w:cstheme="minorHAnsi"/>
          <w:lang w:eastAsia="en-US"/>
        </w:rPr>
        <w:t xml:space="preserve">edostatky týkající se částky </w:t>
      </w:r>
      <w:r w:rsidR="009E4E52" w:rsidRPr="000379D1">
        <w:rPr>
          <w:rFonts w:cstheme="minorHAnsi"/>
          <w:lang w:eastAsia="en-US"/>
        </w:rPr>
        <w:t xml:space="preserve">96,48 </w:t>
      </w:r>
      <w:r w:rsidR="00AA2C72" w:rsidRPr="000379D1">
        <w:rPr>
          <w:rFonts w:cstheme="minorHAnsi"/>
          <w:lang w:eastAsia="en-US"/>
        </w:rPr>
        <w:t>mil.</w:t>
      </w:r>
      <w:r w:rsidR="00A9580B" w:rsidRPr="000379D1">
        <w:rPr>
          <w:rFonts w:cstheme="minorHAnsi"/>
          <w:lang w:eastAsia="en-US"/>
        </w:rPr>
        <w:t xml:space="preserve"> </w:t>
      </w:r>
      <w:r w:rsidR="004A191D" w:rsidRPr="000379D1">
        <w:rPr>
          <w:rFonts w:cstheme="minorHAnsi"/>
          <w:lang w:eastAsia="en-US"/>
        </w:rPr>
        <w:t>K</w:t>
      </w:r>
      <w:r w:rsidR="004A191D" w:rsidRPr="006C0093">
        <w:rPr>
          <w:rFonts w:cstheme="minorHAnsi"/>
          <w:lang w:eastAsia="en-US"/>
        </w:rPr>
        <w:t>č</w:t>
      </w:r>
      <w:r w:rsidR="00A9580B" w:rsidRPr="000379D1">
        <w:rPr>
          <w:rFonts w:cstheme="minorHAnsi"/>
          <w:lang w:eastAsia="en-US"/>
        </w:rPr>
        <w:t xml:space="preserve"> </w:t>
      </w:r>
      <w:r w:rsidR="003F4A0C">
        <w:rPr>
          <w:rFonts w:cstheme="minorHAnsi"/>
          <w:lang w:eastAsia="en-US"/>
        </w:rPr>
        <w:t>vyhodnotil</w:t>
      </w:r>
      <w:r w:rsidR="003F4A0C" w:rsidRPr="000379D1">
        <w:rPr>
          <w:rFonts w:cstheme="minorHAnsi"/>
          <w:lang w:eastAsia="en-US"/>
        </w:rPr>
        <w:t xml:space="preserve"> </w:t>
      </w:r>
      <w:r w:rsidR="00A9580B" w:rsidRPr="000379D1">
        <w:rPr>
          <w:rFonts w:cstheme="minorHAnsi"/>
          <w:lang w:eastAsia="en-US"/>
        </w:rPr>
        <w:t xml:space="preserve">NKÚ jako </w:t>
      </w:r>
      <w:r w:rsidR="003F4A0C">
        <w:rPr>
          <w:rFonts w:cstheme="minorHAnsi"/>
          <w:lang w:eastAsia="en-US"/>
        </w:rPr>
        <w:t xml:space="preserve">skutečnost nasvědčující porušení rozpočtové </w:t>
      </w:r>
      <w:r w:rsidR="00A9580B" w:rsidRPr="000379D1">
        <w:rPr>
          <w:rFonts w:cstheme="minorHAnsi"/>
          <w:lang w:eastAsia="en-US"/>
        </w:rPr>
        <w:t>kázně</w:t>
      </w:r>
      <w:r w:rsidR="00953158">
        <w:rPr>
          <w:rStyle w:val="Znakapoznpodarou"/>
          <w:rFonts w:cstheme="minorHAnsi"/>
          <w:lang w:eastAsia="en-US"/>
        </w:rPr>
        <w:footnoteReference w:id="10"/>
      </w:r>
      <w:r w:rsidR="00A9580B" w:rsidRPr="000379D1">
        <w:rPr>
          <w:rFonts w:cstheme="minorHAnsi"/>
          <w:lang w:eastAsia="en-US"/>
        </w:rPr>
        <w:t xml:space="preserve">. </w:t>
      </w:r>
      <w:r w:rsidR="00D10687">
        <w:t xml:space="preserve">MMR tyto nedostatky nezjistilo, neboť neprovádělo </w:t>
      </w:r>
      <w:r w:rsidR="000379D1">
        <w:t>požadovan</w:t>
      </w:r>
      <w:r w:rsidR="00D10687">
        <w:t>é</w:t>
      </w:r>
      <w:r w:rsidR="000379D1">
        <w:t xml:space="preserve"> </w:t>
      </w:r>
      <w:r w:rsidR="00ED3CD0" w:rsidRPr="000379D1">
        <w:t>kontrol</w:t>
      </w:r>
      <w:r w:rsidR="00D10687">
        <w:t>y</w:t>
      </w:r>
      <w:r w:rsidR="00ED3CD0" w:rsidRPr="000379D1">
        <w:t xml:space="preserve"> </w:t>
      </w:r>
      <w:r w:rsidR="000379D1">
        <w:t xml:space="preserve">v souladu se zákonem </w:t>
      </w:r>
      <w:r w:rsidR="000379D1" w:rsidRPr="008128FA">
        <w:t>č.</w:t>
      </w:r>
      <w:r w:rsidR="001C5EA8" w:rsidRPr="008128FA">
        <w:t> </w:t>
      </w:r>
      <w:r w:rsidR="000379D1" w:rsidRPr="008128FA">
        <w:t>320/2001 Sb.</w:t>
      </w:r>
      <w:r w:rsidR="00F55C77" w:rsidRPr="008128FA">
        <w:rPr>
          <w:vertAlign w:val="superscript"/>
        </w:rPr>
        <w:t>6</w:t>
      </w:r>
      <w:r w:rsidR="000379D1" w:rsidRPr="008128FA">
        <w:t xml:space="preserve"> </w:t>
      </w:r>
      <w:r w:rsidR="00973B7C" w:rsidRPr="008128FA">
        <w:rPr>
          <w:bCs/>
        </w:rPr>
        <w:t>(</w:t>
      </w:r>
      <w:r w:rsidR="00973B7C" w:rsidRPr="000379D1">
        <w:rPr>
          <w:bCs/>
        </w:rPr>
        <w:t>viz též část</w:t>
      </w:r>
      <w:r w:rsidR="008E3389">
        <w:rPr>
          <w:bCs/>
        </w:rPr>
        <w:t>i</w:t>
      </w:r>
      <w:r w:rsidR="00973B7C" w:rsidRPr="000379D1">
        <w:rPr>
          <w:bCs/>
        </w:rPr>
        <w:t xml:space="preserve"> </w:t>
      </w:r>
      <w:r w:rsidR="000072EB" w:rsidRPr="000379D1">
        <w:rPr>
          <w:bCs/>
        </w:rPr>
        <w:t>IV.2</w:t>
      </w:r>
      <w:r w:rsidR="000379D1">
        <w:rPr>
          <w:bCs/>
        </w:rPr>
        <w:t xml:space="preserve"> </w:t>
      </w:r>
      <w:r w:rsidR="000072EB" w:rsidRPr="000379D1">
        <w:rPr>
          <w:bCs/>
        </w:rPr>
        <w:t xml:space="preserve">a </w:t>
      </w:r>
      <w:r w:rsidR="00973B7C" w:rsidRPr="000379D1">
        <w:rPr>
          <w:bCs/>
        </w:rPr>
        <w:t>IV.</w:t>
      </w:r>
      <w:r w:rsidR="000072EB" w:rsidRPr="000379D1">
        <w:rPr>
          <w:bCs/>
        </w:rPr>
        <w:t>3</w:t>
      </w:r>
      <w:r w:rsidR="00DC1F21">
        <w:rPr>
          <w:bCs/>
        </w:rPr>
        <w:t xml:space="preserve"> tohoto kontrolního závěru</w:t>
      </w:r>
      <w:r w:rsidR="00973B7C" w:rsidRPr="000379D1">
        <w:rPr>
          <w:bCs/>
        </w:rPr>
        <w:t>).</w:t>
      </w:r>
    </w:p>
    <w:p w14:paraId="68FA161E" w14:textId="08A535FE" w:rsidR="00F564DF" w:rsidRPr="00E44C18" w:rsidRDefault="00E96675" w:rsidP="00737B38">
      <w:pPr>
        <w:pStyle w:val="Odstavecseseznamem"/>
        <w:numPr>
          <w:ilvl w:val="0"/>
          <w:numId w:val="32"/>
        </w:numPr>
        <w:jc w:val="both"/>
      </w:pPr>
      <w:r w:rsidRPr="00F564DF">
        <w:t xml:space="preserve">Při kontrole </w:t>
      </w:r>
      <w:r w:rsidR="00C8752B" w:rsidRPr="00F564DF">
        <w:t>výběrových</w:t>
      </w:r>
      <w:r w:rsidRPr="00F564DF">
        <w:t xml:space="preserve"> řízení u</w:t>
      </w:r>
      <w:r w:rsidR="00EB2EFE">
        <w:t> agentury</w:t>
      </w:r>
      <w:r w:rsidRPr="00F564DF">
        <w:t xml:space="preserve"> </w:t>
      </w:r>
      <w:proofErr w:type="spellStart"/>
      <w:r w:rsidRPr="00F564DF">
        <w:t>CzechTourism</w:t>
      </w:r>
      <w:proofErr w:type="spellEnd"/>
      <w:r w:rsidRPr="00F564DF">
        <w:t xml:space="preserve"> zjistil </w:t>
      </w:r>
      <w:r w:rsidR="004A191D" w:rsidRPr="00F564DF">
        <w:t xml:space="preserve">NKÚ </w:t>
      </w:r>
      <w:r w:rsidR="00C97833">
        <w:rPr>
          <w:rFonts w:ascii="Calibri" w:hAnsi="Calibri" w:cs="Calibri"/>
          <w:color w:val="000000"/>
        </w:rPr>
        <w:t>nedostatky</w:t>
      </w:r>
      <w:r w:rsidR="00AA63A1" w:rsidRPr="00AA63A1">
        <w:rPr>
          <w:rFonts w:ascii="Calibri" w:hAnsi="Calibri" w:cs="Calibri"/>
          <w:color w:val="000000"/>
        </w:rPr>
        <w:t xml:space="preserve"> u 19 </w:t>
      </w:r>
      <w:r w:rsidR="00AA63A1">
        <w:rPr>
          <w:rFonts w:ascii="Calibri" w:hAnsi="Calibri" w:cs="Calibri"/>
          <w:color w:val="000000"/>
        </w:rPr>
        <w:t xml:space="preserve">ze 60 kontrolovaných zakázek. </w:t>
      </w:r>
      <w:r w:rsidR="00EB2EFE">
        <w:rPr>
          <w:rFonts w:ascii="Calibri" w:hAnsi="Calibri" w:cs="Calibri"/>
          <w:color w:val="000000"/>
        </w:rPr>
        <w:t xml:space="preserve">Agentura </w:t>
      </w:r>
      <w:proofErr w:type="spellStart"/>
      <w:r w:rsidR="00AA63A1">
        <w:rPr>
          <w:rFonts w:ascii="Calibri" w:hAnsi="Calibri" w:cs="Calibri"/>
          <w:color w:val="000000"/>
        </w:rPr>
        <w:t>CzechTourism</w:t>
      </w:r>
      <w:proofErr w:type="spellEnd"/>
      <w:r w:rsidR="00AA63A1">
        <w:rPr>
          <w:rFonts w:ascii="Calibri" w:hAnsi="Calibri" w:cs="Calibri"/>
          <w:color w:val="000000"/>
        </w:rPr>
        <w:t xml:space="preserve"> porušil</w:t>
      </w:r>
      <w:r w:rsidR="00EB2EFE">
        <w:rPr>
          <w:rFonts w:ascii="Calibri" w:hAnsi="Calibri" w:cs="Calibri"/>
          <w:color w:val="000000"/>
        </w:rPr>
        <w:t>a</w:t>
      </w:r>
      <w:r w:rsidR="00AA63A1">
        <w:rPr>
          <w:rFonts w:ascii="Calibri" w:hAnsi="Calibri" w:cs="Calibri"/>
          <w:color w:val="000000"/>
        </w:rPr>
        <w:t xml:space="preserve"> zákon č. </w:t>
      </w:r>
      <w:r w:rsidR="0029274D">
        <w:t>137/2006 Sb.</w:t>
      </w:r>
      <w:r w:rsidR="00BD5964">
        <w:rPr>
          <w:rStyle w:val="Znakapoznpodarou"/>
        </w:rPr>
        <w:footnoteReference w:id="11"/>
      </w:r>
      <w:r w:rsidR="00C56359">
        <w:t xml:space="preserve">, </w:t>
      </w:r>
      <w:r w:rsidR="00C56359" w:rsidRPr="00C56359">
        <w:rPr>
          <w:rFonts w:cstheme="minorHAnsi"/>
        </w:rPr>
        <w:t>když umožnil</w:t>
      </w:r>
      <w:r w:rsidR="00EB2EFE">
        <w:rPr>
          <w:rFonts w:cstheme="minorHAnsi"/>
        </w:rPr>
        <w:t>a</w:t>
      </w:r>
      <w:r w:rsidR="00C56359" w:rsidRPr="00C56359">
        <w:rPr>
          <w:rFonts w:cstheme="minorHAnsi"/>
        </w:rPr>
        <w:t xml:space="preserve"> podstatnou změnu práv a povinností vyplývajících ze smlouvy jejím </w:t>
      </w:r>
      <w:r w:rsidR="00C56359" w:rsidRPr="00C56359">
        <w:rPr>
          <w:rFonts w:cstheme="minorHAnsi"/>
        </w:rPr>
        <w:lastRenderedPageBreak/>
        <w:t>opakovaným prodlužováním, a to celkově o 45 měsíců</w:t>
      </w:r>
      <w:r w:rsidR="00A9580B" w:rsidRPr="00F564DF">
        <w:t>. V jednom případě došlo</w:t>
      </w:r>
      <w:r w:rsidR="00321FE2">
        <w:t xml:space="preserve"> k</w:t>
      </w:r>
      <w:r w:rsidR="00EB2EFE">
        <w:t> </w:t>
      </w:r>
      <w:r w:rsidR="00F564DF" w:rsidRPr="00F564DF">
        <w:t xml:space="preserve">proplacení plnění za provedené </w:t>
      </w:r>
      <w:r w:rsidR="00A9580B" w:rsidRPr="00F564DF">
        <w:t>služby</w:t>
      </w:r>
      <w:r w:rsidR="00F564DF" w:rsidRPr="00F564DF">
        <w:t xml:space="preserve"> dodavateli</w:t>
      </w:r>
      <w:r w:rsidR="00F564DF">
        <w:t xml:space="preserve"> bez uzavření </w:t>
      </w:r>
      <w:r w:rsidR="00A9580B" w:rsidRPr="00D348A6">
        <w:t>písemné smlouvy</w:t>
      </w:r>
      <w:r w:rsidR="0029274D">
        <w:rPr>
          <w:rStyle w:val="Znakapoznpodarou"/>
        </w:rPr>
        <w:footnoteReference w:id="12"/>
      </w:r>
      <w:r w:rsidR="00A9580B" w:rsidRPr="00D348A6">
        <w:t xml:space="preserve">. </w:t>
      </w:r>
      <w:r w:rsidR="00EB2EFE">
        <w:t xml:space="preserve">Agentura </w:t>
      </w:r>
      <w:proofErr w:type="spellStart"/>
      <w:r w:rsidRPr="00D348A6">
        <w:t>CzechTourism</w:t>
      </w:r>
      <w:proofErr w:type="spellEnd"/>
      <w:r w:rsidRPr="00D348A6">
        <w:t xml:space="preserve"> nezasílal</w:t>
      </w:r>
      <w:r w:rsidR="00EB2EFE">
        <w:t>a</w:t>
      </w:r>
      <w:r w:rsidRPr="00D348A6">
        <w:t xml:space="preserve"> </w:t>
      </w:r>
      <w:r w:rsidR="00A9580B" w:rsidRPr="00D348A6">
        <w:t>sml</w:t>
      </w:r>
      <w:r w:rsidRPr="00D348A6">
        <w:t>o</w:t>
      </w:r>
      <w:r w:rsidR="00A9580B" w:rsidRPr="00D348A6">
        <w:t>uv</w:t>
      </w:r>
      <w:r w:rsidRPr="00D348A6">
        <w:t>y</w:t>
      </w:r>
      <w:r w:rsidR="00A9580B" w:rsidRPr="00D348A6">
        <w:t xml:space="preserve"> a objednávk</w:t>
      </w:r>
      <w:r w:rsidRPr="00D348A6">
        <w:t>y</w:t>
      </w:r>
      <w:r w:rsidR="00A9580B" w:rsidRPr="00D348A6">
        <w:t xml:space="preserve"> do </w:t>
      </w:r>
      <w:r w:rsidR="0054038A" w:rsidRPr="00D348A6">
        <w:t>r</w:t>
      </w:r>
      <w:r w:rsidR="00A9580B" w:rsidRPr="00D348A6">
        <w:t>egistru smluv dle zákona č.</w:t>
      </w:r>
      <w:r w:rsidR="00AB226F">
        <w:t> </w:t>
      </w:r>
      <w:r w:rsidR="00A9580B" w:rsidRPr="00D348A6">
        <w:t>340/2015 Sb.</w:t>
      </w:r>
      <w:r w:rsidRPr="00D348A6">
        <w:rPr>
          <w:rStyle w:val="Znakapoznpodarou"/>
        </w:rPr>
        <w:footnoteReference w:id="13"/>
      </w:r>
      <w:r w:rsidR="00A9580B" w:rsidRPr="00D348A6">
        <w:t xml:space="preserve">. </w:t>
      </w:r>
      <w:r w:rsidR="004700D1" w:rsidRPr="0050375A">
        <w:t xml:space="preserve">Nedostatky </w:t>
      </w:r>
      <w:r w:rsidR="0054038A" w:rsidRPr="0050375A">
        <w:t>zjištěné</w:t>
      </w:r>
      <w:r w:rsidR="0054038A" w:rsidRPr="00D348A6">
        <w:t xml:space="preserve"> kontrolou </w:t>
      </w:r>
      <w:r w:rsidR="004700D1" w:rsidRPr="00D348A6">
        <w:t>u</w:t>
      </w:r>
      <w:r w:rsidR="00073FD5" w:rsidRPr="00D348A6">
        <w:t> </w:t>
      </w:r>
      <w:r w:rsidR="008E3389">
        <w:t xml:space="preserve">agentury </w:t>
      </w:r>
      <w:proofErr w:type="spellStart"/>
      <w:r w:rsidR="004700D1" w:rsidRPr="00D348A6">
        <w:t>CzechTourism</w:t>
      </w:r>
      <w:proofErr w:type="spellEnd"/>
      <w:r w:rsidR="004700D1" w:rsidRPr="00D348A6">
        <w:t xml:space="preserve"> </w:t>
      </w:r>
      <w:r w:rsidR="00234D44" w:rsidRPr="00D348A6">
        <w:t xml:space="preserve">u veřejných zakázek </w:t>
      </w:r>
      <w:r w:rsidR="004700D1" w:rsidRPr="00D348A6">
        <w:t xml:space="preserve">ve výši </w:t>
      </w:r>
      <w:r w:rsidR="00234D44" w:rsidRPr="009B3945">
        <w:t>2,97 mil</w:t>
      </w:r>
      <w:r w:rsidR="00801290" w:rsidRPr="009B3945">
        <w:t>.</w:t>
      </w:r>
      <w:r w:rsidR="00C97833">
        <w:t> </w:t>
      </w:r>
      <w:r w:rsidR="004700D1" w:rsidRPr="009B3945">
        <w:t>Kč</w:t>
      </w:r>
      <w:r w:rsidR="004A191D" w:rsidRPr="00D348A6">
        <w:t xml:space="preserve"> </w:t>
      </w:r>
      <w:r w:rsidR="002527B3">
        <w:t>vyhodnotil</w:t>
      </w:r>
      <w:r w:rsidR="002527B3" w:rsidRPr="00D348A6">
        <w:t xml:space="preserve"> </w:t>
      </w:r>
      <w:r w:rsidR="004700D1" w:rsidRPr="00D348A6">
        <w:t xml:space="preserve">NKÚ jako </w:t>
      </w:r>
      <w:r w:rsidR="002527B3">
        <w:rPr>
          <w:rFonts w:cstheme="minorHAnsi"/>
          <w:lang w:eastAsia="en-US"/>
        </w:rPr>
        <w:t xml:space="preserve">skutečnost nasvědčující porušení </w:t>
      </w:r>
      <w:r w:rsidR="004700D1" w:rsidRPr="00AA63A1">
        <w:rPr>
          <w:rFonts w:cstheme="minorHAnsi"/>
          <w:lang w:eastAsia="en-US"/>
        </w:rPr>
        <w:t>rozpočtové kázně</w:t>
      </w:r>
      <w:r w:rsidR="00953158">
        <w:rPr>
          <w:rStyle w:val="Znakapoznpodarou"/>
          <w:rFonts w:cstheme="minorHAnsi"/>
          <w:lang w:eastAsia="en-US"/>
        </w:rPr>
        <w:footnoteReference w:id="14"/>
      </w:r>
      <w:r w:rsidR="004700D1" w:rsidRPr="00AA63A1">
        <w:rPr>
          <w:rFonts w:cstheme="minorHAnsi"/>
          <w:lang w:eastAsia="en-US"/>
        </w:rPr>
        <w:t xml:space="preserve">. </w:t>
      </w:r>
      <w:r w:rsidR="0029274D" w:rsidRPr="00AA63A1">
        <w:rPr>
          <w:rFonts w:cstheme="minorHAnsi"/>
          <w:lang w:eastAsia="en-US"/>
        </w:rPr>
        <w:t>Ministerstvo neprováděním kontrol dle zákona č</w:t>
      </w:r>
      <w:r w:rsidR="0029274D" w:rsidRPr="008128FA">
        <w:rPr>
          <w:rFonts w:cstheme="minorHAnsi"/>
          <w:lang w:eastAsia="en-US"/>
        </w:rPr>
        <w:t>. 320/2001 Sb.</w:t>
      </w:r>
      <w:r w:rsidR="00F55C77" w:rsidRPr="008128FA">
        <w:rPr>
          <w:rFonts w:cstheme="minorHAnsi"/>
          <w:vertAlign w:val="superscript"/>
          <w:lang w:eastAsia="en-US"/>
        </w:rPr>
        <w:t>6</w:t>
      </w:r>
      <w:r w:rsidR="0029274D" w:rsidRPr="00AA63A1">
        <w:rPr>
          <w:rFonts w:cstheme="minorHAnsi"/>
          <w:lang w:eastAsia="en-US"/>
        </w:rPr>
        <w:t xml:space="preserve"> </w:t>
      </w:r>
      <w:r w:rsidR="001C5EA8">
        <w:rPr>
          <w:rFonts w:cstheme="minorHAnsi"/>
          <w:lang w:eastAsia="en-US"/>
        </w:rPr>
        <w:t xml:space="preserve">tyto nedostatky </w:t>
      </w:r>
      <w:r w:rsidR="00973B7C" w:rsidRPr="00AA63A1">
        <w:rPr>
          <w:rFonts w:cstheme="minorHAnsi"/>
          <w:lang w:eastAsia="en-US"/>
        </w:rPr>
        <w:t xml:space="preserve">v oblasti veřejných zakázek </w:t>
      </w:r>
      <w:r w:rsidR="00C56359">
        <w:rPr>
          <w:rFonts w:cstheme="minorHAnsi"/>
          <w:lang w:eastAsia="en-US"/>
        </w:rPr>
        <w:t xml:space="preserve">nezjistilo </w:t>
      </w:r>
      <w:r w:rsidR="00973B7C" w:rsidRPr="00AA63A1">
        <w:rPr>
          <w:bCs/>
        </w:rPr>
        <w:t>(viz též část</w:t>
      </w:r>
      <w:r w:rsidR="008E3389">
        <w:rPr>
          <w:bCs/>
        </w:rPr>
        <w:t>i</w:t>
      </w:r>
      <w:r w:rsidR="00973B7C" w:rsidRPr="00AA63A1">
        <w:rPr>
          <w:bCs/>
        </w:rPr>
        <w:t xml:space="preserve"> IV.</w:t>
      </w:r>
      <w:r w:rsidR="00BC3547" w:rsidRPr="00AA63A1">
        <w:rPr>
          <w:bCs/>
        </w:rPr>
        <w:t>2 a IV.3</w:t>
      </w:r>
      <w:r w:rsidR="008E3389">
        <w:rPr>
          <w:bCs/>
        </w:rPr>
        <w:t xml:space="preserve"> tohoto kontrolního závěru</w:t>
      </w:r>
      <w:r w:rsidR="00973B7C" w:rsidRPr="00AA63A1">
        <w:rPr>
          <w:bCs/>
        </w:rPr>
        <w:t>).</w:t>
      </w:r>
    </w:p>
    <w:p w14:paraId="5D2F795A" w14:textId="77777777" w:rsidR="004E31D6" w:rsidRPr="008124D7" w:rsidRDefault="00EC4C55" w:rsidP="00181F12">
      <w:pPr>
        <w:pStyle w:val="Nadpis1"/>
        <w:spacing w:before="600" w:after="240"/>
        <w:jc w:val="center"/>
      </w:pPr>
      <w:r w:rsidRPr="008124D7">
        <w:t xml:space="preserve">II. </w:t>
      </w:r>
      <w:r w:rsidR="00D932E3" w:rsidRPr="008124D7">
        <w:t>Informace o kontrolované oblasti</w:t>
      </w:r>
    </w:p>
    <w:p w14:paraId="014F6696" w14:textId="45150FEA" w:rsidR="00640AAE" w:rsidRDefault="00640AAE" w:rsidP="00DA5BAB">
      <w:pPr>
        <w:jc w:val="both"/>
      </w:pPr>
      <w:bookmarkStart w:id="1" w:name="_Toc34902460"/>
      <w:bookmarkStart w:id="2" w:name="_Toc35593592"/>
      <w:bookmarkStart w:id="3" w:name="_Toc35595329"/>
      <w:bookmarkStart w:id="4" w:name="_Toc35596885"/>
      <w:bookmarkStart w:id="5" w:name="_Toc35600452"/>
      <w:bookmarkStart w:id="6" w:name="_Toc35605115"/>
      <w:bookmarkStart w:id="7" w:name="_Toc35607621"/>
      <w:bookmarkStart w:id="8" w:name="_Toc35615153"/>
      <w:bookmarkStart w:id="9" w:name="_Toc35615366"/>
      <w:bookmarkStart w:id="10" w:name="_Toc38570433"/>
      <w:r>
        <w:rPr>
          <w:rFonts w:ascii="Calibri" w:hAnsi="Calibri"/>
          <w:color w:val="000000"/>
        </w:rPr>
        <w:t xml:space="preserve">Ministerstvo pro místní rozvoj je dle </w:t>
      </w:r>
      <w:r w:rsidR="0034728F">
        <w:rPr>
          <w:rFonts w:ascii="Calibri" w:hAnsi="Calibri"/>
          <w:color w:val="000000"/>
        </w:rPr>
        <w:t xml:space="preserve">ustanovení </w:t>
      </w:r>
      <w:r>
        <w:rPr>
          <w:rFonts w:ascii="Calibri" w:hAnsi="Calibri"/>
          <w:color w:val="000000"/>
        </w:rPr>
        <w:t>§ 14 zákona č. 2/1969 Sb.</w:t>
      </w:r>
      <w:r>
        <w:rPr>
          <w:rStyle w:val="Znakapoznpodarou"/>
          <w:rFonts w:ascii="Calibri" w:hAnsi="Calibri"/>
          <w:color w:val="000000"/>
        </w:rPr>
        <w:footnoteReference w:id="15"/>
      </w:r>
      <w:r>
        <w:rPr>
          <w:rFonts w:ascii="Calibri" w:hAnsi="Calibri"/>
          <w:color w:val="000000"/>
        </w:rPr>
        <w:t xml:space="preserve"> ústředním orgánem státní správy, do jehož působnosti spadá </w:t>
      </w:r>
      <w:r>
        <w:t>několik</w:t>
      </w:r>
      <w:r w:rsidR="00CB34C7">
        <w:t xml:space="preserve"> </w:t>
      </w:r>
      <w:r>
        <w:t>přímo</w:t>
      </w:r>
      <w:r w:rsidRPr="0001407E">
        <w:t xml:space="preserve"> nebo </w:t>
      </w:r>
      <w:r>
        <w:t>nepřímo řízených</w:t>
      </w:r>
      <w:r w:rsidRPr="0001407E">
        <w:t xml:space="preserve"> organizací</w:t>
      </w:r>
      <w:r>
        <w:t xml:space="preserve">, jejichž přehled je uveden v následující tabulce. </w:t>
      </w:r>
    </w:p>
    <w:p w14:paraId="5E1F49C1" w14:textId="6ED0FB3B" w:rsidR="00640AAE" w:rsidRPr="00181F12" w:rsidRDefault="00640AAE" w:rsidP="00181F12">
      <w:pPr>
        <w:pStyle w:val="Titulek"/>
        <w:keepNext/>
        <w:keepLines/>
        <w:spacing w:after="40"/>
        <w:rPr>
          <w:rFonts w:asciiTheme="minorHAnsi" w:hAnsiTheme="minorHAnsi" w:cstheme="minorHAnsi"/>
          <w:b/>
          <w:i w:val="0"/>
          <w:color w:val="auto"/>
          <w:sz w:val="24"/>
          <w:szCs w:val="24"/>
        </w:rPr>
      </w:pPr>
      <w:r w:rsidRPr="00181F12">
        <w:rPr>
          <w:rFonts w:asciiTheme="minorHAnsi" w:hAnsiTheme="minorHAnsi" w:cstheme="minorHAnsi"/>
          <w:b/>
          <w:i w:val="0"/>
          <w:color w:val="auto"/>
          <w:sz w:val="24"/>
          <w:szCs w:val="24"/>
        </w:rPr>
        <w:t xml:space="preserve">Tabulka </w:t>
      </w:r>
      <w:r w:rsidRPr="00181F12">
        <w:rPr>
          <w:rFonts w:asciiTheme="minorHAnsi" w:hAnsiTheme="minorHAnsi" w:cstheme="minorHAnsi"/>
          <w:b/>
          <w:i w:val="0"/>
          <w:color w:val="auto"/>
          <w:sz w:val="24"/>
          <w:szCs w:val="24"/>
        </w:rPr>
        <w:fldChar w:fldCharType="begin"/>
      </w:r>
      <w:r w:rsidRPr="00181F12">
        <w:rPr>
          <w:rFonts w:asciiTheme="minorHAnsi" w:hAnsiTheme="minorHAnsi" w:cstheme="minorHAnsi"/>
          <w:b/>
          <w:i w:val="0"/>
          <w:color w:val="auto"/>
          <w:sz w:val="24"/>
          <w:szCs w:val="24"/>
        </w:rPr>
        <w:instrText xml:space="preserve"> SEQ Tabulka \* ARABIC </w:instrText>
      </w:r>
      <w:r w:rsidRPr="00181F12">
        <w:rPr>
          <w:rFonts w:asciiTheme="minorHAnsi" w:hAnsiTheme="minorHAnsi" w:cstheme="minorHAnsi"/>
          <w:b/>
          <w:i w:val="0"/>
          <w:color w:val="auto"/>
          <w:sz w:val="24"/>
          <w:szCs w:val="24"/>
        </w:rPr>
        <w:fldChar w:fldCharType="separate"/>
      </w:r>
      <w:r w:rsidR="00621F68">
        <w:rPr>
          <w:rFonts w:asciiTheme="minorHAnsi" w:hAnsiTheme="minorHAnsi" w:cstheme="minorHAnsi"/>
          <w:b/>
          <w:i w:val="0"/>
          <w:noProof/>
          <w:color w:val="auto"/>
          <w:sz w:val="24"/>
          <w:szCs w:val="24"/>
        </w:rPr>
        <w:t>1</w:t>
      </w:r>
      <w:r w:rsidRPr="00181F12">
        <w:rPr>
          <w:rFonts w:asciiTheme="minorHAnsi" w:hAnsiTheme="minorHAnsi" w:cstheme="minorHAnsi"/>
          <w:b/>
          <w:i w:val="0"/>
          <w:color w:val="auto"/>
          <w:sz w:val="24"/>
          <w:szCs w:val="24"/>
        </w:rPr>
        <w:fldChar w:fldCharType="end"/>
      </w:r>
      <w:r w:rsidR="00CB34C7">
        <w:rPr>
          <w:rFonts w:asciiTheme="minorHAnsi" w:hAnsiTheme="minorHAnsi" w:cstheme="minorHAnsi"/>
          <w:b/>
          <w:i w:val="0"/>
          <w:color w:val="auto"/>
          <w:sz w:val="24"/>
          <w:szCs w:val="24"/>
        </w:rPr>
        <w:t>:</w:t>
      </w:r>
      <w:r w:rsidRPr="00181F12">
        <w:rPr>
          <w:rFonts w:asciiTheme="minorHAnsi" w:hAnsiTheme="minorHAnsi" w:cstheme="minorHAnsi"/>
          <w:b/>
          <w:i w:val="0"/>
          <w:color w:val="auto"/>
          <w:sz w:val="24"/>
          <w:szCs w:val="24"/>
        </w:rPr>
        <w:t xml:space="preserve"> Přehled přímo a nepřímo řízených organizací MMR</w:t>
      </w:r>
    </w:p>
    <w:tbl>
      <w:tblPr>
        <w:tblStyle w:val="Mkatabulky"/>
        <w:tblW w:w="0" w:type="auto"/>
        <w:tblLook w:val="04A0" w:firstRow="1" w:lastRow="0" w:firstColumn="1" w:lastColumn="0" w:noHBand="0" w:noVBand="1"/>
      </w:tblPr>
      <w:tblGrid>
        <w:gridCol w:w="4390"/>
        <w:gridCol w:w="4673"/>
      </w:tblGrid>
      <w:tr w:rsidR="00640AAE" w:rsidRPr="00181F12" w14:paraId="019C991F" w14:textId="77777777" w:rsidTr="00181F12">
        <w:trPr>
          <w:trHeight w:val="255"/>
        </w:trPr>
        <w:tc>
          <w:tcPr>
            <w:tcW w:w="4390" w:type="dxa"/>
            <w:vAlign w:val="center"/>
          </w:tcPr>
          <w:p w14:paraId="715D52F8" w14:textId="77777777" w:rsidR="00640AAE" w:rsidRPr="00181F12" w:rsidRDefault="00640AAE" w:rsidP="00D91EAB">
            <w:pPr>
              <w:keepNext/>
              <w:keepLines/>
              <w:spacing w:after="0"/>
              <w:rPr>
                <w:rFonts w:ascii="Calibri" w:hAnsi="Calibri" w:cs="Calibri"/>
                <w:b/>
                <w:sz w:val="20"/>
                <w:szCs w:val="20"/>
              </w:rPr>
            </w:pPr>
            <w:r w:rsidRPr="00181F12">
              <w:rPr>
                <w:rFonts w:ascii="Calibri" w:hAnsi="Calibri" w:cs="Calibri"/>
                <w:b/>
                <w:sz w:val="20"/>
                <w:szCs w:val="20"/>
              </w:rPr>
              <w:t>Přímo řízené organizace</w:t>
            </w:r>
          </w:p>
        </w:tc>
        <w:tc>
          <w:tcPr>
            <w:tcW w:w="4673" w:type="dxa"/>
            <w:vAlign w:val="center"/>
          </w:tcPr>
          <w:p w14:paraId="2444E1F1" w14:textId="77777777" w:rsidR="00640AAE" w:rsidRPr="00181F12" w:rsidRDefault="00640AAE" w:rsidP="00D91EAB">
            <w:pPr>
              <w:keepNext/>
              <w:keepLines/>
              <w:spacing w:after="0"/>
              <w:rPr>
                <w:rFonts w:ascii="Calibri" w:hAnsi="Calibri" w:cs="Calibri"/>
                <w:b/>
                <w:sz w:val="20"/>
                <w:szCs w:val="20"/>
              </w:rPr>
            </w:pPr>
            <w:r w:rsidRPr="00181F12">
              <w:rPr>
                <w:rFonts w:ascii="Calibri" w:hAnsi="Calibri" w:cs="Calibri"/>
                <w:b/>
                <w:sz w:val="20"/>
                <w:szCs w:val="20"/>
              </w:rPr>
              <w:t>Nepřímo řízené organizace</w:t>
            </w:r>
          </w:p>
        </w:tc>
      </w:tr>
      <w:tr w:rsidR="00640AAE" w:rsidRPr="00181F12" w14:paraId="7914E35B" w14:textId="77777777" w:rsidTr="00181F12">
        <w:trPr>
          <w:trHeight w:val="255"/>
        </w:trPr>
        <w:tc>
          <w:tcPr>
            <w:tcW w:w="4390" w:type="dxa"/>
            <w:vAlign w:val="center"/>
          </w:tcPr>
          <w:p w14:paraId="6FAAE112" w14:textId="77777777" w:rsidR="00640AAE" w:rsidRPr="00181F12" w:rsidRDefault="00640AAE" w:rsidP="00D91EAB">
            <w:pPr>
              <w:keepNext/>
              <w:keepLines/>
              <w:spacing w:after="0"/>
              <w:rPr>
                <w:rFonts w:ascii="Calibri" w:hAnsi="Calibri" w:cs="Calibri"/>
                <w:sz w:val="20"/>
                <w:szCs w:val="20"/>
              </w:rPr>
            </w:pPr>
            <w:r w:rsidRPr="00181F12">
              <w:rPr>
                <w:rFonts w:ascii="Calibri" w:hAnsi="Calibri" w:cs="Calibri"/>
                <w:sz w:val="20"/>
                <w:szCs w:val="20"/>
              </w:rPr>
              <w:t xml:space="preserve">Centrum </w:t>
            </w:r>
            <w:r w:rsidR="00A3191D" w:rsidRPr="00181F12">
              <w:rPr>
                <w:rFonts w:ascii="Calibri" w:hAnsi="Calibri" w:cs="Calibri"/>
                <w:sz w:val="20"/>
                <w:szCs w:val="20"/>
              </w:rPr>
              <w:t>pro regionální rozvoj České</w:t>
            </w:r>
            <w:r w:rsidR="00033AD1" w:rsidRPr="00181F12">
              <w:rPr>
                <w:rFonts w:ascii="Calibri" w:hAnsi="Calibri" w:cs="Calibri"/>
                <w:sz w:val="20"/>
                <w:szCs w:val="20"/>
              </w:rPr>
              <w:t xml:space="preserve"> republiky</w:t>
            </w:r>
          </w:p>
        </w:tc>
        <w:tc>
          <w:tcPr>
            <w:tcW w:w="4673" w:type="dxa"/>
            <w:vAlign w:val="center"/>
          </w:tcPr>
          <w:p w14:paraId="09897331" w14:textId="77777777" w:rsidR="00640AAE" w:rsidRPr="00181F12" w:rsidRDefault="00640AAE" w:rsidP="00D91EAB">
            <w:pPr>
              <w:keepNext/>
              <w:keepLines/>
              <w:spacing w:after="0"/>
              <w:rPr>
                <w:rFonts w:ascii="Calibri" w:hAnsi="Calibri" w:cs="Calibri"/>
                <w:sz w:val="20"/>
                <w:szCs w:val="20"/>
              </w:rPr>
            </w:pPr>
            <w:r w:rsidRPr="00181F12">
              <w:rPr>
                <w:rFonts w:ascii="Calibri" w:hAnsi="Calibri" w:cs="Calibri"/>
                <w:sz w:val="20"/>
                <w:szCs w:val="20"/>
              </w:rPr>
              <w:t xml:space="preserve">Horská služba ČR, o.p.s. </w:t>
            </w:r>
          </w:p>
        </w:tc>
      </w:tr>
      <w:tr w:rsidR="00640AAE" w:rsidRPr="00181F12" w14:paraId="0C5EFCF6" w14:textId="77777777" w:rsidTr="00181F12">
        <w:trPr>
          <w:trHeight w:val="255"/>
        </w:trPr>
        <w:tc>
          <w:tcPr>
            <w:tcW w:w="4390" w:type="dxa"/>
            <w:vAlign w:val="center"/>
          </w:tcPr>
          <w:p w14:paraId="316321FB" w14:textId="77777777" w:rsidR="00640AAE" w:rsidRPr="00181F12" w:rsidRDefault="00640AAE" w:rsidP="00D91EAB">
            <w:pPr>
              <w:keepNext/>
              <w:keepLines/>
              <w:spacing w:after="0"/>
              <w:rPr>
                <w:rFonts w:ascii="Calibri" w:hAnsi="Calibri" w:cs="Calibri"/>
                <w:sz w:val="20"/>
                <w:szCs w:val="20"/>
              </w:rPr>
            </w:pPr>
            <w:r w:rsidRPr="00181F12">
              <w:rPr>
                <w:rFonts w:ascii="Calibri" w:hAnsi="Calibri" w:cs="Calibri"/>
                <w:sz w:val="20"/>
                <w:szCs w:val="20"/>
              </w:rPr>
              <w:t xml:space="preserve">Česká centrála cestovního ruchu – </w:t>
            </w:r>
            <w:proofErr w:type="spellStart"/>
            <w:r w:rsidRPr="00181F12">
              <w:rPr>
                <w:rFonts w:ascii="Calibri" w:hAnsi="Calibri" w:cs="Calibri"/>
                <w:sz w:val="20"/>
                <w:szCs w:val="20"/>
              </w:rPr>
              <w:t>CzechTourism</w:t>
            </w:r>
            <w:proofErr w:type="spellEnd"/>
          </w:p>
        </w:tc>
        <w:tc>
          <w:tcPr>
            <w:tcW w:w="4673" w:type="dxa"/>
            <w:vAlign w:val="center"/>
          </w:tcPr>
          <w:p w14:paraId="431B60D7" w14:textId="77777777" w:rsidR="00640AAE" w:rsidRPr="00181F12" w:rsidRDefault="00640AAE" w:rsidP="00D91EAB">
            <w:pPr>
              <w:keepNext/>
              <w:keepLines/>
              <w:spacing w:after="0"/>
              <w:rPr>
                <w:rFonts w:ascii="Calibri" w:hAnsi="Calibri" w:cs="Calibri"/>
                <w:sz w:val="20"/>
                <w:szCs w:val="20"/>
              </w:rPr>
            </w:pPr>
            <w:r w:rsidRPr="00181F12">
              <w:rPr>
                <w:rFonts w:ascii="Calibri" w:hAnsi="Calibri" w:cs="Calibri"/>
                <w:sz w:val="20"/>
                <w:szCs w:val="20"/>
              </w:rPr>
              <w:t xml:space="preserve">Státní fond podpory investic </w:t>
            </w:r>
          </w:p>
        </w:tc>
      </w:tr>
      <w:tr w:rsidR="00640AAE" w:rsidRPr="00181F12" w14:paraId="68551322" w14:textId="77777777" w:rsidTr="00181F12">
        <w:trPr>
          <w:trHeight w:val="255"/>
        </w:trPr>
        <w:tc>
          <w:tcPr>
            <w:tcW w:w="4390" w:type="dxa"/>
            <w:vAlign w:val="center"/>
          </w:tcPr>
          <w:p w14:paraId="331B2F93" w14:textId="77777777" w:rsidR="00640AAE" w:rsidRPr="00181F12" w:rsidRDefault="00640AAE" w:rsidP="00D91EAB">
            <w:pPr>
              <w:keepNext/>
              <w:keepLines/>
              <w:spacing w:after="0"/>
              <w:rPr>
                <w:rFonts w:ascii="Calibri" w:hAnsi="Calibri" w:cs="Calibri"/>
                <w:sz w:val="20"/>
                <w:szCs w:val="20"/>
              </w:rPr>
            </w:pPr>
            <w:r w:rsidRPr="00181F12">
              <w:rPr>
                <w:rFonts w:ascii="Calibri" w:hAnsi="Calibri" w:cs="Calibri"/>
                <w:sz w:val="20"/>
                <w:szCs w:val="20"/>
              </w:rPr>
              <w:t xml:space="preserve">Ústav územního rozvoje </w:t>
            </w:r>
          </w:p>
        </w:tc>
        <w:tc>
          <w:tcPr>
            <w:tcW w:w="4673" w:type="dxa"/>
            <w:vAlign w:val="center"/>
          </w:tcPr>
          <w:p w14:paraId="34FCFBCF" w14:textId="77777777" w:rsidR="00640AAE" w:rsidRPr="00181F12" w:rsidRDefault="00640AAE" w:rsidP="00D91EAB">
            <w:pPr>
              <w:keepNext/>
              <w:keepLines/>
              <w:spacing w:after="0"/>
              <w:rPr>
                <w:rFonts w:ascii="Calibri" w:hAnsi="Calibri" w:cs="Calibri"/>
                <w:sz w:val="20"/>
                <w:szCs w:val="20"/>
              </w:rPr>
            </w:pPr>
            <w:r w:rsidRPr="00181F12">
              <w:rPr>
                <w:rFonts w:ascii="Calibri" w:hAnsi="Calibri" w:cs="Calibri"/>
                <w:sz w:val="20"/>
                <w:szCs w:val="20"/>
              </w:rPr>
              <w:t>Českomoravská záruční a rozvojová banka, a.s.</w:t>
            </w:r>
            <w:r w:rsidRPr="00181F12">
              <w:rPr>
                <w:rStyle w:val="Znakapoznpodarou"/>
                <w:rFonts w:ascii="Calibri" w:hAnsi="Calibri" w:cs="Calibri"/>
                <w:sz w:val="20"/>
                <w:szCs w:val="20"/>
              </w:rPr>
              <w:footnoteReference w:id="16"/>
            </w:r>
            <w:r w:rsidRPr="00181F12">
              <w:rPr>
                <w:rFonts w:ascii="Calibri" w:hAnsi="Calibri" w:cs="Calibri"/>
                <w:sz w:val="20"/>
                <w:szCs w:val="20"/>
              </w:rPr>
              <w:t xml:space="preserve"> </w:t>
            </w:r>
          </w:p>
        </w:tc>
      </w:tr>
      <w:tr w:rsidR="00640AAE" w:rsidRPr="00181F12" w14:paraId="3D519F96" w14:textId="77777777" w:rsidTr="00181F12">
        <w:trPr>
          <w:trHeight w:val="255"/>
        </w:trPr>
        <w:tc>
          <w:tcPr>
            <w:tcW w:w="4390" w:type="dxa"/>
            <w:vAlign w:val="center"/>
          </w:tcPr>
          <w:p w14:paraId="22CBDE83" w14:textId="77777777" w:rsidR="00640AAE" w:rsidRPr="00181F12" w:rsidRDefault="00640AAE" w:rsidP="00D91EAB">
            <w:pPr>
              <w:keepNext/>
              <w:keepLines/>
              <w:spacing w:after="0"/>
              <w:rPr>
                <w:rFonts w:ascii="Calibri" w:hAnsi="Calibri" w:cs="Calibri"/>
                <w:sz w:val="20"/>
                <w:szCs w:val="20"/>
              </w:rPr>
            </w:pPr>
            <w:proofErr w:type="spellStart"/>
            <w:r w:rsidRPr="00181F12">
              <w:rPr>
                <w:rFonts w:ascii="Calibri" w:hAnsi="Calibri" w:cs="Calibri"/>
                <w:sz w:val="20"/>
                <w:szCs w:val="20"/>
              </w:rPr>
              <w:t>Privum</w:t>
            </w:r>
            <w:proofErr w:type="spellEnd"/>
          </w:p>
        </w:tc>
        <w:tc>
          <w:tcPr>
            <w:tcW w:w="4673" w:type="dxa"/>
            <w:vAlign w:val="center"/>
          </w:tcPr>
          <w:p w14:paraId="0224154B" w14:textId="77777777" w:rsidR="00640AAE" w:rsidRPr="00181F12" w:rsidRDefault="00640AAE" w:rsidP="00D91EAB">
            <w:pPr>
              <w:keepNext/>
              <w:keepLines/>
              <w:spacing w:after="0"/>
              <w:rPr>
                <w:rFonts w:ascii="Calibri" w:hAnsi="Calibri" w:cs="Calibri"/>
                <w:sz w:val="20"/>
                <w:szCs w:val="20"/>
              </w:rPr>
            </w:pPr>
          </w:p>
        </w:tc>
      </w:tr>
    </w:tbl>
    <w:p w14:paraId="7F63FFF4" w14:textId="1212A956" w:rsidR="00640AAE" w:rsidRPr="00181F12" w:rsidRDefault="00640AAE" w:rsidP="00181F12">
      <w:pPr>
        <w:spacing w:before="40"/>
        <w:rPr>
          <w:sz w:val="20"/>
          <w:szCs w:val="18"/>
        </w:rPr>
      </w:pPr>
      <w:r w:rsidRPr="00181F12">
        <w:rPr>
          <w:b/>
          <w:sz w:val="20"/>
          <w:szCs w:val="18"/>
        </w:rPr>
        <w:t>Zdroj:</w:t>
      </w:r>
      <w:r w:rsidRPr="00181F12">
        <w:rPr>
          <w:sz w:val="20"/>
          <w:szCs w:val="18"/>
        </w:rPr>
        <w:t xml:space="preserve"> </w:t>
      </w:r>
      <w:r w:rsidR="008E3389">
        <w:rPr>
          <w:sz w:val="20"/>
          <w:szCs w:val="18"/>
        </w:rPr>
        <w:t>vypracoval</w:t>
      </w:r>
      <w:r w:rsidRPr="00181F12">
        <w:rPr>
          <w:sz w:val="20"/>
          <w:szCs w:val="18"/>
        </w:rPr>
        <w:t xml:space="preserve"> NKÚ. </w:t>
      </w:r>
      <w:r w:rsidRPr="00181F12">
        <w:rPr>
          <w:rStyle w:val="Hypertextovodkaz"/>
          <w:sz w:val="20"/>
          <w:szCs w:val="18"/>
        </w:rPr>
        <w:t xml:space="preserve"> </w:t>
      </w:r>
    </w:p>
    <w:p w14:paraId="3A5F28E7" w14:textId="4761A943" w:rsidR="00364198" w:rsidRPr="00364198" w:rsidRDefault="00014779" w:rsidP="00364198">
      <w:pPr>
        <w:pStyle w:val="Normlnweb"/>
        <w:shd w:val="clear" w:color="auto" w:fill="FFFFFF"/>
        <w:spacing w:before="0" w:beforeAutospacing="0" w:after="120" w:afterAutospacing="0"/>
        <w:jc w:val="both"/>
        <w:rPr>
          <w:rFonts w:asciiTheme="minorHAnsi" w:hAnsiTheme="minorHAnsi" w:cstheme="minorHAnsi"/>
        </w:rPr>
      </w:pPr>
      <w:r>
        <w:rPr>
          <w:rStyle w:val="Siln"/>
          <w:rFonts w:asciiTheme="minorHAnsi" w:hAnsiTheme="minorHAnsi" w:cstheme="minorHAnsi"/>
          <w:b w:val="0"/>
        </w:rPr>
        <w:t xml:space="preserve">NKÚ </w:t>
      </w:r>
      <w:r w:rsidR="00321FE2">
        <w:rPr>
          <w:rStyle w:val="Siln"/>
          <w:rFonts w:asciiTheme="minorHAnsi" w:hAnsiTheme="minorHAnsi" w:cstheme="minorHAnsi"/>
          <w:b w:val="0"/>
        </w:rPr>
        <w:t xml:space="preserve">provedl kontrolu u dvou </w:t>
      </w:r>
      <w:r w:rsidR="002A1434">
        <w:rPr>
          <w:rStyle w:val="Siln"/>
          <w:rFonts w:asciiTheme="minorHAnsi" w:hAnsiTheme="minorHAnsi" w:cstheme="minorHAnsi"/>
          <w:b w:val="0"/>
        </w:rPr>
        <w:t xml:space="preserve">přímo řízených </w:t>
      </w:r>
      <w:r w:rsidR="00E56BCE">
        <w:rPr>
          <w:rStyle w:val="Siln"/>
          <w:rFonts w:asciiTheme="minorHAnsi" w:hAnsiTheme="minorHAnsi" w:cstheme="minorHAnsi"/>
          <w:b w:val="0"/>
        </w:rPr>
        <w:t>organizací</w:t>
      </w:r>
      <w:r w:rsidR="00321FE2">
        <w:rPr>
          <w:rStyle w:val="Siln"/>
          <w:rFonts w:asciiTheme="minorHAnsi" w:hAnsiTheme="minorHAnsi" w:cstheme="minorHAnsi"/>
          <w:b w:val="0"/>
        </w:rPr>
        <w:t xml:space="preserve"> </w:t>
      </w:r>
      <w:r w:rsidR="003F0AF3">
        <w:rPr>
          <w:rStyle w:val="Siln"/>
          <w:rFonts w:asciiTheme="minorHAnsi" w:hAnsiTheme="minorHAnsi" w:cstheme="minorHAnsi"/>
          <w:b w:val="0"/>
        </w:rPr>
        <w:t xml:space="preserve">(Centrum a </w:t>
      </w:r>
      <w:proofErr w:type="spellStart"/>
      <w:r w:rsidR="003F0AF3">
        <w:rPr>
          <w:rStyle w:val="Siln"/>
          <w:rFonts w:asciiTheme="minorHAnsi" w:hAnsiTheme="minorHAnsi" w:cstheme="minorHAnsi"/>
          <w:b w:val="0"/>
        </w:rPr>
        <w:t>Czech</w:t>
      </w:r>
      <w:r w:rsidR="00364198">
        <w:rPr>
          <w:rStyle w:val="Siln"/>
          <w:rFonts w:asciiTheme="minorHAnsi" w:hAnsiTheme="minorHAnsi" w:cstheme="minorHAnsi"/>
          <w:b w:val="0"/>
        </w:rPr>
        <w:t>T</w:t>
      </w:r>
      <w:r w:rsidR="003F0AF3">
        <w:rPr>
          <w:rStyle w:val="Siln"/>
          <w:rFonts w:asciiTheme="minorHAnsi" w:hAnsiTheme="minorHAnsi" w:cstheme="minorHAnsi"/>
          <w:b w:val="0"/>
        </w:rPr>
        <w:t>ourism</w:t>
      </w:r>
      <w:proofErr w:type="spellEnd"/>
      <w:r w:rsidR="003F0AF3">
        <w:rPr>
          <w:rStyle w:val="Siln"/>
          <w:rFonts w:asciiTheme="minorHAnsi" w:hAnsiTheme="minorHAnsi" w:cstheme="minorHAnsi"/>
          <w:b w:val="0"/>
        </w:rPr>
        <w:t xml:space="preserve">) </w:t>
      </w:r>
      <w:r w:rsidR="00321FE2">
        <w:rPr>
          <w:rStyle w:val="Siln"/>
          <w:rFonts w:asciiTheme="minorHAnsi" w:hAnsiTheme="minorHAnsi" w:cstheme="minorHAnsi"/>
          <w:b w:val="0"/>
        </w:rPr>
        <w:t>a jedné nepřímo řízené</w:t>
      </w:r>
      <w:r w:rsidR="0084236D">
        <w:rPr>
          <w:rStyle w:val="Siln"/>
          <w:rFonts w:asciiTheme="minorHAnsi" w:hAnsiTheme="minorHAnsi" w:cstheme="minorHAnsi"/>
          <w:b w:val="0"/>
        </w:rPr>
        <w:t xml:space="preserve"> organizace (Horská služba). </w:t>
      </w:r>
      <w:r w:rsidR="00364198" w:rsidRPr="00364198">
        <w:rPr>
          <w:rFonts w:asciiTheme="minorHAnsi" w:hAnsiTheme="minorHAnsi" w:cstheme="minorHAnsi"/>
        </w:rPr>
        <w:t>Přehled dotací a příspěvků, které MMR poskytlo těmto organizacím, je uveden v tabulce č. 2.</w:t>
      </w:r>
    </w:p>
    <w:p w14:paraId="6FB10A18" w14:textId="278C5E1E" w:rsidR="00A06C3B" w:rsidRPr="003F1EDB" w:rsidRDefault="00A06C3B" w:rsidP="003F1EDB">
      <w:pPr>
        <w:pStyle w:val="Normlnweb"/>
        <w:keepNext/>
        <w:keepLines/>
        <w:shd w:val="clear" w:color="auto" w:fill="FFFFFF"/>
        <w:tabs>
          <w:tab w:val="right" w:pos="9072"/>
        </w:tabs>
        <w:spacing w:before="0" w:beforeAutospacing="0" w:after="40" w:afterAutospacing="0"/>
        <w:ind w:left="1134" w:hanging="1134"/>
        <w:jc w:val="both"/>
        <w:rPr>
          <w:rFonts w:asciiTheme="minorHAnsi" w:hAnsiTheme="minorHAnsi" w:cstheme="minorHAnsi"/>
          <w:b/>
          <w:i/>
        </w:rPr>
      </w:pPr>
      <w:r w:rsidRPr="003F1EDB">
        <w:rPr>
          <w:rFonts w:asciiTheme="minorHAnsi" w:hAnsiTheme="minorHAnsi" w:cstheme="minorHAnsi"/>
          <w:b/>
        </w:rPr>
        <w:lastRenderedPageBreak/>
        <w:t xml:space="preserve">Tabulka </w:t>
      </w:r>
      <w:r w:rsidRPr="003F1EDB">
        <w:rPr>
          <w:rFonts w:asciiTheme="minorHAnsi" w:hAnsiTheme="minorHAnsi" w:cstheme="minorHAnsi"/>
          <w:b/>
          <w:i/>
        </w:rPr>
        <w:fldChar w:fldCharType="begin"/>
      </w:r>
      <w:r w:rsidRPr="003F1EDB">
        <w:rPr>
          <w:rFonts w:asciiTheme="minorHAnsi" w:hAnsiTheme="minorHAnsi" w:cstheme="minorHAnsi"/>
          <w:b/>
        </w:rPr>
        <w:instrText xml:space="preserve"> SEQ Tabulka \* ARABIC </w:instrText>
      </w:r>
      <w:r w:rsidRPr="003F1EDB">
        <w:rPr>
          <w:rFonts w:asciiTheme="minorHAnsi" w:hAnsiTheme="minorHAnsi" w:cstheme="minorHAnsi"/>
          <w:b/>
          <w:i/>
        </w:rPr>
        <w:fldChar w:fldCharType="separate"/>
      </w:r>
      <w:r w:rsidR="00621F68">
        <w:rPr>
          <w:rFonts w:asciiTheme="minorHAnsi" w:hAnsiTheme="minorHAnsi" w:cstheme="minorHAnsi"/>
          <w:b/>
          <w:noProof/>
        </w:rPr>
        <w:t>2</w:t>
      </w:r>
      <w:r w:rsidRPr="003F1EDB">
        <w:rPr>
          <w:rFonts w:asciiTheme="minorHAnsi" w:hAnsiTheme="minorHAnsi" w:cstheme="minorHAnsi"/>
          <w:b/>
          <w:i/>
        </w:rPr>
        <w:fldChar w:fldCharType="end"/>
      </w:r>
      <w:r w:rsidRPr="003F1EDB">
        <w:rPr>
          <w:rFonts w:asciiTheme="minorHAnsi" w:hAnsiTheme="minorHAnsi" w:cstheme="minorHAnsi"/>
          <w:b/>
        </w:rPr>
        <w:t>: Přehled dotací</w:t>
      </w:r>
      <w:r w:rsidR="00913A69" w:rsidRPr="003F1EDB">
        <w:rPr>
          <w:rFonts w:asciiTheme="minorHAnsi" w:hAnsiTheme="minorHAnsi" w:cstheme="minorHAnsi"/>
          <w:b/>
        </w:rPr>
        <w:t xml:space="preserve"> a </w:t>
      </w:r>
      <w:r w:rsidRPr="003F1EDB">
        <w:rPr>
          <w:rFonts w:asciiTheme="minorHAnsi" w:hAnsiTheme="minorHAnsi" w:cstheme="minorHAnsi"/>
          <w:b/>
        </w:rPr>
        <w:t>příspěvků poskytnutý</w:t>
      </w:r>
      <w:r w:rsidR="00A3191D" w:rsidRPr="003F1EDB">
        <w:rPr>
          <w:rFonts w:asciiTheme="minorHAnsi" w:hAnsiTheme="minorHAnsi" w:cstheme="minorHAnsi"/>
          <w:b/>
        </w:rPr>
        <w:t>ch</w:t>
      </w:r>
      <w:r w:rsidRPr="003F1EDB">
        <w:rPr>
          <w:rFonts w:asciiTheme="minorHAnsi" w:hAnsiTheme="minorHAnsi" w:cstheme="minorHAnsi"/>
          <w:b/>
        </w:rPr>
        <w:t xml:space="preserve"> vybraným organizacím v působnosti MMR </w:t>
      </w:r>
      <w:r w:rsidR="00E32F84">
        <w:rPr>
          <w:rFonts w:asciiTheme="minorHAnsi" w:hAnsiTheme="minorHAnsi" w:cstheme="minorHAnsi"/>
          <w:b/>
        </w:rPr>
        <w:tab/>
        <w:t>(</w:t>
      </w:r>
      <w:r w:rsidRPr="003F1EDB">
        <w:rPr>
          <w:rFonts w:asciiTheme="minorHAnsi" w:hAnsiTheme="minorHAnsi" w:cstheme="minorHAnsi"/>
          <w:b/>
        </w:rPr>
        <w:t>v Kč</w:t>
      </w:r>
      <w:r w:rsidR="00E32F84">
        <w:rPr>
          <w:rFonts w:asciiTheme="minorHAnsi" w:hAnsiTheme="minorHAnsi" w:cstheme="minorHAnsi"/>
          <w:b/>
        </w:rPr>
        <w:t>)</w:t>
      </w:r>
    </w:p>
    <w:tbl>
      <w:tblPr>
        <w:tblW w:w="5000" w:type="pct"/>
        <w:tblCellMar>
          <w:left w:w="70" w:type="dxa"/>
          <w:right w:w="70" w:type="dxa"/>
        </w:tblCellMar>
        <w:tblLook w:val="04A0" w:firstRow="1" w:lastRow="0" w:firstColumn="1" w:lastColumn="0" w:noHBand="0" w:noVBand="1"/>
      </w:tblPr>
      <w:tblGrid>
        <w:gridCol w:w="1160"/>
        <w:gridCol w:w="1189"/>
        <w:gridCol w:w="1119"/>
        <w:gridCol w:w="1119"/>
        <w:gridCol w:w="1118"/>
        <w:gridCol w:w="1120"/>
        <w:gridCol w:w="1118"/>
        <w:gridCol w:w="1120"/>
      </w:tblGrid>
      <w:tr w:rsidR="00294BD4" w:rsidRPr="003F1EDB" w14:paraId="5DAC10D8" w14:textId="77777777" w:rsidTr="003F1EDB">
        <w:trPr>
          <w:trHeight w:val="255"/>
        </w:trPr>
        <w:tc>
          <w:tcPr>
            <w:tcW w:w="1294" w:type="pct"/>
            <w:gridSpan w:val="2"/>
            <w:tcBorders>
              <w:top w:val="single" w:sz="4" w:space="0" w:color="auto"/>
              <w:left w:val="single" w:sz="4" w:space="0" w:color="auto"/>
              <w:bottom w:val="single" w:sz="4" w:space="0" w:color="auto"/>
              <w:right w:val="single" w:sz="4" w:space="0" w:color="auto"/>
            </w:tcBorders>
            <w:vAlign w:val="center"/>
            <w:hideMark/>
          </w:tcPr>
          <w:p w14:paraId="75DD354C" w14:textId="77777777" w:rsidR="00294BD4" w:rsidRPr="003F1EDB" w:rsidRDefault="00294BD4" w:rsidP="003F1EDB">
            <w:pPr>
              <w:keepNext/>
              <w:keepLines/>
              <w:spacing w:after="0"/>
              <w:rPr>
                <w:rFonts w:ascii="Calibri" w:hAnsi="Calibri" w:cs="Calibri"/>
                <w:sz w:val="16"/>
                <w:szCs w:val="16"/>
              </w:rPr>
            </w:pPr>
            <w:r w:rsidRPr="003F1EDB">
              <w:rPr>
                <w:rFonts w:ascii="Calibri" w:hAnsi="Calibri" w:cs="Calibri"/>
                <w:b/>
                <w:bCs/>
                <w:sz w:val="16"/>
                <w:szCs w:val="16"/>
              </w:rPr>
              <w:t>Příspěvky/dotace</w:t>
            </w:r>
          </w:p>
        </w:tc>
        <w:tc>
          <w:tcPr>
            <w:tcW w:w="618" w:type="pct"/>
            <w:tcBorders>
              <w:top w:val="single" w:sz="4" w:space="0" w:color="auto"/>
              <w:left w:val="single" w:sz="4" w:space="0" w:color="auto"/>
              <w:bottom w:val="single" w:sz="4" w:space="0" w:color="auto"/>
              <w:right w:val="single" w:sz="4" w:space="0" w:color="auto"/>
            </w:tcBorders>
            <w:vAlign w:val="center"/>
          </w:tcPr>
          <w:p w14:paraId="4252AB1B" w14:textId="77777777" w:rsidR="00294BD4" w:rsidRPr="003F1EDB" w:rsidRDefault="00294BD4" w:rsidP="00364198">
            <w:pPr>
              <w:keepNext/>
              <w:keepLines/>
              <w:spacing w:after="0"/>
              <w:jc w:val="center"/>
              <w:rPr>
                <w:rFonts w:ascii="Calibri" w:hAnsi="Calibri" w:cs="Calibri"/>
                <w:sz w:val="16"/>
                <w:szCs w:val="16"/>
              </w:rPr>
            </w:pPr>
            <w:r w:rsidRPr="003F1EDB">
              <w:rPr>
                <w:rFonts w:ascii="Calibri" w:hAnsi="Calibri" w:cs="Calibri"/>
                <w:b/>
                <w:bCs/>
                <w:sz w:val="16"/>
                <w:szCs w:val="16"/>
              </w:rPr>
              <w:t>Rok 2015</w:t>
            </w:r>
          </w:p>
        </w:tc>
        <w:tc>
          <w:tcPr>
            <w:tcW w:w="618" w:type="pct"/>
            <w:tcBorders>
              <w:top w:val="single" w:sz="4" w:space="0" w:color="auto"/>
              <w:left w:val="single" w:sz="4" w:space="0" w:color="auto"/>
              <w:bottom w:val="single" w:sz="4" w:space="0" w:color="auto"/>
              <w:right w:val="single" w:sz="4" w:space="0" w:color="auto"/>
            </w:tcBorders>
            <w:vAlign w:val="center"/>
          </w:tcPr>
          <w:p w14:paraId="787B0671" w14:textId="77777777" w:rsidR="00294BD4" w:rsidRPr="003F1EDB" w:rsidRDefault="00294BD4" w:rsidP="00364198">
            <w:pPr>
              <w:keepNext/>
              <w:keepLines/>
              <w:spacing w:after="0"/>
              <w:jc w:val="center"/>
              <w:rPr>
                <w:rFonts w:ascii="Calibri" w:hAnsi="Calibri" w:cs="Calibri"/>
                <w:sz w:val="16"/>
                <w:szCs w:val="16"/>
              </w:rPr>
            </w:pPr>
            <w:r w:rsidRPr="003F1EDB">
              <w:rPr>
                <w:rFonts w:ascii="Calibri" w:hAnsi="Calibri" w:cs="Calibri"/>
                <w:b/>
                <w:bCs/>
                <w:sz w:val="16"/>
                <w:szCs w:val="16"/>
              </w:rPr>
              <w:t>Rok 2016</w:t>
            </w:r>
          </w:p>
        </w:tc>
        <w:tc>
          <w:tcPr>
            <w:tcW w:w="617" w:type="pct"/>
            <w:tcBorders>
              <w:top w:val="single" w:sz="4" w:space="0" w:color="auto"/>
              <w:left w:val="single" w:sz="4" w:space="0" w:color="auto"/>
              <w:bottom w:val="single" w:sz="4" w:space="0" w:color="auto"/>
              <w:right w:val="single" w:sz="4" w:space="0" w:color="auto"/>
            </w:tcBorders>
            <w:vAlign w:val="center"/>
          </w:tcPr>
          <w:p w14:paraId="22B322E0" w14:textId="77777777" w:rsidR="00294BD4" w:rsidRPr="003F1EDB" w:rsidRDefault="00294BD4" w:rsidP="00364198">
            <w:pPr>
              <w:keepNext/>
              <w:keepLines/>
              <w:spacing w:after="0"/>
              <w:jc w:val="center"/>
              <w:rPr>
                <w:rFonts w:ascii="Calibri" w:hAnsi="Calibri" w:cs="Calibri"/>
                <w:sz w:val="16"/>
                <w:szCs w:val="16"/>
              </w:rPr>
            </w:pPr>
            <w:r w:rsidRPr="003F1EDB">
              <w:rPr>
                <w:rFonts w:ascii="Calibri" w:hAnsi="Calibri" w:cs="Calibri"/>
                <w:b/>
                <w:bCs/>
                <w:sz w:val="16"/>
                <w:szCs w:val="16"/>
              </w:rPr>
              <w:t>Rok 2017</w:t>
            </w:r>
          </w:p>
        </w:tc>
        <w:tc>
          <w:tcPr>
            <w:tcW w:w="618" w:type="pct"/>
            <w:tcBorders>
              <w:top w:val="single" w:sz="4" w:space="0" w:color="auto"/>
              <w:left w:val="single" w:sz="4" w:space="0" w:color="auto"/>
              <w:bottom w:val="single" w:sz="4" w:space="0" w:color="auto"/>
              <w:right w:val="single" w:sz="4" w:space="0" w:color="auto"/>
            </w:tcBorders>
            <w:vAlign w:val="center"/>
          </w:tcPr>
          <w:p w14:paraId="4D4DAEBC" w14:textId="77777777" w:rsidR="00294BD4" w:rsidRPr="003F1EDB" w:rsidRDefault="00294BD4" w:rsidP="00364198">
            <w:pPr>
              <w:keepNext/>
              <w:keepLines/>
              <w:spacing w:after="0"/>
              <w:jc w:val="center"/>
              <w:rPr>
                <w:rFonts w:ascii="Calibri" w:hAnsi="Calibri" w:cs="Calibri"/>
                <w:sz w:val="16"/>
                <w:szCs w:val="16"/>
              </w:rPr>
            </w:pPr>
            <w:r w:rsidRPr="003F1EDB">
              <w:rPr>
                <w:rFonts w:ascii="Calibri" w:hAnsi="Calibri" w:cs="Calibri"/>
                <w:b/>
                <w:bCs/>
                <w:sz w:val="16"/>
                <w:szCs w:val="16"/>
              </w:rPr>
              <w:t>Rok 2018</w:t>
            </w:r>
          </w:p>
        </w:tc>
        <w:tc>
          <w:tcPr>
            <w:tcW w:w="617" w:type="pct"/>
            <w:tcBorders>
              <w:top w:val="single" w:sz="4" w:space="0" w:color="auto"/>
              <w:left w:val="single" w:sz="4" w:space="0" w:color="auto"/>
              <w:bottom w:val="single" w:sz="4" w:space="0" w:color="auto"/>
              <w:right w:val="single" w:sz="4" w:space="0" w:color="auto"/>
            </w:tcBorders>
            <w:vAlign w:val="center"/>
          </w:tcPr>
          <w:p w14:paraId="38354773" w14:textId="77777777" w:rsidR="00294BD4" w:rsidRPr="003F1EDB" w:rsidRDefault="00294BD4" w:rsidP="00364198">
            <w:pPr>
              <w:keepNext/>
              <w:keepLines/>
              <w:spacing w:after="0"/>
              <w:jc w:val="center"/>
              <w:rPr>
                <w:rFonts w:ascii="Calibri" w:hAnsi="Calibri" w:cs="Calibri"/>
                <w:sz w:val="16"/>
                <w:szCs w:val="16"/>
              </w:rPr>
            </w:pPr>
            <w:r w:rsidRPr="003F1EDB">
              <w:rPr>
                <w:rFonts w:ascii="Calibri" w:hAnsi="Calibri" w:cs="Calibri"/>
                <w:b/>
                <w:bCs/>
                <w:sz w:val="16"/>
                <w:szCs w:val="16"/>
              </w:rPr>
              <w:t>Rok 2019</w:t>
            </w:r>
          </w:p>
        </w:tc>
        <w:tc>
          <w:tcPr>
            <w:tcW w:w="618" w:type="pct"/>
            <w:tcBorders>
              <w:top w:val="single" w:sz="4" w:space="0" w:color="auto"/>
              <w:left w:val="single" w:sz="4" w:space="0" w:color="auto"/>
              <w:bottom w:val="single" w:sz="4" w:space="0" w:color="auto"/>
              <w:right w:val="single" w:sz="4" w:space="0" w:color="auto"/>
            </w:tcBorders>
            <w:vAlign w:val="center"/>
          </w:tcPr>
          <w:p w14:paraId="6F02E8DB" w14:textId="77777777" w:rsidR="00294BD4" w:rsidRPr="003F1EDB" w:rsidRDefault="00294BD4" w:rsidP="00364198">
            <w:pPr>
              <w:keepNext/>
              <w:keepLines/>
              <w:spacing w:after="0"/>
              <w:jc w:val="center"/>
              <w:rPr>
                <w:rFonts w:ascii="Calibri" w:hAnsi="Calibri" w:cs="Calibri"/>
                <w:sz w:val="16"/>
                <w:szCs w:val="16"/>
              </w:rPr>
            </w:pPr>
            <w:r w:rsidRPr="003F1EDB">
              <w:rPr>
                <w:rFonts w:ascii="Calibri" w:hAnsi="Calibri" w:cs="Calibri"/>
                <w:b/>
                <w:bCs/>
                <w:sz w:val="16"/>
                <w:szCs w:val="16"/>
              </w:rPr>
              <w:t>Rok 2020</w:t>
            </w:r>
          </w:p>
        </w:tc>
      </w:tr>
      <w:tr w:rsidR="00294BD4" w:rsidRPr="003F1EDB" w14:paraId="47E7A451" w14:textId="77777777" w:rsidTr="003F1EDB">
        <w:trPr>
          <w:trHeight w:val="255"/>
        </w:trPr>
        <w:tc>
          <w:tcPr>
            <w:tcW w:w="639" w:type="pct"/>
            <w:vMerge w:val="restart"/>
            <w:tcBorders>
              <w:top w:val="single" w:sz="4" w:space="0" w:color="auto"/>
              <w:left w:val="single" w:sz="4" w:space="0" w:color="auto"/>
              <w:right w:val="single" w:sz="4" w:space="0" w:color="auto"/>
            </w:tcBorders>
            <w:vAlign w:val="center"/>
          </w:tcPr>
          <w:p w14:paraId="2D0F0EE7" w14:textId="77777777" w:rsidR="00294BD4" w:rsidRPr="003F1EDB" w:rsidRDefault="00294BD4" w:rsidP="003F1EDB">
            <w:pPr>
              <w:keepNext/>
              <w:keepLines/>
              <w:spacing w:after="0"/>
              <w:rPr>
                <w:rFonts w:ascii="Calibri" w:hAnsi="Calibri" w:cs="Calibri"/>
                <w:b/>
                <w:bCs/>
                <w:sz w:val="16"/>
                <w:szCs w:val="16"/>
              </w:rPr>
            </w:pPr>
            <w:r w:rsidRPr="003F1EDB">
              <w:rPr>
                <w:rFonts w:ascii="Calibri" w:hAnsi="Calibri" w:cs="Calibri"/>
                <w:b/>
                <w:bCs/>
                <w:sz w:val="16"/>
                <w:szCs w:val="16"/>
              </w:rPr>
              <w:t>Centrum</w:t>
            </w:r>
          </w:p>
        </w:tc>
        <w:tc>
          <w:tcPr>
            <w:tcW w:w="654" w:type="pct"/>
            <w:tcBorders>
              <w:top w:val="single" w:sz="4" w:space="0" w:color="auto"/>
              <w:left w:val="nil"/>
              <w:bottom w:val="single" w:sz="4" w:space="0" w:color="auto"/>
              <w:right w:val="single" w:sz="4" w:space="0" w:color="auto"/>
            </w:tcBorders>
            <w:vAlign w:val="center"/>
          </w:tcPr>
          <w:p w14:paraId="35BB84FE" w14:textId="08A74B81" w:rsidR="00294BD4" w:rsidRPr="003F1EDB" w:rsidRDefault="00E32F84" w:rsidP="003F1EDB">
            <w:pPr>
              <w:keepNext/>
              <w:keepLines/>
              <w:spacing w:after="0"/>
              <w:rPr>
                <w:rFonts w:ascii="Calibri" w:hAnsi="Calibri" w:cs="Calibri"/>
                <w:sz w:val="16"/>
                <w:szCs w:val="16"/>
              </w:rPr>
            </w:pPr>
            <w:r>
              <w:rPr>
                <w:rFonts w:ascii="Calibri" w:hAnsi="Calibri" w:cs="Calibri"/>
                <w:sz w:val="16"/>
                <w:szCs w:val="16"/>
              </w:rPr>
              <w:t>N</w:t>
            </w:r>
            <w:r w:rsidR="00294BD4" w:rsidRPr="003F1EDB">
              <w:rPr>
                <w:rFonts w:ascii="Calibri" w:hAnsi="Calibri" w:cs="Calibri"/>
                <w:sz w:val="16"/>
                <w:szCs w:val="16"/>
              </w:rPr>
              <w:t xml:space="preserve">einvestiční </w:t>
            </w:r>
          </w:p>
        </w:tc>
        <w:tc>
          <w:tcPr>
            <w:tcW w:w="618" w:type="pct"/>
            <w:tcBorders>
              <w:top w:val="single" w:sz="4" w:space="0" w:color="auto"/>
              <w:left w:val="nil"/>
              <w:bottom w:val="single" w:sz="4" w:space="0" w:color="auto"/>
              <w:right w:val="single" w:sz="4" w:space="0" w:color="auto"/>
            </w:tcBorders>
            <w:vAlign w:val="center"/>
          </w:tcPr>
          <w:p w14:paraId="75E9CC47"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120 904 026</w:t>
            </w:r>
          </w:p>
        </w:tc>
        <w:tc>
          <w:tcPr>
            <w:tcW w:w="618" w:type="pct"/>
            <w:tcBorders>
              <w:top w:val="single" w:sz="4" w:space="0" w:color="auto"/>
              <w:left w:val="nil"/>
              <w:bottom w:val="single" w:sz="4" w:space="0" w:color="auto"/>
              <w:right w:val="single" w:sz="4" w:space="0" w:color="auto"/>
            </w:tcBorders>
            <w:vAlign w:val="center"/>
          </w:tcPr>
          <w:p w14:paraId="254EAEFD"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308 217 316</w:t>
            </w:r>
          </w:p>
        </w:tc>
        <w:tc>
          <w:tcPr>
            <w:tcW w:w="617" w:type="pct"/>
            <w:tcBorders>
              <w:top w:val="single" w:sz="4" w:space="0" w:color="auto"/>
              <w:left w:val="nil"/>
              <w:bottom w:val="single" w:sz="4" w:space="0" w:color="auto"/>
              <w:right w:val="single" w:sz="4" w:space="0" w:color="auto"/>
            </w:tcBorders>
            <w:vAlign w:val="center"/>
          </w:tcPr>
          <w:p w14:paraId="569BE8AA"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481 742 903</w:t>
            </w:r>
          </w:p>
        </w:tc>
        <w:tc>
          <w:tcPr>
            <w:tcW w:w="618" w:type="pct"/>
            <w:tcBorders>
              <w:top w:val="single" w:sz="4" w:space="0" w:color="auto"/>
              <w:left w:val="nil"/>
              <w:bottom w:val="single" w:sz="4" w:space="0" w:color="auto"/>
              <w:right w:val="single" w:sz="4" w:space="0" w:color="auto"/>
            </w:tcBorders>
            <w:vAlign w:val="center"/>
          </w:tcPr>
          <w:p w14:paraId="3639A9E9"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559 707 697</w:t>
            </w:r>
          </w:p>
        </w:tc>
        <w:tc>
          <w:tcPr>
            <w:tcW w:w="617" w:type="pct"/>
            <w:tcBorders>
              <w:top w:val="single" w:sz="4" w:space="0" w:color="auto"/>
              <w:left w:val="nil"/>
              <w:bottom w:val="single" w:sz="4" w:space="0" w:color="auto"/>
              <w:right w:val="single" w:sz="4" w:space="0" w:color="auto"/>
            </w:tcBorders>
            <w:vAlign w:val="center"/>
          </w:tcPr>
          <w:p w14:paraId="5D38158D"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533 663 024</w:t>
            </w:r>
          </w:p>
        </w:tc>
        <w:tc>
          <w:tcPr>
            <w:tcW w:w="618" w:type="pct"/>
            <w:tcBorders>
              <w:top w:val="single" w:sz="4" w:space="0" w:color="auto"/>
              <w:left w:val="nil"/>
              <w:bottom w:val="single" w:sz="4" w:space="0" w:color="auto"/>
              <w:right w:val="single" w:sz="4" w:space="0" w:color="auto"/>
            </w:tcBorders>
            <w:vAlign w:val="center"/>
          </w:tcPr>
          <w:p w14:paraId="4B9FAE1E"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572 033 822</w:t>
            </w:r>
          </w:p>
        </w:tc>
      </w:tr>
      <w:tr w:rsidR="00294BD4" w:rsidRPr="003F1EDB" w14:paraId="515AB1C5" w14:textId="77777777" w:rsidTr="003F1EDB">
        <w:trPr>
          <w:trHeight w:val="255"/>
        </w:trPr>
        <w:tc>
          <w:tcPr>
            <w:tcW w:w="0" w:type="auto"/>
            <w:vMerge/>
            <w:tcBorders>
              <w:left w:val="single" w:sz="4" w:space="0" w:color="auto"/>
              <w:right w:val="single" w:sz="4" w:space="0" w:color="auto"/>
            </w:tcBorders>
            <w:vAlign w:val="center"/>
            <w:hideMark/>
          </w:tcPr>
          <w:p w14:paraId="1C979517" w14:textId="77777777" w:rsidR="00294BD4" w:rsidRPr="003F1EDB" w:rsidRDefault="00294BD4" w:rsidP="003F1EDB">
            <w:pPr>
              <w:keepNext/>
              <w:keepLines/>
              <w:spacing w:after="0"/>
              <w:rPr>
                <w:rFonts w:ascii="Calibri" w:hAnsi="Calibri" w:cs="Calibri"/>
                <w:b/>
                <w:bCs/>
                <w:sz w:val="16"/>
                <w:szCs w:val="16"/>
              </w:rPr>
            </w:pPr>
          </w:p>
        </w:tc>
        <w:tc>
          <w:tcPr>
            <w:tcW w:w="654" w:type="pct"/>
            <w:tcBorders>
              <w:top w:val="nil"/>
              <w:left w:val="nil"/>
              <w:bottom w:val="single" w:sz="4" w:space="0" w:color="auto"/>
              <w:right w:val="single" w:sz="4" w:space="0" w:color="auto"/>
            </w:tcBorders>
            <w:vAlign w:val="center"/>
            <w:hideMark/>
          </w:tcPr>
          <w:p w14:paraId="7E3F48C7" w14:textId="15085760" w:rsidR="00294BD4" w:rsidRPr="003F1EDB" w:rsidRDefault="00E32F84" w:rsidP="003F1EDB">
            <w:pPr>
              <w:keepNext/>
              <w:keepLines/>
              <w:spacing w:after="0"/>
              <w:rPr>
                <w:rFonts w:ascii="Calibri" w:hAnsi="Calibri" w:cs="Calibri"/>
                <w:sz w:val="16"/>
                <w:szCs w:val="16"/>
              </w:rPr>
            </w:pPr>
            <w:r>
              <w:rPr>
                <w:rFonts w:ascii="Calibri" w:hAnsi="Calibri" w:cs="Calibri"/>
                <w:sz w:val="16"/>
                <w:szCs w:val="16"/>
              </w:rPr>
              <w:t>I</w:t>
            </w:r>
            <w:r w:rsidR="00294BD4" w:rsidRPr="003F1EDB">
              <w:rPr>
                <w:rFonts w:ascii="Calibri" w:hAnsi="Calibri" w:cs="Calibri"/>
                <w:sz w:val="16"/>
                <w:szCs w:val="16"/>
              </w:rPr>
              <w:t xml:space="preserve">nvestiční </w:t>
            </w:r>
          </w:p>
        </w:tc>
        <w:tc>
          <w:tcPr>
            <w:tcW w:w="618" w:type="pct"/>
            <w:tcBorders>
              <w:top w:val="nil"/>
              <w:left w:val="nil"/>
              <w:bottom w:val="single" w:sz="4" w:space="0" w:color="auto"/>
              <w:right w:val="single" w:sz="4" w:space="0" w:color="auto"/>
            </w:tcBorders>
            <w:vAlign w:val="center"/>
            <w:hideMark/>
          </w:tcPr>
          <w:p w14:paraId="5CD7E7B0"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2 174 248</w:t>
            </w:r>
          </w:p>
        </w:tc>
        <w:tc>
          <w:tcPr>
            <w:tcW w:w="618" w:type="pct"/>
            <w:tcBorders>
              <w:top w:val="nil"/>
              <w:left w:val="nil"/>
              <w:bottom w:val="single" w:sz="4" w:space="0" w:color="auto"/>
              <w:right w:val="single" w:sz="4" w:space="0" w:color="auto"/>
            </w:tcBorders>
            <w:vAlign w:val="center"/>
            <w:hideMark/>
          </w:tcPr>
          <w:p w14:paraId="61E02C45"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0</w:t>
            </w:r>
          </w:p>
        </w:tc>
        <w:tc>
          <w:tcPr>
            <w:tcW w:w="617" w:type="pct"/>
            <w:tcBorders>
              <w:top w:val="nil"/>
              <w:left w:val="nil"/>
              <w:bottom w:val="single" w:sz="4" w:space="0" w:color="auto"/>
              <w:right w:val="single" w:sz="4" w:space="0" w:color="auto"/>
            </w:tcBorders>
            <w:vAlign w:val="center"/>
            <w:hideMark/>
          </w:tcPr>
          <w:p w14:paraId="700F2B08"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24 158 156</w:t>
            </w:r>
          </w:p>
        </w:tc>
        <w:tc>
          <w:tcPr>
            <w:tcW w:w="618" w:type="pct"/>
            <w:tcBorders>
              <w:top w:val="nil"/>
              <w:left w:val="nil"/>
              <w:bottom w:val="single" w:sz="4" w:space="0" w:color="auto"/>
              <w:right w:val="single" w:sz="4" w:space="0" w:color="auto"/>
            </w:tcBorders>
            <w:vAlign w:val="center"/>
            <w:hideMark/>
          </w:tcPr>
          <w:p w14:paraId="10F2B530"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6 200 088</w:t>
            </w:r>
          </w:p>
        </w:tc>
        <w:tc>
          <w:tcPr>
            <w:tcW w:w="617" w:type="pct"/>
            <w:tcBorders>
              <w:top w:val="nil"/>
              <w:left w:val="nil"/>
              <w:bottom w:val="single" w:sz="4" w:space="0" w:color="auto"/>
              <w:right w:val="single" w:sz="4" w:space="0" w:color="auto"/>
            </w:tcBorders>
            <w:vAlign w:val="center"/>
            <w:hideMark/>
          </w:tcPr>
          <w:p w14:paraId="4A1DBFD7"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35 495 495</w:t>
            </w:r>
          </w:p>
        </w:tc>
        <w:tc>
          <w:tcPr>
            <w:tcW w:w="618" w:type="pct"/>
            <w:tcBorders>
              <w:top w:val="nil"/>
              <w:left w:val="nil"/>
              <w:bottom w:val="single" w:sz="4" w:space="0" w:color="auto"/>
              <w:right w:val="single" w:sz="4" w:space="0" w:color="auto"/>
            </w:tcBorders>
            <w:vAlign w:val="center"/>
            <w:hideMark/>
          </w:tcPr>
          <w:p w14:paraId="725566EE"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7 377 501</w:t>
            </w:r>
          </w:p>
        </w:tc>
      </w:tr>
      <w:tr w:rsidR="00294BD4" w:rsidRPr="003F1EDB" w14:paraId="1FC9AD87" w14:textId="77777777" w:rsidTr="003F1EDB">
        <w:trPr>
          <w:trHeight w:val="255"/>
        </w:trPr>
        <w:tc>
          <w:tcPr>
            <w:tcW w:w="0" w:type="auto"/>
            <w:vMerge/>
            <w:tcBorders>
              <w:left w:val="single" w:sz="4" w:space="0" w:color="auto"/>
              <w:bottom w:val="single" w:sz="4" w:space="0" w:color="auto"/>
              <w:right w:val="single" w:sz="4" w:space="0" w:color="auto"/>
            </w:tcBorders>
            <w:vAlign w:val="center"/>
            <w:hideMark/>
          </w:tcPr>
          <w:p w14:paraId="1F62AF68" w14:textId="77777777" w:rsidR="00294BD4" w:rsidRPr="003F1EDB" w:rsidRDefault="00294BD4" w:rsidP="003F1EDB">
            <w:pPr>
              <w:keepNext/>
              <w:keepLines/>
              <w:spacing w:after="0"/>
              <w:rPr>
                <w:rFonts w:ascii="Calibri" w:hAnsi="Calibri" w:cs="Calibri"/>
                <w:b/>
                <w:bCs/>
                <w:sz w:val="16"/>
                <w:szCs w:val="16"/>
              </w:rPr>
            </w:pPr>
          </w:p>
        </w:tc>
        <w:tc>
          <w:tcPr>
            <w:tcW w:w="654" w:type="pct"/>
            <w:tcBorders>
              <w:top w:val="nil"/>
              <w:left w:val="nil"/>
              <w:bottom w:val="single" w:sz="4" w:space="0" w:color="auto"/>
              <w:right w:val="single" w:sz="4" w:space="0" w:color="auto"/>
            </w:tcBorders>
            <w:vAlign w:val="center"/>
            <w:hideMark/>
          </w:tcPr>
          <w:p w14:paraId="27EFDE48" w14:textId="7C0CCA99" w:rsidR="00294BD4" w:rsidRPr="003F1EDB" w:rsidRDefault="00E32F84" w:rsidP="003F1EDB">
            <w:pPr>
              <w:keepNext/>
              <w:keepLines/>
              <w:spacing w:after="0"/>
              <w:rPr>
                <w:rFonts w:ascii="Calibri" w:hAnsi="Calibri" w:cs="Calibri"/>
                <w:b/>
                <w:bCs/>
                <w:sz w:val="16"/>
                <w:szCs w:val="16"/>
              </w:rPr>
            </w:pPr>
            <w:r>
              <w:rPr>
                <w:rFonts w:ascii="Calibri" w:hAnsi="Calibri" w:cs="Calibri"/>
                <w:b/>
                <w:bCs/>
                <w:sz w:val="16"/>
                <w:szCs w:val="16"/>
              </w:rPr>
              <w:t>C</w:t>
            </w:r>
            <w:r w:rsidR="00294BD4" w:rsidRPr="003F1EDB">
              <w:rPr>
                <w:rFonts w:ascii="Calibri" w:hAnsi="Calibri" w:cs="Calibri"/>
                <w:b/>
                <w:bCs/>
                <w:sz w:val="16"/>
                <w:szCs w:val="16"/>
              </w:rPr>
              <w:t>elkem</w:t>
            </w:r>
          </w:p>
        </w:tc>
        <w:tc>
          <w:tcPr>
            <w:tcW w:w="618" w:type="pct"/>
            <w:tcBorders>
              <w:top w:val="nil"/>
              <w:left w:val="nil"/>
              <w:bottom w:val="single" w:sz="4" w:space="0" w:color="auto"/>
              <w:right w:val="single" w:sz="4" w:space="0" w:color="auto"/>
            </w:tcBorders>
            <w:vAlign w:val="center"/>
            <w:hideMark/>
          </w:tcPr>
          <w:p w14:paraId="382F3E28"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123 078 273</w:t>
            </w:r>
          </w:p>
        </w:tc>
        <w:tc>
          <w:tcPr>
            <w:tcW w:w="618" w:type="pct"/>
            <w:tcBorders>
              <w:top w:val="nil"/>
              <w:left w:val="nil"/>
              <w:bottom w:val="single" w:sz="4" w:space="0" w:color="auto"/>
              <w:right w:val="single" w:sz="4" w:space="0" w:color="auto"/>
            </w:tcBorders>
            <w:vAlign w:val="center"/>
            <w:hideMark/>
          </w:tcPr>
          <w:p w14:paraId="077061BF"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308 217 316</w:t>
            </w:r>
          </w:p>
        </w:tc>
        <w:tc>
          <w:tcPr>
            <w:tcW w:w="617" w:type="pct"/>
            <w:tcBorders>
              <w:top w:val="nil"/>
              <w:left w:val="nil"/>
              <w:bottom w:val="single" w:sz="4" w:space="0" w:color="auto"/>
              <w:right w:val="single" w:sz="4" w:space="0" w:color="auto"/>
            </w:tcBorders>
            <w:vAlign w:val="center"/>
            <w:hideMark/>
          </w:tcPr>
          <w:p w14:paraId="7D628E5C"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505 901 059</w:t>
            </w:r>
          </w:p>
        </w:tc>
        <w:tc>
          <w:tcPr>
            <w:tcW w:w="618" w:type="pct"/>
            <w:tcBorders>
              <w:top w:val="nil"/>
              <w:left w:val="nil"/>
              <w:bottom w:val="single" w:sz="4" w:space="0" w:color="auto"/>
              <w:right w:val="single" w:sz="4" w:space="0" w:color="auto"/>
            </w:tcBorders>
            <w:vAlign w:val="center"/>
            <w:hideMark/>
          </w:tcPr>
          <w:p w14:paraId="48FC658B"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565 907 785</w:t>
            </w:r>
          </w:p>
        </w:tc>
        <w:tc>
          <w:tcPr>
            <w:tcW w:w="617" w:type="pct"/>
            <w:tcBorders>
              <w:top w:val="nil"/>
              <w:left w:val="nil"/>
              <w:bottom w:val="single" w:sz="4" w:space="0" w:color="auto"/>
              <w:right w:val="single" w:sz="4" w:space="0" w:color="auto"/>
            </w:tcBorders>
            <w:vAlign w:val="center"/>
            <w:hideMark/>
          </w:tcPr>
          <w:p w14:paraId="15D064BC"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569 158 519</w:t>
            </w:r>
          </w:p>
        </w:tc>
        <w:tc>
          <w:tcPr>
            <w:tcW w:w="618" w:type="pct"/>
            <w:tcBorders>
              <w:top w:val="nil"/>
              <w:left w:val="nil"/>
              <w:bottom w:val="single" w:sz="4" w:space="0" w:color="auto"/>
              <w:right w:val="single" w:sz="4" w:space="0" w:color="auto"/>
            </w:tcBorders>
            <w:vAlign w:val="center"/>
            <w:hideMark/>
          </w:tcPr>
          <w:p w14:paraId="76B52E99"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579 411 323</w:t>
            </w:r>
          </w:p>
        </w:tc>
      </w:tr>
      <w:tr w:rsidR="00294BD4" w:rsidRPr="003F1EDB" w14:paraId="50B48FAC" w14:textId="77777777" w:rsidTr="003F1EDB">
        <w:trPr>
          <w:trHeight w:val="255"/>
        </w:trPr>
        <w:tc>
          <w:tcPr>
            <w:tcW w:w="639" w:type="pct"/>
            <w:vMerge w:val="restart"/>
            <w:tcBorders>
              <w:top w:val="nil"/>
              <w:left w:val="single" w:sz="4" w:space="0" w:color="auto"/>
              <w:bottom w:val="single" w:sz="4" w:space="0" w:color="auto"/>
              <w:right w:val="single" w:sz="4" w:space="0" w:color="auto"/>
            </w:tcBorders>
            <w:vAlign w:val="center"/>
            <w:hideMark/>
          </w:tcPr>
          <w:p w14:paraId="1712D6F5" w14:textId="77777777" w:rsidR="00294BD4" w:rsidRPr="003F1EDB" w:rsidRDefault="00294BD4" w:rsidP="003F1EDB">
            <w:pPr>
              <w:keepNext/>
              <w:keepLines/>
              <w:spacing w:after="0"/>
              <w:rPr>
                <w:rFonts w:ascii="Calibri" w:hAnsi="Calibri" w:cs="Calibri"/>
                <w:b/>
                <w:bCs/>
                <w:sz w:val="16"/>
                <w:szCs w:val="16"/>
              </w:rPr>
            </w:pPr>
            <w:proofErr w:type="spellStart"/>
            <w:r w:rsidRPr="003F1EDB">
              <w:rPr>
                <w:rFonts w:ascii="Calibri" w:hAnsi="Calibri" w:cs="Calibri"/>
                <w:b/>
                <w:bCs/>
                <w:sz w:val="16"/>
                <w:szCs w:val="16"/>
              </w:rPr>
              <w:t>CzechTourism</w:t>
            </w:r>
            <w:proofErr w:type="spellEnd"/>
          </w:p>
        </w:tc>
        <w:tc>
          <w:tcPr>
            <w:tcW w:w="654" w:type="pct"/>
            <w:tcBorders>
              <w:top w:val="nil"/>
              <w:left w:val="nil"/>
              <w:bottom w:val="single" w:sz="4" w:space="0" w:color="auto"/>
              <w:right w:val="single" w:sz="4" w:space="0" w:color="auto"/>
            </w:tcBorders>
            <w:vAlign w:val="center"/>
            <w:hideMark/>
          </w:tcPr>
          <w:p w14:paraId="48CD3059" w14:textId="11C54FCA" w:rsidR="00294BD4" w:rsidRPr="003F1EDB" w:rsidRDefault="00E32F84" w:rsidP="003F1EDB">
            <w:pPr>
              <w:keepNext/>
              <w:keepLines/>
              <w:spacing w:after="0"/>
              <w:rPr>
                <w:rFonts w:ascii="Calibri" w:hAnsi="Calibri" w:cs="Calibri"/>
                <w:sz w:val="16"/>
                <w:szCs w:val="16"/>
              </w:rPr>
            </w:pPr>
            <w:r>
              <w:rPr>
                <w:rFonts w:ascii="Calibri" w:hAnsi="Calibri" w:cs="Calibri"/>
                <w:sz w:val="16"/>
                <w:szCs w:val="16"/>
              </w:rPr>
              <w:t>N</w:t>
            </w:r>
            <w:r w:rsidR="00294BD4" w:rsidRPr="003F1EDB">
              <w:rPr>
                <w:rFonts w:ascii="Calibri" w:hAnsi="Calibri" w:cs="Calibri"/>
                <w:sz w:val="16"/>
                <w:szCs w:val="16"/>
              </w:rPr>
              <w:t xml:space="preserve">einvestiční </w:t>
            </w:r>
          </w:p>
        </w:tc>
        <w:tc>
          <w:tcPr>
            <w:tcW w:w="618" w:type="pct"/>
            <w:tcBorders>
              <w:top w:val="nil"/>
              <w:left w:val="nil"/>
              <w:bottom w:val="single" w:sz="4" w:space="0" w:color="auto"/>
              <w:right w:val="single" w:sz="4" w:space="0" w:color="auto"/>
            </w:tcBorders>
            <w:vAlign w:val="center"/>
            <w:hideMark/>
          </w:tcPr>
          <w:p w14:paraId="02C49AC8"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546 494 678</w:t>
            </w:r>
          </w:p>
        </w:tc>
        <w:tc>
          <w:tcPr>
            <w:tcW w:w="618" w:type="pct"/>
            <w:tcBorders>
              <w:top w:val="nil"/>
              <w:left w:val="nil"/>
              <w:bottom w:val="single" w:sz="4" w:space="0" w:color="auto"/>
              <w:right w:val="single" w:sz="4" w:space="0" w:color="auto"/>
            </w:tcBorders>
            <w:vAlign w:val="center"/>
            <w:hideMark/>
          </w:tcPr>
          <w:p w14:paraId="4B7292F8"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462 153 290</w:t>
            </w:r>
          </w:p>
        </w:tc>
        <w:tc>
          <w:tcPr>
            <w:tcW w:w="617" w:type="pct"/>
            <w:tcBorders>
              <w:top w:val="nil"/>
              <w:left w:val="nil"/>
              <w:bottom w:val="single" w:sz="4" w:space="0" w:color="auto"/>
              <w:right w:val="single" w:sz="4" w:space="0" w:color="auto"/>
            </w:tcBorders>
            <w:vAlign w:val="center"/>
            <w:hideMark/>
          </w:tcPr>
          <w:p w14:paraId="057D034D"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440 977 962</w:t>
            </w:r>
          </w:p>
        </w:tc>
        <w:tc>
          <w:tcPr>
            <w:tcW w:w="618" w:type="pct"/>
            <w:tcBorders>
              <w:top w:val="nil"/>
              <w:left w:val="nil"/>
              <w:bottom w:val="single" w:sz="4" w:space="0" w:color="auto"/>
              <w:right w:val="single" w:sz="4" w:space="0" w:color="auto"/>
            </w:tcBorders>
            <w:vAlign w:val="center"/>
            <w:hideMark/>
          </w:tcPr>
          <w:p w14:paraId="27F444DD"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495 630 519</w:t>
            </w:r>
          </w:p>
        </w:tc>
        <w:tc>
          <w:tcPr>
            <w:tcW w:w="617" w:type="pct"/>
            <w:tcBorders>
              <w:top w:val="nil"/>
              <w:left w:val="nil"/>
              <w:bottom w:val="single" w:sz="4" w:space="0" w:color="auto"/>
              <w:right w:val="single" w:sz="4" w:space="0" w:color="auto"/>
            </w:tcBorders>
            <w:vAlign w:val="center"/>
            <w:hideMark/>
          </w:tcPr>
          <w:p w14:paraId="6102AC59"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383 085 214</w:t>
            </w:r>
          </w:p>
        </w:tc>
        <w:tc>
          <w:tcPr>
            <w:tcW w:w="618" w:type="pct"/>
            <w:tcBorders>
              <w:top w:val="nil"/>
              <w:left w:val="nil"/>
              <w:bottom w:val="single" w:sz="4" w:space="0" w:color="auto"/>
              <w:right w:val="single" w:sz="4" w:space="0" w:color="auto"/>
            </w:tcBorders>
            <w:vAlign w:val="center"/>
            <w:hideMark/>
          </w:tcPr>
          <w:p w14:paraId="3E9AB8E9"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334 585 947</w:t>
            </w:r>
          </w:p>
        </w:tc>
      </w:tr>
      <w:tr w:rsidR="00294BD4" w:rsidRPr="003F1EDB" w14:paraId="11BAC7EE" w14:textId="77777777" w:rsidTr="003F1EDB">
        <w:trPr>
          <w:trHeight w:val="255"/>
        </w:trPr>
        <w:tc>
          <w:tcPr>
            <w:tcW w:w="0" w:type="auto"/>
            <w:vMerge/>
            <w:tcBorders>
              <w:top w:val="nil"/>
              <w:left w:val="single" w:sz="4" w:space="0" w:color="auto"/>
              <w:bottom w:val="single" w:sz="4" w:space="0" w:color="auto"/>
              <w:right w:val="single" w:sz="4" w:space="0" w:color="auto"/>
            </w:tcBorders>
            <w:vAlign w:val="center"/>
            <w:hideMark/>
          </w:tcPr>
          <w:p w14:paraId="39F888D6" w14:textId="77777777" w:rsidR="00294BD4" w:rsidRPr="003F1EDB" w:rsidRDefault="00294BD4" w:rsidP="003F1EDB">
            <w:pPr>
              <w:keepNext/>
              <w:keepLines/>
              <w:spacing w:after="0"/>
              <w:rPr>
                <w:rFonts w:ascii="Calibri" w:hAnsi="Calibri" w:cs="Calibri"/>
                <w:b/>
                <w:bCs/>
                <w:sz w:val="16"/>
                <w:szCs w:val="16"/>
              </w:rPr>
            </w:pPr>
          </w:p>
        </w:tc>
        <w:tc>
          <w:tcPr>
            <w:tcW w:w="654" w:type="pct"/>
            <w:tcBorders>
              <w:top w:val="nil"/>
              <w:left w:val="nil"/>
              <w:bottom w:val="single" w:sz="4" w:space="0" w:color="auto"/>
              <w:right w:val="single" w:sz="4" w:space="0" w:color="auto"/>
            </w:tcBorders>
            <w:vAlign w:val="center"/>
            <w:hideMark/>
          </w:tcPr>
          <w:p w14:paraId="0EA63AEF" w14:textId="5992A3C4" w:rsidR="00294BD4" w:rsidRPr="003F1EDB" w:rsidRDefault="00E32F84" w:rsidP="003F1EDB">
            <w:pPr>
              <w:keepNext/>
              <w:keepLines/>
              <w:spacing w:after="0"/>
              <w:rPr>
                <w:rFonts w:ascii="Calibri" w:hAnsi="Calibri" w:cs="Calibri"/>
                <w:sz w:val="16"/>
                <w:szCs w:val="16"/>
              </w:rPr>
            </w:pPr>
            <w:r>
              <w:rPr>
                <w:rFonts w:ascii="Calibri" w:hAnsi="Calibri" w:cs="Calibri"/>
                <w:sz w:val="16"/>
                <w:szCs w:val="16"/>
              </w:rPr>
              <w:t>I</w:t>
            </w:r>
            <w:r w:rsidR="00294BD4" w:rsidRPr="003F1EDB">
              <w:rPr>
                <w:rFonts w:ascii="Calibri" w:hAnsi="Calibri" w:cs="Calibri"/>
                <w:sz w:val="16"/>
                <w:szCs w:val="16"/>
              </w:rPr>
              <w:t xml:space="preserve">nvestiční </w:t>
            </w:r>
          </w:p>
        </w:tc>
        <w:tc>
          <w:tcPr>
            <w:tcW w:w="618" w:type="pct"/>
            <w:tcBorders>
              <w:top w:val="nil"/>
              <w:left w:val="nil"/>
              <w:bottom w:val="single" w:sz="4" w:space="0" w:color="auto"/>
              <w:right w:val="single" w:sz="4" w:space="0" w:color="auto"/>
            </w:tcBorders>
            <w:vAlign w:val="center"/>
            <w:hideMark/>
          </w:tcPr>
          <w:p w14:paraId="1A2F975A"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690 272</w:t>
            </w:r>
          </w:p>
        </w:tc>
        <w:tc>
          <w:tcPr>
            <w:tcW w:w="618" w:type="pct"/>
            <w:tcBorders>
              <w:top w:val="nil"/>
              <w:left w:val="nil"/>
              <w:bottom w:val="single" w:sz="4" w:space="0" w:color="auto"/>
              <w:right w:val="single" w:sz="4" w:space="0" w:color="auto"/>
            </w:tcBorders>
            <w:vAlign w:val="center"/>
            <w:hideMark/>
          </w:tcPr>
          <w:p w14:paraId="2ECE17D6"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0</w:t>
            </w:r>
          </w:p>
        </w:tc>
        <w:tc>
          <w:tcPr>
            <w:tcW w:w="617" w:type="pct"/>
            <w:tcBorders>
              <w:top w:val="nil"/>
              <w:left w:val="nil"/>
              <w:bottom w:val="single" w:sz="4" w:space="0" w:color="auto"/>
              <w:right w:val="single" w:sz="4" w:space="0" w:color="auto"/>
            </w:tcBorders>
            <w:vAlign w:val="center"/>
            <w:hideMark/>
          </w:tcPr>
          <w:p w14:paraId="337532CD"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2 635 337</w:t>
            </w:r>
          </w:p>
        </w:tc>
        <w:tc>
          <w:tcPr>
            <w:tcW w:w="618" w:type="pct"/>
            <w:tcBorders>
              <w:top w:val="nil"/>
              <w:left w:val="nil"/>
              <w:bottom w:val="single" w:sz="4" w:space="0" w:color="auto"/>
              <w:right w:val="single" w:sz="4" w:space="0" w:color="auto"/>
            </w:tcBorders>
            <w:vAlign w:val="center"/>
            <w:hideMark/>
          </w:tcPr>
          <w:p w14:paraId="322AB5F2"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2 772 130</w:t>
            </w:r>
          </w:p>
        </w:tc>
        <w:tc>
          <w:tcPr>
            <w:tcW w:w="617" w:type="pct"/>
            <w:tcBorders>
              <w:top w:val="nil"/>
              <w:left w:val="nil"/>
              <w:bottom w:val="single" w:sz="4" w:space="0" w:color="auto"/>
              <w:right w:val="single" w:sz="4" w:space="0" w:color="auto"/>
            </w:tcBorders>
            <w:vAlign w:val="center"/>
            <w:hideMark/>
          </w:tcPr>
          <w:p w14:paraId="2B92C5BB"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0</w:t>
            </w:r>
          </w:p>
        </w:tc>
        <w:tc>
          <w:tcPr>
            <w:tcW w:w="618" w:type="pct"/>
            <w:tcBorders>
              <w:top w:val="nil"/>
              <w:left w:val="nil"/>
              <w:bottom w:val="single" w:sz="4" w:space="0" w:color="auto"/>
              <w:right w:val="single" w:sz="4" w:space="0" w:color="auto"/>
            </w:tcBorders>
            <w:vAlign w:val="center"/>
            <w:hideMark/>
          </w:tcPr>
          <w:p w14:paraId="38B84EFB"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0</w:t>
            </w:r>
          </w:p>
        </w:tc>
      </w:tr>
      <w:tr w:rsidR="00294BD4" w:rsidRPr="003F1EDB" w14:paraId="17F3DEAE" w14:textId="77777777" w:rsidTr="003F1EDB">
        <w:trPr>
          <w:trHeight w:val="255"/>
        </w:trPr>
        <w:tc>
          <w:tcPr>
            <w:tcW w:w="0" w:type="auto"/>
            <w:vMerge/>
            <w:tcBorders>
              <w:top w:val="nil"/>
              <w:left w:val="single" w:sz="4" w:space="0" w:color="auto"/>
              <w:bottom w:val="single" w:sz="4" w:space="0" w:color="auto"/>
              <w:right w:val="single" w:sz="4" w:space="0" w:color="auto"/>
            </w:tcBorders>
            <w:vAlign w:val="center"/>
            <w:hideMark/>
          </w:tcPr>
          <w:p w14:paraId="4594B9A5" w14:textId="77777777" w:rsidR="00294BD4" w:rsidRPr="003F1EDB" w:rsidRDefault="00294BD4" w:rsidP="003F1EDB">
            <w:pPr>
              <w:keepNext/>
              <w:keepLines/>
              <w:spacing w:after="0"/>
              <w:rPr>
                <w:rFonts w:ascii="Calibri" w:hAnsi="Calibri" w:cs="Calibri"/>
                <w:b/>
                <w:bCs/>
                <w:sz w:val="16"/>
                <w:szCs w:val="16"/>
              </w:rPr>
            </w:pPr>
          </w:p>
        </w:tc>
        <w:tc>
          <w:tcPr>
            <w:tcW w:w="654" w:type="pct"/>
            <w:tcBorders>
              <w:top w:val="nil"/>
              <w:left w:val="nil"/>
              <w:bottom w:val="single" w:sz="4" w:space="0" w:color="auto"/>
              <w:right w:val="single" w:sz="4" w:space="0" w:color="auto"/>
            </w:tcBorders>
            <w:vAlign w:val="center"/>
            <w:hideMark/>
          </w:tcPr>
          <w:p w14:paraId="75A2D404" w14:textId="69A1768F" w:rsidR="00294BD4" w:rsidRPr="003F1EDB" w:rsidRDefault="00E32F84" w:rsidP="003F1EDB">
            <w:pPr>
              <w:keepNext/>
              <w:keepLines/>
              <w:spacing w:after="0"/>
              <w:rPr>
                <w:rFonts w:ascii="Calibri" w:hAnsi="Calibri" w:cs="Calibri"/>
                <w:b/>
                <w:bCs/>
                <w:sz w:val="16"/>
                <w:szCs w:val="16"/>
              </w:rPr>
            </w:pPr>
            <w:r>
              <w:rPr>
                <w:rFonts w:ascii="Calibri" w:hAnsi="Calibri" w:cs="Calibri"/>
                <w:b/>
                <w:bCs/>
                <w:sz w:val="16"/>
                <w:szCs w:val="16"/>
              </w:rPr>
              <w:t>C</w:t>
            </w:r>
            <w:r w:rsidR="00294BD4" w:rsidRPr="003F1EDB">
              <w:rPr>
                <w:rFonts w:ascii="Calibri" w:hAnsi="Calibri" w:cs="Calibri"/>
                <w:b/>
                <w:bCs/>
                <w:sz w:val="16"/>
                <w:szCs w:val="16"/>
              </w:rPr>
              <w:t>elkem</w:t>
            </w:r>
          </w:p>
        </w:tc>
        <w:tc>
          <w:tcPr>
            <w:tcW w:w="618" w:type="pct"/>
            <w:tcBorders>
              <w:top w:val="nil"/>
              <w:left w:val="nil"/>
              <w:bottom w:val="single" w:sz="4" w:space="0" w:color="auto"/>
              <w:right w:val="single" w:sz="4" w:space="0" w:color="auto"/>
            </w:tcBorders>
            <w:vAlign w:val="center"/>
            <w:hideMark/>
          </w:tcPr>
          <w:p w14:paraId="02AC9EEF"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547 184 950</w:t>
            </w:r>
          </w:p>
        </w:tc>
        <w:tc>
          <w:tcPr>
            <w:tcW w:w="618" w:type="pct"/>
            <w:tcBorders>
              <w:top w:val="nil"/>
              <w:left w:val="nil"/>
              <w:bottom w:val="single" w:sz="4" w:space="0" w:color="auto"/>
              <w:right w:val="single" w:sz="4" w:space="0" w:color="auto"/>
            </w:tcBorders>
            <w:vAlign w:val="center"/>
            <w:hideMark/>
          </w:tcPr>
          <w:p w14:paraId="3359E581"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462 153 290</w:t>
            </w:r>
          </w:p>
        </w:tc>
        <w:tc>
          <w:tcPr>
            <w:tcW w:w="617" w:type="pct"/>
            <w:tcBorders>
              <w:top w:val="nil"/>
              <w:left w:val="nil"/>
              <w:bottom w:val="single" w:sz="4" w:space="0" w:color="auto"/>
              <w:right w:val="single" w:sz="4" w:space="0" w:color="auto"/>
            </w:tcBorders>
            <w:vAlign w:val="center"/>
            <w:hideMark/>
          </w:tcPr>
          <w:p w14:paraId="1AC665ED"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443 613 299</w:t>
            </w:r>
          </w:p>
        </w:tc>
        <w:tc>
          <w:tcPr>
            <w:tcW w:w="618" w:type="pct"/>
            <w:tcBorders>
              <w:top w:val="nil"/>
              <w:left w:val="nil"/>
              <w:bottom w:val="single" w:sz="4" w:space="0" w:color="auto"/>
              <w:right w:val="single" w:sz="4" w:space="0" w:color="auto"/>
            </w:tcBorders>
            <w:vAlign w:val="center"/>
            <w:hideMark/>
          </w:tcPr>
          <w:p w14:paraId="4840FA55"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498 402 649</w:t>
            </w:r>
          </w:p>
        </w:tc>
        <w:tc>
          <w:tcPr>
            <w:tcW w:w="617" w:type="pct"/>
            <w:tcBorders>
              <w:top w:val="nil"/>
              <w:left w:val="nil"/>
              <w:bottom w:val="single" w:sz="4" w:space="0" w:color="auto"/>
              <w:right w:val="single" w:sz="4" w:space="0" w:color="auto"/>
            </w:tcBorders>
            <w:vAlign w:val="center"/>
            <w:hideMark/>
          </w:tcPr>
          <w:p w14:paraId="7FD0626C"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383 085 214</w:t>
            </w:r>
          </w:p>
        </w:tc>
        <w:tc>
          <w:tcPr>
            <w:tcW w:w="618" w:type="pct"/>
            <w:tcBorders>
              <w:top w:val="nil"/>
              <w:left w:val="nil"/>
              <w:bottom w:val="single" w:sz="4" w:space="0" w:color="auto"/>
              <w:right w:val="single" w:sz="4" w:space="0" w:color="auto"/>
            </w:tcBorders>
            <w:vAlign w:val="center"/>
            <w:hideMark/>
          </w:tcPr>
          <w:p w14:paraId="785CB760"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334 585 947</w:t>
            </w:r>
          </w:p>
        </w:tc>
      </w:tr>
      <w:tr w:rsidR="00294BD4" w:rsidRPr="003F1EDB" w14:paraId="320D9436" w14:textId="77777777" w:rsidTr="003F1EDB">
        <w:trPr>
          <w:trHeight w:val="255"/>
        </w:trPr>
        <w:tc>
          <w:tcPr>
            <w:tcW w:w="639" w:type="pct"/>
            <w:vMerge w:val="restart"/>
            <w:tcBorders>
              <w:top w:val="nil"/>
              <w:left w:val="single" w:sz="4" w:space="0" w:color="auto"/>
              <w:bottom w:val="single" w:sz="4" w:space="0" w:color="auto"/>
              <w:right w:val="single" w:sz="4" w:space="0" w:color="auto"/>
            </w:tcBorders>
            <w:vAlign w:val="center"/>
            <w:hideMark/>
          </w:tcPr>
          <w:p w14:paraId="01B275FB" w14:textId="77777777" w:rsidR="00294BD4" w:rsidRPr="003F1EDB" w:rsidRDefault="00294BD4" w:rsidP="003F1EDB">
            <w:pPr>
              <w:keepNext/>
              <w:keepLines/>
              <w:spacing w:after="0"/>
              <w:rPr>
                <w:rFonts w:ascii="Calibri" w:hAnsi="Calibri" w:cs="Calibri"/>
                <w:b/>
                <w:bCs/>
                <w:sz w:val="16"/>
                <w:szCs w:val="16"/>
              </w:rPr>
            </w:pPr>
            <w:bookmarkStart w:id="11" w:name="_Hlk87271880"/>
            <w:r w:rsidRPr="003F1EDB">
              <w:rPr>
                <w:rFonts w:ascii="Calibri" w:hAnsi="Calibri" w:cs="Calibri"/>
                <w:b/>
                <w:bCs/>
                <w:sz w:val="16"/>
                <w:szCs w:val="16"/>
              </w:rPr>
              <w:t>Horská služba</w:t>
            </w:r>
          </w:p>
        </w:tc>
        <w:tc>
          <w:tcPr>
            <w:tcW w:w="654" w:type="pct"/>
            <w:tcBorders>
              <w:top w:val="nil"/>
              <w:left w:val="nil"/>
              <w:bottom w:val="single" w:sz="4" w:space="0" w:color="auto"/>
              <w:right w:val="single" w:sz="4" w:space="0" w:color="auto"/>
            </w:tcBorders>
            <w:vAlign w:val="center"/>
            <w:hideMark/>
          </w:tcPr>
          <w:p w14:paraId="3664DD93" w14:textId="724E3C6A" w:rsidR="00294BD4" w:rsidRPr="003F1EDB" w:rsidRDefault="00E32F84" w:rsidP="003F1EDB">
            <w:pPr>
              <w:keepNext/>
              <w:keepLines/>
              <w:spacing w:after="0"/>
              <w:rPr>
                <w:rFonts w:ascii="Calibri" w:hAnsi="Calibri" w:cs="Calibri"/>
                <w:sz w:val="16"/>
                <w:szCs w:val="16"/>
              </w:rPr>
            </w:pPr>
            <w:r>
              <w:rPr>
                <w:rFonts w:ascii="Calibri" w:hAnsi="Calibri" w:cs="Calibri"/>
                <w:sz w:val="16"/>
                <w:szCs w:val="16"/>
              </w:rPr>
              <w:t>N</w:t>
            </w:r>
            <w:r w:rsidR="00294BD4" w:rsidRPr="003F1EDB">
              <w:rPr>
                <w:rFonts w:ascii="Calibri" w:hAnsi="Calibri" w:cs="Calibri"/>
                <w:sz w:val="16"/>
                <w:szCs w:val="16"/>
              </w:rPr>
              <w:t xml:space="preserve">einvestiční </w:t>
            </w:r>
          </w:p>
        </w:tc>
        <w:tc>
          <w:tcPr>
            <w:tcW w:w="618" w:type="pct"/>
            <w:tcBorders>
              <w:top w:val="nil"/>
              <w:left w:val="nil"/>
              <w:bottom w:val="single" w:sz="4" w:space="0" w:color="auto"/>
              <w:right w:val="single" w:sz="4" w:space="0" w:color="auto"/>
            </w:tcBorders>
            <w:vAlign w:val="center"/>
            <w:hideMark/>
          </w:tcPr>
          <w:p w14:paraId="56951D81"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114 800 000</w:t>
            </w:r>
          </w:p>
        </w:tc>
        <w:tc>
          <w:tcPr>
            <w:tcW w:w="618" w:type="pct"/>
            <w:tcBorders>
              <w:top w:val="nil"/>
              <w:left w:val="nil"/>
              <w:bottom w:val="single" w:sz="4" w:space="0" w:color="auto"/>
              <w:right w:val="single" w:sz="4" w:space="0" w:color="auto"/>
            </w:tcBorders>
            <w:vAlign w:val="center"/>
            <w:hideMark/>
          </w:tcPr>
          <w:p w14:paraId="3199CB2F"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130 000 000</w:t>
            </w:r>
          </w:p>
        </w:tc>
        <w:tc>
          <w:tcPr>
            <w:tcW w:w="617" w:type="pct"/>
            <w:tcBorders>
              <w:top w:val="nil"/>
              <w:left w:val="nil"/>
              <w:bottom w:val="single" w:sz="4" w:space="0" w:color="auto"/>
              <w:right w:val="single" w:sz="4" w:space="0" w:color="auto"/>
            </w:tcBorders>
            <w:vAlign w:val="center"/>
            <w:hideMark/>
          </w:tcPr>
          <w:p w14:paraId="7414A46F"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140 000 000</w:t>
            </w:r>
          </w:p>
        </w:tc>
        <w:tc>
          <w:tcPr>
            <w:tcW w:w="618" w:type="pct"/>
            <w:tcBorders>
              <w:top w:val="nil"/>
              <w:left w:val="nil"/>
              <w:bottom w:val="single" w:sz="4" w:space="0" w:color="auto"/>
              <w:right w:val="single" w:sz="4" w:space="0" w:color="auto"/>
            </w:tcBorders>
            <w:vAlign w:val="center"/>
            <w:hideMark/>
          </w:tcPr>
          <w:p w14:paraId="56F538C6"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135 000 000</w:t>
            </w:r>
          </w:p>
        </w:tc>
        <w:tc>
          <w:tcPr>
            <w:tcW w:w="617" w:type="pct"/>
            <w:tcBorders>
              <w:top w:val="nil"/>
              <w:left w:val="nil"/>
              <w:bottom w:val="single" w:sz="4" w:space="0" w:color="auto"/>
              <w:right w:val="single" w:sz="4" w:space="0" w:color="auto"/>
            </w:tcBorders>
            <w:vAlign w:val="center"/>
            <w:hideMark/>
          </w:tcPr>
          <w:p w14:paraId="188FE6EA"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160 000 000</w:t>
            </w:r>
          </w:p>
        </w:tc>
        <w:tc>
          <w:tcPr>
            <w:tcW w:w="618" w:type="pct"/>
            <w:tcBorders>
              <w:top w:val="nil"/>
              <w:left w:val="nil"/>
              <w:bottom w:val="single" w:sz="4" w:space="0" w:color="auto"/>
              <w:right w:val="single" w:sz="4" w:space="0" w:color="auto"/>
            </w:tcBorders>
            <w:vAlign w:val="center"/>
            <w:hideMark/>
          </w:tcPr>
          <w:p w14:paraId="639A5075"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168 927 563</w:t>
            </w:r>
          </w:p>
        </w:tc>
      </w:tr>
      <w:tr w:rsidR="00294BD4" w:rsidRPr="003F1EDB" w14:paraId="22F49EC8" w14:textId="77777777" w:rsidTr="003F1EDB">
        <w:trPr>
          <w:trHeight w:val="255"/>
        </w:trPr>
        <w:tc>
          <w:tcPr>
            <w:tcW w:w="0" w:type="auto"/>
            <w:vMerge/>
            <w:tcBorders>
              <w:top w:val="nil"/>
              <w:left w:val="single" w:sz="4" w:space="0" w:color="auto"/>
              <w:bottom w:val="single" w:sz="4" w:space="0" w:color="auto"/>
              <w:right w:val="single" w:sz="4" w:space="0" w:color="auto"/>
            </w:tcBorders>
            <w:vAlign w:val="center"/>
            <w:hideMark/>
          </w:tcPr>
          <w:p w14:paraId="4DFBB12F" w14:textId="77777777" w:rsidR="00294BD4" w:rsidRPr="003F1EDB" w:rsidRDefault="00294BD4" w:rsidP="003F1EDB">
            <w:pPr>
              <w:keepNext/>
              <w:keepLines/>
              <w:spacing w:after="0"/>
              <w:rPr>
                <w:rFonts w:ascii="Calibri" w:hAnsi="Calibri" w:cs="Calibri"/>
                <w:b/>
                <w:bCs/>
                <w:sz w:val="16"/>
                <w:szCs w:val="16"/>
              </w:rPr>
            </w:pPr>
          </w:p>
        </w:tc>
        <w:tc>
          <w:tcPr>
            <w:tcW w:w="654" w:type="pct"/>
            <w:tcBorders>
              <w:top w:val="nil"/>
              <w:left w:val="nil"/>
              <w:bottom w:val="single" w:sz="4" w:space="0" w:color="auto"/>
              <w:right w:val="single" w:sz="4" w:space="0" w:color="auto"/>
            </w:tcBorders>
            <w:vAlign w:val="center"/>
            <w:hideMark/>
          </w:tcPr>
          <w:p w14:paraId="4BC9428C" w14:textId="3E70A100" w:rsidR="00294BD4" w:rsidRPr="003F1EDB" w:rsidRDefault="00E32F84" w:rsidP="003F1EDB">
            <w:pPr>
              <w:keepNext/>
              <w:keepLines/>
              <w:spacing w:after="0"/>
              <w:rPr>
                <w:rFonts w:ascii="Calibri" w:hAnsi="Calibri" w:cs="Calibri"/>
                <w:sz w:val="16"/>
                <w:szCs w:val="16"/>
              </w:rPr>
            </w:pPr>
            <w:r>
              <w:rPr>
                <w:rFonts w:ascii="Calibri" w:hAnsi="Calibri" w:cs="Calibri"/>
                <w:sz w:val="16"/>
                <w:szCs w:val="16"/>
              </w:rPr>
              <w:t>I</w:t>
            </w:r>
            <w:r w:rsidR="00294BD4" w:rsidRPr="003F1EDB">
              <w:rPr>
                <w:rFonts w:ascii="Calibri" w:hAnsi="Calibri" w:cs="Calibri"/>
                <w:sz w:val="16"/>
                <w:szCs w:val="16"/>
              </w:rPr>
              <w:t xml:space="preserve">nvestiční </w:t>
            </w:r>
          </w:p>
        </w:tc>
        <w:tc>
          <w:tcPr>
            <w:tcW w:w="618" w:type="pct"/>
            <w:tcBorders>
              <w:top w:val="nil"/>
              <w:left w:val="nil"/>
              <w:bottom w:val="single" w:sz="4" w:space="0" w:color="auto"/>
              <w:right w:val="single" w:sz="4" w:space="0" w:color="auto"/>
            </w:tcBorders>
            <w:vAlign w:val="center"/>
            <w:hideMark/>
          </w:tcPr>
          <w:p w14:paraId="030AD2F9"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50 000 000</w:t>
            </w:r>
          </w:p>
        </w:tc>
        <w:tc>
          <w:tcPr>
            <w:tcW w:w="618" w:type="pct"/>
            <w:tcBorders>
              <w:top w:val="nil"/>
              <w:left w:val="nil"/>
              <w:bottom w:val="single" w:sz="4" w:space="0" w:color="auto"/>
              <w:right w:val="single" w:sz="4" w:space="0" w:color="auto"/>
            </w:tcBorders>
            <w:vAlign w:val="center"/>
            <w:hideMark/>
          </w:tcPr>
          <w:p w14:paraId="514C5354"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20 000 000</w:t>
            </w:r>
          </w:p>
        </w:tc>
        <w:tc>
          <w:tcPr>
            <w:tcW w:w="617" w:type="pct"/>
            <w:tcBorders>
              <w:top w:val="nil"/>
              <w:left w:val="nil"/>
              <w:bottom w:val="single" w:sz="4" w:space="0" w:color="auto"/>
              <w:right w:val="single" w:sz="4" w:space="0" w:color="auto"/>
            </w:tcBorders>
            <w:vAlign w:val="center"/>
            <w:hideMark/>
          </w:tcPr>
          <w:p w14:paraId="7825922F"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20 000 000</w:t>
            </w:r>
          </w:p>
        </w:tc>
        <w:tc>
          <w:tcPr>
            <w:tcW w:w="618" w:type="pct"/>
            <w:tcBorders>
              <w:top w:val="nil"/>
              <w:left w:val="nil"/>
              <w:bottom w:val="single" w:sz="4" w:space="0" w:color="auto"/>
              <w:right w:val="single" w:sz="4" w:space="0" w:color="auto"/>
            </w:tcBorders>
            <w:vAlign w:val="center"/>
            <w:hideMark/>
          </w:tcPr>
          <w:p w14:paraId="54660FA8"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24 513 665</w:t>
            </w:r>
          </w:p>
        </w:tc>
        <w:tc>
          <w:tcPr>
            <w:tcW w:w="617" w:type="pct"/>
            <w:tcBorders>
              <w:top w:val="nil"/>
              <w:left w:val="nil"/>
              <w:bottom w:val="single" w:sz="4" w:space="0" w:color="auto"/>
              <w:right w:val="single" w:sz="4" w:space="0" w:color="auto"/>
            </w:tcBorders>
            <w:vAlign w:val="center"/>
            <w:hideMark/>
          </w:tcPr>
          <w:p w14:paraId="6A738029"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45 995 680</w:t>
            </w:r>
          </w:p>
        </w:tc>
        <w:tc>
          <w:tcPr>
            <w:tcW w:w="618" w:type="pct"/>
            <w:tcBorders>
              <w:top w:val="nil"/>
              <w:left w:val="nil"/>
              <w:bottom w:val="single" w:sz="4" w:space="0" w:color="auto"/>
              <w:right w:val="single" w:sz="4" w:space="0" w:color="auto"/>
            </w:tcBorders>
            <w:vAlign w:val="center"/>
            <w:hideMark/>
          </w:tcPr>
          <w:p w14:paraId="6C08A6D1" w14:textId="77777777" w:rsidR="00294BD4" w:rsidRPr="003F1EDB" w:rsidRDefault="00294BD4" w:rsidP="003F1EDB">
            <w:pPr>
              <w:keepNext/>
              <w:keepLines/>
              <w:spacing w:after="0"/>
              <w:ind w:right="57"/>
              <w:jc w:val="right"/>
              <w:rPr>
                <w:rFonts w:ascii="Calibri" w:hAnsi="Calibri" w:cs="Calibri"/>
                <w:sz w:val="16"/>
                <w:szCs w:val="16"/>
              </w:rPr>
            </w:pPr>
            <w:r w:rsidRPr="003F1EDB">
              <w:rPr>
                <w:rFonts w:ascii="Calibri" w:hAnsi="Calibri" w:cs="Calibri"/>
                <w:sz w:val="16"/>
                <w:szCs w:val="16"/>
              </w:rPr>
              <w:t>64 008 852</w:t>
            </w:r>
          </w:p>
        </w:tc>
      </w:tr>
      <w:tr w:rsidR="00294BD4" w:rsidRPr="003F1EDB" w14:paraId="64BA81E6" w14:textId="77777777" w:rsidTr="003F1EDB">
        <w:trPr>
          <w:trHeight w:val="255"/>
        </w:trPr>
        <w:tc>
          <w:tcPr>
            <w:tcW w:w="0" w:type="auto"/>
            <w:vMerge/>
            <w:tcBorders>
              <w:top w:val="nil"/>
              <w:left w:val="single" w:sz="4" w:space="0" w:color="auto"/>
              <w:bottom w:val="single" w:sz="4" w:space="0" w:color="auto"/>
              <w:right w:val="single" w:sz="4" w:space="0" w:color="auto"/>
            </w:tcBorders>
            <w:vAlign w:val="center"/>
            <w:hideMark/>
          </w:tcPr>
          <w:p w14:paraId="1D7C2611" w14:textId="77777777" w:rsidR="00294BD4" w:rsidRPr="003F1EDB" w:rsidRDefault="00294BD4" w:rsidP="003F1EDB">
            <w:pPr>
              <w:keepNext/>
              <w:keepLines/>
              <w:spacing w:after="0"/>
              <w:rPr>
                <w:rFonts w:ascii="Calibri" w:hAnsi="Calibri" w:cs="Calibri"/>
                <w:b/>
                <w:bCs/>
                <w:sz w:val="16"/>
                <w:szCs w:val="16"/>
              </w:rPr>
            </w:pPr>
          </w:p>
        </w:tc>
        <w:tc>
          <w:tcPr>
            <w:tcW w:w="654" w:type="pct"/>
            <w:tcBorders>
              <w:top w:val="nil"/>
              <w:left w:val="nil"/>
              <w:bottom w:val="single" w:sz="4" w:space="0" w:color="auto"/>
              <w:right w:val="single" w:sz="4" w:space="0" w:color="auto"/>
            </w:tcBorders>
            <w:vAlign w:val="center"/>
            <w:hideMark/>
          </w:tcPr>
          <w:p w14:paraId="3ECD11A0" w14:textId="01DD4576" w:rsidR="00294BD4" w:rsidRPr="003F1EDB" w:rsidRDefault="00E32F84" w:rsidP="003F1EDB">
            <w:pPr>
              <w:keepNext/>
              <w:keepLines/>
              <w:spacing w:after="0"/>
              <w:rPr>
                <w:rFonts w:ascii="Calibri" w:hAnsi="Calibri" w:cs="Calibri"/>
                <w:b/>
                <w:bCs/>
                <w:sz w:val="16"/>
                <w:szCs w:val="16"/>
              </w:rPr>
            </w:pPr>
            <w:r>
              <w:rPr>
                <w:rFonts w:ascii="Calibri" w:hAnsi="Calibri" w:cs="Calibri"/>
                <w:b/>
                <w:bCs/>
                <w:sz w:val="16"/>
                <w:szCs w:val="16"/>
              </w:rPr>
              <w:t>C</w:t>
            </w:r>
            <w:r w:rsidR="00294BD4" w:rsidRPr="003F1EDB">
              <w:rPr>
                <w:rFonts w:ascii="Calibri" w:hAnsi="Calibri" w:cs="Calibri"/>
                <w:b/>
                <w:bCs/>
                <w:sz w:val="16"/>
                <w:szCs w:val="16"/>
              </w:rPr>
              <w:t>elkem</w:t>
            </w:r>
          </w:p>
        </w:tc>
        <w:tc>
          <w:tcPr>
            <w:tcW w:w="618" w:type="pct"/>
            <w:tcBorders>
              <w:top w:val="nil"/>
              <w:left w:val="nil"/>
              <w:bottom w:val="single" w:sz="4" w:space="0" w:color="auto"/>
              <w:right w:val="single" w:sz="4" w:space="0" w:color="auto"/>
            </w:tcBorders>
            <w:vAlign w:val="center"/>
            <w:hideMark/>
          </w:tcPr>
          <w:p w14:paraId="5C29EA7C"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164 800 000</w:t>
            </w:r>
          </w:p>
        </w:tc>
        <w:tc>
          <w:tcPr>
            <w:tcW w:w="618" w:type="pct"/>
            <w:tcBorders>
              <w:top w:val="nil"/>
              <w:left w:val="nil"/>
              <w:bottom w:val="single" w:sz="4" w:space="0" w:color="auto"/>
              <w:right w:val="single" w:sz="4" w:space="0" w:color="auto"/>
            </w:tcBorders>
            <w:vAlign w:val="center"/>
            <w:hideMark/>
          </w:tcPr>
          <w:p w14:paraId="4F157C33"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150 000 000</w:t>
            </w:r>
          </w:p>
        </w:tc>
        <w:tc>
          <w:tcPr>
            <w:tcW w:w="617" w:type="pct"/>
            <w:tcBorders>
              <w:top w:val="nil"/>
              <w:left w:val="nil"/>
              <w:bottom w:val="single" w:sz="4" w:space="0" w:color="auto"/>
              <w:right w:val="single" w:sz="4" w:space="0" w:color="auto"/>
            </w:tcBorders>
            <w:vAlign w:val="center"/>
            <w:hideMark/>
          </w:tcPr>
          <w:p w14:paraId="064A929D"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160 000 000</w:t>
            </w:r>
          </w:p>
        </w:tc>
        <w:tc>
          <w:tcPr>
            <w:tcW w:w="618" w:type="pct"/>
            <w:tcBorders>
              <w:top w:val="nil"/>
              <w:left w:val="nil"/>
              <w:bottom w:val="single" w:sz="4" w:space="0" w:color="auto"/>
              <w:right w:val="single" w:sz="4" w:space="0" w:color="auto"/>
            </w:tcBorders>
            <w:vAlign w:val="center"/>
            <w:hideMark/>
          </w:tcPr>
          <w:p w14:paraId="75E73B97"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159 513 665</w:t>
            </w:r>
          </w:p>
        </w:tc>
        <w:tc>
          <w:tcPr>
            <w:tcW w:w="617" w:type="pct"/>
            <w:tcBorders>
              <w:top w:val="nil"/>
              <w:left w:val="nil"/>
              <w:bottom w:val="single" w:sz="4" w:space="0" w:color="auto"/>
              <w:right w:val="single" w:sz="4" w:space="0" w:color="auto"/>
            </w:tcBorders>
            <w:vAlign w:val="center"/>
            <w:hideMark/>
          </w:tcPr>
          <w:p w14:paraId="42E616A7"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205 995 680</w:t>
            </w:r>
          </w:p>
        </w:tc>
        <w:tc>
          <w:tcPr>
            <w:tcW w:w="618" w:type="pct"/>
            <w:tcBorders>
              <w:top w:val="nil"/>
              <w:left w:val="nil"/>
              <w:bottom w:val="single" w:sz="4" w:space="0" w:color="auto"/>
              <w:right w:val="single" w:sz="4" w:space="0" w:color="auto"/>
            </w:tcBorders>
            <w:vAlign w:val="center"/>
            <w:hideMark/>
          </w:tcPr>
          <w:p w14:paraId="0FFFD5D2" w14:textId="77777777" w:rsidR="00294BD4" w:rsidRPr="003F1EDB" w:rsidRDefault="00294BD4" w:rsidP="003F1EDB">
            <w:pPr>
              <w:keepNext/>
              <w:keepLines/>
              <w:spacing w:after="0"/>
              <w:ind w:right="57"/>
              <w:jc w:val="right"/>
              <w:rPr>
                <w:rFonts w:ascii="Calibri" w:hAnsi="Calibri" w:cs="Calibri"/>
                <w:b/>
                <w:bCs/>
                <w:sz w:val="16"/>
                <w:szCs w:val="16"/>
              </w:rPr>
            </w:pPr>
            <w:r w:rsidRPr="003F1EDB">
              <w:rPr>
                <w:rFonts w:ascii="Calibri" w:hAnsi="Calibri" w:cs="Calibri"/>
                <w:b/>
                <w:bCs/>
                <w:sz w:val="16"/>
                <w:szCs w:val="16"/>
              </w:rPr>
              <w:t>232 936 415</w:t>
            </w:r>
          </w:p>
        </w:tc>
      </w:tr>
      <w:tr w:rsidR="00294BD4" w:rsidRPr="003F1EDB" w14:paraId="0DA88302" w14:textId="77777777" w:rsidTr="003F1EDB">
        <w:trPr>
          <w:trHeight w:val="255"/>
        </w:trPr>
        <w:tc>
          <w:tcPr>
            <w:tcW w:w="1294" w:type="pct"/>
            <w:gridSpan w:val="2"/>
            <w:tcBorders>
              <w:top w:val="single" w:sz="4" w:space="0" w:color="auto"/>
              <w:left w:val="single" w:sz="4" w:space="0" w:color="auto"/>
              <w:bottom w:val="single" w:sz="4" w:space="0" w:color="auto"/>
              <w:right w:val="single" w:sz="4" w:space="0" w:color="000000"/>
            </w:tcBorders>
            <w:noWrap/>
            <w:vAlign w:val="center"/>
            <w:hideMark/>
          </w:tcPr>
          <w:p w14:paraId="62163FA0" w14:textId="77777777" w:rsidR="00294BD4" w:rsidRPr="003F1EDB" w:rsidRDefault="00294BD4" w:rsidP="003F1EDB">
            <w:pPr>
              <w:keepNext/>
              <w:keepLines/>
              <w:spacing w:after="0"/>
              <w:rPr>
                <w:rFonts w:ascii="Calibri" w:hAnsi="Calibri" w:cs="Calibri"/>
                <w:b/>
                <w:bCs/>
                <w:color w:val="000000"/>
                <w:sz w:val="16"/>
                <w:szCs w:val="16"/>
              </w:rPr>
            </w:pPr>
            <w:r w:rsidRPr="003F1EDB">
              <w:rPr>
                <w:rFonts w:ascii="Calibri" w:hAnsi="Calibri" w:cs="Calibri"/>
                <w:b/>
                <w:bCs/>
                <w:color w:val="000000"/>
                <w:sz w:val="16"/>
                <w:szCs w:val="16"/>
              </w:rPr>
              <w:t>Celkem v jednotlivých letech</w:t>
            </w:r>
          </w:p>
        </w:tc>
        <w:tc>
          <w:tcPr>
            <w:tcW w:w="618" w:type="pct"/>
            <w:tcBorders>
              <w:top w:val="nil"/>
              <w:left w:val="nil"/>
              <w:bottom w:val="single" w:sz="4" w:space="0" w:color="auto"/>
              <w:right w:val="single" w:sz="4" w:space="0" w:color="auto"/>
            </w:tcBorders>
            <w:noWrap/>
            <w:vAlign w:val="center"/>
            <w:hideMark/>
          </w:tcPr>
          <w:p w14:paraId="0A93CC9F" w14:textId="77777777" w:rsidR="00294BD4" w:rsidRPr="003F1EDB" w:rsidRDefault="00294BD4" w:rsidP="003F1EDB">
            <w:pPr>
              <w:keepNext/>
              <w:keepLines/>
              <w:spacing w:after="0"/>
              <w:ind w:right="57"/>
              <w:jc w:val="right"/>
              <w:rPr>
                <w:rFonts w:ascii="Calibri" w:hAnsi="Calibri" w:cs="Calibri"/>
                <w:b/>
                <w:bCs/>
                <w:color w:val="000000"/>
                <w:sz w:val="16"/>
                <w:szCs w:val="16"/>
              </w:rPr>
            </w:pPr>
            <w:r w:rsidRPr="003F1EDB">
              <w:rPr>
                <w:rFonts w:ascii="Calibri" w:hAnsi="Calibri" w:cs="Calibri"/>
                <w:b/>
                <w:bCs/>
                <w:color w:val="000000"/>
                <w:sz w:val="16"/>
                <w:szCs w:val="16"/>
              </w:rPr>
              <w:t>835 063 224</w:t>
            </w:r>
          </w:p>
        </w:tc>
        <w:tc>
          <w:tcPr>
            <w:tcW w:w="618" w:type="pct"/>
            <w:tcBorders>
              <w:top w:val="nil"/>
              <w:left w:val="nil"/>
              <w:bottom w:val="single" w:sz="4" w:space="0" w:color="auto"/>
              <w:right w:val="single" w:sz="4" w:space="0" w:color="auto"/>
            </w:tcBorders>
            <w:noWrap/>
            <w:vAlign w:val="center"/>
            <w:hideMark/>
          </w:tcPr>
          <w:p w14:paraId="631DAE06" w14:textId="77777777" w:rsidR="00294BD4" w:rsidRPr="003F1EDB" w:rsidRDefault="00294BD4" w:rsidP="003F1EDB">
            <w:pPr>
              <w:keepNext/>
              <w:keepLines/>
              <w:spacing w:after="0"/>
              <w:ind w:right="57"/>
              <w:jc w:val="right"/>
              <w:rPr>
                <w:rFonts w:ascii="Calibri" w:hAnsi="Calibri" w:cs="Calibri"/>
                <w:b/>
                <w:bCs/>
                <w:color w:val="000000"/>
                <w:sz w:val="16"/>
                <w:szCs w:val="16"/>
              </w:rPr>
            </w:pPr>
            <w:r w:rsidRPr="003F1EDB">
              <w:rPr>
                <w:rFonts w:ascii="Calibri" w:hAnsi="Calibri" w:cs="Calibri"/>
                <w:b/>
                <w:bCs/>
                <w:color w:val="000000"/>
                <w:sz w:val="16"/>
                <w:szCs w:val="16"/>
              </w:rPr>
              <w:t>920 370 606</w:t>
            </w:r>
          </w:p>
        </w:tc>
        <w:tc>
          <w:tcPr>
            <w:tcW w:w="617" w:type="pct"/>
            <w:tcBorders>
              <w:top w:val="nil"/>
              <w:left w:val="nil"/>
              <w:bottom w:val="single" w:sz="4" w:space="0" w:color="auto"/>
              <w:right w:val="single" w:sz="4" w:space="0" w:color="auto"/>
            </w:tcBorders>
            <w:noWrap/>
            <w:vAlign w:val="center"/>
            <w:hideMark/>
          </w:tcPr>
          <w:p w14:paraId="04AA1A37" w14:textId="77777777" w:rsidR="00294BD4" w:rsidRPr="003F1EDB" w:rsidRDefault="00294BD4" w:rsidP="003F1EDB">
            <w:pPr>
              <w:keepNext/>
              <w:keepLines/>
              <w:spacing w:after="0"/>
              <w:ind w:right="57"/>
              <w:jc w:val="right"/>
              <w:rPr>
                <w:rFonts w:ascii="Calibri" w:hAnsi="Calibri" w:cs="Calibri"/>
                <w:b/>
                <w:bCs/>
                <w:color w:val="000000"/>
                <w:sz w:val="16"/>
                <w:szCs w:val="16"/>
              </w:rPr>
            </w:pPr>
            <w:r w:rsidRPr="003F1EDB">
              <w:rPr>
                <w:rFonts w:ascii="Calibri" w:hAnsi="Calibri" w:cs="Calibri"/>
                <w:b/>
                <w:bCs/>
                <w:color w:val="000000"/>
                <w:sz w:val="16"/>
                <w:szCs w:val="16"/>
              </w:rPr>
              <w:t>1 109 514 358</w:t>
            </w:r>
          </w:p>
        </w:tc>
        <w:tc>
          <w:tcPr>
            <w:tcW w:w="618" w:type="pct"/>
            <w:tcBorders>
              <w:top w:val="nil"/>
              <w:left w:val="nil"/>
              <w:bottom w:val="single" w:sz="4" w:space="0" w:color="auto"/>
              <w:right w:val="single" w:sz="4" w:space="0" w:color="auto"/>
            </w:tcBorders>
            <w:noWrap/>
            <w:vAlign w:val="center"/>
            <w:hideMark/>
          </w:tcPr>
          <w:p w14:paraId="0CBC5107" w14:textId="77777777" w:rsidR="00294BD4" w:rsidRPr="003F1EDB" w:rsidRDefault="00294BD4" w:rsidP="003F1EDB">
            <w:pPr>
              <w:keepNext/>
              <w:keepLines/>
              <w:spacing w:after="0"/>
              <w:ind w:right="57"/>
              <w:jc w:val="right"/>
              <w:rPr>
                <w:rFonts w:ascii="Calibri" w:hAnsi="Calibri" w:cs="Calibri"/>
                <w:b/>
                <w:bCs/>
                <w:color w:val="000000"/>
                <w:sz w:val="16"/>
                <w:szCs w:val="16"/>
              </w:rPr>
            </w:pPr>
            <w:r w:rsidRPr="003F1EDB">
              <w:rPr>
                <w:rFonts w:ascii="Calibri" w:hAnsi="Calibri" w:cs="Calibri"/>
                <w:b/>
                <w:bCs/>
                <w:color w:val="000000"/>
                <w:sz w:val="16"/>
                <w:szCs w:val="16"/>
              </w:rPr>
              <w:t>1 223 824 099</w:t>
            </w:r>
          </w:p>
        </w:tc>
        <w:tc>
          <w:tcPr>
            <w:tcW w:w="617" w:type="pct"/>
            <w:tcBorders>
              <w:top w:val="nil"/>
              <w:left w:val="nil"/>
              <w:bottom w:val="single" w:sz="4" w:space="0" w:color="auto"/>
              <w:right w:val="single" w:sz="4" w:space="0" w:color="auto"/>
            </w:tcBorders>
            <w:noWrap/>
            <w:vAlign w:val="center"/>
            <w:hideMark/>
          </w:tcPr>
          <w:p w14:paraId="2F7D30FE" w14:textId="77777777" w:rsidR="00294BD4" w:rsidRPr="003F1EDB" w:rsidRDefault="00294BD4" w:rsidP="003F1EDB">
            <w:pPr>
              <w:keepNext/>
              <w:keepLines/>
              <w:spacing w:after="0"/>
              <w:ind w:right="57"/>
              <w:jc w:val="right"/>
              <w:rPr>
                <w:rFonts w:ascii="Calibri" w:hAnsi="Calibri" w:cs="Calibri"/>
                <w:b/>
                <w:bCs/>
                <w:color w:val="000000"/>
                <w:sz w:val="16"/>
                <w:szCs w:val="16"/>
              </w:rPr>
            </w:pPr>
            <w:r w:rsidRPr="003F1EDB">
              <w:rPr>
                <w:rFonts w:ascii="Calibri" w:hAnsi="Calibri" w:cs="Calibri"/>
                <w:b/>
                <w:bCs/>
                <w:color w:val="000000"/>
                <w:sz w:val="16"/>
                <w:szCs w:val="16"/>
              </w:rPr>
              <w:t>1 158 239 413</w:t>
            </w:r>
          </w:p>
        </w:tc>
        <w:tc>
          <w:tcPr>
            <w:tcW w:w="618" w:type="pct"/>
            <w:tcBorders>
              <w:top w:val="nil"/>
              <w:left w:val="nil"/>
              <w:bottom w:val="single" w:sz="4" w:space="0" w:color="auto"/>
              <w:right w:val="single" w:sz="4" w:space="0" w:color="auto"/>
            </w:tcBorders>
            <w:noWrap/>
            <w:vAlign w:val="center"/>
            <w:hideMark/>
          </w:tcPr>
          <w:p w14:paraId="70CD43A2" w14:textId="77777777" w:rsidR="00294BD4" w:rsidRPr="003F1EDB" w:rsidRDefault="00294BD4" w:rsidP="003F1EDB">
            <w:pPr>
              <w:keepNext/>
              <w:keepLines/>
              <w:spacing w:after="0"/>
              <w:ind w:right="57"/>
              <w:jc w:val="right"/>
              <w:rPr>
                <w:rFonts w:ascii="Calibri" w:hAnsi="Calibri" w:cs="Calibri"/>
                <w:b/>
                <w:bCs/>
                <w:color w:val="000000"/>
                <w:sz w:val="16"/>
                <w:szCs w:val="16"/>
              </w:rPr>
            </w:pPr>
            <w:r w:rsidRPr="003F1EDB">
              <w:rPr>
                <w:rFonts w:ascii="Calibri" w:hAnsi="Calibri" w:cs="Calibri"/>
                <w:b/>
                <w:bCs/>
                <w:color w:val="000000"/>
                <w:sz w:val="16"/>
                <w:szCs w:val="16"/>
              </w:rPr>
              <w:t>1 146 933 685</w:t>
            </w:r>
          </w:p>
        </w:tc>
        <w:bookmarkEnd w:id="11"/>
      </w:tr>
      <w:tr w:rsidR="00294BD4" w:rsidRPr="003F1EDB" w14:paraId="796CFC74" w14:textId="77777777" w:rsidTr="003F1EDB">
        <w:trPr>
          <w:trHeight w:val="255"/>
        </w:trPr>
        <w:tc>
          <w:tcPr>
            <w:tcW w:w="1294" w:type="pct"/>
            <w:gridSpan w:val="2"/>
            <w:tcBorders>
              <w:top w:val="single" w:sz="4" w:space="0" w:color="auto"/>
              <w:left w:val="single" w:sz="4" w:space="0" w:color="auto"/>
              <w:bottom w:val="single" w:sz="4" w:space="0" w:color="auto"/>
              <w:right w:val="single" w:sz="4" w:space="0" w:color="000000"/>
            </w:tcBorders>
            <w:noWrap/>
            <w:vAlign w:val="center"/>
            <w:hideMark/>
          </w:tcPr>
          <w:p w14:paraId="14B69F99" w14:textId="77777777" w:rsidR="00294BD4" w:rsidRPr="003F1EDB" w:rsidRDefault="00294BD4" w:rsidP="003F1EDB">
            <w:pPr>
              <w:spacing w:before="40" w:after="0"/>
              <w:rPr>
                <w:rFonts w:ascii="Calibri" w:hAnsi="Calibri" w:cs="Calibri"/>
                <w:b/>
                <w:bCs/>
                <w:color w:val="000000"/>
                <w:sz w:val="20"/>
                <w:szCs w:val="20"/>
              </w:rPr>
            </w:pPr>
            <w:r w:rsidRPr="003F1EDB">
              <w:rPr>
                <w:rFonts w:ascii="Calibri" w:hAnsi="Calibri" w:cs="Calibri"/>
                <w:b/>
                <w:bCs/>
                <w:color w:val="000000"/>
                <w:sz w:val="20"/>
                <w:szCs w:val="20"/>
              </w:rPr>
              <w:t>Celkem za roky 2015–2020</w:t>
            </w:r>
          </w:p>
        </w:tc>
        <w:tc>
          <w:tcPr>
            <w:tcW w:w="3706" w:type="pct"/>
            <w:gridSpan w:val="6"/>
            <w:tcBorders>
              <w:top w:val="single" w:sz="4" w:space="0" w:color="auto"/>
              <w:left w:val="nil"/>
              <w:bottom w:val="single" w:sz="4" w:space="0" w:color="auto"/>
              <w:right w:val="single" w:sz="4" w:space="0" w:color="000000"/>
            </w:tcBorders>
            <w:noWrap/>
            <w:vAlign w:val="center"/>
            <w:hideMark/>
          </w:tcPr>
          <w:p w14:paraId="3D156914" w14:textId="77777777" w:rsidR="00294BD4" w:rsidRPr="003F1EDB" w:rsidRDefault="00294BD4" w:rsidP="003F1EDB">
            <w:pPr>
              <w:spacing w:before="40" w:after="0"/>
              <w:jc w:val="center"/>
              <w:rPr>
                <w:rFonts w:ascii="Calibri" w:hAnsi="Calibri" w:cs="Calibri"/>
                <w:b/>
                <w:bCs/>
                <w:color w:val="000000"/>
                <w:sz w:val="20"/>
                <w:szCs w:val="20"/>
              </w:rPr>
            </w:pPr>
            <w:r w:rsidRPr="003F1EDB">
              <w:rPr>
                <w:rFonts w:ascii="Calibri" w:hAnsi="Calibri" w:cs="Calibri"/>
                <w:b/>
                <w:bCs/>
                <w:color w:val="000000"/>
                <w:sz w:val="20"/>
                <w:szCs w:val="20"/>
              </w:rPr>
              <w:t>6 393 945 384</w:t>
            </w:r>
          </w:p>
        </w:tc>
      </w:tr>
    </w:tbl>
    <w:p w14:paraId="651DE653" w14:textId="20BE65C8" w:rsidR="00A06C3B" w:rsidRPr="003F1EDB" w:rsidRDefault="00A06C3B" w:rsidP="00E32F84">
      <w:pPr>
        <w:spacing w:before="40"/>
        <w:rPr>
          <w:rFonts w:cstheme="minorHAnsi"/>
          <w:sz w:val="20"/>
          <w:szCs w:val="20"/>
          <w:lang w:eastAsia="en-US"/>
        </w:rPr>
      </w:pPr>
      <w:r w:rsidRPr="003F1EDB">
        <w:rPr>
          <w:b/>
          <w:sz w:val="20"/>
          <w:szCs w:val="20"/>
        </w:rPr>
        <w:t>Zdroj:</w:t>
      </w:r>
      <w:r w:rsidRPr="003F1EDB">
        <w:rPr>
          <w:sz w:val="20"/>
          <w:szCs w:val="20"/>
        </w:rPr>
        <w:t xml:space="preserve"> </w:t>
      </w:r>
      <w:r w:rsidR="00E32F84">
        <w:rPr>
          <w:sz w:val="20"/>
          <w:szCs w:val="20"/>
        </w:rPr>
        <w:t>vypracoval</w:t>
      </w:r>
      <w:r w:rsidRPr="003F1EDB">
        <w:rPr>
          <w:sz w:val="20"/>
          <w:szCs w:val="20"/>
        </w:rPr>
        <w:t xml:space="preserve"> NKÚ.</w:t>
      </w:r>
    </w:p>
    <w:p w14:paraId="4719E57A" w14:textId="3FD57CF2" w:rsidR="00356B6E" w:rsidRDefault="00A119D8" w:rsidP="00E32F84">
      <w:pPr>
        <w:spacing w:before="120"/>
        <w:jc w:val="both"/>
      </w:pPr>
      <w:r w:rsidRPr="008131E3">
        <w:rPr>
          <w:rFonts w:ascii="Calibri" w:hAnsi="Calibri" w:cs="Calibri"/>
          <w:b/>
          <w:color w:val="000000"/>
        </w:rPr>
        <w:t>Centrum</w:t>
      </w:r>
      <w:r w:rsidRPr="00640AAE">
        <w:rPr>
          <w:rFonts w:ascii="Calibri" w:hAnsi="Calibri" w:cs="Calibri"/>
          <w:color w:val="000000"/>
        </w:rPr>
        <w:t xml:space="preserve"> </w:t>
      </w:r>
      <w:r w:rsidRPr="00C1015B">
        <w:rPr>
          <w:rFonts w:ascii="Calibri" w:hAnsi="Calibri" w:cs="Calibri"/>
          <w:color w:val="000000"/>
        </w:rPr>
        <w:t xml:space="preserve">je příspěvková organizace MMR zřízená </w:t>
      </w:r>
      <w:r w:rsidR="00321FE2">
        <w:rPr>
          <w:rFonts w:ascii="Calibri" w:hAnsi="Calibri" w:cs="Calibri"/>
          <w:color w:val="000000"/>
        </w:rPr>
        <w:t xml:space="preserve">zákonem </w:t>
      </w:r>
      <w:r w:rsidRPr="00C1015B">
        <w:rPr>
          <w:rFonts w:ascii="Calibri" w:hAnsi="Calibri" w:cs="Calibri"/>
          <w:color w:val="000000"/>
        </w:rPr>
        <w:t>č. </w:t>
      </w:r>
      <w:r w:rsidR="00C56359">
        <w:rPr>
          <w:rFonts w:ascii="Calibri" w:hAnsi="Calibri" w:cs="Calibri"/>
          <w:color w:val="000000"/>
        </w:rPr>
        <w:t>248/2000</w:t>
      </w:r>
      <w:r w:rsidRPr="00C1015B">
        <w:rPr>
          <w:rFonts w:ascii="Calibri" w:hAnsi="Calibri" w:cs="Calibri"/>
          <w:color w:val="000000"/>
        </w:rPr>
        <w:t xml:space="preserve"> Sb.</w:t>
      </w:r>
      <w:r w:rsidR="00EA62AE">
        <w:rPr>
          <w:rStyle w:val="Znakapoznpodarou"/>
          <w:rFonts w:ascii="Calibri" w:hAnsi="Calibri" w:cs="Calibri"/>
          <w:color w:val="000000"/>
        </w:rPr>
        <w:footnoteReference w:id="17"/>
      </w:r>
      <w:r w:rsidR="00014779" w:rsidRPr="00014779">
        <w:rPr>
          <w:rFonts w:cstheme="minorHAnsi"/>
          <w:color w:val="000000"/>
        </w:rPr>
        <w:t xml:space="preserve"> </w:t>
      </w:r>
      <w:r w:rsidR="00014779">
        <w:rPr>
          <w:rFonts w:cstheme="minorHAnsi"/>
          <w:color w:val="000000"/>
        </w:rPr>
        <w:t>a p</w:t>
      </w:r>
      <w:r w:rsidR="00014779" w:rsidRPr="008D353A">
        <w:rPr>
          <w:rFonts w:cstheme="minorHAnsi"/>
        </w:rPr>
        <w:t xml:space="preserve">od názvem Centrum pro regionální rozvoj České republiky působí od 1. června 2015. </w:t>
      </w:r>
      <w:r w:rsidR="00A958AE">
        <w:rPr>
          <w:rFonts w:cstheme="minorHAnsi"/>
        </w:rPr>
        <w:t>Sídlo organizace</w:t>
      </w:r>
      <w:r w:rsidR="00014779" w:rsidRPr="008D353A">
        <w:rPr>
          <w:rFonts w:cstheme="minorHAnsi"/>
        </w:rPr>
        <w:t xml:space="preserve"> se nachází v</w:t>
      </w:r>
      <w:r w:rsidR="00321FE2">
        <w:rPr>
          <w:rFonts w:cstheme="minorHAnsi"/>
        </w:rPr>
        <w:t> </w:t>
      </w:r>
      <w:r w:rsidR="00014779" w:rsidRPr="008D353A">
        <w:rPr>
          <w:rFonts w:cstheme="minorHAnsi"/>
        </w:rPr>
        <w:t>Praze</w:t>
      </w:r>
      <w:r w:rsidR="00321FE2">
        <w:rPr>
          <w:rFonts w:cstheme="minorHAnsi"/>
        </w:rPr>
        <w:t>.</w:t>
      </w:r>
      <w:r w:rsidR="00321880">
        <w:rPr>
          <w:rFonts w:cstheme="minorHAnsi"/>
        </w:rPr>
        <w:t xml:space="preserve"> S</w:t>
      </w:r>
      <w:r w:rsidR="00014779" w:rsidRPr="008D353A">
        <w:rPr>
          <w:rFonts w:cstheme="minorHAnsi"/>
        </w:rPr>
        <w:t>vé</w:t>
      </w:r>
      <w:r w:rsidR="00014779">
        <w:rPr>
          <w:rFonts w:cstheme="minorHAnsi"/>
        </w:rPr>
        <w:t xml:space="preserve"> pobočky </w:t>
      </w:r>
      <w:r w:rsidR="00321880">
        <w:rPr>
          <w:rFonts w:cstheme="minorHAnsi"/>
        </w:rPr>
        <w:t xml:space="preserve">má </w:t>
      </w:r>
      <w:r w:rsidR="00014779">
        <w:rPr>
          <w:rFonts w:cstheme="minorHAnsi"/>
        </w:rPr>
        <w:t xml:space="preserve">v každém krajském městě pro </w:t>
      </w:r>
      <w:r w:rsidR="00014779" w:rsidRPr="0090513F">
        <w:rPr>
          <w:rFonts w:cstheme="minorHAnsi"/>
          <w:i/>
        </w:rPr>
        <w:t>Integrovaný regionální operační program</w:t>
      </w:r>
      <w:r w:rsidR="0090513F" w:rsidRPr="00696A15">
        <w:rPr>
          <w:rFonts w:cstheme="minorHAnsi"/>
          <w:i/>
        </w:rPr>
        <w:t xml:space="preserve"> </w:t>
      </w:r>
      <w:r w:rsidR="00A612D6" w:rsidRPr="00366F9F">
        <w:rPr>
          <w:rFonts w:cstheme="minorHAnsi"/>
        </w:rPr>
        <w:t xml:space="preserve">(dále </w:t>
      </w:r>
      <w:r w:rsidR="00335992" w:rsidRPr="00366F9F">
        <w:rPr>
          <w:rFonts w:cstheme="minorHAnsi"/>
        </w:rPr>
        <w:t>také</w:t>
      </w:r>
      <w:r w:rsidR="00A612D6" w:rsidRPr="00366F9F">
        <w:rPr>
          <w:rFonts w:cstheme="minorHAnsi"/>
        </w:rPr>
        <w:t xml:space="preserve"> „IROP“)</w:t>
      </w:r>
      <w:r w:rsidR="00A612D6">
        <w:rPr>
          <w:rFonts w:cstheme="minorHAnsi"/>
        </w:rPr>
        <w:t xml:space="preserve"> </w:t>
      </w:r>
      <w:r w:rsidR="00014779" w:rsidRPr="008D353A">
        <w:rPr>
          <w:rFonts w:cstheme="minorHAnsi"/>
        </w:rPr>
        <w:t>a v každém regionu NUTS II pro programy přeshraniční spolupráce.</w:t>
      </w:r>
      <w:r w:rsidR="00014779">
        <w:rPr>
          <w:rFonts w:ascii="Calibri" w:hAnsi="Calibri" w:cs="Calibri"/>
          <w:color w:val="000000"/>
        </w:rPr>
        <w:t xml:space="preserve"> </w:t>
      </w:r>
      <w:r w:rsidRPr="00C1015B">
        <w:rPr>
          <w:rFonts w:ascii="Calibri" w:hAnsi="Calibri" w:cs="Calibri"/>
          <w:color w:val="000000"/>
        </w:rPr>
        <w:t>Rozpočet kapitoly 317</w:t>
      </w:r>
      <w:r>
        <w:rPr>
          <w:rFonts w:ascii="Calibri" w:hAnsi="Calibri" w:cs="Calibri"/>
          <w:color w:val="000000"/>
        </w:rPr>
        <w:t> –</w:t>
      </w:r>
      <w:r w:rsidRPr="00C1015B">
        <w:rPr>
          <w:rFonts w:ascii="Calibri" w:hAnsi="Calibri" w:cs="Calibri"/>
          <w:color w:val="000000"/>
        </w:rPr>
        <w:t xml:space="preserve"> </w:t>
      </w:r>
      <w:r w:rsidRPr="007D3221">
        <w:rPr>
          <w:rFonts w:ascii="Calibri" w:hAnsi="Calibri" w:cs="Calibri"/>
          <w:i/>
          <w:color w:val="000000"/>
        </w:rPr>
        <w:t>Ministerstvo pro místní rozvoj</w:t>
      </w:r>
      <w:r w:rsidR="003E7F63">
        <w:rPr>
          <w:rFonts w:ascii="Calibri" w:hAnsi="Calibri" w:cs="Calibri"/>
          <w:color w:val="000000"/>
        </w:rPr>
        <w:t xml:space="preserve"> obsahuje výdaje na činnost příspěvkových organizací</w:t>
      </w:r>
      <w:r w:rsidR="00364198">
        <w:rPr>
          <w:rFonts w:ascii="Calibri" w:hAnsi="Calibri" w:cs="Calibri"/>
          <w:color w:val="000000"/>
        </w:rPr>
        <w:t>, kterou je i Centrum</w:t>
      </w:r>
      <w:r w:rsidRPr="00C1015B">
        <w:rPr>
          <w:rFonts w:ascii="Calibri" w:hAnsi="Calibri" w:cs="Calibri"/>
          <w:color w:val="000000"/>
        </w:rPr>
        <w:t>.</w:t>
      </w:r>
      <w:r w:rsidR="00014779" w:rsidRPr="00014779">
        <w:rPr>
          <w:rFonts w:ascii="Calibri" w:hAnsi="Calibri" w:cs="Calibri"/>
          <w:color w:val="000000"/>
        </w:rPr>
        <w:t xml:space="preserve"> </w:t>
      </w:r>
      <w:r w:rsidR="00356B6E">
        <w:t xml:space="preserve">Ze státního rozpočtu </w:t>
      </w:r>
      <w:r w:rsidR="00364198">
        <w:t>čerpalo Centrum i</w:t>
      </w:r>
      <w:r w:rsidR="00696A15">
        <w:t> </w:t>
      </w:r>
      <w:r w:rsidR="00356B6E">
        <w:t>příspěvek na provoz</w:t>
      </w:r>
      <w:r w:rsidR="00356B6E">
        <w:rPr>
          <w:rStyle w:val="Znakapoznpodarou"/>
        </w:rPr>
        <w:footnoteReference w:id="18"/>
      </w:r>
      <w:r w:rsidR="00356B6E">
        <w:t xml:space="preserve">. Z prostředků Evropské unie </w:t>
      </w:r>
      <w:r w:rsidR="00C4381B">
        <w:t xml:space="preserve">(dále také „EU“) </w:t>
      </w:r>
      <w:r w:rsidR="00356B6E">
        <w:t>organizace financ</w:t>
      </w:r>
      <w:r w:rsidR="00A958AE">
        <w:t>ovala</w:t>
      </w:r>
      <w:r w:rsidR="00356B6E">
        <w:t xml:space="preserve"> mzdy zaměstnanců, nájem a služby spojené s nájmem pražské centrály a územních pracovišť, vybavení potřebné pro chod organizace (nábytek, systémová i uživatelská infrastruktura IT a jiné) a vzdělávání zaměstnanců. </w:t>
      </w:r>
    </w:p>
    <w:p w14:paraId="478565AB" w14:textId="77777777" w:rsidR="00766582" w:rsidRDefault="00D5700E" w:rsidP="00356B6E">
      <w:pPr>
        <w:jc w:val="both"/>
        <w:rPr>
          <w:rFonts w:ascii="Calibri" w:hAnsi="Calibri" w:cs="Calibri"/>
          <w:color w:val="000000" w:themeColor="text1"/>
        </w:rPr>
      </w:pPr>
      <w:r w:rsidRPr="00356B6E">
        <w:rPr>
          <w:rFonts w:ascii="Calibri" w:hAnsi="Calibri" w:cs="Calibri"/>
          <w:color w:val="000000" w:themeColor="text1"/>
        </w:rPr>
        <w:t xml:space="preserve">Činnost této organizace je zaměřena na administraci programů </w:t>
      </w:r>
      <w:r w:rsidR="00F564DF">
        <w:rPr>
          <w:rFonts w:ascii="Calibri" w:hAnsi="Calibri" w:cs="Calibri"/>
          <w:color w:val="000000" w:themeColor="text1"/>
        </w:rPr>
        <w:t>EU</w:t>
      </w:r>
      <w:r w:rsidRPr="00356B6E">
        <w:rPr>
          <w:rFonts w:ascii="Calibri" w:hAnsi="Calibri" w:cs="Calibri"/>
          <w:color w:val="000000" w:themeColor="text1"/>
        </w:rPr>
        <w:t xml:space="preserve"> v České republice a</w:t>
      </w:r>
      <w:r w:rsidR="00707CD3">
        <w:rPr>
          <w:rFonts w:ascii="Calibri" w:hAnsi="Calibri" w:cs="Calibri"/>
          <w:color w:val="000000" w:themeColor="text1"/>
        </w:rPr>
        <w:t> </w:t>
      </w:r>
      <w:r w:rsidR="00766582">
        <w:rPr>
          <w:rFonts w:ascii="Calibri" w:hAnsi="Calibri" w:cs="Calibri"/>
          <w:color w:val="000000" w:themeColor="text1"/>
        </w:rPr>
        <w:t xml:space="preserve">podporu regionální politiky vlády realizované z evropských prostředků. Centrum je také součástí celoevropské poradenské sítě pro malé a střední podnikatele </w:t>
      </w:r>
      <w:proofErr w:type="spellStart"/>
      <w:r w:rsidR="00766582">
        <w:rPr>
          <w:rFonts w:ascii="Calibri" w:hAnsi="Calibri" w:cs="Calibri"/>
          <w:color w:val="000000" w:themeColor="text1"/>
        </w:rPr>
        <w:t>Enterprise</w:t>
      </w:r>
      <w:proofErr w:type="spellEnd"/>
      <w:r w:rsidR="00766582">
        <w:rPr>
          <w:rFonts w:ascii="Calibri" w:hAnsi="Calibri" w:cs="Calibri"/>
          <w:color w:val="000000" w:themeColor="text1"/>
        </w:rPr>
        <w:t xml:space="preserve"> </w:t>
      </w:r>
      <w:proofErr w:type="spellStart"/>
      <w:r w:rsidR="00766582">
        <w:rPr>
          <w:rFonts w:ascii="Calibri" w:hAnsi="Calibri" w:cs="Calibri"/>
          <w:color w:val="000000" w:themeColor="text1"/>
        </w:rPr>
        <w:t>Europe</w:t>
      </w:r>
      <w:proofErr w:type="spellEnd"/>
      <w:r w:rsidR="00766582">
        <w:rPr>
          <w:rFonts w:ascii="Calibri" w:hAnsi="Calibri" w:cs="Calibri"/>
          <w:color w:val="000000" w:themeColor="text1"/>
        </w:rPr>
        <w:t xml:space="preserve"> Network.  </w:t>
      </w:r>
    </w:p>
    <w:p w14:paraId="639A1D9F" w14:textId="46759ADC" w:rsidR="000E6D29" w:rsidRPr="003F1EDB" w:rsidRDefault="000E6D29" w:rsidP="00974BD0">
      <w:pPr>
        <w:pStyle w:val="Titulek"/>
        <w:keepNext/>
        <w:keepLines/>
        <w:tabs>
          <w:tab w:val="right" w:pos="9072"/>
        </w:tabs>
        <w:spacing w:after="40"/>
        <w:rPr>
          <w:rFonts w:asciiTheme="minorHAnsi" w:hAnsiTheme="minorHAnsi" w:cstheme="minorHAnsi"/>
          <w:b/>
          <w:i w:val="0"/>
          <w:vanish/>
          <w:color w:val="auto"/>
          <w:sz w:val="20"/>
          <w:szCs w:val="20"/>
        </w:rPr>
      </w:pPr>
      <w:r w:rsidRPr="003F1EDB">
        <w:rPr>
          <w:rFonts w:asciiTheme="minorHAnsi" w:hAnsiTheme="minorHAnsi" w:cstheme="minorHAnsi"/>
          <w:b/>
          <w:i w:val="0"/>
          <w:color w:val="auto"/>
          <w:sz w:val="24"/>
          <w:szCs w:val="24"/>
        </w:rPr>
        <w:t xml:space="preserve">Tabulka </w:t>
      </w:r>
      <w:r w:rsidRPr="003F1EDB">
        <w:rPr>
          <w:rFonts w:asciiTheme="minorHAnsi" w:hAnsiTheme="minorHAnsi" w:cstheme="minorHAnsi"/>
          <w:b/>
          <w:i w:val="0"/>
          <w:color w:val="auto"/>
          <w:sz w:val="24"/>
          <w:szCs w:val="24"/>
        </w:rPr>
        <w:fldChar w:fldCharType="begin"/>
      </w:r>
      <w:r w:rsidRPr="003F1EDB">
        <w:rPr>
          <w:rFonts w:asciiTheme="minorHAnsi" w:hAnsiTheme="minorHAnsi" w:cstheme="minorHAnsi"/>
          <w:b/>
          <w:i w:val="0"/>
          <w:color w:val="auto"/>
          <w:sz w:val="24"/>
          <w:szCs w:val="24"/>
        </w:rPr>
        <w:instrText xml:space="preserve"> SEQ Tabulka \* ARABIC </w:instrText>
      </w:r>
      <w:r w:rsidRPr="003F1EDB">
        <w:rPr>
          <w:rFonts w:asciiTheme="minorHAnsi" w:hAnsiTheme="minorHAnsi" w:cstheme="minorHAnsi"/>
          <w:b/>
          <w:i w:val="0"/>
          <w:color w:val="auto"/>
          <w:sz w:val="24"/>
          <w:szCs w:val="24"/>
        </w:rPr>
        <w:fldChar w:fldCharType="separate"/>
      </w:r>
      <w:r w:rsidR="00621F68">
        <w:rPr>
          <w:rFonts w:asciiTheme="minorHAnsi" w:hAnsiTheme="minorHAnsi" w:cstheme="minorHAnsi"/>
          <w:b/>
          <w:i w:val="0"/>
          <w:noProof/>
          <w:color w:val="auto"/>
          <w:sz w:val="24"/>
          <w:szCs w:val="24"/>
        </w:rPr>
        <w:t>3</w:t>
      </w:r>
      <w:r w:rsidRPr="003F1EDB">
        <w:rPr>
          <w:rFonts w:asciiTheme="minorHAnsi" w:hAnsiTheme="minorHAnsi" w:cstheme="minorHAnsi"/>
          <w:b/>
          <w:i w:val="0"/>
          <w:color w:val="auto"/>
          <w:sz w:val="24"/>
          <w:szCs w:val="24"/>
        </w:rPr>
        <w:fldChar w:fldCharType="end"/>
      </w:r>
      <w:r w:rsidRPr="003F1EDB">
        <w:rPr>
          <w:rFonts w:asciiTheme="minorHAnsi" w:hAnsiTheme="minorHAnsi" w:cstheme="minorHAnsi"/>
          <w:b/>
          <w:i w:val="0"/>
          <w:color w:val="auto"/>
          <w:sz w:val="24"/>
          <w:szCs w:val="24"/>
        </w:rPr>
        <w:t>: Centrum</w:t>
      </w:r>
      <w:r w:rsidRPr="003F1EDB">
        <w:rPr>
          <w:rFonts w:asciiTheme="minorHAnsi" w:hAnsiTheme="minorHAnsi" w:cstheme="minorHAnsi"/>
          <w:b/>
          <w:i w:val="0"/>
          <w:color w:val="auto"/>
          <w:sz w:val="20"/>
          <w:szCs w:val="20"/>
        </w:rPr>
        <w:t xml:space="preserve"> </w:t>
      </w:r>
      <w:r w:rsidRPr="003F1EDB">
        <w:rPr>
          <w:rFonts w:asciiTheme="minorHAnsi" w:hAnsiTheme="minorHAnsi" w:cstheme="minorHAnsi"/>
          <w:b/>
          <w:i w:val="0"/>
          <w:color w:val="auto"/>
          <w:sz w:val="24"/>
          <w:szCs w:val="24"/>
        </w:rPr>
        <w:t xml:space="preserve">– přehled majetku, nákladů a výnosů </w:t>
      </w:r>
      <w:r w:rsidR="00E32F84">
        <w:rPr>
          <w:rFonts w:asciiTheme="minorHAnsi" w:hAnsiTheme="minorHAnsi" w:cstheme="minorHAnsi"/>
          <w:b/>
          <w:i w:val="0"/>
          <w:color w:val="auto"/>
          <w:sz w:val="24"/>
          <w:szCs w:val="24"/>
        </w:rPr>
        <w:tab/>
        <w:t>(</w:t>
      </w:r>
      <w:r w:rsidRPr="003F1EDB">
        <w:rPr>
          <w:rFonts w:asciiTheme="minorHAnsi" w:hAnsiTheme="minorHAnsi" w:cstheme="minorHAnsi"/>
          <w:b/>
          <w:i w:val="0"/>
          <w:color w:val="auto"/>
          <w:sz w:val="24"/>
          <w:szCs w:val="24"/>
        </w:rPr>
        <w:t>v tis.</w:t>
      </w:r>
      <w:r w:rsidR="002C3964" w:rsidRPr="003F1EDB">
        <w:rPr>
          <w:rFonts w:asciiTheme="minorHAnsi" w:hAnsiTheme="minorHAnsi" w:cstheme="minorHAnsi"/>
          <w:b/>
          <w:i w:val="0"/>
          <w:color w:val="auto"/>
          <w:sz w:val="24"/>
          <w:szCs w:val="24"/>
        </w:rPr>
        <w:t xml:space="preserve"> Kč</w:t>
      </w:r>
      <w:r w:rsidR="00E32F84">
        <w:rPr>
          <w:rFonts w:asciiTheme="minorHAnsi" w:hAnsiTheme="minorHAnsi" w:cstheme="minorHAnsi"/>
          <w:b/>
          <w:i w:val="0"/>
          <w:color w:val="auto"/>
          <w:sz w:val="24"/>
          <w:szCs w:val="24"/>
        </w:rPr>
        <w:t>)</w:t>
      </w:r>
    </w:p>
    <w:tbl>
      <w:tblPr>
        <w:tblW w:w="4971" w:type="pct"/>
        <w:tblCellMar>
          <w:left w:w="70" w:type="dxa"/>
          <w:right w:w="70" w:type="dxa"/>
        </w:tblCellMar>
        <w:tblLook w:val="04A0" w:firstRow="1" w:lastRow="0" w:firstColumn="1" w:lastColumn="0" w:noHBand="0" w:noVBand="1"/>
      </w:tblPr>
      <w:tblGrid>
        <w:gridCol w:w="2691"/>
        <w:gridCol w:w="1053"/>
        <w:gridCol w:w="1052"/>
        <w:gridCol w:w="1054"/>
        <w:gridCol w:w="1052"/>
        <w:gridCol w:w="1052"/>
        <w:gridCol w:w="1056"/>
      </w:tblGrid>
      <w:tr w:rsidR="004309C0" w:rsidRPr="003F1EDB" w14:paraId="5F727E50" w14:textId="77777777" w:rsidTr="00326C2D">
        <w:trPr>
          <w:trHeight w:val="255"/>
        </w:trPr>
        <w:tc>
          <w:tcPr>
            <w:tcW w:w="1493" w:type="pct"/>
            <w:vMerge w:val="restart"/>
            <w:tcBorders>
              <w:top w:val="single" w:sz="4" w:space="0" w:color="auto"/>
              <w:left w:val="single" w:sz="4" w:space="0" w:color="auto"/>
              <w:bottom w:val="single" w:sz="4" w:space="0" w:color="auto"/>
              <w:right w:val="single" w:sz="4" w:space="0" w:color="auto"/>
            </w:tcBorders>
            <w:noWrap/>
            <w:vAlign w:val="center"/>
            <w:hideMark/>
          </w:tcPr>
          <w:p w14:paraId="2A6F4810" w14:textId="77777777" w:rsidR="004309C0" w:rsidRPr="003F1EDB" w:rsidRDefault="004309C0" w:rsidP="00974BD0">
            <w:pPr>
              <w:keepNext/>
              <w:spacing w:after="40"/>
              <w:rPr>
                <w:rFonts w:ascii="Calibri" w:hAnsi="Calibri" w:cs="Calibri"/>
                <w:b/>
                <w:color w:val="000000"/>
                <w:sz w:val="20"/>
                <w:szCs w:val="20"/>
              </w:rPr>
            </w:pPr>
            <w:r w:rsidRPr="003F1EDB">
              <w:rPr>
                <w:rFonts w:ascii="Calibri" w:hAnsi="Calibri" w:cs="Calibri"/>
                <w:b/>
                <w:color w:val="000000"/>
                <w:sz w:val="20"/>
                <w:szCs w:val="20"/>
              </w:rPr>
              <w:t>Položka</w:t>
            </w:r>
          </w:p>
        </w:tc>
        <w:tc>
          <w:tcPr>
            <w:tcW w:w="3507" w:type="pct"/>
            <w:gridSpan w:val="6"/>
            <w:tcBorders>
              <w:top w:val="single" w:sz="4" w:space="0" w:color="auto"/>
              <w:left w:val="nil"/>
              <w:bottom w:val="single" w:sz="4" w:space="0" w:color="auto"/>
              <w:right w:val="single" w:sz="4" w:space="0" w:color="auto"/>
            </w:tcBorders>
            <w:noWrap/>
            <w:vAlign w:val="center"/>
            <w:hideMark/>
          </w:tcPr>
          <w:p w14:paraId="0A2C457D" w14:textId="77777777" w:rsidR="004309C0" w:rsidRPr="003F1EDB" w:rsidRDefault="004309C0" w:rsidP="00974BD0">
            <w:pPr>
              <w:keepNext/>
              <w:spacing w:after="40"/>
              <w:jc w:val="center"/>
              <w:rPr>
                <w:rFonts w:ascii="Calibri" w:hAnsi="Calibri" w:cs="Calibri"/>
                <w:b/>
                <w:bCs/>
                <w:color w:val="000000"/>
                <w:sz w:val="20"/>
                <w:szCs w:val="20"/>
              </w:rPr>
            </w:pPr>
            <w:r w:rsidRPr="003F1EDB">
              <w:rPr>
                <w:rFonts w:ascii="Calibri" w:hAnsi="Calibri" w:cs="Calibri"/>
                <w:b/>
                <w:bCs/>
                <w:color w:val="000000"/>
                <w:sz w:val="20"/>
                <w:szCs w:val="20"/>
              </w:rPr>
              <w:t>Rok</w:t>
            </w:r>
          </w:p>
        </w:tc>
      </w:tr>
      <w:tr w:rsidR="004309C0" w:rsidRPr="003F1EDB" w14:paraId="0ADF4095" w14:textId="77777777" w:rsidTr="00326C2D">
        <w:trPr>
          <w:trHeight w:val="255"/>
        </w:trPr>
        <w:tc>
          <w:tcPr>
            <w:tcW w:w="1493" w:type="pct"/>
            <w:vMerge/>
            <w:tcBorders>
              <w:top w:val="single" w:sz="4" w:space="0" w:color="auto"/>
              <w:left w:val="single" w:sz="4" w:space="0" w:color="auto"/>
              <w:bottom w:val="single" w:sz="4" w:space="0" w:color="auto"/>
              <w:right w:val="single" w:sz="4" w:space="0" w:color="auto"/>
            </w:tcBorders>
            <w:vAlign w:val="center"/>
            <w:hideMark/>
          </w:tcPr>
          <w:p w14:paraId="46649BDA" w14:textId="77777777" w:rsidR="004309C0" w:rsidRPr="003F1EDB" w:rsidRDefault="004309C0" w:rsidP="00974BD0">
            <w:pPr>
              <w:keepNext/>
              <w:spacing w:after="40"/>
              <w:rPr>
                <w:rFonts w:ascii="Calibri" w:hAnsi="Calibri" w:cs="Calibri"/>
                <w:b/>
                <w:color w:val="000000"/>
                <w:sz w:val="20"/>
                <w:szCs w:val="20"/>
                <w:lang w:eastAsia="en-US"/>
              </w:rPr>
            </w:pPr>
          </w:p>
        </w:tc>
        <w:tc>
          <w:tcPr>
            <w:tcW w:w="584" w:type="pct"/>
            <w:tcBorders>
              <w:top w:val="single" w:sz="4" w:space="0" w:color="auto"/>
              <w:left w:val="nil"/>
              <w:bottom w:val="single" w:sz="4" w:space="0" w:color="auto"/>
              <w:right w:val="single" w:sz="4" w:space="0" w:color="auto"/>
            </w:tcBorders>
            <w:noWrap/>
            <w:hideMark/>
          </w:tcPr>
          <w:p w14:paraId="1CBBDD67" w14:textId="77777777" w:rsidR="004309C0" w:rsidRPr="003F1EDB" w:rsidRDefault="004309C0" w:rsidP="00974BD0">
            <w:pPr>
              <w:keepNext/>
              <w:spacing w:after="40"/>
              <w:ind w:right="57"/>
              <w:jc w:val="center"/>
              <w:rPr>
                <w:rFonts w:ascii="Calibri" w:hAnsi="Calibri" w:cs="Calibri"/>
                <w:b/>
                <w:bCs/>
                <w:color w:val="000000"/>
                <w:sz w:val="20"/>
                <w:szCs w:val="20"/>
              </w:rPr>
            </w:pPr>
            <w:r w:rsidRPr="003F1EDB">
              <w:rPr>
                <w:rFonts w:ascii="Calibri" w:hAnsi="Calibri" w:cs="Calibri"/>
                <w:b/>
                <w:bCs/>
                <w:color w:val="000000"/>
                <w:sz w:val="20"/>
                <w:szCs w:val="20"/>
              </w:rPr>
              <w:t>2015</w:t>
            </w:r>
          </w:p>
        </w:tc>
        <w:tc>
          <w:tcPr>
            <w:tcW w:w="584" w:type="pct"/>
            <w:tcBorders>
              <w:top w:val="single" w:sz="4" w:space="0" w:color="auto"/>
              <w:left w:val="nil"/>
              <w:bottom w:val="single" w:sz="4" w:space="0" w:color="auto"/>
              <w:right w:val="single" w:sz="4" w:space="0" w:color="auto"/>
            </w:tcBorders>
            <w:noWrap/>
            <w:hideMark/>
          </w:tcPr>
          <w:p w14:paraId="6E297EC6" w14:textId="77777777" w:rsidR="004309C0" w:rsidRPr="003F1EDB" w:rsidRDefault="004309C0" w:rsidP="00974BD0">
            <w:pPr>
              <w:keepNext/>
              <w:spacing w:after="40"/>
              <w:ind w:right="57"/>
              <w:jc w:val="center"/>
              <w:rPr>
                <w:rFonts w:ascii="Calibri" w:hAnsi="Calibri" w:cs="Calibri"/>
                <w:b/>
                <w:bCs/>
                <w:color w:val="000000"/>
                <w:sz w:val="20"/>
                <w:szCs w:val="20"/>
              </w:rPr>
            </w:pPr>
            <w:r w:rsidRPr="003F1EDB">
              <w:rPr>
                <w:rFonts w:ascii="Calibri" w:hAnsi="Calibri" w:cs="Calibri"/>
                <w:b/>
                <w:bCs/>
                <w:color w:val="000000"/>
                <w:sz w:val="20"/>
                <w:szCs w:val="20"/>
              </w:rPr>
              <w:t>2016</w:t>
            </w:r>
          </w:p>
        </w:tc>
        <w:tc>
          <w:tcPr>
            <w:tcW w:w="585" w:type="pct"/>
            <w:tcBorders>
              <w:top w:val="single" w:sz="4" w:space="0" w:color="auto"/>
              <w:left w:val="nil"/>
              <w:bottom w:val="single" w:sz="4" w:space="0" w:color="auto"/>
              <w:right w:val="single" w:sz="4" w:space="0" w:color="auto"/>
            </w:tcBorders>
            <w:noWrap/>
            <w:hideMark/>
          </w:tcPr>
          <w:p w14:paraId="48F16146" w14:textId="77777777" w:rsidR="004309C0" w:rsidRPr="003F1EDB" w:rsidRDefault="004309C0" w:rsidP="00974BD0">
            <w:pPr>
              <w:keepNext/>
              <w:spacing w:after="40"/>
              <w:ind w:right="57"/>
              <w:jc w:val="center"/>
              <w:rPr>
                <w:rFonts w:ascii="Calibri" w:hAnsi="Calibri" w:cs="Calibri"/>
                <w:b/>
                <w:bCs/>
                <w:color w:val="000000"/>
                <w:sz w:val="20"/>
                <w:szCs w:val="20"/>
              </w:rPr>
            </w:pPr>
            <w:r w:rsidRPr="003F1EDB">
              <w:rPr>
                <w:rFonts w:ascii="Calibri" w:hAnsi="Calibri" w:cs="Calibri"/>
                <w:b/>
                <w:bCs/>
                <w:color w:val="000000"/>
                <w:sz w:val="20"/>
                <w:szCs w:val="20"/>
              </w:rPr>
              <w:t>2017</w:t>
            </w:r>
          </w:p>
        </w:tc>
        <w:tc>
          <w:tcPr>
            <w:tcW w:w="584" w:type="pct"/>
            <w:tcBorders>
              <w:top w:val="single" w:sz="4" w:space="0" w:color="auto"/>
              <w:left w:val="nil"/>
              <w:bottom w:val="single" w:sz="4" w:space="0" w:color="auto"/>
              <w:right w:val="single" w:sz="4" w:space="0" w:color="auto"/>
            </w:tcBorders>
            <w:noWrap/>
            <w:hideMark/>
          </w:tcPr>
          <w:p w14:paraId="6F2D9145" w14:textId="77777777" w:rsidR="004309C0" w:rsidRPr="003F1EDB" w:rsidRDefault="004309C0" w:rsidP="00974BD0">
            <w:pPr>
              <w:keepNext/>
              <w:spacing w:after="40"/>
              <w:ind w:right="57"/>
              <w:jc w:val="center"/>
              <w:rPr>
                <w:rFonts w:ascii="Calibri" w:hAnsi="Calibri" w:cs="Calibri"/>
                <w:b/>
                <w:bCs/>
                <w:color w:val="000000"/>
                <w:sz w:val="20"/>
                <w:szCs w:val="20"/>
              </w:rPr>
            </w:pPr>
            <w:r w:rsidRPr="003F1EDB">
              <w:rPr>
                <w:rFonts w:ascii="Calibri" w:hAnsi="Calibri" w:cs="Calibri"/>
                <w:b/>
                <w:bCs/>
                <w:color w:val="000000"/>
                <w:sz w:val="20"/>
                <w:szCs w:val="20"/>
              </w:rPr>
              <w:t>2018</w:t>
            </w:r>
          </w:p>
        </w:tc>
        <w:tc>
          <w:tcPr>
            <w:tcW w:w="584" w:type="pct"/>
            <w:tcBorders>
              <w:top w:val="single" w:sz="4" w:space="0" w:color="auto"/>
              <w:left w:val="nil"/>
              <w:bottom w:val="single" w:sz="4" w:space="0" w:color="auto"/>
              <w:right w:val="single" w:sz="4" w:space="0" w:color="auto"/>
            </w:tcBorders>
            <w:noWrap/>
            <w:hideMark/>
          </w:tcPr>
          <w:p w14:paraId="422AF1E9" w14:textId="77777777" w:rsidR="004309C0" w:rsidRPr="003F1EDB" w:rsidRDefault="004309C0" w:rsidP="00974BD0">
            <w:pPr>
              <w:keepNext/>
              <w:spacing w:after="40"/>
              <w:ind w:right="57"/>
              <w:jc w:val="center"/>
              <w:rPr>
                <w:rFonts w:ascii="Calibri" w:hAnsi="Calibri" w:cs="Calibri"/>
                <w:b/>
                <w:bCs/>
                <w:color w:val="000000"/>
                <w:sz w:val="20"/>
                <w:szCs w:val="20"/>
              </w:rPr>
            </w:pPr>
            <w:r w:rsidRPr="003F1EDB">
              <w:rPr>
                <w:rFonts w:ascii="Calibri" w:hAnsi="Calibri" w:cs="Calibri"/>
                <w:b/>
                <w:bCs/>
                <w:color w:val="000000"/>
                <w:sz w:val="20"/>
                <w:szCs w:val="20"/>
              </w:rPr>
              <w:t>2019</w:t>
            </w:r>
          </w:p>
        </w:tc>
        <w:tc>
          <w:tcPr>
            <w:tcW w:w="585" w:type="pct"/>
            <w:tcBorders>
              <w:top w:val="nil"/>
              <w:left w:val="nil"/>
              <w:bottom w:val="single" w:sz="4" w:space="0" w:color="auto"/>
              <w:right w:val="single" w:sz="4" w:space="0" w:color="auto"/>
            </w:tcBorders>
            <w:hideMark/>
          </w:tcPr>
          <w:p w14:paraId="048F5C94" w14:textId="77777777" w:rsidR="004309C0" w:rsidRPr="003F1EDB" w:rsidRDefault="004309C0" w:rsidP="00974BD0">
            <w:pPr>
              <w:keepNext/>
              <w:spacing w:after="40"/>
              <w:ind w:right="57"/>
              <w:jc w:val="center"/>
              <w:rPr>
                <w:rFonts w:ascii="Calibri" w:hAnsi="Calibri" w:cs="Calibri"/>
                <w:b/>
                <w:bCs/>
                <w:color w:val="000000"/>
                <w:sz w:val="20"/>
                <w:szCs w:val="20"/>
              </w:rPr>
            </w:pPr>
            <w:r w:rsidRPr="003F1EDB">
              <w:rPr>
                <w:rFonts w:ascii="Calibri" w:hAnsi="Calibri" w:cs="Calibri"/>
                <w:b/>
                <w:bCs/>
                <w:color w:val="000000"/>
                <w:sz w:val="20"/>
                <w:szCs w:val="20"/>
              </w:rPr>
              <w:t>2020</w:t>
            </w:r>
          </w:p>
        </w:tc>
      </w:tr>
      <w:tr w:rsidR="004309C0" w:rsidRPr="003F1EDB" w14:paraId="74E0F4A8" w14:textId="77777777" w:rsidTr="00326C2D">
        <w:trPr>
          <w:trHeight w:val="255"/>
        </w:trPr>
        <w:tc>
          <w:tcPr>
            <w:tcW w:w="1493" w:type="pct"/>
            <w:tcBorders>
              <w:top w:val="nil"/>
              <w:left w:val="single" w:sz="4" w:space="0" w:color="auto"/>
              <w:bottom w:val="single" w:sz="4" w:space="0" w:color="auto"/>
              <w:right w:val="single" w:sz="4" w:space="0" w:color="auto"/>
            </w:tcBorders>
            <w:shd w:val="clear" w:color="auto" w:fill="auto"/>
            <w:noWrap/>
            <w:vAlign w:val="center"/>
            <w:hideMark/>
          </w:tcPr>
          <w:p w14:paraId="31BD4B0D" w14:textId="77777777" w:rsidR="004309C0" w:rsidRPr="003F1EDB" w:rsidRDefault="004309C0" w:rsidP="00974BD0">
            <w:pPr>
              <w:keepNext/>
              <w:spacing w:after="40"/>
              <w:rPr>
                <w:rFonts w:ascii="Calibri" w:hAnsi="Calibri" w:cs="Calibri"/>
                <w:b/>
                <w:bCs/>
                <w:color w:val="000000"/>
                <w:sz w:val="20"/>
                <w:szCs w:val="20"/>
              </w:rPr>
            </w:pPr>
            <w:r w:rsidRPr="003F1EDB">
              <w:rPr>
                <w:rFonts w:ascii="Calibri" w:hAnsi="Calibri" w:cs="Calibri"/>
                <w:b/>
                <w:bCs/>
                <w:color w:val="000000"/>
                <w:sz w:val="20"/>
                <w:szCs w:val="20"/>
              </w:rPr>
              <w:t>Aktiva celkem</w:t>
            </w:r>
          </w:p>
        </w:tc>
        <w:tc>
          <w:tcPr>
            <w:tcW w:w="584" w:type="pct"/>
            <w:tcBorders>
              <w:top w:val="nil"/>
              <w:left w:val="nil"/>
              <w:bottom w:val="single" w:sz="4" w:space="0" w:color="auto"/>
              <w:right w:val="single" w:sz="4" w:space="0" w:color="auto"/>
            </w:tcBorders>
            <w:shd w:val="clear" w:color="auto" w:fill="auto"/>
            <w:noWrap/>
            <w:vAlign w:val="center"/>
            <w:hideMark/>
          </w:tcPr>
          <w:p w14:paraId="45F51108"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357 271</w:t>
            </w:r>
          </w:p>
        </w:tc>
        <w:tc>
          <w:tcPr>
            <w:tcW w:w="584" w:type="pct"/>
            <w:tcBorders>
              <w:top w:val="nil"/>
              <w:left w:val="nil"/>
              <w:bottom w:val="single" w:sz="4" w:space="0" w:color="auto"/>
              <w:right w:val="single" w:sz="4" w:space="0" w:color="auto"/>
            </w:tcBorders>
            <w:shd w:val="clear" w:color="auto" w:fill="auto"/>
            <w:noWrap/>
            <w:vAlign w:val="center"/>
            <w:hideMark/>
          </w:tcPr>
          <w:p w14:paraId="659B3B8B"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509 141</w:t>
            </w:r>
          </w:p>
        </w:tc>
        <w:tc>
          <w:tcPr>
            <w:tcW w:w="585" w:type="pct"/>
            <w:tcBorders>
              <w:top w:val="nil"/>
              <w:left w:val="nil"/>
              <w:bottom w:val="single" w:sz="4" w:space="0" w:color="auto"/>
              <w:right w:val="single" w:sz="4" w:space="0" w:color="auto"/>
            </w:tcBorders>
            <w:shd w:val="clear" w:color="auto" w:fill="auto"/>
            <w:noWrap/>
            <w:vAlign w:val="center"/>
            <w:hideMark/>
          </w:tcPr>
          <w:p w14:paraId="0F4822F5"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563 576</w:t>
            </w:r>
          </w:p>
        </w:tc>
        <w:tc>
          <w:tcPr>
            <w:tcW w:w="584" w:type="pct"/>
            <w:tcBorders>
              <w:top w:val="nil"/>
              <w:left w:val="nil"/>
              <w:bottom w:val="single" w:sz="4" w:space="0" w:color="auto"/>
              <w:right w:val="single" w:sz="4" w:space="0" w:color="auto"/>
            </w:tcBorders>
            <w:shd w:val="clear" w:color="auto" w:fill="auto"/>
            <w:noWrap/>
            <w:vAlign w:val="center"/>
            <w:hideMark/>
          </w:tcPr>
          <w:p w14:paraId="5D71D437"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631 699</w:t>
            </w:r>
          </w:p>
        </w:tc>
        <w:tc>
          <w:tcPr>
            <w:tcW w:w="584" w:type="pct"/>
            <w:tcBorders>
              <w:top w:val="nil"/>
              <w:left w:val="nil"/>
              <w:bottom w:val="single" w:sz="4" w:space="0" w:color="auto"/>
              <w:right w:val="nil"/>
            </w:tcBorders>
            <w:shd w:val="clear" w:color="auto" w:fill="auto"/>
            <w:noWrap/>
            <w:vAlign w:val="center"/>
            <w:hideMark/>
          </w:tcPr>
          <w:p w14:paraId="72E71932"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719 097</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26BE7D7D"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681 447</w:t>
            </w:r>
          </w:p>
        </w:tc>
      </w:tr>
      <w:tr w:rsidR="004309C0" w:rsidRPr="003F1EDB" w14:paraId="7A6D87C4" w14:textId="77777777" w:rsidTr="00326C2D">
        <w:trPr>
          <w:trHeight w:val="255"/>
        </w:trPr>
        <w:tc>
          <w:tcPr>
            <w:tcW w:w="1493" w:type="pct"/>
            <w:tcBorders>
              <w:top w:val="nil"/>
              <w:left w:val="single" w:sz="4" w:space="0" w:color="auto"/>
              <w:bottom w:val="single" w:sz="4" w:space="0" w:color="auto"/>
              <w:right w:val="single" w:sz="4" w:space="0" w:color="auto"/>
            </w:tcBorders>
            <w:shd w:val="clear" w:color="auto" w:fill="auto"/>
            <w:noWrap/>
            <w:vAlign w:val="center"/>
          </w:tcPr>
          <w:p w14:paraId="7516BF79" w14:textId="60309AAC" w:rsidR="004309C0" w:rsidRPr="003F1EDB" w:rsidRDefault="008E11EC" w:rsidP="00974BD0">
            <w:pPr>
              <w:keepNext/>
              <w:spacing w:after="40"/>
              <w:rPr>
                <w:rFonts w:ascii="Calibri" w:hAnsi="Calibri" w:cs="Calibri"/>
                <w:b/>
                <w:bCs/>
                <w:color w:val="000000"/>
                <w:sz w:val="20"/>
                <w:szCs w:val="20"/>
              </w:rPr>
            </w:pPr>
            <w:r>
              <w:rPr>
                <w:rFonts w:ascii="Calibri" w:hAnsi="Calibri" w:cs="Calibri"/>
                <w:iCs/>
                <w:color w:val="000000"/>
                <w:sz w:val="20"/>
                <w:szCs w:val="20"/>
              </w:rPr>
              <w:t xml:space="preserve">– </w:t>
            </w:r>
            <w:r w:rsidR="004309C0" w:rsidRPr="003F1EDB">
              <w:rPr>
                <w:rFonts w:ascii="Calibri" w:hAnsi="Calibri" w:cs="Calibri"/>
                <w:iCs/>
                <w:color w:val="000000"/>
                <w:sz w:val="20"/>
                <w:szCs w:val="20"/>
              </w:rPr>
              <w:t>z</w:t>
            </w:r>
            <w:r w:rsidR="0090513F">
              <w:rPr>
                <w:rFonts w:ascii="Calibri" w:hAnsi="Calibri" w:cs="Calibri"/>
                <w:iCs/>
                <w:color w:val="000000"/>
                <w:sz w:val="20"/>
                <w:szCs w:val="20"/>
              </w:rPr>
              <w:t xml:space="preserve"> </w:t>
            </w:r>
            <w:r w:rsidR="004309C0" w:rsidRPr="003F1EDB">
              <w:rPr>
                <w:rFonts w:ascii="Calibri" w:hAnsi="Calibri" w:cs="Calibri"/>
                <w:iCs/>
                <w:color w:val="000000"/>
                <w:sz w:val="20"/>
                <w:szCs w:val="20"/>
              </w:rPr>
              <w:t>toho</w:t>
            </w:r>
            <w:r>
              <w:rPr>
                <w:rFonts w:ascii="Calibri" w:hAnsi="Calibri" w:cs="Calibri"/>
                <w:iCs/>
                <w:color w:val="000000"/>
                <w:sz w:val="20"/>
                <w:szCs w:val="20"/>
              </w:rPr>
              <w:t>:</w:t>
            </w:r>
            <w:r w:rsidR="004309C0" w:rsidRPr="003F1EDB">
              <w:rPr>
                <w:rFonts w:ascii="Calibri" w:hAnsi="Calibri" w:cs="Calibri"/>
                <w:iCs/>
                <w:color w:val="000000"/>
                <w:sz w:val="20"/>
                <w:szCs w:val="20"/>
              </w:rPr>
              <w:t xml:space="preserve"> DHM</w:t>
            </w:r>
          </w:p>
        </w:tc>
        <w:tc>
          <w:tcPr>
            <w:tcW w:w="584" w:type="pct"/>
            <w:tcBorders>
              <w:top w:val="nil"/>
              <w:left w:val="nil"/>
              <w:bottom w:val="single" w:sz="4" w:space="0" w:color="auto"/>
              <w:right w:val="single" w:sz="4" w:space="0" w:color="auto"/>
            </w:tcBorders>
            <w:shd w:val="clear" w:color="auto" w:fill="auto"/>
            <w:noWrap/>
            <w:vAlign w:val="center"/>
          </w:tcPr>
          <w:p w14:paraId="04BC7B46"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color w:val="000000"/>
                <w:sz w:val="20"/>
                <w:szCs w:val="20"/>
              </w:rPr>
              <w:t>118 339</w:t>
            </w:r>
          </w:p>
        </w:tc>
        <w:tc>
          <w:tcPr>
            <w:tcW w:w="584" w:type="pct"/>
            <w:tcBorders>
              <w:top w:val="nil"/>
              <w:left w:val="nil"/>
              <w:bottom w:val="single" w:sz="4" w:space="0" w:color="auto"/>
              <w:right w:val="single" w:sz="4" w:space="0" w:color="auto"/>
            </w:tcBorders>
            <w:shd w:val="clear" w:color="auto" w:fill="auto"/>
            <w:noWrap/>
            <w:vAlign w:val="center"/>
          </w:tcPr>
          <w:p w14:paraId="4DD1D8B6"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sz w:val="20"/>
                <w:szCs w:val="20"/>
              </w:rPr>
              <w:t>147 276</w:t>
            </w:r>
          </w:p>
        </w:tc>
        <w:tc>
          <w:tcPr>
            <w:tcW w:w="585" w:type="pct"/>
            <w:tcBorders>
              <w:top w:val="nil"/>
              <w:left w:val="nil"/>
              <w:bottom w:val="single" w:sz="4" w:space="0" w:color="auto"/>
              <w:right w:val="single" w:sz="4" w:space="0" w:color="auto"/>
            </w:tcBorders>
            <w:shd w:val="clear" w:color="auto" w:fill="auto"/>
            <w:noWrap/>
            <w:vAlign w:val="center"/>
          </w:tcPr>
          <w:p w14:paraId="0673A55F"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sz w:val="20"/>
                <w:szCs w:val="20"/>
              </w:rPr>
              <w:t>165 993</w:t>
            </w:r>
          </w:p>
        </w:tc>
        <w:tc>
          <w:tcPr>
            <w:tcW w:w="584" w:type="pct"/>
            <w:tcBorders>
              <w:top w:val="nil"/>
              <w:left w:val="nil"/>
              <w:bottom w:val="single" w:sz="4" w:space="0" w:color="auto"/>
              <w:right w:val="single" w:sz="4" w:space="0" w:color="auto"/>
            </w:tcBorders>
            <w:shd w:val="clear" w:color="auto" w:fill="auto"/>
            <w:noWrap/>
            <w:vAlign w:val="center"/>
          </w:tcPr>
          <w:p w14:paraId="1D9BEC87"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sz w:val="20"/>
                <w:szCs w:val="20"/>
              </w:rPr>
              <w:t>177 685</w:t>
            </w:r>
          </w:p>
        </w:tc>
        <w:tc>
          <w:tcPr>
            <w:tcW w:w="584" w:type="pct"/>
            <w:tcBorders>
              <w:top w:val="nil"/>
              <w:left w:val="nil"/>
              <w:bottom w:val="single" w:sz="4" w:space="0" w:color="auto"/>
              <w:right w:val="nil"/>
            </w:tcBorders>
            <w:shd w:val="clear" w:color="auto" w:fill="auto"/>
            <w:noWrap/>
            <w:vAlign w:val="center"/>
          </w:tcPr>
          <w:p w14:paraId="01CDC7AC"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sz w:val="20"/>
                <w:szCs w:val="20"/>
              </w:rPr>
              <w:t>206 455</w:t>
            </w:r>
          </w:p>
        </w:tc>
        <w:tc>
          <w:tcPr>
            <w:tcW w:w="585" w:type="pct"/>
            <w:tcBorders>
              <w:top w:val="nil"/>
              <w:left w:val="single" w:sz="4" w:space="0" w:color="auto"/>
              <w:bottom w:val="single" w:sz="4" w:space="0" w:color="auto"/>
              <w:right w:val="single" w:sz="4" w:space="0" w:color="auto"/>
            </w:tcBorders>
            <w:shd w:val="clear" w:color="auto" w:fill="auto"/>
            <w:vAlign w:val="center"/>
          </w:tcPr>
          <w:p w14:paraId="4E71AFAE"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sz w:val="20"/>
                <w:szCs w:val="20"/>
              </w:rPr>
              <w:t>208</w:t>
            </w:r>
            <w:r w:rsidRPr="003F1EDB">
              <w:rPr>
                <w:rFonts w:ascii="Calibri" w:hAnsi="Calibri" w:cs="Calibri"/>
                <w:color w:val="000000"/>
                <w:sz w:val="20"/>
                <w:szCs w:val="20"/>
              </w:rPr>
              <w:t xml:space="preserve"> 325</w:t>
            </w:r>
          </w:p>
        </w:tc>
      </w:tr>
      <w:tr w:rsidR="004309C0" w:rsidRPr="003F1EDB" w14:paraId="4BEC5442" w14:textId="77777777" w:rsidTr="00326C2D">
        <w:trPr>
          <w:trHeight w:val="255"/>
        </w:trPr>
        <w:tc>
          <w:tcPr>
            <w:tcW w:w="1493" w:type="pct"/>
            <w:tcBorders>
              <w:top w:val="nil"/>
              <w:left w:val="single" w:sz="4" w:space="0" w:color="auto"/>
              <w:bottom w:val="single" w:sz="4" w:space="0" w:color="auto"/>
              <w:right w:val="single" w:sz="4" w:space="0" w:color="auto"/>
            </w:tcBorders>
            <w:shd w:val="clear" w:color="auto" w:fill="auto"/>
            <w:noWrap/>
            <w:vAlign w:val="center"/>
            <w:hideMark/>
          </w:tcPr>
          <w:p w14:paraId="56FE6E13" w14:textId="77777777" w:rsidR="004309C0" w:rsidRPr="003F1EDB" w:rsidRDefault="004309C0" w:rsidP="00974BD0">
            <w:pPr>
              <w:keepNext/>
              <w:spacing w:after="40"/>
              <w:rPr>
                <w:rFonts w:ascii="Calibri" w:hAnsi="Calibri" w:cs="Calibri"/>
                <w:b/>
                <w:bCs/>
                <w:color w:val="000000"/>
                <w:sz w:val="20"/>
                <w:szCs w:val="20"/>
              </w:rPr>
            </w:pPr>
            <w:r w:rsidRPr="003F1EDB">
              <w:rPr>
                <w:rFonts w:ascii="Calibri" w:hAnsi="Calibri" w:cs="Calibri"/>
                <w:b/>
                <w:bCs/>
                <w:color w:val="000000"/>
                <w:sz w:val="20"/>
                <w:szCs w:val="20"/>
              </w:rPr>
              <w:t>Celkové náklady</w:t>
            </w:r>
          </w:p>
        </w:tc>
        <w:tc>
          <w:tcPr>
            <w:tcW w:w="584" w:type="pct"/>
            <w:tcBorders>
              <w:top w:val="nil"/>
              <w:left w:val="nil"/>
              <w:bottom w:val="single" w:sz="4" w:space="0" w:color="auto"/>
              <w:right w:val="single" w:sz="4" w:space="0" w:color="auto"/>
            </w:tcBorders>
            <w:shd w:val="clear" w:color="auto" w:fill="auto"/>
            <w:noWrap/>
            <w:vAlign w:val="center"/>
            <w:hideMark/>
          </w:tcPr>
          <w:p w14:paraId="79D1C31D" w14:textId="77777777" w:rsidR="004309C0" w:rsidRPr="003F1EDB" w:rsidRDefault="004309C0" w:rsidP="00974BD0">
            <w:pPr>
              <w:keepNext/>
              <w:spacing w:after="40"/>
              <w:jc w:val="right"/>
              <w:rPr>
                <w:rFonts w:ascii="Calibri" w:hAnsi="Calibri" w:cs="Calibri"/>
                <w:bCs/>
                <w:color w:val="000000"/>
                <w:sz w:val="20"/>
                <w:szCs w:val="20"/>
              </w:rPr>
            </w:pPr>
            <w:r w:rsidRPr="003F1EDB">
              <w:rPr>
                <w:rFonts w:ascii="Calibri" w:hAnsi="Calibri" w:cs="Calibri"/>
                <w:bCs/>
                <w:color w:val="000000"/>
                <w:sz w:val="20"/>
                <w:szCs w:val="20"/>
              </w:rPr>
              <w:t>94 428*</w:t>
            </w:r>
          </w:p>
        </w:tc>
        <w:tc>
          <w:tcPr>
            <w:tcW w:w="584" w:type="pct"/>
            <w:tcBorders>
              <w:top w:val="nil"/>
              <w:left w:val="nil"/>
              <w:bottom w:val="single" w:sz="4" w:space="0" w:color="auto"/>
              <w:right w:val="single" w:sz="4" w:space="0" w:color="auto"/>
            </w:tcBorders>
            <w:shd w:val="clear" w:color="auto" w:fill="auto"/>
            <w:noWrap/>
            <w:vAlign w:val="center"/>
            <w:hideMark/>
          </w:tcPr>
          <w:p w14:paraId="7F37252B"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327 240</w:t>
            </w:r>
          </w:p>
        </w:tc>
        <w:tc>
          <w:tcPr>
            <w:tcW w:w="585" w:type="pct"/>
            <w:tcBorders>
              <w:top w:val="nil"/>
              <w:left w:val="nil"/>
              <w:bottom w:val="single" w:sz="4" w:space="0" w:color="auto"/>
              <w:right w:val="single" w:sz="4" w:space="0" w:color="auto"/>
            </w:tcBorders>
            <w:shd w:val="clear" w:color="auto" w:fill="auto"/>
            <w:noWrap/>
            <w:vAlign w:val="center"/>
            <w:hideMark/>
          </w:tcPr>
          <w:p w14:paraId="0199E9B9"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465 667</w:t>
            </w:r>
          </w:p>
        </w:tc>
        <w:tc>
          <w:tcPr>
            <w:tcW w:w="584" w:type="pct"/>
            <w:tcBorders>
              <w:top w:val="nil"/>
              <w:left w:val="nil"/>
              <w:bottom w:val="single" w:sz="4" w:space="0" w:color="auto"/>
              <w:right w:val="single" w:sz="4" w:space="0" w:color="auto"/>
            </w:tcBorders>
            <w:shd w:val="clear" w:color="auto" w:fill="auto"/>
            <w:noWrap/>
            <w:vAlign w:val="center"/>
            <w:hideMark/>
          </w:tcPr>
          <w:p w14:paraId="08A7FE81"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558 990</w:t>
            </w:r>
          </w:p>
        </w:tc>
        <w:tc>
          <w:tcPr>
            <w:tcW w:w="584" w:type="pct"/>
            <w:tcBorders>
              <w:top w:val="nil"/>
              <w:left w:val="nil"/>
              <w:bottom w:val="single" w:sz="4" w:space="0" w:color="auto"/>
              <w:right w:val="nil"/>
            </w:tcBorders>
            <w:shd w:val="clear" w:color="auto" w:fill="auto"/>
            <w:noWrap/>
            <w:vAlign w:val="center"/>
            <w:hideMark/>
          </w:tcPr>
          <w:p w14:paraId="2FDB595B"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584 349</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0CFFC9C5"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589 413</w:t>
            </w:r>
          </w:p>
        </w:tc>
      </w:tr>
      <w:tr w:rsidR="004309C0" w:rsidRPr="003F1EDB" w14:paraId="5DEC9879" w14:textId="77777777" w:rsidTr="00326C2D">
        <w:trPr>
          <w:trHeight w:val="255"/>
        </w:trPr>
        <w:tc>
          <w:tcPr>
            <w:tcW w:w="1493" w:type="pct"/>
            <w:tcBorders>
              <w:top w:val="nil"/>
              <w:left w:val="single" w:sz="4" w:space="0" w:color="auto"/>
              <w:bottom w:val="single" w:sz="4" w:space="0" w:color="auto"/>
              <w:right w:val="single" w:sz="4" w:space="0" w:color="auto"/>
            </w:tcBorders>
            <w:shd w:val="clear" w:color="auto" w:fill="auto"/>
            <w:noWrap/>
            <w:vAlign w:val="center"/>
          </w:tcPr>
          <w:p w14:paraId="44694753" w14:textId="6CC0480F" w:rsidR="004309C0" w:rsidRPr="003F1EDB" w:rsidRDefault="008E11EC" w:rsidP="00974BD0">
            <w:pPr>
              <w:keepNext/>
              <w:spacing w:after="40"/>
              <w:rPr>
                <w:rFonts w:ascii="Calibri" w:hAnsi="Calibri" w:cs="Calibri"/>
                <w:b/>
                <w:bCs/>
                <w:color w:val="000000"/>
                <w:sz w:val="20"/>
                <w:szCs w:val="20"/>
              </w:rPr>
            </w:pPr>
            <w:r>
              <w:rPr>
                <w:rFonts w:ascii="Calibri" w:hAnsi="Calibri" w:cs="Calibri"/>
                <w:iCs/>
                <w:color w:val="000000"/>
                <w:sz w:val="20"/>
                <w:szCs w:val="20"/>
              </w:rPr>
              <w:t xml:space="preserve">– </w:t>
            </w:r>
            <w:r w:rsidR="004309C0" w:rsidRPr="003F1EDB">
              <w:rPr>
                <w:rFonts w:ascii="Calibri" w:hAnsi="Calibri" w:cs="Calibri"/>
                <w:iCs/>
                <w:color w:val="000000"/>
                <w:sz w:val="20"/>
                <w:szCs w:val="20"/>
              </w:rPr>
              <w:t>z</w:t>
            </w:r>
            <w:r>
              <w:rPr>
                <w:rFonts w:ascii="Calibri" w:hAnsi="Calibri" w:cs="Calibri"/>
                <w:iCs/>
                <w:color w:val="000000"/>
                <w:sz w:val="20"/>
                <w:szCs w:val="20"/>
              </w:rPr>
              <w:t> </w:t>
            </w:r>
            <w:r w:rsidR="004309C0" w:rsidRPr="003F1EDB">
              <w:rPr>
                <w:rFonts w:ascii="Calibri" w:hAnsi="Calibri" w:cs="Calibri"/>
                <w:iCs/>
                <w:color w:val="000000"/>
                <w:sz w:val="20"/>
                <w:szCs w:val="20"/>
              </w:rPr>
              <w:t>toho</w:t>
            </w:r>
            <w:r>
              <w:rPr>
                <w:rFonts w:ascii="Calibri" w:hAnsi="Calibri" w:cs="Calibri"/>
                <w:iCs/>
                <w:color w:val="000000"/>
                <w:sz w:val="20"/>
                <w:szCs w:val="20"/>
              </w:rPr>
              <w:t>:</w:t>
            </w:r>
            <w:r w:rsidR="004309C0" w:rsidRPr="003F1EDB">
              <w:rPr>
                <w:rFonts w:ascii="Calibri" w:hAnsi="Calibri" w:cs="Calibri"/>
                <w:iCs/>
                <w:color w:val="000000"/>
                <w:sz w:val="20"/>
                <w:szCs w:val="20"/>
              </w:rPr>
              <w:t xml:space="preserve"> mzdové náklady</w:t>
            </w:r>
          </w:p>
        </w:tc>
        <w:tc>
          <w:tcPr>
            <w:tcW w:w="584" w:type="pct"/>
            <w:tcBorders>
              <w:top w:val="nil"/>
              <w:left w:val="nil"/>
              <w:bottom w:val="single" w:sz="4" w:space="0" w:color="auto"/>
              <w:right w:val="single" w:sz="4" w:space="0" w:color="auto"/>
            </w:tcBorders>
            <w:shd w:val="clear" w:color="auto" w:fill="auto"/>
            <w:noWrap/>
            <w:vAlign w:val="center"/>
          </w:tcPr>
          <w:p w14:paraId="15E20722"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color w:val="000000"/>
                <w:sz w:val="20"/>
                <w:szCs w:val="20"/>
              </w:rPr>
              <w:t>50 827</w:t>
            </w:r>
          </w:p>
        </w:tc>
        <w:tc>
          <w:tcPr>
            <w:tcW w:w="584" w:type="pct"/>
            <w:tcBorders>
              <w:top w:val="nil"/>
              <w:left w:val="nil"/>
              <w:bottom w:val="single" w:sz="4" w:space="0" w:color="auto"/>
              <w:right w:val="single" w:sz="4" w:space="0" w:color="auto"/>
            </w:tcBorders>
            <w:shd w:val="clear" w:color="auto" w:fill="auto"/>
            <w:noWrap/>
            <w:vAlign w:val="center"/>
          </w:tcPr>
          <w:p w14:paraId="1B385DE0"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color w:val="000000"/>
                <w:sz w:val="20"/>
                <w:szCs w:val="20"/>
              </w:rPr>
              <w:t>151 115</w:t>
            </w:r>
          </w:p>
        </w:tc>
        <w:tc>
          <w:tcPr>
            <w:tcW w:w="585" w:type="pct"/>
            <w:tcBorders>
              <w:top w:val="nil"/>
              <w:left w:val="nil"/>
              <w:bottom w:val="single" w:sz="4" w:space="0" w:color="auto"/>
              <w:right w:val="single" w:sz="4" w:space="0" w:color="auto"/>
            </w:tcBorders>
            <w:shd w:val="clear" w:color="auto" w:fill="auto"/>
            <w:noWrap/>
            <w:vAlign w:val="center"/>
          </w:tcPr>
          <w:p w14:paraId="5C760888"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color w:val="000000"/>
                <w:sz w:val="20"/>
                <w:szCs w:val="20"/>
              </w:rPr>
              <w:t>245 737</w:t>
            </w:r>
          </w:p>
        </w:tc>
        <w:tc>
          <w:tcPr>
            <w:tcW w:w="584" w:type="pct"/>
            <w:tcBorders>
              <w:top w:val="nil"/>
              <w:left w:val="nil"/>
              <w:bottom w:val="single" w:sz="4" w:space="0" w:color="auto"/>
              <w:right w:val="single" w:sz="4" w:space="0" w:color="auto"/>
            </w:tcBorders>
            <w:shd w:val="clear" w:color="auto" w:fill="auto"/>
            <w:noWrap/>
            <w:vAlign w:val="center"/>
          </w:tcPr>
          <w:p w14:paraId="37321F0D"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color w:val="000000"/>
                <w:sz w:val="20"/>
                <w:szCs w:val="20"/>
              </w:rPr>
              <w:t>319 243</w:t>
            </w:r>
          </w:p>
        </w:tc>
        <w:tc>
          <w:tcPr>
            <w:tcW w:w="584" w:type="pct"/>
            <w:tcBorders>
              <w:top w:val="nil"/>
              <w:left w:val="nil"/>
              <w:bottom w:val="single" w:sz="4" w:space="0" w:color="auto"/>
              <w:right w:val="nil"/>
            </w:tcBorders>
            <w:shd w:val="clear" w:color="auto" w:fill="auto"/>
            <w:noWrap/>
            <w:vAlign w:val="center"/>
          </w:tcPr>
          <w:p w14:paraId="18DE00CE"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color w:val="000000"/>
                <w:sz w:val="20"/>
                <w:szCs w:val="20"/>
              </w:rPr>
              <w:t>322 460</w:t>
            </w:r>
          </w:p>
        </w:tc>
        <w:tc>
          <w:tcPr>
            <w:tcW w:w="585" w:type="pct"/>
            <w:tcBorders>
              <w:top w:val="nil"/>
              <w:left w:val="single" w:sz="4" w:space="0" w:color="auto"/>
              <w:bottom w:val="single" w:sz="4" w:space="0" w:color="auto"/>
              <w:right w:val="single" w:sz="4" w:space="0" w:color="auto"/>
            </w:tcBorders>
            <w:shd w:val="clear" w:color="auto" w:fill="auto"/>
            <w:vAlign w:val="center"/>
          </w:tcPr>
          <w:p w14:paraId="17D19277"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color w:val="000000"/>
                <w:sz w:val="20"/>
                <w:szCs w:val="20"/>
              </w:rPr>
              <w:t>326 989</w:t>
            </w:r>
          </w:p>
        </w:tc>
      </w:tr>
      <w:tr w:rsidR="004309C0" w:rsidRPr="003F1EDB" w14:paraId="5B7F9E6E" w14:textId="77777777" w:rsidTr="00326C2D">
        <w:trPr>
          <w:trHeight w:val="255"/>
        </w:trPr>
        <w:tc>
          <w:tcPr>
            <w:tcW w:w="1493" w:type="pct"/>
            <w:tcBorders>
              <w:top w:val="nil"/>
              <w:left w:val="single" w:sz="4" w:space="0" w:color="auto"/>
              <w:bottom w:val="single" w:sz="4" w:space="0" w:color="auto"/>
              <w:right w:val="single" w:sz="4" w:space="0" w:color="auto"/>
            </w:tcBorders>
            <w:shd w:val="clear" w:color="auto" w:fill="auto"/>
            <w:noWrap/>
            <w:vAlign w:val="center"/>
          </w:tcPr>
          <w:p w14:paraId="58A25177" w14:textId="77777777" w:rsidR="004309C0" w:rsidRPr="003F1EDB" w:rsidRDefault="004309C0" w:rsidP="00974BD0">
            <w:pPr>
              <w:keepNext/>
              <w:spacing w:after="40"/>
              <w:rPr>
                <w:rFonts w:ascii="Calibri" w:hAnsi="Calibri" w:cs="Calibri"/>
                <w:iCs/>
                <w:color w:val="000000"/>
                <w:sz w:val="20"/>
                <w:szCs w:val="20"/>
              </w:rPr>
            </w:pPr>
            <w:r w:rsidRPr="003F1EDB">
              <w:rPr>
                <w:rFonts w:ascii="Calibri" w:hAnsi="Calibri" w:cs="Calibri"/>
                <w:b/>
                <w:bCs/>
                <w:color w:val="000000"/>
                <w:sz w:val="20"/>
                <w:szCs w:val="20"/>
              </w:rPr>
              <w:t>Celkové výnosy</w:t>
            </w:r>
          </w:p>
        </w:tc>
        <w:tc>
          <w:tcPr>
            <w:tcW w:w="584" w:type="pct"/>
            <w:tcBorders>
              <w:top w:val="nil"/>
              <w:left w:val="nil"/>
              <w:bottom w:val="single" w:sz="4" w:space="0" w:color="auto"/>
              <w:right w:val="single" w:sz="4" w:space="0" w:color="auto"/>
            </w:tcBorders>
            <w:shd w:val="clear" w:color="auto" w:fill="auto"/>
            <w:noWrap/>
            <w:vAlign w:val="center"/>
          </w:tcPr>
          <w:p w14:paraId="661C3791" w14:textId="77777777" w:rsidR="004309C0" w:rsidRPr="003F1EDB" w:rsidRDefault="004309C0" w:rsidP="00974BD0">
            <w:pPr>
              <w:keepNext/>
              <w:spacing w:after="40"/>
              <w:jc w:val="right"/>
              <w:rPr>
                <w:rFonts w:ascii="Calibri" w:hAnsi="Calibri" w:cs="Calibri"/>
                <w:color w:val="000000"/>
                <w:sz w:val="20"/>
                <w:szCs w:val="20"/>
              </w:rPr>
            </w:pPr>
            <w:r w:rsidRPr="003F1EDB">
              <w:rPr>
                <w:rFonts w:ascii="Calibri" w:hAnsi="Calibri" w:cs="Calibri"/>
                <w:bCs/>
                <w:color w:val="000000"/>
                <w:sz w:val="20"/>
                <w:szCs w:val="20"/>
              </w:rPr>
              <w:t>94 440*</w:t>
            </w:r>
          </w:p>
        </w:tc>
        <w:tc>
          <w:tcPr>
            <w:tcW w:w="584" w:type="pct"/>
            <w:tcBorders>
              <w:top w:val="nil"/>
              <w:left w:val="nil"/>
              <w:bottom w:val="single" w:sz="4" w:space="0" w:color="auto"/>
              <w:right w:val="single" w:sz="4" w:space="0" w:color="auto"/>
            </w:tcBorders>
            <w:shd w:val="clear" w:color="auto" w:fill="auto"/>
            <w:noWrap/>
            <w:vAlign w:val="center"/>
          </w:tcPr>
          <w:p w14:paraId="638CA0BF" w14:textId="77777777" w:rsidR="004309C0" w:rsidRPr="003F1EDB" w:rsidRDefault="004309C0" w:rsidP="00974BD0">
            <w:pPr>
              <w:keepNext/>
              <w:spacing w:after="40"/>
              <w:ind w:right="113"/>
              <w:jc w:val="right"/>
              <w:rPr>
                <w:rFonts w:ascii="Calibri" w:hAnsi="Calibri" w:cs="Calibri"/>
                <w:color w:val="000000"/>
                <w:sz w:val="20"/>
                <w:szCs w:val="20"/>
              </w:rPr>
            </w:pPr>
            <w:r w:rsidRPr="003F1EDB">
              <w:rPr>
                <w:rFonts w:ascii="Calibri" w:hAnsi="Calibri" w:cs="Calibri"/>
                <w:bCs/>
                <w:color w:val="000000"/>
                <w:sz w:val="20"/>
                <w:szCs w:val="20"/>
              </w:rPr>
              <w:t>327 269</w:t>
            </w:r>
          </w:p>
        </w:tc>
        <w:tc>
          <w:tcPr>
            <w:tcW w:w="585" w:type="pct"/>
            <w:tcBorders>
              <w:top w:val="nil"/>
              <w:left w:val="nil"/>
              <w:bottom w:val="single" w:sz="4" w:space="0" w:color="auto"/>
              <w:right w:val="single" w:sz="4" w:space="0" w:color="auto"/>
            </w:tcBorders>
            <w:shd w:val="clear" w:color="auto" w:fill="auto"/>
            <w:noWrap/>
            <w:vAlign w:val="center"/>
          </w:tcPr>
          <w:p w14:paraId="24FFAEE2" w14:textId="77777777" w:rsidR="004309C0" w:rsidRPr="003F1EDB" w:rsidRDefault="004309C0" w:rsidP="00974BD0">
            <w:pPr>
              <w:keepNext/>
              <w:spacing w:after="40"/>
              <w:ind w:right="113"/>
              <w:jc w:val="right"/>
              <w:rPr>
                <w:rFonts w:ascii="Calibri" w:hAnsi="Calibri" w:cs="Calibri"/>
                <w:color w:val="000000"/>
                <w:sz w:val="20"/>
                <w:szCs w:val="20"/>
              </w:rPr>
            </w:pPr>
            <w:r w:rsidRPr="003F1EDB">
              <w:rPr>
                <w:rFonts w:ascii="Calibri" w:hAnsi="Calibri" w:cs="Calibri"/>
                <w:bCs/>
                <w:color w:val="000000"/>
                <w:sz w:val="20"/>
                <w:szCs w:val="20"/>
              </w:rPr>
              <w:t>465 667</w:t>
            </w:r>
          </w:p>
        </w:tc>
        <w:tc>
          <w:tcPr>
            <w:tcW w:w="584" w:type="pct"/>
            <w:tcBorders>
              <w:top w:val="nil"/>
              <w:left w:val="nil"/>
              <w:bottom w:val="single" w:sz="4" w:space="0" w:color="auto"/>
              <w:right w:val="single" w:sz="4" w:space="0" w:color="auto"/>
            </w:tcBorders>
            <w:shd w:val="clear" w:color="auto" w:fill="auto"/>
            <w:noWrap/>
            <w:vAlign w:val="center"/>
          </w:tcPr>
          <w:p w14:paraId="7FE4D25D" w14:textId="77777777" w:rsidR="004309C0" w:rsidRPr="003F1EDB" w:rsidRDefault="004309C0" w:rsidP="00974BD0">
            <w:pPr>
              <w:keepNext/>
              <w:spacing w:after="40"/>
              <w:ind w:right="113"/>
              <w:jc w:val="right"/>
              <w:rPr>
                <w:rFonts w:ascii="Calibri" w:hAnsi="Calibri" w:cs="Calibri"/>
                <w:color w:val="000000"/>
                <w:sz w:val="20"/>
                <w:szCs w:val="20"/>
              </w:rPr>
            </w:pPr>
            <w:r w:rsidRPr="003F1EDB">
              <w:rPr>
                <w:rFonts w:ascii="Calibri" w:hAnsi="Calibri" w:cs="Calibri"/>
                <w:bCs/>
                <w:color w:val="000000"/>
                <w:sz w:val="20"/>
                <w:szCs w:val="20"/>
              </w:rPr>
              <w:t>558 990</w:t>
            </w:r>
          </w:p>
        </w:tc>
        <w:tc>
          <w:tcPr>
            <w:tcW w:w="584" w:type="pct"/>
            <w:tcBorders>
              <w:top w:val="nil"/>
              <w:left w:val="nil"/>
              <w:bottom w:val="single" w:sz="4" w:space="0" w:color="auto"/>
              <w:right w:val="nil"/>
            </w:tcBorders>
            <w:shd w:val="clear" w:color="auto" w:fill="auto"/>
            <w:noWrap/>
            <w:vAlign w:val="center"/>
          </w:tcPr>
          <w:p w14:paraId="086737D1" w14:textId="77777777" w:rsidR="004309C0" w:rsidRPr="003F1EDB" w:rsidRDefault="004309C0" w:rsidP="00974BD0">
            <w:pPr>
              <w:keepNext/>
              <w:spacing w:after="40"/>
              <w:ind w:right="113"/>
              <w:jc w:val="right"/>
              <w:rPr>
                <w:rFonts w:ascii="Calibri" w:hAnsi="Calibri" w:cs="Calibri"/>
                <w:color w:val="000000"/>
                <w:sz w:val="20"/>
                <w:szCs w:val="20"/>
              </w:rPr>
            </w:pPr>
            <w:r w:rsidRPr="003F1EDB">
              <w:rPr>
                <w:rFonts w:ascii="Calibri" w:hAnsi="Calibri" w:cs="Calibri"/>
                <w:bCs/>
                <w:color w:val="000000"/>
                <w:sz w:val="20"/>
                <w:szCs w:val="20"/>
              </w:rPr>
              <w:t>584 349</w:t>
            </w:r>
          </w:p>
        </w:tc>
        <w:tc>
          <w:tcPr>
            <w:tcW w:w="585" w:type="pct"/>
            <w:tcBorders>
              <w:top w:val="nil"/>
              <w:left w:val="single" w:sz="4" w:space="0" w:color="auto"/>
              <w:bottom w:val="single" w:sz="4" w:space="0" w:color="auto"/>
              <w:right w:val="single" w:sz="4" w:space="0" w:color="auto"/>
            </w:tcBorders>
            <w:shd w:val="clear" w:color="auto" w:fill="auto"/>
            <w:vAlign w:val="center"/>
          </w:tcPr>
          <w:p w14:paraId="7AD5147B" w14:textId="77777777" w:rsidR="004309C0" w:rsidRPr="003F1EDB" w:rsidRDefault="004309C0" w:rsidP="00974BD0">
            <w:pPr>
              <w:keepNext/>
              <w:spacing w:after="40"/>
              <w:ind w:right="113"/>
              <w:jc w:val="right"/>
              <w:rPr>
                <w:rFonts w:ascii="Calibri" w:hAnsi="Calibri" w:cs="Calibri"/>
                <w:color w:val="000000"/>
                <w:sz w:val="20"/>
                <w:szCs w:val="20"/>
              </w:rPr>
            </w:pPr>
            <w:r w:rsidRPr="003F1EDB">
              <w:rPr>
                <w:rFonts w:ascii="Calibri" w:hAnsi="Calibri" w:cs="Calibri"/>
                <w:bCs/>
                <w:color w:val="000000"/>
                <w:sz w:val="20"/>
                <w:szCs w:val="20"/>
              </w:rPr>
              <w:t>589 413</w:t>
            </w:r>
          </w:p>
        </w:tc>
      </w:tr>
      <w:tr w:rsidR="004309C0" w:rsidRPr="003F1EDB" w14:paraId="0148D7F9" w14:textId="77777777" w:rsidTr="00326C2D">
        <w:trPr>
          <w:trHeight w:val="255"/>
        </w:trPr>
        <w:tc>
          <w:tcPr>
            <w:tcW w:w="1493" w:type="pct"/>
            <w:tcBorders>
              <w:top w:val="nil"/>
              <w:left w:val="single" w:sz="4" w:space="0" w:color="auto"/>
              <w:bottom w:val="single" w:sz="4" w:space="0" w:color="auto"/>
              <w:right w:val="single" w:sz="4" w:space="0" w:color="auto"/>
            </w:tcBorders>
            <w:shd w:val="clear" w:color="auto" w:fill="auto"/>
            <w:noWrap/>
            <w:vAlign w:val="center"/>
          </w:tcPr>
          <w:p w14:paraId="49EDC398" w14:textId="40E2BD98" w:rsidR="004309C0" w:rsidRPr="003F1EDB" w:rsidRDefault="008E11EC" w:rsidP="00974BD0">
            <w:pPr>
              <w:keepNext/>
              <w:spacing w:after="40"/>
              <w:rPr>
                <w:rFonts w:ascii="Calibri" w:hAnsi="Calibri" w:cs="Calibri"/>
                <w:bCs/>
                <w:color w:val="000000"/>
                <w:sz w:val="20"/>
                <w:szCs w:val="20"/>
              </w:rPr>
            </w:pPr>
            <w:r>
              <w:rPr>
                <w:rFonts w:ascii="Calibri" w:hAnsi="Calibri" w:cs="Calibri"/>
                <w:bCs/>
                <w:color w:val="000000"/>
                <w:sz w:val="20"/>
                <w:szCs w:val="20"/>
              </w:rPr>
              <w:t xml:space="preserve">– </w:t>
            </w:r>
            <w:r w:rsidR="004309C0" w:rsidRPr="003F1EDB">
              <w:rPr>
                <w:rFonts w:ascii="Calibri" w:hAnsi="Calibri" w:cs="Calibri"/>
                <w:bCs/>
                <w:color w:val="000000"/>
                <w:sz w:val="20"/>
                <w:szCs w:val="20"/>
              </w:rPr>
              <w:t>z</w:t>
            </w:r>
            <w:r>
              <w:rPr>
                <w:rFonts w:ascii="Calibri" w:hAnsi="Calibri" w:cs="Calibri"/>
                <w:bCs/>
                <w:color w:val="000000"/>
                <w:sz w:val="20"/>
                <w:szCs w:val="20"/>
              </w:rPr>
              <w:t> </w:t>
            </w:r>
            <w:r w:rsidR="004309C0" w:rsidRPr="003F1EDB">
              <w:rPr>
                <w:rFonts w:ascii="Calibri" w:hAnsi="Calibri" w:cs="Calibri"/>
                <w:bCs/>
                <w:color w:val="000000"/>
                <w:sz w:val="20"/>
                <w:szCs w:val="20"/>
              </w:rPr>
              <w:t>toho</w:t>
            </w:r>
            <w:r>
              <w:rPr>
                <w:rFonts w:ascii="Calibri" w:hAnsi="Calibri" w:cs="Calibri"/>
                <w:bCs/>
                <w:color w:val="000000"/>
                <w:sz w:val="20"/>
                <w:szCs w:val="20"/>
              </w:rPr>
              <w:t>:</w:t>
            </w:r>
            <w:r w:rsidR="004309C0" w:rsidRPr="003F1EDB">
              <w:rPr>
                <w:rFonts w:ascii="Calibri" w:hAnsi="Calibri" w:cs="Calibri"/>
                <w:bCs/>
                <w:color w:val="000000"/>
                <w:sz w:val="20"/>
                <w:szCs w:val="20"/>
              </w:rPr>
              <w:t xml:space="preserve"> </w:t>
            </w:r>
            <w:r>
              <w:rPr>
                <w:rFonts w:ascii="Calibri" w:hAnsi="Calibri" w:cs="Calibri"/>
                <w:bCs/>
                <w:color w:val="000000"/>
                <w:sz w:val="20"/>
                <w:szCs w:val="20"/>
              </w:rPr>
              <w:t>v</w:t>
            </w:r>
            <w:r w:rsidR="004309C0" w:rsidRPr="003F1EDB">
              <w:rPr>
                <w:rFonts w:ascii="Calibri" w:hAnsi="Calibri" w:cs="Calibri"/>
                <w:bCs/>
                <w:color w:val="000000"/>
                <w:sz w:val="20"/>
                <w:szCs w:val="20"/>
              </w:rPr>
              <w:t>ýnosy z transferů</w:t>
            </w:r>
          </w:p>
        </w:tc>
        <w:tc>
          <w:tcPr>
            <w:tcW w:w="584" w:type="pct"/>
            <w:tcBorders>
              <w:top w:val="nil"/>
              <w:left w:val="nil"/>
              <w:bottom w:val="single" w:sz="4" w:space="0" w:color="auto"/>
              <w:right w:val="single" w:sz="4" w:space="0" w:color="auto"/>
            </w:tcBorders>
            <w:shd w:val="clear" w:color="auto" w:fill="auto"/>
            <w:noWrap/>
            <w:vAlign w:val="center"/>
          </w:tcPr>
          <w:p w14:paraId="41756BB2"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92 948</w:t>
            </w:r>
          </w:p>
        </w:tc>
        <w:tc>
          <w:tcPr>
            <w:tcW w:w="584" w:type="pct"/>
            <w:tcBorders>
              <w:top w:val="nil"/>
              <w:left w:val="nil"/>
              <w:bottom w:val="single" w:sz="4" w:space="0" w:color="auto"/>
              <w:right w:val="single" w:sz="4" w:space="0" w:color="auto"/>
            </w:tcBorders>
            <w:shd w:val="clear" w:color="auto" w:fill="auto"/>
            <w:noWrap/>
            <w:vAlign w:val="center"/>
          </w:tcPr>
          <w:p w14:paraId="50B15E76"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324 397</w:t>
            </w:r>
          </w:p>
        </w:tc>
        <w:tc>
          <w:tcPr>
            <w:tcW w:w="585" w:type="pct"/>
            <w:tcBorders>
              <w:top w:val="nil"/>
              <w:left w:val="nil"/>
              <w:bottom w:val="single" w:sz="4" w:space="0" w:color="auto"/>
              <w:right w:val="single" w:sz="4" w:space="0" w:color="auto"/>
            </w:tcBorders>
            <w:shd w:val="clear" w:color="auto" w:fill="auto"/>
            <w:noWrap/>
            <w:vAlign w:val="center"/>
          </w:tcPr>
          <w:p w14:paraId="3F81A3B1"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464 944</w:t>
            </w:r>
          </w:p>
        </w:tc>
        <w:tc>
          <w:tcPr>
            <w:tcW w:w="584" w:type="pct"/>
            <w:tcBorders>
              <w:top w:val="nil"/>
              <w:left w:val="nil"/>
              <w:bottom w:val="single" w:sz="4" w:space="0" w:color="auto"/>
              <w:right w:val="single" w:sz="4" w:space="0" w:color="auto"/>
            </w:tcBorders>
            <w:shd w:val="clear" w:color="auto" w:fill="auto"/>
            <w:noWrap/>
            <w:vAlign w:val="center"/>
          </w:tcPr>
          <w:p w14:paraId="6B719A6F"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558 785</w:t>
            </w:r>
          </w:p>
        </w:tc>
        <w:tc>
          <w:tcPr>
            <w:tcW w:w="584" w:type="pct"/>
            <w:tcBorders>
              <w:top w:val="nil"/>
              <w:left w:val="nil"/>
              <w:bottom w:val="single" w:sz="4" w:space="0" w:color="auto"/>
              <w:right w:val="nil"/>
            </w:tcBorders>
            <w:shd w:val="clear" w:color="auto" w:fill="auto"/>
            <w:noWrap/>
            <w:vAlign w:val="center"/>
          </w:tcPr>
          <w:p w14:paraId="003E8C10"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581 933</w:t>
            </w:r>
          </w:p>
        </w:tc>
        <w:tc>
          <w:tcPr>
            <w:tcW w:w="585" w:type="pct"/>
            <w:tcBorders>
              <w:top w:val="nil"/>
              <w:left w:val="single" w:sz="4" w:space="0" w:color="auto"/>
              <w:bottom w:val="single" w:sz="4" w:space="0" w:color="auto"/>
              <w:right w:val="single" w:sz="4" w:space="0" w:color="auto"/>
            </w:tcBorders>
            <w:shd w:val="clear" w:color="auto" w:fill="auto"/>
            <w:vAlign w:val="center"/>
          </w:tcPr>
          <w:p w14:paraId="7A8FFF7A" w14:textId="77777777" w:rsidR="004309C0" w:rsidRPr="003F1EDB" w:rsidRDefault="004309C0" w:rsidP="00974BD0">
            <w:pPr>
              <w:keepNext/>
              <w:spacing w:after="40"/>
              <w:ind w:right="113"/>
              <w:jc w:val="right"/>
              <w:rPr>
                <w:rFonts w:ascii="Calibri" w:hAnsi="Calibri" w:cs="Calibri"/>
                <w:bCs/>
                <w:color w:val="000000"/>
                <w:sz w:val="20"/>
                <w:szCs w:val="20"/>
              </w:rPr>
            </w:pPr>
            <w:r w:rsidRPr="003F1EDB">
              <w:rPr>
                <w:rFonts w:ascii="Calibri" w:hAnsi="Calibri" w:cs="Calibri"/>
                <w:bCs/>
                <w:color w:val="000000"/>
                <w:sz w:val="20"/>
                <w:szCs w:val="20"/>
              </w:rPr>
              <w:t>587 522</w:t>
            </w:r>
          </w:p>
        </w:tc>
      </w:tr>
    </w:tbl>
    <w:p w14:paraId="6292157D" w14:textId="55904230" w:rsidR="000E6D29" w:rsidRPr="00974BD0" w:rsidRDefault="000E6D29" w:rsidP="00974BD0">
      <w:pPr>
        <w:keepNext/>
        <w:spacing w:before="40" w:after="0"/>
        <w:rPr>
          <w:rFonts w:cstheme="minorHAnsi"/>
          <w:sz w:val="20"/>
          <w:szCs w:val="20"/>
          <w:lang w:eastAsia="en-US"/>
        </w:rPr>
      </w:pPr>
      <w:r w:rsidRPr="00974BD0">
        <w:rPr>
          <w:rFonts w:cstheme="minorHAnsi"/>
          <w:b/>
          <w:sz w:val="20"/>
          <w:szCs w:val="20"/>
        </w:rPr>
        <w:t>Zdroj:</w:t>
      </w:r>
      <w:r w:rsidRPr="00974BD0">
        <w:rPr>
          <w:rFonts w:cstheme="minorHAnsi"/>
          <w:sz w:val="20"/>
          <w:szCs w:val="20"/>
        </w:rPr>
        <w:t xml:space="preserve"> </w:t>
      </w:r>
      <w:r w:rsidR="00326C2D">
        <w:rPr>
          <w:rFonts w:cstheme="minorHAnsi"/>
          <w:sz w:val="20"/>
          <w:szCs w:val="20"/>
        </w:rPr>
        <w:t>vypracoval</w:t>
      </w:r>
      <w:r w:rsidR="00501C66" w:rsidRPr="00974BD0">
        <w:rPr>
          <w:rFonts w:cstheme="minorHAnsi"/>
          <w:sz w:val="20"/>
          <w:szCs w:val="20"/>
        </w:rPr>
        <w:t xml:space="preserve"> NKÚ. </w:t>
      </w:r>
    </w:p>
    <w:p w14:paraId="194F58CC" w14:textId="1FEA809B" w:rsidR="000E6D29" w:rsidRPr="00974BD0" w:rsidRDefault="000E6D29" w:rsidP="00974BD0">
      <w:pPr>
        <w:spacing w:after="0"/>
        <w:rPr>
          <w:rFonts w:cstheme="minorHAnsi"/>
          <w:sz w:val="20"/>
          <w:szCs w:val="20"/>
        </w:rPr>
      </w:pPr>
      <w:r w:rsidRPr="00974BD0">
        <w:rPr>
          <w:rFonts w:cstheme="minorHAnsi"/>
          <w:b/>
          <w:sz w:val="20"/>
          <w:szCs w:val="20"/>
        </w:rPr>
        <w:t xml:space="preserve">* </w:t>
      </w:r>
      <w:r w:rsidR="00326C2D">
        <w:rPr>
          <w:rFonts w:cstheme="minorHAnsi"/>
          <w:sz w:val="20"/>
          <w:szCs w:val="20"/>
        </w:rPr>
        <w:t>Z</w:t>
      </w:r>
      <w:r w:rsidRPr="00974BD0">
        <w:rPr>
          <w:rFonts w:cstheme="minorHAnsi"/>
          <w:sz w:val="20"/>
          <w:szCs w:val="20"/>
        </w:rPr>
        <w:t>a rok 2015 údaje za období 1. 6. 2015 – 31. 12. 2015.</w:t>
      </w:r>
    </w:p>
    <w:p w14:paraId="140E36C5" w14:textId="77777777" w:rsidR="00D5700E" w:rsidRDefault="00014779" w:rsidP="00974BD0">
      <w:pPr>
        <w:spacing w:before="120"/>
        <w:jc w:val="both"/>
        <w:rPr>
          <w:rFonts w:ascii="Calibri" w:hAnsi="Calibri" w:cs="Calibri"/>
          <w:color w:val="000000"/>
        </w:rPr>
      </w:pPr>
      <w:proofErr w:type="spellStart"/>
      <w:r w:rsidRPr="008131E3">
        <w:rPr>
          <w:rFonts w:ascii="Calibri" w:hAnsi="Calibri" w:cs="Calibri"/>
          <w:b/>
          <w:color w:val="000000"/>
        </w:rPr>
        <w:t>CzechTourism</w:t>
      </w:r>
      <w:proofErr w:type="spellEnd"/>
      <w:r w:rsidRPr="00C1015B">
        <w:rPr>
          <w:rFonts w:ascii="Calibri" w:hAnsi="Calibri" w:cs="Calibri"/>
          <w:color w:val="000000"/>
        </w:rPr>
        <w:t xml:space="preserve"> je příspěvková organizace </w:t>
      </w:r>
      <w:r w:rsidR="00D5700E">
        <w:rPr>
          <w:rFonts w:ascii="Calibri" w:hAnsi="Calibri" w:cs="Calibri"/>
          <w:color w:val="000000"/>
        </w:rPr>
        <w:t>MMR</w:t>
      </w:r>
      <w:r w:rsidRPr="00C1015B">
        <w:rPr>
          <w:rFonts w:ascii="Calibri" w:hAnsi="Calibri" w:cs="Calibri"/>
          <w:color w:val="000000"/>
        </w:rPr>
        <w:t xml:space="preserve"> zřízená rozhodnutím ministra hospodářství České republiky č. 29 ze dne 18. 3. 1993 v souladu se zákonem č. 576/1990 Sb.</w:t>
      </w:r>
      <w:r w:rsidR="000A26B8">
        <w:rPr>
          <w:rStyle w:val="Znakapoznpodarou"/>
          <w:rFonts w:ascii="Calibri" w:hAnsi="Calibri" w:cs="Calibri"/>
          <w:color w:val="000000"/>
        </w:rPr>
        <w:footnoteReference w:id="19"/>
      </w:r>
      <w:r w:rsidR="00EA62AE">
        <w:rPr>
          <w:rFonts w:ascii="Calibri" w:hAnsi="Calibri" w:cs="Calibri"/>
          <w:color w:val="000000"/>
        </w:rPr>
        <w:t xml:space="preserve"> </w:t>
      </w:r>
      <w:r w:rsidRPr="00C1015B">
        <w:rPr>
          <w:rFonts w:ascii="Calibri" w:hAnsi="Calibri" w:cs="Calibri"/>
          <w:color w:val="000000"/>
        </w:rPr>
        <w:t xml:space="preserve">Rozpočet </w:t>
      </w:r>
      <w:r w:rsidRPr="00C1015B">
        <w:rPr>
          <w:rFonts w:ascii="Calibri" w:hAnsi="Calibri" w:cs="Calibri"/>
          <w:color w:val="000000"/>
        </w:rPr>
        <w:lastRenderedPageBreak/>
        <w:t>kapitoly 317</w:t>
      </w:r>
      <w:r>
        <w:rPr>
          <w:rFonts w:ascii="Calibri" w:hAnsi="Calibri" w:cs="Calibri"/>
          <w:color w:val="000000"/>
        </w:rPr>
        <w:t> –</w:t>
      </w:r>
      <w:r w:rsidRPr="00C1015B">
        <w:rPr>
          <w:rFonts w:ascii="Calibri" w:hAnsi="Calibri" w:cs="Calibri"/>
          <w:color w:val="000000"/>
        </w:rPr>
        <w:t xml:space="preserve"> </w:t>
      </w:r>
      <w:r w:rsidRPr="007D3221">
        <w:rPr>
          <w:rFonts w:ascii="Calibri" w:hAnsi="Calibri" w:cs="Calibri"/>
          <w:i/>
          <w:color w:val="000000"/>
        </w:rPr>
        <w:t>Ministerstv</w:t>
      </w:r>
      <w:r>
        <w:rPr>
          <w:rFonts w:ascii="Calibri" w:hAnsi="Calibri" w:cs="Calibri"/>
          <w:i/>
          <w:color w:val="000000"/>
        </w:rPr>
        <w:t>o</w:t>
      </w:r>
      <w:r w:rsidRPr="007D3221">
        <w:rPr>
          <w:rFonts w:ascii="Calibri" w:hAnsi="Calibri" w:cs="Calibri"/>
          <w:i/>
          <w:color w:val="000000"/>
        </w:rPr>
        <w:t xml:space="preserve"> pro místní rozvoj</w:t>
      </w:r>
      <w:r w:rsidR="003E7F63">
        <w:rPr>
          <w:rFonts w:ascii="Calibri" w:hAnsi="Calibri" w:cs="Calibri"/>
          <w:color w:val="000000"/>
        </w:rPr>
        <w:t xml:space="preserve"> obsahuje výdaje na činnost </w:t>
      </w:r>
      <w:r w:rsidR="00C97833">
        <w:rPr>
          <w:rFonts w:ascii="Calibri" w:hAnsi="Calibri" w:cs="Calibri"/>
          <w:color w:val="000000"/>
        </w:rPr>
        <w:t>příspěvkových organizací</w:t>
      </w:r>
      <w:r w:rsidR="00923A93">
        <w:rPr>
          <w:rFonts w:ascii="Calibri" w:hAnsi="Calibri" w:cs="Calibri"/>
          <w:color w:val="000000"/>
        </w:rPr>
        <w:t xml:space="preserve">, tedy i výdaje na činnost </w:t>
      </w:r>
      <w:r w:rsidR="00326C2D">
        <w:rPr>
          <w:rFonts w:ascii="Calibri" w:hAnsi="Calibri" w:cs="Calibri"/>
          <w:color w:val="000000"/>
        </w:rPr>
        <w:t xml:space="preserve">agentury </w:t>
      </w:r>
      <w:proofErr w:type="spellStart"/>
      <w:r w:rsidR="00923A93">
        <w:rPr>
          <w:rFonts w:ascii="Calibri" w:hAnsi="Calibri" w:cs="Calibri"/>
          <w:color w:val="000000"/>
        </w:rPr>
        <w:t>CzechTourism</w:t>
      </w:r>
      <w:proofErr w:type="spellEnd"/>
      <w:r w:rsidR="00923A93">
        <w:rPr>
          <w:rFonts w:ascii="Calibri" w:hAnsi="Calibri" w:cs="Calibri"/>
          <w:color w:val="000000"/>
        </w:rPr>
        <w:t>.</w:t>
      </w:r>
    </w:p>
    <w:p w14:paraId="0057E0F0" w14:textId="77777777" w:rsidR="00D5700E" w:rsidRDefault="00935780" w:rsidP="00D5700E">
      <w:pPr>
        <w:autoSpaceDE w:val="0"/>
        <w:autoSpaceDN w:val="0"/>
        <w:adjustRightInd w:val="0"/>
        <w:jc w:val="both"/>
        <w:rPr>
          <w:rFonts w:ascii="Calibri" w:hAnsi="Calibri" w:cs="Calibri"/>
          <w:color w:val="000000" w:themeColor="text1"/>
        </w:rPr>
      </w:pPr>
      <w:proofErr w:type="spellStart"/>
      <w:r>
        <w:rPr>
          <w:rFonts w:ascii="Calibri" w:hAnsi="Calibri" w:cs="Calibri"/>
          <w:color w:val="000000" w:themeColor="text1"/>
        </w:rPr>
        <w:t>CzechTourism</w:t>
      </w:r>
      <w:proofErr w:type="spellEnd"/>
      <w:r w:rsidR="00D5700E">
        <w:rPr>
          <w:rFonts w:ascii="Calibri" w:hAnsi="Calibri" w:cs="Calibri"/>
          <w:color w:val="000000" w:themeColor="text1"/>
        </w:rPr>
        <w:t xml:space="preserve"> </w:t>
      </w:r>
      <w:r w:rsidR="00D5700E" w:rsidRPr="00D5700E">
        <w:rPr>
          <w:rFonts w:ascii="Calibri" w:hAnsi="Calibri" w:cs="Calibri"/>
          <w:color w:val="000000" w:themeColor="text1"/>
        </w:rPr>
        <w:t xml:space="preserve">plní úkoly v oboru cestovního ruchu. V rámci svého poslání koordinuje státní propagaci cestovního ruchu s aktivitami prováděnými podnikatelskými subjekty a rozvíjí střednědobou a aktuální strategii pro marketing cestovního ruchu na domácím i zahraničním trhu. </w:t>
      </w:r>
    </w:p>
    <w:p w14:paraId="465D0199" w14:textId="0819CAD6" w:rsidR="00501C66" w:rsidRPr="00762525" w:rsidRDefault="00501C66" w:rsidP="00326C2D">
      <w:pPr>
        <w:pStyle w:val="Titulek"/>
        <w:keepNext/>
        <w:tabs>
          <w:tab w:val="right" w:pos="9072"/>
        </w:tabs>
        <w:spacing w:after="40"/>
        <w:rPr>
          <w:rFonts w:asciiTheme="minorHAnsi" w:hAnsiTheme="minorHAnsi" w:cstheme="minorHAnsi"/>
          <w:b/>
          <w:i w:val="0"/>
          <w:vanish/>
          <w:color w:val="auto"/>
          <w:sz w:val="20"/>
          <w:szCs w:val="20"/>
        </w:rPr>
      </w:pPr>
      <w:r w:rsidRPr="00762525">
        <w:rPr>
          <w:rFonts w:asciiTheme="minorHAnsi" w:hAnsiTheme="minorHAnsi" w:cstheme="minorHAnsi"/>
          <w:b/>
          <w:i w:val="0"/>
          <w:color w:val="auto"/>
          <w:sz w:val="24"/>
          <w:szCs w:val="24"/>
        </w:rPr>
        <w:t xml:space="preserve">Tabulka </w:t>
      </w:r>
      <w:r w:rsidRPr="00762525">
        <w:rPr>
          <w:rFonts w:asciiTheme="minorHAnsi" w:hAnsiTheme="minorHAnsi" w:cstheme="minorHAnsi"/>
          <w:b/>
          <w:i w:val="0"/>
          <w:color w:val="auto"/>
          <w:sz w:val="24"/>
          <w:szCs w:val="24"/>
        </w:rPr>
        <w:fldChar w:fldCharType="begin"/>
      </w:r>
      <w:r w:rsidRPr="00762525">
        <w:rPr>
          <w:rFonts w:asciiTheme="minorHAnsi" w:hAnsiTheme="minorHAnsi" w:cstheme="minorHAnsi"/>
          <w:b/>
          <w:i w:val="0"/>
          <w:color w:val="auto"/>
          <w:sz w:val="24"/>
          <w:szCs w:val="24"/>
        </w:rPr>
        <w:instrText xml:space="preserve"> SEQ Tabulka \* ARABIC </w:instrText>
      </w:r>
      <w:r w:rsidRPr="00762525">
        <w:rPr>
          <w:rFonts w:asciiTheme="minorHAnsi" w:hAnsiTheme="minorHAnsi" w:cstheme="minorHAnsi"/>
          <w:b/>
          <w:i w:val="0"/>
          <w:color w:val="auto"/>
          <w:sz w:val="24"/>
          <w:szCs w:val="24"/>
        </w:rPr>
        <w:fldChar w:fldCharType="separate"/>
      </w:r>
      <w:r w:rsidR="00621F68">
        <w:rPr>
          <w:rFonts w:asciiTheme="minorHAnsi" w:hAnsiTheme="minorHAnsi" w:cstheme="minorHAnsi"/>
          <w:b/>
          <w:i w:val="0"/>
          <w:noProof/>
          <w:color w:val="auto"/>
          <w:sz w:val="24"/>
          <w:szCs w:val="24"/>
        </w:rPr>
        <w:t>4</w:t>
      </w:r>
      <w:r w:rsidRPr="00762525">
        <w:rPr>
          <w:rFonts w:asciiTheme="minorHAnsi" w:hAnsiTheme="minorHAnsi" w:cstheme="minorHAnsi"/>
          <w:b/>
          <w:i w:val="0"/>
          <w:color w:val="auto"/>
          <w:sz w:val="24"/>
          <w:szCs w:val="24"/>
        </w:rPr>
        <w:fldChar w:fldCharType="end"/>
      </w:r>
      <w:r w:rsidRPr="00762525">
        <w:rPr>
          <w:rFonts w:asciiTheme="minorHAnsi" w:hAnsiTheme="minorHAnsi" w:cstheme="minorHAnsi"/>
          <w:b/>
          <w:i w:val="0"/>
          <w:color w:val="auto"/>
          <w:sz w:val="24"/>
          <w:szCs w:val="24"/>
        </w:rPr>
        <w:t xml:space="preserve">: </w:t>
      </w:r>
      <w:proofErr w:type="spellStart"/>
      <w:r w:rsidRPr="00762525">
        <w:rPr>
          <w:rFonts w:asciiTheme="minorHAnsi" w:hAnsiTheme="minorHAnsi" w:cstheme="minorHAnsi"/>
          <w:b/>
          <w:i w:val="0"/>
          <w:color w:val="auto"/>
          <w:sz w:val="24"/>
          <w:szCs w:val="24"/>
        </w:rPr>
        <w:t>CzechTourism</w:t>
      </w:r>
      <w:proofErr w:type="spellEnd"/>
      <w:r w:rsidRPr="00762525">
        <w:rPr>
          <w:rFonts w:asciiTheme="minorHAnsi" w:hAnsiTheme="minorHAnsi" w:cstheme="minorHAnsi"/>
          <w:b/>
          <w:i w:val="0"/>
          <w:color w:val="auto"/>
          <w:sz w:val="24"/>
          <w:szCs w:val="24"/>
        </w:rPr>
        <w:t xml:space="preserve"> – přehled majetku, nákladů a výnosů </w:t>
      </w:r>
      <w:r w:rsidR="00326C2D">
        <w:rPr>
          <w:rFonts w:asciiTheme="minorHAnsi" w:hAnsiTheme="minorHAnsi" w:cstheme="minorHAnsi"/>
          <w:b/>
          <w:i w:val="0"/>
          <w:color w:val="auto"/>
          <w:sz w:val="24"/>
          <w:szCs w:val="24"/>
        </w:rPr>
        <w:tab/>
        <w:t>(</w:t>
      </w:r>
      <w:r w:rsidRPr="00762525">
        <w:rPr>
          <w:rFonts w:asciiTheme="minorHAnsi" w:hAnsiTheme="minorHAnsi" w:cstheme="minorHAnsi"/>
          <w:b/>
          <w:i w:val="0"/>
          <w:color w:val="auto"/>
          <w:sz w:val="24"/>
          <w:szCs w:val="24"/>
        </w:rPr>
        <w:t>v</w:t>
      </w:r>
      <w:r w:rsidR="00B35157" w:rsidRPr="00762525">
        <w:rPr>
          <w:rFonts w:asciiTheme="minorHAnsi" w:hAnsiTheme="minorHAnsi" w:cstheme="minorHAnsi"/>
          <w:b/>
          <w:i w:val="0"/>
          <w:color w:val="auto"/>
          <w:sz w:val="24"/>
          <w:szCs w:val="24"/>
        </w:rPr>
        <w:t> tis.</w:t>
      </w:r>
      <w:r w:rsidR="0034081E" w:rsidRPr="00762525">
        <w:rPr>
          <w:rFonts w:asciiTheme="minorHAnsi" w:hAnsiTheme="minorHAnsi" w:cstheme="minorHAnsi"/>
          <w:b/>
          <w:i w:val="0"/>
          <w:color w:val="auto"/>
          <w:sz w:val="24"/>
          <w:szCs w:val="24"/>
        </w:rPr>
        <w:t xml:space="preserve"> Kč</w:t>
      </w:r>
      <w:r w:rsidR="00326C2D">
        <w:rPr>
          <w:rFonts w:asciiTheme="minorHAnsi" w:hAnsiTheme="minorHAnsi" w:cstheme="minorHAnsi"/>
          <w:b/>
          <w:i w:val="0"/>
          <w:color w:val="auto"/>
          <w:sz w:val="24"/>
          <w:szCs w:val="24"/>
        </w:rPr>
        <w:t>)</w:t>
      </w:r>
    </w:p>
    <w:tbl>
      <w:tblPr>
        <w:tblW w:w="5000" w:type="pct"/>
        <w:tblCellMar>
          <w:left w:w="70" w:type="dxa"/>
          <w:right w:w="70" w:type="dxa"/>
        </w:tblCellMar>
        <w:tblLook w:val="04A0" w:firstRow="1" w:lastRow="0" w:firstColumn="1" w:lastColumn="0" w:noHBand="0" w:noVBand="1"/>
      </w:tblPr>
      <w:tblGrid>
        <w:gridCol w:w="2546"/>
        <w:gridCol w:w="1085"/>
        <w:gridCol w:w="1086"/>
        <w:gridCol w:w="1086"/>
        <w:gridCol w:w="1086"/>
        <w:gridCol w:w="1086"/>
        <w:gridCol w:w="1088"/>
      </w:tblGrid>
      <w:tr w:rsidR="004309C0" w:rsidRPr="00762525" w14:paraId="1B873F8F" w14:textId="77777777" w:rsidTr="00762525">
        <w:trPr>
          <w:trHeight w:val="255"/>
        </w:trPr>
        <w:tc>
          <w:tcPr>
            <w:tcW w:w="1405" w:type="pct"/>
            <w:vMerge w:val="restart"/>
            <w:tcBorders>
              <w:top w:val="single" w:sz="4" w:space="0" w:color="auto"/>
              <w:left w:val="single" w:sz="4" w:space="0" w:color="auto"/>
              <w:bottom w:val="single" w:sz="4" w:space="0" w:color="auto"/>
              <w:right w:val="single" w:sz="4" w:space="0" w:color="auto"/>
            </w:tcBorders>
            <w:noWrap/>
            <w:vAlign w:val="center"/>
            <w:hideMark/>
          </w:tcPr>
          <w:p w14:paraId="79131D14" w14:textId="77777777" w:rsidR="004309C0" w:rsidRPr="00762525" w:rsidRDefault="004309C0" w:rsidP="00762525">
            <w:pPr>
              <w:keepNext/>
              <w:spacing w:after="0"/>
              <w:rPr>
                <w:rFonts w:ascii="Calibri" w:hAnsi="Calibri" w:cs="Calibri"/>
                <w:b/>
                <w:color w:val="000000"/>
                <w:sz w:val="20"/>
                <w:szCs w:val="20"/>
              </w:rPr>
            </w:pPr>
            <w:r w:rsidRPr="00762525">
              <w:rPr>
                <w:rFonts w:ascii="Calibri" w:hAnsi="Calibri" w:cs="Calibri"/>
                <w:b/>
                <w:color w:val="000000"/>
                <w:sz w:val="20"/>
                <w:szCs w:val="20"/>
              </w:rPr>
              <w:t>Položka</w:t>
            </w:r>
          </w:p>
        </w:tc>
        <w:tc>
          <w:tcPr>
            <w:tcW w:w="3595" w:type="pct"/>
            <w:gridSpan w:val="6"/>
            <w:tcBorders>
              <w:top w:val="single" w:sz="4" w:space="0" w:color="auto"/>
              <w:left w:val="nil"/>
              <w:bottom w:val="single" w:sz="4" w:space="0" w:color="auto"/>
              <w:right w:val="single" w:sz="4" w:space="0" w:color="auto"/>
            </w:tcBorders>
            <w:noWrap/>
            <w:vAlign w:val="center"/>
            <w:hideMark/>
          </w:tcPr>
          <w:p w14:paraId="6D4F6FF7" w14:textId="77777777" w:rsidR="004309C0" w:rsidRPr="00762525" w:rsidRDefault="004309C0" w:rsidP="00762525">
            <w:pPr>
              <w:keepNext/>
              <w:spacing w:after="0"/>
              <w:jc w:val="center"/>
              <w:rPr>
                <w:rFonts w:ascii="Calibri" w:hAnsi="Calibri" w:cs="Calibri"/>
                <w:b/>
                <w:bCs/>
                <w:color w:val="000000"/>
                <w:sz w:val="20"/>
                <w:szCs w:val="20"/>
              </w:rPr>
            </w:pPr>
            <w:r w:rsidRPr="00762525">
              <w:rPr>
                <w:rFonts w:ascii="Calibri" w:hAnsi="Calibri" w:cs="Calibri"/>
                <w:b/>
                <w:bCs/>
                <w:color w:val="000000"/>
                <w:sz w:val="20"/>
                <w:szCs w:val="20"/>
              </w:rPr>
              <w:t>Rok</w:t>
            </w:r>
          </w:p>
        </w:tc>
      </w:tr>
      <w:tr w:rsidR="004309C0" w:rsidRPr="00762525" w14:paraId="3A118C1A" w14:textId="77777777" w:rsidTr="00762525">
        <w:trPr>
          <w:trHeight w:val="255"/>
        </w:trPr>
        <w:tc>
          <w:tcPr>
            <w:tcW w:w="1405" w:type="pct"/>
            <w:vMerge/>
            <w:tcBorders>
              <w:top w:val="single" w:sz="4" w:space="0" w:color="auto"/>
              <w:left w:val="single" w:sz="4" w:space="0" w:color="auto"/>
              <w:bottom w:val="single" w:sz="4" w:space="0" w:color="auto"/>
              <w:right w:val="single" w:sz="4" w:space="0" w:color="auto"/>
            </w:tcBorders>
            <w:vAlign w:val="center"/>
            <w:hideMark/>
          </w:tcPr>
          <w:p w14:paraId="2E9E08EC" w14:textId="77777777" w:rsidR="004309C0" w:rsidRPr="00762525" w:rsidRDefault="004309C0" w:rsidP="00762525">
            <w:pPr>
              <w:keepNext/>
              <w:spacing w:after="0"/>
              <w:rPr>
                <w:rFonts w:ascii="Calibri" w:hAnsi="Calibri" w:cs="Calibri"/>
                <w:b/>
                <w:color w:val="000000"/>
                <w:sz w:val="20"/>
                <w:szCs w:val="20"/>
                <w:lang w:eastAsia="en-US"/>
              </w:rPr>
            </w:pPr>
          </w:p>
        </w:tc>
        <w:tc>
          <w:tcPr>
            <w:tcW w:w="599" w:type="pct"/>
            <w:tcBorders>
              <w:top w:val="single" w:sz="4" w:space="0" w:color="auto"/>
              <w:left w:val="nil"/>
              <w:bottom w:val="single" w:sz="4" w:space="0" w:color="auto"/>
              <w:right w:val="single" w:sz="4" w:space="0" w:color="auto"/>
            </w:tcBorders>
            <w:noWrap/>
            <w:vAlign w:val="center"/>
            <w:hideMark/>
          </w:tcPr>
          <w:p w14:paraId="7FC91382" w14:textId="77777777" w:rsidR="004309C0" w:rsidRPr="00762525" w:rsidRDefault="004309C0" w:rsidP="00762525">
            <w:pPr>
              <w:keepNext/>
              <w:spacing w:after="0"/>
              <w:jc w:val="center"/>
              <w:rPr>
                <w:rFonts w:ascii="Calibri" w:hAnsi="Calibri" w:cs="Calibri"/>
                <w:b/>
                <w:bCs/>
                <w:color w:val="000000"/>
                <w:sz w:val="20"/>
                <w:szCs w:val="20"/>
              </w:rPr>
            </w:pPr>
            <w:r w:rsidRPr="00762525">
              <w:rPr>
                <w:rFonts w:ascii="Calibri" w:hAnsi="Calibri" w:cs="Calibri"/>
                <w:b/>
                <w:bCs/>
                <w:color w:val="000000"/>
                <w:sz w:val="20"/>
                <w:szCs w:val="20"/>
              </w:rPr>
              <w:t>2015</w:t>
            </w:r>
          </w:p>
        </w:tc>
        <w:tc>
          <w:tcPr>
            <w:tcW w:w="599" w:type="pct"/>
            <w:tcBorders>
              <w:top w:val="single" w:sz="4" w:space="0" w:color="auto"/>
              <w:left w:val="nil"/>
              <w:bottom w:val="single" w:sz="4" w:space="0" w:color="auto"/>
              <w:right w:val="single" w:sz="4" w:space="0" w:color="auto"/>
            </w:tcBorders>
            <w:noWrap/>
            <w:vAlign w:val="center"/>
            <w:hideMark/>
          </w:tcPr>
          <w:p w14:paraId="5FFE50E5" w14:textId="77777777" w:rsidR="004309C0" w:rsidRPr="00762525" w:rsidRDefault="004309C0" w:rsidP="00762525">
            <w:pPr>
              <w:keepNext/>
              <w:spacing w:after="0"/>
              <w:jc w:val="center"/>
              <w:rPr>
                <w:rFonts w:ascii="Calibri" w:hAnsi="Calibri" w:cs="Calibri"/>
                <w:b/>
                <w:bCs/>
                <w:color w:val="000000"/>
                <w:sz w:val="20"/>
                <w:szCs w:val="20"/>
              </w:rPr>
            </w:pPr>
            <w:r w:rsidRPr="00762525">
              <w:rPr>
                <w:rFonts w:ascii="Calibri" w:hAnsi="Calibri" w:cs="Calibri"/>
                <w:b/>
                <w:bCs/>
                <w:color w:val="000000"/>
                <w:sz w:val="20"/>
                <w:szCs w:val="20"/>
              </w:rPr>
              <w:t>2016</w:t>
            </w:r>
          </w:p>
        </w:tc>
        <w:tc>
          <w:tcPr>
            <w:tcW w:w="599" w:type="pct"/>
            <w:tcBorders>
              <w:top w:val="single" w:sz="4" w:space="0" w:color="auto"/>
              <w:left w:val="nil"/>
              <w:bottom w:val="single" w:sz="4" w:space="0" w:color="auto"/>
              <w:right w:val="single" w:sz="4" w:space="0" w:color="auto"/>
            </w:tcBorders>
            <w:noWrap/>
            <w:vAlign w:val="center"/>
            <w:hideMark/>
          </w:tcPr>
          <w:p w14:paraId="3A7245F8" w14:textId="77777777" w:rsidR="004309C0" w:rsidRPr="00762525" w:rsidRDefault="004309C0" w:rsidP="00762525">
            <w:pPr>
              <w:keepNext/>
              <w:spacing w:after="0"/>
              <w:jc w:val="center"/>
              <w:rPr>
                <w:rFonts w:ascii="Calibri" w:hAnsi="Calibri" w:cs="Calibri"/>
                <w:b/>
                <w:bCs/>
                <w:color w:val="000000"/>
                <w:sz w:val="20"/>
                <w:szCs w:val="20"/>
              </w:rPr>
            </w:pPr>
            <w:r w:rsidRPr="00762525">
              <w:rPr>
                <w:rFonts w:ascii="Calibri" w:hAnsi="Calibri" w:cs="Calibri"/>
                <w:b/>
                <w:bCs/>
                <w:color w:val="000000"/>
                <w:sz w:val="20"/>
                <w:szCs w:val="20"/>
              </w:rPr>
              <w:t>2017</w:t>
            </w:r>
          </w:p>
        </w:tc>
        <w:tc>
          <w:tcPr>
            <w:tcW w:w="599" w:type="pct"/>
            <w:tcBorders>
              <w:top w:val="single" w:sz="4" w:space="0" w:color="auto"/>
              <w:left w:val="nil"/>
              <w:bottom w:val="single" w:sz="4" w:space="0" w:color="auto"/>
              <w:right w:val="single" w:sz="4" w:space="0" w:color="auto"/>
            </w:tcBorders>
            <w:noWrap/>
            <w:vAlign w:val="center"/>
            <w:hideMark/>
          </w:tcPr>
          <w:p w14:paraId="4CF320B2" w14:textId="77777777" w:rsidR="004309C0" w:rsidRPr="00762525" w:rsidRDefault="004309C0" w:rsidP="00762525">
            <w:pPr>
              <w:keepNext/>
              <w:spacing w:after="0"/>
              <w:jc w:val="center"/>
              <w:rPr>
                <w:rFonts w:ascii="Calibri" w:hAnsi="Calibri" w:cs="Calibri"/>
                <w:b/>
                <w:bCs/>
                <w:color w:val="000000"/>
                <w:sz w:val="20"/>
                <w:szCs w:val="20"/>
              </w:rPr>
            </w:pPr>
            <w:r w:rsidRPr="00762525">
              <w:rPr>
                <w:rFonts w:ascii="Calibri" w:hAnsi="Calibri" w:cs="Calibri"/>
                <w:b/>
                <w:bCs/>
                <w:color w:val="000000"/>
                <w:sz w:val="20"/>
                <w:szCs w:val="20"/>
              </w:rPr>
              <w:t>2018</w:t>
            </w:r>
          </w:p>
        </w:tc>
        <w:tc>
          <w:tcPr>
            <w:tcW w:w="599" w:type="pct"/>
            <w:tcBorders>
              <w:top w:val="single" w:sz="4" w:space="0" w:color="auto"/>
              <w:left w:val="nil"/>
              <w:bottom w:val="single" w:sz="4" w:space="0" w:color="auto"/>
              <w:right w:val="single" w:sz="4" w:space="0" w:color="auto"/>
            </w:tcBorders>
            <w:noWrap/>
            <w:vAlign w:val="center"/>
            <w:hideMark/>
          </w:tcPr>
          <w:p w14:paraId="263A3232" w14:textId="77777777" w:rsidR="004309C0" w:rsidRPr="00762525" w:rsidRDefault="004309C0" w:rsidP="00762525">
            <w:pPr>
              <w:keepNext/>
              <w:spacing w:after="0"/>
              <w:jc w:val="center"/>
              <w:rPr>
                <w:rFonts w:ascii="Calibri" w:hAnsi="Calibri" w:cs="Calibri"/>
                <w:b/>
                <w:bCs/>
                <w:color w:val="000000"/>
                <w:sz w:val="20"/>
                <w:szCs w:val="20"/>
              </w:rPr>
            </w:pPr>
            <w:r w:rsidRPr="00762525">
              <w:rPr>
                <w:rFonts w:ascii="Calibri" w:hAnsi="Calibri" w:cs="Calibri"/>
                <w:b/>
                <w:bCs/>
                <w:color w:val="000000"/>
                <w:sz w:val="20"/>
                <w:szCs w:val="20"/>
              </w:rPr>
              <w:t>2019</w:t>
            </w:r>
          </w:p>
        </w:tc>
        <w:tc>
          <w:tcPr>
            <w:tcW w:w="599" w:type="pct"/>
            <w:tcBorders>
              <w:top w:val="nil"/>
              <w:left w:val="nil"/>
              <w:bottom w:val="single" w:sz="4" w:space="0" w:color="auto"/>
              <w:right w:val="single" w:sz="4" w:space="0" w:color="auto"/>
            </w:tcBorders>
            <w:vAlign w:val="center"/>
            <w:hideMark/>
          </w:tcPr>
          <w:p w14:paraId="21A4605D" w14:textId="77777777" w:rsidR="004309C0" w:rsidRPr="00762525" w:rsidRDefault="004309C0" w:rsidP="00762525">
            <w:pPr>
              <w:keepNext/>
              <w:spacing w:after="0"/>
              <w:jc w:val="center"/>
              <w:rPr>
                <w:rFonts w:ascii="Calibri" w:hAnsi="Calibri" w:cs="Calibri"/>
                <w:b/>
                <w:bCs/>
                <w:color w:val="000000"/>
                <w:sz w:val="20"/>
                <w:szCs w:val="20"/>
              </w:rPr>
            </w:pPr>
            <w:r w:rsidRPr="00762525">
              <w:rPr>
                <w:rFonts w:ascii="Calibri" w:hAnsi="Calibri" w:cs="Calibri"/>
                <w:b/>
                <w:bCs/>
                <w:color w:val="000000"/>
                <w:sz w:val="20"/>
                <w:szCs w:val="20"/>
              </w:rPr>
              <w:t>2020</w:t>
            </w:r>
          </w:p>
        </w:tc>
      </w:tr>
      <w:tr w:rsidR="004309C0" w:rsidRPr="00762525" w14:paraId="1789279C" w14:textId="77777777" w:rsidTr="0076252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center"/>
          </w:tcPr>
          <w:p w14:paraId="4E38A3C0" w14:textId="77777777" w:rsidR="004309C0" w:rsidRPr="00762525" w:rsidRDefault="004309C0" w:rsidP="00762525">
            <w:pPr>
              <w:keepNext/>
              <w:spacing w:after="0"/>
              <w:rPr>
                <w:rFonts w:ascii="Calibri" w:hAnsi="Calibri" w:cs="Calibri"/>
                <w:b/>
                <w:bCs/>
                <w:color w:val="000000"/>
                <w:sz w:val="20"/>
                <w:szCs w:val="20"/>
              </w:rPr>
            </w:pPr>
            <w:r w:rsidRPr="00762525">
              <w:rPr>
                <w:rFonts w:ascii="Calibri" w:hAnsi="Calibri" w:cs="Calibri"/>
                <w:b/>
                <w:bCs/>
                <w:color w:val="000000"/>
                <w:sz w:val="20"/>
                <w:szCs w:val="20"/>
              </w:rPr>
              <w:t>Aktiva celkem</w:t>
            </w:r>
          </w:p>
        </w:tc>
        <w:tc>
          <w:tcPr>
            <w:tcW w:w="599" w:type="pct"/>
            <w:tcBorders>
              <w:top w:val="nil"/>
              <w:left w:val="nil"/>
              <w:bottom w:val="single" w:sz="4" w:space="0" w:color="auto"/>
              <w:right w:val="single" w:sz="4" w:space="0" w:color="auto"/>
            </w:tcBorders>
            <w:shd w:val="clear" w:color="auto" w:fill="auto"/>
            <w:noWrap/>
            <w:vAlign w:val="center"/>
          </w:tcPr>
          <w:p w14:paraId="6DEEE293"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190 549</w:t>
            </w:r>
          </w:p>
        </w:tc>
        <w:tc>
          <w:tcPr>
            <w:tcW w:w="599" w:type="pct"/>
            <w:tcBorders>
              <w:top w:val="nil"/>
              <w:left w:val="nil"/>
              <w:bottom w:val="single" w:sz="4" w:space="0" w:color="auto"/>
              <w:right w:val="single" w:sz="4" w:space="0" w:color="auto"/>
            </w:tcBorders>
            <w:shd w:val="clear" w:color="auto" w:fill="auto"/>
            <w:noWrap/>
            <w:vAlign w:val="center"/>
          </w:tcPr>
          <w:p w14:paraId="00771BD7"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color w:val="000000"/>
                <w:sz w:val="20"/>
                <w:szCs w:val="20"/>
              </w:rPr>
              <w:t>185 838</w:t>
            </w:r>
          </w:p>
        </w:tc>
        <w:tc>
          <w:tcPr>
            <w:tcW w:w="599" w:type="pct"/>
            <w:tcBorders>
              <w:top w:val="nil"/>
              <w:left w:val="nil"/>
              <w:bottom w:val="single" w:sz="4" w:space="0" w:color="auto"/>
              <w:right w:val="single" w:sz="4" w:space="0" w:color="auto"/>
            </w:tcBorders>
            <w:shd w:val="clear" w:color="auto" w:fill="auto"/>
            <w:noWrap/>
            <w:vAlign w:val="center"/>
          </w:tcPr>
          <w:p w14:paraId="7473B316"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210 865</w:t>
            </w:r>
          </w:p>
        </w:tc>
        <w:tc>
          <w:tcPr>
            <w:tcW w:w="599" w:type="pct"/>
            <w:tcBorders>
              <w:top w:val="nil"/>
              <w:left w:val="nil"/>
              <w:bottom w:val="single" w:sz="4" w:space="0" w:color="auto"/>
              <w:right w:val="single" w:sz="4" w:space="0" w:color="auto"/>
            </w:tcBorders>
            <w:shd w:val="clear" w:color="auto" w:fill="auto"/>
            <w:noWrap/>
            <w:vAlign w:val="center"/>
          </w:tcPr>
          <w:p w14:paraId="15AA44BD"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198 607</w:t>
            </w:r>
          </w:p>
        </w:tc>
        <w:tc>
          <w:tcPr>
            <w:tcW w:w="599" w:type="pct"/>
            <w:tcBorders>
              <w:top w:val="nil"/>
              <w:left w:val="nil"/>
              <w:bottom w:val="single" w:sz="4" w:space="0" w:color="auto"/>
              <w:right w:val="nil"/>
            </w:tcBorders>
            <w:shd w:val="clear" w:color="auto" w:fill="auto"/>
            <w:noWrap/>
            <w:vAlign w:val="center"/>
          </w:tcPr>
          <w:p w14:paraId="401BBB56"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188 298</w:t>
            </w:r>
          </w:p>
        </w:tc>
        <w:tc>
          <w:tcPr>
            <w:tcW w:w="599" w:type="pct"/>
            <w:tcBorders>
              <w:top w:val="nil"/>
              <w:left w:val="single" w:sz="4" w:space="0" w:color="auto"/>
              <w:bottom w:val="single" w:sz="4" w:space="0" w:color="auto"/>
              <w:right w:val="single" w:sz="4" w:space="0" w:color="auto"/>
            </w:tcBorders>
            <w:shd w:val="clear" w:color="auto" w:fill="auto"/>
            <w:vAlign w:val="center"/>
          </w:tcPr>
          <w:p w14:paraId="02EEA052"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color w:val="000000"/>
                <w:sz w:val="20"/>
                <w:szCs w:val="20"/>
              </w:rPr>
              <w:t>193 001</w:t>
            </w:r>
          </w:p>
        </w:tc>
      </w:tr>
      <w:tr w:rsidR="004309C0" w:rsidRPr="00762525" w14:paraId="7EDB2577" w14:textId="77777777" w:rsidTr="0076252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center"/>
          </w:tcPr>
          <w:p w14:paraId="03C13989" w14:textId="77777777" w:rsidR="004309C0" w:rsidRPr="00762525" w:rsidRDefault="00326C2D" w:rsidP="00762525">
            <w:pPr>
              <w:keepNext/>
              <w:spacing w:after="0"/>
              <w:rPr>
                <w:rFonts w:ascii="Calibri" w:hAnsi="Calibri" w:cs="Calibri"/>
                <w:iCs/>
                <w:color w:val="000000"/>
                <w:sz w:val="20"/>
                <w:szCs w:val="20"/>
              </w:rPr>
            </w:pPr>
            <w:r>
              <w:rPr>
                <w:rFonts w:ascii="Calibri" w:hAnsi="Calibri" w:cs="Calibri"/>
                <w:iCs/>
                <w:color w:val="000000"/>
                <w:sz w:val="20"/>
                <w:szCs w:val="20"/>
              </w:rPr>
              <w:t xml:space="preserve">– </w:t>
            </w:r>
            <w:r w:rsidR="004309C0" w:rsidRPr="00762525">
              <w:rPr>
                <w:rFonts w:ascii="Calibri" w:hAnsi="Calibri" w:cs="Calibri"/>
                <w:iCs/>
                <w:color w:val="000000"/>
                <w:sz w:val="20"/>
                <w:szCs w:val="20"/>
              </w:rPr>
              <w:t>z toho</w:t>
            </w:r>
            <w:r>
              <w:rPr>
                <w:rFonts w:ascii="Calibri" w:hAnsi="Calibri" w:cs="Calibri"/>
                <w:iCs/>
                <w:color w:val="000000"/>
                <w:sz w:val="20"/>
                <w:szCs w:val="20"/>
              </w:rPr>
              <w:t>:</w:t>
            </w:r>
            <w:r w:rsidR="004309C0" w:rsidRPr="00762525">
              <w:rPr>
                <w:rFonts w:ascii="Calibri" w:hAnsi="Calibri" w:cs="Calibri"/>
                <w:iCs/>
                <w:color w:val="000000"/>
                <w:sz w:val="20"/>
                <w:szCs w:val="20"/>
              </w:rPr>
              <w:t xml:space="preserve"> DHM</w:t>
            </w:r>
          </w:p>
        </w:tc>
        <w:tc>
          <w:tcPr>
            <w:tcW w:w="599" w:type="pct"/>
            <w:tcBorders>
              <w:top w:val="nil"/>
              <w:left w:val="nil"/>
              <w:bottom w:val="single" w:sz="4" w:space="0" w:color="auto"/>
              <w:right w:val="single" w:sz="4" w:space="0" w:color="auto"/>
            </w:tcBorders>
            <w:shd w:val="clear" w:color="auto" w:fill="auto"/>
            <w:noWrap/>
            <w:vAlign w:val="center"/>
          </w:tcPr>
          <w:p w14:paraId="26C8E72E"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9 987</w:t>
            </w:r>
          </w:p>
        </w:tc>
        <w:tc>
          <w:tcPr>
            <w:tcW w:w="599" w:type="pct"/>
            <w:tcBorders>
              <w:top w:val="nil"/>
              <w:left w:val="nil"/>
              <w:bottom w:val="single" w:sz="4" w:space="0" w:color="auto"/>
              <w:right w:val="single" w:sz="4" w:space="0" w:color="auto"/>
            </w:tcBorders>
            <w:shd w:val="clear" w:color="auto" w:fill="auto"/>
            <w:noWrap/>
            <w:vAlign w:val="center"/>
          </w:tcPr>
          <w:p w14:paraId="0459A236"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11 327</w:t>
            </w:r>
          </w:p>
        </w:tc>
        <w:tc>
          <w:tcPr>
            <w:tcW w:w="599" w:type="pct"/>
            <w:tcBorders>
              <w:top w:val="nil"/>
              <w:left w:val="nil"/>
              <w:bottom w:val="single" w:sz="4" w:space="0" w:color="auto"/>
              <w:right w:val="single" w:sz="4" w:space="0" w:color="auto"/>
            </w:tcBorders>
            <w:shd w:val="clear" w:color="auto" w:fill="auto"/>
            <w:noWrap/>
            <w:vAlign w:val="center"/>
          </w:tcPr>
          <w:p w14:paraId="7DB0A491"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11 335</w:t>
            </w:r>
          </w:p>
        </w:tc>
        <w:tc>
          <w:tcPr>
            <w:tcW w:w="599" w:type="pct"/>
            <w:tcBorders>
              <w:top w:val="nil"/>
              <w:left w:val="nil"/>
              <w:bottom w:val="single" w:sz="4" w:space="0" w:color="auto"/>
              <w:right w:val="single" w:sz="4" w:space="0" w:color="auto"/>
            </w:tcBorders>
            <w:shd w:val="clear" w:color="auto" w:fill="auto"/>
            <w:noWrap/>
            <w:vAlign w:val="center"/>
          </w:tcPr>
          <w:p w14:paraId="7CA63C4B"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10 675</w:t>
            </w:r>
          </w:p>
        </w:tc>
        <w:tc>
          <w:tcPr>
            <w:tcW w:w="599" w:type="pct"/>
            <w:tcBorders>
              <w:top w:val="nil"/>
              <w:left w:val="nil"/>
              <w:bottom w:val="single" w:sz="4" w:space="0" w:color="auto"/>
              <w:right w:val="nil"/>
            </w:tcBorders>
            <w:shd w:val="clear" w:color="auto" w:fill="auto"/>
            <w:noWrap/>
            <w:vAlign w:val="center"/>
          </w:tcPr>
          <w:p w14:paraId="1063FF90"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13 941</w:t>
            </w:r>
          </w:p>
        </w:tc>
        <w:tc>
          <w:tcPr>
            <w:tcW w:w="599" w:type="pct"/>
            <w:tcBorders>
              <w:top w:val="nil"/>
              <w:left w:val="single" w:sz="4" w:space="0" w:color="auto"/>
              <w:bottom w:val="single" w:sz="4" w:space="0" w:color="auto"/>
              <w:right w:val="single" w:sz="4" w:space="0" w:color="auto"/>
            </w:tcBorders>
            <w:shd w:val="clear" w:color="auto" w:fill="auto"/>
            <w:vAlign w:val="center"/>
          </w:tcPr>
          <w:p w14:paraId="674FE398"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color w:val="000000"/>
                <w:sz w:val="20"/>
                <w:szCs w:val="20"/>
              </w:rPr>
              <w:t>8 612</w:t>
            </w:r>
          </w:p>
        </w:tc>
      </w:tr>
      <w:tr w:rsidR="004309C0" w:rsidRPr="00762525" w14:paraId="4464DBB2" w14:textId="77777777" w:rsidTr="0076252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383951F9" w14:textId="77777777" w:rsidR="004309C0" w:rsidRPr="00762525" w:rsidRDefault="004309C0" w:rsidP="00762525">
            <w:pPr>
              <w:keepNext/>
              <w:spacing w:after="0"/>
              <w:rPr>
                <w:rFonts w:ascii="Calibri" w:hAnsi="Calibri" w:cs="Calibri"/>
                <w:b/>
                <w:bCs/>
                <w:color w:val="000000"/>
                <w:sz w:val="20"/>
                <w:szCs w:val="20"/>
              </w:rPr>
            </w:pPr>
            <w:r w:rsidRPr="00762525">
              <w:rPr>
                <w:rFonts w:ascii="Calibri" w:hAnsi="Calibri" w:cs="Calibri"/>
                <w:b/>
                <w:bCs/>
                <w:color w:val="000000"/>
                <w:sz w:val="20"/>
                <w:szCs w:val="20"/>
              </w:rPr>
              <w:t>Celkové náklady</w:t>
            </w:r>
          </w:p>
        </w:tc>
        <w:tc>
          <w:tcPr>
            <w:tcW w:w="599" w:type="pct"/>
            <w:tcBorders>
              <w:top w:val="nil"/>
              <w:left w:val="nil"/>
              <w:bottom w:val="single" w:sz="4" w:space="0" w:color="auto"/>
              <w:right w:val="single" w:sz="4" w:space="0" w:color="auto"/>
            </w:tcBorders>
            <w:shd w:val="clear" w:color="auto" w:fill="auto"/>
            <w:noWrap/>
            <w:vAlign w:val="center"/>
          </w:tcPr>
          <w:p w14:paraId="0A0A8E29"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601 375</w:t>
            </w:r>
          </w:p>
        </w:tc>
        <w:tc>
          <w:tcPr>
            <w:tcW w:w="599" w:type="pct"/>
            <w:tcBorders>
              <w:top w:val="nil"/>
              <w:left w:val="nil"/>
              <w:bottom w:val="single" w:sz="4" w:space="0" w:color="auto"/>
              <w:right w:val="single" w:sz="4" w:space="0" w:color="auto"/>
            </w:tcBorders>
            <w:shd w:val="clear" w:color="auto" w:fill="auto"/>
            <w:noWrap/>
            <w:vAlign w:val="center"/>
          </w:tcPr>
          <w:p w14:paraId="51FC600F"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420 659</w:t>
            </w:r>
          </w:p>
        </w:tc>
        <w:tc>
          <w:tcPr>
            <w:tcW w:w="599" w:type="pct"/>
            <w:tcBorders>
              <w:top w:val="nil"/>
              <w:left w:val="nil"/>
              <w:bottom w:val="single" w:sz="4" w:space="0" w:color="auto"/>
              <w:right w:val="single" w:sz="4" w:space="0" w:color="auto"/>
            </w:tcBorders>
            <w:shd w:val="clear" w:color="auto" w:fill="auto"/>
            <w:noWrap/>
            <w:vAlign w:val="center"/>
          </w:tcPr>
          <w:p w14:paraId="59FDFCE2"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464 795</w:t>
            </w:r>
          </w:p>
        </w:tc>
        <w:tc>
          <w:tcPr>
            <w:tcW w:w="599" w:type="pct"/>
            <w:tcBorders>
              <w:top w:val="nil"/>
              <w:left w:val="nil"/>
              <w:bottom w:val="single" w:sz="4" w:space="0" w:color="auto"/>
              <w:right w:val="single" w:sz="4" w:space="0" w:color="auto"/>
            </w:tcBorders>
            <w:shd w:val="clear" w:color="auto" w:fill="auto"/>
            <w:noWrap/>
            <w:vAlign w:val="center"/>
          </w:tcPr>
          <w:p w14:paraId="7FDB5758"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488 331</w:t>
            </w:r>
          </w:p>
        </w:tc>
        <w:tc>
          <w:tcPr>
            <w:tcW w:w="599" w:type="pct"/>
            <w:tcBorders>
              <w:top w:val="nil"/>
              <w:left w:val="nil"/>
              <w:bottom w:val="single" w:sz="4" w:space="0" w:color="auto"/>
              <w:right w:val="nil"/>
            </w:tcBorders>
            <w:shd w:val="clear" w:color="auto" w:fill="auto"/>
            <w:noWrap/>
            <w:vAlign w:val="center"/>
          </w:tcPr>
          <w:p w14:paraId="1CB2C4BB"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361 433</w:t>
            </w:r>
          </w:p>
        </w:tc>
        <w:tc>
          <w:tcPr>
            <w:tcW w:w="599" w:type="pct"/>
            <w:tcBorders>
              <w:top w:val="nil"/>
              <w:left w:val="single" w:sz="4" w:space="0" w:color="auto"/>
              <w:bottom w:val="single" w:sz="4" w:space="0" w:color="auto"/>
              <w:right w:val="single" w:sz="4" w:space="0" w:color="auto"/>
            </w:tcBorders>
            <w:shd w:val="clear" w:color="auto" w:fill="auto"/>
            <w:vAlign w:val="center"/>
          </w:tcPr>
          <w:p w14:paraId="1131F3DB" w14:textId="77777777" w:rsidR="004309C0" w:rsidRPr="00762525" w:rsidRDefault="004309C0" w:rsidP="00762525">
            <w:pPr>
              <w:keepNext/>
              <w:spacing w:after="0"/>
              <w:ind w:right="57"/>
              <w:jc w:val="right"/>
              <w:rPr>
                <w:rFonts w:ascii="Calibri" w:hAnsi="Calibri" w:cs="Calibri"/>
                <w:bCs/>
                <w:color w:val="000000"/>
                <w:sz w:val="20"/>
                <w:szCs w:val="20"/>
              </w:rPr>
            </w:pPr>
            <w:r w:rsidRPr="00762525">
              <w:rPr>
                <w:rFonts w:ascii="Calibri" w:hAnsi="Calibri" w:cs="Calibri"/>
                <w:bCs/>
                <w:sz w:val="20"/>
                <w:szCs w:val="20"/>
              </w:rPr>
              <w:t>331 403</w:t>
            </w:r>
          </w:p>
        </w:tc>
      </w:tr>
      <w:tr w:rsidR="004309C0" w:rsidRPr="00762525" w14:paraId="785BCFB7" w14:textId="77777777" w:rsidTr="0076252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center"/>
          </w:tcPr>
          <w:p w14:paraId="6C4D0BE9" w14:textId="02547834" w:rsidR="004309C0" w:rsidRPr="00762525" w:rsidRDefault="00326C2D" w:rsidP="00762525">
            <w:pPr>
              <w:keepNext/>
              <w:spacing w:after="0"/>
              <w:rPr>
                <w:rFonts w:ascii="Calibri" w:hAnsi="Calibri" w:cs="Calibri"/>
                <w:bCs/>
                <w:color w:val="000000"/>
                <w:sz w:val="20"/>
                <w:szCs w:val="20"/>
              </w:rPr>
            </w:pPr>
            <w:r>
              <w:rPr>
                <w:rFonts w:ascii="Calibri" w:hAnsi="Calibri" w:cs="Calibri"/>
                <w:bCs/>
                <w:color w:val="000000"/>
                <w:sz w:val="20"/>
                <w:szCs w:val="20"/>
              </w:rPr>
              <w:t xml:space="preserve">– </w:t>
            </w:r>
            <w:r w:rsidR="004309C0" w:rsidRPr="00762525">
              <w:rPr>
                <w:rFonts w:ascii="Calibri" w:hAnsi="Calibri" w:cs="Calibri"/>
                <w:bCs/>
                <w:color w:val="000000"/>
                <w:sz w:val="20"/>
                <w:szCs w:val="20"/>
              </w:rPr>
              <w:t>z toho</w:t>
            </w:r>
            <w:r>
              <w:rPr>
                <w:rFonts w:ascii="Calibri" w:hAnsi="Calibri" w:cs="Calibri"/>
                <w:bCs/>
                <w:color w:val="000000"/>
                <w:sz w:val="20"/>
                <w:szCs w:val="20"/>
              </w:rPr>
              <w:t>:</w:t>
            </w:r>
            <w:r w:rsidR="004309C0" w:rsidRPr="00762525">
              <w:rPr>
                <w:rFonts w:ascii="Calibri" w:hAnsi="Calibri" w:cs="Calibri"/>
                <w:bCs/>
                <w:color w:val="000000"/>
                <w:sz w:val="20"/>
                <w:szCs w:val="20"/>
              </w:rPr>
              <w:t xml:space="preserve"> </w:t>
            </w:r>
            <w:r>
              <w:rPr>
                <w:rFonts w:ascii="Calibri" w:hAnsi="Calibri" w:cs="Calibri"/>
                <w:bCs/>
                <w:color w:val="000000"/>
                <w:sz w:val="20"/>
                <w:szCs w:val="20"/>
              </w:rPr>
              <w:t>o</w:t>
            </w:r>
            <w:r w:rsidR="004309C0" w:rsidRPr="00762525">
              <w:rPr>
                <w:rFonts w:ascii="Calibri" w:hAnsi="Calibri" w:cs="Calibri"/>
                <w:bCs/>
                <w:color w:val="000000"/>
                <w:sz w:val="20"/>
                <w:szCs w:val="20"/>
              </w:rPr>
              <w:t>statní služby</w:t>
            </w:r>
          </w:p>
        </w:tc>
        <w:tc>
          <w:tcPr>
            <w:tcW w:w="599" w:type="pct"/>
            <w:tcBorders>
              <w:top w:val="nil"/>
              <w:left w:val="nil"/>
              <w:bottom w:val="single" w:sz="4" w:space="0" w:color="auto"/>
              <w:right w:val="single" w:sz="4" w:space="0" w:color="auto"/>
            </w:tcBorders>
            <w:shd w:val="clear" w:color="auto" w:fill="auto"/>
            <w:noWrap/>
            <w:vAlign w:val="center"/>
          </w:tcPr>
          <w:p w14:paraId="62CED816"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453 511</w:t>
            </w:r>
          </w:p>
        </w:tc>
        <w:tc>
          <w:tcPr>
            <w:tcW w:w="599" w:type="pct"/>
            <w:tcBorders>
              <w:top w:val="nil"/>
              <w:left w:val="nil"/>
              <w:bottom w:val="single" w:sz="4" w:space="0" w:color="auto"/>
              <w:right w:val="single" w:sz="4" w:space="0" w:color="auto"/>
            </w:tcBorders>
            <w:shd w:val="clear" w:color="auto" w:fill="auto"/>
            <w:noWrap/>
            <w:vAlign w:val="center"/>
          </w:tcPr>
          <w:p w14:paraId="3444BA4E"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325 547</w:t>
            </w:r>
          </w:p>
        </w:tc>
        <w:tc>
          <w:tcPr>
            <w:tcW w:w="599" w:type="pct"/>
            <w:tcBorders>
              <w:top w:val="nil"/>
              <w:left w:val="nil"/>
              <w:bottom w:val="single" w:sz="4" w:space="0" w:color="auto"/>
              <w:right w:val="single" w:sz="4" w:space="0" w:color="auto"/>
            </w:tcBorders>
            <w:shd w:val="clear" w:color="auto" w:fill="auto"/>
            <w:noWrap/>
            <w:vAlign w:val="center"/>
          </w:tcPr>
          <w:p w14:paraId="4BAC14E8"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332 216</w:t>
            </w:r>
          </w:p>
        </w:tc>
        <w:tc>
          <w:tcPr>
            <w:tcW w:w="599" w:type="pct"/>
            <w:tcBorders>
              <w:top w:val="nil"/>
              <w:left w:val="nil"/>
              <w:bottom w:val="single" w:sz="4" w:space="0" w:color="auto"/>
              <w:right w:val="single" w:sz="4" w:space="0" w:color="auto"/>
            </w:tcBorders>
            <w:shd w:val="clear" w:color="auto" w:fill="auto"/>
            <w:noWrap/>
            <w:vAlign w:val="center"/>
          </w:tcPr>
          <w:p w14:paraId="23AAE891"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382 197</w:t>
            </w:r>
          </w:p>
        </w:tc>
        <w:tc>
          <w:tcPr>
            <w:tcW w:w="599" w:type="pct"/>
            <w:tcBorders>
              <w:top w:val="nil"/>
              <w:left w:val="nil"/>
              <w:bottom w:val="single" w:sz="4" w:space="0" w:color="auto"/>
              <w:right w:val="nil"/>
            </w:tcBorders>
            <w:shd w:val="clear" w:color="auto" w:fill="auto"/>
            <w:noWrap/>
            <w:vAlign w:val="center"/>
          </w:tcPr>
          <w:p w14:paraId="6EA8C5CF"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250 670</w:t>
            </w:r>
          </w:p>
        </w:tc>
        <w:tc>
          <w:tcPr>
            <w:tcW w:w="599" w:type="pct"/>
            <w:tcBorders>
              <w:top w:val="nil"/>
              <w:left w:val="single" w:sz="4" w:space="0" w:color="auto"/>
              <w:bottom w:val="single" w:sz="4" w:space="0" w:color="auto"/>
              <w:right w:val="single" w:sz="4" w:space="0" w:color="auto"/>
            </w:tcBorders>
            <w:shd w:val="clear" w:color="auto" w:fill="auto"/>
            <w:vAlign w:val="center"/>
          </w:tcPr>
          <w:p w14:paraId="5BB98CCF"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237 528</w:t>
            </w:r>
          </w:p>
        </w:tc>
      </w:tr>
      <w:tr w:rsidR="004309C0" w:rsidRPr="00762525" w14:paraId="44BD5921" w14:textId="77777777" w:rsidTr="0076252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center"/>
          </w:tcPr>
          <w:p w14:paraId="753C9C9C" w14:textId="77777777" w:rsidR="004309C0" w:rsidRPr="00762525" w:rsidRDefault="004309C0" w:rsidP="00762525">
            <w:pPr>
              <w:keepNext/>
              <w:spacing w:after="0"/>
              <w:rPr>
                <w:rFonts w:ascii="Calibri" w:hAnsi="Calibri" w:cs="Calibri"/>
                <w:bCs/>
                <w:color w:val="000000"/>
                <w:sz w:val="20"/>
                <w:szCs w:val="20"/>
              </w:rPr>
            </w:pPr>
            <w:r w:rsidRPr="00762525">
              <w:rPr>
                <w:rFonts w:ascii="Calibri" w:hAnsi="Calibri" w:cs="Calibri"/>
                <w:b/>
                <w:bCs/>
                <w:color w:val="000000"/>
                <w:sz w:val="20"/>
                <w:szCs w:val="20"/>
              </w:rPr>
              <w:t>Celkové výnosy</w:t>
            </w:r>
          </w:p>
        </w:tc>
        <w:tc>
          <w:tcPr>
            <w:tcW w:w="599" w:type="pct"/>
            <w:tcBorders>
              <w:top w:val="nil"/>
              <w:left w:val="nil"/>
              <w:bottom w:val="single" w:sz="4" w:space="0" w:color="auto"/>
              <w:right w:val="single" w:sz="4" w:space="0" w:color="auto"/>
            </w:tcBorders>
            <w:shd w:val="clear" w:color="auto" w:fill="auto"/>
            <w:noWrap/>
            <w:vAlign w:val="center"/>
          </w:tcPr>
          <w:p w14:paraId="3150F3B3"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606 292</w:t>
            </w:r>
          </w:p>
        </w:tc>
        <w:tc>
          <w:tcPr>
            <w:tcW w:w="599" w:type="pct"/>
            <w:tcBorders>
              <w:top w:val="nil"/>
              <w:left w:val="nil"/>
              <w:bottom w:val="single" w:sz="4" w:space="0" w:color="auto"/>
              <w:right w:val="single" w:sz="4" w:space="0" w:color="auto"/>
            </w:tcBorders>
            <w:shd w:val="clear" w:color="auto" w:fill="auto"/>
            <w:noWrap/>
            <w:vAlign w:val="center"/>
          </w:tcPr>
          <w:p w14:paraId="09A1EA94"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446 853</w:t>
            </w:r>
          </w:p>
        </w:tc>
        <w:tc>
          <w:tcPr>
            <w:tcW w:w="599" w:type="pct"/>
            <w:tcBorders>
              <w:top w:val="nil"/>
              <w:left w:val="nil"/>
              <w:bottom w:val="single" w:sz="4" w:space="0" w:color="auto"/>
              <w:right w:val="single" w:sz="4" w:space="0" w:color="auto"/>
            </w:tcBorders>
            <w:shd w:val="clear" w:color="auto" w:fill="auto"/>
            <w:noWrap/>
            <w:vAlign w:val="center"/>
          </w:tcPr>
          <w:p w14:paraId="23B0ED5C"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446 693</w:t>
            </w:r>
          </w:p>
        </w:tc>
        <w:tc>
          <w:tcPr>
            <w:tcW w:w="599" w:type="pct"/>
            <w:tcBorders>
              <w:top w:val="nil"/>
              <w:left w:val="nil"/>
              <w:bottom w:val="single" w:sz="4" w:space="0" w:color="auto"/>
              <w:right w:val="single" w:sz="4" w:space="0" w:color="auto"/>
            </w:tcBorders>
            <w:shd w:val="clear" w:color="auto" w:fill="auto"/>
            <w:noWrap/>
            <w:vAlign w:val="center"/>
          </w:tcPr>
          <w:p w14:paraId="558EA1BC"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488 371</w:t>
            </w:r>
          </w:p>
        </w:tc>
        <w:tc>
          <w:tcPr>
            <w:tcW w:w="599" w:type="pct"/>
            <w:tcBorders>
              <w:top w:val="nil"/>
              <w:left w:val="nil"/>
              <w:bottom w:val="single" w:sz="4" w:space="0" w:color="auto"/>
              <w:right w:val="nil"/>
            </w:tcBorders>
            <w:shd w:val="clear" w:color="auto" w:fill="auto"/>
            <w:noWrap/>
            <w:vAlign w:val="center"/>
          </w:tcPr>
          <w:p w14:paraId="5BDF95CB"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394 274</w:t>
            </w:r>
          </w:p>
        </w:tc>
        <w:tc>
          <w:tcPr>
            <w:tcW w:w="599" w:type="pct"/>
            <w:tcBorders>
              <w:top w:val="nil"/>
              <w:left w:val="single" w:sz="4" w:space="0" w:color="auto"/>
              <w:bottom w:val="single" w:sz="4" w:space="0" w:color="auto"/>
              <w:right w:val="single" w:sz="4" w:space="0" w:color="auto"/>
            </w:tcBorders>
            <w:shd w:val="clear" w:color="auto" w:fill="auto"/>
            <w:vAlign w:val="center"/>
          </w:tcPr>
          <w:p w14:paraId="2B826730"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332 708</w:t>
            </w:r>
          </w:p>
        </w:tc>
      </w:tr>
      <w:tr w:rsidR="004309C0" w:rsidRPr="00762525" w14:paraId="2C62EA05" w14:textId="77777777" w:rsidTr="0076252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center"/>
          </w:tcPr>
          <w:p w14:paraId="2F1125C6" w14:textId="7D9417B6" w:rsidR="004309C0" w:rsidRPr="00762525" w:rsidRDefault="00326C2D" w:rsidP="00762525">
            <w:pPr>
              <w:keepNext/>
              <w:spacing w:after="0"/>
              <w:rPr>
                <w:rFonts w:ascii="Calibri" w:hAnsi="Calibri" w:cs="Calibri"/>
                <w:bCs/>
                <w:color w:val="000000"/>
                <w:sz w:val="20"/>
                <w:szCs w:val="20"/>
              </w:rPr>
            </w:pPr>
            <w:r>
              <w:rPr>
                <w:rFonts w:ascii="Calibri" w:hAnsi="Calibri" w:cs="Calibri"/>
                <w:bCs/>
                <w:color w:val="000000"/>
                <w:sz w:val="20"/>
                <w:szCs w:val="20"/>
              </w:rPr>
              <w:t xml:space="preserve">– </w:t>
            </w:r>
            <w:r w:rsidR="004309C0" w:rsidRPr="00762525">
              <w:rPr>
                <w:rFonts w:ascii="Calibri" w:hAnsi="Calibri" w:cs="Calibri"/>
                <w:bCs/>
                <w:color w:val="000000"/>
                <w:sz w:val="20"/>
                <w:szCs w:val="20"/>
              </w:rPr>
              <w:t>z toho</w:t>
            </w:r>
            <w:r>
              <w:rPr>
                <w:rFonts w:ascii="Calibri" w:hAnsi="Calibri" w:cs="Calibri"/>
                <w:bCs/>
                <w:color w:val="000000"/>
                <w:sz w:val="20"/>
                <w:szCs w:val="20"/>
              </w:rPr>
              <w:t>:</w:t>
            </w:r>
            <w:r w:rsidR="004309C0" w:rsidRPr="00762525">
              <w:rPr>
                <w:rFonts w:ascii="Calibri" w:hAnsi="Calibri" w:cs="Calibri"/>
                <w:bCs/>
                <w:color w:val="000000"/>
                <w:sz w:val="20"/>
                <w:szCs w:val="20"/>
              </w:rPr>
              <w:t xml:space="preserve"> </w:t>
            </w:r>
            <w:r>
              <w:rPr>
                <w:rFonts w:ascii="Calibri" w:hAnsi="Calibri" w:cs="Calibri"/>
                <w:bCs/>
                <w:color w:val="000000"/>
                <w:sz w:val="20"/>
                <w:szCs w:val="20"/>
              </w:rPr>
              <w:t>v</w:t>
            </w:r>
            <w:r w:rsidR="004309C0" w:rsidRPr="00762525">
              <w:rPr>
                <w:rFonts w:ascii="Calibri" w:hAnsi="Calibri" w:cs="Calibri"/>
                <w:bCs/>
                <w:color w:val="000000"/>
                <w:sz w:val="20"/>
                <w:szCs w:val="20"/>
              </w:rPr>
              <w:t>ýnosy z transferů</w:t>
            </w:r>
          </w:p>
        </w:tc>
        <w:tc>
          <w:tcPr>
            <w:tcW w:w="599" w:type="pct"/>
            <w:tcBorders>
              <w:top w:val="nil"/>
              <w:left w:val="nil"/>
              <w:bottom w:val="single" w:sz="4" w:space="0" w:color="auto"/>
              <w:right w:val="single" w:sz="4" w:space="0" w:color="auto"/>
            </w:tcBorders>
            <w:shd w:val="clear" w:color="auto" w:fill="auto"/>
            <w:noWrap/>
            <w:vAlign w:val="center"/>
          </w:tcPr>
          <w:p w14:paraId="3FE2EE27"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570 998</w:t>
            </w:r>
          </w:p>
        </w:tc>
        <w:tc>
          <w:tcPr>
            <w:tcW w:w="599" w:type="pct"/>
            <w:tcBorders>
              <w:top w:val="nil"/>
              <w:left w:val="nil"/>
              <w:bottom w:val="single" w:sz="4" w:space="0" w:color="auto"/>
              <w:right w:val="single" w:sz="4" w:space="0" w:color="auto"/>
            </w:tcBorders>
            <w:shd w:val="clear" w:color="auto" w:fill="auto"/>
            <w:noWrap/>
            <w:vAlign w:val="center"/>
          </w:tcPr>
          <w:p w14:paraId="7FD7241B"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426 717</w:t>
            </w:r>
          </w:p>
        </w:tc>
        <w:tc>
          <w:tcPr>
            <w:tcW w:w="599" w:type="pct"/>
            <w:tcBorders>
              <w:top w:val="nil"/>
              <w:left w:val="nil"/>
              <w:bottom w:val="single" w:sz="4" w:space="0" w:color="auto"/>
              <w:right w:val="single" w:sz="4" w:space="0" w:color="auto"/>
            </w:tcBorders>
            <w:shd w:val="clear" w:color="auto" w:fill="auto"/>
            <w:noWrap/>
            <w:vAlign w:val="center"/>
          </w:tcPr>
          <w:p w14:paraId="7B912D1F"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440 948</w:t>
            </w:r>
          </w:p>
        </w:tc>
        <w:tc>
          <w:tcPr>
            <w:tcW w:w="599" w:type="pct"/>
            <w:tcBorders>
              <w:top w:val="nil"/>
              <w:left w:val="nil"/>
              <w:bottom w:val="single" w:sz="4" w:space="0" w:color="auto"/>
              <w:right w:val="single" w:sz="4" w:space="0" w:color="auto"/>
            </w:tcBorders>
            <w:shd w:val="clear" w:color="auto" w:fill="auto"/>
            <w:noWrap/>
            <w:vAlign w:val="center"/>
          </w:tcPr>
          <w:p w14:paraId="0B7CEE48"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479 026</w:t>
            </w:r>
          </w:p>
        </w:tc>
        <w:tc>
          <w:tcPr>
            <w:tcW w:w="599" w:type="pct"/>
            <w:tcBorders>
              <w:top w:val="nil"/>
              <w:left w:val="nil"/>
              <w:bottom w:val="single" w:sz="4" w:space="0" w:color="auto"/>
              <w:right w:val="nil"/>
            </w:tcBorders>
            <w:shd w:val="clear" w:color="auto" w:fill="auto"/>
            <w:noWrap/>
            <w:vAlign w:val="center"/>
          </w:tcPr>
          <w:p w14:paraId="52CE08E9"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383 323</w:t>
            </w:r>
          </w:p>
        </w:tc>
        <w:tc>
          <w:tcPr>
            <w:tcW w:w="599" w:type="pct"/>
            <w:tcBorders>
              <w:top w:val="nil"/>
              <w:left w:val="single" w:sz="4" w:space="0" w:color="auto"/>
              <w:bottom w:val="single" w:sz="4" w:space="0" w:color="auto"/>
              <w:right w:val="single" w:sz="4" w:space="0" w:color="auto"/>
            </w:tcBorders>
            <w:shd w:val="clear" w:color="auto" w:fill="auto"/>
            <w:vAlign w:val="center"/>
          </w:tcPr>
          <w:p w14:paraId="4538BACB" w14:textId="77777777" w:rsidR="004309C0" w:rsidRPr="00762525" w:rsidRDefault="004309C0" w:rsidP="00762525">
            <w:pPr>
              <w:keepNext/>
              <w:spacing w:after="0"/>
              <w:ind w:right="57"/>
              <w:jc w:val="right"/>
              <w:rPr>
                <w:rFonts w:ascii="Calibri" w:hAnsi="Calibri" w:cs="Calibri"/>
                <w:bCs/>
                <w:sz w:val="20"/>
                <w:szCs w:val="20"/>
              </w:rPr>
            </w:pPr>
            <w:r w:rsidRPr="00762525">
              <w:rPr>
                <w:rFonts w:ascii="Calibri" w:hAnsi="Calibri" w:cs="Calibri"/>
                <w:bCs/>
                <w:sz w:val="20"/>
                <w:szCs w:val="20"/>
              </w:rPr>
              <w:t>329 827</w:t>
            </w:r>
          </w:p>
        </w:tc>
      </w:tr>
    </w:tbl>
    <w:p w14:paraId="69B88759" w14:textId="355EA37F" w:rsidR="00501C66" w:rsidRPr="00762525" w:rsidRDefault="00501C66" w:rsidP="00762525">
      <w:pPr>
        <w:spacing w:before="40"/>
        <w:rPr>
          <w:rFonts w:cstheme="minorHAnsi"/>
          <w:sz w:val="20"/>
          <w:szCs w:val="20"/>
          <w:lang w:eastAsia="en-US"/>
        </w:rPr>
      </w:pPr>
      <w:r w:rsidRPr="00762525">
        <w:rPr>
          <w:rFonts w:cstheme="minorHAnsi"/>
          <w:b/>
          <w:sz w:val="20"/>
          <w:szCs w:val="20"/>
        </w:rPr>
        <w:t>Zdroj:</w:t>
      </w:r>
      <w:r w:rsidRPr="00762525">
        <w:rPr>
          <w:rFonts w:cstheme="minorHAnsi"/>
          <w:sz w:val="20"/>
          <w:szCs w:val="20"/>
        </w:rPr>
        <w:t xml:space="preserve"> </w:t>
      </w:r>
      <w:r w:rsidR="00326C2D">
        <w:rPr>
          <w:rFonts w:cstheme="minorHAnsi"/>
          <w:sz w:val="20"/>
          <w:szCs w:val="20"/>
        </w:rPr>
        <w:t>vypracoval</w:t>
      </w:r>
      <w:r w:rsidRPr="00762525">
        <w:rPr>
          <w:rFonts w:cstheme="minorHAnsi"/>
          <w:sz w:val="20"/>
          <w:szCs w:val="20"/>
        </w:rPr>
        <w:t xml:space="preserve"> NKÚ. </w:t>
      </w:r>
    </w:p>
    <w:p w14:paraId="672D50C0" w14:textId="77777777" w:rsidR="00F24F57" w:rsidRDefault="008D353A" w:rsidP="00762525">
      <w:pPr>
        <w:pStyle w:val="Titulek"/>
        <w:spacing w:before="120" w:after="120"/>
        <w:jc w:val="both"/>
        <w:rPr>
          <w:rFonts w:asciiTheme="minorHAnsi" w:hAnsiTheme="minorHAnsi" w:cstheme="minorHAnsi"/>
          <w:i w:val="0"/>
          <w:color w:val="auto"/>
          <w:sz w:val="24"/>
          <w:szCs w:val="24"/>
        </w:rPr>
      </w:pPr>
      <w:r w:rsidRPr="008131E3">
        <w:rPr>
          <w:rFonts w:asciiTheme="minorHAnsi" w:hAnsiTheme="minorHAnsi" w:cstheme="minorHAnsi"/>
          <w:b/>
          <w:i w:val="0"/>
          <w:color w:val="auto"/>
          <w:sz w:val="24"/>
          <w:szCs w:val="24"/>
        </w:rPr>
        <w:t>Horsk</w:t>
      </w:r>
      <w:r w:rsidR="004309C0">
        <w:rPr>
          <w:rFonts w:asciiTheme="minorHAnsi" w:hAnsiTheme="minorHAnsi" w:cstheme="minorHAnsi"/>
          <w:b/>
          <w:i w:val="0"/>
          <w:color w:val="auto"/>
          <w:sz w:val="24"/>
          <w:szCs w:val="24"/>
        </w:rPr>
        <w:t>ou</w:t>
      </w:r>
      <w:r w:rsidRPr="008131E3">
        <w:rPr>
          <w:rFonts w:asciiTheme="minorHAnsi" w:hAnsiTheme="minorHAnsi" w:cstheme="minorHAnsi"/>
          <w:b/>
          <w:i w:val="0"/>
          <w:color w:val="auto"/>
          <w:sz w:val="24"/>
          <w:szCs w:val="24"/>
        </w:rPr>
        <w:t xml:space="preserve"> služb</w:t>
      </w:r>
      <w:r w:rsidR="004309C0">
        <w:rPr>
          <w:rFonts w:asciiTheme="minorHAnsi" w:hAnsiTheme="minorHAnsi" w:cstheme="minorHAnsi"/>
          <w:b/>
          <w:i w:val="0"/>
          <w:color w:val="auto"/>
          <w:sz w:val="24"/>
          <w:szCs w:val="24"/>
        </w:rPr>
        <w:t>u</w:t>
      </w:r>
      <w:r w:rsidRPr="00F24F57">
        <w:rPr>
          <w:rFonts w:asciiTheme="minorHAnsi" w:hAnsiTheme="minorHAnsi" w:cstheme="minorHAnsi"/>
          <w:i w:val="0"/>
          <w:color w:val="auto"/>
          <w:sz w:val="24"/>
          <w:szCs w:val="24"/>
        </w:rPr>
        <w:t xml:space="preserve"> </w:t>
      </w:r>
      <w:r w:rsidR="00F24F57" w:rsidRPr="00F24F57">
        <w:rPr>
          <w:rFonts w:asciiTheme="minorHAnsi" w:hAnsiTheme="minorHAnsi" w:cstheme="minorHAnsi"/>
          <w:i w:val="0"/>
          <w:color w:val="auto"/>
          <w:sz w:val="24"/>
          <w:szCs w:val="24"/>
        </w:rPr>
        <w:t xml:space="preserve">založilo </w:t>
      </w:r>
      <w:r>
        <w:rPr>
          <w:rFonts w:asciiTheme="minorHAnsi" w:hAnsiTheme="minorHAnsi" w:cstheme="minorHAnsi"/>
          <w:i w:val="0"/>
          <w:color w:val="auto"/>
          <w:sz w:val="24"/>
          <w:szCs w:val="24"/>
        </w:rPr>
        <w:t>MMR v prosinci 2004</w:t>
      </w:r>
      <w:r w:rsidR="00321FE2">
        <w:rPr>
          <w:rFonts w:asciiTheme="minorHAnsi" w:hAnsiTheme="minorHAnsi" w:cstheme="minorHAnsi"/>
          <w:i w:val="0"/>
          <w:color w:val="auto"/>
          <w:sz w:val="24"/>
          <w:szCs w:val="24"/>
        </w:rPr>
        <w:t xml:space="preserve">. </w:t>
      </w:r>
      <w:r w:rsidR="00521DF5">
        <w:rPr>
          <w:rFonts w:asciiTheme="minorHAnsi" w:hAnsiTheme="minorHAnsi" w:cstheme="minorHAnsi"/>
          <w:i w:val="0"/>
          <w:color w:val="auto"/>
          <w:sz w:val="24"/>
          <w:szCs w:val="24"/>
        </w:rPr>
        <w:t>Horská služba</w:t>
      </w:r>
      <w:r w:rsidR="00321FE2">
        <w:rPr>
          <w:rFonts w:asciiTheme="minorHAnsi" w:hAnsiTheme="minorHAnsi" w:cstheme="minorHAnsi"/>
          <w:i w:val="0"/>
          <w:color w:val="auto"/>
          <w:sz w:val="24"/>
          <w:szCs w:val="24"/>
        </w:rPr>
        <w:t xml:space="preserve"> je obecně prospěšnou společností, její</w:t>
      </w:r>
      <w:r w:rsidR="005846ED">
        <w:rPr>
          <w:rFonts w:asciiTheme="minorHAnsi" w:hAnsiTheme="minorHAnsi" w:cstheme="minorHAnsi"/>
          <w:i w:val="0"/>
          <w:color w:val="auto"/>
          <w:sz w:val="24"/>
          <w:szCs w:val="24"/>
        </w:rPr>
        <w:t>m</w:t>
      </w:r>
      <w:r w:rsidR="00321FE2">
        <w:rPr>
          <w:rFonts w:asciiTheme="minorHAnsi" w:hAnsiTheme="minorHAnsi" w:cstheme="minorHAnsi"/>
          <w:i w:val="0"/>
          <w:color w:val="auto"/>
          <w:sz w:val="24"/>
          <w:szCs w:val="24"/>
        </w:rPr>
        <w:t xml:space="preserve">ž </w:t>
      </w:r>
      <w:r>
        <w:rPr>
          <w:rFonts w:asciiTheme="minorHAnsi" w:hAnsiTheme="minorHAnsi" w:cstheme="minorHAnsi"/>
          <w:i w:val="0"/>
          <w:color w:val="auto"/>
          <w:sz w:val="24"/>
          <w:szCs w:val="24"/>
        </w:rPr>
        <w:t xml:space="preserve">cílem je především organizace a provádění záchranných a pátracích akcí </w:t>
      </w:r>
      <w:r w:rsidR="00F24F57" w:rsidRPr="00F24F57">
        <w:rPr>
          <w:rFonts w:asciiTheme="minorHAnsi" w:hAnsiTheme="minorHAnsi" w:cstheme="minorHAnsi"/>
          <w:i w:val="0"/>
          <w:color w:val="auto"/>
          <w:sz w:val="24"/>
          <w:szCs w:val="24"/>
        </w:rPr>
        <w:t>v horském terénu a vytvář</w:t>
      </w:r>
      <w:r>
        <w:rPr>
          <w:rFonts w:asciiTheme="minorHAnsi" w:hAnsiTheme="minorHAnsi" w:cstheme="minorHAnsi"/>
          <w:i w:val="0"/>
          <w:color w:val="auto"/>
          <w:sz w:val="24"/>
          <w:szCs w:val="24"/>
        </w:rPr>
        <w:t>ení</w:t>
      </w:r>
      <w:r w:rsidR="00F24F57" w:rsidRPr="00F24F57">
        <w:rPr>
          <w:rFonts w:asciiTheme="minorHAnsi" w:hAnsiTheme="minorHAnsi" w:cstheme="minorHAnsi"/>
          <w:i w:val="0"/>
          <w:color w:val="auto"/>
          <w:sz w:val="24"/>
          <w:szCs w:val="24"/>
        </w:rPr>
        <w:t xml:space="preserve"> podmín</w:t>
      </w:r>
      <w:r>
        <w:rPr>
          <w:rFonts w:asciiTheme="minorHAnsi" w:hAnsiTheme="minorHAnsi" w:cstheme="minorHAnsi"/>
          <w:i w:val="0"/>
          <w:color w:val="auto"/>
          <w:sz w:val="24"/>
          <w:szCs w:val="24"/>
        </w:rPr>
        <w:t>ek</w:t>
      </w:r>
      <w:r w:rsidR="00F24F57" w:rsidRPr="00F24F57">
        <w:rPr>
          <w:rFonts w:asciiTheme="minorHAnsi" w:hAnsiTheme="minorHAnsi" w:cstheme="minorHAnsi"/>
          <w:i w:val="0"/>
          <w:color w:val="auto"/>
          <w:sz w:val="24"/>
          <w:szCs w:val="24"/>
        </w:rPr>
        <w:t xml:space="preserve"> pro bezpečnost návštěvníků hor. </w:t>
      </w:r>
    </w:p>
    <w:p w14:paraId="507FB369" w14:textId="6516967D" w:rsidR="009B4242" w:rsidRPr="00696A15" w:rsidRDefault="001803DC" w:rsidP="00C97833">
      <w:pPr>
        <w:pStyle w:val="KPnormln"/>
        <w:ind w:firstLine="0"/>
      </w:pPr>
      <w:r w:rsidRPr="001803DC">
        <w:t>Horská služba je řízena správní radou</w:t>
      </w:r>
      <w:r w:rsidR="00BD657D">
        <w:t xml:space="preserve"> a kontrolním orgánem společnosti je dozorčí rada. Členy do těchto rad jmenuje MMR jako zakladatel Horské služby. </w:t>
      </w:r>
      <w:r w:rsidRPr="001803DC">
        <w:t>Statutárním orgánem společnosti</w:t>
      </w:r>
      <w:r w:rsidR="00823743">
        <w:t xml:space="preserve"> je ředitel, kterého jmenuje </w:t>
      </w:r>
      <w:r w:rsidRPr="001803DC">
        <w:t>a odvolává správní rada.</w:t>
      </w:r>
      <w:r w:rsidR="00326C2D">
        <w:t xml:space="preserve"> </w:t>
      </w:r>
      <w:r w:rsidRPr="001803DC">
        <w:t>Ředitel používá také tradiční označení</w:t>
      </w:r>
      <w:r w:rsidR="00326C2D">
        <w:t xml:space="preserve"> </w:t>
      </w:r>
      <w:r w:rsidRPr="001803DC">
        <w:rPr>
          <w:rStyle w:val="Zdraznn"/>
          <w:b w:val="0"/>
        </w:rPr>
        <w:t>náčelník Horské služby.</w:t>
      </w:r>
      <w:r w:rsidR="00326C2D">
        <w:rPr>
          <w:rStyle w:val="Zdraznn"/>
        </w:rPr>
        <w:t xml:space="preserve"> </w:t>
      </w:r>
      <w:r w:rsidR="00BD657D" w:rsidRPr="00BD657D">
        <w:rPr>
          <w:rStyle w:val="Zdraznn"/>
          <w:b w:val="0"/>
        </w:rPr>
        <w:t>V průběhu kontrolovaného období došlo pětkrát ke změně na pozici ředitele Horské služby.</w:t>
      </w:r>
      <w:r w:rsidR="00BD657D" w:rsidRPr="0090513F">
        <w:rPr>
          <w:rStyle w:val="Zdraznn"/>
          <w:b w:val="0"/>
        </w:rPr>
        <w:t xml:space="preserve"> </w:t>
      </w:r>
      <w:r w:rsidR="009B4242">
        <w:rPr>
          <w:bCs/>
        </w:rPr>
        <w:t xml:space="preserve">Podle </w:t>
      </w:r>
      <w:r w:rsidR="00326C2D">
        <w:rPr>
          <w:bCs/>
        </w:rPr>
        <w:t>s</w:t>
      </w:r>
      <w:r w:rsidR="009B4242">
        <w:rPr>
          <w:bCs/>
        </w:rPr>
        <w:t xml:space="preserve">tatutu Horské služby </w:t>
      </w:r>
      <w:r w:rsidR="00326C2D">
        <w:rPr>
          <w:bCs/>
        </w:rPr>
        <w:t>(</w:t>
      </w:r>
      <w:r w:rsidR="009B4242">
        <w:rPr>
          <w:bCs/>
        </w:rPr>
        <w:t>člán</w:t>
      </w:r>
      <w:r w:rsidR="00326C2D">
        <w:rPr>
          <w:bCs/>
        </w:rPr>
        <w:t>e</w:t>
      </w:r>
      <w:r w:rsidR="009B4242">
        <w:rPr>
          <w:bCs/>
        </w:rPr>
        <w:t>k 4 oddíl 3 bod 11</w:t>
      </w:r>
      <w:r w:rsidR="00326C2D">
        <w:rPr>
          <w:bCs/>
        </w:rPr>
        <w:t>)</w:t>
      </w:r>
      <w:r w:rsidR="009B4242">
        <w:rPr>
          <w:bCs/>
        </w:rPr>
        <w:t xml:space="preserve"> má zakladatel </w:t>
      </w:r>
      <w:r w:rsidR="009B4242" w:rsidRPr="009B4242">
        <w:rPr>
          <w:bCs/>
        </w:rPr>
        <w:t>právo účastnit se jednání správní rady s</w:t>
      </w:r>
      <w:r w:rsidR="00707CD3">
        <w:rPr>
          <w:bCs/>
        </w:rPr>
        <w:t xml:space="preserve"> poradním </w:t>
      </w:r>
      <w:r w:rsidR="009B4242" w:rsidRPr="009B4242">
        <w:rPr>
          <w:bCs/>
        </w:rPr>
        <w:t xml:space="preserve">hlasem. </w:t>
      </w:r>
    </w:p>
    <w:bookmarkEnd w:id="1"/>
    <w:bookmarkEnd w:id="2"/>
    <w:bookmarkEnd w:id="3"/>
    <w:bookmarkEnd w:id="4"/>
    <w:bookmarkEnd w:id="5"/>
    <w:bookmarkEnd w:id="6"/>
    <w:bookmarkEnd w:id="7"/>
    <w:bookmarkEnd w:id="8"/>
    <w:bookmarkEnd w:id="9"/>
    <w:bookmarkEnd w:id="10"/>
    <w:p w14:paraId="4E129EEE" w14:textId="77777777" w:rsidR="002457BA" w:rsidRDefault="00BD657D" w:rsidP="00CA4F8B">
      <w:pPr>
        <w:widowControl w:val="0"/>
        <w:autoSpaceDE w:val="0"/>
        <w:autoSpaceDN w:val="0"/>
        <w:adjustRightInd w:val="0"/>
        <w:jc w:val="both"/>
        <w:rPr>
          <w:rFonts w:cstheme="minorHAnsi"/>
          <w:lang w:eastAsia="en-US"/>
        </w:rPr>
      </w:pPr>
      <w:r>
        <w:rPr>
          <w:rFonts w:cstheme="minorHAnsi"/>
          <w:lang w:eastAsia="en-US"/>
        </w:rPr>
        <w:t>MMR v roli zakladatele poskytuje Horské službě finanční zdroje pro zajištění chodu společnosti prostřednict</w:t>
      </w:r>
      <w:r w:rsidR="00CA4F8B">
        <w:rPr>
          <w:rFonts w:cstheme="minorHAnsi"/>
          <w:lang w:eastAsia="en-US"/>
        </w:rPr>
        <w:t>v</w:t>
      </w:r>
      <w:r>
        <w:rPr>
          <w:rFonts w:cstheme="minorHAnsi"/>
          <w:lang w:eastAsia="en-US"/>
        </w:rPr>
        <w:t xml:space="preserve">ím provozních a investičních dotací. </w:t>
      </w:r>
      <w:r w:rsidRPr="00923A93">
        <w:rPr>
          <w:rFonts w:cstheme="minorHAnsi"/>
          <w:lang w:eastAsia="en-US"/>
        </w:rPr>
        <w:t xml:space="preserve">Kromě </w:t>
      </w:r>
      <w:r w:rsidR="00CA4F8B" w:rsidRPr="00923A93">
        <w:rPr>
          <w:rFonts w:cstheme="minorHAnsi"/>
          <w:lang w:eastAsia="en-US"/>
        </w:rPr>
        <w:t>těchto zdrojů</w:t>
      </w:r>
      <w:r w:rsidR="00CA4F8B">
        <w:rPr>
          <w:rFonts w:cstheme="minorHAnsi"/>
          <w:lang w:eastAsia="en-US"/>
        </w:rPr>
        <w:t xml:space="preserve"> H</w:t>
      </w:r>
      <w:r>
        <w:rPr>
          <w:rFonts w:cstheme="minorHAnsi"/>
          <w:lang w:eastAsia="en-US"/>
        </w:rPr>
        <w:t>orská služba hospodaří s prostř</w:t>
      </w:r>
      <w:r w:rsidR="007F2143">
        <w:rPr>
          <w:rFonts w:cstheme="minorHAnsi"/>
          <w:lang w:eastAsia="en-US"/>
        </w:rPr>
        <w:t>e</w:t>
      </w:r>
      <w:r>
        <w:rPr>
          <w:rFonts w:cstheme="minorHAnsi"/>
          <w:lang w:eastAsia="en-US"/>
        </w:rPr>
        <w:t xml:space="preserve">dky získanými formou dotací a grantů poskytnutých územně samosprávnými celky, dary fyzických a právnických osob a finančními prostředky získanými za úhradu poskytnutých služeb. </w:t>
      </w:r>
      <w:r w:rsidR="00BF6398">
        <w:rPr>
          <w:rFonts w:cstheme="minorHAnsi"/>
          <w:lang w:eastAsia="en-US"/>
        </w:rPr>
        <w:t xml:space="preserve"> </w:t>
      </w:r>
      <w:r w:rsidR="00CA4F8B">
        <w:rPr>
          <w:rFonts w:cstheme="minorHAnsi"/>
          <w:lang w:eastAsia="en-US"/>
        </w:rPr>
        <w:t xml:space="preserve"> </w:t>
      </w:r>
    </w:p>
    <w:p w14:paraId="3B67FDDB" w14:textId="7FFF3F0C" w:rsidR="00851975" w:rsidRPr="008265F7" w:rsidRDefault="00851975" w:rsidP="008265F7">
      <w:pPr>
        <w:pStyle w:val="Titulek"/>
        <w:keepNext/>
        <w:keepLines/>
        <w:tabs>
          <w:tab w:val="right" w:pos="9072"/>
        </w:tabs>
        <w:spacing w:after="40"/>
        <w:rPr>
          <w:rFonts w:asciiTheme="minorHAnsi" w:hAnsiTheme="minorHAnsi" w:cstheme="minorHAnsi"/>
          <w:b/>
          <w:i w:val="0"/>
          <w:color w:val="auto"/>
          <w:sz w:val="24"/>
          <w:szCs w:val="24"/>
        </w:rPr>
      </w:pPr>
      <w:r w:rsidRPr="008265F7">
        <w:rPr>
          <w:rFonts w:asciiTheme="minorHAnsi" w:hAnsiTheme="minorHAnsi" w:cstheme="minorHAnsi"/>
          <w:b/>
          <w:i w:val="0"/>
          <w:color w:val="auto"/>
          <w:sz w:val="24"/>
          <w:szCs w:val="24"/>
        </w:rPr>
        <w:t xml:space="preserve">Tabulka </w:t>
      </w:r>
      <w:r w:rsidRPr="008265F7">
        <w:rPr>
          <w:rFonts w:asciiTheme="minorHAnsi" w:hAnsiTheme="minorHAnsi" w:cstheme="minorHAnsi"/>
          <w:b/>
          <w:i w:val="0"/>
          <w:color w:val="auto"/>
          <w:sz w:val="24"/>
          <w:szCs w:val="24"/>
        </w:rPr>
        <w:fldChar w:fldCharType="begin"/>
      </w:r>
      <w:r w:rsidRPr="008265F7">
        <w:rPr>
          <w:rFonts w:asciiTheme="minorHAnsi" w:hAnsiTheme="minorHAnsi" w:cstheme="minorHAnsi"/>
          <w:b/>
          <w:i w:val="0"/>
          <w:color w:val="auto"/>
          <w:sz w:val="24"/>
          <w:szCs w:val="24"/>
        </w:rPr>
        <w:instrText xml:space="preserve"> SEQ Tabulka \* ARABIC </w:instrText>
      </w:r>
      <w:r w:rsidRPr="008265F7">
        <w:rPr>
          <w:rFonts w:asciiTheme="minorHAnsi" w:hAnsiTheme="minorHAnsi" w:cstheme="minorHAnsi"/>
          <w:b/>
          <w:i w:val="0"/>
          <w:color w:val="auto"/>
          <w:sz w:val="24"/>
          <w:szCs w:val="24"/>
        </w:rPr>
        <w:fldChar w:fldCharType="separate"/>
      </w:r>
      <w:r w:rsidR="00621F68">
        <w:rPr>
          <w:rFonts w:asciiTheme="minorHAnsi" w:hAnsiTheme="minorHAnsi" w:cstheme="minorHAnsi"/>
          <w:b/>
          <w:i w:val="0"/>
          <w:noProof/>
          <w:color w:val="auto"/>
          <w:sz w:val="24"/>
          <w:szCs w:val="24"/>
        </w:rPr>
        <w:t>5</w:t>
      </w:r>
      <w:r w:rsidRPr="008265F7">
        <w:rPr>
          <w:rFonts w:asciiTheme="minorHAnsi" w:hAnsiTheme="minorHAnsi" w:cstheme="minorHAnsi"/>
          <w:b/>
          <w:i w:val="0"/>
          <w:color w:val="auto"/>
          <w:sz w:val="24"/>
          <w:szCs w:val="24"/>
        </w:rPr>
        <w:fldChar w:fldCharType="end"/>
      </w:r>
      <w:r w:rsidRPr="008265F7">
        <w:rPr>
          <w:rFonts w:asciiTheme="minorHAnsi" w:hAnsiTheme="minorHAnsi" w:cstheme="minorHAnsi"/>
          <w:b/>
          <w:i w:val="0"/>
          <w:color w:val="auto"/>
          <w:sz w:val="24"/>
          <w:szCs w:val="24"/>
        </w:rPr>
        <w:t xml:space="preserve">: </w:t>
      </w:r>
      <w:r w:rsidR="008131E3" w:rsidRPr="008265F7">
        <w:rPr>
          <w:rFonts w:asciiTheme="minorHAnsi" w:hAnsiTheme="minorHAnsi" w:cstheme="minorHAnsi"/>
          <w:b/>
          <w:i w:val="0"/>
          <w:color w:val="auto"/>
          <w:sz w:val="24"/>
          <w:szCs w:val="24"/>
        </w:rPr>
        <w:t xml:space="preserve">Horská služba </w:t>
      </w:r>
      <w:r w:rsidR="00C4015F" w:rsidRPr="008265F7">
        <w:rPr>
          <w:rFonts w:asciiTheme="minorHAnsi" w:hAnsiTheme="minorHAnsi" w:cstheme="minorHAnsi"/>
          <w:b/>
          <w:i w:val="0"/>
          <w:color w:val="auto"/>
          <w:sz w:val="24"/>
          <w:szCs w:val="24"/>
        </w:rPr>
        <w:t>–</w:t>
      </w:r>
      <w:r w:rsidR="008131E3" w:rsidRPr="008265F7">
        <w:rPr>
          <w:rFonts w:asciiTheme="minorHAnsi" w:hAnsiTheme="minorHAnsi" w:cstheme="minorHAnsi"/>
          <w:b/>
          <w:i w:val="0"/>
          <w:color w:val="auto"/>
          <w:sz w:val="24"/>
          <w:szCs w:val="24"/>
        </w:rPr>
        <w:t xml:space="preserve"> </w:t>
      </w:r>
      <w:r w:rsidR="0048693E" w:rsidRPr="008265F7">
        <w:rPr>
          <w:rFonts w:asciiTheme="minorHAnsi" w:hAnsiTheme="minorHAnsi" w:cstheme="minorHAnsi"/>
          <w:b/>
          <w:i w:val="0"/>
          <w:color w:val="auto"/>
          <w:sz w:val="24"/>
          <w:szCs w:val="24"/>
        </w:rPr>
        <w:t xml:space="preserve">kontrolovaný objem </w:t>
      </w:r>
      <w:r w:rsidR="00326C2D">
        <w:rPr>
          <w:rFonts w:asciiTheme="minorHAnsi" w:hAnsiTheme="minorHAnsi" w:cstheme="minorHAnsi"/>
          <w:b/>
          <w:i w:val="0"/>
          <w:color w:val="auto"/>
          <w:sz w:val="24"/>
          <w:szCs w:val="24"/>
        </w:rPr>
        <w:tab/>
        <w:t>(</w:t>
      </w:r>
      <w:r w:rsidRPr="008265F7">
        <w:rPr>
          <w:rFonts w:asciiTheme="minorHAnsi" w:hAnsiTheme="minorHAnsi" w:cstheme="minorHAnsi"/>
          <w:b/>
          <w:i w:val="0"/>
          <w:color w:val="auto"/>
          <w:sz w:val="24"/>
          <w:szCs w:val="24"/>
        </w:rPr>
        <w:t>v Kč</w:t>
      </w:r>
      <w:r w:rsidR="00326C2D">
        <w:rPr>
          <w:rFonts w:asciiTheme="minorHAnsi" w:hAnsiTheme="minorHAnsi" w:cstheme="minorHAnsi"/>
          <w:b/>
          <w:i w:val="0"/>
          <w:color w:val="auto"/>
          <w:sz w:val="24"/>
          <w:szCs w:val="24"/>
        </w:rPr>
        <w:t>)</w:t>
      </w:r>
    </w:p>
    <w:tbl>
      <w:tblPr>
        <w:tblStyle w:val="Mkatabulky"/>
        <w:tblW w:w="0" w:type="auto"/>
        <w:tblLook w:val="04A0" w:firstRow="1" w:lastRow="0" w:firstColumn="1" w:lastColumn="0" w:noHBand="0" w:noVBand="1"/>
      </w:tblPr>
      <w:tblGrid>
        <w:gridCol w:w="4531"/>
        <w:gridCol w:w="4532"/>
      </w:tblGrid>
      <w:tr w:rsidR="00851975" w:rsidRPr="00762525" w14:paraId="4485BC07" w14:textId="77777777" w:rsidTr="00762525">
        <w:tc>
          <w:tcPr>
            <w:tcW w:w="4531" w:type="dxa"/>
            <w:vAlign w:val="center"/>
          </w:tcPr>
          <w:p w14:paraId="1F829BE5" w14:textId="77777777" w:rsidR="00851975" w:rsidRPr="00762525" w:rsidRDefault="00851975" w:rsidP="00762525">
            <w:pPr>
              <w:keepNext/>
              <w:keepLines/>
              <w:spacing w:after="0"/>
              <w:rPr>
                <w:rFonts w:ascii="Calibri" w:hAnsi="Calibri" w:cs="Calibri"/>
                <w:sz w:val="20"/>
                <w:szCs w:val="20"/>
              </w:rPr>
            </w:pPr>
            <w:r w:rsidRPr="00762525">
              <w:rPr>
                <w:rFonts w:ascii="Calibri" w:hAnsi="Calibri" w:cs="Calibri"/>
                <w:b/>
                <w:sz w:val="20"/>
                <w:szCs w:val="20"/>
              </w:rPr>
              <w:t>Provozní dotace</w:t>
            </w:r>
          </w:p>
        </w:tc>
        <w:tc>
          <w:tcPr>
            <w:tcW w:w="4532" w:type="dxa"/>
            <w:vAlign w:val="center"/>
          </w:tcPr>
          <w:p w14:paraId="70A351CB" w14:textId="77777777" w:rsidR="00851975" w:rsidRPr="00762525" w:rsidRDefault="00851975" w:rsidP="00762525">
            <w:pPr>
              <w:keepNext/>
              <w:keepLines/>
              <w:spacing w:after="0"/>
              <w:ind w:right="176"/>
              <w:jc w:val="right"/>
              <w:rPr>
                <w:rFonts w:ascii="Calibri" w:hAnsi="Calibri" w:cs="Calibri"/>
                <w:sz w:val="20"/>
                <w:szCs w:val="20"/>
              </w:rPr>
            </w:pPr>
            <w:r w:rsidRPr="00762525">
              <w:rPr>
                <w:rFonts w:ascii="Calibri" w:hAnsi="Calibri" w:cs="Calibri"/>
                <w:sz w:val="20"/>
                <w:szCs w:val="20"/>
              </w:rPr>
              <w:t>848 727 563</w:t>
            </w:r>
          </w:p>
        </w:tc>
      </w:tr>
      <w:tr w:rsidR="00851975" w:rsidRPr="00762525" w14:paraId="67C6CBF8" w14:textId="77777777" w:rsidTr="00762525">
        <w:tc>
          <w:tcPr>
            <w:tcW w:w="4531" w:type="dxa"/>
            <w:vAlign w:val="center"/>
          </w:tcPr>
          <w:p w14:paraId="598B25F1" w14:textId="77777777" w:rsidR="00851975" w:rsidRPr="00762525" w:rsidRDefault="00851975" w:rsidP="00762525">
            <w:pPr>
              <w:keepNext/>
              <w:keepLines/>
              <w:spacing w:after="0"/>
              <w:rPr>
                <w:rFonts w:ascii="Calibri" w:hAnsi="Calibri" w:cs="Calibri"/>
                <w:sz w:val="20"/>
                <w:szCs w:val="20"/>
              </w:rPr>
            </w:pPr>
            <w:r w:rsidRPr="00762525">
              <w:rPr>
                <w:rFonts w:ascii="Calibri" w:hAnsi="Calibri" w:cs="Calibri"/>
                <w:b/>
                <w:sz w:val="20"/>
                <w:szCs w:val="20"/>
              </w:rPr>
              <w:t>Investiční dotace</w:t>
            </w:r>
          </w:p>
        </w:tc>
        <w:tc>
          <w:tcPr>
            <w:tcW w:w="4532" w:type="dxa"/>
            <w:vAlign w:val="center"/>
          </w:tcPr>
          <w:p w14:paraId="4A3B80BE" w14:textId="77777777" w:rsidR="00851975" w:rsidRPr="00762525" w:rsidRDefault="00851975" w:rsidP="00762525">
            <w:pPr>
              <w:keepNext/>
              <w:keepLines/>
              <w:spacing w:after="0"/>
              <w:ind w:right="176"/>
              <w:jc w:val="right"/>
              <w:rPr>
                <w:rFonts w:ascii="Calibri" w:hAnsi="Calibri" w:cs="Calibri"/>
                <w:sz w:val="20"/>
                <w:szCs w:val="20"/>
              </w:rPr>
            </w:pPr>
            <w:r w:rsidRPr="00762525">
              <w:rPr>
                <w:rFonts w:ascii="Calibri" w:hAnsi="Calibri" w:cs="Calibri"/>
                <w:sz w:val="20"/>
                <w:szCs w:val="20"/>
              </w:rPr>
              <w:t>224 682 845</w:t>
            </w:r>
          </w:p>
        </w:tc>
      </w:tr>
      <w:tr w:rsidR="00851975" w:rsidRPr="00762525" w14:paraId="2A862F43" w14:textId="77777777" w:rsidTr="00762525">
        <w:tc>
          <w:tcPr>
            <w:tcW w:w="4531" w:type="dxa"/>
            <w:vAlign w:val="center"/>
          </w:tcPr>
          <w:p w14:paraId="508BC5DB" w14:textId="62E7763E" w:rsidR="00851975" w:rsidRPr="00762525" w:rsidRDefault="00326C2D" w:rsidP="00762525">
            <w:pPr>
              <w:keepNext/>
              <w:keepLines/>
              <w:spacing w:after="0"/>
              <w:ind w:firstLine="167"/>
              <w:rPr>
                <w:rFonts w:ascii="Calibri" w:hAnsi="Calibri" w:cs="Calibri"/>
                <w:sz w:val="20"/>
                <w:szCs w:val="20"/>
              </w:rPr>
            </w:pPr>
            <w:r>
              <w:rPr>
                <w:rFonts w:ascii="Calibri" w:hAnsi="Calibri" w:cs="Calibri"/>
                <w:sz w:val="20"/>
                <w:szCs w:val="20"/>
              </w:rPr>
              <w:t>–</w:t>
            </w:r>
            <w:r w:rsidR="008265F7">
              <w:rPr>
                <w:rFonts w:ascii="Calibri" w:hAnsi="Calibri" w:cs="Calibri"/>
                <w:sz w:val="20"/>
                <w:szCs w:val="20"/>
              </w:rPr>
              <w:t xml:space="preserve"> </w:t>
            </w:r>
            <w:r>
              <w:rPr>
                <w:rFonts w:ascii="Calibri" w:hAnsi="Calibri" w:cs="Calibri"/>
                <w:sz w:val="20"/>
                <w:szCs w:val="20"/>
              </w:rPr>
              <w:t>z</w:t>
            </w:r>
            <w:r w:rsidR="00851975" w:rsidRPr="00762525">
              <w:rPr>
                <w:rFonts w:ascii="Calibri" w:hAnsi="Calibri" w:cs="Calibri"/>
                <w:sz w:val="20"/>
                <w:szCs w:val="20"/>
              </w:rPr>
              <w:t xml:space="preserve"> toho:</w:t>
            </w:r>
          </w:p>
        </w:tc>
        <w:tc>
          <w:tcPr>
            <w:tcW w:w="4532" w:type="dxa"/>
            <w:vAlign w:val="center"/>
          </w:tcPr>
          <w:p w14:paraId="1D323774" w14:textId="77777777" w:rsidR="00851975" w:rsidRPr="00762525" w:rsidRDefault="00851975" w:rsidP="00762525">
            <w:pPr>
              <w:keepNext/>
              <w:keepLines/>
              <w:spacing w:after="0"/>
              <w:ind w:right="176"/>
              <w:jc w:val="right"/>
              <w:rPr>
                <w:rFonts w:ascii="Calibri" w:hAnsi="Calibri" w:cs="Calibri"/>
                <w:sz w:val="20"/>
                <w:szCs w:val="20"/>
              </w:rPr>
            </w:pPr>
          </w:p>
        </w:tc>
      </w:tr>
      <w:tr w:rsidR="00851975" w:rsidRPr="00762525" w14:paraId="46ED21C4" w14:textId="77777777" w:rsidTr="00762525">
        <w:tc>
          <w:tcPr>
            <w:tcW w:w="4531" w:type="dxa"/>
            <w:vAlign w:val="center"/>
          </w:tcPr>
          <w:p w14:paraId="78CFFA2C" w14:textId="77777777" w:rsidR="00851975" w:rsidRPr="00762525" w:rsidRDefault="00851975" w:rsidP="00762525">
            <w:pPr>
              <w:keepNext/>
              <w:keepLines/>
              <w:spacing w:after="0"/>
              <w:ind w:left="876"/>
              <w:rPr>
                <w:rFonts w:ascii="Calibri" w:hAnsi="Calibri" w:cs="Calibri"/>
                <w:sz w:val="20"/>
                <w:szCs w:val="20"/>
              </w:rPr>
            </w:pPr>
            <w:r w:rsidRPr="00762525">
              <w:rPr>
                <w:rFonts w:ascii="Calibri" w:hAnsi="Calibri" w:cs="Calibri"/>
                <w:sz w:val="20"/>
                <w:szCs w:val="20"/>
              </w:rPr>
              <w:t>Kontrolované veřejné zakázky</w:t>
            </w:r>
          </w:p>
        </w:tc>
        <w:tc>
          <w:tcPr>
            <w:tcW w:w="4532" w:type="dxa"/>
            <w:vAlign w:val="center"/>
          </w:tcPr>
          <w:p w14:paraId="5DBD6C35" w14:textId="77777777" w:rsidR="00851975" w:rsidRPr="00762525" w:rsidRDefault="00851975" w:rsidP="00762525">
            <w:pPr>
              <w:keepNext/>
              <w:keepLines/>
              <w:spacing w:after="0"/>
              <w:ind w:right="176"/>
              <w:jc w:val="right"/>
              <w:rPr>
                <w:rFonts w:ascii="Calibri" w:hAnsi="Calibri" w:cs="Calibri"/>
                <w:sz w:val="20"/>
                <w:szCs w:val="20"/>
              </w:rPr>
            </w:pPr>
            <w:r w:rsidRPr="00762525">
              <w:rPr>
                <w:rFonts w:ascii="Calibri" w:hAnsi="Calibri" w:cs="Calibri"/>
                <w:sz w:val="20"/>
                <w:szCs w:val="20"/>
              </w:rPr>
              <w:t>96 482 421</w:t>
            </w:r>
          </w:p>
        </w:tc>
      </w:tr>
      <w:tr w:rsidR="00851975" w:rsidRPr="00762525" w14:paraId="7540A740" w14:textId="77777777" w:rsidTr="00762525">
        <w:tc>
          <w:tcPr>
            <w:tcW w:w="4531" w:type="dxa"/>
            <w:vAlign w:val="center"/>
          </w:tcPr>
          <w:p w14:paraId="1235475B" w14:textId="77777777" w:rsidR="00851975" w:rsidRPr="00762525" w:rsidRDefault="00851975" w:rsidP="00762525">
            <w:pPr>
              <w:keepNext/>
              <w:keepLines/>
              <w:spacing w:after="0"/>
              <w:ind w:left="876"/>
              <w:rPr>
                <w:rFonts w:ascii="Calibri" w:hAnsi="Calibri" w:cs="Calibri"/>
                <w:sz w:val="20"/>
                <w:szCs w:val="20"/>
              </w:rPr>
            </w:pPr>
            <w:r w:rsidRPr="00762525">
              <w:rPr>
                <w:rFonts w:ascii="Calibri" w:hAnsi="Calibri" w:cs="Calibri"/>
                <w:sz w:val="20"/>
                <w:szCs w:val="20"/>
              </w:rPr>
              <w:t>Kontrolovaný majetek</w:t>
            </w:r>
          </w:p>
        </w:tc>
        <w:tc>
          <w:tcPr>
            <w:tcW w:w="4532" w:type="dxa"/>
            <w:vAlign w:val="center"/>
          </w:tcPr>
          <w:p w14:paraId="20FF17CC" w14:textId="77777777" w:rsidR="00851975" w:rsidRPr="00762525" w:rsidRDefault="00851975" w:rsidP="00762525">
            <w:pPr>
              <w:keepNext/>
              <w:keepLines/>
              <w:spacing w:after="0"/>
              <w:ind w:right="176"/>
              <w:jc w:val="right"/>
              <w:rPr>
                <w:rFonts w:ascii="Calibri" w:hAnsi="Calibri" w:cs="Calibri"/>
                <w:sz w:val="20"/>
                <w:szCs w:val="20"/>
              </w:rPr>
            </w:pPr>
            <w:r w:rsidRPr="00762525">
              <w:rPr>
                <w:rFonts w:ascii="Calibri" w:hAnsi="Calibri" w:cs="Calibri"/>
                <w:sz w:val="20"/>
                <w:szCs w:val="20"/>
              </w:rPr>
              <w:t>36 736 012</w:t>
            </w:r>
          </w:p>
        </w:tc>
      </w:tr>
      <w:tr w:rsidR="00501C66" w:rsidRPr="00762525" w14:paraId="27125073" w14:textId="77777777" w:rsidTr="00762525">
        <w:tc>
          <w:tcPr>
            <w:tcW w:w="4531" w:type="dxa"/>
            <w:vAlign w:val="center"/>
          </w:tcPr>
          <w:p w14:paraId="4C5D40A7" w14:textId="77777777" w:rsidR="00501C66" w:rsidRPr="00762525" w:rsidRDefault="00501C66" w:rsidP="00762525">
            <w:pPr>
              <w:keepNext/>
              <w:keepLines/>
              <w:spacing w:after="0"/>
              <w:rPr>
                <w:rFonts w:ascii="Calibri" w:hAnsi="Calibri" w:cs="Calibri"/>
                <w:b/>
                <w:sz w:val="20"/>
                <w:szCs w:val="20"/>
              </w:rPr>
            </w:pPr>
            <w:r w:rsidRPr="00762525">
              <w:rPr>
                <w:rFonts w:ascii="Calibri" w:hAnsi="Calibri" w:cs="Calibri"/>
                <w:b/>
                <w:sz w:val="20"/>
                <w:szCs w:val="20"/>
              </w:rPr>
              <w:t>Celkem</w:t>
            </w:r>
          </w:p>
        </w:tc>
        <w:tc>
          <w:tcPr>
            <w:tcW w:w="4532" w:type="dxa"/>
            <w:vAlign w:val="center"/>
          </w:tcPr>
          <w:p w14:paraId="308630FE" w14:textId="77777777" w:rsidR="00501C66" w:rsidRPr="00762525" w:rsidRDefault="00501C66" w:rsidP="00762525">
            <w:pPr>
              <w:keepNext/>
              <w:keepLines/>
              <w:spacing w:after="0"/>
              <w:ind w:right="176"/>
              <w:jc w:val="right"/>
              <w:rPr>
                <w:rFonts w:ascii="Calibri" w:hAnsi="Calibri" w:cs="Calibri"/>
                <w:b/>
                <w:sz w:val="20"/>
                <w:szCs w:val="20"/>
              </w:rPr>
            </w:pPr>
            <w:r w:rsidRPr="00762525">
              <w:rPr>
                <w:rFonts w:ascii="Calibri" w:hAnsi="Calibri" w:cs="Calibri"/>
                <w:b/>
                <w:sz w:val="20"/>
                <w:szCs w:val="20"/>
              </w:rPr>
              <w:t>1 073 410 408</w:t>
            </w:r>
          </w:p>
        </w:tc>
      </w:tr>
    </w:tbl>
    <w:p w14:paraId="04A50CE5" w14:textId="54AFBDE6" w:rsidR="00851975" w:rsidRPr="00762525" w:rsidRDefault="00851975" w:rsidP="00762525">
      <w:pPr>
        <w:spacing w:before="40"/>
        <w:rPr>
          <w:sz w:val="20"/>
          <w:szCs w:val="20"/>
        </w:rPr>
      </w:pPr>
      <w:r w:rsidRPr="00762525">
        <w:rPr>
          <w:b/>
          <w:sz w:val="20"/>
          <w:szCs w:val="20"/>
        </w:rPr>
        <w:t>Zdroj:</w:t>
      </w:r>
      <w:r w:rsidRPr="00762525">
        <w:rPr>
          <w:sz w:val="20"/>
          <w:szCs w:val="20"/>
        </w:rPr>
        <w:t xml:space="preserve"> </w:t>
      </w:r>
      <w:r w:rsidR="00326C2D">
        <w:rPr>
          <w:sz w:val="20"/>
          <w:szCs w:val="20"/>
        </w:rPr>
        <w:t>vypracoval</w:t>
      </w:r>
      <w:r w:rsidRPr="00762525">
        <w:rPr>
          <w:sz w:val="20"/>
          <w:szCs w:val="20"/>
        </w:rPr>
        <w:t xml:space="preserve"> NKÚ.</w:t>
      </w:r>
    </w:p>
    <w:p w14:paraId="4AEC5ABF" w14:textId="77777777" w:rsidR="00462F78" w:rsidRPr="003D1C56" w:rsidRDefault="00EC4C55" w:rsidP="00762525">
      <w:pPr>
        <w:pStyle w:val="Nadpis1"/>
        <w:spacing w:before="600" w:after="240"/>
        <w:jc w:val="center"/>
      </w:pPr>
      <w:r w:rsidRPr="003D1C56">
        <w:t>III. Rozsah kontroly</w:t>
      </w:r>
    </w:p>
    <w:p w14:paraId="68623C02" w14:textId="77777777" w:rsidR="00922E76" w:rsidRPr="00C97833" w:rsidRDefault="00EC4C55" w:rsidP="00922E76">
      <w:pPr>
        <w:jc w:val="both"/>
        <w:rPr>
          <w:rFonts w:cstheme="minorHAnsi"/>
          <w:lang w:eastAsia="en-US"/>
        </w:rPr>
      </w:pPr>
      <w:r w:rsidRPr="003D1C56">
        <w:rPr>
          <w:rFonts w:cstheme="minorHAnsi"/>
          <w:lang w:eastAsia="en-US"/>
        </w:rPr>
        <w:t xml:space="preserve">Kontrolní akcí </w:t>
      </w:r>
      <w:r w:rsidR="000D6413" w:rsidRPr="003D1C56">
        <w:rPr>
          <w:rFonts w:cstheme="minorHAnsi"/>
          <w:lang w:eastAsia="en-US"/>
        </w:rPr>
        <w:t>č.</w:t>
      </w:r>
      <w:r w:rsidR="008F6A57">
        <w:rPr>
          <w:rFonts w:cstheme="minorHAnsi"/>
          <w:lang w:eastAsia="en-US"/>
        </w:rPr>
        <w:t> </w:t>
      </w:r>
      <w:r w:rsidR="00483954">
        <w:rPr>
          <w:rFonts w:cstheme="minorHAnsi"/>
          <w:lang w:eastAsia="en-US"/>
        </w:rPr>
        <w:t>21/07</w:t>
      </w:r>
      <w:r w:rsidRPr="003D1C56">
        <w:rPr>
          <w:rFonts w:cstheme="minorHAnsi"/>
          <w:lang w:eastAsia="en-US"/>
        </w:rPr>
        <w:t xml:space="preserve"> bylo prověřeno, </w:t>
      </w:r>
      <w:r w:rsidR="008F6A57" w:rsidRPr="008170F1">
        <w:rPr>
          <w:rFonts w:cstheme="minorHAnsi"/>
          <w:lang w:eastAsia="en-US"/>
        </w:rPr>
        <w:t xml:space="preserve">zda </w:t>
      </w:r>
      <w:r w:rsidR="00483954">
        <w:rPr>
          <w:rFonts w:cstheme="minorHAnsi"/>
          <w:lang w:eastAsia="en-US"/>
        </w:rPr>
        <w:t>vybrané organizace v resortu Ministerstva pro místní rozvoj hospodaří s m</w:t>
      </w:r>
      <w:r w:rsidR="00EA62AE">
        <w:rPr>
          <w:rFonts w:cstheme="minorHAnsi"/>
          <w:lang w:eastAsia="en-US"/>
        </w:rPr>
        <w:t>a</w:t>
      </w:r>
      <w:r w:rsidR="00483954">
        <w:rPr>
          <w:rFonts w:cstheme="minorHAnsi"/>
          <w:lang w:eastAsia="en-US"/>
        </w:rPr>
        <w:t>jetkem a peněžními prostředky státu účelně, hospodárně a</w:t>
      </w:r>
      <w:r w:rsidR="00707CD3">
        <w:rPr>
          <w:rFonts w:cstheme="minorHAnsi"/>
          <w:lang w:eastAsia="en-US"/>
        </w:rPr>
        <w:t> </w:t>
      </w:r>
      <w:r w:rsidR="00483954">
        <w:rPr>
          <w:rFonts w:cstheme="minorHAnsi"/>
          <w:lang w:eastAsia="en-US"/>
        </w:rPr>
        <w:t xml:space="preserve">v souladu s právními předpisy. </w:t>
      </w:r>
    </w:p>
    <w:p w14:paraId="1BA504C7" w14:textId="49A2A6AD" w:rsidR="00025780" w:rsidRPr="008265F7" w:rsidRDefault="00F653AA" w:rsidP="00F653AA">
      <w:pPr>
        <w:jc w:val="both"/>
        <w:rPr>
          <w:rFonts w:cstheme="minorHAnsi"/>
          <w:color w:val="000000" w:themeColor="text1"/>
          <w:lang w:eastAsia="en-US"/>
        </w:rPr>
      </w:pPr>
      <w:r w:rsidRPr="008265F7">
        <w:rPr>
          <w:rFonts w:cstheme="minorHAnsi"/>
          <w:color w:val="000000" w:themeColor="text1"/>
          <w:lang w:eastAsia="en-US"/>
        </w:rPr>
        <w:lastRenderedPageBreak/>
        <w:t xml:space="preserve">MMR poskytlo kontrolovaným organizacím v letech 2015 až 2020 celkem 6 394 mil. Kč. Objem majetku a peněžních prostředků skutečně prověřených u Centra </w:t>
      </w:r>
      <w:r w:rsidR="00025780" w:rsidRPr="008265F7">
        <w:rPr>
          <w:rFonts w:cstheme="minorHAnsi"/>
          <w:color w:val="000000" w:themeColor="text1"/>
          <w:lang w:eastAsia="en-US"/>
        </w:rPr>
        <w:t xml:space="preserve">dosáhl hodnoty 465,9 mil. Kč </w:t>
      </w:r>
      <w:r w:rsidRPr="008265F7">
        <w:rPr>
          <w:rFonts w:cstheme="minorHAnsi"/>
          <w:color w:val="000000" w:themeColor="text1"/>
          <w:lang w:eastAsia="en-US"/>
        </w:rPr>
        <w:t>a</w:t>
      </w:r>
      <w:r w:rsidR="00C97833" w:rsidRPr="008265F7">
        <w:rPr>
          <w:rFonts w:cstheme="minorHAnsi"/>
          <w:color w:val="000000" w:themeColor="text1"/>
          <w:lang w:eastAsia="en-US"/>
        </w:rPr>
        <w:t xml:space="preserve"> u</w:t>
      </w:r>
      <w:r w:rsidR="00EB2EFE">
        <w:rPr>
          <w:rFonts w:cstheme="minorHAnsi"/>
          <w:color w:val="000000" w:themeColor="text1"/>
          <w:lang w:eastAsia="en-US"/>
        </w:rPr>
        <w:t> agentury</w:t>
      </w:r>
      <w:r w:rsidRPr="008265F7">
        <w:rPr>
          <w:rFonts w:cstheme="minorHAnsi"/>
          <w:color w:val="000000" w:themeColor="text1"/>
          <w:lang w:eastAsia="en-US"/>
        </w:rPr>
        <w:t xml:space="preserve"> </w:t>
      </w:r>
      <w:proofErr w:type="spellStart"/>
      <w:r w:rsidRPr="008265F7">
        <w:rPr>
          <w:rFonts w:cstheme="minorHAnsi"/>
          <w:color w:val="000000" w:themeColor="text1"/>
          <w:lang w:eastAsia="en-US"/>
        </w:rPr>
        <w:t>CzechTourism</w:t>
      </w:r>
      <w:proofErr w:type="spellEnd"/>
      <w:r w:rsidRPr="008265F7">
        <w:rPr>
          <w:rFonts w:cstheme="minorHAnsi"/>
          <w:color w:val="000000" w:themeColor="text1"/>
          <w:lang w:eastAsia="en-US"/>
        </w:rPr>
        <w:t xml:space="preserve"> hodnoty </w:t>
      </w:r>
      <w:r w:rsidR="006129D8" w:rsidRPr="008265F7">
        <w:rPr>
          <w:rFonts w:cstheme="minorHAnsi"/>
          <w:color w:val="000000" w:themeColor="text1"/>
          <w:lang w:eastAsia="en-US"/>
        </w:rPr>
        <w:t xml:space="preserve">347,6 </w:t>
      </w:r>
      <w:r w:rsidRPr="008265F7">
        <w:rPr>
          <w:rFonts w:cstheme="minorHAnsi"/>
          <w:color w:val="000000" w:themeColor="text1"/>
          <w:lang w:eastAsia="en-US"/>
        </w:rPr>
        <w:t xml:space="preserve">mil. Kč. U Horské služby NKÚ zkontroloval dotační prostředky poskytnuté z rozpočtu MMR ve výši 1 073 mil. Kč. </w:t>
      </w:r>
      <w:r w:rsidR="00321880" w:rsidRPr="008265F7">
        <w:rPr>
          <w:rFonts w:cstheme="minorHAnsi"/>
          <w:color w:val="000000" w:themeColor="text1"/>
          <w:lang w:eastAsia="en-US"/>
        </w:rPr>
        <w:t xml:space="preserve">Při kontrole </w:t>
      </w:r>
      <w:r w:rsidR="006241CF" w:rsidRPr="008265F7">
        <w:rPr>
          <w:rFonts w:cstheme="minorHAnsi"/>
          <w:color w:val="000000" w:themeColor="text1"/>
          <w:lang w:eastAsia="en-US"/>
        </w:rPr>
        <w:t xml:space="preserve">NKÚ </w:t>
      </w:r>
      <w:r w:rsidR="00321880" w:rsidRPr="008265F7">
        <w:rPr>
          <w:rFonts w:cstheme="minorHAnsi"/>
          <w:color w:val="000000" w:themeColor="text1"/>
          <w:lang w:eastAsia="en-US"/>
        </w:rPr>
        <w:t xml:space="preserve">u vybraných organizací </w:t>
      </w:r>
      <w:r w:rsidR="006241CF" w:rsidRPr="008265F7">
        <w:rPr>
          <w:rFonts w:cstheme="minorHAnsi"/>
          <w:color w:val="000000" w:themeColor="text1"/>
          <w:lang w:eastAsia="en-US"/>
        </w:rPr>
        <w:t xml:space="preserve">ověřil 88 veřejných zakázek v celkovém objemu 313 mil. Kč. </w:t>
      </w:r>
    </w:p>
    <w:p w14:paraId="24B4F6EC" w14:textId="77777777" w:rsidR="000D3BEC" w:rsidRDefault="000D3BEC" w:rsidP="0000161E">
      <w:pPr>
        <w:jc w:val="both"/>
      </w:pPr>
      <w:r>
        <w:rPr>
          <w:rFonts w:cs="Calibri"/>
        </w:rPr>
        <w:t xml:space="preserve">NKÚ </w:t>
      </w:r>
      <w:r w:rsidR="00321880">
        <w:rPr>
          <w:rFonts w:cs="Calibri"/>
        </w:rPr>
        <w:t>pr</w:t>
      </w:r>
      <w:r>
        <w:rPr>
          <w:rFonts w:cs="Calibri"/>
        </w:rPr>
        <w:t>ověřoval</w:t>
      </w:r>
      <w:r w:rsidRPr="00E73C72">
        <w:rPr>
          <w:rFonts w:cs="Calibri"/>
        </w:rPr>
        <w:t>, zda MMR jako správce kapitoly a zřizovatel</w:t>
      </w:r>
      <w:r>
        <w:rPr>
          <w:rFonts w:cs="Calibri"/>
        </w:rPr>
        <w:t xml:space="preserve"> státních příspěvkových organizací (a zakladatel</w:t>
      </w:r>
      <w:r w:rsidRPr="00E73C72">
        <w:rPr>
          <w:rFonts w:cs="Calibri"/>
        </w:rPr>
        <w:t xml:space="preserve"> </w:t>
      </w:r>
      <w:r>
        <w:rPr>
          <w:rFonts w:cs="Calibri"/>
        </w:rPr>
        <w:t xml:space="preserve">Horské služby) </w:t>
      </w:r>
      <w:r w:rsidRPr="00E73C72">
        <w:rPr>
          <w:rFonts w:cs="Calibri"/>
        </w:rPr>
        <w:t xml:space="preserve">postupovalo při řízení a kontrole </w:t>
      </w:r>
      <w:r w:rsidR="00936370">
        <w:rPr>
          <w:rFonts w:cs="Calibri"/>
        </w:rPr>
        <w:t xml:space="preserve">hospodaření </w:t>
      </w:r>
      <w:r w:rsidRPr="00E73C72">
        <w:rPr>
          <w:rFonts w:cs="Calibri"/>
        </w:rPr>
        <w:t xml:space="preserve">vybraných organizací v resortu </w:t>
      </w:r>
      <w:r>
        <w:rPr>
          <w:rFonts w:cs="Calibri"/>
        </w:rPr>
        <w:t>ministerstva</w:t>
      </w:r>
      <w:r w:rsidRPr="00E73C72">
        <w:rPr>
          <w:rFonts w:cs="Calibri"/>
        </w:rPr>
        <w:t xml:space="preserve"> v souladu s právními předpisy</w:t>
      </w:r>
      <w:r w:rsidR="00C97833">
        <w:rPr>
          <w:rFonts w:cs="Calibri"/>
        </w:rPr>
        <w:t>.</w:t>
      </w:r>
    </w:p>
    <w:p w14:paraId="4D719127" w14:textId="77777777" w:rsidR="00264429" w:rsidRDefault="00D9053F" w:rsidP="0000161E">
      <w:pPr>
        <w:jc w:val="both"/>
        <w:rPr>
          <w:rFonts w:cs="Calibri"/>
        </w:rPr>
      </w:pPr>
      <w:r>
        <w:t xml:space="preserve">Dále </w:t>
      </w:r>
      <w:r w:rsidR="00A84BDE">
        <w:t xml:space="preserve">NKÚ posuzoval, </w:t>
      </w:r>
      <w:r w:rsidR="00922E76" w:rsidRPr="00DB6763">
        <w:rPr>
          <w:rFonts w:cs="Calibri"/>
        </w:rPr>
        <w:t xml:space="preserve">zda </w:t>
      </w:r>
      <w:r w:rsidR="00922E76">
        <w:rPr>
          <w:rFonts w:cs="Calibri"/>
        </w:rPr>
        <w:t>MMR</w:t>
      </w:r>
      <w:r w:rsidR="004C0186">
        <w:rPr>
          <w:rFonts w:cs="Calibri"/>
        </w:rPr>
        <w:t xml:space="preserve"> nastavilo postupy, kterými </w:t>
      </w:r>
      <w:r w:rsidR="00CC49FF">
        <w:rPr>
          <w:rFonts w:cs="Calibri"/>
        </w:rPr>
        <w:t xml:space="preserve">by </w:t>
      </w:r>
      <w:r w:rsidR="00922E76" w:rsidRPr="00DB6763">
        <w:rPr>
          <w:rFonts w:cs="Calibri"/>
        </w:rPr>
        <w:t>sledovalo a vyhodnocovalo</w:t>
      </w:r>
      <w:r w:rsidR="004C0186">
        <w:rPr>
          <w:rFonts w:cs="Calibri"/>
        </w:rPr>
        <w:t xml:space="preserve"> hospodárnost a účelnost </w:t>
      </w:r>
      <w:r w:rsidR="00923A93">
        <w:rPr>
          <w:rFonts w:cs="Calibri"/>
        </w:rPr>
        <w:t>výdajů</w:t>
      </w:r>
      <w:r w:rsidR="004C0186">
        <w:rPr>
          <w:rFonts w:cs="Calibri"/>
        </w:rPr>
        <w:t xml:space="preserve"> </w:t>
      </w:r>
      <w:r w:rsidR="00923A93">
        <w:rPr>
          <w:rFonts w:cs="Calibri"/>
        </w:rPr>
        <w:t xml:space="preserve">svých </w:t>
      </w:r>
      <w:r w:rsidR="004C0186">
        <w:rPr>
          <w:rFonts w:cs="Calibri"/>
        </w:rPr>
        <w:t>podřízený</w:t>
      </w:r>
      <w:r w:rsidR="00923A93">
        <w:rPr>
          <w:rFonts w:cs="Calibri"/>
        </w:rPr>
        <w:t>ch</w:t>
      </w:r>
      <w:r w:rsidR="004C0186">
        <w:rPr>
          <w:rFonts w:cs="Calibri"/>
        </w:rPr>
        <w:t xml:space="preserve"> organizací. </w:t>
      </w:r>
    </w:p>
    <w:p w14:paraId="18DA61B5" w14:textId="77777777" w:rsidR="007F277B" w:rsidRPr="00264429" w:rsidRDefault="00A950EE" w:rsidP="00264429">
      <w:pPr>
        <w:jc w:val="both"/>
        <w:rPr>
          <w:rFonts w:cstheme="minorHAnsi"/>
          <w:lang w:eastAsia="en-US"/>
        </w:rPr>
      </w:pPr>
      <w:r>
        <w:rPr>
          <w:rFonts w:cstheme="minorHAnsi"/>
          <w:lang w:eastAsia="en-US"/>
        </w:rPr>
        <w:t xml:space="preserve">U </w:t>
      </w:r>
      <w:r w:rsidR="007F277B">
        <w:rPr>
          <w:rFonts w:cstheme="minorHAnsi"/>
          <w:lang w:eastAsia="en-US"/>
        </w:rPr>
        <w:t xml:space="preserve">vybraných organizací </w:t>
      </w:r>
      <w:r>
        <w:rPr>
          <w:rFonts w:cstheme="minorHAnsi"/>
          <w:lang w:eastAsia="en-US"/>
        </w:rPr>
        <w:t xml:space="preserve">NKÚ </w:t>
      </w:r>
      <w:r w:rsidR="007F277B">
        <w:rPr>
          <w:rFonts w:cstheme="minorHAnsi"/>
          <w:lang w:eastAsia="en-US"/>
        </w:rPr>
        <w:t>posuzoval hospodárnost, tj. zda</w:t>
      </w:r>
      <w:r>
        <w:rPr>
          <w:rFonts w:cstheme="minorHAnsi"/>
          <w:lang w:eastAsia="en-US"/>
        </w:rPr>
        <w:t xml:space="preserve"> tyto organizace</w:t>
      </w:r>
      <w:r w:rsidR="007F277B">
        <w:rPr>
          <w:rFonts w:cstheme="minorHAnsi"/>
          <w:lang w:eastAsia="en-US"/>
        </w:rPr>
        <w:t xml:space="preserve"> použily veřejné prostředky k zajištění stanovených úkolů s co nejnižším vynaložením těchto </w:t>
      </w:r>
      <w:proofErr w:type="spellStart"/>
      <w:r w:rsidR="007F277B">
        <w:rPr>
          <w:rFonts w:cstheme="minorHAnsi"/>
          <w:lang w:eastAsia="en-US"/>
        </w:rPr>
        <w:t>prostředů</w:t>
      </w:r>
      <w:proofErr w:type="spellEnd"/>
      <w:r w:rsidR="007F277B">
        <w:rPr>
          <w:rFonts w:cstheme="minorHAnsi"/>
          <w:lang w:eastAsia="en-US"/>
        </w:rPr>
        <w:t xml:space="preserve">. Při posouzení účelnosti NKÚ hodnotil, zda byla dosažena optimální míra dosažení cílů při plnění stanovených úkolů.  </w:t>
      </w:r>
    </w:p>
    <w:p w14:paraId="0CE31CBF" w14:textId="77777777" w:rsidR="00487B6C" w:rsidRPr="003D1C56" w:rsidRDefault="00EC4C55" w:rsidP="008265F7">
      <w:pPr>
        <w:pStyle w:val="Zkladntextodsazen"/>
        <w:spacing w:after="0"/>
        <w:ind w:left="0"/>
        <w:jc w:val="both"/>
        <w:rPr>
          <w:rFonts w:ascii="Calibri" w:hAnsi="Calibri" w:cs="Calibri"/>
        </w:rPr>
      </w:pPr>
      <w:r w:rsidRPr="008F6A57">
        <w:rPr>
          <w:rFonts w:ascii="Calibri" w:hAnsi="Calibri" w:cs="Calibri"/>
        </w:rPr>
        <w:t>Kontrolováno bylo období od roku 20</w:t>
      </w:r>
      <w:r w:rsidR="008F6A57" w:rsidRPr="008F6A57">
        <w:rPr>
          <w:rFonts w:ascii="Calibri" w:hAnsi="Calibri" w:cs="Calibri"/>
        </w:rPr>
        <w:t>1</w:t>
      </w:r>
      <w:r w:rsidR="00483954">
        <w:rPr>
          <w:rFonts w:ascii="Calibri" w:hAnsi="Calibri" w:cs="Calibri"/>
        </w:rPr>
        <w:t>5</w:t>
      </w:r>
      <w:r w:rsidRPr="008F6A57">
        <w:rPr>
          <w:rFonts w:ascii="Calibri" w:hAnsi="Calibri" w:cs="Calibri"/>
        </w:rPr>
        <w:t xml:space="preserve"> do roku 20</w:t>
      </w:r>
      <w:r w:rsidR="00483954">
        <w:rPr>
          <w:rFonts w:ascii="Calibri" w:hAnsi="Calibri" w:cs="Calibri"/>
        </w:rPr>
        <w:t>20</w:t>
      </w:r>
      <w:r w:rsidRPr="008F6A57">
        <w:rPr>
          <w:rFonts w:ascii="Calibri" w:hAnsi="Calibri" w:cs="Calibri"/>
        </w:rPr>
        <w:t xml:space="preserve">, v případě věcných souvislostí i období předcházející a následující. </w:t>
      </w:r>
    </w:p>
    <w:p w14:paraId="7FD28381" w14:textId="77777777" w:rsidR="00487B6C" w:rsidRPr="003D1C56" w:rsidRDefault="00EC4C55" w:rsidP="008265F7">
      <w:pPr>
        <w:spacing w:before="240" w:after="0"/>
        <w:jc w:val="both"/>
      </w:pPr>
      <w:r w:rsidRPr="003D1C56">
        <w:t>Nejvyšší kontrolní úřad prověřil:</w:t>
      </w:r>
    </w:p>
    <w:p w14:paraId="4A0BEDF0" w14:textId="7FE113B6" w:rsidR="00487B6C" w:rsidRDefault="004C0186" w:rsidP="008265F7">
      <w:pPr>
        <w:pStyle w:val="Odstavecseseznamem"/>
        <w:numPr>
          <w:ilvl w:val="0"/>
          <w:numId w:val="1"/>
        </w:numPr>
        <w:spacing w:after="0"/>
        <w:jc w:val="both"/>
      </w:pPr>
      <w:r>
        <w:t xml:space="preserve">nastavení systému řízení a kontroly </w:t>
      </w:r>
      <w:r w:rsidR="00D9053F">
        <w:t>M</w:t>
      </w:r>
      <w:r>
        <w:t>inisterstv</w:t>
      </w:r>
      <w:r w:rsidR="00FB7561">
        <w:t>a</w:t>
      </w:r>
      <w:r>
        <w:t xml:space="preserve"> pro místní rozvoj </w:t>
      </w:r>
      <w:r w:rsidR="00BF6398">
        <w:t xml:space="preserve">prováděné u vybraných </w:t>
      </w:r>
      <w:r>
        <w:t>organizací</w:t>
      </w:r>
      <w:r w:rsidR="00471AE2">
        <w:t xml:space="preserve">, </w:t>
      </w:r>
      <w:r>
        <w:t xml:space="preserve"> </w:t>
      </w:r>
    </w:p>
    <w:p w14:paraId="46B3F69D" w14:textId="77777777" w:rsidR="003A0808" w:rsidRDefault="003A0808" w:rsidP="008265F7">
      <w:pPr>
        <w:pStyle w:val="Odstavecseseznamem"/>
        <w:numPr>
          <w:ilvl w:val="0"/>
          <w:numId w:val="1"/>
        </w:numPr>
        <w:spacing w:after="0"/>
        <w:jc w:val="both"/>
      </w:pPr>
      <w:r>
        <w:t>hospodaření s peněžními prostředky poskytnutými ze státního rozpočtu z rozpočtové kapitoly MMR jako provozní a investiční dotace Horsk</w:t>
      </w:r>
      <w:r w:rsidR="00935780">
        <w:t>é</w:t>
      </w:r>
      <w:r>
        <w:t xml:space="preserve"> služb</w:t>
      </w:r>
      <w:r w:rsidR="00935780">
        <w:t>ě</w:t>
      </w:r>
      <w:r w:rsidR="00707CD3">
        <w:t>,</w:t>
      </w:r>
    </w:p>
    <w:p w14:paraId="0108CA7E" w14:textId="78BE22C0" w:rsidR="00FB7561" w:rsidRDefault="003A0808" w:rsidP="008265F7">
      <w:pPr>
        <w:pStyle w:val="Odstavecseseznamem"/>
        <w:numPr>
          <w:ilvl w:val="0"/>
          <w:numId w:val="1"/>
        </w:numPr>
        <w:spacing w:after="0"/>
        <w:jc w:val="both"/>
        <w:rPr>
          <w:rFonts w:cstheme="minorHAnsi"/>
        </w:rPr>
      </w:pPr>
      <w:r>
        <w:rPr>
          <w:rFonts w:cstheme="minorHAnsi"/>
        </w:rPr>
        <w:t xml:space="preserve">hospodaření s majetkem </w:t>
      </w:r>
      <w:r w:rsidR="00BC3799">
        <w:rPr>
          <w:rFonts w:cstheme="minorHAnsi"/>
        </w:rPr>
        <w:t xml:space="preserve">a </w:t>
      </w:r>
      <w:r w:rsidR="0084236D">
        <w:rPr>
          <w:rFonts w:cstheme="minorHAnsi"/>
        </w:rPr>
        <w:t xml:space="preserve">výdaje </w:t>
      </w:r>
      <w:r>
        <w:rPr>
          <w:rFonts w:cstheme="minorHAnsi"/>
        </w:rPr>
        <w:t>vynaložené</w:t>
      </w:r>
      <w:r w:rsidR="0006474B">
        <w:rPr>
          <w:rFonts w:cstheme="minorHAnsi"/>
        </w:rPr>
        <w:t xml:space="preserve"> </w:t>
      </w:r>
      <w:proofErr w:type="spellStart"/>
      <w:r w:rsidR="0006474B">
        <w:rPr>
          <w:rFonts w:cstheme="minorHAnsi"/>
        </w:rPr>
        <w:t>příspěvkou</w:t>
      </w:r>
      <w:proofErr w:type="spellEnd"/>
      <w:r w:rsidR="0006474B">
        <w:rPr>
          <w:rFonts w:cstheme="minorHAnsi"/>
        </w:rPr>
        <w:t xml:space="preserve"> organizací</w:t>
      </w:r>
      <w:r>
        <w:rPr>
          <w:rFonts w:cstheme="minorHAnsi"/>
        </w:rPr>
        <w:t xml:space="preserve"> </w:t>
      </w:r>
      <w:proofErr w:type="spellStart"/>
      <w:r>
        <w:rPr>
          <w:rFonts w:cstheme="minorHAnsi"/>
        </w:rPr>
        <w:t>CzechTourism</w:t>
      </w:r>
      <w:proofErr w:type="spellEnd"/>
      <w:r w:rsidR="003E0DAA">
        <w:rPr>
          <w:rFonts w:cstheme="minorHAnsi"/>
        </w:rPr>
        <w:t>, které byly s</w:t>
      </w:r>
      <w:r>
        <w:rPr>
          <w:rFonts w:cstheme="minorHAnsi"/>
        </w:rPr>
        <w:t>pojen</w:t>
      </w:r>
      <w:r w:rsidR="00D14DF2">
        <w:rPr>
          <w:rFonts w:cstheme="minorHAnsi"/>
        </w:rPr>
        <w:t>y</w:t>
      </w:r>
      <w:r>
        <w:rPr>
          <w:rFonts w:cstheme="minorHAnsi"/>
        </w:rPr>
        <w:t xml:space="preserve"> s propagací České republiky</w:t>
      </w:r>
      <w:r w:rsidR="007F0466">
        <w:rPr>
          <w:rFonts w:cstheme="minorHAnsi"/>
        </w:rPr>
        <w:t xml:space="preserve">. V tomto ohledu byla ověřena i potřebnost vybraných propagačních aktivit, zejména jejich </w:t>
      </w:r>
      <w:r w:rsidR="0084236D">
        <w:rPr>
          <w:rFonts w:cstheme="minorHAnsi"/>
        </w:rPr>
        <w:t>pořízení</w:t>
      </w:r>
      <w:r w:rsidR="007F0466">
        <w:rPr>
          <w:rFonts w:cstheme="minorHAnsi"/>
        </w:rPr>
        <w:t xml:space="preserve">, náklady na odměňování zaměstnanců, využívání majetku a ověřování výstupů a jejich dopadů. Další část kontroly byla zaměřena na kontrolu majetku, který </w:t>
      </w:r>
      <w:proofErr w:type="spellStart"/>
      <w:r w:rsidR="007F0466">
        <w:rPr>
          <w:rFonts w:cstheme="minorHAnsi"/>
        </w:rPr>
        <w:t>CzechTourism</w:t>
      </w:r>
      <w:proofErr w:type="spellEnd"/>
      <w:r w:rsidR="007F0466">
        <w:rPr>
          <w:rFonts w:cstheme="minorHAnsi"/>
        </w:rPr>
        <w:t xml:space="preserve"> ke své činnosti využívá</w:t>
      </w:r>
      <w:r w:rsidR="00707CD3">
        <w:rPr>
          <w:rFonts w:cstheme="minorHAnsi"/>
        </w:rPr>
        <w:t>,</w:t>
      </w:r>
      <w:r w:rsidR="007F0466">
        <w:rPr>
          <w:rFonts w:cstheme="minorHAnsi"/>
        </w:rPr>
        <w:t xml:space="preserve"> </w:t>
      </w:r>
    </w:p>
    <w:p w14:paraId="494CF500" w14:textId="77777777" w:rsidR="00FB7561" w:rsidRPr="00FB7561" w:rsidRDefault="007F0466" w:rsidP="00FB7561">
      <w:pPr>
        <w:pStyle w:val="Odstavecseseznamem"/>
        <w:numPr>
          <w:ilvl w:val="0"/>
          <w:numId w:val="1"/>
        </w:numPr>
        <w:jc w:val="both"/>
        <w:rPr>
          <w:rFonts w:cstheme="minorHAnsi"/>
        </w:rPr>
      </w:pPr>
      <w:r w:rsidRPr="00FB7561">
        <w:rPr>
          <w:rFonts w:eastAsiaTheme="minorHAnsi" w:cstheme="minorHAnsi"/>
        </w:rPr>
        <w:t xml:space="preserve">hospodaření s majetkem a peněžními prostředky Centra poskytnutými z rozpočtu kapitoly MMR. </w:t>
      </w:r>
      <w:r w:rsidR="00B524F1" w:rsidRPr="00FB7561">
        <w:rPr>
          <w:rFonts w:eastAsiaTheme="minorHAnsi" w:cstheme="minorHAnsi"/>
        </w:rPr>
        <w:t>NKÚ ověřil i využití majetku na jednotlivých pobočkách Centra</w:t>
      </w:r>
      <w:r w:rsidR="00A04A38" w:rsidRPr="00FB7561">
        <w:rPr>
          <w:rFonts w:eastAsiaTheme="minorHAnsi" w:cstheme="minorHAnsi"/>
        </w:rPr>
        <w:t xml:space="preserve"> v porovnání s výkony a skutečnými potřebami při administraci IROP.</w:t>
      </w:r>
    </w:p>
    <w:p w14:paraId="285FE7CE" w14:textId="0369B545" w:rsidR="00EC4C55" w:rsidRDefault="00EC4C55" w:rsidP="008265F7">
      <w:pPr>
        <w:spacing w:before="360"/>
        <w:ind w:left="567" w:hanging="567"/>
        <w:jc w:val="both"/>
        <w:rPr>
          <w:sz w:val="20"/>
          <w:szCs w:val="20"/>
        </w:rPr>
      </w:pPr>
      <w:r w:rsidRPr="00F12021">
        <w:rPr>
          <w:b/>
          <w:sz w:val="20"/>
          <w:szCs w:val="20"/>
        </w:rPr>
        <w:t>Pozn</w:t>
      </w:r>
      <w:r w:rsidR="00D576E8">
        <w:rPr>
          <w:b/>
          <w:sz w:val="20"/>
          <w:szCs w:val="20"/>
        </w:rPr>
        <w:t>.</w:t>
      </w:r>
      <w:r w:rsidRPr="00F12021">
        <w:rPr>
          <w:b/>
          <w:sz w:val="20"/>
          <w:szCs w:val="20"/>
        </w:rPr>
        <w:t>:</w:t>
      </w:r>
      <w:r w:rsidRPr="00F12021">
        <w:rPr>
          <w:sz w:val="20"/>
          <w:szCs w:val="20"/>
        </w:rPr>
        <w:t xml:space="preserve"> Právní předpisy uvedené v tomto kontrolním závěru jsou aplikovány ve znění účinném pro kontrolované období.</w:t>
      </w:r>
    </w:p>
    <w:p w14:paraId="024C90DF" w14:textId="77777777" w:rsidR="00264646" w:rsidRPr="003D1C56" w:rsidRDefault="00EC4C55" w:rsidP="008265F7">
      <w:pPr>
        <w:pStyle w:val="Nadpis1"/>
        <w:keepLines w:val="0"/>
        <w:spacing w:before="600" w:after="240"/>
        <w:jc w:val="center"/>
      </w:pPr>
      <w:r w:rsidRPr="003D1C56">
        <w:t>IV. Podrobn</w:t>
      </w:r>
      <w:r w:rsidR="00F82FB5" w:rsidRPr="003D1C56">
        <w:t>osti</w:t>
      </w:r>
      <w:r w:rsidRPr="003D1C56">
        <w:t xml:space="preserve"> </w:t>
      </w:r>
      <w:r w:rsidR="00F82FB5" w:rsidRPr="003D1C56">
        <w:t xml:space="preserve">ke zjištěným </w:t>
      </w:r>
      <w:r w:rsidRPr="003D1C56">
        <w:t>skutečnost</w:t>
      </w:r>
      <w:r w:rsidR="00F82FB5" w:rsidRPr="003D1C56">
        <w:t>em</w:t>
      </w:r>
    </w:p>
    <w:p w14:paraId="4E5E75FB" w14:textId="77777777" w:rsidR="00A13694" w:rsidRDefault="00366F9F" w:rsidP="008265F7">
      <w:pPr>
        <w:pStyle w:val="Nadpis2"/>
        <w:numPr>
          <w:ilvl w:val="0"/>
          <w:numId w:val="3"/>
        </w:numPr>
        <w:ind w:left="426" w:hanging="426"/>
        <w:jc w:val="both"/>
      </w:pPr>
      <w:r>
        <w:t>Proces řízení</w:t>
      </w:r>
    </w:p>
    <w:p w14:paraId="18E0F628" w14:textId="095BB7EA" w:rsidR="00D92E3D" w:rsidRPr="003B0804" w:rsidRDefault="003B0804" w:rsidP="003B0804">
      <w:pPr>
        <w:autoSpaceDE w:val="0"/>
        <w:autoSpaceDN w:val="0"/>
        <w:adjustRightInd w:val="0"/>
        <w:ind w:left="426" w:hanging="426"/>
        <w:jc w:val="both"/>
        <w:rPr>
          <w:color w:val="000000" w:themeColor="text1"/>
        </w:rPr>
      </w:pPr>
      <w:r>
        <w:rPr>
          <w:color w:val="000000" w:themeColor="text1"/>
        </w:rPr>
        <w:t>1.1</w:t>
      </w:r>
      <w:r>
        <w:rPr>
          <w:color w:val="000000" w:themeColor="text1"/>
        </w:rPr>
        <w:tab/>
      </w:r>
      <w:r w:rsidR="00A612D6" w:rsidRPr="003B0804">
        <w:rPr>
          <w:color w:val="000000" w:themeColor="text1"/>
        </w:rPr>
        <w:t xml:space="preserve">Každá z kontrolovaných organizací byla řízena a kontrolována jiným </w:t>
      </w:r>
      <w:r w:rsidR="00A355DE" w:rsidRPr="003B0804">
        <w:rPr>
          <w:color w:val="000000" w:themeColor="text1"/>
        </w:rPr>
        <w:t xml:space="preserve">odborem MMR. </w:t>
      </w:r>
      <w:r w:rsidR="009D0B25" w:rsidRPr="003B0804">
        <w:rPr>
          <w:rFonts w:ascii="Calibri" w:hAnsi="Calibri" w:cs="Calibri"/>
          <w:color w:val="000000" w:themeColor="text1"/>
        </w:rPr>
        <w:t>Přístup jednotlivých odborů</w:t>
      </w:r>
      <w:r w:rsidR="00CC09C8" w:rsidRPr="003B0804">
        <w:rPr>
          <w:rFonts w:ascii="Calibri" w:hAnsi="Calibri" w:cs="Calibri"/>
          <w:color w:val="000000" w:themeColor="text1"/>
        </w:rPr>
        <w:t xml:space="preserve"> ministerstva</w:t>
      </w:r>
      <w:r w:rsidR="009D0B25" w:rsidRPr="003B0804">
        <w:rPr>
          <w:rFonts w:ascii="Calibri" w:hAnsi="Calibri" w:cs="Calibri"/>
          <w:color w:val="000000" w:themeColor="text1"/>
        </w:rPr>
        <w:t xml:space="preserve"> </w:t>
      </w:r>
      <w:r w:rsidR="00BF6398" w:rsidRPr="003B0804">
        <w:rPr>
          <w:rFonts w:ascii="Calibri" w:hAnsi="Calibri" w:cs="Calibri"/>
          <w:color w:val="000000" w:themeColor="text1"/>
        </w:rPr>
        <w:t>se lišil podle povahy</w:t>
      </w:r>
      <w:r w:rsidR="00923A93" w:rsidRPr="003B0804">
        <w:rPr>
          <w:rFonts w:ascii="Calibri" w:hAnsi="Calibri" w:cs="Calibri"/>
          <w:color w:val="000000" w:themeColor="text1"/>
        </w:rPr>
        <w:t xml:space="preserve"> činnosti a úkolů</w:t>
      </w:r>
      <w:r w:rsidR="009D0B25" w:rsidRPr="003B0804">
        <w:rPr>
          <w:rFonts w:ascii="Calibri" w:hAnsi="Calibri" w:cs="Calibri"/>
          <w:color w:val="000000" w:themeColor="text1"/>
        </w:rPr>
        <w:t xml:space="preserve"> dané organizace. </w:t>
      </w:r>
      <w:r w:rsidR="00BF6398" w:rsidRPr="003B0804">
        <w:rPr>
          <w:rFonts w:ascii="Calibri" w:hAnsi="Calibri" w:cs="Calibri"/>
          <w:color w:val="000000" w:themeColor="text1"/>
        </w:rPr>
        <w:t xml:space="preserve">Odlišnost </w:t>
      </w:r>
      <w:r w:rsidR="001915B2" w:rsidRPr="003B0804">
        <w:rPr>
          <w:rFonts w:ascii="Calibri" w:hAnsi="Calibri" w:cs="Calibri"/>
          <w:color w:val="000000" w:themeColor="text1"/>
        </w:rPr>
        <w:t>byla</w:t>
      </w:r>
      <w:r w:rsidR="00BF6398" w:rsidRPr="003B0804">
        <w:rPr>
          <w:rFonts w:ascii="Calibri" w:hAnsi="Calibri" w:cs="Calibri"/>
          <w:color w:val="000000" w:themeColor="text1"/>
        </w:rPr>
        <w:t xml:space="preserve"> také dána jiným právním postavením Horské služby, </w:t>
      </w:r>
      <w:r w:rsidR="00923A93" w:rsidRPr="003B0804">
        <w:rPr>
          <w:rFonts w:ascii="Calibri" w:hAnsi="Calibri" w:cs="Calibri"/>
          <w:color w:val="000000" w:themeColor="text1"/>
        </w:rPr>
        <w:t xml:space="preserve">která je </w:t>
      </w:r>
      <w:r w:rsidR="00BF6398" w:rsidRPr="003B0804">
        <w:rPr>
          <w:rFonts w:ascii="Calibri" w:hAnsi="Calibri" w:cs="Calibri"/>
          <w:color w:val="000000" w:themeColor="text1"/>
        </w:rPr>
        <w:t>obecně prospěšnou společnost</w:t>
      </w:r>
      <w:r w:rsidR="00923A93" w:rsidRPr="003B0804">
        <w:rPr>
          <w:rFonts w:ascii="Calibri" w:hAnsi="Calibri" w:cs="Calibri"/>
          <w:color w:val="000000" w:themeColor="text1"/>
        </w:rPr>
        <w:t xml:space="preserve">í </w:t>
      </w:r>
      <w:r w:rsidR="003406B1" w:rsidRPr="003B0804">
        <w:rPr>
          <w:rFonts w:ascii="Calibri" w:hAnsi="Calibri" w:cs="Calibri"/>
          <w:color w:val="000000" w:themeColor="text1"/>
        </w:rPr>
        <w:t>a</w:t>
      </w:r>
      <w:r w:rsidR="00BF6398" w:rsidRPr="003B0804">
        <w:rPr>
          <w:rFonts w:ascii="Calibri" w:hAnsi="Calibri" w:cs="Calibri"/>
          <w:color w:val="000000" w:themeColor="text1"/>
        </w:rPr>
        <w:t xml:space="preserve"> </w:t>
      </w:r>
      <w:r w:rsidR="001915B2" w:rsidRPr="003B0804">
        <w:rPr>
          <w:rFonts w:ascii="Calibri" w:hAnsi="Calibri" w:cs="Calibri"/>
          <w:color w:val="000000" w:themeColor="text1"/>
        </w:rPr>
        <w:t>které</w:t>
      </w:r>
      <w:r w:rsidR="00BF6398" w:rsidRPr="003B0804">
        <w:rPr>
          <w:rFonts w:ascii="Calibri" w:hAnsi="Calibri" w:cs="Calibri"/>
          <w:color w:val="000000" w:themeColor="text1"/>
        </w:rPr>
        <w:t xml:space="preserve"> </w:t>
      </w:r>
      <w:r w:rsidR="00BE7A5D" w:rsidRPr="003B0804">
        <w:rPr>
          <w:rFonts w:ascii="Calibri" w:hAnsi="Calibri" w:cs="Calibri"/>
          <w:color w:val="000000" w:themeColor="text1"/>
        </w:rPr>
        <w:t xml:space="preserve">MMR </w:t>
      </w:r>
      <w:r w:rsidR="003406B1" w:rsidRPr="003B0804">
        <w:rPr>
          <w:rFonts w:ascii="Calibri" w:hAnsi="Calibri" w:cs="Calibri"/>
          <w:color w:val="000000" w:themeColor="text1"/>
        </w:rPr>
        <w:t>poskytovalo provozní a investiční dotace</w:t>
      </w:r>
      <w:r w:rsidR="003406B1" w:rsidRPr="00ED0CF2">
        <w:rPr>
          <w:rStyle w:val="Znakapoznpodarou"/>
          <w:rFonts w:ascii="Calibri" w:hAnsi="Calibri" w:cs="Calibri"/>
          <w:color w:val="000000" w:themeColor="text1"/>
        </w:rPr>
        <w:footnoteReference w:id="20"/>
      </w:r>
      <w:r w:rsidR="003406B1" w:rsidRPr="003B0804">
        <w:rPr>
          <w:rFonts w:ascii="Calibri" w:hAnsi="Calibri" w:cs="Calibri"/>
          <w:color w:val="000000" w:themeColor="text1"/>
        </w:rPr>
        <w:t xml:space="preserve">. </w:t>
      </w:r>
    </w:p>
    <w:p w14:paraId="09500A17" w14:textId="77777777" w:rsidR="00E20E9A" w:rsidRPr="00D92E3D" w:rsidRDefault="00787E9C" w:rsidP="008265F7">
      <w:pPr>
        <w:autoSpaceDE w:val="0"/>
        <w:autoSpaceDN w:val="0"/>
        <w:adjustRightInd w:val="0"/>
        <w:ind w:left="426"/>
        <w:jc w:val="both"/>
        <w:rPr>
          <w:color w:val="000000" w:themeColor="text1"/>
        </w:rPr>
      </w:pPr>
      <w:r>
        <w:rPr>
          <w:color w:val="000000" w:themeColor="text1"/>
        </w:rPr>
        <w:lastRenderedPageBreak/>
        <w:t>Z</w:t>
      </w:r>
      <w:r w:rsidR="003D4739" w:rsidRPr="00D92E3D">
        <w:rPr>
          <w:color w:val="000000" w:themeColor="text1"/>
        </w:rPr>
        <w:t xml:space="preserve">působ řízení a kontroly jednotlivých organizací a </w:t>
      </w:r>
      <w:r w:rsidR="00F825AE">
        <w:rPr>
          <w:color w:val="000000" w:themeColor="text1"/>
        </w:rPr>
        <w:t>právní předpisy</w:t>
      </w:r>
      <w:r w:rsidR="003D4739" w:rsidRPr="00D92E3D">
        <w:rPr>
          <w:color w:val="000000" w:themeColor="text1"/>
        </w:rPr>
        <w:t xml:space="preserve"> </w:t>
      </w:r>
      <w:r>
        <w:rPr>
          <w:color w:val="000000" w:themeColor="text1"/>
        </w:rPr>
        <w:t xml:space="preserve">MMR </w:t>
      </w:r>
      <w:r w:rsidR="003D4739" w:rsidRPr="00D92E3D">
        <w:rPr>
          <w:color w:val="000000" w:themeColor="text1"/>
        </w:rPr>
        <w:t xml:space="preserve">promítlo minimálně do </w:t>
      </w:r>
      <w:r w:rsidR="008A427D" w:rsidRPr="00D92E3D">
        <w:rPr>
          <w:color w:val="000000" w:themeColor="text1"/>
        </w:rPr>
        <w:t>55</w:t>
      </w:r>
      <w:r w:rsidR="003D4739" w:rsidRPr="00D92E3D">
        <w:rPr>
          <w:color w:val="000000" w:themeColor="text1"/>
        </w:rPr>
        <w:t xml:space="preserve"> vnitřních řídicích aktů a</w:t>
      </w:r>
      <w:r w:rsidR="00091A69">
        <w:rPr>
          <w:color w:val="000000" w:themeColor="text1"/>
        </w:rPr>
        <w:t xml:space="preserve"> </w:t>
      </w:r>
      <w:r w:rsidR="003D4739" w:rsidRPr="00D92E3D">
        <w:rPr>
          <w:color w:val="000000" w:themeColor="text1"/>
        </w:rPr>
        <w:t>metodik</w:t>
      </w:r>
      <w:r w:rsidR="00091A69">
        <w:rPr>
          <w:color w:val="000000" w:themeColor="text1"/>
        </w:rPr>
        <w:t>, jak</w:t>
      </w:r>
      <w:r w:rsidR="003D4739" w:rsidRPr="00D92E3D">
        <w:rPr>
          <w:color w:val="000000" w:themeColor="text1"/>
        </w:rPr>
        <w:t xml:space="preserve"> obecné</w:t>
      </w:r>
      <w:r w:rsidR="00091A69">
        <w:rPr>
          <w:color w:val="000000" w:themeColor="text1"/>
        </w:rPr>
        <w:t>,</w:t>
      </w:r>
      <w:r w:rsidR="003D4739" w:rsidRPr="00D92E3D">
        <w:rPr>
          <w:color w:val="000000" w:themeColor="text1"/>
        </w:rPr>
        <w:t xml:space="preserve"> </w:t>
      </w:r>
      <w:r w:rsidR="00091A69">
        <w:rPr>
          <w:color w:val="000000" w:themeColor="text1"/>
        </w:rPr>
        <w:t>tak i</w:t>
      </w:r>
      <w:r w:rsidR="003D4739" w:rsidRPr="00D92E3D">
        <w:rPr>
          <w:color w:val="000000" w:themeColor="text1"/>
        </w:rPr>
        <w:t xml:space="preserve"> konkrétní povahy. Zatímco pro postupy zřizovatele při řízení a kontrole příspěvkových organizací ve své působnosti </w:t>
      </w:r>
      <w:r w:rsidR="003D4739" w:rsidRPr="00B36145">
        <w:rPr>
          <w:b/>
          <w:color w:val="000000" w:themeColor="text1"/>
        </w:rPr>
        <w:t>MMR</w:t>
      </w:r>
      <w:r w:rsidR="003D4739" w:rsidRPr="00D92E3D">
        <w:rPr>
          <w:color w:val="000000" w:themeColor="text1"/>
        </w:rPr>
        <w:t xml:space="preserve"> vydalo několik </w:t>
      </w:r>
      <w:r w:rsidR="00F825AE">
        <w:rPr>
          <w:color w:val="000000" w:themeColor="text1"/>
        </w:rPr>
        <w:t>vnitřních</w:t>
      </w:r>
      <w:r w:rsidR="00F825AE" w:rsidRPr="00D92E3D">
        <w:rPr>
          <w:color w:val="000000" w:themeColor="text1"/>
        </w:rPr>
        <w:t xml:space="preserve"> </w:t>
      </w:r>
      <w:r w:rsidR="003D4739" w:rsidRPr="00D92E3D">
        <w:rPr>
          <w:color w:val="000000" w:themeColor="text1"/>
        </w:rPr>
        <w:t xml:space="preserve">předpisů, </w:t>
      </w:r>
      <w:r w:rsidR="007C5AE3" w:rsidRPr="002A3431">
        <w:rPr>
          <w:b/>
          <w:color w:val="000000" w:themeColor="text1"/>
        </w:rPr>
        <w:t>ve vztahu k Horské službě</w:t>
      </w:r>
      <w:r w:rsidR="003D4739" w:rsidRPr="002A3431">
        <w:rPr>
          <w:b/>
          <w:color w:val="000000" w:themeColor="text1"/>
        </w:rPr>
        <w:t xml:space="preserve"> nevypracovalo žádný závazný interní předpis, který by se týkal stanovení práv a</w:t>
      </w:r>
      <w:r w:rsidR="00FF1F44">
        <w:rPr>
          <w:b/>
          <w:color w:val="000000" w:themeColor="text1"/>
        </w:rPr>
        <w:t> </w:t>
      </w:r>
      <w:r w:rsidR="003D4739" w:rsidRPr="002A3431">
        <w:rPr>
          <w:b/>
          <w:color w:val="000000" w:themeColor="text1"/>
        </w:rPr>
        <w:t xml:space="preserve">povinností MMR jako </w:t>
      </w:r>
      <w:r w:rsidR="007C5AE3" w:rsidRPr="002A3431">
        <w:rPr>
          <w:b/>
          <w:color w:val="000000" w:themeColor="text1"/>
        </w:rPr>
        <w:t xml:space="preserve">jejího </w:t>
      </w:r>
      <w:r w:rsidR="003D4739" w:rsidRPr="002A3431">
        <w:rPr>
          <w:b/>
          <w:color w:val="000000" w:themeColor="text1"/>
        </w:rPr>
        <w:t>zakladatele</w:t>
      </w:r>
      <w:r w:rsidR="003D4739" w:rsidRPr="00D576E8">
        <w:rPr>
          <w:b/>
          <w:color w:val="000000" w:themeColor="text1"/>
        </w:rPr>
        <w:t>.</w:t>
      </w:r>
      <w:r w:rsidR="003D4739" w:rsidRPr="00D92E3D">
        <w:rPr>
          <w:color w:val="000000" w:themeColor="text1"/>
        </w:rPr>
        <w:t xml:space="preserve"> Hlavní forma spolupráce mezi </w:t>
      </w:r>
      <w:r w:rsidR="007C5AE3" w:rsidRPr="00D92E3D">
        <w:rPr>
          <w:color w:val="000000" w:themeColor="text1"/>
        </w:rPr>
        <w:t>MMR</w:t>
      </w:r>
      <w:r w:rsidR="003D4739" w:rsidRPr="00D92E3D">
        <w:rPr>
          <w:color w:val="000000" w:themeColor="text1"/>
        </w:rPr>
        <w:t xml:space="preserve"> a Horskou službou spočívala ve financování provozních a investičních potřeb organizace formou programového financování</w:t>
      </w:r>
      <w:r w:rsidR="003D4739">
        <w:rPr>
          <w:rStyle w:val="Znakapoznpodarou"/>
          <w:color w:val="000000" w:themeColor="text1"/>
        </w:rPr>
        <w:footnoteReference w:id="21"/>
      </w:r>
      <w:r w:rsidR="003D4739" w:rsidRPr="00D92E3D">
        <w:rPr>
          <w:color w:val="000000" w:themeColor="text1"/>
        </w:rPr>
        <w:t xml:space="preserve">. </w:t>
      </w:r>
    </w:p>
    <w:p w14:paraId="5E9FD89D" w14:textId="21AA9333" w:rsidR="00C83BEF" w:rsidRDefault="00896D4A" w:rsidP="003B0804">
      <w:pPr>
        <w:autoSpaceDE w:val="0"/>
        <w:autoSpaceDN w:val="0"/>
        <w:adjustRightInd w:val="0"/>
        <w:spacing w:before="240"/>
        <w:ind w:left="425" w:hanging="425"/>
        <w:jc w:val="both"/>
        <w:rPr>
          <w:color w:val="000000" w:themeColor="text1"/>
        </w:rPr>
      </w:pPr>
      <w:r>
        <w:rPr>
          <w:rFonts w:cstheme="minorHAnsi"/>
          <w:color w:val="000000" w:themeColor="text1"/>
        </w:rPr>
        <w:t>1.2</w:t>
      </w:r>
      <w:r w:rsidR="003B0804">
        <w:rPr>
          <w:rFonts w:cstheme="minorHAnsi"/>
          <w:color w:val="000000" w:themeColor="text1"/>
        </w:rPr>
        <w:tab/>
      </w:r>
      <w:r w:rsidR="00A3191D" w:rsidRPr="006D138C">
        <w:rPr>
          <w:rFonts w:cstheme="minorHAnsi"/>
          <w:color w:val="000000" w:themeColor="text1"/>
        </w:rPr>
        <w:t xml:space="preserve">Jedním z řídicích aktů </w:t>
      </w:r>
      <w:r w:rsidR="00E20E9A" w:rsidRPr="006D138C">
        <w:rPr>
          <w:rFonts w:cstheme="minorHAnsi"/>
          <w:color w:val="000000" w:themeColor="text1"/>
        </w:rPr>
        <w:t>M</w:t>
      </w:r>
      <w:r w:rsidR="00CC09C8" w:rsidRPr="006D138C">
        <w:rPr>
          <w:rFonts w:cstheme="minorHAnsi"/>
          <w:color w:val="000000" w:themeColor="text1"/>
        </w:rPr>
        <w:t xml:space="preserve">MR </w:t>
      </w:r>
      <w:r w:rsidR="00A3191D" w:rsidRPr="006D138C">
        <w:rPr>
          <w:rFonts w:cstheme="minorHAnsi"/>
          <w:color w:val="000000" w:themeColor="text1"/>
        </w:rPr>
        <w:t>bylo rozhodnutí</w:t>
      </w:r>
      <w:r w:rsidR="00091A69" w:rsidRPr="006D138C">
        <w:rPr>
          <w:rFonts w:cstheme="minorHAnsi"/>
          <w:color w:val="000000" w:themeColor="text1"/>
        </w:rPr>
        <w:t xml:space="preserve"> o zrušení útvaru </w:t>
      </w:r>
      <w:r w:rsidR="00564E10" w:rsidRPr="006D138C">
        <w:rPr>
          <w:rFonts w:cstheme="minorHAnsi"/>
          <w:color w:val="000000" w:themeColor="text1"/>
        </w:rPr>
        <w:t>interního auditu</w:t>
      </w:r>
      <w:r>
        <w:rPr>
          <w:rFonts w:cstheme="minorHAnsi"/>
          <w:color w:val="000000" w:themeColor="text1"/>
        </w:rPr>
        <w:t xml:space="preserve"> </w:t>
      </w:r>
      <w:r w:rsidR="00564E10" w:rsidRPr="006D138C">
        <w:rPr>
          <w:rFonts w:cstheme="minorHAnsi"/>
          <w:color w:val="000000" w:themeColor="text1"/>
        </w:rPr>
        <w:t>u</w:t>
      </w:r>
      <w:r w:rsidR="00321880">
        <w:rPr>
          <w:rFonts w:cstheme="minorHAnsi"/>
          <w:color w:val="000000" w:themeColor="text1"/>
        </w:rPr>
        <w:t> </w:t>
      </w:r>
      <w:r w:rsidR="00D14DF2">
        <w:rPr>
          <w:rFonts w:cstheme="minorHAnsi"/>
          <w:color w:val="000000" w:themeColor="text1"/>
        </w:rPr>
        <w:t xml:space="preserve">agentury </w:t>
      </w:r>
      <w:proofErr w:type="spellStart"/>
      <w:r w:rsidR="00564E10" w:rsidRPr="006D138C">
        <w:rPr>
          <w:rFonts w:cstheme="minorHAnsi"/>
          <w:color w:val="000000" w:themeColor="text1"/>
        </w:rPr>
        <w:t>CzechTourism</w:t>
      </w:r>
      <w:proofErr w:type="spellEnd"/>
      <w:r w:rsidR="008C6E11" w:rsidRPr="006D138C">
        <w:rPr>
          <w:rFonts w:cstheme="minorHAnsi"/>
          <w:color w:val="000000" w:themeColor="text1"/>
        </w:rPr>
        <w:t xml:space="preserve"> </w:t>
      </w:r>
      <w:r w:rsidR="00091A69" w:rsidRPr="006D138C">
        <w:rPr>
          <w:rFonts w:cstheme="minorHAnsi"/>
          <w:color w:val="000000" w:themeColor="text1"/>
        </w:rPr>
        <w:t xml:space="preserve">a jeho nahrazení </w:t>
      </w:r>
      <w:r w:rsidR="008C6E11" w:rsidRPr="006D138C">
        <w:rPr>
          <w:rFonts w:cstheme="minorHAnsi"/>
          <w:color w:val="000000" w:themeColor="text1"/>
        </w:rPr>
        <w:t>veřejnosprávní kontrolou</w:t>
      </w:r>
      <w:r w:rsidR="00674FEC" w:rsidRPr="006D138C">
        <w:rPr>
          <w:rFonts w:cstheme="minorHAnsi"/>
          <w:color w:val="000000" w:themeColor="text1"/>
        </w:rPr>
        <w:t>, kterou mělo provádět ministerstvo</w:t>
      </w:r>
      <w:r w:rsidR="00A64577" w:rsidRPr="006D138C">
        <w:rPr>
          <w:rFonts w:cstheme="minorHAnsi"/>
          <w:color w:val="000000" w:themeColor="text1"/>
        </w:rPr>
        <w:t xml:space="preserve"> jako je</w:t>
      </w:r>
      <w:r w:rsidR="00156575">
        <w:rPr>
          <w:rFonts w:cstheme="minorHAnsi"/>
          <w:color w:val="000000" w:themeColor="text1"/>
        </w:rPr>
        <w:t>ho</w:t>
      </w:r>
      <w:r w:rsidR="00A64577" w:rsidRPr="006D138C">
        <w:rPr>
          <w:rFonts w:cstheme="minorHAnsi"/>
          <w:color w:val="000000" w:themeColor="text1"/>
        </w:rPr>
        <w:t xml:space="preserve"> zřizovatel</w:t>
      </w:r>
      <w:r w:rsidR="00674FEC" w:rsidRPr="006D138C">
        <w:rPr>
          <w:rFonts w:cstheme="minorHAnsi"/>
          <w:color w:val="000000" w:themeColor="text1"/>
        </w:rPr>
        <w:t xml:space="preserve">. </w:t>
      </w:r>
      <w:r w:rsidR="00674FEC" w:rsidRPr="006D138C">
        <w:rPr>
          <w:rFonts w:cstheme="minorHAnsi"/>
          <w:b/>
          <w:color w:val="000000" w:themeColor="text1"/>
        </w:rPr>
        <w:t>K</w:t>
      </w:r>
      <w:r w:rsidR="008C6E11" w:rsidRPr="006D138C">
        <w:rPr>
          <w:rFonts w:cstheme="minorHAnsi"/>
          <w:b/>
          <w:color w:val="000000" w:themeColor="text1"/>
        </w:rPr>
        <w:t xml:space="preserve">e zrušení interního auditu </w:t>
      </w:r>
      <w:r w:rsidR="002A3431" w:rsidRPr="006D138C">
        <w:rPr>
          <w:rFonts w:cstheme="minorHAnsi"/>
          <w:b/>
          <w:color w:val="000000" w:themeColor="text1"/>
        </w:rPr>
        <w:t>u</w:t>
      </w:r>
      <w:r w:rsidR="00EB2EFE">
        <w:rPr>
          <w:rFonts w:cstheme="minorHAnsi"/>
          <w:b/>
          <w:color w:val="000000" w:themeColor="text1"/>
        </w:rPr>
        <w:t> agentury</w:t>
      </w:r>
      <w:r w:rsidR="002A3431" w:rsidRPr="006D138C">
        <w:rPr>
          <w:rFonts w:cstheme="minorHAnsi"/>
          <w:b/>
          <w:color w:val="000000" w:themeColor="text1"/>
        </w:rPr>
        <w:t xml:space="preserve"> </w:t>
      </w:r>
      <w:proofErr w:type="spellStart"/>
      <w:r w:rsidR="002A3431" w:rsidRPr="006D138C">
        <w:rPr>
          <w:rFonts w:cstheme="minorHAnsi"/>
          <w:b/>
          <w:color w:val="000000" w:themeColor="text1"/>
        </w:rPr>
        <w:t>CzechTourism</w:t>
      </w:r>
      <w:proofErr w:type="spellEnd"/>
      <w:r w:rsidR="00D71F61" w:rsidRPr="006D138C">
        <w:rPr>
          <w:rFonts w:cstheme="minorHAnsi"/>
          <w:b/>
          <w:color w:val="000000" w:themeColor="text1"/>
        </w:rPr>
        <w:t xml:space="preserve"> ministerstvo</w:t>
      </w:r>
      <w:r w:rsidR="008C6E11" w:rsidRPr="006D138C">
        <w:rPr>
          <w:rFonts w:cstheme="minorHAnsi"/>
          <w:b/>
          <w:color w:val="000000" w:themeColor="text1"/>
        </w:rPr>
        <w:t xml:space="preserve"> přistoupilo</w:t>
      </w:r>
      <w:r w:rsidR="00156575">
        <w:rPr>
          <w:rFonts w:cstheme="minorHAnsi"/>
          <w:b/>
          <w:color w:val="000000" w:themeColor="text1"/>
        </w:rPr>
        <w:t>,</w:t>
      </w:r>
      <w:r w:rsidR="00ED0CF2" w:rsidRPr="006D138C">
        <w:rPr>
          <w:rFonts w:cstheme="minorHAnsi"/>
          <w:b/>
          <w:color w:val="000000" w:themeColor="text1"/>
        </w:rPr>
        <w:t xml:space="preserve"> přesto</w:t>
      </w:r>
      <w:r w:rsidR="00E20E9A" w:rsidRPr="006D138C">
        <w:rPr>
          <w:rFonts w:cstheme="minorHAnsi"/>
          <w:b/>
          <w:color w:val="000000" w:themeColor="text1"/>
        </w:rPr>
        <w:t xml:space="preserve">že </w:t>
      </w:r>
      <w:r w:rsidR="008C6E11" w:rsidRPr="006D138C">
        <w:rPr>
          <w:rFonts w:cstheme="minorHAnsi"/>
          <w:b/>
          <w:color w:val="000000" w:themeColor="text1"/>
        </w:rPr>
        <w:t>k</w:t>
      </w:r>
      <w:r w:rsidR="00674FEC" w:rsidRPr="006D138C">
        <w:rPr>
          <w:rFonts w:cstheme="minorHAnsi"/>
          <w:b/>
          <w:color w:val="000000" w:themeColor="text1"/>
        </w:rPr>
        <w:t> provedení tohoto kroku nebyly splněny podmínky dané zákonem o finanční kontrole</w:t>
      </w:r>
      <w:r w:rsidR="007F19C8">
        <w:rPr>
          <w:rFonts w:cstheme="minorHAnsi"/>
          <w:color w:val="000000" w:themeColor="text1"/>
          <w:vertAlign w:val="superscript"/>
        </w:rPr>
        <w:t>5</w:t>
      </w:r>
      <w:r w:rsidR="00A2758F" w:rsidRPr="00156575">
        <w:rPr>
          <w:rFonts w:cstheme="minorHAnsi"/>
          <w:color w:val="000000" w:themeColor="text1"/>
        </w:rPr>
        <w:t xml:space="preserve">. </w:t>
      </w:r>
      <w:r w:rsidR="00156575" w:rsidRPr="00156575">
        <w:rPr>
          <w:rFonts w:cstheme="minorHAnsi"/>
          <w:color w:val="000000" w:themeColor="text1"/>
        </w:rPr>
        <w:t xml:space="preserve">Jednalo se </w:t>
      </w:r>
      <w:r w:rsidR="00156575">
        <w:rPr>
          <w:rFonts w:cstheme="minorHAnsi"/>
          <w:color w:val="000000" w:themeColor="text1"/>
        </w:rPr>
        <w:t xml:space="preserve">o podmínku malé pravděpodobnosti výskytu nepřiměřených rizik při hospodaření s veřejnými prostředky, avšak </w:t>
      </w:r>
      <w:r w:rsidR="00A2758F" w:rsidRPr="00156575">
        <w:rPr>
          <w:rFonts w:cstheme="minorHAnsi"/>
          <w:color w:val="000000" w:themeColor="text1"/>
        </w:rPr>
        <w:t>MMR</w:t>
      </w:r>
      <w:r w:rsidR="008C6E11" w:rsidRPr="006D138C">
        <w:rPr>
          <w:rFonts w:cstheme="minorHAnsi"/>
          <w:color w:val="000000" w:themeColor="text1"/>
        </w:rPr>
        <w:t xml:space="preserve"> </w:t>
      </w:r>
      <w:r w:rsidR="00E20E9A" w:rsidRPr="006D138C">
        <w:rPr>
          <w:color w:val="000000" w:themeColor="text1"/>
        </w:rPr>
        <w:t xml:space="preserve">v této organizaci </w:t>
      </w:r>
      <w:r w:rsidR="008C6E11" w:rsidRPr="006D138C">
        <w:rPr>
          <w:color w:val="000000" w:themeColor="text1"/>
        </w:rPr>
        <w:t xml:space="preserve">v minulosti </w:t>
      </w:r>
      <w:r w:rsidR="00A2758F">
        <w:rPr>
          <w:color w:val="000000" w:themeColor="text1"/>
        </w:rPr>
        <w:t xml:space="preserve">opakovaně </w:t>
      </w:r>
      <w:r w:rsidR="00E20E9A" w:rsidRPr="006D138C">
        <w:rPr>
          <w:color w:val="000000" w:themeColor="text1"/>
        </w:rPr>
        <w:t xml:space="preserve">identifikovalo rizika při hospodaření s veřejnými prostředky. </w:t>
      </w:r>
      <w:r w:rsidR="00BE7A5D">
        <w:rPr>
          <w:color w:val="000000" w:themeColor="text1"/>
        </w:rPr>
        <w:t>Ani další zákonná podmínka</w:t>
      </w:r>
      <w:r w:rsidR="003406B1">
        <w:rPr>
          <w:color w:val="000000" w:themeColor="text1"/>
        </w:rPr>
        <w:t xml:space="preserve"> týkající se </w:t>
      </w:r>
      <w:r w:rsidR="00BE7A5D">
        <w:rPr>
          <w:color w:val="000000" w:themeColor="text1"/>
        </w:rPr>
        <w:t>malé organi</w:t>
      </w:r>
      <w:r w:rsidR="003406B1">
        <w:rPr>
          <w:color w:val="000000" w:themeColor="text1"/>
        </w:rPr>
        <w:t>za</w:t>
      </w:r>
      <w:r w:rsidR="00BE7A5D">
        <w:rPr>
          <w:color w:val="000000" w:themeColor="text1"/>
        </w:rPr>
        <w:t>ce</w:t>
      </w:r>
      <w:r w:rsidR="003406B1">
        <w:rPr>
          <w:color w:val="000000" w:themeColor="text1"/>
        </w:rPr>
        <w:t>,</w:t>
      </w:r>
      <w:r w:rsidR="00BE7A5D">
        <w:rPr>
          <w:color w:val="000000" w:themeColor="text1"/>
        </w:rPr>
        <w:t xml:space="preserve"> umožňující nahrazení auditu</w:t>
      </w:r>
      <w:r w:rsidR="003406B1">
        <w:rPr>
          <w:color w:val="000000" w:themeColor="text1"/>
        </w:rPr>
        <w:t>,</w:t>
      </w:r>
      <w:r w:rsidR="00BE7A5D">
        <w:rPr>
          <w:color w:val="000000" w:themeColor="text1"/>
        </w:rPr>
        <w:t xml:space="preserve"> </w:t>
      </w:r>
      <w:r w:rsidR="003406B1">
        <w:rPr>
          <w:color w:val="000000" w:themeColor="text1"/>
        </w:rPr>
        <w:t>ne</w:t>
      </w:r>
      <w:r w:rsidR="00BE7A5D">
        <w:rPr>
          <w:color w:val="000000" w:themeColor="text1"/>
        </w:rPr>
        <w:t xml:space="preserve">byla splněna. </w:t>
      </w:r>
    </w:p>
    <w:p w14:paraId="3545EB15" w14:textId="77777777" w:rsidR="008128FA" w:rsidRDefault="00BC3799" w:rsidP="008265F7">
      <w:pPr>
        <w:ind w:left="426"/>
        <w:jc w:val="both"/>
        <w:rPr>
          <w:rFonts w:cstheme="minorHAnsi"/>
          <w:b/>
          <w:color w:val="000000"/>
        </w:rPr>
      </w:pPr>
      <w:r>
        <w:rPr>
          <w:color w:val="000000" w:themeColor="text1"/>
        </w:rPr>
        <w:t>MMR po zrušení útvaru interního auditu u</w:t>
      </w:r>
      <w:r w:rsidR="00D14DF2">
        <w:rPr>
          <w:color w:val="000000" w:themeColor="text1"/>
        </w:rPr>
        <w:t> agentury</w:t>
      </w:r>
      <w:r>
        <w:rPr>
          <w:color w:val="000000" w:themeColor="text1"/>
        </w:rPr>
        <w:t xml:space="preserve"> </w:t>
      </w:r>
      <w:proofErr w:type="spellStart"/>
      <w:r>
        <w:rPr>
          <w:color w:val="000000" w:themeColor="text1"/>
        </w:rPr>
        <w:t>CzechTourism</w:t>
      </w:r>
      <w:proofErr w:type="spellEnd"/>
      <w:r>
        <w:rPr>
          <w:color w:val="000000" w:themeColor="text1"/>
        </w:rPr>
        <w:t xml:space="preserve"> nezahájilo do doby ukončení kontroly NKÚ žádnou veřejnosprávní kontrolu, jejímž výkonem měla být nahrazena funkce zrušeného útvaru interního auditu. Navíc plánované, avšak nerealizované veřejnosprávní kontroly svým plánovaným rozsahem plně nepokrývaly oblast, kterou by se měl interní audit zabývat.</w:t>
      </w:r>
    </w:p>
    <w:p w14:paraId="56585B9F" w14:textId="2BD19CA9" w:rsidR="00B53AC5" w:rsidRPr="00896D4A" w:rsidRDefault="00FC298D" w:rsidP="003B0804">
      <w:pPr>
        <w:pStyle w:val="Odstavecseseznamem"/>
        <w:widowControl w:val="0"/>
        <w:numPr>
          <w:ilvl w:val="1"/>
          <w:numId w:val="29"/>
        </w:numPr>
        <w:autoSpaceDE w:val="0"/>
        <w:autoSpaceDN w:val="0"/>
        <w:adjustRightInd w:val="0"/>
        <w:spacing w:before="240"/>
        <w:ind w:left="425" w:hanging="425"/>
        <w:jc w:val="both"/>
        <w:rPr>
          <w:rFonts w:eastAsia="Calibri"/>
        </w:rPr>
      </w:pPr>
      <w:r w:rsidRPr="00896D4A">
        <w:rPr>
          <w:rFonts w:eastAsia="Calibri"/>
        </w:rPr>
        <w:t>MMR j</w:t>
      </w:r>
      <w:r w:rsidR="00723A35" w:rsidRPr="00896D4A">
        <w:rPr>
          <w:rFonts w:eastAsia="Calibri"/>
        </w:rPr>
        <w:t xml:space="preserve">ako </w:t>
      </w:r>
      <w:r w:rsidR="0085369F" w:rsidRPr="00896D4A">
        <w:rPr>
          <w:rFonts w:eastAsia="Calibri"/>
        </w:rPr>
        <w:t>centrální zadavatel</w:t>
      </w:r>
      <w:r w:rsidR="0085369F" w:rsidRPr="00D576E8">
        <w:rPr>
          <w:rFonts w:eastAsia="Calibri"/>
        </w:rPr>
        <w:t xml:space="preserve"> </w:t>
      </w:r>
      <w:r w:rsidR="0085369F" w:rsidRPr="00896D4A">
        <w:rPr>
          <w:rFonts w:eastAsia="Calibri"/>
        </w:rPr>
        <w:t>od roku 2012 připravoval</w:t>
      </w:r>
      <w:r w:rsidRPr="00896D4A">
        <w:rPr>
          <w:rFonts w:eastAsia="Calibri"/>
        </w:rPr>
        <w:t>o</w:t>
      </w:r>
      <w:r w:rsidR="0085369F" w:rsidRPr="00896D4A">
        <w:rPr>
          <w:rFonts w:eastAsia="Calibri"/>
        </w:rPr>
        <w:t>, opakovaně zadával</w:t>
      </w:r>
      <w:r w:rsidRPr="00896D4A">
        <w:rPr>
          <w:rFonts w:eastAsia="Calibri"/>
        </w:rPr>
        <w:t>o</w:t>
      </w:r>
      <w:r w:rsidR="0085369F" w:rsidRPr="00896D4A">
        <w:rPr>
          <w:rFonts w:eastAsia="Calibri"/>
        </w:rPr>
        <w:t xml:space="preserve"> a rušil</w:t>
      </w:r>
      <w:r w:rsidRPr="00896D4A">
        <w:rPr>
          <w:rFonts w:eastAsia="Calibri"/>
        </w:rPr>
        <w:t xml:space="preserve">o </w:t>
      </w:r>
      <w:r w:rsidR="0085369F" w:rsidRPr="00896D4A">
        <w:rPr>
          <w:rFonts w:eastAsia="Calibri"/>
        </w:rPr>
        <w:t xml:space="preserve">veřejnou zakázku na zajištění </w:t>
      </w:r>
      <w:r w:rsidR="00374165" w:rsidRPr="00896D4A">
        <w:rPr>
          <w:rFonts w:eastAsia="Calibri"/>
        </w:rPr>
        <w:t xml:space="preserve">služeb ostrahy budov ve své působnosti </w:t>
      </w:r>
      <w:r w:rsidR="0085369F" w:rsidRPr="00896D4A">
        <w:rPr>
          <w:rFonts w:eastAsia="Calibri"/>
        </w:rPr>
        <w:t xml:space="preserve">a k uzavření </w:t>
      </w:r>
      <w:r w:rsidR="006F50E2" w:rsidRPr="00896D4A">
        <w:rPr>
          <w:rFonts w:eastAsia="Calibri"/>
        </w:rPr>
        <w:t xml:space="preserve">příslušné </w:t>
      </w:r>
      <w:r w:rsidR="0085369F" w:rsidRPr="00896D4A">
        <w:rPr>
          <w:rFonts w:eastAsia="Calibri"/>
        </w:rPr>
        <w:t xml:space="preserve">smlouvy došlo až v roce 2019. MMR v tomto období </w:t>
      </w:r>
      <w:r w:rsidR="0085369F" w:rsidRPr="00997F36">
        <w:t xml:space="preserve">poskytlo </w:t>
      </w:r>
      <w:r w:rsidR="00D14DF2">
        <w:t xml:space="preserve">agentuře </w:t>
      </w:r>
      <w:proofErr w:type="spellStart"/>
      <w:r w:rsidR="0085369F" w:rsidRPr="00997F36">
        <w:t>CzechTourism</w:t>
      </w:r>
      <w:proofErr w:type="spellEnd"/>
      <w:r w:rsidR="0085369F" w:rsidRPr="00997F36">
        <w:t xml:space="preserve"> souhlas</w:t>
      </w:r>
      <w:r w:rsidR="00CD2330" w:rsidRPr="00997F36">
        <w:t>y</w:t>
      </w:r>
      <w:r w:rsidR="0085369F" w:rsidRPr="00997F36">
        <w:t xml:space="preserve"> s uzavřením smluv mimo </w:t>
      </w:r>
      <w:r w:rsidR="008255E5" w:rsidRPr="00997F36">
        <w:t>resortní systém centralizovaného zadáv</w:t>
      </w:r>
      <w:r w:rsidR="00CE418C" w:rsidRPr="00997F36">
        <w:t>á</w:t>
      </w:r>
      <w:r w:rsidR="008255E5" w:rsidRPr="00997F36">
        <w:t>ní zakázek</w:t>
      </w:r>
      <w:r w:rsidR="00F61811">
        <w:t xml:space="preserve">. </w:t>
      </w:r>
      <w:r w:rsidR="00D14DF2">
        <w:t xml:space="preserve">Agentura </w:t>
      </w:r>
      <w:proofErr w:type="spellStart"/>
      <w:r w:rsidR="00A27580" w:rsidRPr="00896D4A">
        <w:rPr>
          <w:rFonts w:eastAsia="Calibri"/>
        </w:rPr>
        <w:t>CzechTourism</w:t>
      </w:r>
      <w:proofErr w:type="spellEnd"/>
      <w:r w:rsidR="0085369F" w:rsidRPr="00896D4A">
        <w:rPr>
          <w:rFonts w:eastAsia="Calibri"/>
        </w:rPr>
        <w:t xml:space="preserve"> tak </w:t>
      </w:r>
      <w:r w:rsidR="004601F7" w:rsidRPr="00896D4A">
        <w:rPr>
          <w:rFonts w:eastAsia="Calibri"/>
        </w:rPr>
        <w:t>následně jednal</w:t>
      </w:r>
      <w:r w:rsidR="00D14DF2">
        <w:rPr>
          <w:rFonts w:eastAsia="Calibri"/>
        </w:rPr>
        <w:t>a</w:t>
      </w:r>
      <w:r w:rsidR="0085369F" w:rsidRPr="00896D4A">
        <w:rPr>
          <w:rFonts w:eastAsia="Calibri"/>
        </w:rPr>
        <w:t xml:space="preserve"> v rozporu se zákonem č. 137/2006</w:t>
      </w:r>
      <w:r w:rsidR="00003143" w:rsidRPr="00896D4A">
        <w:rPr>
          <w:rFonts w:eastAsia="Calibri"/>
          <w:vertAlign w:val="superscript"/>
        </w:rPr>
        <w:t>10</w:t>
      </w:r>
      <w:r w:rsidR="0085369F" w:rsidRPr="00896D4A">
        <w:rPr>
          <w:rFonts w:eastAsia="Calibri"/>
        </w:rPr>
        <w:t xml:space="preserve">. </w:t>
      </w:r>
    </w:p>
    <w:p w14:paraId="16BFB82F" w14:textId="77777777" w:rsidR="00CF7F4E" w:rsidRPr="00F80870" w:rsidRDefault="008D5650" w:rsidP="003B0804">
      <w:pPr>
        <w:pStyle w:val="Nadpis2"/>
        <w:numPr>
          <w:ilvl w:val="0"/>
          <w:numId w:val="3"/>
        </w:numPr>
        <w:spacing w:after="120"/>
        <w:ind w:left="425" w:hanging="425"/>
        <w:jc w:val="both"/>
      </w:pPr>
      <w:r>
        <w:t>Poskytování a kontrola</w:t>
      </w:r>
      <w:r w:rsidR="008E7F4D">
        <w:t xml:space="preserve"> </w:t>
      </w:r>
      <w:r w:rsidR="00F67B60">
        <w:t>peněžních prostředků</w:t>
      </w:r>
      <w:r w:rsidR="00CF7F4E">
        <w:t xml:space="preserve"> </w:t>
      </w:r>
    </w:p>
    <w:p w14:paraId="5409993F" w14:textId="34E81518" w:rsidR="00C4381B" w:rsidRDefault="00D27F98" w:rsidP="008265F7">
      <w:pPr>
        <w:pStyle w:val="KPnormln"/>
        <w:spacing w:before="0"/>
        <w:ind w:left="426" w:hanging="426"/>
      </w:pPr>
      <w:r>
        <w:t>2.1</w:t>
      </w:r>
      <w:r w:rsidR="00896D4A">
        <w:t xml:space="preserve"> </w:t>
      </w:r>
      <w:r w:rsidR="00B53AC5" w:rsidRPr="000F41B5">
        <w:t>Horská služba v letech 2015</w:t>
      </w:r>
      <w:r w:rsidR="009267D6">
        <w:t>–</w:t>
      </w:r>
      <w:r w:rsidR="00B53AC5" w:rsidRPr="000F41B5">
        <w:t>2020 neplnila své povinnosti uvedené</w:t>
      </w:r>
      <w:r w:rsidR="00374165">
        <w:t xml:space="preserve"> v podmínkách</w:t>
      </w:r>
      <w:r w:rsidR="00B53AC5" w:rsidRPr="000F41B5">
        <w:t xml:space="preserve"> </w:t>
      </w:r>
      <w:r w:rsidR="00F55C77">
        <w:t xml:space="preserve">rozhodnutí o poskytnutí dotace </w:t>
      </w:r>
      <w:r w:rsidR="00B53AC5" w:rsidRPr="000F41B5">
        <w:t>a nepředkládala všechny požadované doklady správci akce</w:t>
      </w:r>
      <w:r w:rsidR="00AF66FB">
        <w:t xml:space="preserve"> (zprávy pro závěrečný účet nebo závěrečné vyhodnocení akce). </w:t>
      </w:r>
      <w:r w:rsidR="00B53AC5" w:rsidRPr="00C15F70">
        <w:t xml:space="preserve">MMR jako </w:t>
      </w:r>
      <w:r w:rsidR="00DD29E8">
        <w:t>poskytovatel dotace</w:t>
      </w:r>
      <w:r w:rsidR="00B53AC5" w:rsidRPr="00C15F70">
        <w:t xml:space="preserve"> </w:t>
      </w:r>
      <w:r w:rsidR="00374165" w:rsidRPr="00C15F70">
        <w:t>nevyzvalo</w:t>
      </w:r>
      <w:r w:rsidR="00C64AC7">
        <w:t xml:space="preserve"> </w:t>
      </w:r>
      <w:r w:rsidR="004309C0">
        <w:t>Horskou službu</w:t>
      </w:r>
      <w:r w:rsidR="00AF66FB">
        <w:t xml:space="preserve"> k předložení průběžné zprávy o realizac</w:t>
      </w:r>
      <w:r w:rsidR="003229F4">
        <w:t>i</w:t>
      </w:r>
      <w:r w:rsidR="00AF66FB">
        <w:t xml:space="preserve"> akce</w:t>
      </w:r>
      <w:r w:rsidR="004309C0">
        <w:t xml:space="preserve"> </w:t>
      </w:r>
      <w:r w:rsidR="00AF66FB" w:rsidRPr="00C15F70">
        <w:t>za každý kalendářní rok období 2015</w:t>
      </w:r>
      <w:r w:rsidR="009267D6">
        <w:t>–</w:t>
      </w:r>
      <w:r w:rsidR="00AF66FB" w:rsidRPr="00C15F70">
        <w:t>2020</w:t>
      </w:r>
      <w:r w:rsidR="00AF66FB">
        <w:t xml:space="preserve"> </w:t>
      </w:r>
      <w:r w:rsidR="00C64AC7">
        <w:t>dopisem</w:t>
      </w:r>
      <w:r w:rsidR="004309C0">
        <w:t xml:space="preserve">, ve kterém </w:t>
      </w:r>
      <w:r w:rsidR="00AF66FB">
        <w:t xml:space="preserve">by </w:t>
      </w:r>
      <w:r w:rsidR="004309C0">
        <w:t xml:space="preserve">specifikovalo doklady, které má </w:t>
      </w:r>
      <w:r w:rsidR="00AF66FB">
        <w:t xml:space="preserve">příjemce </w:t>
      </w:r>
      <w:r w:rsidR="004309C0">
        <w:t>předložit</w:t>
      </w:r>
      <w:r w:rsidR="00B53AC5" w:rsidRPr="00C15F70">
        <w:t>.</w:t>
      </w:r>
      <w:r w:rsidR="001D4B5B">
        <w:t xml:space="preserve"> </w:t>
      </w:r>
      <w:r w:rsidR="00C83618" w:rsidRPr="00C83618">
        <w:rPr>
          <w:b/>
        </w:rPr>
        <w:t>Tím, že</w:t>
      </w:r>
      <w:r w:rsidR="00C83618">
        <w:t xml:space="preserve"> </w:t>
      </w:r>
      <w:r w:rsidR="00DD29E8" w:rsidRPr="00DD29E8">
        <w:rPr>
          <w:b/>
        </w:rPr>
        <w:t xml:space="preserve">MMR neprovedlo </w:t>
      </w:r>
      <w:r w:rsidR="00C83618">
        <w:rPr>
          <w:b/>
        </w:rPr>
        <w:t xml:space="preserve">žádnou </w:t>
      </w:r>
      <w:r w:rsidR="00DD29E8" w:rsidRPr="00DD29E8">
        <w:rPr>
          <w:b/>
        </w:rPr>
        <w:t xml:space="preserve">kontrolu, </w:t>
      </w:r>
      <w:r w:rsidR="00C83618">
        <w:rPr>
          <w:b/>
        </w:rPr>
        <w:t>nezjistilo</w:t>
      </w:r>
      <w:r w:rsidR="00A04721">
        <w:rPr>
          <w:b/>
        </w:rPr>
        <w:t xml:space="preserve">, </w:t>
      </w:r>
      <w:r w:rsidR="00C15F70" w:rsidRPr="00C15F70">
        <w:rPr>
          <w:b/>
        </w:rPr>
        <w:t>že Horská služba neplnila své povinnosti uvedené v podmínkách</w:t>
      </w:r>
      <w:r w:rsidR="00A86CCF">
        <w:rPr>
          <w:b/>
        </w:rPr>
        <w:t xml:space="preserve"> </w:t>
      </w:r>
      <w:r w:rsidR="00D9053F">
        <w:rPr>
          <w:b/>
        </w:rPr>
        <w:t>r</w:t>
      </w:r>
      <w:r w:rsidR="00A86CCF">
        <w:rPr>
          <w:b/>
        </w:rPr>
        <w:t>ozhodnutí</w:t>
      </w:r>
      <w:r w:rsidR="00A362E8">
        <w:rPr>
          <w:b/>
        </w:rPr>
        <w:t xml:space="preserve"> o poskytnutí dotace</w:t>
      </w:r>
      <w:r w:rsidR="0060167E">
        <w:rPr>
          <w:b/>
        </w:rPr>
        <w:t xml:space="preserve">. </w:t>
      </w:r>
      <w:r w:rsidR="00C15F70" w:rsidRPr="00C15F70">
        <w:rPr>
          <w:b/>
        </w:rPr>
        <w:t xml:space="preserve">MMR tak </w:t>
      </w:r>
      <w:r w:rsidR="002C264A">
        <w:rPr>
          <w:b/>
        </w:rPr>
        <w:t>postupovalo</w:t>
      </w:r>
      <w:r w:rsidR="004148C5">
        <w:rPr>
          <w:b/>
        </w:rPr>
        <w:t xml:space="preserve"> </w:t>
      </w:r>
      <w:r w:rsidR="00C15F70" w:rsidRPr="00C15F70">
        <w:rPr>
          <w:b/>
        </w:rPr>
        <w:t>v </w:t>
      </w:r>
      <w:r w:rsidR="009267D6">
        <w:rPr>
          <w:b/>
        </w:rPr>
        <w:t>rozporu</w:t>
      </w:r>
      <w:r w:rsidR="00C15F70" w:rsidRPr="00C15F70">
        <w:rPr>
          <w:b/>
        </w:rPr>
        <w:t xml:space="preserve"> se </w:t>
      </w:r>
      <w:r w:rsidR="00C15F70" w:rsidRPr="003229F4">
        <w:rPr>
          <w:b/>
        </w:rPr>
        <w:t>zákonem č.</w:t>
      </w:r>
      <w:r w:rsidR="00936370" w:rsidRPr="003229F4">
        <w:rPr>
          <w:b/>
        </w:rPr>
        <w:t> </w:t>
      </w:r>
      <w:r w:rsidR="00C15F70" w:rsidRPr="003229F4">
        <w:rPr>
          <w:b/>
        </w:rPr>
        <w:t>320/2001 Sb.</w:t>
      </w:r>
      <w:r w:rsidR="00F55C77" w:rsidRPr="003229F4">
        <w:rPr>
          <w:vertAlign w:val="superscript"/>
        </w:rPr>
        <w:t>6</w:t>
      </w:r>
      <w:r w:rsidR="00C15F70">
        <w:t xml:space="preserve">  </w:t>
      </w:r>
    </w:p>
    <w:p w14:paraId="0F48EC3E" w14:textId="3B66945B" w:rsidR="00B53AC5" w:rsidRPr="00C4381B" w:rsidRDefault="0060167E" w:rsidP="008265F7">
      <w:pPr>
        <w:pStyle w:val="KPnormln"/>
        <w:spacing w:before="0"/>
        <w:ind w:left="426" w:firstLine="0"/>
        <w:rPr>
          <w:color w:val="000000" w:themeColor="text1"/>
        </w:rPr>
      </w:pPr>
      <w:r w:rsidRPr="001F451A">
        <w:rPr>
          <w:b/>
        </w:rPr>
        <w:t>S</w:t>
      </w:r>
      <w:r w:rsidRPr="00C15F70">
        <w:rPr>
          <w:b/>
        </w:rPr>
        <w:t xml:space="preserve">ystém kontrol nastavený ministerstvem </w:t>
      </w:r>
      <w:r>
        <w:rPr>
          <w:b/>
        </w:rPr>
        <w:t xml:space="preserve">také včas </w:t>
      </w:r>
      <w:r w:rsidR="00B36145">
        <w:rPr>
          <w:b/>
        </w:rPr>
        <w:t>nezachytil</w:t>
      </w:r>
      <w:r>
        <w:rPr>
          <w:b/>
        </w:rPr>
        <w:t xml:space="preserve"> absenci závěrečných vyhodnocení dvou akcí</w:t>
      </w:r>
      <w:r w:rsidR="009267D6">
        <w:rPr>
          <w:b/>
        </w:rPr>
        <w:t>,</w:t>
      </w:r>
      <w:r>
        <w:rPr>
          <w:b/>
        </w:rPr>
        <w:t xml:space="preserve"> a </w:t>
      </w:r>
      <w:r w:rsidRPr="00C15F70">
        <w:rPr>
          <w:b/>
        </w:rPr>
        <w:t>MMR tak jednalo v </w:t>
      </w:r>
      <w:r w:rsidR="009267D6">
        <w:rPr>
          <w:b/>
        </w:rPr>
        <w:t>rozporu</w:t>
      </w:r>
      <w:r w:rsidRPr="00C15F70">
        <w:rPr>
          <w:b/>
        </w:rPr>
        <w:t xml:space="preserve"> se zákonem č.</w:t>
      </w:r>
      <w:r w:rsidR="009267D6">
        <w:rPr>
          <w:b/>
        </w:rPr>
        <w:t> </w:t>
      </w:r>
      <w:r w:rsidRPr="003229F4">
        <w:rPr>
          <w:b/>
        </w:rPr>
        <w:t>320/2001 Sb.</w:t>
      </w:r>
      <w:r w:rsidR="00F55C77" w:rsidRPr="003229F4">
        <w:rPr>
          <w:vertAlign w:val="superscript"/>
        </w:rPr>
        <w:t>6</w:t>
      </w:r>
      <w:r>
        <w:t xml:space="preserve"> </w:t>
      </w:r>
      <w:r w:rsidR="00B53AC5" w:rsidRPr="00723A35">
        <w:t>Horská služba nepředložila v termínu uvedeném v </w:t>
      </w:r>
      <w:r w:rsidR="00A138FA" w:rsidRPr="00723A35">
        <w:t>r</w:t>
      </w:r>
      <w:r w:rsidR="00B53AC5" w:rsidRPr="00723A35">
        <w:t>ozhodnutí o</w:t>
      </w:r>
      <w:r w:rsidR="009267D6">
        <w:t> </w:t>
      </w:r>
      <w:r w:rsidR="00B53AC5" w:rsidRPr="00723A35">
        <w:t>poskytnutí dotace závěrečná vyhodnocení dvou akcí</w:t>
      </w:r>
      <w:r w:rsidR="0045769D" w:rsidRPr="00723A35">
        <w:t xml:space="preserve"> na pořízení a obnovu stanic Horské služby a nákup </w:t>
      </w:r>
      <w:r w:rsidR="0045769D" w:rsidRPr="00723A35">
        <w:lastRenderedPageBreak/>
        <w:t>dopravních prostředků</w:t>
      </w:r>
      <w:r w:rsidR="00B53AC5" w:rsidRPr="00723A35">
        <w:t xml:space="preserve">. </w:t>
      </w:r>
      <w:r w:rsidR="00374165">
        <w:t>T</w:t>
      </w:r>
      <w:r w:rsidR="00B53AC5" w:rsidRPr="004B2F93">
        <w:t>ermín pro jejich předložení uplynul již ke konci roku 2019.</w:t>
      </w:r>
      <w:r w:rsidR="00B53AC5" w:rsidRPr="000F41B5">
        <w:t xml:space="preserve"> </w:t>
      </w:r>
      <w:r w:rsidR="00C15F70">
        <w:t>MMR</w:t>
      </w:r>
      <w:r w:rsidR="0002238C">
        <w:t> –</w:t>
      </w:r>
      <w:r w:rsidR="00C15F70">
        <w:t xml:space="preserve"> </w:t>
      </w:r>
      <w:r w:rsidR="00ED1AFA">
        <w:t>oddělení bezpečnosti a krizového řízení</w:t>
      </w:r>
      <w:r w:rsidR="00605C79">
        <w:t xml:space="preserve"> </w:t>
      </w:r>
      <w:r w:rsidR="00B53AC5" w:rsidRPr="000F41B5">
        <w:t>vyzval</w:t>
      </w:r>
      <w:r w:rsidR="00C15F70">
        <w:t>o</w:t>
      </w:r>
      <w:r w:rsidR="00B53AC5" w:rsidRPr="000F41B5">
        <w:t xml:space="preserve"> </w:t>
      </w:r>
      <w:r w:rsidR="00B53AC5">
        <w:t>Horskou službu</w:t>
      </w:r>
      <w:r w:rsidR="00B53AC5" w:rsidRPr="000F41B5">
        <w:t xml:space="preserve"> k jejich předložení</w:t>
      </w:r>
      <w:r>
        <w:t xml:space="preserve"> až v květnu 2021</w:t>
      </w:r>
      <w:r w:rsidR="00B53AC5" w:rsidRPr="000F41B5">
        <w:t xml:space="preserve">, </w:t>
      </w:r>
      <w:r w:rsidR="00B53AC5">
        <w:t>což bylo</w:t>
      </w:r>
      <w:r w:rsidR="00B53AC5" w:rsidRPr="000F41B5">
        <w:t xml:space="preserve"> více než 16 měsíců po uplynutí lhůty</w:t>
      </w:r>
      <w:r w:rsidR="00B53AC5">
        <w:t xml:space="preserve"> na jejich předložení. </w:t>
      </w:r>
      <w:r w:rsidR="00374165" w:rsidRPr="00723A35">
        <w:t xml:space="preserve">Ke dni </w:t>
      </w:r>
      <w:r w:rsidR="00AD3ADA">
        <w:t xml:space="preserve">skončení </w:t>
      </w:r>
      <w:r w:rsidR="00374165" w:rsidRPr="00723A35">
        <w:t xml:space="preserve">kontroly NKÚ </w:t>
      </w:r>
      <w:r>
        <w:t xml:space="preserve">Horská služba </w:t>
      </w:r>
      <w:r w:rsidR="006756C8">
        <w:t xml:space="preserve">tato </w:t>
      </w:r>
      <w:r>
        <w:t>vyhodnocení ministerstvu nepředložila</w:t>
      </w:r>
      <w:r w:rsidR="00374165" w:rsidRPr="00723A35">
        <w:t xml:space="preserve">. </w:t>
      </w:r>
    </w:p>
    <w:p w14:paraId="7B9BBEA4" w14:textId="69562F70" w:rsidR="00B51391" w:rsidRDefault="001F451A" w:rsidP="003B0804">
      <w:pPr>
        <w:spacing w:before="240"/>
        <w:ind w:left="425" w:hanging="425"/>
        <w:jc w:val="both"/>
      </w:pPr>
      <w:r>
        <w:t>2.2</w:t>
      </w:r>
      <w:r w:rsidR="003B0804">
        <w:tab/>
      </w:r>
      <w:r w:rsidR="00B51391">
        <w:rPr>
          <w:b/>
        </w:rPr>
        <w:t>Ministerstvo pro místní rozvoj</w:t>
      </w:r>
      <w:r w:rsidR="00B51391" w:rsidRPr="00B51391">
        <w:rPr>
          <w:b/>
        </w:rPr>
        <w:t xml:space="preserve"> od prosince 2018 nenastavilo schvalovací postupy pro příkazce operace v souladu se zákonem o finanční kontrole</w:t>
      </w:r>
      <w:r w:rsidR="003229F4">
        <w:rPr>
          <w:vertAlign w:val="superscript"/>
        </w:rPr>
        <w:t>3</w:t>
      </w:r>
      <w:r w:rsidR="00B51391" w:rsidRPr="00B51391">
        <w:rPr>
          <w:b/>
        </w:rPr>
        <w:t xml:space="preserve"> a jeho prováděcí </w:t>
      </w:r>
      <w:r w:rsidR="00B51391" w:rsidRPr="00FA3C76">
        <w:rPr>
          <w:b/>
        </w:rPr>
        <w:t>vyhláškou</w:t>
      </w:r>
      <w:r w:rsidR="003229F4">
        <w:rPr>
          <w:vertAlign w:val="superscript"/>
        </w:rPr>
        <w:t>4</w:t>
      </w:r>
      <w:r w:rsidR="00B51391" w:rsidRPr="00FA3C76">
        <w:rPr>
          <w:b/>
        </w:rPr>
        <w:t xml:space="preserve">, </w:t>
      </w:r>
      <w:r w:rsidR="00B51391" w:rsidRPr="00B51391">
        <w:rPr>
          <w:b/>
        </w:rPr>
        <w:t>neboť v rámci předběžné kontroly neověřovalo efektivnost a dodržení podmínek stanovených pro zadávání veřejných zakázek.</w:t>
      </w:r>
      <w:r w:rsidR="00B51391">
        <w:t xml:space="preserve"> </w:t>
      </w:r>
      <w:r w:rsidR="006756C8">
        <w:t>MMR p</w:t>
      </w:r>
      <w:r w:rsidR="00B51391">
        <w:t>ři</w:t>
      </w:r>
      <w:r w:rsidR="00B51391" w:rsidRPr="00CE418C">
        <w:t xml:space="preserve"> posuzování žádosti neprovádělo kontrolu souladu zadávacího řízení se zákonem </w:t>
      </w:r>
      <w:r w:rsidR="00B51391">
        <w:t>o veřejných zakázkách</w:t>
      </w:r>
      <w:r w:rsidR="00B51391" w:rsidRPr="00CE418C">
        <w:t xml:space="preserve">, ani nepožadovalo od </w:t>
      </w:r>
      <w:r w:rsidR="00B51391">
        <w:t>Horské služby</w:t>
      </w:r>
      <w:r w:rsidR="00B51391" w:rsidRPr="00CE418C">
        <w:t xml:space="preserve"> předložení dokumentace k tomuto </w:t>
      </w:r>
      <w:r w:rsidR="00F825AE">
        <w:t>posouzení</w:t>
      </w:r>
      <w:r w:rsidR="00B51391" w:rsidRPr="00CE418C">
        <w:t xml:space="preserve">. </w:t>
      </w:r>
      <w:r w:rsidR="00BE2129">
        <w:t xml:space="preserve"> </w:t>
      </w:r>
    </w:p>
    <w:p w14:paraId="20ED9BA8" w14:textId="43FAEEEF" w:rsidR="00687052" w:rsidRPr="00DB31F6" w:rsidRDefault="00B51391" w:rsidP="003B0804">
      <w:pPr>
        <w:spacing w:before="240"/>
        <w:ind w:left="425" w:hanging="425"/>
        <w:jc w:val="both"/>
      </w:pPr>
      <w:r w:rsidRPr="00B51391">
        <w:rPr>
          <w:color w:val="000000" w:themeColor="text1"/>
        </w:rPr>
        <w:t>2.3</w:t>
      </w:r>
      <w:r w:rsidR="007772C0">
        <w:rPr>
          <w:b/>
          <w:color w:val="000000" w:themeColor="text1"/>
        </w:rPr>
        <w:tab/>
      </w:r>
      <w:r w:rsidR="000F41B5" w:rsidRPr="00995CC6">
        <w:t xml:space="preserve">MMR </w:t>
      </w:r>
      <w:r w:rsidR="00DA1C62">
        <w:t>v kontrolovaném období 2015</w:t>
      </w:r>
      <w:r w:rsidR="0040502C">
        <w:t>–</w:t>
      </w:r>
      <w:r w:rsidR="00DA1C62">
        <w:t xml:space="preserve">2020 vykonalo </w:t>
      </w:r>
      <w:r w:rsidR="00DB31F6">
        <w:t>u Centra a</w:t>
      </w:r>
      <w:r w:rsidR="0002238C">
        <w:t> agentury</w:t>
      </w:r>
      <w:r w:rsidR="00DB31F6">
        <w:t xml:space="preserve"> </w:t>
      </w:r>
      <w:proofErr w:type="spellStart"/>
      <w:r w:rsidR="00DB31F6">
        <w:t>CzechTourism</w:t>
      </w:r>
      <w:proofErr w:type="spellEnd"/>
      <w:r w:rsidR="00463E92">
        <w:t xml:space="preserve"> </w:t>
      </w:r>
      <w:r w:rsidR="00DA1C62">
        <w:t>dvě následné veřejnosprávní kontroly.</w:t>
      </w:r>
      <w:r w:rsidR="00DF09CE">
        <w:t xml:space="preserve"> </w:t>
      </w:r>
      <w:r w:rsidR="004D2F01" w:rsidRPr="00D679A6">
        <w:rPr>
          <w:color w:val="000000" w:themeColor="text1"/>
        </w:rPr>
        <w:t>Zrušení funkce interního auditu u</w:t>
      </w:r>
      <w:r w:rsidR="0002238C">
        <w:rPr>
          <w:color w:val="000000" w:themeColor="text1"/>
        </w:rPr>
        <w:t> agentury</w:t>
      </w:r>
      <w:r w:rsidR="004D2F01" w:rsidRPr="00D679A6">
        <w:rPr>
          <w:color w:val="000000" w:themeColor="text1"/>
        </w:rPr>
        <w:t xml:space="preserve"> </w:t>
      </w:r>
      <w:proofErr w:type="spellStart"/>
      <w:r w:rsidR="004D2F01">
        <w:rPr>
          <w:color w:val="000000" w:themeColor="text1"/>
        </w:rPr>
        <w:t>CzechTourism</w:t>
      </w:r>
      <w:proofErr w:type="spellEnd"/>
      <w:r w:rsidR="004D2F01" w:rsidRPr="00D679A6">
        <w:rPr>
          <w:color w:val="000000" w:themeColor="text1"/>
        </w:rPr>
        <w:t xml:space="preserve"> </w:t>
      </w:r>
      <w:r w:rsidR="004D2F01">
        <w:rPr>
          <w:color w:val="000000" w:themeColor="text1"/>
        </w:rPr>
        <w:t xml:space="preserve">přitom </w:t>
      </w:r>
      <w:r w:rsidR="004D2F01" w:rsidRPr="00D679A6">
        <w:rPr>
          <w:color w:val="000000" w:themeColor="text1"/>
        </w:rPr>
        <w:t>mělo být spojeno s veřejnosprávní kontrolou realizovanou odborem kontroly MMR, a to navíc rozšířenou o oblast, kterou se zabýv</w:t>
      </w:r>
      <w:r w:rsidR="004D2F01">
        <w:rPr>
          <w:color w:val="000000" w:themeColor="text1"/>
        </w:rPr>
        <w:t>al</w:t>
      </w:r>
      <w:r w:rsidR="004D2F01" w:rsidRPr="00D679A6">
        <w:rPr>
          <w:color w:val="000000" w:themeColor="text1"/>
        </w:rPr>
        <w:t xml:space="preserve"> interní audit. </w:t>
      </w:r>
      <w:r w:rsidR="004D2F01">
        <w:rPr>
          <w:color w:val="000000" w:themeColor="text1"/>
        </w:rPr>
        <w:t xml:space="preserve">Tuto skutečnost </w:t>
      </w:r>
      <w:r w:rsidR="004D2F01" w:rsidRPr="00D679A6">
        <w:rPr>
          <w:color w:val="000000" w:themeColor="text1"/>
        </w:rPr>
        <w:t xml:space="preserve">mělo </w:t>
      </w:r>
      <w:r w:rsidR="004D2F01">
        <w:rPr>
          <w:color w:val="000000" w:themeColor="text1"/>
        </w:rPr>
        <w:t xml:space="preserve">MMR </w:t>
      </w:r>
      <w:r w:rsidR="004D2F01" w:rsidRPr="00D679A6">
        <w:rPr>
          <w:color w:val="000000" w:themeColor="text1"/>
        </w:rPr>
        <w:t>při plánování a realizaci kontrol zohlednit, což se však v letech 2019 a 2020 nestalo.</w:t>
      </w:r>
      <w:r w:rsidR="004D2F01">
        <w:rPr>
          <w:color w:val="000000" w:themeColor="text1"/>
        </w:rPr>
        <w:t xml:space="preserve"> </w:t>
      </w:r>
      <w:r w:rsidR="00E80D24" w:rsidRPr="00DB31F6">
        <w:rPr>
          <w:b/>
        </w:rPr>
        <w:t xml:space="preserve">MMR v rámci těchto následných veřejnosprávních kontrol na místě </w:t>
      </w:r>
      <w:r w:rsidR="004F2F22" w:rsidRPr="00DB31F6">
        <w:rPr>
          <w:b/>
        </w:rPr>
        <w:t xml:space="preserve">provedených </w:t>
      </w:r>
      <w:r w:rsidR="00E80D24" w:rsidRPr="00DB31F6">
        <w:rPr>
          <w:b/>
        </w:rPr>
        <w:t xml:space="preserve">u </w:t>
      </w:r>
      <w:r w:rsidR="004F2F22" w:rsidRPr="00DB31F6">
        <w:rPr>
          <w:b/>
        </w:rPr>
        <w:t>Centra a</w:t>
      </w:r>
      <w:r w:rsidR="0040502C">
        <w:rPr>
          <w:b/>
        </w:rPr>
        <w:t> </w:t>
      </w:r>
      <w:r w:rsidR="0002238C">
        <w:rPr>
          <w:b/>
        </w:rPr>
        <w:t xml:space="preserve">agentury </w:t>
      </w:r>
      <w:proofErr w:type="spellStart"/>
      <w:r w:rsidR="004F2F22" w:rsidRPr="00DB31F6">
        <w:rPr>
          <w:b/>
        </w:rPr>
        <w:t>CzechTourism</w:t>
      </w:r>
      <w:proofErr w:type="spellEnd"/>
      <w:r w:rsidR="00E80D24" w:rsidRPr="00DB31F6">
        <w:rPr>
          <w:b/>
        </w:rPr>
        <w:t xml:space="preserve"> neověřoval</w:t>
      </w:r>
      <w:r w:rsidR="00687052" w:rsidRPr="00DB31F6">
        <w:rPr>
          <w:b/>
        </w:rPr>
        <w:t>o</w:t>
      </w:r>
      <w:r w:rsidR="00E80D24" w:rsidRPr="00DB31F6">
        <w:rPr>
          <w:b/>
        </w:rPr>
        <w:t xml:space="preserve"> </w:t>
      </w:r>
      <w:r w:rsidR="008E495F">
        <w:rPr>
          <w:b/>
        </w:rPr>
        <w:t>dodržování zákona o</w:t>
      </w:r>
      <w:r w:rsidR="0002238C">
        <w:rPr>
          <w:b/>
        </w:rPr>
        <w:t> </w:t>
      </w:r>
      <w:r w:rsidR="008E495F">
        <w:rPr>
          <w:b/>
        </w:rPr>
        <w:t>zadávání veřejných zakázek</w:t>
      </w:r>
      <w:r w:rsidR="0002238C">
        <w:rPr>
          <w:b/>
        </w:rPr>
        <w:t>,</w:t>
      </w:r>
      <w:r w:rsidR="008E495F">
        <w:t xml:space="preserve"> </w:t>
      </w:r>
      <w:r w:rsidR="008E495F" w:rsidRPr="008E495F">
        <w:rPr>
          <w:b/>
        </w:rPr>
        <w:t>a</w:t>
      </w:r>
      <w:r w:rsidR="0040502C">
        <w:rPr>
          <w:b/>
        </w:rPr>
        <w:t> </w:t>
      </w:r>
      <w:r w:rsidR="008E495F" w:rsidRPr="008E495F">
        <w:rPr>
          <w:b/>
        </w:rPr>
        <w:t>postupovalo tak v </w:t>
      </w:r>
      <w:r w:rsidR="0002238C">
        <w:rPr>
          <w:b/>
        </w:rPr>
        <w:t>rozporu</w:t>
      </w:r>
      <w:r w:rsidR="008E495F" w:rsidRPr="008E495F">
        <w:rPr>
          <w:b/>
        </w:rPr>
        <w:t xml:space="preserve"> </w:t>
      </w:r>
      <w:r w:rsidR="002C264A">
        <w:rPr>
          <w:b/>
        </w:rPr>
        <w:t>s vlastním vnitřním předpisem</w:t>
      </w:r>
      <w:r w:rsidR="008E495F">
        <w:t>.</w:t>
      </w:r>
    </w:p>
    <w:p w14:paraId="56793C18" w14:textId="03955ACC" w:rsidR="00DB31F6" w:rsidRDefault="00687052" w:rsidP="008265F7">
      <w:pPr>
        <w:pStyle w:val="KPnormln"/>
        <w:spacing w:before="0"/>
        <w:ind w:left="426" w:firstLine="0"/>
        <w:rPr>
          <w:color w:val="000000" w:themeColor="text1"/>
        </w:rPr>
      </w:pPr>
      <w:r>
        <w:t xml:space="preserve">U Horské služby provedlo </w:t>
      </w:r>
      <w:r w:rsidR="00E80D24" w:rsidRPr="0005204E">
        <w:t xml:space="preserve">MMR </w:t>
      </w:r>
      <w:r w:rsidR="00E80D24" w:rsidRPr="002307BE">
        <w:t>v</w:t>
      </w:r>
      <w:r w:rsidR="00E80D24">
        <w:t> </w:t>
      </w:r>
      <w:r w:rsidR="00E80D24" w:rsidRPr="002307BE">
        <w:t>letech 2015</w:t>
      </w:r>
      <w:r w:rsidR="005A1722">
        <w:t>–</w:t>
      </w:r>
      <w:r w:rsidR="00E80D24" w:rsidRPr="002307BE">
        <w:t>2017</w:t>
      </w:r>
      <w:r w:rsidR="00E80D24">
        <w:t xml:space="preserve"> </w:t>
      </w:r>
      <w:r w:rsidR="008D5650">
        <w:t>devět kontrol a u šesti z nich bylo jejich s</w:t>
      </w:r>
      <w:r w:rsidRPr="00687052">
        <w:t xml:space="preserve">oučástí </w:t>
      </w:r>
      <w:r w:rsidR="00E80D24" w:rsidRPr="00687052">
        <w:t xml:space="preserve">i posouzení, zda bylo výběrové řízení </w:t>
      </w:r>
      <w:r w:rsidRPr="00687052">
        <w:t xml:space="preserve">provedeno </w:t>
      </w:r>
      <w:r w:rsidR="00E80D24" w:rsidRPr="00687052">
        <w:t>v souladu se zákonem</w:t>
      </w:r>
      <w:r w:rsidR="00FA3C76" w:rsidRPr="00FA3C76">
        <w:rPr>
          <w:vertAlign w:val="superscript"/>
        </w:rPr>
        <w:t>2</w:t>
      </w:r>
      <w:r w:rsidR="00E80D24" w:rsidRPr="00687052">
        <w:t xml:space="preserve">. </w:t>
      </w:r>
      <w:r w:rsidR="00B53E43">
        <w:t xml:space="preserve">MMR </w:t>
      </w:r>
      <w:r w:rsidR="006155EB">
        <w:t>při těchto kontrolách</w:t>
      </w:r>
      <w:r w:rsidR="008D5650">
        <w:t xml:space="preserve"> </w:t>
      </w:r>
      <w:r w:rsidR="006155EB">
        <w:t xml:space="preserve">nezjistilo </w:t>
      </w:r>
      <w:r>
        <w:t xml:space="preserve">žádná </w:t>
      </w:r>
      <w:r w:rsidR="00E80D24">
        <w:t>porušení podmínek vyplývajících z</w:t>
      </w:r>
      <w:r>
        <w:t> </w:t>
      </w:r>
      <w:r w:rsidR="00A138FA">
        <w:t>r</w:t>
      </w:r>
      <w:r>
        <w:t>ozhodnutí o</w:t>
      </w:r>
      <w:r w:rsidR="00C20187">
        <w:t> </w:t>
      </w:r>
      <w:r>
        <w:t>poskytnutí dotace</w:t>
      </w:r>
      <w:r w:rsidR="00F825AE">
        <w:t xml:space="preserve"> a</w:t>
      </w:r>
      <w:r w:rsidR="00E80D24">
        <w:t xml:space="preserve"> </w:t>
      </w:r>
      <w:r w:rsidR="0045769D">
        <w:t>p</w:t>
      </w:r>
      <w:r w:rsidR="00E80D24">
        <w:t xml:space="preserve">rávních předpisů. </w:t>
      </w:r>
      <w:r w:rsidR="00E80D24" w:rsidRPr="008E495F">
        <w:rPr>
          <w:b/>
        </w:rPr>
        <w:t>Za období od roku 2018</w:t>
      </w:r>
      <w:r w:rsidR="00D576E8">
        <w:rPr>
          <w:b/>
        </w:rPr>
        <w:t xml:space="preserve"> </w:t>
      </w:r>
      <w:r w:rsidR="0002238C">
        <w:rPr>
          <w:b/>
        </w:rPr>
        <w:t xml:space="preserve">do roku </w:t>
      </w:r>
      <w:r w:rsidR="00E80D24" w:rsidRPr="008E495F">
        <w:rPr>
          <w:b/>
        </w:rPr>
        <w:t xml:space="preserve">2020 </w:t>
      </w:r>
      <w:r w:rsidRPr="008E495F">
        <w:rPr>
          <w:b/>
        </w:rPr>
        <w:t>ministerstvo</w:t>
      </w:r>
      <w:r w:rsidR="00E80D24" w:rsidRPr="008E495F">
        <w:rPr>
          <w:b/>
        </w:rPr>
        <w:t xml:space="preserve"> </w:t>
      </w:r>
      <w:r w:rsidR="00EF52D8">
        <w:rPr>
          <w:b/>
        </w:rPr>
        <w:t xml:space="preserve">neprovedlo </w:t>
      </w:r>
      <w:r w:rsidR="00E80D24" w:rsidRPr="008E495F">
        <w:rPr>
          <w:b/>
        </w:rPr>
        <w:t>žádn</w:t>
      </w:r>
      <w:r w:rsidRPr="008E495F">
        <w:rPr>
          <w:b/>
        </w:rPr>
        <w:t xml:space="preserve">é následné </w:t>
      </w:r>
      <w:r w:rsidR="00E80D24" w:rsidRPr="008E495F">
        <w:rPr>
          <w:b/>
        </w:rPr>
        <w:t>kontroly u Horské služby</w:t>
      </w:r>
      <w:r w:rsidRPr="008E495F">
        <w:rPr>
          <w:b/>
        </w:rPr>
        <w:t xml:space="preserve"> zaměřené na </w:t>
      </w:r>
      <w:r w:rsidR="00E80D24" w:rsidRPr="008E495F">
        <w:rPr>
          <w:b/>
        </w:rPr>
        <w:t xml:space="preserve">dodržování zákona o zadávání veřejných zakázek nebo </w:t>
      </w:r>
      <w:r w:rsidR="006155EB">
        <w:rPr>
          <w:b/>
        </w:rPr>
        <w:t xml:space="preserve">jakékoliv jiné následné veřejnosprávní kontroly. </w:t>
      </w:r>
    </w:p>
    <w:p w14:paraId="04034A2D" w14:textId="77777777" w:rsidR="00E229A3" w:rsidRPr="00E229A3" w:rsidRDefault="0063626D" w:rsidP="00FA493E">
      <w:pPr>
        <w:pStyle w:val="Nadpis2"/>
        <w:numPr>
          <w:ilvl w:val="0"/>
          <w:numId w:val="3"/>
        </w:numPr>
        <w:spacing w:after="120"/>
        <w:ind w:left="425" w:hanging="425"/>
      </w:pPr>
      <w:r>
        <w:t>Hospodaření v s</w:t>
      </w:r>
      <w:r w:rsidR="00AD3ADA">
        <w:t>oulad</w:t>
      </w:r>
      <w:r>
        <w:t>u</w:t>
      </w:r>
      <w:r w:rsidR="00AD3ADA">
        <w:t xml:space="preserve"> s právními předpisy </w:t>
      </w:r>
      <w:r w:rsidR="005A1722">
        <w:t>–</w:t>
      </w:r>
      <w:r w:rsidR="00AD3ADA">
        <w:t xml:space="preserve"> </w:t>
      </w:r>
      <w:r w:rsidR="00956AFF">
        <w:t>r</w:t>
      </w:r>
      <w:r w:rsidR="008D5650">
        <w:t xml:space="preserve">ealizace </w:t>
      </w:r>
      <w:r w:rsidR="00760982">
        <w:t>veřejných zakázek</w:t>
      </w:r>
    </w:p>
    <w:p w14:paraId="0D415194" w14:textId="13C8F710" w:rsidR="006824D2" w:rsidRDefault="006824D2" w:rsidP="003B0804">
      <w:pPr>
        <w:pStyle w:val="Odstavecseseznamem"/>
        <w:spacing w:after="240"/>
        <w:ind w:left="425" w:hanging="425"/>
        <w:jc w:val="both"/>
      </w:pPr>
      <w:r>
        <w:t>3.1</w:t>
      </w:r>
      <w:r w:rsidR="003B0804">
        <w:tab/>
      </w:r>
      <w:r w:rsidR="0002238C">
        <w:t xml:space="preserve">Agentura </w:t>
      </w:r>
      <w:proofErr w:type="spellStart"/>
      <w:r w:rsidRPr="00984082">
        <w:rPr>
          <w:b/>
        </w:rPr>
        <w:t>CzechTourism</w:t>
      </w:r>
      <w:proofErr w:type="spellEnd"/>
      <w:r w:rsidRPr="006824D2">
        <w:t xml:space="preserve"> pořizoval</w:t>
      </w:r>
      <w:r w:rsidR="0002238C">
        <w:t>a</w:t>
      </w:r>
      <w:r w:rsidRPr="006824D2">
        <w:t xml:space="preserve"> služby, s výjimkou některých případů</w:t>
      </w:r>
      <w:r w:rsidRPr="006824D2">
        <w:rPr>
          <w:rStyle w:val="Znakapoznpodarou"/>
        </w:rPr>
        <w:footnoteReference w:id="22"/>
      </w:r>
      <w:r w:rsidRPr="006824D2">
        <w:t>, v</w:t>
      </w:r>
      <w:r w:rsidR="00984082">
        <w:t xml:space="preserve"> </w:t>
      </w:r>
      <w:r w:rsidRPr="006824D2">
        <w:t>souladu s</w:t>
      </w:r>
      <w:r w:rsidR="0002238C">
        <w:t> </w:t>
      </w:r>
      <w:r w:rsidRPr="006824D2">
        <w:t>právními předpisy. Porušení zákona o veřejných zakázkách</w:t>
      </w:r>
      <w:r w:rsidRPr="006824D2">
        <w:rPr>
          <w:vertAlign w:val="superscript"/>
        </w:rPr>
        <w:t>10</w:t>
      </w:r>
      <w:r w:rsidRPr="006824D2">
        <w:t xml:space="preserve"> bylo zjištěno například při zajišťování ostrahy objektu sídla</w:t>
      </w:r>
      <w:r w:rsidR="0002238C">
        <w:t xml:space="preserve"> agentury</w:t>
      </w:r>
      <w:r w:rsidRPr="006824D2">
        <w:t xml:space="preserve"> </w:t>
      </w:r>
      <w:proofErr w:type="spellStart"/>
      <w:r w:rsidRPr="006824D2">
        <w:t>CzechTourism</w:t>
      </w:r>
      <w:proofErr w:type="spellEnd"/>
      <w:r w:rsidRPr="006824D2">
        <w:t>.</w:t>
      </w:r>
      <w:r w:rsidR="00792857" w:rsidRPr="006824D2">
        <w:t xml:space="preserve"> </w:t>
      </w:r>
      <w:r w:rsidR="0002238C">
        <w:t xml:space="preserve">Agentura </w:t>
      </w:r>
      <w:proofErr w:type="spellStart"/>
      <w:r w:rsidRPr="006824D2">
        <w:t>CzechTourism</w:t>
      </w:r>
      <w:proofErr w:type="spellEnd"/>
      <w:r w:rsidRPr="006824D2">
        <w:t xml:space="preserve"> nevybral</w:t>
      </w:r>
      <w:r w:rsidR="0002238C">
        <w:t>a</w:t>
      </w:r>
      <w:r w:rsidRPr="006824D2">
        <w:t xml:space="preserve"> dodavatele těchto služeb na základě vlastního transparentního výběrového</w:t>
      </w:r>
      <w:r>
        <w:t xml:space="preserve"> řízení a dodavatel nebyl vybrán ani v rámci centralizovaného systému pro nákup služeb ostrahy a úklidu ministerstvem jako centrálním zadavatelem (viz příklad č. 1). </w:t>
      </w:r>
    </w:p>
    <w:p w14:paraId="1DE35B35" w14:textId="77777777" w:rsidR="00B87E61" w:rsidRPr="0095709E" w:rsidRDefault="00B87E61" w:rsidP="00917EE3">
      <w:pPr>
        <w:keepNext/>
        <w:pBdr>
          <w:top w:val="single" w:sz="4" w:space="1" w:color="auto"/>
          <w:left w:val="single" w:sz="4" w:space="4" w:color="auto"/>
          <w:bottom w:val="single" w:sz="4" w:space="1" w:color="auto"/>
          <w:right w:val="single" w:sz="4" w:space="4" w:color="auto"/>
        </w:pBdr>
        <w:ind w:left="567"/>
        <w:jc w:val="both"/>
        <w:rPr>
          <w:b/>
          <w:color w:val="0070C0"/>
        </w:rPr>
      </w:pPr>
      <w:r w:rsidRPr="0095709E">
        <w:rPr>
          <w:b/>
          <w:color w:val="0070C0"/>
        </w:rPr>
        <w:t>Příklad č. 1</w:t>
      </w:r>
      <w:r>
        <w:rPr>
          <w:b/>
          <w:color w:val="0070C0"/>
        </w:rPr>
        <w:t xml:space="preserve"> </w:t>
      </w:r>
    </w:p>
    <w:p w14:paraId="362EBBD3" w14:textId="6065CA69" w:rsidR="002F1DAA" w:rsidRDefault="0002238C" w:rsidP="00917EE3">
      <w:pPr>
        <w:pBdr>
          <w:top w:val="single" w:sz="4" w:space="1" w:color="auto"/>
          <w:left w:val="single" w:sz="4" w:space="4" w:color="auto"/>
          <w:bottom w:val="single" w:sz="4" w:space="1" w:color="auto"/>
          <w:right w:val="single" w:sz="4" w:space="4" w:color="auto"/>
        </w:pBdr>
        <w:ind w:left="567"/>
        <w:jc w:val="both"/>
        <w:rPr>
          <w:i/>
        </w:rPr>
      </w:pPr>
      <w:r>
        <w:rPr>
          <w:i/>
        </w:rPr>
        <w:t xml:space="preserve">Agentura </w:t>
      </w:r>
      <w:proofErr w:type="spellStart"/>
      <w:r w:rsidR="000A474C">
        <w:rPr>
          <w:i/>
        </w:rPr>
        <w:t>CzechTourism</w:t>
      </w:r>
      <w:proofErr w:type="spellEnd"/>
      <w:r w:rsidR="000A474C">
        <w:rPr>
          <w:i/>
        </w:rPr>
        <w:t xml:space="preserve"> uzavřel</w:t>
      </w:r>
      <w:r>
        <w:rPr>
          <w:i/>
        </w:rPr>
        <w:t>a</w:t>
      </w:r>
      <w:r w:rsidR="000A474C">
        <w:rPr>
          <w:i/>
        </w:rPr>
        <w:t xml:space="preserve"> s dodavatelem smlouvu o poskytování služeb souvisejících se zabezpečením ostrahy </w:t>
      </w:r>
      <w:r w:rsidR="00D00899">
        <w:rPr>
          <w:i/>
        </w:rPr>
        <w:t>svého sídla</w:t>
      </w:r>
      <w:r w:rsidR="000A474C">
        <w:rPr>
          <w:i/>
        </w:rPr>
        <w:t>. Smlouv</w:t>
      </w:r>
      <w:r>
        <w:rPr>
          <w:i/>
        </w:rPr>
        <w:t>a byla</w:t>
      </w:r>
      <w:r w:rsidR="000A474C">
        <w:rPr>
          <w:i/>
        </w:rPr>
        <w:t xml:space="preserve"> </w:t>
      </w:r>
      <w:r>
        <w:rPr>
          <w:i/>
        </w:rPr>
        <w:t>uzavřena</w:t>
      </w:r>
      <w:r w:rsidR="000A474C">
        <w:rPr>
          <w:i/>
        </w:rPr>
        <w:t xml:space="preserve"> </w:t>
      </w:r>
      <w:r w:rsidR="002F1DAA">
        <w:rPr>
          <w:i/>
        </w:rPr>
        <w:t>dne 29.</w:t>
      </w:r>
      <w:r>
        <w:rPr>
          <w:i/>
        </w:rPr>
        <w:t> </w:t>
      </w:r>
      <w:r w:rsidR="002F1DAA">
        <w:rPr>
          <w:i/>
        </w:rPr>
        <w:t>2.</w:t>
      </w:r>
      <w:r>
        <w:rPr>
          <w:i/>
        </w:rPr>
        <w:t> </w:t>
      </w:r>
      <w:r w:rsidR="002F1DAA">
        <w:rPr>
          <w:i/>
        </w:rPr>
        <w:t>2008</w:t>
      </w:r>
      <w:r w:rsidR="002F1DAA">
        <w:rPr>
          <w:rStyle w:val="Znakapoznpodarou"/>
          <w:i/>
        </w:rPr>
        <w:footnoteReference w:id="23"/>
      </w:r>
      <w:r w:rsidR="002F1DAA">
        <w:rPr>
          <w:i/>
        </w:rPr>
        <w:t xml:space="preserve"> na dobu určitou 54</w:t>
      </w:r>
      <w:r w:rsidR="00917EE3">
        <w:rPr>
          <w:i/>
        </w:rPr>
        <w:t> </w:t>
      </w:r>
      <w:r w:rsidR="002F1DAA">
        <w:rPr>
          <w:i/>
        </w:rPr>
        <w:t>měsíců</w:t>
      </w:r>
      <w:r>
        <w:rPr>
          <w:i/>
        </w:rPr>
        <w:t>,</w:t>
      </w:r>
      <w:r w:rsidR="002F1DAA">
        <w:rPr>
          <w:i/>
        </w:rPr>
        <w:t xml:space="preserve"> a plněno tak mělo být do 30. 9. 2012. </w:t>
      </w:r>
    </w:p>
    <w:p w14:paraId="39E850A4" w14:textId="77777777" w:rsidR="000A474C" w:rsidRDefault="0002238C" w:rsidP="00917EE3">
      <w:pPr>
        <w:pBdr>
          <w:top w:val="single" w:sz="4" w:space="1" w:color="auto"/>
          <w:left w:val="single" w:sz="4" w:space="4" w:color="auto"/>
          <w:bottom w:val="single" w:sz="4" w:space="1" w:color="auto"/>
          <w:right w:val="single" w:sz="4" w:space="4" w:color="auto"/>
        </w:pBdr>
        <w:ind w:left="567"/>
        <w:jc w:val="both"/>
        <w:rPr>
          <w:i/>
        </w:rPr>
      </w:pPr>
      <w:r>
        <w:rPr>
          <w:i/>
        </w:rPr>
        <w:t xml:space="preserve">Agentura </w:t>
      </w:r>
      <w:proofErr w:type="spellStart"/>
      <w:r w:rsidR="000A474C">
        <w:rPr>
          <w:i/>
        </w:rPr>
        <w:t>CzechTourism</w:t>
      </w:r>
      <w:proofErr w:type="spellEnd"/>
      <w:r w:rsidR="000A474C">
        <w:rPr>
          <w:i/>
        </w:rPr>
        <w:t xml:space="preserve"> očekával</w:t>
      </w:r>
      <w:r>
        <w:rPr>
          <w:i/>
        </w:rPr>
        <w:t>a</w:t>
      </w:r>
      <w:r w:rsidR="000A474C">
        <w:rPr>
          <w:i/>
        </w:rPr>
        <w:t xml:space="preserve"> zahájení zadání centralizované veřejné zakázky MMR </w:t>
      </w:r>
      <w:r w:rsidR="002F1DAA">
        <w:rPr>
          <w:i/>
        </w:rPr>
        <w:t>na základě</w:t>
      </w:r>
      <w:r w:rsidR="000A474C">
        <w:rPr>
          <w:i/>
        </w:rPr>
        <w:t xml:space="preserve"> požadavku vlády ČR </w:t>
      </w:r>
      <w:r w:rsidR="002F1DAA">
        <w:rPr>
          <w:i/>
        </w:rPr>
        <w:t xml:space="preserve">z roku 2011 </w:t>
      </w:r>
      <w:r w:rsidR="000A474C">
        <w:rPr>
          <w:i/>
        </w:rPr>
        <w:t xml:space="preserve">na centralizované zadávání veřejných </w:t>
      </w:r>
      <w:r w:rsidR="000A474C">
        <w:rPr>
          <w:i/>
        </w:rPr>
        <w:lastRenderedPageBreak/>
        <w:t>zakázek. MMR však centrální výběrová řízení</w:t>
      </w:r>
      <w:r w:rsidR="002F1DAA">
        <w:rPr>
          <w:i/>
        </w:rPr>
        <w:t xml:space="preserve"> na zajištění ostrahy pro více objektů v resortu MMR</w:t>
      </w:r>
      <w:r w:rsidR="000A474C">
        <w:rPr>
          <w:i/>
        </w:rPr>
        <w:t xml:space="preserve"> průběžně rušil</w:t>
      </w:r>
      <w:r>
        <w:rPr>
          <w:i/>
        </w:rPr>
        <w:t>o</w:t>
      </w:r>
      <w:r w:rsidR="000A474C">
        <w:rPr>
          <w:i/>
        </w:rPr>
        <w:t xml:space="preserve"> a </w:t>
      </w:r>
      <w:r w:rsidR="002F1DAA">
        <w:rPr>
          <w:i/>
        </w:rPr>
        <w:t>nedokončil</w:t>
      </w:r>
      <w:r>
        <w:rPr>
          <w:i/>
        </w:rPr>
        <w:t>o</w:t>
      </w:r>
      <w:r w:rsidR="002F1DAA">
        <w:rPr>
          <w:i/>
        </w:rPr>
        <w:t xml:space="preserve">. </w:t>
      </w:r>
    </w:p>
    <w:p w14:paraId="206A65E4" w14:textId="3C13101C" w:rsidR="00B87E61" w:rsidRDefault="0002238C" w:rsidP="00917EE3">
      <w:pPr>
        <w:pBdr>
          <w:top w:val="single" w:sz="4" w:space="1" w:color="auto"/>
          <w:left w:val="single" w:sz="4" w:space="4" w:color="auto"/>
          <w:bottom w:val="single" w:sz="4" w:space="1" w:color="auto"/>
          <w:right w:val="single" w:sz="4" w:space="4" w:color="auto"/>
        </w:pBdr>
        <w:ind w:left="567"/>
        <w:jc w:val="both"/>
        <w:rPr>
          <w:i/>
        </w:rPr>
      </w:pPr>
      <w:r>
        <w:rPr>
          <w:i/>
        </w:rPr>
        <w:t xml:space="preserve">Agentura </w:t>
      </w:r>
      <w:proofErr w:type="spellStart"/>
      <w:r w:rsidR="002F1DAA">
        <w:rPr>
          <w:i/>
        </w:rPr>
        <w:t>CzechTourism</w:t>
      </w:r>
      <w:proofErr w:type="spellEnd"/>
      <w:r w:rsidR="002F1DAA">
        <w:rPr>
          <w:i/>
        </w:rPr>
        <w:t xml:space="preserve"> t</w:t>
      </w:r>
      <w:r w:rsidR="00C273A5">
        <w:rPr>
          <w:i/>
        </w:rPr>
        <w:t>ak</w:t>
      </w:r>
      <w:r w:rsidR="002F1DAA">
        <w:rPr>
          <w:i/>
        </w:rPr>
        <w:t xml:space="preserve"> v rozporu</w:t>
      </w:r>
      <w:r w:rsidR="00371978">
        <w:rPr>
          <w:i/>
        </w:rPr>
        <w:t xml:space="preserve"> </w:t>
      </w:r>
      <w:r w:rsidR="00371978" w:rsidRPr="008128FA">
        <w:rPr>
          <w:i/>
        </w:rPr>
        <w:t xml:space="preserve">se zákonem o </w:t>
      </w:r>
      <w:r w:rsidR="008128FA" w:rsidRPr="008128FA">
        <w:rPr>
          <w:i/>
        </w:rPr>
        <w:t>veřejných zakázkách</w:t>
      </w:r>
      <w:r w:rsidR="002F1DAA">
        <w:rPr>
          <w:i/>
        </w:rPr>
        <w:t xml:space="preserve"> přistoupil</w:t>
      </w:r>
      <w:r>
        <w:rPr>
          <w:i/>
        </w:rPr>
        <w:t>a</w:t>
      </w:r>
      <w:r w:rsidR="002F1DAA">
        <w:rPr>
          <w:i/>
        </w:rPr>
        <w:t xml:space="preserve"> k uzavření sedmi dodatků, kterými byla doba plnění prodloužena celkově o 45 měsíců. </w:t>
      </w:r>
      <w:r>
        <w:rPr>
          <w:i/>
        </w:rPr>
        <w:t xml:space="preserve">Agentura </w:t>
      </w:r>
      <w:proofErr w:type="spellStart"/>
      <w:r w:rsidR="00923A93">
        <w:rPr>
          <w:i/>
        </w:rPr>
        <w:t>CzechTourim</w:t>
      </w:r>
      <w:proofErr w:type="spellEnd"/>
      <w:r w:rsidR="00923A93">
        <w:rPr>
          <w:i/>
        </w:rPr>
        <w:t xml:space="preserve"> vyplatil</w:t>
      </w:r>
      <w:r>
        <w:rPr>
          <w:i/>
        </w:rPr>
        <w:t>a</w:t>
      </w:r>
      <w:r w:rsidR="00923A93">
        <w:rPr>
          <w:i/>
        </w:rPr>
        <w:t xml:space="preserve"> na základě uvedených dodatků částku ve výši 2 304 000 Kč. </w:t>
      </w:r>
      <w:r w:rsidR="002F1DAA">
        <w:rPr>
          <w:i/>
        </w:rPr>
        <w:t xml:space="preserve">Na postup v rozporu se zákonem o zadávání veřejných zakázek </w:t>
      </w:r>
      <w:r>
        <w:rPr>
          <w:i/>
        </w:rPr>
        <w:t>agentur</w:t>
      </w:r>
      <w:r w:rsidR="00F72F13">
        <w:rPr>
          <w:i/>
        </w:rPr>
        <w:t>a</w:t>
      </w:r>
      <w:r>
        <w:rPr>
          <w:i/>
        </w:rPr>
        <w:t xml:space="preserve"> </w:t>
      </w:r>
      <w:proofErr w:type="spellStart"/>
      <w:r w:rsidR="00C80516">
        <w:rPr>
          <w:i/>
        </w:rPr>
        <w:t>CzechTourism</w:t>
      </w:r>
      <w:proofErr w:type="spellEnd"/>
      <w:r w:rsidR="00C80516">
        <w:rPr>
          <w:i/>
        </w:rPr>
        <w:t xml:space="preserve"> </w:t>
      </w:r>
      <w:r w:rsidR="002F1DAA">
        <w:rPr>
          <w:i/>
        </w:rPr>
        <w:t>upozornil</w:t>
      </w:r>
      <w:r w:rsidR="00F72F13">
        <w:rPr>
          <w:i/>
        </w:rPr>
        <w:t>a</w:t>
      </w:r>
      <w:r w:rsidR="002F1DAA">
        <w:rPr>
          <w:i/>
        </w:rPr>
        <w:t xml:space="preserve"> i </w:t>
      </w:r>
      <w:r w:rsidR="00C80516">
        <w:rPr>
          <w:i/>
        </w:rPr>
        <w:t>ministerstvo</w:t>
      </w:r>
      <w:r w:rsidR="00D00899">
        <w:rPr>
          <w:i/>
        </w:rPr>
        <w:t xml:space="preserve">, které však s prodlužováním </w:t>
      </w:r>
      <w:r w:rsidR="00371978">
        <w:rPr>
          <w:i/>
        </w:rPr>
        <w:t xml:space="preserve">smluv prostřednictvím </w:t>
      </w:r>
      <w:r w:rsidR="00D00899">
        <w:rPr>
          <w:i/>
        </w:rPr>
        <w:t xml:space="preserve">dodatků souhlasilo. </w:t>
      </w:r>
    </w:p>
    <w:p w14:paraId="2CD3AC27" w14:textId="77777777" w:rsidR="000A474C" w:rsidRPr="000A474C" w:rsidRDefault="004C6639" w:rsidP="00917EE3">
      <w:pPr>
        <w:pBdr>
          <w:top w:val="single" w:sz="4" w:space="1" w:color="auto"/>
          <w:left w:val="single" w:sz="4" w:space="4" w:color="auto"/>
          <w:bottom w:val="single" w:sz="4" w:space="1" w:color="auto"/>
          <w:right w:val="single" w:sz="4" w:space="4" w:color="auto"/>
        </w:pBdr>
        <w:ind w:left="567"/>
        <w:jc w:val="both"/>
        <w:rPr>
          <w:i/>
        </w:rPr>
      </w:pPr>
      <w:r>
        <w:rPr>
          <w:i/>
        </w:rPr>
        <w:t xml:space="preserve">NKÚ </w:t>
      </w:r>
      <w:r w:rsidR="008C2A3F">
        <w:rPr>
          <w:i/>
        </w:rPr>
        <w:t>toto vyhodnotil</w:t>
      </w:r>
      <w:r w:rsidR="00956AFF">
        <w:rPr>
          <w:i/>
        </w:rPr>
        <w:t xml:space="preserve"> jako skutečnost nasvědčující porušení rozpočtové kázně</w:t>
      </w:r>
      <w:r w:rsidR="009307BD">
        <w:rPr>
          <w:i/>
        </w:rPr>
        <w:t>, kterou</w:t>
      </w:r>
      <w:r w:rsidR="008C2A3F">
        <w:rPr>
          <w:i/>
        </w:rPr>
        <w:t xml:space="preserve"> oznámil správci daně.</w:t>
      </w:r>
    </w:p>
    <w:p w14:paraId="4F802337" w14:textId="27637E87" w:rsidR="00EB11EE" w:rsidRDefault="00EB11EE" w:rsidP="003B0804">
      <w:pPr>
        <w:spacing w:before="240"/>
        <w:ind w:left="425"/>
        <w:jc w:val="both"/>
      </w:pPr>
      <w:r w:rsidRPr="00F564DF">
        <w:t>V jednom případě došlo</w:t>
      </w:r>
      <w:r>
        <w:t xml:space="preserve"> v rozporu se zákonem</w:t>
      </w:r>
      <w:r>
        <w:rPr>
          <w:rStyle w:val="Znakapoznpodarou"/>
        </w:rPr>
        <w:footnoteReference w:id="24"/>
      </w:r>
      <w:r w:rsidRPr="00F564DF">
        <w:t xml:space="preserve"> </w:t>
      </w:r>
      <w:r>
        <w:t xml:space="preserve">k </w:t>
      </w:r>
      <w:r w:rsidRPr="00F564DF">
        <w:t>proplacení plnění za skutečně provedené služby dodavateli</w:t>
      </w:r>
      <w:r>
        <w:t xml:space="preserve"> bez uzavření </w:t>
      </w:r>
      <w:r w:rsidRPr="00D348A6">
        <w:t>písemné smlouvy.</w:t>
      </w:r>
      <w:r w:rsidRPr="009826A0">
        <w:t xml:space="preserve"> </w:t>
      </w:r>
      <w:r w:rsidR="00F72F13">
        <w:t xml:space="preserve">Agentura </w:t>
      </w:r>
      <w:proofErr w:type="spellStart"/>
      <w:r>
        <w:t>CzechTourism</w:t>
      </w:r>
      <w:proofErr w:type="spellEnd"/>
      <w:r>
        <w:t xml:space="preserve"> také nezasílal</w:t>
      </w:r>
      <w:r w:rsidR="00D576E8">
        <w:t>a</w:t>
      </w:r>
      <w:r>
        <w:t xml:space="preserve"> </w:t>
      </w:r>
      <w:r w:rsidRPr="00E96675">
        <w:t>sml</w:t>
      </w:r>
      <w:r>
        <w:t>o</w:t>
      </w:r>
      <w:r w:rsidRPr="00E96675">
        <w:t>uv</w:t>
      </w:r>
      <w:r>
        <w:t>y</w:t>
      </w:r>
      <w:r w:rsidRPr="00E96675">
        <w:t xml:space="preserve"> a objednávk</w:t>
      </w:r>
      <w:r>
        <w:t>y</w:t>
      </w:r>
      <w:r w:rsidRPr="00E96675">
        <w:t xml:space="preserve"> do </w:t>
      </w:r>
      <w:r>
        <w:t>r</w:t>
      </w:r>
      <w:r w:rsidRPr="00E96675">
        <w:t>egistru smluv dle zákona</w:t>
      </w:r>
      <w:r>
        <w:rPr>
          <w:rStyle w:val="Znakapoznpodarou"/>
        </w:rPr>
        <w:footnoteReference w:id="25"/>
      </w:r>
      <w:r w:rsidRPr="00E96675">
        <w:t>.</w:t>
      </w:r>
      <w:r>
        <w:t xml:space="preserve"> </w:t>
      </w:r>
    </w:p>
    <w:p w14:paraId="01D3E707" w14:textId="41660C40" w:rsidR="00EB11EE" w:rsidRDefault="00EB11EE" w:rsidP="00917EE3">
      <w:pPr>
        <w:spacing w:before="120"/>
        <w:ind w:left="426"/>
        <w:jc w:val="both"/>
      </w:pPr>
      <w:r w:rsidRPr="00CA2347">
        <w:rPr>
          <w:b/>
        </w:rPr>
        <w:t xml:space="preserve">NKÚ </w:t>
      </w:r>
      <w:r>
        <w:rPr>
          <w:b/>
        </w:rPr>
        <w:t>vyhodnotil</w:t>
      </w:r>
      <w:r w:rsidRPr="00CA2347">
        <w:rPr>
          <w:b/>
        </w:rPr>
        <w:t xml:space="preserve"> n</w:t>
      </w:r>
      <w:r w:rsidRPr="00CA2347">
        <w:rPr>
          <w:rFonts w:cstheme="minorHAnsi"/>
          <w:b/>
          <w:lang w:eastAsia="en-US"/>
        </w:rPr>
        <w:t>edostatky zjištěné kontrolou u</w:t>
      </w:r>
      <w:r w:rsidR="00F72F13">
        <w:rPr>
          <w:rFonts w:cstheme="minorHAnsi"/>
          <w:b/>
          <w:lang w:eastAsia="en-US"/>
        </w:rPr>
        <w:t> agentury</w:t>
      </w:r>
      <w:r w:rsidRPr="00CA2347">
        <w:rPr>
          <w:rFonts w:cstheme="minorHAnsi"/>
          <w:b/>
          <w:lang w:eastAsia="en-US"/>
        </w:rPr>
        <w:t xml:space="preserve"> </w:t>
      </w:r>
      <w:proofErr w:type="spellStart"/>
      <w:r w:rsidRPr="00CA2347">
        <w:rPr>
          <w:rFonts w:cstheme="minorHAnsi"/>
          <w:b/>
          <w:lang w:eastAsia="en-US"/>
        </w:rPr>
        <w:t>CzechTourism</w:t>
      </w:r>
      <w:proofErr w:type="spellEnd"/>
      <w:r w:rsidRPr="00CA2347">
        <w:rPr>
          <w:rFonts w:cstheme="minorHAnsi"/>
          <w:b/>
          <w:lang w:eastAsia="en-US"/>
        </w:rPr>
        <w:t xml:space="preserve"> u veřejných zakázek ve výši </w:t>
      </w:r>
      <w:r w:rsidRPr="00CA2347">
        <w:rPr>
          <w:b/>
        </w:rPr>
        <w:t xml:space="preserve">2,97 mil. Kč </w:t>
      </w:r>
      <w:r>
        <w:rPr>
          <w:b/>
        </w:rPr>
        <w:t xml:space="preserve">jako skutečnosti nasvědčující porušení </w:t>
      </w:r>
      <w:r w:rsidRPr="00CA2347">
        <w:rPr>
          <w:rFonts w:cstheme="minorHAnsi"/>
          <w:b/>
          <w:lang w:eastAsia="en-US"/>
        </w:rPr>
        <w:t>rozpočtové kázně</w:t>
      </w:r>
      <w:r w:rsidR="00003143" w:rsidRPr="00003143">
        <w:rPr>
          <w:rFonts w:cstheme="minorHAnsi"/>
          <w:vertAlign w:val="superscript"/>
          <w:lang w:eastAsia="en-US"/>
        </w:rPr>
        <w:t>13</w:t>
      </w:r>
      <w:r w:rsidRPr="00AA63A1">
        <w:rPr>
          <w:rFonts w:cstheme="minorHAnsi"/>
          <w:lang w:eastAsia="en-US"/>
        </w:rPr>
        <w:t>.</w:t>
      </w:r>
      <w:r>
        <w:rPr>
          <w:rFonts w:cstheme="minorHAnsi"/>
          <w:lang w:eastAsia="en-US"/>
        </w:rPr>
        <w:t xml:space="preserve"> </w:t>
      </w:r>
    </w:p>
    <w:p w14:paraId="39529630" w14:textId="02F0C12E" w:rsidR="008131E3" w:rsidRDefault="00901C5D" w:rsidP="003B0804">
      <w:pPr>
        <w:spacing w:before="240"/>
        <w:ind w:left="425" w:hanging="425"/>
        <w:jc w:val="both"/>
      </w:pPr>
      <w:r>
        <w:t>3.2</w:t>
      </w:r>
      <w:r w:rsidR="0044486D">
        <w:t xml:space="preserve"> </w:t>
      </w:r>
      <w:r w:rsidR="008131E3" w:rsidRPr="008E495F">
        <w:rPr>
          <w:b/>
        </w:rPr>
        <w:t>Horská služba</w:t>
      </w:r>
      <w:r w:rsidR="0003130E">
        <w:t xml:space="preserve"> </w:t>
      </w:r>
      <w:r w:rsidR="00020755">
        <w:t>porušil</w:t>
      </w:r>
      <w:r w:rsidR="0003130E">
        <w:t>a</w:t>
      </w:r>
      <w:r w:rsidR="00020755">
        <w:t xml:space="preserve"> právní předpisy</w:t>
      </w:r>
      <w:r w:rsidR="00FA3C76" w:rsidRPr="00FA3C76">
        <w:rPr>
          <w:vertAlign w:val="superscript"/>
        </w:rPr>
        <w:t>2</w:t>
      </w:r>
      <w:r w:rsidR="00020755">
        <w:t xml:space="preserve"> při pořizování </w:t>
      </w:r>
      <w:r w:rsidR="00371978">
        <w:t>majetku a služeb</w:t>
      </w:r>
      <w:r w:rsidR="00020755">
        <w:t xml:space="preserve"> v</w:t>
      </w:r>
      <w:r w:rsidR="003E7ABF">
        <w:t> devíti z deseti</w:t>
      </w:r>
      <w:r w:rsidR="00020755">
        <w:t xml:space="preserve"> kontrolovanýc</w:t>
      </w:r>
      <w:r w:rsidR="00B43DE9">
        <w:t xml:space="preserve">h </w:t>
      </w:r>
      <w:r w:rsidR="00020755">
        <w:t>veřejných zakázek. Jednalo se zejména o formální nedostatky spočívající v neodeslání povinně uveřejňovaných dokumentů</w:t>
      </w:r>
      <w:r w:rsidR="00020755">
        <w:rPr>
          <w:rStyle w:val="Znakapoznpodarou"/>
        </w:rPr>
        <w:footnoteReference w:id="26"/>
      </w:r>
      <w:r w:rsidR="00020755">
        <w:t xml:space="preserve"> do </w:t>
      </w:r>
      <w:r w:rsidR="00020755" w:rsidRPr="00D576E8">
        <w:rPr>
          <w:i/>
        </w:rPr>
        <w:t>Věstníku veřejných zakázek</w:t>
      </w:r>
      <w:r w:rsidR="00020755">
        <w:t xml:space="preserve">, nebo překročení lhůt, kdy k tomu mělo dojít. </w:t>
      </w:r>
    </w:p>
    <w:p w14:paraId="30589472" w14:textId="5B2025DF" w:rsidR="00CA2347" w:rsidRPr="00CE5977" w:rsidRDefault="008131E3" w:rsidP="00917EE3">
      <w:pPr>
        <w:spacing w:before="120"/>
        <w:ind w:left="426"/>
        <w:jc w:val="both"/>
        <w:rPr>
          <w:rFonts w:ascii="Times New Roman" w:hAnsi="Times New Roman"/>
        </w:rPr>
      </w:pPr>
      <w:r>
        <w:t>Horská</w:t>
      </w:r>
      <w:r w:rsidR="00020755">
        <w:t xml:space="preserve"> služba </w:t>
      </w:r>
      <w:r w:rsidR="00273E5F">
        <w:t>například</w:t>
      </w:r>
      <w:r w:rsidR="00020755">
        <w:t xml:space="preserve"> v</w:t>
      </w:r>
      <w:r w:rsidR="006129D8">
        <w:t>e třech</w:t>
      </w:r>
      <w:r w:rsidR="00020755">
        <w:t xml:space="preserve"> </w:t>
      </w:r>
      <w:r w:rsidR="00CE5977">
        <w:t>případech</w:t>
      </w:r>
      <w:r w:rsidR="00CE5977">
        <w:rPr>
          <w:rStyle w:val="Znakapoznpodarou"/>
        </w:rPr>
        <w:footnoteReference w:id="27"/>
      </w:r>
      <w:r w:rsidR="00CE5977">
        <w:t xml:space="preserve"> </w:t>
      </w:r>
      <w:r w:rsidR="00020755">
        <w:t>ve stanov</w:t>
      </w:r>
      <w:r w:rsidR="0060729B">
        <w:t>en</w:t>
      </w:r>
      <w:r w:rsidR="00020755">
        <w:t xml:space="preserve">é lhůtě nezveřejnila na </w:t>
      </w:r>
      <w:r w:rsidR="00F72F13">
        <w:t>p</w:t>
      </w:r>
      <w:r w:rsidR="00020755">
        <w:t>rofilu zadavatele celé znění smlouvy, nebo písemnou zprávu zadavatele. V jednom případě</w:t>
      </w:r>
      <w:r w:rsidR="00020755">
        <w:rPr>
          <w:rStyle w:val="Znakapoznpodarou"/>
        </w:rPr>
        <w:footnoteReference w:id="28"/>
      </w:r>
      <w:r w:rsidR="00020755">
        <w:t xml:space="preserve"> překročila stanovenou lhůtu pro zaslání kupní smlouvy správci registru smluv. V</w:t>
      </w:r>
      <w:r>
        <w:t>e</w:t>
      </w:r>
      <w:r w:rsidR="00020755">
        <w:t> třech případech</w:t>
      </w:r>
      <w:r w:rsidR="00020755">
        <w:rPr>
          <w:rStyle w:val="Znakapoznpodarou"/>
        </w:rPr>
        <w:footnoteReference w:id="29"/>
      </w:r>
      <w:r w:rsidR="00020755">
        <w:t xml:space="preserve"> také nezrušila zadávací řízení</w:t>
      </w:r>
      <w:r w:rsidR="00CA2347">
        <w:t>,</w:t>
      </w:r>
      <w:r w:rsidR="00020755">
        <w:t xml:space="preserve"> </w:t>
      </w:r>
      <w:r w:rsidR="00FE1FA9">
        <w:t>ve kt</w:t>
      </w:r>
      <w:r w:rsidR="00020755">
        <w:t>erých byla podána pouze jedna nabídka</w:t>
      </w:r>
      <w:r w:rsidR="00AE725F">
        <w:t>,</w:t>
      </w:r>
      <w:r w:rsidR="00020755">
        <w:t xml:space="preserve"> čímž porušila povinnost stanovenou v</w:t>
      </w:r>
      <w:r w:rsidR="00CA2347">
        <w:t> podmínkách</w:t>
      </w:r>
      <w:r w:rsidR="00A362E8">
        <w:t xml:space="preserve"> </w:t>
      </w:r>
      <w:r w:rsidR="00E8682A">
        <w:t xml:space="preserve">rozhodnutí o poskytnutí </w:t>
      </w:r>
      <w:r w:rsidR="00A362E8">
        <w:t>dotace</w:t>
      </w:r>
      <w:r w:rsidR="00020755">
        <w:t>. V jednom případě</w:t>
      </w:r>
      <w:r w:rsidR="00020755">
        <w:rPr>
          <w:rStyle w:val="Znakapoznpodarou"/>
        </w:rPr>
        <w:footnoteReference w:id="30"/>
      </w:r>
      <w:r w:rsidR="00020755">
        <w:t xml:space="preserve"> pak </w:t>
      </w:r>
      <w:r>
        <w:t>Horská služba</w:t>
      </w:r>
      <w:r w:rsidR="00020755">
        <w:t xml:space="preserve"> porušila povinnost při zadávání a realizaci zakázky tím, že s vybraným uchazečem uzavřela </w:t>
      </w:r>
      <w:r w:rsidR="00F72F13">
        <w:t>k</w:t>
      </w:r>
      <w:r w:rsidR="00020755">
        <w:t xml:space="preserve">upní smlouvu před uplynutím 10denní lhůty pro podání námitek proti </w:t>
      </w:r>
      <w:r w:rsidR="00742820">
        <w:t>r</w:t>
      </w:r>
      <w:r w:rsidR="00020755">
        <w:t>ozhodnutí o výběru nejvhodnějšího dodavatele.</w:t>
      </w:r>
      <w:r w:rsidR="00ED7095">
        <w:t xml:space="preserve"> </w:t>
      </w:r>
    </w:p>
    <w:p w14:paraId="51439E33" w14:textId="72B7240A" w:rsidR="00020755" w:rsidRDefault="000E0621" w:rsidP="00917EE3">
      <w:pPr>
        <w:spacing w:before="120"/>
        <w:ind w:left="426"/>
        <w:jc w:val="both"/>
      </w:pPr>
      <w:r>
        <w:rPr>
          <w:b/>
        </w:rPr>
        <w:t>NKÚ</w:t>
      </w:r>
      <w:r w:rsidR="00ED7095" w:rsidRPr="00CA2347">
        <w:rPr>
          <w:b/>
        </w:rPr>
        <w:t xml:space="preserve"> </w:t>
      </w:r>
      <w:r w:rsidR="008C2A3F">
        <w:rPr>
          <w:b/>
        </w:rPr>
        <w:t xml:space="preserve">vyhodnotil </w:t>
      </w:r>
      <w:r w:rsidR="00ED7095" w:rsidRPr="00CA2347">
        <w:rPr>
          <w:b/>
        </w:rPr>
        <w:t>n</w:t>
      </w:r>
      <w:r w:rsidR="00ED7095" w:rsidRPr="00CA2347">
        <w:rPr>
          <w:rFonts w:cstheme="minorHAnsi"/>
          <w:b/>
          <w:lang w:eastAsia="en-US"/>
        </w:rPr>
        <w:t>edostatky</w:t>
      </w:r>
      <w:r w:rsidR="00CA2347" w:rsidRPr="00CA2347">
        <w:rPr>
          <w:rFonts w:cstheme="minorHAnsi"/>
          <w:b/>
          <w:lang w:eastAsia="en-US"/>
        </w:rPr>
        <w:t xml:space="preserve"> zjištěné u Horské služby</w:t>
      </w:r>
      <w:r w:rsidR="00ED7095" w:rsidRPr="00CA2347">
        <w:rPr>
          <w:rFonts w:cstheme="minorHAnsi"/>
          <w:b/>
          <w:lang w:eastAsia="en-US"/>
        </w:rPr>
        <w:t xml:space="preserve"> týkající se částky 96,48 mil. Kč jako </w:t>
      </w:r>
      <w:r w:rsidR="008C2A3F" w:rsidRPr="008C2A3F">
        <w:rPr>
          <w:rFonts w:cstheme="minorHAnsi"/>
          <w:b/>
          <w:lang w:eastAsia="en-US"/>
        </w:rPr>
        <w:t>skutečnosti nasvědčující porušení rozpočtové kázně</w:t>
      </w:r>
      <w:r w:rsidR="00003143" w:rsidRPr="00003143">
        <w:rPr>
          <w:rFonts w:cstheme="minorHAnsi"/>
          <w:vertAlign w:val="superscript"/>
          <w:lang w:eastAsia="en-US"/>
        </w:rPr>
        <w:t>9</w:t>
      </w:r>
      <w:r w:rsidR="008C2A3F" w:rsidRPr="00C92C3A">
        <w:rPr>
          <w:rFonts w:cstheme="minorHAnsi"/>
          <w:lang w:eastAsia="en-US"/>
        </w:rPr>
        <w:t xml:space="preserve">. </w:t>
      </w:r>
    </w:p>
    <w:p w14:paraId="2A18DAA1" w14:textId="77777777" w:rsidR="00DA62F1" w:rsidRDefault="0063626D" w:rsidP="0015419B">
      <w:pPr>
        <w:pStyle w:val="Nadpis2"/>
        <w:numPr>
          <w:ilvl w:val="0"/>
          <w:numId w:val="3"/>
        </w:numPr>
        <w:spacing w:after="120"/>
        <w:ind w:left="425" w:hanging="425"/>
      </w:pPr>
      <w:r>
        <w:lastRenderedPageBreak/>
        <w:t>Hospodaření v s</w:t>
      </w:r>
      <w:r w:rsidR="008D5650">
        <w:t>oulad</w:t>
      </w:r>
      <w:r>
        <w:t>u</w:t>
      </w:r>
      <w:r w:rsidR="008D5650">
        <w:t xml:space="preserve"> s právními předpisy</w:t>
      </w:r>
      <w:r w:rsidR="00C20187">
        <w:t>, účelnost a hospodárnost poskytnutých prostředků</w:t>
      </w:r>
    </w:p>
    <w:p w14:paraId="16880CA3" w14:textId="76EE8A17" w:rsidR="00B92DCA" w:rsidRDefault="00821441" w:rsidP="00917EE3">
      <w:pPr>
        <w:pStyle w:val="Odstavecseseznamem"/>
        <w:spacing w:before="120"/>
        <w:ind w:left="425"/>
        <w:jc w:val="both"/>
      </w:pPr>
      <w:r w:rsidRPr="006F2B10">
        <w:rPr>
          <w:b/>
        </w:rPr>
        <w:t>Horská služba</w:t>
      </w:r>
      <w:r>
        <w:t xml:space="preserve"> </w:t>
      </w:r>
      <w:r w:rsidR="006129D8" w:rsidRPr="00087920">
        <w:rPr>
          <w:b/>
        </w:rPr>
        <w:t>v rozporu s podmínkami rozhodnutí</w:t>
      </w:r>
      <w:r w:rsidR="006129D8">
        <w:t xml:space="preserve"> </w:t>
      </w:r>
      <w:r w:rsidR="005619A4" w:rsidRPr="005619A4">
        <w:rPr>
          <w:b/>
        </w:rPr>
        <w:t>o poskytnutí dotace</w:t>
      </w:r>
      <w:r w:rsidR="005619A4">
        <w:t xml:space="preserve"> </w:t>
      </w:r>
      <w:r w:rsidR="006129D8">
        <w:t>nepodala správci akce u tří akcí</w:t>
      </w:r>
      <w:r w:rsidR="006129D8">
        <w:rPr>
          <w:rStyle w:val="Znakapoznpodarou"/>
        </w:rPr>
        <w:footnoteReference w:id="31"/>
      </w:r>
      <w:r w:rsidR="006129D8">
        <w:t xml:space="preserve"> z</w:t>
      </w:r>
      <w:r w:rsidR="006129D8" w:rsidRPr="00B92DCA">
        <w:t xml:space="preserve">právy pro </w:t>
      </w:r>
      <w:r w:rsidR="006129D8">
        <w:t>z</w:t>
      </w:r>
      <w:r w:rsidR="006129D8" w:rsidRPr="00B92DCA">
        <w:t>ávěrečný účet k investičním dotacím z programu 117010</w:t>
      </w:r>
      <w:r w:rsidR="006129D8">
        <w:t xml:space="preserve"> za roky 2015</w:t>
      </w:r>
      <w:r w:rsidR="007E505D">
        <w:t>–</w:t>
      </w:r>
      <w:r w:rsidR="006129D8">
        <w:t>2018</w:t>
      </w:r>
      <w:r w:rsidR="006129D8" w:rsidRPr="00B92DCA">
        <w:t xml:space="preserve"> a </w:t>
      </w:r>
      <w:r w:rsidR="006129D8">
        <w:t xml:space="preserve">ke dni ukončení kontroly NKÚ </w:t>
      </w:r>
      <w:r w:rsidR="006129D8" w:rsidRPr="00B92DCA">
        <w:t xml:space="preserve">nepodala </w:t>
      </w:r>
      <w:r w:rsidR="006129D8">
        <w:t>z</w:t>
      </w:r>
      <w:r w:rsidR="006129D8" w:rsidRPr="00B92DCA">
        <w:t xml:space="preserve">ávěrečné vyhodnocení </w:t>
      </w:r>
      <w:r w:rsidR="006129D8">
        <w:t>dvou akcí</w:t>
      </w:r>
      <w:r w:rsidR="006129D8">
        <w:rPr>
          <w:rStyle w:val="Znakapoznpodarou"/>
        </w:rPr>
        <w:footnoteReference w:id="32"/>
      </w:r>
      <w:r w:rsidR="006129D8">
        <w:t>.</w:t>
      </w:r>
      <w:r w:rsidR="006129D8" w:rsidRPr="006129D8">
        <w:t xml:space="preserve"> </w:t>
      </w:r>
      <w:r w:rsidR="006129D8" w:rsidRPr="00B92DCA">
        <w:t>H</w:t>
      </w:r>
      <w:r w:rsidR="006129D8">
        <w:t>orská služba též</w:t>
      </w:r>
      <w:r w:rsidR="006129D8" w:rsidRPr="00B92DCA">
        <w:t xml:space="preserve"> </w:t>
      </w:r>
      <w:r w:rsidR="00D517AF">
        <w:t>v rozporu s</w:t>
      </w:r>
      <w:r w:rsidR="00CA2347">
        <w:t> rozhodnutím o poskytnutí dotace</w:t>
      </w:r>
      <w:r w:rsidR="00D517AF" w:rsidRPr="00B92DCA">
        <w:t xml:space="preserve"> </w:t>
      </w:r>
      <w:r w:rsidRPr="00B92DCA">
        <w:t xml:space="preserve">vyplatila </w:t>
      </w:r>
      <w:r w:rsidR="00C65C73" w:rsidRPr="00B92DCA">
        <w:t xml:space="preserve">v roce 2016 </w:t>
      </w:r>
      <w:r w:rsidRPr="00B92DCA">
        <w:t>z </w:t>
      </w:r>
      <w:r w:rsidR="00955AB5">
        <w:t>provozní dotace</w:t>
      </w:r>
      <w:r w:rsidRPr="00B92DCA">
        <w:t xml:space="preserve"> mzdové náklady </w:t>
      </w:r>
      <w:r w:rsidR="00955AB5" w:rsidRPr="00B92DCA">
        <w:t>v celkové výši 2 445</w:t>
      </w:r>
      <w:r w:rsidR="00463E92">
        <w:t> </w:t>
      </w:r>
      <w:r w:rsidR="00955AB5" w:rsidRPr="00B92DCA">
        <w:t>991</w:t>
      </w:r>
      <w:r w:rsidR="00463E92">
        <w:t> </w:t>
      </w:r>
      <w:r w:rsidR="00955AB5" w:rsidRPr="00B92DCA">
        <w:t>Kč</w:t>
      </w:r>
      <w:r w:rsidR="00955AB5">
        <w:t xml:space="preserve">, když jako účastník soudního řízení neuspěla ve sporu </w:t>
      </w:r>
      <w:r w:rsidRPr="00B92DCA">
        <w:t xml:space="preserve">s bývalým zaměstnancem </w:t>
      </w:r>
      <w:r>
        <w:t xml:space="preserve">(viz příklad č. </w:t>
      </w:r>
      <w:r w:rsidR="00B87E61">
        <w:t>2</w:t>
      </w:r>
      <w:r>
        <w:t xml:space="preserve">). </w:t>
      </w:r>
    </w:p>
    <w:p w14:paraId="7C597AE4" w14:textId="77777777" w:rsidR="00D20AD3" w:rsidRPr="0095709E" w:rsidRDefault="00D20AD3" w:rsidP="003B0804">
      <w:pPr>
        <w:keepNext/>
        <w:pBdr>
          <w:top w:val="single" w:sz="4" w:space="1" w:color="auto"/>
          <w:left w:val="single" w:sz="4" w:space="4" w:color="auto"/>
          <w:bottom w:val="single" w:sz="4" w:space="1" w:color="auto"/>
          <w:right w:val="single" w:sz="4" w:space="4" w:color="auto"/>
        </w:pBdr>
        <w:spacing w:before="240"/>
        <w:ind w:left="567"/>
        <w:jc w:val="both"/>
        <w:rPr>
          <w:b/>
          <w:color w:val="0070C0"/>
        </w:rPr>
      </w:pPr>
      <w:r w:rsidRPr="0095709E">
        <w:rPr>
          <w:b/>
          <w:color w:val="0070C0"/>
        </w:rPr>
        <w:t xml:space="preserve">Příklad č. </w:t>
      </w:r>
      <w:r w:rsidR="00B87E61">
        <w:rPr>
          <w:b/>
          <w:color w:val="0070C0"/>
        </w:rPr>
        <w:t>2</w:t>
      </w:r>
    </w:p>
    <w:p w14:paraId="0FCC6714" w14:textId="77777777" w:rsidR="00993346" w:rsidRDefault="009C570F" w:rsidP="00917EE3">
      <w:pPr>
        <w:pBdr>
          <w:top w:val="single" w:sz="4" w:space="1" w:color="auto"/>
          <w:left w:val="single" w:sz="4" w:space="4" w:color="auto"/>
          <w:bottom w:val="single" w:sz="4" w:space="1" w:color="auto"/>
          <w:right w:val="single" w:sz="4" w:space="4" w:color="auto"/>
        </w:pBdr>
        <w:ind w:left="567"/>
        <w:jc w:val="both"/>
        <w:rPr>
          <w:i/>
        </w:rPr>
      </w:pPr>
      <w:r>
        <w:rPr>
          <w:i/>
        </w:rPr>
        <w:t xml:space="preserve">Bývalý </w:t>
      </w:r>
      <w:proofErr w:type="spellStart"/>
      <w:r>
        <w:rPr>
          <w:i/>
        </w:rPr>
        <w:t>zaměstnancec</w:t>
      </w:r>
      <w:proofErr w:type="spellEnd"/>
      <w:r>
        <w:rPr>
          <w:i/>
        </w:rPr>
        <w:t xml:space="preserve"> Horské služby podal žalobu o náhradu mzdových výdajů</w:t>
      </w:r>
      <w:r w:rsidR="00993346">
        <w:rPr>
          <w:i/>
        </w:rPr>
        <w:t>, p</w:t>
      </w:r>
      <w:r>
        <w:rPr>
          <w:i/>
        </w:rPr>
        <w:t>roplacení dovolené a určení neplatnosti své výpovědi z pracovního poměru. Po prohraném soudním sporu proplatila Horská služba částku ve výši 2 445 991 Kč z </w:t>
      </w:r>
      <w:r w:rsidR="009307BD">
        <w:rPr>
          <w:i/>
        </w:rPr>
        <w:t>dotace</w:t>
      </w:r>
      <w:r>
        <w:rPr>
          <w:i/>
        </w:rPr>
        <w:t xml:space="preserve">, přestože NKÚ zjistil, že částka </w:t>
      </w:r>
      <w:r w:rsidR="009307BD">
        <w:rPr>
          <w:i/>
        </w:rPr>
        <w:t xml:space="preserve">měla </w:t>
      </w:r>
      <w:r>
        <w:rPr>
          <w:i/>
        </w:rPr>
        <w:t xml:space="preserve">být uhrazena z vlastních prostředků Horské služby. </w:t>
      </w:r>
    </w:p>
    <w:p w14:paraId="2F9B339F" w14:textId="77777777" w:rsidR="00956AFF" w:rsidRPr="000A474C" w:rsidRDefault="00993346" w:rsidP="00917EE3">
      <w:pPr>
        <w:pBdr>
          <w:top w:val="single" w:sz="4" w:space="1" w:color="auto"/>
          <w:left w:val="single" w:sz="4" w:space="4" w:color="auto"/>
          <w:bottom w:val="single" w:sz="4" w:space="1" w:color="auto"/>
          <w:right w:val="single" w:sz="4" w:space="4" w:color="auto"/>
        </w:pBdr>
        <w:ind w:left="567"/>
        <w:jc w:val="both"/>
        <w:rPr>
          <w:i/>
        </w:rPr>
      </w:pPr>
      <w:r>
        <w:rPr>
          <w:i/>
        </w:rPr>
        <w:t xml:space="preserve">Horská služba tak financovala z prostředků provozní dotace na rok 2016 náhradu osobních nákladů, včetně úroků z prodlení, pracovníka, který v té době již nebyl zaměstnancem Horské služby. Příjemce </w:t>
      </w:r>
      <w:r w:rsidR="00F64DA8">
        <w:rPr>
          <w:i/>
        </w:rPr>
        <w:t xml:space="preserve">tím </w:t>
      </w:r>
      <w:r>
        <w:rPr>
          <w:i/>
        </w:rPr>
        <w:t>nedodržel účelové určení dotace</w:t>
      </w:r>
      <w:r w:rsidR="00F64DA8">
        <w:rPr>
          <w:i/>
        </w:rPr>
        <w:t xml:space="preserve"> a</w:t>
      </w:r>
      <w:r>
        <w:rPr>
          <w:i/>
        </w:rPr>
        <w:t xml:space="preserve"> porušil nejen podmínky</w:t>
      </w:r>
      <w:r w:rsidR="00A362E8">
        <w:rPr>
          <w:i/>
        </w:rPr>
        <w:t xml:space="preserve"> dotace</w:t>
      </w:r>
      <w:r>
        <w:rPr>
          <w:i/>
        </w:rPr>
        <w:t xml:space="preserve">, </w:t>
      </w:r>
      <w:r w:rsidR="00F64DA8">
        <w:rPr>
          <w:i/>
        </w:rPr>
        <w:t xml:space="preserve">ale i </w:t>
      </w:r>
      <w:r>
        <w:rPr>
          <w:i/>
        </w:rPr>
        <w:t>zásady pro poskytování dotací</w:t>
      </w:r>
      <w:r w:rsidR="00F64DA8">
        <w:rPr>
          <w:i/>
        </w:rPr>
        <w:t xml:space="preserve">. </w:t>
      </w:r>
      <w:r w:rsidR="005C1FA9">
        <w:rPr>
          <w:i/>
        </w:rPr>
        <w:t xml:space="preserve">NKÚ tuto skutečnost </w:t>
      </w:r>
      <w:r w:rsidR="009307BD">
        <w:rPr>
          <w:i/>
        </w:rPr>
        <w:t xml:space="preserve">oznámil </w:t>
      </w:r>
      <w:r w:rsidR="00956AFF">
        <w:rPr>
          <w:i/>
        </w:rPr>
        <w:t>správci daně</w:t>
      </w:r>
      <w:r>
        <w:rPr>
          <w:i/>
        </w:rPr>
        <w:t xml:space="preserve"> </w:t>
      </w:r>
      <w:r w:rsidR="00956AFF">
        <w:rPr>
          <w:i/>
        </w:rPr>
        <w:t xml:space="preserve">jako skutečnost nasvědčující porušení rozpočtové kázně. </w:t>
      </w:r>
    </w:p>
    <w:p w14:paraId="70182DEE" w14:textId="77777777" w:rsidR="00C20187" w:rsidRDefault="00C65C73" w:rsidP="003B0804">
      <w:pPr>
        <w:spacing w:before="240"/>
        <w:ind w:left="425"/>
        <w:jc w:val="both"/>
      </w:pPr>
      <w:r w:rsidRPr="00087920">
        <w:rPr>
          <w:b/>
        </w:rPr>
        <w:t>Horská služba</w:t>
      </w:r>
      <w:r>
        <w:t xml:space="preserve"> p</w:t>
      </w:r>
      <w:r w:rsidR="00B43DE9">
        <w:t>ři</w:t>
      </w:r>
      <w:r w:rsidR="00C20187">
        <w:t xml:space="preserve"> nakládání s prostředky z provozní dotace na rok 2020</w:t>
      </w:r>
      <w:r w:rsidR="00B43DE9">
        <w:t xml:space="preserve"> </w:t>
      </w:r>
      <w:r w:rsidR="00B43DE9" w:rsidRPr="00087920">
        <w:rPr>
          <w:b/>
        </w:rPr>
        <w:t>nepostupovala</w:t>
      </w:r>
      <w:r w:rsidR="009C3629" w:rsidRPr="00087920">
        <w:rPr>
          <w:b/>
        </w:rPr>
        <w:t xml:space="preserve"> </w:t>
      </w:r>
      <w:r w:rsidR="00C20187" w:rsidRPr="00087920">
        <w:rPr>
          <w:b/>
        </w:rPr>
        <w:t>hospodárně</w:t>
      </w:r>
      <w:r w:rsidR="00C20187" w:rsidRPr="000E0621">
        <w:rPr>
          <w:b/>
        </w:rPr>
        <w:t>,</w:t>
      </w:r>
      <w:r w:rsidR="00C20187">
        <w:t xml:space="preserve"> </w:t>
      </w:r>
      <w:r w:rsidR="00B43DE9">
        <w:t xml:space="preserve">když </w:t>
      </w:r>
      <w:r w:rsidR="00C20187">
        <w:t xml:space="preserve">proplatila bez právního důvodu částku v celkové výši 92 476 Kč za položky, které jí dodavatel fakturoval duplicitně. </w:t>
      </w:r>
      <w:r w:rsidR="00F84BBB">
        <w:t xml:space="preserve">NKÚ toto vyhodnotil jako skutečnost nasvědčující porušení rozpočtové kázně. </w:t>
      </w:r>
    </w:p>
    <w:p w14:paraId="6AA6F520" w14:textId="77777777" w:rsidR="009310D3" w:rsidRDefault="009310D3" w:rsidP="008265F7">
      <w:pPr>
        <w:ind w:left="426"/>
        <w:jc w:val="both"/>
      </w:pPr>
      <w:r w:rsidRPr="005619A4">
        <w:t>Horská služba</w:t>
      </w:r>
      <w:r w:rsidRPr="009310D3">
        <w:t xml:space="preserve"> </w:t>
      </w:r>
      <w:r w:rsidR="00B43DE9">
        <w:t xml:space="preserve">také </w:t>
      </w:r>
      <w:r w:rsidRPr="009310D3">
        <w:t>proplatila z provozní dotace na roky 2015</w:t>
      </w:r>
      <w:r w:rsidR="007E505D">
        <w:t>–</w:t>
      </w:r>
      <w:r w:rsidRPr="009310D3">
        <w:t>2018 v rozporu s</w:t>
      </w:r>
      <w:r w:rsidR="00ED27DC">
        <w:t> </w:t>
      </w:r>
      <w:r w:rsidRPr="009310D3">
        <w:t>uzavřenou</w:t>
      </w:r>
      <w:r w:rsidR="00ED27DC">
        <w:t xml:space="preserve"> s</w:t>
      </w:r>
      <w:r w:rsidRPr="009310D3">
        <w:t xml:space="preserve">mlouvou </w:t>
      </w:r>
      <w:r w:rsidR="00ED27DC">
        <w:t xml:space="preserve">jednomu </w:t>
      </w:r>
      <w:r w:rsidRPr="009310D3">
        <w:t>poskytovateli</w:t>
      </w:r>
      <w:r w:rsidR="00C20187">
        <w:t xml:space="preserve"> poradenství</w:t>
      </w:r>
      <w:r w:rsidRPr="009310D3">
        <w:t xml:space="preserve"> </w:t>
      </w:r>
      <w:r w:rsidR="00ED27DC">
        <w:t xml:space="preserve">částku </w:t>
      </w:r>
      <w:r w:rsidRPr="009310D3">
        <w:t xml:space="preserve">o 5 130 Kč vyšší, než bylo </w:t>
      </w:r>
      <w:r w:rsidR="00C20187">
        <w:t>u</w:t>
      </w:r>
      <w:r w:rsidR="00ED27DC" w:rsidRPr="009310D3">
        <w:t>jednáno</w:t>
      </w:r>
      <w:r w:rsidRPr="009310D3">
        <w:t xml:space="preserve">. Tuto částku </w:t>
      </w:r>
      <w:r w:rsidR="00A362E8">
        <w:t xml:space="preserve">ze </w:t>
      </w:r>
      <w:r w:rsidR="00ED27DC">
        <w:t>státního rozpočtu</w:t>
      </w:r>
      <w:r w:rsidRPr="009310D3">
        <w:t xml:space="preserve"> </w:t>
      </w:r>
      <w:r w:rsidRPr="00087920">
        <w:rPr>
          <w:b/>
        </w:rPr>
        <w:t xml:space="preserve">použila </w:t>
      </w:r>
      <w:r w:rsidR="00ED27DC" w:rsidRPr="00087920">
        <w:rPr>
          <w:b/>
        </w:rPr>
        <w:t xml:space="preserve">Horská služba </w:t>
      </w:r>
      <w:r w:rsidRPr="00087920">
        <w:rPr>
          <w:b/>
        </w:rPr>
        <w:t>neúčelně a</w:t>
      </w:r>
      <w:r w:rsidR="008D7D9A">
        <w:rPr>
          <w:b/>
        </w:rPr>
        <w:t> </w:t>
      </w:r>
      <w:r w:rsidRPr="00087920">
        <w:rPr>
          <w:b/>
        </w:rPr>
        <w:t>nehospodárně</w:t>
      </w:r>
      <w:r w:rsidRPr="000E0621">
        <w:rPr>
          <w:b/>
        </w:rPr>
        <w:t>,</w:t>
      </w:r>
      <w:r w:rsidRPr="009310D3">
        <w:t xml:space="preserve"> tzn. že částka nad rámec odměny sjednané ve smlouvě nebyla nezbytná pro plnění předmětu smlouvy.</w:t>
      </w:r>
      <w:r w:rsidR="007020D4">
        <w:t xml:space="preserve"> </w:t>
      </w:r>
      <w:r w:rsidR="00935780">
        <w:t xml:space="preserve">I </w:t>
      </w:r>
      <w:r w:rsidR="00AF7495">
        <w:t>tento případ</w:t>
      </w:r>
      <w:r w:rsidR="00935780">
        <w:t xml:space="preserve"> </w:t>
      </w:r>
      <w:r w:rsidR="007020D4">
        <w:t xml:space="preserve">NKÚ vyhodnotil jako skutečnost nasvědčující porušení rozpočtové kázně. </w:t>
      </w:r>
    </w:p>
    <w:p w14:paraId="2216BB99" w14:textId="77777777" w:rsidR="00560932" w:rsidRPr="00FA493E" w:rsidRDefault="00560932" w:rsidP="003B0804">
      <w:pPr>
        <w:keepNext/>
        <w:spacing w:before="840"/>
        <w:ind w:left="1985" w:hanging="1985"/>
        <w:rPr>
          <w:rFonts w:ascii="Calibri" w:hAnsi="Calibri" w:cs="Calibri"/>
        </w:rPr>
      </w:pPr>
      <w:r w:rsidRPr="00FA493E">
        <w:rPr>
          <w:rFonts w:cstheme="minorHAnsi"/>
          <w:b/>
        </w:rPr>
        <w:lastRenderedPageBreak/>
        <w:t>Seznam zkratek</w:t>
      </w:r>
    </w:p>
    <w:p w14:paraId="5D27906E" w14:textId="6AAA0758" w:rsidR="00560932" w:rsidRPr="00FA493E" w:rsidRDefault="000E0621" w:rsidP="00FA493E">
      <w:pPr>
        <w:keepNext/>
        <w:spacing w:before="120" w:line="276" w:lineRule="auto"/>
        <w:ind w:left="1985" w:hanging="1985"/>
        <w:jc w:val="both"/>
        <w:rPr>
          <w:rFonts w:ascii="Calibri" w:hAnsi="Calibri" w:cs="Calibri"/>
        </w:rPr>
      </w:pPr>
      <w:r>
        <w:rPr>
          <w:rFonts w:ascii="Calibri" w:hAnsi="Calibri" w:cs="Calibri"/>
        </w:rPr>
        <w:t xml:space="preserve">agentura </w:t>
      </w:r>
      <w:proofErr w:type="spellStart"/>
      <w:r w:rsidRPr="00FA493E">
        <w:rPr>
          <w:rFonts w:ascii="Calibri" w:hAnsi="Calibri" w:cs="Calibri"/>
        </w:rPr>
        <w:t>CzechTourism</w:t>
      </w:r>
      <w:proofErr w:type="spellEnd"/>
      <w:r w:rsidR="000447CA" w:rsidRPr="00FA493E">
        <w:rPr>
          <w:rFonts w:ascii="Calibri" w:hAnsi="Calibri" w:cs="Calibri"/>
        </w:rPr>
        <w:tab/>
      </w:r>
      <w:r w:rsidRPr="00FA493E">
        <w:rPr>
          <w:rFonts w:ascii="Calibri" w:hAnsi="Calibri" w:cs="Calibri"/>
        </w:rPr>
        <w:t xml:space="preserve">Česká centrála cestovního ruchu – </w:t>
      </w:r>
      <w:proofErr w:type="spellStart"/>
      <w:r w:rsidRPr="00FA493E">
        <w:rPr>
          <w:rFonts w:ascii="Calibri" w:hAnsi="Calibri" w:cs="Calibri"/>
        </w:rPr>
        <w:t>CzechTourism</w:t>
      </w:r>
      <w:proofErr w:type="spellEnd"/>
    </w:p>
    <w:p w14:paraId="51DCC079" w14:textId="3D7E97E3" w:rsidR="00560932" w:rsidRPr="00FA493E" w:rsidRDefault="000E0621" w:rsidP="000E0621">
      <w:pPr>
        <w:keepNext/>
        <w:spacing w:before="120" w:line="276" w:lineRule="auto"/>
        <w:ind w:left="2835" w:hanging="2835"/>
        <w:jc w:val="both"/>
        <w:rPr>
          <w:rFonts w:ascii="Calibri" w:hAnsi="Calibri" w:cs="Calibri"/>
        </w:rPr>
      </w:pPr>
      <w:r w:rsidRPr="00FA493E">
        <w:rPr>
          <w:rFonts w:ascii="Calibri" w:hAnsi="Calibri" w:cs="Calibri"/>
        </w:rPr>
        <w:t>Centrum</w:t>
      </w:r>
      <w:r w:rsidR="00FA493E" w:rsidRPr="00FA493E">
        <w:rPr>
          <w:rFonts w:ascii="Calibri" w:hAnsi="Calibri" w:cs="Calibri"/>
        </w:rPr>
        <w:tab/>
      </w:r>
      <w:proofErr w:type="spellStart"/>
      <w:r w:rsidRPr="00FA493E">
        <w:rPr>
          <w:rFonts w:ascii="Calibri" w:hAnsi="Calibri" w:cs="Calibri"/>
        </w:rPr>
        <w:t>Centrum</w:t>
      </w:r>
      <w:proofErr w:type="spellEnd"/>
      <w:r w:rsidRPr="00FA493E">
        <w:rPr>
          <w:rFonts w:ascii="Calibri" w:hAnsi="Calibri" w:cs="Calibri"/>
        </w:rPr>
        <w:t xml:space="preserve"> pro regionální rozvoj České republiky </w:t>
      </w:r>
    </w:p>
    <w:p w14:paraId="1CD0CD1B" w14:textId="77777777" w:rsidR="00560932" w:rsidRPr="00FA493E" w:rsidRDefault="00560932" w:rsidP="0015419B">
      <w:pPr>
        <w:keepNext/>
        <w:spacing w:before="120" w:line="276" w:lineRule="auto"/>
        <w:ind w:left="2835" w:hanging="2835"/>
        <w:jc w:val="both"/>
        <w:rPr>
          <w:rFonts w:ascii="Calibri" w:hAnsi="Calibri" w:cs="Calibri"/>
        </w:rPr>
      </w:pPr>
      <w:r w:rsidRPr="00FA493E">
        <w:rPr>
          <w:rFonts w:ascii="Calibri" w:hAnsi="Calibri" w:cs="Calibri"/>
        </w:rPr>
        <w:t>EU</w:t>
      </w:r>
      <w:r w:rsidR="00FA493E" w:rsidRPr="00FA493E">
        <w:rPr>
          <w:rFonts w:ascii="Calibri" w:hAnsi="Calibri" w:cs="Calibri"/>
        </w:rPr>
        <w:tab/>
        <w:t>Evropská unie</w:t>
      </w:r>
    </w:p>
    <w:p w14:paraId="115954E9" w14:textId="77777777" w:rsidR="00560932" w:rsidRPr="00FA493E" w:rsidRDefault="00560932" w:rsidP="0015419B">
      <w:pPr>
        <w:keepNext/>
        <w:spacing w:before="120" w:line="276" w:lineRule="auto"/>
        <w:ind w:left="2835" w:hanging="2835"/>
        <w:jc w:val="both"/>
        <w:rPr>
          <w:rFonts w:ascii="Calibri" w:hAnsi="Calibri" w:cs="Calibri"/>
        </w:rPr>
      </w:pPr>
      <w:r w:rsidRPr="00FA493E">
        <w:rPr>
          <w:rFonts w:ascii="Calibri" w:hAnsi="Calibri" w:cs="Calibri"/>
        </w:rPr>
        <w:t>Horská služba</w:t>
      </w:r>
      <w:r w:rsidR="00FA493E" w:rsidRPr="00FA493E">
        <w:rPr>
          <w:rFonts w:ascii="Calibri" w:hAnsi="Calibri" w:cs="Calibri"/>
        </w:rPr>
        <w:tab/>
        <w:t>Horská služba ČR, o.p.s.</w:t>
      </w:r>
    </w:p>
    <w:p w14:paraId="2B1B28CA" w14:textId="77777777" w:rsidR="00560932" w:rsidRPr="00FA493E" w:rsidRDefault="00560932" w:rsidP="0015419B">
      <w:pPr>
        <w:keepNext/>
        <w:spacing w:before="120" w:line="276" w:lineRule="auto"/>
        <w:ind w:left="2835" w:hanging="2835"/>
        <w:jc w:val="both"/>
        <w:rPr>
          <w:rFonts w:ascii="Calibri" w:hAnsi="Calibri" w:cs="Calibri"/>
        </w:rPr>
      </w:pPr>
      <w:r w:rsidRPr="00FA493E">
        <w:rPr>
          <w:rFonts w:ascii="Calibri" w:hAnsi="Calibri" w:cs="Calibri"/>
        </w:rPr>
        <w:t>IROP</w:t>
      </w:r>
      <w:r w:rsidR="00FA493E" w:rsidRPr="00FA493E">
        <w:rPr>
          <w:rFonts w:ascii="Calibri" w:hAnsi="Calibri" w:cs="Calibri"/>
        </w:rPr>
        <w:tab/>
      </w:r>
      <w:r w:rsidR="00FA493E" w:rsidRPr="000E0621">
        <w:rPr>
          <w:rFonts w:ascii="Calibri" w:hAnsi="Calibri" w:cs="Calibri"/>
          <w:i/>
        </w:rPr>
        <w:t>Integrovaný regionální operační program</w:t>
      </w:r>
    </w:p>
    <w:p w14:paraId="4BF8A56C" w14:textId="77777777" w:rsidR="00560932" w:rsidRPr="00FA493E" w:rsidRDefault="00560932" w:rsidP="0015419B">
      <w:pPr>
        <w:keepNext/>
        <w:spacing w:before="120" w:line="276" w:lineRule="auto"/>
        <w:ind w:left="2835" w:hanging="2835"/>
        <w:jc w:val="both"/>
        <w:rPr>
          <w:rFonts w:ascii="Calibri" w:hAnsi="Calibri" w:cs="Calibri"/>
        </w:rPr>
      </w:pPr>
      <w:r w:rsidRPr="00FA493E">
        <w:rPr>
          <w:rFonts w:ascii="Calibri" w:hAnsi="Calibri" w:cs="Calibri"/>
        </w:rPr>
        <w:t>MMR</w:t>
      </w:r>
      <w:r w:rsidR="00FA493E" w:rsidRPr="00FA493E">
        <w:rPr>
          <w:rFonts w:ascii="Calibri" w:hAnsi="Calibri" w:cs="Calibri"/>
        </w:rPr>
        <w:tab/>
        <w:t>Ministerstvo pro místní rozvoj</w:t>
      </w:r>
    </w:p>
    <w:p w14:paraId="1CEF0A7C" w14:textId="77777777" w:rsidR="00560932" w:rsidRPr="00FA493E" w:rsidRDefault="00560932" w:rsidP="0015419B">
      <w:pPr>
        <w:keepNext/>
        <w:spacing w:before="120" w:line="276" w:lineRule="auto"/>
        <w:ind w:left="2835" w:hanging="2835"/>
        <w:jc w:val="both"/>
        <w:rPr>
          <w:rFonts w:ascii="Calibri" w:hAnsi="Calibri" w:cs="Calibri"/>
        </w:rPr>
      </w:pPr>
      <w:r w:rsidRPr="00FA493E">
        <w:rPr>
          <w:rFonts w:ascii="Calibri" w:hAnsi="Calibri" w:cs="Calibri"/>
        </w:rPr>
        <w:t>NKÚ</w:t>
      </w:r>
      <w:r w:rsidRPr="00FA493E">
        <w:rPr>
          <w:rFonts w:ascii="Calibri" w:hAnsi="Calibri" w:cs="Calibri"/>
        </w:rPr>
        <w:tab/>
      </w:r>
      <w:r w:rsidR="00FA493E" w:rsidRPr="00FA493E">
        <w:rPr>
          <w:rFonts w:ascii="Calibri" w:hAnsi="Calibri" w:cs="Calibri"/>
        </w:rPr>
        <w:t>Nejvyšší kontrolní úřad</w:t>
      </w:r>
    </w:p>
    <w:p w14:paraId="19720041" w14:textId="77777777" w:rsidR="009368EC" w:rsidRDefault="009368EC">
      <w:pPr>
        <w:spacing w:after="0"/>
        <w:rPr>
          <w:b/>
        </w:rPr>
      </w:pPr>
    </w:p>
    <w:sectPr w:rsidR="009368EC" w:rsidSect="00425A9C">
      <w:footerReference w:type="default" r:id="rId13"/>
      <w:pgSz w:w="11907" w:h="16839" w:code="9"/>
      <w:pgMar w:top="1417" w:right="1417" w:bottom="1417" w:left="141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3956A" w14:textId="77777777" w:rsidR="00624F7F" w:rsidRDefault="00624F7F">
      <w:pPr>
        <w:spacing w:after="0"/>
      </w:pPr>
      <w:r>
        <w:separator/>
      </w:r>
    </w:p>
  </w:endnote>
  <w:endnote w:type="continuationSeparator" w:id="0">
    <w:p w14:paraId="7A03CE2C" w14:textId="77777777" w:rsidR="00624F7F" w:rsidRDefault="00624F7F">
      <w:pPr>
        <w:spacing w:after="0"/>
      </w:pPr>
      <w:r>
        <w:continuationSeparator/>
      </w:r>
    </w:p>
  </w:endnote>
  <w:endnote w:type="continuationNotice" w:id="1">
    <w:p w14:paraId="26ACE66F" w14:textId="77777777" w:rsidR="00624F7F" w:rsidRDefault="00624F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charset w:val="00"/>
    <w:family w:val="roman"/>
    <w:pitch w:val="default"/>
  </w:font>
  <w:font w:name="Myriad Pro">
    <w:altName w:val="Arial"/>
    <w:panose1 w:val="00000000000000000000"/>
    <w:charset w:val="00"/>
    <w:family w:val="swiss"/>
    <w:notTrueType/>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506770"/>
      <w:docPartObj>
        <w:docPartGallery w:val="Page Numbers (Bottom of Page)"/>
        <w:docPartUnique/>
      </w:docPartObj>
    </w:sdtPr>
    <w:sdtEndPr/>
    <w:sdtContent>
      <w:p w14:paraId="097F43CE" w14:textId="77777777" w:rsidR="00114BA0" w:rsidRDefault="00114BA0" w:rsidP="00A5755B">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1BCB" w14:textId="77777777" w:rsidR="00624F7F" w:rsidRDefault="00624F7F" w:rsidP="002020FF">
      <w:pPr>
        <w:spacing w:after="0"/>
      </w:pPr>
      <w:r>
        <w:separator/>
      </w:r>
    </w:p>
  </w:footnote>
  <w:footnote w:type="continuationSeparator" w:id="0">
    <w:p w14:paraId="22702DD7" w14:textId="77777777" w:rsidR="00624F7F" w:rsidRDefault="00624F7F">
      <w:r>
        <w:continuationSeparator/>
      </w:r>
    </w:p>
    <w:p w14:paraId="449B5B6F" w14:textId="77777777" w:rsidR="00624F7F" w:rsidRDefault="00624F7F"/>
  </w:footnote>
  <w:footnote w:type="continuationNotice" w:id="1">
    <w:p w14:paraId="4B6E8F84" w14:textId="77777777" w:rsidR="00624F7F" w:rsidRDefault="00624F7F"/>
    <w:p w14:paraId="6B84885A" w14:textId="77777777" w:rsidR="00624F7F" w:rsidRDefault="00624F7F"/>
  </w:footnote>
  <w:footnote w:id="2">
    <w:p w14:paraId="689FCF07" w14:textId="77777777" w:rsidR="00114BA0" w:rsidRDefault="00114BA0" w:rsidP="00A5755B">
      <w:pPr>
        <w:pStyle w:val="Textpoznpodarou"/>
        <w:spacing w:after="0"/>
        <w:ind w:left="284" w:hanging="284"/>
        <w:jc w:val="both"/>
      </w:pPr>
      <w:r>
        <w:rPr>
          <w:rStyle w:val="Znakapoznpodarou"/>
        </w:rPr>
        <w:footnoteRef/>
      </w:r>
      <w:r>
        <w:t xml:space="preserve"> </w:t>
      </w:r>
      <w:r>
        <w:tab/>
        <w:t xml:space="preserve">Zákon č. 320/2001 Sb., </w:t>
      </w:r>
      <w:r w:rsidRPr="00DA6BCD">
        <w:rPr>
          <w:rFonts w:cstheme="minorHAnsi"/>
          <w:color w:val="000000"/>
        </w:rPr>
        <w:t>o finanční kontrole ve veřejné správě a o změně některých zákonů (zákon o finanční kontrole)</w:t>
      </w:r>
      <w:r>
        <w:rPr>
          <w:rFonts w:cstheme="minorHAnsi"/>
          <w:color w:val="000000"/>
        </w:rPr>
        <w:t>.</w:t>
      </w:r>
    </w:p>
  </w:footnote>
  <w:footnote w:id="3">
    <w:p w14:paraId="55D61E67" w14:textId="77777777" w:rsidR="00114BA0" w:rsidRDefault="00114BA0" w:rsidP="00A5755B">
      <w:pPr>
        <w:pStyle w:val="Textpoznpodarou"/>
        <w:spacing w:after="0"/>
        <w:ind w:left="284" w:hanging="284"/>
      </w:pPr>
      <w:r>
        <w:rPr>
          <w:rStyle w:val="Znakapoznpodarou"/>
        </w:rPr>
        <w:footnoteRef/>
      </w:r>
      <w:r>
        <w:t xml:space="preserve"> </w:t>
      </w:r>
      <w:r>
        <w:tab/>
      </w:r>
      <w:r w:rsidRPr="00DA6BCD">
        <w:rPr>
          <w:rFonts w:cstheme="minorHAnsi"/>
        </w:rPr>
        <w:t>Zákon č. 134/2016 Sb., o zadávání veřejných zakázek, resp. zákon č. 137/2006 Sb., o veřejných zakázkách.</w:t>
      </w:r>
    </w:p>
  </w:footnote>
  <w:footnote w:id="4">
    <w:p w14:paraId="12592D9D" w14:textId="77777777" w:rsidR="00114BA0" w:rsidRPr="004F3A8B" w:rsidRDefault="00114BA0" w:rsidP="00181F12">
      <w:pPr>
        <w:pStyle w:val="Textpoznpodarou"/>
        <w:spacing w:after="0"/>
        <w:ind w:left="284" w:hanging="284"/>
        <w:jc w:val="both"/>
      </w:pPr>
      <w:r w:rsidRPr="00DA6BCD">
        <w:rPr>
          <w:rStyle w:val="Znakapoznpodarou"/>
          <w:rFonts w:cstheme="minorHAnsi"/>
        </w:rPr>
        <w:footnoteRef/>
      </w:r>
      <w:r w:rsidRPr="00DA6BCD">
        <w:rPr>
          <w:rFonts w:cstheme="minorHAnsi"/>
        </w:rPr>
        <w:t xml:space="preserve"> </w:t>
      </w:r>
      <w:r>
        <w:rPr>
          <w:rFonts w:cstheme="minorHAnsi"/>
        </w:rPr>
        <w:tab/>
        <w:t xml:space="preserve">Ustanovení § 11 odst. 1 zákona č. </w:t>
      </w:r>
      <w:r w:rsidRPr="00DA6BCD">
        <w:rPr>
          <w:rFonts w:cstheme="minorHAnsi"/>
        </w:rPr>
        <w:t>320/2001 Sb</w:t>
      </w:r>
      <w:r>
        <w:rPr>
          <w:rFonts w:cstheme="minorHAnsi"/>
          <w:color w:val="000000"/>
        </w:rPr>
        <w:t>.</w:t>
      </w:r>
    </w:p>
  </w:footnote>
  <w:footnote w:id="5">
    <w:p w14:paraId="02378B7F" w14:textId="77777777" w:rsidR="00114BA0" w:rsidRDefault="00114BA0" w:rsidP="00181F12">
      <w:pPr>
        <w:pStyle w:val="Textpoznpodarou"/>
        <w:spacing w:after="0"/>
        <w:ind w:left="284" w:hanging="284"/>
        <w:jc w:val="both"/>
      </w:pPr>
      <w:r>
        <w:rPr>
          <w:rStyle w:val="Znakapoznpodarou"/>
        </w:rPr>
        <w:footnoteRef/>
      </w:r>
      <w:r>
        <w:t xml:space="preserve"> </w:t>
      </w:r>
      <w:r>
        <w:tab/>
      </w:r>
      <w:r w:rsidRPr="00003143">
        <w:rPr>
          <w:rFonts w:cstheme="minorHAnsi"/>
        </w:rPr>
        <w:t>Ustanovení § 13 odst. 1</w:t>
      </w:r>
      <w:r w:rsidRPr="009969FE">
        <w:rPr>
          <w:rFonts w:cstheme="minorHAnsi"/>
        </w:rPr>
        <w:t xml:space="preserve"> a 2 písm. b), </w:t>
      </w:r>
      <w:r>
        <w:rPr>
          <w:rFonts w:cstheme="minorHAnsi"/>
        </w:rPr>
        <w:t xml:space="preserve">ustnovení </w:t>
      </w:r>
      <w:r w:rsidRPr="009969FE">
        <w:rPr>
          <w:rFonts w:cstheme="minorHAnsi"/>
        </w:rPr>
        <w:t>§ 17 vyhlášky č. 416/2004 Sb.</w:t>
      </w:r>
      <w:r>
        <w:rPr>
          <w:rFonts w:cstheme="minorHAnsi"/>
        </w:rPr>
        <w:t>,</w:t>
      </w:r>
      <w:r w:rsidRPr="009969FE">
        <w:rPr>
          <w:rFonts w:cstheme="minorHAnsi"/>
        </w:rPr>
        <w:t xml:space="preserve"> </w:t>
      </w:r>
      <w:r w:rsidRPr="009969FE">
        <w:rPr>
          <w:rFonts w:cstheme="minorHAnsi"/>
          <w:color w:val="000000"/>
          <w:shd w:val="clear" w:color="auto" w:fill="FFFFFF"/>
        </w:rPr>
        <w:t>kterou se provádí zákon č.</w:t>
      </w:r>
      <w:r>
        <w:rPr>
          <w:rFonts w:cstheme="minorHAnsi"/>
          <w:color w:val="000000"/>
          <w:shd w:val="clear" w:color="auto" w:fill="FFFFFF"/>
        </w:rPr>
        <w:t> </w:t>
      </w:r>
      <w:r w:rsidRPr="009969FE">
        <w:rPr>
          <w:rFonts w:cstheme="minorHAnsi"/>
          <w:color w:val="000000"/>
          <w:shd w:val="clear" w:color="auto" w:fill="FFFFFF"/>
        </w:rPr>
        <w:t>320/2001 Sb., o</w:t>
      </w:r>
      <w:r>
        <w:rPr>
          <w:rFonts w:cstheme="minorHAnsi"/>
          <w:color w:val="000000"/>
          <w:shd w:val="clear" w:color="auto" w:fill="FFFFFF"/>
        </w:rPr>
        <w:t> </w:t>
      </w:r>
      <w:r w:rsidRPr="009969FE">
        <w:rPr>
          <w:rFonts w:cstheme="minorHAnsi"/>
          <w:color w:val="000000"/>
          <w:shd w:val="clear" w:color="auto" w:fill="FFFFFF"/>
        </w:rPr>
        <w:t>finanční kontrole ve veřejné správě a o změně některých zákonů (zákon o finanční kontrole), ve znění zákona č. 309/2002 Sb., zákona č. 320/2002 Sb. a zákona č. 123/2003 Sb.</w:t>
      </w:r>
    </w:p>
  </w:footnote>
  <w:footnote w:id="6">
    <w:p w14:paraId="27EF481A" w14:textId="77777777" w:rsidR="00114BA0" w:rsidRDefault="00114BA0" w:rsidP="00181F12">
      <w:pPr>
        <w:pStyle w:val="Textpoznpodarou"/>
        <w:spacing w:after="0"/>
        <w:ind w:left="284" w:hanging="284"/>
        <w:jc w:val="both"/>
      </w:pPr>
      <w:r>
        <w:rPr>
          <w:rStyle w:val="Znakapoznpodarou"/>
        </w:rPr>
        <w:footnoteRef/>
      </w:r>
      <w:r>
        <w:t xml:space="preserve"> </w:t>
      </w:r>
      <w:r>
        <w:tab/>
      </w:r>
      <w:r w:rsidRPr="00006921">
        <w:rPr>
          <w:rFonts w:ascii="Calibri" w:hAnsi="Calibri" w:cs="Calibri"/>
        </w:rPr>
        <w:t xml:space="preserve">Ustanovení § 29 odst. 5 zákona </w:t>
      </w:r>
      <w:r>
        <w:rPr>
          <w:rFonts w:ascii="Calibri" w:hAnsi="Calibri" w:cs="Calibri"/>
        </w:rPr>
        <w:t>č. 320/2001 Sb.</w:t>
      </w:r>
      <w:r w:rsidRPr="00006921">
        <w:rPr>
          <w:rFonts w:ascii="Calibri" w:hAnsi="Calibri" w:cs="Calibri"/>
        </w:rPr>
        <w:t xml:space="preserve">: </w:t>
      </w:r>
      <w:r w:rsidRPr="00DF46B6">
        <w:rPr>
          <w:rFonts w:ascii="Calibri" w:hAnsi="Calibri" w:cs="Calibri"/>
        </w:rPr>
        <w:t>„</w:t>
      </w:r>
      <w:r w:rsidRPr="00811110">
        <w:rPr>
          <w:rFonts w:ascii="Calibri" w:hAnsi="Calibri" w:cs="Calibri"/>
          <w:i/>
        </w:rPr>
        <w:t xml:space="preserve">V případech s malou pravděpodobností výskytu nepřiměřených rizik při hospodaření s veřejnými prostředky, a to zejména v návaznosti na povahu zajišťovaných úkolů, strukturu a stupeň obtížnosti vnitřního řízení, mohou orgány veřejné správy podle </w:t>
      </w:r>
      <w:hyperlink r:id="rId1" w:history="1">
        <w:r w:rsidRPr="00006921">
          <w:rPr>
            <w:rStyle w:val="Hypertextovodkaz"/>
            <w:rFonts w:ascii="Calibri" w:hAnsi="Calibri" w:cs="Calibri"/>
            <w:i/>
            <w:color w:val="auto"/>
            <w:u w:val="none"/>
          </w:rPr>
          <w:t>§ 8 odst. 1</w:t>
        </w:r>
      </w:hyperlink>
      <w:r w:rsidRPr="00811110">
        <w:rPr>
          <w:rFonts w:ascii="Calibri" w:hAnsi="Calibri" w:cs="Calibri"/>
          <w:i/>
        </w:rPr>
        <w:t xml:space="preserve"> u</w:t>
      </w:r>
      <w:r>
        <w:rPr>
          <w:rFonts w:ascii="Calibri" w:hAnsi="Calibri" w:cs="Calibri"/>
          <w:i/>
        </w:rPr>
        <w:t> </w:t>
      </w:r>
      <w:r w:rsidRPr="00811110">
        <w:rPr>
          <w:rFonts w:ascii="Calibri" w:hAnsi="Calibri" w:cs="Calibri"/>
          <w:i/>
        </w:rPr>
        <w:t>organizačních složek státu a příspěvkových organizací ve své působnosti, územní, …, organizací nahradit funkci útvaru interního auditu výkonem veřejnosprávní kontroly podle části druhé tohoto zákona.</w:t>
      </w:r>
      <w:r w:rsidRPr="00DF46B6">
        <w:rPr>
          <w:rFonts w:ascii="Calibri" w:hAnsi="Calibri" w:cs="Calibri"/>
        </w:rPr>
        <w:t>“</w:t>
      </w:r>
    </w:p>
  </w:footnote>
  <w:footnote w:id="7">
    <w:p w14:paraId="21ADD36F" w14:textId="77777777" w:rsidR="00114BA0" w:rsidRDefault="00114BA0" w:rsidP="00181F12">
      <w:pPr>
        <w:pStyle w:val="Textpoznpodarou"/>
        <w:spacing w:after="0"/>
        <w:ind w:left="284" w:hanging="284"/>
      </w:pPr>
      <w:r>
        <w:rPr>
          <w:rStyle w:val="Znakapoznpodarou"/>
        </w:rPr>
        <w:footnoteRef/>
      </w:r>
      <w:r>
        <w:t xml:space="preserve"> </w:t>
      </w:r>
      <w:r>
        <w:tab/>
        <w:t>Ustanovení § 11 odst. 4 zákona č. 320/2001 Sb.</w:t>
      </w:r>
    </w:p>
  </w:footnote>
  <w:footnote w:id="8">
    <w:p w14:paraId="24950678" w14:textId="77777777" w:rsidR="00114BA0" w:rsidRPr="0074109A" w:rsidRDefault="00114BA0" w:rsidP="00181F12">
      <w:pPr>
        <w:pStyle w:val="Textpoznpodarou"/>
        <w:spacing w:after="0"/>
        <w:ind w:left="284" w:hanging="284"/>
        <w:jc w:val="both"/>
        <w:rPr>
          <w:rFonts w:cstheme="minorHAnsi"/>
        </w:rPr>
      </w:pPr>
      <w:r w:rsidRPr="0074109A">
        <w:rPr>
          <w:rStyle w:val="Znakapoznpodarou"/>
          <w:rFonts w:cstheme="minorHAnsi"/>
        </w:rPr>
        <w:footnoteRef/>
      </w:r>
      <w:r w:rsidRPr="0074109A">
        <w:rPr>
          <w:rFonts w:cstheme="minorHAnsi"/>
        </w:rPr>
        <w:t xml:space="preserve"> </w:t>
      </w:r>
      <w:r>
        <w:rPr>
          <w:rFonts w:cstheme="minorHAnsi"/>
        </w:rPr>
        <w:tab/>
      </w:r>
      <w:r w:rsidRPr="0074109A">
        <w:rPr>
          <w:rFonts w:cstheme="minorHAnsi"/>
        </w:rPr>
        <w:t>P</w:t>
      </w:r>
      <w:r w:rsidRPr="0074109A">
        <w:rPr>
          <w:rFonts w:cstheme="minorHAnsi"/>
          <w:color w:val="1A1F2A"/>
          <w:shd w:val="clear" w:color="auto" w:fill="FFFFFF"/>
        </w:rPr>
        <w:t xml:space="preserve">rogram </w:t>
      </w:r>
      <w:r w:rsidRPr="0074109A">
        <w:rPr>
          <w:rFonts w:cstheme="minorHAnsi"/>
        </w:rPr>
        <w:t xml:space="preserve">11701 </w:t>
      </w:r>
      <w:r>
        <w:rPr>
          <w:rFonts w:cstheme="minorHAnsi"/>
        </w:rPr>
        <w:t xml:space="preserve">– </w:t>
      </w:r>
      <w:r w:rsidRPr="00DF46B6">
        <w:rPr>
          <w:rFonts w:cstheme="minorHAnsi"/>
          <w:i/>
        </w:rPr>
        <w:t>Rozvoj a obnova materiálně technické základny systému řízení MMR na roky 2008–2013</w:t>
      </w:r>
      <w:r w:rsidRPr="0074109A">
        <w:rPr>
          <w:rFonts w:cstheme="minorHAnsi"/>
        </w:rPr>
        <w:t xml:space="preserve">. </w:t>
      </w:r>
    </w:p>
  </w:footnote>
  <w:footnote w:id="9">
    <w:p w14:paraId="0425E577" w14:textId="77777777" w:rsidR="00114BA0" w:rsidRPr="0074109A" w:rsidRDefault="00114BA0" w:rsidP="00181F12">
      <w:pPr>
        <w:pStyle w:val="Textpoznpodarou"/>
        <w:spacing w:after="0"/>
        <w:ind w:left="284" w:hanging="284"/>
        <w:jc w:val="both"/>
        <w:rPr>
          <w:rFonts w:cstheme="minorHAnsi"/>
        </w:rPr>
      </w:pPr>
      <w:r w:rsidRPr="0074109A">
        <w:rPr>
          <w:rStyle w:val="Znakapoznpodarou"/>
          <w:rFonts w:cstheme="minorHAnsi"/>
        </w:rPr>
        <w:footnoteRef/>
      </w:r>
      <w:r w:rsidRPr="0074109A">
        <w:rPr>
          <w:rFonts w:cstheme="minorHAnsi"/>
        </w:rPr>
        <w:t xml:space="preserve"> </w:t>
      </w:r>
      <w:r>
        <w:rPr>
          <w:rFonts w:cstheme="minorHAnsi"/>
        </w:rPr>
        <w:tab/>
      </w:r>
      <w:r w:rsidRPr="0074109A">
        <w:rPr>
          <w:rFonts w:cstheme="minorHAnsi"/>
        </w:rPr>
        <w:t>Veřejná zakázka č. P19V00001767, P20V00002910</w:t>
      </w:r>
      <w:r>
        <w:rPr>
          <w:rFonts w:cstheme="minorHAnsi"/>
        </w:rPr>
        <w:t xml:space="preserve"> a</w:t>
      </w:r>
      <w:r w:rsidRPr="0074109A">
        <w:rPr>
          <w:rFonts w:cstheme="minorHAnsi"/>
        </w:rPr>
        <w:t xml:space="preserve"> P20V00003036.</w:t>
      </w:r>
    </w:p>
  </w:footnote>
  <w:footnote w:id="10">
    <w:p w14:paraId="3CE0BEBA" w14:textId="77777777" w:rsidR="00114BA0" w:rsidRDefault="00114BA0" w:rsidP="00181F12">
      <w:pPr>
        <w:pStyle w:val="Textpoznpodarou"/>
        <w:spacing w:after="0"/>
        <w:ind w:left="284" w:hanging="284"/>
        <w:jc w:val="both"/>
      </w:pPr>
      <w:r>
        <w:rPr>
          <w:rStyle w:val="Znakapoznpodarou"/>
        </w:rPr>
        <w:footnoteRef/>
      </w:r>
      <w:r>
        <w:t xml:space="preserve"> </w:t>
      </w:r>
      <w:r>
        <w:tab/>
      </w:r>
      <w:r w:rsidRPr="0023142E">
        <w:rPr>
          <w:rFonts w:cstheme="minorHAnsi"/>
        </w:rPr>
        <w:t>Ustanovení</w:t>
      </w:r>
      <w:r>
        <w:rPr>
          <w:rFonts w:cstheme="minorHAnsi"/>
        </w:rPr>
        <w:t xml:space="preserve"> § 3 písm. e), </w:t>
      </w:r>
      <w:r w:rsidRPr="0023142E">
        <w:rPr>
          <w:rFonts w:cstheme="minorHAnsi"/>
        </w:rPr>
        <w:t xml:space="preserve">§ 44 odst. 1 písm. </w:t>
      </w:r>
      <w:r>
        <w:rPr>
          <w:rFonts w:cstheme="minorHAnsi"/>
        </w:rPr>
        <w:t>b</w:t>
      </w:r>
      <w:r w:rsidRPr="0023142E">
        <w:rPr>
          <w:rFonts w:cstheme="minorHAnsi"/>
        </w:rPr>
        <w:t xml:space="preserve">) zákona č. 218/2000 Sb., </w:t>
      </w:r>
      <w:r w:rsidRPr="0023142E">
        <w:rPr>
          <w:rFonts w:cstheme="minorHAnsi"/>
          <w:color w:val="000000"/>
          <w:shd w:val="clear" w:color="auto" w:fill="FFFFFF"/>
        </w:rPr>
        <w:t>o rozpočtových pravidlech a o změně některých souvisejících zákonů (rozpočtová pravidla).</w:t>
      </w:r>
      <w:r>
        <w:rPr>
          <w:rFonts w:ascii="Arial" w:hAnsi="Arial" w:cs="Arial"/>
          <w:color w:val="000000"/>
          <w:shd w:val="clear" w:color="auto" w:fill="FFFFFF"/>
        </w:rPr>
        <w:t xml:space="preserve"> </w:t>
      </w:r>
    </w:p>
  </w:footnote>
  <w:footnote w:id="11">
    <w:p w14:paraId="1501BDC4" w14:textId="77777777" w:rsidR="00114BA0" w:rsidRDefault="00114BA0" w:rsidP="00181F12">
      <w:pPr>
        <w:pStyle w:val="Textpoznpodarou"/>
        <w:spacing w:after="0"/>
        <w:ind w:left="284" w:hanging="284"/>
      </w:pPr>
      <w:r>
        <w:rPr>
          <w:rStyle w:val="Znakapoznpodarou"/>
        </w:rPr>
        <w:footnoteRef/>
      </w:r>
      <w:r>
        <w:t xml:space="preserve"> </w:t>
      </w:r>
      <w:r>
        <w:tab/>
        <w:t>Ustanovení § 6 odst. 1, § 82 odst. 7 písm. a) a b) zákona č. 137/2006 Sb.</w:t>
      </w:r>
    </w:p>
  </w:footnote>
  <w:footnote w:id="12">
    <w:p w14:paraId="7ED9B3A8" w14:textId="77777777" w:rsidR="00114BA0" w:rsidRDefault="00114BA0" w:rsidP="00181F12">
      <w:pPr>
        <w:pStyle w:val="Textpoznpodarou"/>
        <w:spacing w:after="0"/>
        <w:ind w:left="284" w:hanging="284"/>
      </w:pPr>
      <w:r>
        <w:rPr>
          <w:rStyle w:val="Znakapoznpodarou"/>
        </w:rPr>
        <w:footnoteRef/>
      </w:r>
      <w:r>
        <w:t xml:space="preserve"> </w:t>
      </w:r>
      <w:r>
        <w:tab/>
        <w:t>Ustanovení § 6 odst. 1 a 2 zákona č. 137/2006 Sb.</w:t>
      </w:r>
    </w:p>
  </w:footnote>
  <w:footnote w:id="13">
    <w:p w14:paraId="00CE41BA" w14:textId="77777777" w:rsidR="00114BA0" w:rsidRPr="00B62536" w:rsidRDefault="00114BA0" w:rsidP="003F1EDB">
      <w:pPr>
        <w:pStyle w:val="Textpoznpodarou"/>
        <w:spacing w:after="0"/>
        <w:ind w:left="284" w:hanging="284"/>
        <w:jc w:val="both"/>
      </w:pPr>
      <w:r w:rsidRPr="0074109A">
        <w:rPr>
          <w:rStyle w:val="Znakapoznpodarou"/>
          <w:rFonts w:cstheme="minorHAnsi"/>
        </w:rPr>
        <w:footnoteRef/>
      </w:r>
      <w:r w:rsidRPr="0074109A">
        <w:rPr>
          <w:rFonts w:cstheme="minorHAnsi"/>
        </w:rPr>
        <w:t xml:space="preserve"> </w:t>
      </w:r>
      <w:r>
        <w:rPr>
          <w:rFonts w:cstheme="minorHAnsi"/>
        </w:rPr>
        <w:tab/>
        <w:t>Ustanovení § 5 odst. 2 zákona</w:t>
      </w:r>
      <w:r w:rsidRPr="0074109A">
        <w:rPr>
          <w:rFonts w:cstheme="minorHAnsi"/>
        </w:rPr>
        <w:t xml:space="preserve"> č. 340/2015 Sb., z</w:t>
      </w:r>
      <w:r w:rsidRPr="0074109A">
        <w:rPr>
          <w:rFonts w:cstheme="minorHAnsi"/>
          <w:iCs/>
          <w:shd w:val="clear" w:color="auto" w:fill="FFFFFF"/>
        </w:rPr>
        <w:t>ákon o zvláštních podmínkách účinnosti některých smluv, uveřejňování těchto smluv a o registru smluv (zákon o registru smluv).</w:t>
      </w:r>
      <w:r w:rsidRPr="00B62536">
        <w:rPr>
          <w:rFonts w:cstheme="minorHAnsi"/>
          <w:iCs/>
          <w:shd w:val="clear" w:color="auto" w:fill="FFFFFF"/>
        </w:rPr>
        <w:t xml:space="preserve"> </w:t>
      </w:r>
    </w:p>
  </w:footnote>
  <w:footnote w:id="14">
    <w:p w14:paraId="03BC1C45" w14:textId="77777777" w:rsidR="00114BA0" w:rsidRDefault="00114BA0" w:rsidP="003F1EDB">
      <w:pPr>
        <w:pStyle w:val="Textpoznpodarou"/>
        <w:spacing w:after="0"/>
        <w:ind w:left="284" w:hanging="284"/>
      </w:pPr>
      <w:r>
        <w:rPr>
          <w:rStyle w:val="Znakapoznpodarou"/>
        </w:rPr>
        <w:footnoteRef/>
      </w:r>
      <w:r>
        <w:t xml:space="preserve"> </w:t>
      </w:r>
      <w:r>
        <w:tab/>
        <w:t xml:space="preserve">Ustanovení § 3 písm. e), § 44 odst. 1 písm. a) zákona č. 218/2000 Sb. </w:t>
      </w:r>
    </w:p>
  </w:footnote>
  <w:footnote w:id="15">
    <w:p w14:paraId="6295302C" w14:textId="77777777" w:rsidR="00114BA0" w:rsidRPr="00B62536" w:rsidRDefault="00114BA0" w:rsidP="003F1EDB">
      <w:pPr>
        <w:pStyle w:val="Textpoznpodarou"/>
        <w:spacing w:after="0"/>
        <w:ind w:left="284" w:hanging="284"/>
        <w:jc w:val="both"/>
      </w:pPr>
      <w:r w:rsidRPr="00B62536">
        <w:rPr>
          <w:rStyle w:val="Znakapoznpodarou"/>
        </w:rPr>
        <w:footnoteRef/>
      </w:r>
      <w:r w:rsidRPr="00B62536">
        <w:t xml:space="preserve"> </w:t>
      </w:r>
      <w:r>
        <w:tab/>
      </w:r>
      <w:r w:rsidRPr="00B62536">
        <w:t xml:space="preserve">Zákon </w:t>
      </w:r>
      <w:r>
        <w:t xml:space="preserve">České národní rady </w:t>
      </w:r>
      <w:r w:rsidRPr="00B62536">
        <w:t>č. 2/1969 Sb., o zřízení ministerstev a jiných ústředních orgánů státní správy České republiky.</w:t>
      </w:r>
    </w:p>
  </w:footnote>
  <w:footnote w:id="16">
    <w:p w14:paraId="1065FAA9" w14:textId="77777777" w:rsidR="00114BA0" w:rsidRPr="00B62536" w:rsidRDefault="00114BA0" w:rsidP="003F1EDB">
      <w:pPr>
        <w:pStyle w:val="Textpoznpodarou"/>
        <w:spacing w:after="0"/>
        <w:ind w:left="284" w:hanging="284"/>
        <w:jc w:val="both"/>
      </w:pPr>
      <w:r w:rsidRPr="00B62536">
        <w:rPr>
          <w:rStyle w:val="Znakapoznpodarou"/>
        </w:rPr>
        <w:footnoteRef/>
      </w:r>
      <w:r w:rsidRPr="00B62536">
        <w:t xml:space="preserve"> </w:t>
      </w:r>
      <w:r>
        <w:tab/>
      </w:r>
      <w:r w:rsidRPr="00B62536">
        <w:t xml:space="preserve">ČMZRB se od září 2021 změnila na Národní rozvojovou banku, jejíž součástí je jako dceřiná společnost i Národní rozvojový fond. </w:t>
      </w:r>
    </w:p>
  </w:footnote>
  <w:footnote w:id="17">
    <w:p w14:paraId="334DE47C" w14:textId="77777777" w:rsidR="00114BA0" w:rsidRPr="00DA680D" w:rsidRDefault="00114BA0" w:rsidP="00974BD0">
      <w:pPr>
        <w:pStyle w:val="Textpoznpodarou"/>
        <w:spacing w:after="0"/>
        <w:ind w:left="284" w:hanging="284"/>
        <w:jc w:val="both"/>
        <w:rPr>
          <w:rFonts w:ascii="Calibri" w:hAnsi="Calibri" w:cs="Calibri"/>
        </w:rPr>
      </w:pPr>
      <w:r w:rsidRPr="00B62536">
        <w:rPr>
          <w:rStyle w:val="Znakapoznpodarou"/>
        </w:rPr>
        <w:footnoteRef/>
      </w:r>
      <w:r w:rsidRPr="00B62536">
        <w:t xml:space="preserve"> </w:t>
      </w:r>
      <w:r>
        <w:tab/>
      </w:r>
      <w:r w:rsidRPr="00B62536">
        <w:rPr>
          <w:rFonts w:ascii="Calibri" w:hAnsi="Calibri" w:cs="Calibri"/>
        </w:rPr>
        <w:t xml:space="preserve">Zákon č. </w:t>
      </w:r>
      <w:r>
        <w:rPr>
          <w:rFonts w:ascii="Calibri" w:hAnsi="Calibri" w:cs="Calibri"/>
        </w:rPr>
        <w:t>248/2000 Sb., o podpoře regionálního rozvoje.</w:t>
      </w:r>
    </w:p>
  </w:footnote>
  <w:footnote w:id="18">
    <w:p w14:paraId="4E4340A3" w14:textId="77777777" w:rsidR="00114BA0" w:rsidRDefault="00114BA0" w:rsidP="00974BD0">
      <w:pPr>
        <w:pStyle w:val="Textpoznpodarou"/>
        <w:spacing w:after="0"/>
        <w:ind w:left="284" w:hanging="284"/>
        <w:jc w:val="both"/>
      </w:pPr>
      <w:r>
        <w:rPr>
          <w:rStyle w:val="Znakapoznpodarou"/>
        </w:rPr>
        <w:footnoteRef/>
      </w:r>
      <w:r>
        <w:t xml:space="preserve"> </w:t>
      </w:r>
      <w:r>
        <w:tab/>
        <w:t>V roce 2020 činil příspěvek na provoz částku výši 90 mil. Kč, což představovalo 15 % výnosů organizace.</w:t>
      </w:r>
    </w:p>
  </w:footnote>
  <w:footnote w:id="19">
    <w:p w14:paraId="05139405" w14:textId="77777777" w:rsidR="00114BA0" w:rsidRDefault="00114BA0" w:rsidP="00974BD0">
      <w:pPr>
        <w:pStyle w:val="Textpoznpodarou"/>
        <w:ind w:left="284" w:hanging="284"/>
        <w:jc w:val="both"/>
      </w:pPr>
      <w:r>
        <w:rPr>
          <w:rStyle w:val="Znakapoznpodarou"/>
        </w:rPr>
        <w:footnoteRef/>
      </w:r>
      <w:r>
        <w:t xml:space="preserve"> </w:t>
      </w:r>
      <w:r>
        <w:tab/>
        <w:t xml:space="preserve">Zákon č. 576/1990 Sb., o pravidlech hospodaření s rozpočtovými prostředky České republiky a obcí v České republice. </w:t>
      </w:r>
    </w:p>
  </w:footnote>
  <w:footnote w:id="20">
    <w:p w14:paraId="5B223F62" w14:textId="77777777" w:rsidR="00114BA0" w:rsidRDefault="00114BA0" w:rsidP="008265F7">
      <w:pPr>
        <w:pStyle w:val="Textpoznpodarou"/>
        <w:spacing w:after="0"/>
        <w:ind w:left="284" w:hanging="284"/>
        <w:jc w:val="both"/>
      </w:pPr>
      <w:r>
        <w:rPr>
          <w:rStyle w:val="Znakapoznpodarou"/>
        </w:rPr>
        <w:footnoteRef/>
      </w:r>
      <w:r>
        <w:t xml:space="preserve"> </w:t>
      </w:r>
      <w:r>
        <w:tab/>
      </w:r>
      <w:r w:rsidRPr="001431C9">
        <w:t xml:space="preserve">V roce </w:t>
      </w:r>
      <w:r>
        <w:t xml:space="preserve">2020 </w:t>
      </w:r>
      <w:r w:rsidRPr="001431C9">
        <w:t xml:space="preserve">byla činnost </w:t>
      </w:r>
      <w:r>
        <w:t xml:space="preserve">Horské služby </w:t>
      </w:r>
      <w:r w:rsidRPr="001431C9">
        <w:t xml:space="preserve">financována z rozpočtu kapitoly </w:t>
      </w:r>
      <w:r>
        <w:t xml:space="preserve">317 – </w:t>
      </w:r>
      <w:r w:rsidRPr="001431C9">
        <w:t>MMR ve výši 96,</w:t>
      </w:r>
      <w:r>
        <w:t xml:space="preserve">2 </w:t>
      </w:r>
      <w:r w:rsidRPr="001431C9">
        <w:t>%.</w:t>
      </w:r>
      <w:r>
        <w:t xml:space="preserve"> Dalšími zdroji financování byly granty, dotaců od krajů</w:t>
      </w:r>
      <w:r w:rsidRPr="007F0D88">
        <w:t xml:space="preserve"> </w:t>
      </w:r>
      <w:r>
        <w:t xml:space="preserve">nebo vlastní příjmy, např. za ošetření zahraničních turistů. </w:t>
      </w:r>
    </w:p>
  </w:footnote>
  <w:footnote w:id="21">
    <w:p w14:paraId="4BE67BF3" w14:textId="77777777" w:rsidR="00114BA0" w:rsidRDefault="00114BA0" w:rsidP="003B0804">
      <w:pPr>
        <w:pStyle w:val="Odstavecseseznamem"/>
        <w:spacing w:after="0"/>
        <w:ind w:left="284" w:hanging="284"/>
        <w:jc w:val="both"/>
      </w:pPr>
      <w:r>
        <w:rPr>
          <w:rStyle w:val="Znakapoznpodarou"/>
        </w:rPr>
        <w:footnoteRef/>
      </w:r>
      <w:r>
        <w:t> </w:t>
      </w:r>
      <w:r>
        <w:tab/>
      </w:r>
      <w:r w:rsidRPr="006B2F5C">
        <w:rPr>
          <w:color w:val="1A1F2A"/>
          <w:sz w:val="20"/>
          <w:szCs w:val="20"/>
          <w:shd w:val="clear" w:color="auto" w:fill="FFFFFF"/>
        </w:rPr>
        <w:t xml:space="preserve">Program </w:t>
      </w:r>
      <w:r w:rsidRPr="006B2F5C">
        <w:rPr>
          <w:sz w:val="20"/>
          <w:szCs w:val="20"/>
        </w:rPr>
        <w:t>117D13</w:t>
      </w:r>
      <w:r>
        <w:rPr>
          <w:sz w:val="20"/>
          <w:szCs w:val="20"/>
        </w:rPr>
        <w:t> –</w:t>
      </w:r>
      <w:r w:rsidRPr="006B2F5C">
        <w:rPr>
          <w:sz w:val="20"/>
          <w:szCs w:val="20"/>
        </w:rPr>
        <w:t xml:space="preserve"> </w:t>
      </w:r>
      <w:r w:rsidRPr="00D576E8">
        <w:rPr>
          <w:i/>
          <w:sz w:val="20"/>
          <w:szCs w:val="20"/>
          <w:shd w:val="clear" w:color="auto" w:fill="FFFFFF"/>
        </w:rPr>
        <w:t>Rozvoj a obnova materiálně technické základny Horské služby o.p.s. 2018–2022</w:t>
      </w:r>
      <w:r w:rsidRPr="00824648">
        <w:rPr>
          <w:sz w:val="20"/>
          <w:szCs w:val="20"/>
          <w:shd w:val="clear" w:color="auto" w:fill="FFFFFF"/>
        </w:rPr>
        <w:t xml:space="preserve"> </w:t>
      </w:r>
      <w:r w:rsidRPr="006B2F5C">
        <w:rPr>
          <w:color w:val="1A1F2A"/>
          <w:sz w:val="20"/>
          <w:szCs w:val="20"/>
          <w:shd w:val="clear" w:color="auto" w:fill="FFFFFF"/>
        </w:rPr>
        <w:t xml:space="preserve">(dříve program </w:t>
      </w:r>
      <w:r w:rsidRPr="006B2F5C">
        <w:rPr>
          <w:sz w:val="20"/>
          <w:szCs w:val="20"/>
        </w:rPr>
        <w:t>11701</w:t>
      </w:r>
      <w:r>
        <w:rPr>
          <w:sz w:val="20"/>
          <w:szCs w:val="20"/>
        </w:rPr>
        <w:t> –</w:t>
      </w:r>
      <w:r w:rsidRPr="006B2F5C">
        <w:rPr>
          <w:sz w:val="20"/>
          <w:szCs w:val="20"/>
        </w:rPr>
        <w:t xml:space="preserve"> </w:t>
      </w:r>
      <w:r w:rsidRPr="00D576E8">
        <w:rPr>
          <w:i/>
          <w:sz w:val="20"/>
          <w:szCs w:val="20"/>
        </w:rPr>
        <w:t>Rozvoj a obnova materiálně technické základny systému řízení MMR na roky 2008–2013</w:t>
      </w:r>
      <w:r w:rsidRPr="006B2F5C">
        <w:rPr>
          <w:sz w:val="20"/>
          <w:szCs w:val="20"/>
        </w:rPr>
        <w:t>).</w:t>
      </w:r>
    </w:p>
  </w:footnote>
  <w:footnote w:id="22">
    <w:p w14:paraId="642E01F3" w14:textId="77777777" w:rsidR="00114BA0" w:rsidRPr="00896D4A" w:rsidRDefault="00114BA0" w:rsidP="00FA493E">
      <w:pPr>
        <w:pStyle w:val="Textpoznpodarou"/>
        <w:spacing w:after="0"/>
        <w:ind w:left="284" w:hanging="284"/>
        <w:jc w:val="both"/>
        <w:rPr>
          <w:rFonts w:cstheme="minorHAnsi"/>
        </w:rPr>
      </w:pPr>
      <w:r w:rsidRPr="00896D4A">
        <w:rPr>
          <w:rStyle w:val="Znakapoznpodarou"/>
          <w:rFonts w:cstheme="minorHAnsi"/>
        </w:rPr>
        <w:footnoteRef/>
      </w:r>
      <w:r>
        <w:rPr>
          <w:rFonts w:cstheme="minorHAnsi"/>
        </w:rPr>
        <w:t> </w:t>
      </w:r>
      <w:r>
        <w:rPr>
          <w:rFonts w:cstheme="minorHAnsi"/>
        </w:rPr>
        <w:tab/>
      </w:r>
      <w:r w:rsidRPr="00896D4A">
        <w:rPr>
          <w:rFonts w:cstheme="minorHAnsi"/>
        </w:rPr>
        <w:t>Ojedinělé individuální případy nebo případy porušení spočívající zejména v porušení nedodržení lhůt stanovených zákonem č. 137/2006 Sb., zákonem č. 134/2016 Sb. nebo zákonem č. 340/2015 Sb.</w:t>
      </w:r>
    </w:p>
  </w:footnote>
  <w:footnote w:id="23">
    <w:p w14:paraId="540DBDF6" w14:textId="77777777" w:rsidR="00114BA0" w:rsidRPr="00896D4A" w:rsidRDefault="00114BA0" w:rsidP="00917EE3">
      <w:pPr>
        <w:pStyle w:val="Textpoznpodarou"/>
        <w:spacing w:after="0"/>
        <w:ind w:left="284" w:hanging="284"/>
        <w:rPr>
          <w:rFonts w:cstheme="minorHAnsi"/>
        </w:rPr>
      </w:pPr>
      <w:r w:rsidRPr="00896D4A">
        <w:rPr>
          <w:rStyle w:val="Znakapoznpodarou"/>
          <w:rFonts w:cstheme="minorHAnsi"/>
        </w:rPr>
        <w:footnoteRef/>
      </w:r>
      <w:r w:rsidRPr="00896D4A">
        <w:rPr>
          <w:rFonts w:cstheme="minorHAnsi"/>
        </w:rPr>
        <w:t xml:space="preserve"> </w:t>
      </w:r>
      <w:r>
        <w:rPr>
          <w:rFonts w:cstheme="minorHAnsi"/>
        </w:rPr>
        <w:tab/>
      </w:r>
      <w:r w:rsidRPr="00896D4A">
        <w:rPr>
          <w:rFonts w:cstheme="minorHAnsi"/>
        </w:rPr>
        <w:t xml:space="preserve">Doba plnění služeb ostrahy byla od 1. 4. 2008 – 30. 9. 2012. </w:t>
      </w:r>
    </w:p>
  </w:footnote>
  <w:footnote w:id="24">
    <w:p w14:paraId="2E3D7BC8" w14:textId="77777777" w:rsidR="00114BA0" w:rsidRPr="00896D4A" w:rsidRDefault="00114BA0" w:rsidP="00917EE3">
      <w:pPr>
        <w:pStyle w:val="Textpoznpodarou"/>
        <w:spacing w:after="0"/>
        <w:ind w:left="284" w:hanging="284"/>
        <w:jc w:val="both"/>
        <w:rPr>
          <w:rFonts w:cstheme="minorHAnsi"/>
        </w:rPr>
      </w:pPr>
      <w:r w:rsidRPr="00896D4A">
        <w:rPr>
          <w:rStyle w:val="Znakapoznpodarou"/>
          <w:rFonts w:cstheme="minorHAnsi"/>
        </w:rPr>
        <w:footnoteRef/>
      </w:r>
      <w:r w:rsidRPr="00896D4A">
        <w:rPr>
          <w:rFonts w:cstheme="minorHAnsi"/>
        </w:rPr>
        <w:t xml:space="preserve"> </w:t>
      </w:r>
      <w:r>
        <w:rPr>
          <w:rFonts w:cstheme="minorHAnsi"/>
        </w:rPr>
        <w:tab/>
      </w:r>
      <w:r w:rsidRPr="00896D4A">
        <w:rPr>
          <w:rFonts w:cstheme="minorHAnsi"/>
        </w:rPr>
        <w:t>Ustanovení § 6 odst. 1 a 2 zákona č. 137/2006 Sb.</w:t>
      </w:r>
    </w:p>
  </w:footnote>
  <w:footnote w:id="25">
    <w:p w14:paraId="07C27356" w14:textId="77777777" w:rsidR="00114BA0" w:rsidRPr="00896D4A" w:rsidRDefault="00114BA0" w:rsidP="00917EE3">
      <w:pPr>
        <w:pStyle w:val="Textpoznpodarou"/>
        <w:spacing w:after="0"/>
        <w:ind w:left="284" w:hanging="284"/>
        <w:rPr>
          <w:rFonts w:cstheme="minorHAnsi"/>
        </w:rPr>
      </w:pPr>
      <w:r w:rsidRPr="00896D4A">
        <w:rPr>
          <w:rStyle w:val="Znakapoznpodarou"/>
          <w:rFonts w:cstheme="minorHAnsi"/>
        </w:rPr>
        <w:footnoteRef/>
      </w:r>
      <w:r w:rsidRPr="00896D4A">
        <w:rPr>
          <w:rFonts w:cstheme="minorHAnsi"/>
        </w:rPr>
        <w:t xml:space="preserve"> </w:t>
      </w:r>
      <w:r>
        <w:rPr>
          <w:rFonts w:cstheme="minorHAnsi"/>
        </w:rPr>
        <w:tab/>
      </w:r>
      <w:r w:rsidRPr="00896D4A">
        <w:rPr>
          <w:rFonts w:cstheme="minorHAnsi"/>
        </w:rPr>
        <w:t>Ustanovení § 5 odst. 2 zákona č. 340/2015 Sb.</w:t>
      </w:r>
    </w:p>
  </w:footnote>
  <w:footnote w:id="26">
    <w:p w14:paraId="49CF6F40" w14:textId="77777777" w:rsidR="00114BA0" w:rsidRPr="00896D4A" w:rsidRDefault="00114BA0" w:rsidP="00917EE3">
      <w:pPr>
        <w:pStyle w:val="Textpoznpodarou"/>
        <w:spacing w:after="0"/>
        <w:ind w:left="284" w:hanging="284"/>
        <w:jc w:val="both"/>
        <w:rPr>
          <w:rFonts w:cstheme="minorHAnsi"/>
        </w:rPr>
      </w:pPr>
      <w:r w:rsidRPr="00896D4A">
        <w:rPr>
          <w:rStyle w:val="Znakapoznpodarou"/>
          <w:rFonts w:cstheme="minorHAnsi"/>
        </w:rPr>
        <w:footnoteRef/>
      </w:r>
      <w:r>
        <w:rPr>
          <w:rFonts w:cstheme="minorHAnsi"/>
        </w:rPr>
        <w:t> </w:t>
      </w:r>
      <w:r>
        <w:rPr>
          <w:rFonts w:cstheme="minorHAnsi"/>
        </w:rPr>
        <w:tab/>
      </w:r>
      <w:r w:rsidRPr="00896D4A">
        <w:rPr>
          <w:rFonts w:cstheme="minorHAnsi"/>
        </w:rPr>
        <w:t>Oznámení o výsledku zadávacího řízení, oznámení o zadání zakázky – veřejná zakázka č. P15V00000926, P15V00002685, P16V00004329, P17V00004327, P18V00003869, P19V00010141, P20V00002910 a</w:t>
      </w:r>
      <w:r>
        <w:rPr>
          <w:rFonts w:cstheme="minorHAnsi"/>
        </w:rPr>
        <w:t> </w:t>
      </w:r>
      <w:r w:rsidRPr="00896D4A">
        <w:rPr>
          <w:rFonts w:cstheme="minorHAnsi"/>
        </w:rPr>
        <w:t xml:space="preserve">P20V00003036. </w:t>
      </w:r>
    </w:p>
  </w:footnote>
  <w:footnote w:id="27">
    <w:p w14:paraId="35EBCF41" w14:textId="77777777" w:rsidR="00114BA0" w:rsidRPr="00896D4A" w:rsidRDefault="00114BA0" w:rsidP="00917EE3">
      <w:pPr>
        <w:pStyle w:val="Textpoznpodarou"/>
        <w:spacing w:after="0"/>
        <w:ind w:left="284" w:hanging="284"/>
        <w:rPr>
          <w:rFonts w:cstheme="minorHAnsi"/>
        </w:rPr>
      </w:pPr>
      <w:r w:rsidRPr="00896D4A">
        <w:rPr>
          <w:rStyle w:val="Znakapoznpodarou"/>
          <w:rFonts w:cstheme="minorHAnsi"/>
        </w:rPr>
        <w:footnoteRef/>
      </w:r>
      <w:r w:rsidRPr="00896D4A">
        <w:rPr>
          <w:rFonts w:cstheme="minorHAnsi"/>
        </w:rPr>
        <w:t xml:space="preserve"> </w:t>
      </w:r>
      <w:r>
        <w:rPr>
          <w:rFonts w:cstheme="minorHAnsi"/>
        </w:rPr>
        <w:tab/>
        <w:t>Veřejná zakázka č. </w:t>
      </w:r>
      <w:r w:rsidRPr="00896D4A">
        <w:rPr>
          <w:rFonts w:cstheme="minorHAnsi"/>
        </w:rPr>
        <w:t>P15V00000926, P20V00002910 a P19V00010141.</w:t>
      </w:r>
    </w:p>
  </w:footnote>
  <w:footnote w:id="28">
    <w:p w14:paraId="327AC4C2" w14:textId="77777777" w:rsidR="00114BA0" w:rsidRPr="00896D4A" w:rsidRDefault="00114BA0" w:rsidP="00917EE3">
      <w:pPr>
        <w:pStyle w:val="Textpoznpodarou"/>
        <w:spacing w:after="0"/>
        <w:ind w:left="284" w:hanging="284"/>
        <w:jc w:val="both"/>
        <w:rPr>
          <w:rFonts w:cstheme="minorHAnsi"/>
        </w:rPr>
      </w:pPr>
      <w:r w:rsidRPr="00896D4A">
        <w:rPr>
          <w:rStyle w:val="Znakapoznpodarou"/>
          <w:rFonts w:cstheme="minorHAnsi"/>
        </w:rPr>
        <w:footnoteRef/>
      </w:r>
      <w:r w:rsidRPr="00896D4A">
        <w:rPr>
          <w:rFonts w:cstheme="minorHAnsi"/>
        </w:rPr>
        <w:t xml:space="preserve"> </w:t>
      </w:r>
      <w:r>
        <w:rPr>
          <w:rFonts w:cstheme="minorHAnsi"/>
        </w:rPr>
        <w:tab/>
      </w:r>
      <w:r w:rsidRPr="00896D4A">
        <w:rPr>
          <w:rFonts w:cstheme="minorHAnsi"/>
        </w:rPr>
        <w:t>Veřejná zakázka č. P20V00003036.</w:t>
      </w:r>
    </w:p>
  </w:footnote>
  <w:footnote w:id="29">
    <w:p w14:paraId="2ADB1FA5" w14:textId="77777777" w:rsidR="00114BA0" w:rsidRPr="00896D4A" w:rsidRDefault="00114BA0" w:rsidP="00917EE3">
      <w:pPr>
        <w:pStyle w:val="Textpoznpodarou"/>
        <w:spacing w:after="0"/>
        <w:ind w:left="284" w:hanging="284"/>
        <w:jc w:val="both"/>
        <w:rPr>
          <w:rFonts w:cstheme="minorHAnsi"/>
        </w:rPr>
      </w:pPr>
      <w:r w:rsidRPr="00896D4A">
        <w:rPr>
          <w:rStyle w:val="Znakapoznpodarou"/>
          <w:rFonts w:cstheme="minorHAnsi"/>
        </w:rPr>
        <w:footnoteRef/>
      </w:r>
      <w:r w:rsidRPr="00896D4A">
        <w:rPr>
          <w:rFonts w:cstheme="minorHAnsi"/>
        </w:rPr>
        <w:t xml:space="preserve"> </w:t>
      </w:r>
      <w:r>
        <w:rPr>
          <w:rFonts w:cstheme="minorHAnsi"/>
        </w:rPr>
        <w:tab/>
      </w:r>
      <w:r w:rsidRPr="00896D4A">
        <w:rPr>
          <w:rFonts w:cstheme="minorHAnsi"/>
        </w:rPr>
        <w:t>Veřejná zakázka č. P19V00001767, P20V00002910 a P20V00003036.</w:t>
      </w:r>
    </w:p>
  </w:footnote>
  <w:footnote w:id="30">
    <w:p w14:paraId="3359B643" w14:textId="77777777" w:rsidR="00114BA0" w:rsidRPr="0060167E" w:rsidRDefault="00114BA0" w:rsidP="00917EE3">
      <w:pPr>
        <w:pStyle w:val="Textpoznpodarou"/>
        <w:spacing w:after="0"/>
        <w:ind w:left="284" w:hanging="284"/>
        <w:jc w:val="both"/>
        <w:rPr>
          <w:rFonts w:cstheme="minorHAnsi"/>
        </w:rPr>
      </w:pPr>
      <w:r w:rsidRPr="00896D4A">
        <w:rPr>
          <w:rStyle w:val="Znakapoznpodarou"/>
          <w:rFonts w:cstheme="minorHAnsi"/>
        </w:rPr>
        <w:footnoteRef/>
      </w:r>
      <w:r w:rsidRPr="00896D4A">
        <w:rPr>
          <w:rFonts w:cstheme="minorHAnsi"/>
        </w:rPr>
        <w:t xml:space="preserve"> </w:t>
      </w:r>
      <w:r>
        <w:rPr>
          <w:rFonts w:cstheme="minorHAnsi"/>
        </w:rPr>
        <w:tab/>
      </w:r>
      <w:r w:rsidRPr="00896D4A">
        <w:rPr>
          <w:rFonts w:cstheme="minorHAnsi"/>
        </w:rPr>
        <w:t>Veřejná zakázka č. P15V00002685.</w:t>
      </w:r>
      <w:r w:rsidRPr="0060167E">
        <w:rPr>
          <w:rFonts w:cstheme="minorHAnsi"/>
        </w:rPr>
        <w:t xml:space="preserve"> </w:t>
      </w:r>
    </w:p>
  </w:footnote>
  <w:footnote w:id="31">
    <w:p w14:paraId="13B20075" w14:textId="77777777" w:rsidR="00114BA0" w:rsidRPr="00FA493E" w:rsidRDefault="00114BA0" w:rsidP="00917EE3">
      <w:pPr>
        <w:pStyle w:val="Textpoznpodarou"/>
        <w:spacing w:after="0"/>
        <w:ind w:left="284" w:hanging="284"/>
        <w:rPr>
          <w:rFonts w:ascii="Calibri" w:hAnsi="Calibri" w:cs="Calibri"/>
        </w:rPr>
      </w:pPr>
      <w:r w:rsidRPr="00FA493E">
        <w:rPr>
          <w:rStyle w:val="Znakapoznpodarou"/>
          <w:rFonts w:ascii="Calibri" w:hAnsi="Calibri" w:cs="Calibri"/>
        </w:rPr>
        <w:footnoteRef/>
      </w:r>
      <w:r w:rsidRPr="00FA493E">
        <w:rPr>
          <w:rFonts w:ascii="Calibri" w:hAnsi="Calibri" w:cs="Calibri"/>
        </w:rPr>
        <w:t xml:space="preserve"> </w:t>
      </w:r>
      <w:r>
        <w:rPr>
          <w:rFonts w:ascii="Calibri" w:hAnsi="Calibri" w:cs="Calibri"/>
        </w:rPr>
        <w:tab/>
      </w:r>
      <w:r w:rsidRPr="00FA493E">
        <w:rPr>
          <w:rFonts w:ascii="Calibri" w:hAnsi="Calibri" w:cs="Calibri"/>
        </w:rPr>
        <w:t xml:space="preserve">Akce id. č. 117D011000009, 117D012000016 a id. č. 117D012000017.  </w:t>
      </w:r>
    </w:p>
  </w:footnote>
  <w:footnote w:id="32">
    <w:p w14:paraId="2EC8535C" w14:textId="77777777" w:rsidR="00114BA0" w:rsidRPr="00FA493E" w:rsidRDefault="00114BA0" w:rsidP="00917EE3">
      <w:pPr>
        <w:pStyle w:val="Textpoznpodarou"/>
        <w:spacing w:after="0"/>
        <w:ind w:left="284" w:hanging="284"/>
        <w:rPr>
          <w:rFonts w:ascii="Calibri" w:hAnsi="Calibri" w:cs="Calibri"/>
        </w:rPr>
      </w:pPr>
      <w:r w:rsidRPr="00FA493E">
        <w:rPr>
          <w:rStyle w:val="Znakapoznpodarou"/>
          <w:rFonts w:ascii="Calibri" w:hAnsi="Calibri" w:cs="Calibri"/>
        </w:rPr>
        <w:footnoteRef/>
      </w:r>
      <w:r w:rsidRPr="00FA493E">
        <w:rPr>
          <w:rFonts w:ascii="Calibri" w:hAnsi="Calibri" w:cs="Calibri"/>
        </w:rPr>
        <w:t xml:space="preserve"> </w:t>
      </w:r>
      <w:r>
        <w:rPr>
          <w:rFonts w:ascii="Calibri" w:hAnsi="Calibri" w:cs="Calibri"/>
        </w:rPr>
        <w:tab/>
      </w:r>
      <w:r w:rsidRPr="00FA493E">
        <w:rPr>
          <w:rFonts w:ascii="Calibri" w:hAnsi="Calibri" w:cs="Calibri"/>
        </w:rPr>
        <w:t xml:space="preserve">Akce id. č. 117D012000016 a id. č. 117D012000017.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91B"/>
    <w:multiLevelType w:val="hybridMultilevel"/>
    <w:tmpl w:val="263046A4"/>
    <w:lvl w:ilvl="0" w:tplc="E232286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0544D"/>
    <w:multiLevelType w:val="hybridMultilevel"/>
    <w:tmpl w:val="A8C06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075D2"/>
    <w:multiLevelType w:val="hybridMultilevel"/>
    <w:tmpl w:val="80361AA8"/>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3" w15:restartNumberingAfterBreak="0">
    <w:nsid w:val="10DE3A46"/>
    <w:multiLevelType w:val="multilevel"/>
    <w:tmpl w:val="95429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E5D17"/>
    <w:multiLevelType w:val="hybridMultilevel"/>
    <w:tmpl w:val="21B8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356145"/>
    <w:multiLevelType w:val="hybridMultilevel"/>
    <w:tmpl w:val="774285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16125ECC"/>
    <w:multiLevelType w:val="multilevel"/>
    <w:tmpl w:val="2104F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D864B9"/>
    <w:multiLevelType w:val="hybridMultilevel"/>
    <w:tmpl w:val="9EF6B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176CC9"/>
    <w:multiLevelType w:val="hybridMultilevel"/>
    <w:tmpl w:val="3B2EAA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76056"/>
    <w:multiLevelType w:val="hybridMultilevel"/>
    <w:tmpl w:val="23C23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9E4338"/>
    <w:multiLevelType w:val="hybridMultilevel"/>
    <w:tmpl w:val="1D6C1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D5C34F"/>
    <w:multiLevelType w:val="hybridMultilevel"/>
    <w:tmpl w:val="73D42CEA"/>
    <w:lvl w:ilvl="0" w:tplc="4B7BAB1E">
      <w:start w:val="1"/>
      <w:numFmt w:val="bullet"/>
      <w:lvlText w:val="·"/>
      <w:lvlJc w:val="left"/>
      <w:pPr>
        <w:ind w:left="720" w:hanging="360"/>
      </w:pPr>
      <w:rPr>
        <w:rFonts w:ascii="Symbol" w:hAnsi="Symbol"/>
      </w:rPr>
    </w:lvl>
    <w:lvl w:ilvl="1" w:tplc="71CCBE5A">
      <w:start w:val="1"/>
      <w:numFmt w:val="bullet"/>
      <w:lvlText w:val="o"/>
      <w:lvlJc w:val="left"/>
      <w:pPr>
        <w:ind w:left="1440" w:hanging="360"/>
      </w:pPr>
      <w:rPr>
        <w:rFonts w:ascii="Symbol" w:hAnsi="Symbol"/>
      </w:rPr>
    </w:lvl>
    <w:lvl w:ilvl="2" w:tplc="1FE5E932">
      <w:start w:val="1"/>
      <w:numFmt w:val="bullet"/>
      <w:lvlText w:val="·"/>
      <w:lvlJc w:val="left"/>
      <w:pPr>
        <w:ind w:left="2160" w:hanging="360"/>
      </w:pPr>
      <w:rPr>
        <w:rFonts w:ascii="Symbol" w:hAnsi="Symbol"/>
      </w:rPr>
    </w:lvl>
    <w:lvl w:ilvl="3" w:tplc="09BB607A">
      <w:start w:val="1"/>
      <w:numFmt w:val="bullet"/>
      <w:lvlText w:val="o"/>
      <w:lvlJc w:val="left"/>
      <w:pPr>
        <w:ind w:left="2880" w:hanging="360"/>
      </w:pPr>
      <w:rPr>
        <w:rFonts w:ascii="Symbol" w:hAnsi="Symbol"/>
      </w:rPr>
    </w:lvl>
    <w:lvl w:ilvl="4" w:tplc="459B39CE">
      <w:start w:val="1"/>
      <w:numFmt w:val="bullet"/>
      <w:lvlText w:val="·"/>
      <w:lvlJc w:val="left"/>
      <w:pPr>
        <w:ind w:left="3600" w:hanging="360"/>
      </w:pPr>
      <w:rPr>
        <w:rFonts w:ascii="Symbol" w:hAnsi="Symbol"/>
      </w:rPr>
    </w:lvl>
    <w:lvl w:ilvl="5" w:tplc="77B6A8EE">
      <w:start w:val="1"/>
      <w:numFmt w:val="bullet"/>
      <w:lvlText w:val="o"/>
      <w:lvlJc w:val="left"/>
      <w:pPr>
        <w:ind w:left="4320" w:hanging="360"/>
      </w:pPr>
      <w:rPr>
        <w:rFonts w:ascii="Symbol" w:hAnsi="Symbol"/>
      </w:rPr>
    </w:lvl>
    <w:lvl w:ilvl="6" w:tplc="6F6FF7C8">
      <w:start w:val="1"/>
      <w:numFmt w:val="bullet"/>
      <w:lvlText w:val="·"/>
      <w:lvlJc w:val="left"/>
      <w:pPr>
        <w:ind w:left="5040" w:hanging="360"/>
      </w:pPr>
      <w:rPr>
        <w:rFonts w:ascii="Symbol" w:hAnsi="Symbol"/>
      </w:rPr>
    </w:lvl>
    <w:lvl w:ilvl="7" w:tplc="76219805">
      <w:start w:val="1"/>
      <w:numFmt w:val="bullet"/>
      <w:lvlText w:val="o"/>
      <w:lvlJc w:val="left"/>
      <w:pPr>
        <w:ind w:left="5760" w:hanging="360"/>
      </w:pPr>
      <w:rPr>
        <w:rFonts w:ascii="Symbol" w:hAnsi="Symbol"/>
      </w:rPr>
    </w:lvl>
    <w:lvl w:ilvl="8" w:tplc="711F76FC">
      <w:start w:val="1"/>
      <w:numFmt w:val="bullet"/>
      <w:lvlText w:val="·"/>
      <w:lvlJc w:val="left"/>
      <w:pPr>
        <w:ind w:left="6480" w:hanging="360"/>
      </w:pPr>
      <w:rPr>
        <w:rFonts w:ascii="Symbol" w:hAnsi="Symbol"/>
      </w:rPr>
    </w:lvl>
  </w:abstractNum>
  <w:abstractNum w:abstractNumId="12" w15:restartNumberingAfterBreak="0">
    <w:nsid w:val="30B13BB6"/>
    <w:multiLevelType w:val="hybridMultilevel"/>
    <w:tmpl w:val="FC40DDD4"/>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27F65F4"/>
    <w:multiLevelType w:val="hybridMultilevel"/>
    <w:tmpl w:val="0D60702A"/>
    <w:lvl w:ilvl="0" w:tplc="09E28DE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4903273"/>
    <w:multiLevelType w:val="hybridMultilevel"/>
    <w:tmpl w:val="3E2CA328"/>
    <w:lvl w:ilvl="0" w:tplc="466CEE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511076D"/>
    <w:multiLevelType w:val="multilevel"/>
    <w:tmpl w:val="067296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D21253"/>
    <w:multiLevelType w:val="hybridMultilevel"/>
    <w:tmpl w:val="40521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2A244F"/>
    <w:multiLevelType w:val="hybridMultilevel"/>
    <w:tmpl w:val="D53AB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B115D1"/>
    <w:multiLevelType w:val="hybridMultilevel"/>
    <w:tmpl w:val="563CAAC4"/>
    <w:lvl w:ilvl="0" w:tplc="32C060A6">
      <w:start w:val="4"/>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9A7C66"/>
    <w:multiLevelType w:val="hybridMultilevel"/>
    <w:tmpl w:val="91782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D36CC8"/>
    <w:multiLevelType w:val="hybridMultilevel"/>
    <w:tmpl w:val="2BBC16A6"/>
    <w:lvl w:ilvl="0" w:tplc="466CEE0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07DE5"/>
    <w:multiLevelType w:val="hybridMultilevel"/>
    <w:tmpl w:val="3C82D6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1336148"/>
    <w:multiLevelType w:val="hybridMultilevel"/>
    <w:tmpl w:val="1FD8F9BE"/>
    <w:lvl w:ilvl="0" w:tplc="D4AEBBF2">
      <w:start w:val="1"/>
      <w:numFmt w:val="decimal"/>
      <w:lvlText w:val="%1."/>
      <w:lvlJc w:val="left"/>
      <w:pPr>
        <w:ind w:left="720" w:hanging="360"/>
      </w:pPr>
      <w:rPr>
        <w:rFonts w:asciiTheme="minorHAnsi" w:eastAsia="Times New Roman" w:hAnsiTheme="minorHAnsi" w:cs="Times New Roman" w:hint="default"/>
      </w:rPr>
    </w:lvl>
    <w:lvl w:ilvl="1" w:tplc="D7A4590E">
      <w:start w:val="1"/>
      <w:numFmt w:val="bullet"/>
      <w:lvlText w:val="o"/>
      <w:lvlJc w:val="left"/>
      <w:pPr>
        <w:ind w:left="1440" w:hanging="360"/>
      </w:pPr>
      <w:rPr>
        <w:rFonts w:ascii="Courier New" w:hAnsi="Courier New" w:cs="Courier New" w:hint="default"/>
      </w:rPr>
    </w:lvl>
    <w:lvl w:ilvl="2" w:tplc="C1D219AA" w:tentative="1">
      <w:start w:val="1"/>
      <w:numFmt w:val="bullet"/>
      <w:lvlText w:val=""/>
      <w:lvlJc w:val="left"/>
      <w:pPr>
        <w:ind w:left="2160" w:hanging="360"/>
      </w:pPr>
      <w:rPr>
        <w:rFonts w:ascii="Wingdings" w:hAnsi="Wingdings" w:hint="default"/>
      </w:rPr>
    </w:lvl>
    <w:lvl w:ilvl="3" w:tplc="D08052E0" w:tentative="1">
      <w:start w:val="1"/>
      <w:numFmt w:val="bullet"/>
      <w:lvlText w:val=""/>
      <w:lvlJc w:val="left"/>
      <w:pPr>
        <w:ind w:left="2880" w:hanging="360"/>
      </w:pPr>
      <w:rPr>
        <w:rFonts w:ascii="Symbol" w:hAnsi="Symbol" w:hint="default"/>
      </w:rPr>
    </w:lvl>
    <w:lvl w:ilvl="4" w:tplc="B88697B0" w:tentative="1">
      <w:start w:val="1"/>
      <w:numFmt w:val="bullet"/>
      <w:lvlText w:val="o"/>
      <w:lvlJc w:val="left"/>
      <w:pPr>
        <w:ind w:left="3600" w:hanging="360"/>
      </w:pPr>
      <w:rPr>
        <w:rFonts w:ascii="Courier New" w:hAnsi="Courier New" w:cs="Courier New" w:hint="default"/>
      </w:rPr>
    </w:lvl>
    <w:lvl w:ilvl="5" w:tplc="BA8E72A8" w:tentative="1">
      <w:start w:val="1"/>
      <w:numFmt w:val="bullet"/>
      <w:lvlText w:val=""/>
      <w:lvlJc w:val="left"/>
      <w:pPr>
        <w:ind w:left="4320" w:hanging="360"/>
      </w:pPr>
      <w:rPr>
        <w:rFonts w:ascii="Wingdings" w:hAnsi="Wingdings" w:hint="default"/>
      </w:rPr>
    </w:lvl>
    <w:lvl w:ilvl="6" w:tplc="1B6C7316" w:tentative="1">
      <w:start w:val="1"/>
      <w:numFmt w:val="bullet"/>
      <w:lvlText w:val=""/>
      <w:lvlJc w:val="left"/>
      <w:pPr>
        <w:ind w:left="5040" w:hanging="360"/>
      </w:pPr>
      <w:rPr>
        <w:rFonts w:ascii="Symbol" w:hAnsi="Symbol" w:hint="default"/>
      </w:rPr>
    </w:lvl>
    <w:lvl w:ilvl="7" w:tplc="95F8E600" w:tentative="1">
      <w:start w:val="1"/>
      <w:numFmt w:val="bullet"/>
      <w:lvlText w:val="o"/>
      <w:lvlJc w:val="left"/>
      <w:pPr>
        <w:ind w:left="5760" w:hanging="360"/>
      </w:pPr>
      <w:rPr>
        <w:rFonts w:ascii="Courier New" w:hAnsi="Courier New" w:cs="Courier New" w:hint="default"/>
      </w:rPr>
    </w:lvl>
    <w:lvl w:ilvl="8" w:tplc="27EE1CCA" w:tentative="1">
      <w:start w:val="1"/>
      <w:numFmt w:val="bullet"/>
      <w:lvlText w:val=""/>
      <w:lvlJc w:val="left"/>
      <w:pPr>
        <w:ind w:left="6480" w:hanging="360"/>
      </w:pPr>
      <w:rPr>
        <w:rFonts w:ascii="Wingdings" w:hAnsi="Wingdings" w:hint="default"/>
      </w:rPr>
    </w:lvl>
  </w:abstractNum>
  <w:abstractNum w:abstractNumId="23" w15:restartNumberingAfterBreak="0">
    <w:nsid w:val="5A8600F8"/>
    <w:multiLevelType w:val="hybridMultilevel"/>
    <w:tmpl w:val="B46660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B5A5D71"/>
    <w:multiLevelType w:val="hybridMultilevel"/>
    <w:tmpl w:val="FAEA7E6E"/>
    <w:lvl w:ilvl="0" w:tplc="B5224AC4">
      <w:start w:val="1"/>
      <w:numFmt w:val="bullet"/>
      <w:lvlText w:val=""/>
      <w:lvlJc w:val="left"/>
      <w:pPr>
        <w:ind w:left="360" w:hanging="360"/>
      </w:pPr>
      <w:rPr>
        <w:rFonts w:ascii="Symbol" w:hAnsi="Symbol" w:hint="default"/>
      </w:rPr>
    </w:lvl>
    <w:lvl w:ilvl="1" w:tplc="BDEC77BC">
      <w:start w:val="1"/>
      <w:numFmt w:val="lowerLetter"/>
      <w:lvlText w:val="%2."/>
      <w:lvlJc w:val="left"/>
      <w:pPr>
        <w:ind w:left="1080" w:hanging="360"/>
      </w:pPr>
    </w:lvl>
    <w:lvl w:ilvl="2" w:tplc="F4F04D2C" w:tentative="1">
      <w:start w:val="1"/>
      <w:numFmt w:val="lowerRoman"/>
      <w:lvlText w:val="%3."/>
      <w:lvlJc w:val="right"/>
      <w:pPr>
        <w:ind w:left="1800" w:hanging="180"/>
      </w:pPr>
    </w:lvl>
    <w:lvl w:ilvl="3" w:tplc="0DEEDF80" w:tentative="1">
      <w:start w:val="1"/>
      <w:numFmt w:val="decimal"/>
      <w:lvlText w:val="%4."/>
      <w:lvlJc w:val="left"/>
      <w:pPr>
        <w:ind w:left="2520" w:hanging="360"/>
      </w:pPr>
    </w:lvl>
    <w:lvl w:ilvl="4" w:tplc="C4BABF42" w:tentative="1">
      <w:start w:val="1"/>
      <w:numFmt w:val="lowerLetter"/>
      <w:lvlText w:val="%5."/>
      <w:lvlJc w:val="left"/>
      <w:pPr>
        <w:ind w:left="3240" w:hanging="360"/>
      </w:pPr>
    </w:lvl>
    <w:lvl w:ilvl="5" w:tplc="E4EE06BC" w:tentative="1">
      <w:start w:val="1"/>
      <w:numFmt w:val="lowerRoman"/>
      <w:lvlText w:val="%6."/>
      <w:lvlJc w:val="right"/>
      <w:pPr>
        <w:ind w:left="3960" w:hanging="180"/>
      </w:pPr>
    </w:lvl>
    <w:lvl w:ilvl="6" w:tplc="B57E3988" w:tentative="1">
      <w:start w:val="1"/>
      <w:numFmt w:val="decimal"/>
      <w:lvlText w:val="%7."/>
      <w:lvlJc w:val="left"/>
      <w:pPr>
        <w:ind w:left="4680" w:hanging="360"/>
      </w:pPr>
    </w:lvl>
    <w:lvl w:ilvl="7" w:tplc="6C2C3152" w:tentative="1">
      <w:start w:val="1"/>
      <w:numFmt w:val="lowerLetter"/>
      <w:lvlText w:val="%8."/>
      <w:lvlJc w:val="left"/>
      <w:pPr>
        <w:ind w:left="5400" w:hanging="360"/>
      </w:pPr>
    </w:lvl>
    <w:lvl w:ilvl="8" w:tplc="9B3A9824" w:tentative="1">
      <w:start w:val="1"/>
      <w:numFmt w:val="lowerRoman"/>
      <w:lvlText w:val="%9."/>
      <w:lvlJc w:val="right"/>
      <w:pPr>
        <w:ind w:left="6120" w:hanging="180"/>
      </w:pPr>
    </w:lvl>
  </w:abstractNum>
  <w:abstractNum w:abstractNumId="25" w15:restartNumberingAfterBreak="0">
    <w:nsid w:val="5CB023B7"/>
    <w:multiLevelType w:val="multilevel"/>
    <w:tmpl w:val="C26AF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8178EF"/>
    <w:multiLevelType w:val="multilevel"/>
    <w:tmpl w:val="86366434"/>
    <w:lvl w:ilvl="0">
      <w:start w:val="2"/>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7" w15:restartNumberingAfterBreak="0">
    <w:nsid w:val="6D6F149C"/>
    <w:multiLevelType w:val="hybridMultilevel"/>
    <w:tmpl w:val="54B4C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D8083A"/>
    <w:multiLevelType w:val="hybridMultilevel"/>
    <w:tmpl w:val="6E58B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445573"/>
    <w:multiLevelType w:val="hybridMultilevel"/>
    <w:tmpl w:val="83F4879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0" w15:restartNumberingAfterBreak="0">
    <w:nsid w:val="7B331EA5"/>
    <w:multiLevelType w:val="multilevel"/>
    <w:tmpl w:val="434E63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2"/>
  </w:num>
  <w:num w:numId="3">
    <w:abstractNumId w:val="30"/>
  </w:num>
  <w:num w:numId="4">
    <w:abstractNumId w:val="19"/>
  </w:num>
  <w:num w:numId="5">
    <w:abstractNumId w:val="23"/>
  </w:num>
  <w:num w:numId="6">
    <w:abstractNumId w:val="7"/>
  </w:num>
  <w:num w:numId="7">
    <w:abstractNumId w:val="2"/>
  </w:num>
  <w:num w:numId="8">
    <w:abstractNumId w:val="5"/>
  </w:num>
  <w:num w:numId="9">
    <w:abstractNumId w:val="29"/>
  </w:num>
  <w:num w:numId="10">
    <w:abstractNumId w:val="12"/>
  </w:num>
  <w:num w:numId="11">
    <w:abstractNumId w:val="17"/>
  </w:num>
  <w:num w:numId="12">
    <w:abstractNumId w:val="2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6"/>
  </w:num>
  <w:num w:numId="16">
    <w:abstractNumId w:val="18"/>
  </w:num>
  <w:num w:numId="17">
    <w:abstractNumId w:val="11"/>
  </w:num>
  <w:num w:numId="18">
    <w:abstractNumId w:val="4"/>
  </w:num>
  <w:num w:numId="19">
    <w:abstractNumId w:val="9"/>
  </w:num>
  <w:num w:numId="20">
    <w:abstractNumId w:val="8"/>
  </w:num>
  <w:num w:numId="21">
    <w:abstractNumId w:val="20"/>
  </w:num>
  <w:num w:numId="22">
    <w:abstractNumId w:val="14"/>
  </w:num>
  <w:num w:numId="23">
    <w:abstractNumId w:val="21"/>
  </w:num>
  <w:num w:numId="24">
    <w:abstractNumId w:val="28"/>
  </w:num>
  <w:num w:numId="25">
    <w:abstractNumId w:val="25"/>
  </w:num>
  <w:num w:numId="26">
    <w:abstractNumId w:val="10"/>
  </w:num>
  <w:num w:numId="27">
    <w:abstractNumId w:val="16"/>
  </w:num>
  <w:num w:numId="28">
    <w:abstractNumId w:val="1"/>
  </w:num>
  <w:num w:numId="29">
    <w:abstractNumId w:val="15"/>
  </w:num>
  <w:num w:numId="30">
    <w:abstractNumId w:val="6"/>
  </w:num>
  <w:num w:numId="31">
    <w:abstractNumId w:val="3"/>
  </w:num>
  <w:num w:numId="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9"/>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63"/>
    <w:rsid w:val="00000192"/>
    <w:rsid w:val="00000484"/>
    <w:rsid w:val="00000932"/>
    <w:rsid w:val="000015A0"/>
    <w:rsid w:val="0000161E"/>
    <w:rsid w:val="000021B2"/>
    <w:rsid w:val="0000290E"/>
    <w:rsid w:val="00002A51"/>
    <w:rsid w:val="00003143"/>
    <w:rsid w:val="00004934"/>
    <w:rsid w:val="00004A85"/>
    <w:rsid w:val="00004AA5"/>
    <w:rsid w:val="00004DD2"/>
    <w:rsid w:val="000050D0"/>
    <w:rsid w:val="00005898"/>
    <w:rsid w:val="00006515"/>
    <w:rsid w:val="00006921"/>
    <w:rsid w:val="00006A7F"/>
    <w:rsid w:val="00007080"/>
    <w:rsid w:val="000072EB"/>
    <w:rsid w:val="000075CC"/>
    <w:rsid w:val="000075DC"/>
    <w:rsid w:val="00007694"/>
    <w:rsid w:val="000103D2"/>
    <w:rsid w:val="0001087A"/>
    <w:rsid w:val="00010B18"/>
    <w:rsid w:val="00010C87"/>
    <w:rsid w:val="00012C11"/>
    <w:rsid w:val="00012F52"/>
    <w:rsid w:val="00014779"/>
    <w:rsid w:val="000148FA"/>
    <w:rsid w:val="00014DBE"/>
    <w:rsid w:val="0001660A"/>
    <w:rsid w:val="00016903"/>
    <w:rsid w:val="00016AA8"/>
    <w:rsid w:val="000202B1"/>
    <w:rsid w:val="00020301"/>
    <w:rsid w:val="00020755"/>
    <w:rsid w:val="00020977"/>
    <w:rsid w:val="00020A4B"/>
    <w:rsid w:val="00021601"/>
    <w:rsid w:val="00021B61"/>
    <w:rsid w:val="0002238C"/>
    <w:rsid w:val="00022765"/>
    <w:rsid w:val="00022AB8"/>
    <w:rsid w:val="00023B19"/>
    <w:rsid w:val="000251F8"/>
    <w:rsid w:val="000255C9"/>
    <w:rsid w:val="00025780"/>
    <w:rsid w:val="00025EE4"/>
    <w:rsid w:val="00026221"/>
    <w:rsid w:val="00026617"/>
    <w:rsid w:val="000269C8"/>
    <w:rsid w:val="00026AF5"/>
    <w:rsid w:val="00026BED"/>
    <w:rsid w:val="000270B7"/>
    <w:rsid w:val="00027F00"/>
    <w:rsid w:val="000300D4"/>
    <w:rsid w:val="000301A2"/>
    <w:rsid w:val="00030BA0"/>
    <w:rsid w:val="0003126F"/>
    <w:rsid w:val="0003130E"/>
    <w:rsid w:val="000315CA"/>
    <w:rsid w:val="00031889"/>
    <w:rsid w:val="00031B16"/>
    <w:rsid w:val="00031BF5"/>
    <w:rsid w:val="00031D6A"/>
    <w:rsid w:val="00031DEF"/>
    <w:rsid w:val="00032116"/>
    <w:rsid w:val="000327AE"/>
    <w:rsid w:val="00032A2F"/>
    <w:rsid w:val="00033284"/>
    <w:rsid w:val="0003342C"/>
    <w:rsid w:val="00033AD1"/>
    <w:rsid w:val="00034209"/>
    <w:rsid w:val="00034298"/>
    <w:rsid w:val="000344D7"/>
    <w:rsid w:val="00034A6C"/>
    <w:rsid w:val="00034C59"/>
    <w:rsid w:val="00034E68"/>
    <w:rsid w:val="00035A5E"/>
    <w:rsid w:val="00035EAE"/>
    <w:rsid w:val="00036B44"/>
    <w:rsid w:val="00036BD7"/>
    <w:rsid w:val="00036E98"/>
    <w:rsid w:val="00037555"/>
    <w:rsid w:val="000379D1"/>
    <w:rsid w:val="00037A77"/>
    <w:rsid w:val="00037C01"/>
    <w:rsid w:val="0004078C"/>
    <w:rsid w:val="00040808"/>
    <w:rsid w:val="00040FA1"/>
    <w:rsid w:val="00041156"/>
    <w:rsid w:val="00041569"/>
    <w:rsid w:val="00041A69"/>
    <w:rsid w:val="00041C66"/>
    <w:rsid w:val="00042B6C"/>
    <w:rsid w:val="00042E50"/>
    <w:rsid w:val="0004311F"/>
    <w:rsid w:val="000432D6"/>
    <w:rsid w:val="000447CA"/>
    <w:rsid w:val="00044858"/>
    <w:rsid w:val="000449FE"/>
    <w:rsid w:val="00045215"/>
    <w:rsid w:val="00045F57"/>
    <w:rsid w:val="0004651D"/>
    <w:rsid w:val="00046EFE"/>
    <w:rsid w:val="0004783C"/>
    <w:rsid w:val="0005054A"/>
    <w:rsid w:val="00050723"/>
    <w:rsid w:val="00051186"/>
    <w:rsid w:val="000513C3"/>
    <w:rsid w:val="00051F1E"/>
    <w:rsid w:val="000520E2"/>
    <w:rsid w:val="000535EF"/>
    <w:rsid w:val="0005364B"/>
    <w:rsid w:val="0005371B"/>
    <w:rsid w:val="00053C58"/>
    <w:rsid w:val="000540FC"/>
    <w:rsid w:val="00054248"/>
    <w:rsid w:val="00054833"/>
    <w:rsid w:val="00055050"/>
    <w:rsid w:val="0005565A"/>
    <w:rsid w:val="00055935"/>
    <w:rsid w:val="00055D3A"/>
    <w:rsid w:val="00055D97"/>
    <w:rsid w:val="00056D82"/>
    <w:rsid w:val="000570BD"/>
    <w:rsid w:val="00057447"/>
    <w:rsid w:val="00057918"/>
    <w:rsid w:val="000579F3"/>
    <w:rsid w:val="00060429"/>
    <w:rsid w:val="00061C4B"/>
    <w:rsid w:val="00061E32"/>
    <w:rsid w:val="00063131"/>
    <w:rsid w:val="00063156"/>
    <w:rsid w:val="0006322D"/>
    <w:rsid w:val="0006438D"/>
    <w:rsid w:val="0006474B"/>
    <w:rsid w:val="00064945"/>
    <w:rsid w:val="00064AC2"/>
    <w:rsid w:val="000658D1"/>
    <w:rsid w:val="00066240"/>
    <w:rsid w:val="000671FF"/>
    <w:rsid w:val="000672B4"/>
    <w:rsid w:val="0006759A"/>
    <w:rsid w:val="00067D35"/>
    <w:rsid w:val="00067DDE"/>
    <w:rsid w:val="00070186"/>
    <w:rsid w:val="00070A17"/>
    <w:rsid w:val="00070B8A"/>
    <w:rsid w:val="00071543"/>
    <w:rsid w:val="000715AE"/>
    <w:rsid w:val="00071E24"/>
    <w:rsid w:val="0007227E"/>
    <w:rsid w:val="00072511"/>
    <w:rsid w:val="000726C5"/>
    <w:rsid w:val="000729D3"/>
    <w:rsid w:val="00072EB7"/>
    <w:rsid w:val="000730B1"/>
    <w:rsid w:val="00073752"/>
    <w:rsid w:val="000739AF"/>
    <w:rsid w:val="00073DB3"/>
    <w:rsid w:val="00073EEB"/>
    <w:rsid w:val="00073F1E"/>
    <w:rsid w:val="00073FD5"/>
    <w:rsid w:val="00074D3B"/>
    <w:rsid w:val="00074E8B"/>
    <w:rsid w:val="00075209"/>
    <w:rsid w:val="000752E1"/>
    <w:rsid w:val="00076FE7"/>
    <w:rsid w:val="00077455"/>
    <w:rsid w:val="00077F95"/>
    <w:rsid w:val="000802AE"/>
    <w:rsid w:val="00080386"/>
    <w:rsid w:val="00081303"/>
    <w:rsid w:val="00081E26"/>
    <w:rsid w:val="00082AE1"/>
    <w:rsid w:val="00083C5B"/>
    <w:rsid w:val="00083DBA"/>
    <w:rsid w:val="0008518B"/>
    <w:rsid w:val="00085D83"/>
    <w:rsid w:val="00085FE4"/>
    <w:rsid w:val="0008637C"/>
    <w:rsid w:val="00087762"/>
    <w:rsid w:val="00087920"/>
    <w:rsid w:val="00087E13"/>
    <w:rsid w:val="000904EC"/>
    <w:rsid w:val="00090BAF"/>
    <w:rsid w:val="000915EF"/>
    <w:rsid w:val="00091A69"/>
    <w:rsid w:val="00091A90"/>
    <w:rsid w:val="00091E9C"/>
    <w:rsid w:val="00092CE3"/>
    <w:rsid w:val="00092E0F"/>
    <w:rsid w:val="0009333A"/>
    <w:rsid w:val="0009336C"/>
    <w:rsid w:val="0009337A"/>
    <w:rsid w:val="00093ACF"/>
    <w:rsid w:val="0009462F"/>
    <w:rsid w:val="00095594"/>
    <w:rsid w:val="0009635D"/>
    <w:rsid w:val="0009641B"/>
    <w:rsid w:val="00097F4E"/>
    <w:rsid w:val="000A02B5"/>
    <w:rsid w:val="000A0884"/>
    <w:rsid w:val="000A0B33"/>
    <w:rsid w:val="000A2103"/>
    <w:rsid w:val="000A21B8"/>
    <w:rsid w:val="000A26B8"/>
    <w:rsid w:val="000A35D1"/>
    <w:rsid w:val="000A3C33"/>
    <w:rsid w:val="000A4227"/>
    <w:rsid w:val="000A4471"/>
    <w:rsid w:val="000A474C"/>
    <w:rsid w:val="000A4A85"/>
    <w:rsid w:val="000A5351"/>
    <w:rsid w:val="000A56F7"/>
    <w:rsid w:val="000A63ED"/>
    <w:rsid w:val="000A6CAC"/>
    <w:rsid w:val="000B0791"/>
    <w:rsid w:val="000B17E0"/>
    <w:rsid w:val="000B1E7D"/>
    <w:rsid w:val="000B1FD4"/>
    <w:rsid w:val="000B2090"/>
    <w:rsid w:val="000B3F77"/>
    <w:rsid w:val="000B4E5B"/>
    <w:rsid w:val="000B4F18"/>
    <w:rsid w:val="000B5E04"/>
    <w:rsid w:val="000B6A7D"/>
    <w:rsid w:val="000B7723"/>
    <w:rsid w:val="000C0147"/>
    <w:rsid w:val="000C029E"/>
    <w:rsid w:val="000C06E0"/>
    <w:rsid w:val="000C07EF"/>
    <w:rsid w:val="000C1079"/>
    <w:rsid w:val="000C112B"/>
    <w:rsid w:val="000C1806"/>
    <w:rsid w:val="000C1BE2"/>
    <w:rsid w:val="000C1F15"/>
    <w:rsid w:val="000C222F"/>
    <w:rsid w:val="000C29B3"/>
    <w:rsid w:val="000C29D2"/>
    <w:rsid w:val="000C2F6B"/>
    <w:rsid w:val="000C2F79"/>
    <w:rsid w:val="000C31E0"/>
    <w:rsid w:val="000C3532"/>
    <w:rsid w:val="000C4083"/>
    <w:rsid w:val="000C418C"/>
    <w:rsid w:val="000C484E"/>
    <w:rsid w:val="000C54B7"/>
    <w:rsid w:val="000C6400"/>
    <w:rsid w:val="000C75A9"/>
    <w:rsid w:val="000C7CE0"/>
    <w:rsid w:val="000C7F82"/>
    <w:rsid w:val="000D00BB"/>
    <w:rsid w:val="000D0901"/>
    <w:rsid w:val="000D0D6B"/>
    <w:rsid w:val="000D15B9"/>
    <w:rsid w:val="000D17C1"/>
    <w:rsid w:val="000D1D8F"/>
    <w:rsid w:val="000D20AF"/>
    <w:rsid w:val="000D2AC0"/>
    <w:rsid w:val="000D3528"/>
    <w:rsid w:val="000D3BEC"/>
    <w:rsid w:val="000D577A"/>
    <w:rsid w:val="000D5819"/>
    <w:rsid w:val="000D6413"/>
    <w:rsid w:val="000D6A41"/>
    <w:rsid w:val="000D6EB6"/>
    <w:rsid w:val="000D7361"/>
    <w:rsid w:val="000D73E0"/>
    <w:rsid w:val="000D74EC"/>
    <w:rsid w:val="000D76DB"/>
    <w:rsid w:val="000E021F"/>
    <w:rsid w:val="000E02D0"/>
    <w:rsid w:val="000E0621"/>
    <w:rsid w:val="000E1282"/>
    <w:rsid w:val="000E1494"/>
    <w:rsid w:val="000E1498"/>
    <w:rsid w:val="000E14CD"/>
    <w:rsid w:val="000E1669"/>
    <w:rsid w:val="000E1F77"/>
    <w:rsid w:val="000E22B1"/>
    <w:rsid w:val="000E2A5C"/>
    <w:rsid w:val="000E2EBB"/>
    <w:rsid w:val="000E31AC"/>
    <w:rsid w:val="000E3A95"/>
    <w:rsid w:val="000E3BA0"/>
    <w:rsid w:val="000E3EC4"/>
    <w:rsid w:val="000E43EB"/>
    <w:rsid w:val="000E496B"/>
    <w:rsid w:val="000E5355"/>
    <w:rsid w:val="000E5A4A"/>
    <w:rsid w:val="000E5BBA"/>
    <w:rsid w:val="000E5C65"/>
    <w:rsid w:val="000E6D29"/>
    <w:rsid w:val="000E73AE"/>
    <w:rsid w:val="000E76A9"/>
    <w:rsid w:val="000F02E3"/>
    <w:rsid w:val="000F05B1"/>
    <w:rsid w:val="000F0799"/>
    <w:rsid w:val="000F0D5B"/>
    <w:rsid w:val="000F138C"/>
    <w:rsid w:val="000F1551"/>
    <w:rsid w:val="000F1E6C"/>
    <w:rsid w:val="000F329C"/>
    <w:rsid w:val="000F3517"/>
    <w:rsid w:val="000F3D65"/>
    <w:rsid w:val="000F3E8A"/>
    <w:rsid w:val="000F41B5"/>
    <w:rsid w:val="000F43A5"/>
    <w:rsid w:val="000F5079"/>
    <w:rsid w:val="000F54EC"/>
    <w:rsid w:val="000F55CD"/>
    <w:rsid w:val="000F5BE8"/>
    <w:rsid w:val="000F65FF"/>
    <w:rsid w:val="000F6789"/>
    <w:rsid w:val="000F744A"/>
    <w:rsid w:val="000F7B9A"/>
    <w:rsid w:val="001008A6"/>
    <w:rsid w:val="00101030"/>
    <w:rsid w:val="001014A8"/>
    <w:rsid w:val="00101E07"/>
    <w:rsid w:val="00102030"/>
    <w:rsid w:val="00102820"/>
    <w:rsid w:val="00102E06"/>
    <w:rsid w:val="00103410"/>
    <w:rsid w:val="00103774"/>
    <w:rsid w:val="001038D3"/>
    <w:rsid w:val="0010397D"/>
    <w:rsid w:val="001039C6"/>
    <w:rsid w:val="00103B87"/>
    <w:rsid w:val="0010436C"/>
    <w:rsid w:val="001043C9"/>
    <w:rsid w:val="0010480D"/>
    <w:rsid w:val="00104EB1"/>
    <w:rsid w:val="001053B8"/>
    <w:rsid w:val="001067DC"/>
    <w:rsid w:val="00106CA4"/>
    <w:rsid w:val="00106D37"/>
    <w:rsid w:val="00106E63"/>
    <w:rsid w:val="00106F23"/>
    <w:rsid w:val="00107073"/>
    <w:rsid w:val="00107891"/>
    <w:rsid w:val="00110C06"/>
    <w:rsid w:val="00110C30"/>
    <w:rsid w:val="00110F0F"/>
    <w:rsid w:val="00111226"/>
    <w:rsid w:val="0011156B"/>
    <w:rsid w:val="001115B9"/>
    <w:rsid w:val="0011211E"/>
    <w:rsid w:val="00112BBB"/>
    <w:rsid w:val="00112DA8"/>
    <w:rsid w:val="00113479"/>
    <w:rsid w:val="00113599"/>
    <w:rsid w:val="00113D9D"/>
    <w:rsid w:val="00114542"/>
    <w:rsid w:val="00114B2F"/>
    <w:rsid w:val="00114BA0"/>
    <w:rsid w:val="00114C27"/>
    <w:rsid w:val="0011509C"/>
    <w:rsid w:val="00116086"/>
    <w:rsid w:val="001162DE"/>
    <w:rsid w:val="0011639B"/>
    <w:rsid w:val="00116548"/>
    <w:rsid w:val="0011658E"/>
    <w:rsid w:val="0011666E"/>
    <w:rsid w:val="001170D1"/>
    <w:rsid w:val="0011712B"/>
    <w:rsid w:val="00117453"/>
    <w:rsid w:val="00117543"/>
    <w:rsid w:val="00117921"/>
    <w:rsid w:val="00117CB3"/>
    <w:rsid w:val="00117CCA"/>
    <w:rsid w:val="00117D5D"/>
    <w:rsid w:val="00120567"/>
    <w:rsid w:val="0012073E"/>
    <w:rsid w:val="00120EAA"/>
    <w:rsid w:val="00121626"/>
    <w:rsid w:val="00121F69"/>
    <w:rsid w:val="00122BA2"/>
    <w:rsid w:val="0012409E"/>
    <w:rsid w:val="001241DA"/>
    <w:rsid w:val="0012492B"/>
    <w:rsid w:val="00124AB8"/>
    <w:rsid w:val="00125D95"/>
    <w:rsid w:val="001262CC"/>
    <w:rsid w:val="00126ABC"/>
    <w:rsid w:val="001273D0"/>
    <w:rsid w:val="00127E3D"/>
    <w:rsid w:val="0013041E"/>
    <w:rsid w:val="001311BE"/>
    <w:rsid w:val="00131A73"/>
    <w:rsid w:val="00131DD4"/>
    <w:rsid w:val="00132534"/>
    <w:rsid w:val="001325A2"/>
    <w:rsid w:val="00132777"/>
    <w:rsid w:val="00132D38"/>
    <w:rsid w:val="00132EBC"/>
    <w:rsid w:val="0013353D"/>
    <w:rsid w:val="00134CFA"/>
    <w:rsid w:val="00134F99"/>
    <w:rsid w:val="00135624"/>
    <w:rsid w:val="00135676"/>
    <w:rsid w:val="00136401"/>
    <w:rsid w:val="0013651C"/>
    <w:rsid w:val="00137069"/>
    <w:rsid w:val="001377B5"/>
    <w:rsid w:val="00137947"/>
    <w:rsid w:val="0014056F"/>
    <w:rsid w:val="00140AA1"/>
    <w:rsid w:val="00141293"/>
    <w:rsid w:val="00141496"/>
    <w:rsid w:val="00141E9B"/>
    <w:rsid w:val="00141F66"/>
    <w:rsid w:val="00142408"/>
    <w:rsid w:val="001425FD"/>
    <w:rsid w:val="0014270A"/>
    <w:rsid w:val="0014296D"/>
    <w:rsid w:val="001430EC"/>
    <w:rsid w:val="001431C9"/>
    <w:rsid w:val="00143408"/>
    <w:rsid w:val="00143AB3"/>
    <w:rsid w:val="00143C0C"/>
    <w:rsid w:val="00144E33"/>
    <w:rsid w:val="00145400"/>
    <w:rsid w:val="0014577C"/>
    <w:rsid w:val="00145C9E"/>
    <w:rsid w:val="00146D43"/>
    <w:rsid w:val="001472DF"/>
    <w:rsid w:val="0014746E"/>
    <w:rsid w:val="00147C12"/>
    <w:rsid w:val="00150034"/>
    <w:rsid w:val="001500E6"/>
    <w:rsid w:val="00150B38"/>
    <w:rsid w:val="00150BE6"/>
    <w:rsid w:val="00150E08"/>
    <w:rsid w:val="00151689"/>
    <w:rsid w:val="0015174F"/>
    <w:rsid w:val="001518C4"/>
    <w:rsid w:val="00151F46"/>
    <w:rsid w:val="0015284C"/>
    <w:rsid w:val="00152F09"/>
    <w:rsid w:val="0015305D"/>
    <w:rsid w:val="00153429"/>
    <w:rsid w:val="00153F11"/>
    <w:rsid w:val="0015419B"/>
    <w:rsid w:val="001549EA"/>
    <w:rsid w:val="00154BD0"/>
    <w:rsid w:val="00155389"/>
    <w:rsid w:val="001554E2"/>
    <w:rsid w:val="00156575"/>
    <w:rsid w:val="00156830"/>
    <w:rsid w:val="00156C53"/>
    <w:rsid w:val="00157D5D"/>
    <w:rsid w:val="00160281"/>
    <w:rsid w:val="001602EC"/>
    <w:rsid w:val="001607AA"/>
    <w:rsid w:val="00160AA3"/>
    <w:rsid w:val="00160CDC"/>
    <w:rsid w:val="0016112D"/>
    <w:rsid w:val="001613C9"/>
    <w:rsid w:val="0016202F"/>
    <w:rsid w:val="00162B77"/>
    <w:rsid w:val="001634BA"/>
    <w:rsid w:val="0016358E"/>
    <w:rsid w:val="0016385D"/>
    <w:rsid w:val="001638D7"/>
    <w:rsid w:val="001645FE"/>
    <w:rsid w:val="00164CD7"/>
    <w:rsid w:val="00164EA0"/>
    <w:rsid w:val="00166378"/>
    <w:rsid w:val="0016734E"/>
    <w:rsid w:val="0016744C"/>
    <w:rsid w:val="00167596"/>
    <w:rsid w:val="0016777E"/>
    <w:rsid w:val="00167F55"/>
    <w:rsid w:val="00170C00"/>
    <w:rsid w:val="0017117A"/>
    <w:rsid w:val="0017183F"/>
    <w:rsid w:val="001719E2"/>
    <w:rsid w:val="00171A8D"/>
    <w:rsid w:val="00171D0F"/>
    <w:rsid w:val="00171F47"/>
    <w:rsid w:val="00172113"/>
    <w:rsid w:val="001725BF"/>
    <w:rsid w:val="001741F7"/>
    <w:rsid w:val="00174675"/>
    <w:rsid w:val="00175C68"/>
    <w:rsid w:val="001760DD"/>
    <w:rsid w:val="00176266"/>
    <w:rsid w:val="00176C15"/>
    <w:rsid w:val="00176EF2"/>
    <w:rsid w:val="0017716B"/>
    <w:rsid w:val="00177608"/>
    <w:rsid w:val="001802DB"/>
    <w:rsid w:val="001803DC"/>
    <w:rsid w:val="001808CC"/>
    <w:rsid w:val="00180E9D"/>
    <w:rsid w:val="001810F3"/>
    <w:rsid w:val="001813D2"/>
    <w:rsid w:val="00181484"/>
    <w:rsid w:val="0018148A"/>
    <w:rsid w:val="0018159B"/>
    <w:rsid w:val="0018166B"/>
    <w:rsid w:val="00181F12"/>
    <w:rsid w:val="00182270"/>
    <w:rsid w:val="00182710"/>
    <w:rsid w:val="0018445A"/>
    <w:rsid w:val="00184F99"/>
    <w:rsid w:val="00185B28"/>
    <w:rsid w:val="00185B8B"/>
    <w:rsid w:val="00185D85"/>
    <w:rsid w:val="00186046"/>
    <w:rsid w:val="0018649B"/>
    <w:rsid w:val="00186D1F"/>
    <w:rsid w:val="00190614"/>
    <w:rsid w:val="0019081A"/>
    <w:rsid w:val="00190B17"/>
    <w:rsid w:val="001915B2"/>
    <w:rsid w:val="001916DD"/>
    <w:rsid w:val="00191820"/>
    <w:rsid w:val="00192409"/>
    <w:rsid w:val="001937A5"/>
    <w:rsid w:val="00193B76"/>
    <w:rsid w:val="00195255"/>
    <w:rsid w:val="0019534F"/>
    <w:rsid w:val="001954AB"/>
    <w:rsid w:val="00195563"/>
    <w:rsid w:val="001955F2"/>
    <w:rsid w:val="001963D0"/>
    <w:rsid w:val="00196CB7"/>
    <w:rsid w:val="00197125"/>
    <w:rsid w:val="0019730C"/>
    <w:rsid w:val="001974EF"/>
    <w:rsid w:val="00197BBE"/>
    <w:rsid w:val="00197CE4"/>
    <w:rsid w:val="001A04E9"/>
    <w:rsid w:val="001A1844"/>
    <w:rsid w:val="001A2600"/>
    <w:rsid w:val="001A3BBE"/>
    <w:rsid w:val="001A44AD"/>
    <w:rsid w:val="001A44E1"/>
    <w:rsid w:val="001A470F"/>
    <w:rsid w:val="001A4F52"/>
    <w:rsid w:val="001A523D"/>
    <w:rsid w:val="001A56EF"/>
    <w:rsid w:val="001A5715"/>
    <w:rsid w:val="001A622F"/>
    <w:rsid w:val="001A659D"/>
    <w:rsid w:val="001A65F2"/>
    <w:rsid w:val="001A69FF"/>
    <w:rsid w:val="001A6F98"/>
    <w:rsid w:val="001A6FD8"/>
    <w:rsid w:val="001A707E"/>
    <w:rsid w:val="001B0011"/>
    <w:rsid w:val="001B0745"/>
    <w:rsid w:val="001B1184"/>
    <w:rsid w:val="001B1B7C"/>
    <w:rsid w:val="001B1B93"/>
    <w:rsid w:val="001B1CCF"/>
    <w:rsid w:val="001B1D1F"/>
    <w:rsid w:val="001B1DEE"/>
    <w:rsid w:val="001B2E4F"/>
    <w:rsid w:val="001B339C"/>
    <w:rsid w:val="001B4609"/>
    <w:rsid w:val="001B4851"/>
    <w:rsid w:val="001B60C7"/>
    <w:rsid w:val="001B6436"/>
    <w:rsid w:val="001B66D7"/>
    <w:rsid w:val="001B6995"/>
    <w:rsid w:val="001B72F6"/>
    <w:rsid w:val="001B7AF5"/>
    <w:rsid w:val="001C1318"/>
    <w:rsid w:val="001C1ED6"/>
    <w:rsid w:val="001C25B6"/>
    <w:rsid w:val="001C3BA3"/>
    <w:rsid w:val="001C4520"/>
    <w:rsid w:val="001C4817"/>
    <w:rsid w:val="001C4A4C"/>
    <w:rsid w:val="001C4DE2"/>
    <w:rsid w:val="001C4F93"/>
    <w:rsid w:val="001C50DD"/>
    <w:rsid w:val="001C5EA8"/>
    <w:rsid w:val="001C6019"/>
    <w:rsid w:val="001C611A"/>
    <w:rsid w:val="001C6636"/>
    <w:rsid w:val="001C6DB9"/>
    <w:rsid w:val="001C7285"/>
    <w:rsid w:val="001C7CA8"/>
    <w:rsid w:val="001C7CFA"/>
    <w:rsid w:val="001D07DB"/>
    <w:rsid w:val="001D096D"/>
    <w:rsid w:val="001D0FDF"/>
    <w:rsid w:val="001D1017"/>
    <w:rsid w:val="001D102F"/>
    <w:rsid w:val="001D1480"/>
    <w:rsid w:val="001D1EF1"/>
    <w:rsid w:val="001D2195"/>
    <w:rsid w:val="001D3108"/>
    <w:rsid w:val="001D34B4"/>
    <w:rsid w:val="001D380D"/>
    <w:rsid w:val="001D3820"/>
    <w:rsid w:val="001D38B1"/>
    <w:rsid w:val="001D3B37"/>
    <w:rsid w:val="001D3E51"/>
    <w:rsid w:val="001D4979"/>
    <w:rsid w:val="001D4B5B"/>
    <w:rsid w:val="001D537C"/>
    <w:rsid w:val="001D5841"/>
    <w:rsid w:val="001D65E2"/>
    <w:rsid w:val="001D72B8"/>
    <w:rsid w:val="001D7F03"/>
    <w:rsid w:val="001E0687"/>
    <w:rsid w:val="001E0975"/>
    <w:rsid w:val="001E09A7"/>
    <w:rsid w:val="001E09C2"/>
    <w:rsid w:val="001E0DA3"/>
    <w:rsid w:val="001E0FB2"/>
    <w:rsid w:val="001E0FF6"/>
    <w:rsid w:val="001E1574"/>
    <w:rsid w:val="001E1A03"/>
    <w:rsid w:val="001E1AC2"/>
    <w:rsid w:val="001E1C66"/>
    <w:rsid w:val="001E1F9A"/>
    <w:rsid w:val="001E1FC5"/>
    <w:rsid w:val="001E250F"/>
    <w:rsid w:val="001E2774"/>
    <w:rsid w:val="001E28B7"/>
    <w:rsid w:val="001E2BB7"/>
    <w:rsid w:val="001E3C59"/>
    <w:rsid w:val="001E42CE"/>
    <w:rsid w:val="001E4D47"/>
    <w:rsid w:val="001E555B"/>
    <w:rsid w:val="001E5C1D"/>
    <w:rsid w:val="001E60BE"/>
    <w:rsid w:val="001E6B5E"/>
    <w:rsid w:val="001E71C0"/>
    <w:rsid w:val="001E727C"/>
    <w:rsid w:val="001E7763"/>
    <w:rsid w:val="001E7928"/>
    <w:rsid w:val="001E7C12"/>
    <w:rsid w:val="001F0105"/>
    <w:rsid w:val="001F06B7"/>
    <w:rsid w:val="001F06FA"/>
    <w:rsid w:val="001F158F"/>
    <w:rsid w:val="001F2712"/>
    <w:rsid w:val="001F2716"/>
    <w:rsid w:val="001F27F0"/>
    <w:rsid w:val="001F3C35"/>
    <w:rsid w:val="001F3D9D"/>
    <w:rsid w:val="001F4504"/>
    <w:rsid w:val="001F451A"/>
    <w:rsid w:val="001F46DC"/>
    <w:rsid w:val="001F48ED"/>
    <w:rsid w:val="001F4A2E"/>
    <w:rsid w:val="001F4DE1"/>
    <w:rsid w:val="001F5B2A"/>
    <w:rsid w:val="001F60A7"/>
    <w:rsid w:val="001F6559"/>
    <w:rsid w:val="001F67AA"/>
    <w:rsid w:val="001F68EA"/>
    <w:rsid w:val="001F7210"/>
    <w:rsid w:val="002003AA"/>
    <w:rsid w:val="0020068C"/>
    <w:rsid w:val="00200F94"/>
    <w:rsid w:val="00200FCF"/>
    <w:rsid w:val="00201B10"/>
    <w:rsid w:val="00201BEB"/>
    <w:rsid w:val="002020FF"/>
    <w:rsid w:val="00202567"/>
    <w:rsid w:val="0020361D"/>
    <w:rsid w:val="00203E04"/>
    <w:rsid w:val="0020405C"/>
    <w:rsid w:val="00204398"/>
    <w:rsid w:val="0020490C"/>
    <w:rsid w:val="00205F7F"/>
    <w:rsid w:val="00206AAE"/>
    <w:rsid w:val="00206B14"/>
    <w:rsid w:val="0020708D"/>
    <w:rsid w:val="0020755C"/>
    <w:rsid w:val="00207919"/>
    <w:rsid w:val="00211AF8"/>
    <w:rsid w:val="00212015"/>
    <w:rsid w:val="002120C0"/>
    <w:rsid w:val="002131B1"/>
    <w:rsid w:val="002145BB"/>
    <w:rsid w:val="00214E0B"/>
    <w:rsid w:val="0021516C"/>
    <w:rsid w:val="00216087"/>
    <w:rsid w:val="00216129"/>
    <w:rsid w:val="0021735E"/>
    <w:rsid w:val="002207CE"/>
    <w:rsid w:val="00220A59"/>
    <w:rsid w:val="00220D75"/>
    <w:rsid w:val="0022308C"/>
    <w:rsid w:val="002237B3"/>
    <w:rsid w:val="0022415F"/>
    <w:rsid w:val="00224EFC"/>
    <w:rsid w:val="002250BB"/>
    <w:rsid w:val="00225187"/>
    <w:rsid w:val="00226A4D"/>
    <w:rsid w:val="00226B51"/>
    <w:rsid w:val="00226CC6"/>
    <w:rsid w:val="00227A01"/>
    <w:rsid w:val="002300DE"/>
    <w:rsid w:val="00230895"/>
    <w:rsid w:val="0023099D"/>
    <w:rsid w:val="00230C0A"/>
    <w:rsid w:val="00230E83"/>
    <w:rsid w:val="0023142E"/>
    <w:rsid w:val="00231CC1"/>
    <w:rsid w:val="00232234"/>
    <w:rsid w:val="0023396A"/>
    <w:rsid w:val="00234375"/>
    <w:rsid w:val="00234414"/>
    <w:rsid w:val="00234623"/>
    <w:rsid w:val="00234D44"/>
    <w:rsid w:val="00234F03"/>
    <w:rsid w:val="0023502E"/>
    <w:rsid w:val="0023533E"/>
    <w:rsid w:val="00237132"/>
    <w:rsid w:val="002377B7"/>
    <w:rsid w:val="00237F8E"/>
    <w:rsid w:val="00240DF8"/>
    <w:rsid w:val="00241100"/>
    <w:rsid w:val="002413F9"/>
    <w:rsid w:val="00241A54"/>
    <w:rsid w:val="00242300"/>
    <w:rsid w:val="00242DFB"/>
    <w:rsid w:val="00243374"/>
    <w:rsid w:val="00243C07"/>
    <w:rsid w:val="00243FE4"/>
    <w:rsid w:val="00244B1B"/>
    <w:rsid w:val="00244D10"/>
    <w:rsid w:val="002451C5"/>
    <w:rsid w:val="002457BA"/>
    <w:rsid w:val="002457BB"/>
    <w:rsid w:val="00245856"/>
    <w:rsid w:val="0024600F"/>
    <w:rsid w:val="00246608"/>
    <w:rsid w:val="002468DA"/>
    <w:rsid w:val="002506A2"/>
    <w:rsid w:val="00250A4D"/>
    <w:rsid w:val="00250B7B"/>
    <w:rsid w:val="00251111"/>
    <w:rsid w:val="00251A02"/>
    <w:rsid w:val="002527B3"/>
    <w:rsid w:val="00252B71"/>
    <w:rsid w:val="00252CA2"/>
    <w:rsid w:val="00252D6A"/>
    <w:rsid w:val="002533F8"/>
    <w:rsid w:val="002534A7"/>
    <w:rsid w:val="00253560"/>
    <w:rsid w:val="00253FBB"/>
    <w:rsid w:val="00254D43"/>
    <w:rsid w:val="002557FA"/>
    <w:rsid w:val="00255B1D"/>
    <w:rsid w:val="00256743"/>
    <w:rsid w:val="00256905"/>
    <w:rsid w:val="00257015"/>
    <w:rsid w:val="00257CA3"/>
    <w:rsid w:val="00260402"/>
    <w:rsid w:val="00260533"/>
    <w:rsid w:val="00260792"/>
    <w:rsid w:val="00260FE7"/>
    <w:rsid w:val="002616C5"/>
    <w:rsid w:val="00263465"/>
    <w:rsid w:val="002640E9"/>
    <w:rsid w:val="00264143"/>
    <w:rsid w:val="00264429"/>
    <w:rsid w:val="00264646"/>
    <w:rsid w:val="00264ED6"/>
    <w:rsid w:val="00264FBB"/>
    <w:rsid w:val="0026560A"/>
    <w:rsid w:val="00266941"/>
    <w:rsid w:val="00266D10"/>
    <w:rsid w:val="00267A85"/>
    <w:rsid w:val="00270BD2"/>
    <w:rsid w:val="00273754"/>
    <w:rsid w:val="00273BFF"/>
    <w:rsid w:val="00273E5F"/>
    <w:rsid w:val="002749F4"/>
    <w:rsid w:val="00274D36"/>
    <w:rsid w:val="00275B16"/>
    <w:rsid w:val="00275E07"/>
    <w:rsid w:val="00276745"/>
    <w:rsid w:val="00276D65"/>
    <w:rsid w:val="00277148"/>
    <w:rsid w:val="00277615"/>
    <w:rsid w:val="00277FA4"/>
    <w:rsid w:val="00280592"/>
    <w:rsid w:val="002806E6"/>
    <w:rsid w:val="00280782"/>
    <w:rsid w:val="00280863"/>
    <w:rsid w:val="00280CCE"/>
    <w:rsid w:val="002813AE"/>
    <w:rsid w:val="002814FC"/>
    <w:rsid w:val="00281579"/>
    <w:rsid w:val="00281A86"/>
    <w:rsid w:val="00281DE4"/>
    <w:rsid w:val="0028244A"/>
    <w:rsid w:val="00283146"/>
    <w:rsid w:val="002836FA"/>
    <w:rsid w:val="00284E29"/>
    <w:rsid w:val="00284FEC"/>
    <w:rsid w:val="002862DE"/>
    <w:rsid w:val="0028690D"/>
    <w:rsid w:val="00287B4B"/>
    <w:rsid w:val="00287C5A"/>
    <w:rsid w:val="00287E52"/>
    <w:rsid w:val="00290BCD"/>
    <w:rsid w:val="00291757"/>
    <w:rsid w:val="00291C07"/>
    <w:rsid w:val="002925B8"/>
    <w:rsid w:val="0029274D"/>
    <w:rsid w:val="00292C76"/>
    <w:rsid w:val="002939DB"/>
    <w:rsid w:val="00293B21"/>
    <w:rsid w:val="00293F1E"/>
    <w:rsid w:val="00294412"/>
    <w:rsid w:val="00294BD4"/>
    <w:rsid w:val="00295CE1"/>
    <w:rsid w:val="00295E72"/>
    <w:rsid w:val="002960EB"/>
    <w:rsid w:val="002970D3"/>
    <w:rsid w:val="00297304"/>
    <w:rsid w:val="002978CB"/>
    <w:rsid w:val="00297A08"/>
    <w:rsid w:val="002A0196"/>
    <w:rsid w:val="002A01F8"/>
    <w:rsid w:val="002A07D6"/>
    <w:rsid w:val="002A1434"/>
    <w:rsid w:val="002A1785"/>
    <w:rsid w:val="002A233C"/>
    <w:rsid w:val="002A29F6"/>
    <w:rsid w:val="002A2F89"/>
    <w:rsid w:val="002A3161"/>
    <w:rsid w:val="002A318B"/>
    <w:rsid w:val="002A3431"/>
    <w:rsid w:val="002A37B6"/>
    <w:rsid w:val="002A40E6"/>
    <w:rsid w:val="002A4E19"/>
    <w:rsid w:val="002A501E"/>
    <w:rsid w:val="002A52B4"/>
    <w:rsid w:val="002A53A0"/>
    <w:rsid w:val="002A56CC"/>
    <w:rsid w:val="002A5983"/>
    <w:rsid w:val="002A59A3"/>
    <w:rsid w:val="002A5A47"/>
    <w:rsid w:val="002A5EF4"/>
    <w:rsid w:val="002A64B6"/>
    <w:rsid w:val="002A6714"/>
    <w:rsid w:val="002A68FA"/>
    <w:rsid w:val="002A690A"/>
    <w:rsid w:val="002A6D78"/>
    <w:rsid w:val="002A7AA5"/>
    <w:rsid w:val="002B09FB"/>
    <w:rsid w:val="002B22D9"/>
    <w:rsid w:val="002B2C66"/>
    <w:rsid w:val="002B2EE7"/>
    <w:rsid w:val="002B44FE"/>
    <w:rsid w:val="002B5840"/>
    <w:rsid w:val="002B5BB7"/>
    <w:rsid w:val="002B6449"/>
    <w:rsid w:val="002B7800"/>
    <w:rsid w:val="002B7942"/>
    <w:rsid w:val="002B7A89"/>
    <w:rsid w:val="002B7E1B"/>
    <w:rsid w:val="002C0C75"/>
    <w:rsid w:val="002C0D33"/>
    <w:rsid w:val="002C0DCD"/>
    <w:rsid w:val="002C0EC8"/>
    <w:rsid w:val="002C1D07"/>
    <w:rsid w:val="002C1DB8"/>
    <w:rsid w:val="002C2012"/>
    <w:rsid w:val="002C20E7"/>
    <w:rsid w:val="002C25D9"/>
    <w:rsid w:val="002C264A"/>
    <w:rsid w:val="002C292F"/>
    <w:rsid w:val="002C345C"/>
    <w:rsid w:val="002C345D"/>
    <w:rsid w:val="002C3964"/>
    <w:rsid w:val="002C454D"/>
    <w:rsid w:val="002C4CE0"/>
    <w:rsid w:val="002C4DBC"/>
    <w:rsid w:val="002C4DDA"/>
    <w:rsid w:val="002C4E63"/>
    <w:rsid w:val="002C50B7"/>
    <w:rsid w:val="002C50BB"/>
    <w:rsid w:val="002C5447"/>
    <w:rsid w:val="002C5D69"/>
    <w:rsid w:val="002C5E38"/>
    <w:rsid w:val="002C6790"/>
    <w:rsid w:val="002C6FC2"/>
    <w:rsid w:val="002C70A7"/>
    <w:rsid w:val="002C7548"/>
    <w:rsid w:val="002C7B1E"/>
    <w:rsid w:val="002C7F44"/>
    <w:rsid w:val="002D0587"/>
    <w:rsid w:val="002D0F91"/>
    <w:rsid w:val="002D1457"/>
    <w:rsid w:val="002D19A6"/>
    <w:rsid w:val="002D1B32"/>
    <w:rsid w:val="002D1CA7"/>
    <w:rsid w:val="002D2B88"/>
    <w:rsid w:val="002D2BEF"/>
    <w:rsid w:val="002D2C4F"/>
    <w:rsid w:val="002D3136"/>
    <w:rsid w:val="002D4041"/>
    <w:rsid w:val="002D40AC"/>
    <w:rsid w:val="002D41E9"/>
    <w:rsid w:val="002D4371"/>
    <w:rsid w:val="002D51B1"/>
    <w:rsid w:val="002D568D"/>
    <w:rsid w:val="002D578C"/>
    <w:rsid w:val="002D5DA9"/>
    <w:rsid w:val="002D7214"/>
    <w:rsid w:val="002D7D8B"/>
    <w:rsid w:val="002E046A"/>
    <w:rsid w:val="002E0F67"/>
    <w:rsid w:val="002E1D2E"/>
    <w:rsid w:val="002E1FBE"/>
    <w:rsid w:val="002E2AB4"/>
    <w:rsid w:val="002E387B"/>
    <w:rsid w:val="002E3D91"/>
    <w:rsid w:val="002E454D"/>
    <w:rsid w:val="002E47BE"/>
    <w:rsid w:val="002E4D30"/>
    <w:rsid w:val="002E5CE3"/>
    <w:rsid w:val="002E5F80"/>
    <w:rsid w:val="002E6450"/>
    <w:rsid w:val="002E691C"/>
    <w:rsid w:val="002E6A06"/>
    <w:rsid w:val="002E6F70"/>
    <w:rsid w:val="002E70FD"/>
    <w:rsid w:val="002E720D"/>
    <w:rsid w:val="002E7467"/>
    <w:rsid w:val="002E79B7"/>
    <w:rsid w:val="002E7F3D"/>
    <w:rsid w:val="002F10F8"/>
    <w:rsid w:val="002F1DAA"/>
    <w:rsid w:val="002F22BF"/>
    <w:rsid w:val="002F23A3"/>
    <w:rsid w:val="002F2D86"/>
    <w:rsid w:val="002F2DE1"/>
    <w:rsid w:val="002F3C93"/>
    <w:rsid w:val="002F3D38"/>
    <w:rsid w:val="002F47B8"/>
    <w:rsid w:val="002F573B"/>
    <w:rsid w:val="002F5905"/>
    <w:rsid w:val="002F696C"/>
    <w:rsid w:val="002F6F22"/>
    <w:rsid w:val="002F7495"/>
    <w:rsid w:val="002F77C7"/>
    <w:rsid w:val="002F781B"/>
    <w:rsid w:val="002F78FF"/>
    <w:rsid w:val="002F7C55"/>
    <w:rsid w:val="002F7EA5"/>
    <w:rsid w:val="00300066"/>
    <w:rsid w:val="003004E5"/>
    <w:rsid w:val="00301647"/>
    <w:rsid w:val="003019E3"/>
    <w:rsid w:val="00302120"/>
    <w:rsid w:val="00302601"/>
    <w:rsid w:val="003028EA"/>
    <w:rsid w:val="00302E49"/>
    <w:rsid w:val="003038B8"/>
    <w:rsid w:val="00303E5F"/>
    <w:rsid w:val="00304A20"/>
    <w:rsid w:val="00304CCA"/>
    <w:rsid w:val="0030508B"/>
    <w:rsid w:val="00305622"/>
    <w:rsid w:val="0030627C"/>
    <w:rsid w:val="003062E7"/>
    <w:rsid w:val="00306984"/>
    <w:rsid w:val="00306B0C"/>
    <w:rsid w:val="00306D30"/>
    <w:rsid w:val="00307ACD"/>
    <w:rsid w:val="003102CC"/>
    <w:rsid w:val="0031051C"/>
    <w:rsid w:val="00310897"/>
    <w:rsid w:val="003109C3"/>
    <w:rsid w:val="00310D05"/>
    <w:rsid w:val="00310EED"/>
    <w:rsid w:val="003110E1"/>
    <w:rsid w:val="003113AE"/>
    <w:rsid w:val="003116BA"/>
    <w:rsid w:val="00311705"/>
    <w:rsid w:val="00311B07"/>
    <w:rsid w:val="00311CB6"/>
    <w:rsid w:val="00312836"/>
    <w:rsid w:val="00312C9C"/>
    <w:rsid w:val="00313199"/>
    <w:rsid w:val="0031365B"/>
    <w:rsid w:val="003138BB"/>
    <w:rsid w:val="00314B4A"/>
    <w:rsid w:val="00315338"/>
    <w:rsid w:val="003153EB"/>
    <w:rsid w:val="003153F4"/>
    <w:rsid w:val="0031551F"/>
    <w:rsid w:val="00315B41"/>
    <w:rsid w:val="00315D5C"/>
    <w:rsid w:val="00316808"/>
    <w:rsid w:val="00316C7A"/>
    <w:rsid w:val="00316EA2"/>
    <w:rsid w:val="003171CC"/>
    <w:rsid w:val="00317653"/>
    <w:rsid w:val="003202FF"/>
    <w:rsid w:val="003206AD"/>
    <w:rsid w:val="003209D3"/>
    <w:rsid w:val="00320B90"/>
    <w:rsid w:val="00320C8E"/>
    <w:rsid w:val="00320EE0"/>
    <w:rsid w:val="00321846"/>
    <w:rsid w:val="00321880"/>
    <w:rsid w:val="00321C92"/>
    <w:rsid w:val="00321CA1"/>
    <w:rsid w:val="00321FE2"/>
    <w:rsid w:val="0032299E"/>
    <w:rsid w:val="003229F4"/>
    <w:rsid w:val="00322E4C"/>
    <w:rsid w:val="00323160"/>
    <w:rsid w:val="00323B15"/>
    <w:rsid w:val="003241C2"/>
    <w:rsid w:val="0032424B"/>
    <w:rsid w:val="003243F9"/>
    <w:rsid w:val="003245BA"/>
    <w:rsid w:val="0032501D"/>
    <w:rsid w:val="0032608B"/>
    <w:rsid w:val="003265B0"/>
    <w:rsid w:val="00326C2D"/>
    <w:rsid w:val="003276D7"/>
    <w:rsid w:val="0033034D"/>
    <w:rsid w:val="00330F14"/>
    <w:rsid w:val="00331680"/>
    <w:rsid w:val="00331690"/>
    <w:rsid w:val="00332004"/>
    <w:rsid w:val="003330D5"/>
    <w:rsid w:val="003336AD"/>
    <w:rsid w:val="00333A8D"/>
    <w:rsid w:val="00333E99"/>
    <w:rsid w:val="00333EC0"/>
    <w:rsid w:val="00334532"/>
    <w:rsid w:val="003351A8"/>
    <w:rsid w:val="00335992"/>
    <w:rsid w:val="0033626F"/>
    <w:rsid w:val="00336C3A"/>
    <w:rsid w:val="00337356"/>
    <w:rsid w:val="003378D0"/>
    <w:rsid w:val="00337A41"/>
    <w:rsid w:val="003400FC"/>
    <w:rsid w:val="003402BA"/>
    <w:rsid w:val="00340565"/>
    <w:rsid w:val="003406B1"/>
    <w:rsid w:val="0034081E"/>
    <w:rsid w:val="003408C1"/>
    <w:rsid w:val="00340EBC"/>
    <w:rsid w:val="00341096"/>
    <w:rsid w:val="003417B6"/>
    <w:rsid w:val="00342C86"/>
    <w:rsid w:val="00343320"/>
    <w:rsid w:val="0034335B"/>
    <w:rsid w:val="0034345B"/>
    <w:rsid w:val="00343563"/>
    <w:rsid w:val="0034379D"/>
    <w:rsid w:val="00343CC5"/>
    <w:rsid w:val="0034414D"/>
    <w:rsid w:val="0034422E"/>
    <w:rsid w:val="003447CB"/>
    <w:rsid w:val="0034495D"/>
    <w:rsid w:val="0034545C"/>
    <w:rsid w:val="00345BED"/>
    <w:rsid w:val="0034607C"/>
    <w:rsid w:val="0034627D"/>
    <w:rsid w:val="003464A2"/>
    <w:rsid w:val="003465DC"/>
    <w:rsid w:val="00346B98"/>
    <w:rsid w:val="00346D15"/>
    <w:rsid w:val="0034728F"/>
    <w:rsid w:val="00347F61"/>
    <w:rsid w:val="003507D2"/>
    <w:rsid w:val="003516CE"/>
    <w:rsid w:val="00352836"/>
    <w:rsid w:val="003528EA"/>
    <w:rsid w:val="00352BBB"/>
    <w:rsid w:val="0035371E"/>
    <w:rsid w:val="00353783"/>
    <w:rsid w:val="00354107"/>
    <w:rsid w:val="0035455B"/>
    <w:rsid w:val="0035485C"/>
    <w:rsid w:val="00354DC9"/>
    <w:rsid w:val="00355767"/>
    <w:rsid w:val="00356638"/>
    <w:rsid w:val="003566D7"/>
    <w:rsid w:val="00356B6E"/>
    <w:rsid w:val="00356EFC"/>
    <w:rsid w:val="003578BD"/>
    <w:rsid w:val="00357F49"/>
    <w:rsid w:val="00360120"/>
    <w:rsid w:val="003607FA"/>
    <w:rsid w:val="0036124A"/>
    <w:rsid w:val="00361B3E"/>
    <w:rsid w:val="0036276A"/>
    <w:rsid w:val="00362827"/>
    <w:rsid w:val="00362F1E"/>
    <w:rsid w:val="0036346F"/>
    <w:rsid w:val="00363477"/>
    <w:rsid w:val="00363ECA"/>
    <w:rsid w:val="00364198"/>
    <w:rsid w:val="003645AF"/>
    <w:rsid w:val="00364A83"/>
    <w:rsid w:val="00364B62"/>
    <w:rsid w:val="00364D2B"/>
    <w:rsid w:val="00365118"/>
    <w:rsid w:val="00365168"/>
    <w:rsid w:val="0036544B"/>
    <w:rsid w:val="00365A2F"/>
    <w:rsid w:val="00365FFD"/>
    <w:rsid w:val="00366356"/>
    <w:rsid w:val="003669EF"/>
    <w:rsid w:val="00366CE9"/>
    <w:rsid w:val="00366D6F"/>
    <w:rsid w:val="00366F9F"/>
    <w:rsid w:val="00367C6D"/>
    <w:rsid w:val="0037086A"/>
    <w:rsid w:val="00371978"/>
    <w:rsid w:val="00371A96"/>
    <w:rsid w:val="00371C38"/>
    <w:rsid w:val="003723DB"/>
    <w:rsid w:val="003727C9"/>
    <w:rsid w:val="00372978"/>
    <w:rsid w:val="0037342C"/>
    <w:rsid w:val="00373766"/>
    <w:rsid w:val="00373938"/>
    <w:rsid w:val="00373B92"/>
    <w:rsid w:val="00373C24"/>
    <w:rsid w:val="00374165"/>
    <w:rsid w:val="00374690"/>
    <w:rsid w:val="003746B7"/>
    <w:rsid w:val="00376330"/>
    <w:rsid w:val="0037641D"/>
    <w:rsid w:val="00376514"/>
    <w:rsid w:val="003765AD"/>
    <w:rsid w:val="0037666A"/>
    <w:rsid w:val="003767AD"/>
    <w:rsid w:val="00376A1A"/>
    <w:rsid w:val="00376A68"/>
    <w:rsid w:val="00376C33"/>
    <w:rsid w:val="00377099"/>
    <w:rsid w:val="003800A0"/>
    <w:rsid w:val="003801F1"/>
    <w:rsid w:val="00380D9B"/>
    <w:rsid w:val="00381266"/>
    <w:rsid w:val="0038198A"/>
    <w:rsid w:val="00381D1D"/>
    <w:rsid w:val="0038210D"/>
    <w:rsid w:val="00382352"/>
    <w:rsid w:val="0038275B"/>
    <w:rsid w:val="00382BCF"/>
    <w:rsid w:val="0038301D"/>
    <w:rsid w:val="003830FF"/>
    <w:rsid w:val="00383149"/>
    <w:rsid w:val="00383329"/>
    <w:rsid w:val="003835C7"/>
    <w:rsid w:val="00383B1E"/>
    <w:rsid w:val="00383ED6"/>
    <w:rsid w:val="00384127"/>
    <w:rsid w:val="00384E85"/>
    <w:rsid w:val="00385630"/>
    <w:rsid w:val="00385E84"/>
    <w:rsid w:val="00385F96"/>
    <w:rsid w:val="003861BA"/>
    <w:rsid w:val="0038662A"/>
    <w:rsid w:val="00386C95"/>
    <w:rsid w:val="00387471"/>
    <w:rsid w:val="003874F0"/>
    <w:rsid w:val="00387A93"/>
    <w:rsid w:val="00391B51"/>
    <w:rsid w:val="003929F4"/>
    <w:rsid w:val="00393D50"/>
    <w:rsid w:val="00393F0F"/>
    <w:rsid w:val="00394932"/>
    <w:rsid w:val="00394AAC"/>
    <w:rsid w:val="003951FC"/>
    <w:rsid w:val="00395A65"/>
    <w:rsid w:val="003978AF"/>
    <w:rsid w:val="003A046A"/>
    <w:rsid w:val="003A0808"/>
    <w:rsid w:val="003A1B78"/>
    <w:rsid w:val="003A1F00"/>
    <w:rsid w:val="003A1F4B"/>
    <w:rsid w:val="003A2709"/>
    <w:rsid w:val="003A2F3E"/>
    <w:rsid w:val="003A3CBD"/>
    <w:rsid w:val="003A3F9B"/>
    <w:rsid w:val="003A462C"/>
    <w:rsid w:val="003A5076"/>
    <w:rsid w:val="003A55A5"/>
    <w:rsid w:val="003A614F"/>
    <w:rsid w:val="003A643A"/>
    <w:rsid w:val="003A7B37"/>
    <w:rsid w:val="003B0380"/>
    <w:rsid w:val="003B0455"/>
    <w:rsid w:val="003B072E"/>
    <w:rsid w:val="003B0804"/>
    <w:rsid w:val="003B1144"/>
    <w:rsid w:val="003B1C4E"/>
    <w:rsid w:val="003B1D70"/>
    <w:rsid w:val="003B1F1F"/>
    <w:rsid w:val="003B2435"/>
    <w:rsid w:val="003B260A"/>
    <w:rsid w:val="003B338F"/>
    <w:rsid w:val="003B3D6B"/>
    <w:rsid w:val="003B3E5E"/>
    <w:rsid w:val="003B3FAA"/>
    <w:rsid w:val="003B40E2"/>
    <w:rsid w:val="003B41D6"/>
    <w:rsid w:val="003B5119"/>
    <w:rsid w:val="003B53C5"/>
    <w:rsid w:val="003B5927"/>
    <w:rsid w:val="003B5CFC"/>
    <w:rsid w:val="003B62C4"/>
    <w:rsid w:val="003B6647"/>
    <w:rsid w:val="003B6B77"/>
    <w:rsid w:val="003C0503"/>
    <w:rsid w:val="003C05A1"/>
    <w:rsid w:val="003C09DE"/>
    <w:rsid w:val="003C198B"/>
    <w:rsid w:val="003C1D7F"/>
    <w:rsid w:val="003C2281"/>
    <w:rsid w:val="003C25C1"/>
    <w:rsid w:val="003C28D0"/>
    <w:rsid w:val="003C30B1"/>
    <w:rsid w:val="003C3B31"/>
    <w:rsid w:val="003C3CA9"/>
    <w:rsid w:val="003C3EC3"/>
    <w:rsid w:val="003C49FA"/>
    <w:rsid w:val="003C5AC9"/>
    <w:rsid w:val="003C5D83"/>
    <w:rsid w:val="003C6ACC"/>
    <w:rsid w:val="003C7224"/>
    <w:rsid w:val="003C7690"/>
    <w:rsid w:val="003D0B48"/>
    <w:rsid w:val="003D1368"/>
    <w:rsid w:val="003D1C56"/>
    <w:rsid w:val="003D2A24"/>
    <w:rsid w:val="003D382F"/>
    <w:rsid w:val="003D41C0"/>
    <w:rsid w:val="003D4739"/>
    <w:rsid w:val="003D5D72"/>
    <w:rsid w:val="003D62A1"/>
    <w:rsid w:val="003D69F1"/>
    <w:rsid w:val="003D748A"/>
    <w:rsid w:val="003D79EB"/>
    <w:rsid w:val="003D7B8C"/>
    <w:rsid w:val="003D7E7D"/>
    <w:rsid w:val="003E0121"/>
    <w:rsid w:val="003E0448"/>
    <w:rsid w:val="003E0933"/>
    <w:rsid w:val="003E0A7D"/>
    <w:rsid w:val="003E0BA3"/>
    <w:rsid w:val="003E0DAA"/>
    <w:rsid w:val="003E12CD"/>
    <w:rsid w:val="003E15F5"/>
    <w:rsid w:val="003E258B"/>
    <w:rsid w:val="003E2E16"/>
    <w:rsid w:val="003E310B"/>
    <w:rsid w:val="003E41A8"/>
    <w:rsid w:val="003E48E5"/>
    <w:rsid w:val="003E4B5E"/>
    <w:rsid w:val="003E548B"/>
    <w:rsid w:val="003E5C25"/>
    <w:rsid w:val="003E5EB2"/>
    <w:rsid w:val="003E5FA5"/>
    <w:rsid w:val="003E6233"/>
    <w:rsid w:val="003E64B4"/>
    <w:rsid w:val="003E6754"/>
    <w:rsid w:val="003E6895"/>
    <w:rsid w:val="003E7871"/>
    <w:rsid w:val="003E7ABF"/>
    <w:rsid w:val="003E7F63"/>
    <w:rsid w:val="003E7FFE"/>
    <w:rsid w:val="003F0AF3"/>
    <w:rsid w:val="003F0D6A"/>
    <w:rsid w:val="003F1EDB"/>
    <w:rsid w:val="003F2100"/>
    <w:rsid w:val="003F29D3"/>
    <w:rsid w:val="003F2B97"/>
    <w:rsid w:val="003F3299"/>
    <w:rsid w:val="003F3908"/>
    <w:rsid w:val="003F3E99"/>
    <w:rsid w:val="003F4704"/>
    <w:rsid w:val="003F4935"/>
    <w:rsid w:val="003F4A0C"/>
    <w:rsid w:val="003F5C4E"/>
    <w:rsid w:val="003F5C5C"/>
    <w:rsid w:val="003F5E0A"/>
    <w:rsid w:val="003F5E5E"/>
    <w:rsid w:val="003F758F"/>
    <w:rsid w:val="003F7ED4"/>
    <w:rsid w:val="00400024"/>
    <w:rsid w:val="004007DC"/>
    <w:rsid w:val="00400EBF"/>
    <w:rsid w:val="00401369"/>
    <w:rsid w:val="00401CFD"/>
    <w:rsid w:val="004024CF"/>
    <w:rsid w:val="0040272C"/>
    <w:rsid w:val="0040286D"/>
    <w:rsid w:val="00402B02"/>
    <w:rsid w:val="00403916"/>
    <w:rsid w:val="004043C2"/>
    <w:rsid w:val="0040494B"/>
    <w:rsid w:val="00404A8A"/>
    <w:rsid w:val="0040502C"/>
    <w:rsid w:val="0040546F"/>
    <w:rsid w:val="00405755"/>
    <w:rsid w:val="00405F4F"/>
    <w:rsid w:val="00405F84"/>
    <w:rsid w:val="00405FF5"/>
    <w:rsid w:val="0040604E"/>
    <w:rsid w:val="0040623A"/>
    <w:rsid w:val="004065E1"/>
    <w:rsid w:val="004067CB"/>
    <w:rsid w:val="0040695C"/>
    <w:rsid w:val="004078F5"/>
    <w:rsid w:val="00410046"/>
    <w:rsid w:val="0041100F"/>
    <w:rsid w:val="004114D8"/>
    <w:rsid w:val="00413353"/>
    <w:rsid w:val="0041336E"/>
    <w:rsid w:val="004137A0"/>
    <w:rsid w:val="00413A0A"/>
    <w:rsid w:val="00414282"/>
    <w:rsid w:val="004148C5"/>
    <w:rsid w:val="00414EF7"/>
    <w:rsid w:val="00415221"/>
    <w:rsid w:val="00415A34"/>
    <w:rsid w:val="00416C50"/>
    <w:rsid w:val="00416EC5"/>
    <w:rsid w:val="00417315"/>
    <w:rsid w:val="0041735C"/>
    <w:rsid w:val="004177C0"/>
    <w:rsid w:val="00417BC8"/>
    <w:rsid w:val="00420A2A"/>
    <w:rsid w:val="00420AC7"/>
    <w:rsid w:val="00421CE8"/>
    <w:rsid w:val="004236B7"/>
    <w:rsid w:val="004236D4"/>
    <w:rsid w:val="00425712"/>
    <w:rsid w:val="00425A41"/>
    <w:rsid w:val="00425A9C"/>
    <w:rsid w:val="00425B2E"/>
    <w:rsid w:val="004263F1"/>
    <w:rsid w:val="004266BC"/>
    <w:rsid w:val="00426A01"/>
    <w:rsid w:val="00430354"/>
    <w:rsid w:val="004309C0"/>
    <w:rsid w:val="00431EE2"/>
    <w:rsid w:val="00431F3B"/>
    <w:rsid w:val="00433C94"/>
    <w:rsid w:val="00433FD7"/>
    <w:rsid w:val="0043439D"/>
    <w:rsid w:val="00434AA9"/>
    <w:rsid w:val="00434C3E"/>
    <w:rsid w:val="00434F90"/>
    <w:rsid w:val="00434F9B"/>
    <w:rsid w:val="00436275"/>
    <w:rsid w:val="0043726A"/>
    <w:rsid w:val="00437AA7"/>
    <w:rsid w:val="004400B7"/>
    <w:rsid w:val="0044058C"/>
    <w:rsid w:val="004409B7"/>
    <w:rsid w:val="00440DCE"/>
    <w:rsid w:val="004416A9"/>
    <w:rsid w:val="00441D23"/>
    <w:rsid w:val="004423DA"/>
    <w:rsid w:val="00442772"/>
    <w:rsid w:val="00442A6D"/>
    <w:rsid w:val="00442A91"/>
    <w:rsid w:val="00442C09"/>
    <w:rsid w:val="004436BA"/>
    <w:rsid w:val="00443B26"/>
    <w:rsid w:val="00443E20"/>
    <w:rsid w:val="00443E26"/>
    <w:rsid w:val="00443E97"/>
    <w:rsid w:val="004442E0"/>
    <w:rsid w:val="00444793"/>
    <w:rsid w:val="0044486D"/>
    <w:rsid w:val="00445195"/>
    <w:rsid w:val="00445EFE"/>
    <w:rsid w:val="004460D0"/>
    <w:rsid w:val="00446660"/>
    <w:rsid w:val="00446D3D"/>
    <w:rsid w:val="00446E19"/>
    <w:rsid w:val="00447BD6"/>
    <w:rsid w:val="00447D81"/>
    <w:rsid w:val="004503C8"/>
    <w:rsid w:val="00450483"/>
    <w:rsid w:val="00450D1D"/>
    <w:rsid w:val="00450DB1"/>
    <w:rsid w:val="00451157"/>
    <w:rsid w:val="00451248"/>
    <w:rsid w:val="004513A7"/>
    <w:rsid w:val="00451450"/>
    <w:rsid w:val="00451607"/>
    <w:rsid w:val="004516EC"/>
    <w:rsid w:val="00451C94"/>
    <w:rsid w:val="00451EBB"/>
    <w:rsid w:val="00452601"/>
    <w:rsid w:val="00452B90"/>
    <w:rsid w:val="00453001"/>
    <w:rsid w:val="00453078"/>
    <w:rsid w:val="004531D0"/>
    <w:rsid w:val="00453383"/>
    <w:rsid w:val="00453729"/>
    <w:rsid w:val="00453D48"/>
    <w:rsid w:val="004541D4"/>
    <w:rsid w:val="004548DC"/>
    <w:rsid w:val="0045685C"/>
    <w:rsid w:val="00456D25"/>
    <w:rsid w:val="0045769D"/>
    <w:rsid w:val="00457E96"/>
    <w:rsid w:val="004601F7"/>
    <w:rsid w:val="00460360"/>
    <w:rsid w:val="00460E90"/>
    <w:rsid w:val="00460F9C"/>
    <w:rsid w:val="00461C64"/>
    <w:rsid w:val="00461FD4"/>
    <w:rsid w:val="004628CF"/>
    <w:rsid w:val="00462F78"/>
    <w:rsid w:val="004632CD"/>
    <w:rsid w:val="0046339E"/>
    <w:rsid w:val="004638EA"/>
    <w:rsid w:val="00463ACF"/>
    <w:rsid w:val="00463E92"/>
    <w:rsid w:val="00464892"/>
    <w:rsid w:val="00464FF3"/>
    <w:rsid w:val="004664C6"/>
    <w:rsid w:val="00466BC7"/>
    <w:rsid w:val="00467AAF"/>
    <w:rsid w:val="004700D1"/>
    <w:rsid w:val="004705E5"/>
    <w:rsid w:val="00470F63"/>
    <w:rsid w:val="004711DC"/>
    <w:rsid w:val="004714EF"/>
    <w:rsid w:val="004716D6"/>
    <w:rsid w:val="00471AE2"/>
    <w:rsid w:val="00471BF6"/>
    <w:rsid w:val="0047255D"/>
    <w:rsid w:val="004727DB"/>
    <w:rsid w:val="00472E6D"/>
    <w:rsid w:val="00473493"/>
    <w:rsid w:val="00473835"/>
    <w:rsid w:val="00473AFE"/>
    <w:rsid w:val="00474851"/>
    <w:rsid w:val="0047496C"/>
    <w:rsid w:val="00475A7C"/>
    <w:rsid w:val="00475EB5"/>
    <w:rsid w:val="0047651E"/>
    <w:rsid w:val="00476527"/>
    <w:rsid w:val="00476AA0"/>
    <w:rsid w:val="0047789B"/>
    <w:rsid w:val="0047799D"/>
    <w:rsid w:val="00480032"/>
    <w:rsid w:val="00480723"/>
    <w:rsid w:val="00480922"/>
    <w:rsid w:val="004815F5"/>
    <w:rsid w:val="00481B83"/>
    <w:rsid w:val="00481E9C"/>
    <w:rsid w:val="0048277F"/>
    <w:rsid w:val="00482FC2"/>
    <w:rsid w:val="00483201"/>
    <w:rsid w:val="00483954"/>
    <w:rsid w:val="004846C0"/>
    <w:rsid w:val="0048548F"/>
    <w:rsid w:val="004859D7"/>
    <w:rsid w:val="004862A8"/>
    <w:rsid w:val="004863E8"/>
    <w:rsid w:val="0048693E"/>
    <w:rsid w:val="00486DD9"/>
    <w:rsid w:val="00487474"/>
    <w:rsid w:val="004877B7"/>
    <w:rsid w:val="00487B6C"/>
    <w:rsid w:val="00487C55"/>
    <w:rsid w:val="00487D9C"/>
    <w:rsid w:val="00487E52"/>
    <w:rsid w:val="00490452"/>
    <w:rsid w:val="00490530"/>
    <w:rsid w:val="00490B28"/>
    <w:rsid w:val="00491A1F"/>
    <w:rsid w:val="00491F1D"/>
    <w:rsid w:val="00492913"/>
    <w:rsid w:val="00492ACB"/>
    <w:rsid w:val="00492BE3"/>
    <w:rsid w:val="004930CB"/>
    <w:rsid w:val="00493109"/>
    <w:rsid w:val="0049352F"/>
    <w:rsid w:val="00494236"/>
    <w:rsid w:val="00495239"/>
    <w:rsid w:val="00495525"/>
    <w:rsid w:val="004958D0"/>
    <w:rsid w:val="004963A6"/>
    <w:rsid w:val="004966B5"/>
    <w:rsid w:val="004A0589"/>
    <w:rsid w:val="004A05A2"/>
    <w:rsid w:val="004A0A6D"/>
    <w:rsid w:val="004A1013"/>
    <w:rsid w:val="004A16AE"/>
    <w:rsid w:val="004A191D"/>
    <w:rsid w:val="004A26F0"/>
    <w:rsid w:val="004A27D5"/>
    <w:rsid w:val="004A358C"/>
    <w:rsid w:val="004A3BDF"/>
    <w:rsid w:val="004A3F76"/>
    <w:rsid w:val="004A51DB"/>
    <w:rsid w:val="004A5991"/>
    <w:rsid w:val="004A5C5A"/>
    <w:rsid w:val="004A64FA"/>
    <w:rsid w:val="004A6D4E"/>
    <w:rsid w:val="004A718D"/>
    <w:rsid w:val="004A7D0F"/>
    <w:rsid w:val="004B0B91"/>
    <w:rsid w:val="004B0F70"/>
    <w:rsid w:val="004B1773"/>
    <w:rsid w:val="004B1CAC"/>
    <w:rsid w:val="004B21FB"/>
    <w:rsid w:val="004B2BA6"/>
    <w:rsid w:val="004B2F93"/>
    <w:rsid w:val="004B3750"/>
    <w:rsid w:val="004B4ADB"/>
    <w:rsid w:val="004B4FC0"/>
    <w:rsid w:val="004B5069"/>
    <w:rsid w:val="004B50D7"/>
    <w:rsid w:val="004B56CD"/>
    <w:rsid w:val="004B576B"/>
    <w:rsid w:val="004B595F"/>
    <w:rsid w:val="004B5E7F"/>
    <w:rsid w:val="004B7D87"/>
    <w:rsid w:val="004C0186"/>
    <w:rsid w:val="004C0454"/>
    <w:rsid w:val="004C0631"/>
    <w:rsid w:val="004C07DE"/>
    <w:rsid w:val="004C1394"/>
    <w:rsid w:val="004C147F"/>
    <w:rsid w:val="004C1592"/>
    <w:rsid w:val="004C1AD1"/>
    <w:rsid w:val="004C2378"/>
    <w:rsid w:val="004C276D"/>
    <w:rsid w:val="004C2BE7"/>
    <w:rsid w:val="004C2DFA"/>
    <w:rsid w:val="004C340E"/>
    <w:rsid w:val="004C34A0"/>
    <w:rsid w:val="004C377A"/>
    <w:rsid w:val="004C4F67"/>
    <w:rsid w:val="004C564B"/>
    <w:rsid w:val="004C5F90"/>
    <w:rsid w:val="004C61F6"/>
    <w:rsid w:val="004C6639"/>
    <w:rsid w:val="004C7171"/>
    <w:rsid w:val="004C7624"/>
    <w:rsid w:val="004C778A"/>
    <w:rsid w:val="004C78E7"/>
    <w:rsid w:val="004C7DAE"/>
    <w:rsid w:val="004D1384"/>
    <w:rsid w:val="004D1B46"/>
    <w:rsid w:val="004D23D5"/>
    <w:rsid w:val="004D2A5E"/>
    <w:rsid w:val="004D2C7D"/>
    <w:rsid w:val="004D2ED3"/>
    <w:rsid w:val="004D2EE3"/>
    <w:rsid w:val="004D2F01"/>
    <w:rsid w:val="004D325F"/>
    <w:rsid w:val="004D3266"/>
    <w:rsid w:val="004D34AD"/>
    <w:rsid w:val="004D3AFC"/>
    <w:rsid w:val="004D40CF"/>
    <w:rsid w:val="004D4B00"/>
    <w:rsid w:val="004D4D13"/>
    <w:rsid w:val="004D4ED7"/>
    <w:rsid w:val="004D537B"/>
    <w:rsid w:val="004D69EE"/>
    <w:rsid w:val="004D7680"/>
    <w:rsid w:val="004D7AB3"/>
    <w:rsid w:val="004E0129"/>
    <w:rsid w:val="004E0384"/>
    <w:rsid w:val="004E134C"/>
    <w:rsid w:val="004E16E3"/>
    <w:rsid w:val="004E1705"/>
    <w:rsid w:val="004E31D6"/>
    <w:rsid w:val="004E350F"/>
    <w:rsid w:val="004E3AAB"/>
    <w:rsid w:val="004E3C1B"/>
    <w:rsid w:val="004E3FDB"/>
    <w:rsid w:val="004E415C"/>
    <w:rsid w:val="004E426D"/>
    <w:rsid w:val="004E4CD1"/>
    <w:rsid w:val="004E70E2"/>
    <w:rsid w:val="004E790E"/>
    <w:rsid w:val="004E7931"/>
    <w:rsid w:val="004E7D1F"/>
    <w:rsid w:val="004E7D9F"/>
    <w:rsid w:val="004F016A"/>
    <w:rsid w:val="004F0757"/>
    <w:rsid w:val="004F0CFB"/>
    <w:rsid w:val="004F2651"/>
    <w:rsid w:val="004F2748"/>
    <w:rsid w:val="004F2951"/>
    <w:rsid w:val="004F2F22"/>
    <w:rsid w:val="004F35E9"/>
    <w:rsid w:val="004F3805"/>
    <w:rsid w:val="004F3A8B"/>
    <w:rsid w:val="004F3F2F"/>
    <w:rsid w:val="004F42D1"/>
    <w:rsid w:val="004F5235"/>
    <w:rsid w:val="004F562E"/>
    <w:rsid w:val="004F56CE"/>
    <w:rsid w:val="004F59B7"/>
    <w:rsid w:val="004F5A4E"/>
    <w:rsid w:val="004F6312"/>
    <w:rsid w:val="004F631B"/>
    <w:rsid w:val="004F7083"/>
    <w:rsid w:val="004F750B"/>
    <w:rsid w:val="004F7EEE"/>
    <w:rsid w:val="00500162"/>
    <w:rsid w:val="00501A53"/>
    <w:rsid w:val="00501C66"/>
    <w:rsid w:val="005025BA"/>
    <w:rsid w:val="00502A41"/>
    <w:rsid w:val="00503673"/>
    <w:rsid w:val="005036A4"/>
    <w:rsid w:val="0050375A"/>
    <w:rsid w:val="0050388D"/>
    <w:rsid w:val="005038C4"/>
    <w:rsid w:val="005049BA"/>
    <w:rsid w:val="00505067"/>
    <w:rsid w:val="005051FA"/>
    <w:rsid w:val="00505371"/>
    <w:rsid w:val="00505A43"/>
    <w:rsid w:val="00506262"/>
    <w:rsid w:val="00506A85"/>
    <w:rsid w:val="005070E5"/>
    <w:rsid w:val="00507230"/>
    <w:rsid w:val="00507BE3"/>
    <w:rsid w:val="00507CEA"/>
    <w:rsid w:val="00507FA4"/>
    <w:rsid w:val="00510194"/>
    <w:rsid w:val="00512467"/>
    <w:rsid w:val="005128EB"/>
    <w:rsid w:val="00513470"/>
    <w:rsid w:val="00513AC5"/>
    <w:rsid w:val="00513D5E"/>
    <w:rsid w:val="00514108"/>
    <w:rsid w:val="005147EF"/>
    <w:rsid w:val="00514953"/>
    <w:rsid w:val="00514F48"/>
    <w:rsid w:val="0051516A"/>
    <w:rsid w:val="0051524F"/>
    <w:rsid w:val="00515D75"/>
    <w:rsid w:val="00515E9A"/>
    <w:rsid w:val="0051606F"/>
    <w:rsid w:val="00517AF2"/>
    <w:rsid w:val="005216A9"/>
    <w:rsid w:val="00521767"/>
    <w:rsid w:val="0052177F"/>
    <w:rsid w:val="005219F8"/>
    <w:rsid w:val="00521A1B"/>
    <w:rsid w:val="00521DF5"/>
    <w:rsid w:val="00521E07"/>
    <w:rsid w:val="005220D8"/>
    <w:rsid w:val="0052234F"/>
    <w:rsid w:val="00522A49"/>
    <w:rsid w:val="00522CCD"/>
    <w:rsid w:val="00522F72"/>
    <w:rsid w:val="0052371E"/>
    <w:rsid w:val="005245FB"/>
    <w:rsid w:val="00524A07"/>
    <w:rsid w:val="00524B53"/>
    <w:rsid w:val="00525585"/>
    <w:rsid w:val="00525B31"/>
    <w:rsid w:val="00525FA4"/>
    <w:rsid w:val="005264E5"/>
    <w:rsid w:val="0052675E"/>
    <w:rsid w:val="005274EB"/>
    <w:rsid w:val="00527521"/>
    <w:rsid w:val="005276F9"/>
    <w:rsid w:val="00527B55"/>
    <w:rsid w:val="00530275"/>
    <w:rsid w:val="00530B58"/>
    <w:rsid w:val="005311D4"/>
    <w:rsid w:val="005334BE"/>
    <w:rsid w:val="00534087"/>
    <w:rsid w:val="00534420"/>
    <w:rsid w:val="005349CD"/>
    <w:rsid w:val="00534AFE"/>
    <w:rsid w:val="00535027"/>
    <w:rsid w:val="00535629"/>
    <w:rsid w:val="005356B5"/>
    <w:rsid w:val="00535E30"/>
    <w:rsid w:val="005361AF"/>
    <w:rsid w:val="00536950"/>
    <w:rsid w:val="00536AD1"/>
    <w:rsid w:val="005370F4"/>
    <w:rsid w:val="0053750F"/>
    <w:rsid w:val="00537DC0"/>
    <w:rsid w:val="0054002E"/>
    <w:rsid w:val="0054038A"/>
    <w:rsid w:val="005407F1"/>
    <w:rsid w:val="00540E66"/>
    <w:rsid w:val="00540F94"/>
    <w:rsid w:val="005419EC"/>
    <w:rsid w:val="00541EAF"/>
    <w:rsid w:val="00542143"/>
    <w:rsid w:val="00542313"/>
    <w:rsid w:val="00542B6C"/>
    <w:rsid w:val="00543057"/>
    <w:rsid w:val="0054319C"/>
    <w:rsid w:val="005431A4"/>
    <w:rsid w:val="005439FF"/>
    <w:rsid w:val="00544925"/>
    <w:rsid w:val="005453FA"/>
    <w:rsid w:val="005466AB"/>
    <w:rsid w:val="00546D79"/>
    <w:rsid w:val="00547269"/>
    <w:rsid w:val="00547969"/>
    <w:rsid w:val="0055054C"/>
    <w:rsid w:val="00550FC6"/>
    <w:rsid w:val="00551EC8"/>
    <w:rsid w:val="0055243C"/>
    <w:rsid w:val="00552F52"/>
    <w:rsid w:val="00553191"/>
    <w:rsid w:val="005532C1"/>
    <w:rsid w:val="005536CD"/>
    <w:rsid w:val="00553F30"/>
    <w:rsid w:val="005541D6"/>
    <w:rsid w:val="00554694"/>
    <w:rsid w:val="005549FC"/>
    <w:rsid w:val="00554BA5"/>
    <w:rsid w:val="00554F6A"/>
    <w:rsid w:val="00555C1F"/>
    <w:rsid w:val="00555F7D"/>
    <w:rsid w:val="005560DD"/>
    <w:rsid w:val="00556546"/>
    <w:rsid w:val="005567BC"/>
    <w:rsid w:val="00556B0E"/>
    <w:rsid w:val="005578B5"/>
    <w:rsid w:val="005606DC"/>
    <w:rsid w:val="00560932"/>
    <w:rsid w:val="0056105B"/>
    <w:rsid w:val="00561288"/>
    <w:rsid w:val="00561892"/>
    <w:rsid w:val="005619A4"/>
    <w:rsid w:val="005624A9"/>
    <w:rsid w:val="00562545"/>
    <w:rsid w:val="0056265E"/>
    <w:rsid w:val="00562C7C"/>
    <w:rsid w:val="00562D91"/>
    <w:rsid w:val="00562E97"/>
    <w:rsid w:val="0056332A"/>
    <w:rsid w:val="00563E94"/>
    <w:rsid w:val="00563EFA"/>
    <w:rsid w:val="005645D5"/>
    <w:rsid w:val="00564A2C"/>
    <w:rsid w:val="00564E10"/>
    <w:rsid w:val="00565674"/>
    <w:rsid w:val="005673C1"/>
    <w:rsid w:val="00567DA9"/>
    <w:rsid w:val="00567DB8"/>
    <w:rsid w:val="005701A5"/>
    <w:rsid w:val="0057094E"/>
    <w:rsid w:val="0057129E"/>
    <w:rsid w:val="00571462"/>
    <w:rsid w:val="00571766"/>
    <w:rsid w:val="0057212D"/>
    <w:rsid w:val="005724F1"/>
    <w:rsid w:val="00572FB0"/>
    <w:rsid w:val="00573682"/>
    <w:rsid w:val="00573948"/>
    <w:rsid w:val="005740C8"/>
    <w:rsid w:val="00574C1D"/>
    <w:rsid w:val="005753E5"/>
    <w:rsid w:val="005755A0"/>
    <w:rsid w:val="005759DF"/>
    <w:rsid w:val="0057617A"/>
    <w:rsid w:val="00580956"/>
    <w:rsid w:val="00580966"/>
    <w:rsid w:val="005811CB"/>
    <w:rsid w:val="005814B3"/>
    <w:rsid w:val="00582158"/>
    <w:rsid w:val="005822C9"/>
    <w:rsid w:val="00582504"/>
    <w:rsid w:val="00582934"/>
    <w:rsid w:val="00582A7B"/>
    <w:rsid w:val="00582B89"/>
    <w:rsid w:val="00583015"/>
    <w:rsid w:val="005830ED"/>
    <w:rsid w:val="00583E07"/>
    <w:rsid w:val="005844B3"/>
    <w:rsid w:val="005846ED"/>
    <w:rsid w:val="0058478B"/>
    <w:rsid w:val="00584A0F"/>
    <w:rsid w:val="00584A17"/>
    <w:rsid w:val="00585270"/>
    <w:rsid w:val="00585397"/>
    <w:rsid w:val="005856EF"/>
    <w:rsid w:val="00586DA1"/>
    <w:rsid w:val="005878B3"/>
    <w:rsid w:val="0059012E"/>
    <w:rsid w:val="00590664"/>
    <w:rsid w:val="005913B8"/>
    <w:rsid w:val="00591C87"/>
    <w:rsid w:val="005920F2"/>
    <w:rsid w:val="00592690"/>
    <w:rsid w:val="00592A4E"/>
    <w:rsid w:val="00592E4A"/>
    <w:rsid w:val="00593172"/>
    <w:rsid w:val="00593269"/>
    <w:rsid w:val="00593FFD"/>
    <w:rsid w:val="005953C9"/>
    <w:rsid w:val="005955E6"/>
    <w:rsid w:val="00597260"/>
    <w:rsid w:val="005973F4"/>
    <w:rsid w:val="005A0540"/>
    <w:rsid w:val="005A0783"/>
    <w:rsid w:val="005A0829"/>
    <w:rsid w:val="005A0C27"/>
    <w:rsid w:val="005A1003"/>
    <w:rsid w:val="005A1722"/>
    <w:rsid w:val="005A1757"/>
    <w:rsid w:val="005A1904"/>
    <w:rsid w:val="005A19AB"/>
    <w:rsid w:val="005A1C34"/>
    <w:rsid w:val="005A1D42"/>
    <w:rsid w:val="005A1EFC"/>
    <w:rsid w:val="005A3600"/>
    <w:rsid w:val="005A3778"/>
    <w:rsid w:val="005A37D0"/>
    <w:rsid w:val="005A3D14"/>
    <w:rsid w:val="005A4171"/>
    <w:rsid w:val="005A47E9"/>
    <w:rsid w:val="005A4BFA"/>
    <w:rsid w:val="005A4EE1"/>
    <w:rsid w:val="005A526F"/>
    <w:rsid w:val="005A580D"/>
    <w:rsid w:val="005A593A"/>
    <w:rsid w:val="005A6289"/>
    <w:rsid w:val="005A7271"/>
    <w:rsid w:val="005A7515"/>
    <w:rsid w:val="005A78E3"/>
    <w:rsid w:val="005A7C8E"/>
    <w:rsid w:val="005A7CC7"/>
    <w:rsid w:val="005B0E1D"/>
    <w:rsid w:val="005B1400"/>
    <w:rsid w:val="005B1A88"/>
    <w:rsid w:val="005B20E9"/>
    <w:rsid w:val="005B3B1D"/>
    <w:rsid w:val="005B3BC8"/>
    <w:rsid w:val="005B3C75"/>
    <w:rsid w:val="005B3DFE"/>
    <w:rsid w:val="005B5526"/>
    <w:rsid w:val="005B5E01"/>
    <w:rsid w:val="005B65A8"/>
    <w:rsid w:val="005C01CB"/>
    <w:rsid w:val="005C04E3"/>
    <w:rsid w:val="005C1FA9"/>
    <w:rsid w:val="005C207E"/>
    <w:rsid w:val="005C2202"/>
    <w:rsid w:val="005C2AD4"/>
    <w:rsid w:val="005C2B0B"/>
    <w:rsid w:val="005C352B"/>
    <w:rsid w:val="005C3725"/>
    <w:rsid w:val="005C383F"/>
    <w:rsid w:val="005C38F3"/>
    <w:rsid w:val="005C39FC"/>
    <w:rsid w:val="005C3F62"/>
    <w:rsid w:val="005C41BF"/>
    <w:rsid w:val="005C43CB"/>
    <w:rsid w:val="005C4598"/>
    <w:rsid w:val="005C48F9"/>
    <w:rsid w:val="005C495D"/>
    <w:rsid w:val="005C4DD4"/>
    <w:rsid w:val="005C510C"/>
    <w:rsid w:val="005C5C8D"/>
    <w:rsid w:val="005C619B"/>
    <w:rsid w:val="005C66A9"/>
    <w:rsid w:val="005C69D3"/>
    <w:rsid w:val="005C6DFF"/>
    <w:rsid w:val="005C74C6"/>
    <w:rsid w:val="005C791F"/>
    <w:rsid w:val="005C7A9E"/>
    <w:rsid w:val="005C7CF2"/>
    <w:rsid w:val="005D0E73"/>
    <w:rsid w:val="005D11D4"/>
    <w:rsid w:val="005D19AC"/>
    <w:rsid w:val="005D1B10"/>
    <w:rsid w:val="005D1E14"/>
    <w:rsid w:val="005D1FCA"/>
    <w:rsid w:val="005D2907"/>
    <w:rsid w:val="005D2B04"/>
    <w:rsid w:val="005D314D"/>
    <w:rsid w:val="005D3193"/>
    <w:rsid w:val="005D38E8"/>
    <w:rsid w:val="005D3B1E"/>
    <w:rsid w:val="005D3E50"/>
    <w:rsid w:val="005D3FC0"/>
    <w:rsid w:val="005D5060"/>
    <w:rsid w:val="005D541D"/>
    <w:rsid w:val="005D7015"/>
    <w:rsid w:val="005D7040"/>
    <w:rsid w:val="005D714E"/>
    <w:rsid w:val="005D7757"/>
    <w:rsid w:val="005D7A17"/>
    <w:rsid w:val="005D7AFF"/>
    <w:rsid w:val="005D7BE7"/>
    <w:rsid w:val="005E033D"/>
    <w:rsid w:val="005E0865"/>
    <w:rsid w:val="005E0C6E"/>
    <w:rsid w:val="005E1535"/>
    <w:rsid w:val="005E178B"/>
    <w:rsid w:val="005E3AB3"/>
    <w:rsid w:val="005E3AB9"/>
    <w:rsid w:val="005E4256"/>
    <w:rsid w:val="005E4326"/>
    <w:rsid w:val="005E5302"/>
    <w:rsid w:val="005E63E6"/>
    <w:rsid w:val="005E69BD"/>
    <w:rsid w:val="005E6A49"/>
    <w:rsid w:val="005E7007"/>
    <w:rsid w:val="005E724C"/>
    <w:rsid w:val="005E784D"/>
    <w:rsid w:val="005F0154"/>
    <w:rsid w:val="005F03B0"/>
    <w:rsid w:val="005F09F0"/>
    <w:rsid w:val="005F0D0E"/>
    <w:rsid w:val="005F236E"/>
    <w:rsid w:val="005F253B"/>
    <w:rsid w:val="005F2953"/>
    <w:rsid w:val="005F325C"/>
    <w:rsid w:val="005F46B4"/>
    <w:rsid w:val="005F475C"/>
    <w:rsid w:val="005F49B8"/>
    <w:rsid w:val="005F4D1B"/>
    <w:rsid w:val="005F4D7B"/>
    <w:rsid w:val="005F5872"/>
    <w:rsid w:val="005F5932"/>
    <w:rsid w:val="005F5CC7"/>
    <w:rsid w:val="005F5CE2"/>
    <w:rsid w:val="005F6206"/>
    <w:rsid w:val="005F65BB"/>
    <w:rsid w:val="005F6938"/>
    <w:rsid w:val="005F6ADF"/>
    <w:rsid w:val="005F6BD3"/>
    <w:rsid w:val="005F7C8B"/>
    <w:rsid w:val="00600975"/>
    <w:rsid w:val="0060125A"/>
    <w:rsid w:val="00601570"/>
    <w:rsid w:val="0060167E"/>
    <w:rsid w:val="00601D85"/>
    <w:rsid w:val="00602D5A"/>
    <w:rsid w:val="0060301E"/>
    <w:rsid w:val="00603F0B"/>
    <w:rsid w:val="00603F48"/>
    <w:rsid w:val="0060447A"/>
    <w:rsid w:val="00604F7A"/>
    <w:rsid w:val="00605155"/>
    <w:rsid w:val="00605290"/>
    <w:rsid w:val="006054CA"/>
    <w:rsid w:val="00605C79"/>
    <w:rsid w:val="00605CAD"/>
    <w:rsid w:val="00605E20"/>
    <w:rsid w:val="0060603B"/>
    <w:rsid w:val="00606C20"/>
    <w:rsid w:val="0060729B"/>
    <w:rsid w:val="0060790D"/>
    <w:rsid w:val="00607D2B"/>
    <w:rsid w:val="006102CF"/>
    <w:rsid w:val="00610514"/>
    <w:rsid w:val="00610678"/>
    <w:rsid w:val="00611206"/>
    <w:rsid w:val="006115CD"/>
    <w:rsid w:val="006115E7"/>
    <w:rsid w:val="006117BB"/>
    <w:rsid w:val="00611B80"/>
    <w:rsid w:val="00612428"/>
    <w:rsid w:val="006126CB"/>
    <w:rsid w:val="006129D8"/>
    <w:rsid w:val="00613335"/>
    <w:rsid w:val="0061366D"/>
    <w:rsid w:val="0061380B"/>
    <w:rsid w:val="00613C61"/>
    <w:rsid w:val="00613DD1"/>
    <w:rsid w:val="006144EF"/>
    <w:rsid w:val="00614B68"/>
    <w:rsid w:val="00614E88"/>
    <w:rsid w:val="00614FCD"/>
    <w:rsid w:val="0061503A"/>
    <w:rsid w:val="006154E4"/>
    <w:rsid w:val="006155EB"/>
    <w:rsid w:val="00615D13"/>
    <w:rsid w:val="00615F44"/>
    <w:rsid w:val="0061653C"/>
    <w:rsid w:val="00616AD6"/>
    <w:rsid w:val="00616CC9"/>
    <w:rsid w:val="00616FA1"/>
    <w:rsid w:val="0061705D"/>
    <w:rsid w:val="00617A30"/>
    <w:rsid w:val="00617F46"/>
    <w:rsid w:val="0062006C"/>
    <w:rsid w:val="006201EA"/>
    <w:rsid w:val="00620451"/>
    <w:rsid w:val="006204F8"/>
    <w:rsid w:val="0062057D"/>
    <w:rsid w:val="006206C4"/>
    <w:rsid w:val="00620983"/>
    <w:rsid w:val="0062167E"/>
    <w:rsid w:val="00621F68"/>
    <w:rsid w:val="006224FB"/>
    <w:rsid w:val="0062256D"/>
    <w:rsid w:val="00623020"/>
    <w:rsid w:val="006236F3"/>
    <w:rsid w:val="006241CF"/>
    <w:rsid w:val="00624994"/>
    <w:rsid w:val="00624BA1"/>
    <w:rsid w:val="00624D5A"/>
    <w:rsid w:val="00624F7F"/>
    <w:rsid w:val="006258DB"/>
    <w:rsid w:val="00625B48"/>
    <w:rsid w:val="00625C6D"/>
    <w:rsid w:val="00625C93"/>
    <w:rsid w:val="00625E63"/>
    <w:rsid w:val="00626493"/>
    <w:rsid w:val="0062657F"/>
    <w:rsid w:val="006266C2"/>
    <w:rsid w:val="006269D3"/>
    <w:rsid w:val="00626D8A"/>
    <w:rsid w:val="00626E71"/>
    <w:rsid w:val="006270D5"/>
    <w:rsid w:val="006276D8"/>
    <w:rsid w:val="006278D2"/>
    <w:rsid w:val="00627960"/>
    <w:rsid w:val="00627BC5"/>
    <w:rsid w:val="00627CDB"/>
    <w:rsid w:val="0063013B"/>
    <w:rsid w:val="00630730"/>
    <w:rsid w:val="00630841"/>
    <w:rsid w:val="0063095C"/>
    <w:rsid w:val="00630FFD"/>
    <w:rsid w:val="00631197"/>
    <w:rsid w:val="006316EF"/>
    <w:rsid w:val="006318B7"/>
    <w:rsid w:val="00631ABE"/>
    <w:rsid w:val="006331F1"/>
    <w:rsid w:val="0063341B"/>
    <w:rsid w:val="006346FD"/>
    <w:rsid w:val="006348FD"/>
    <w:rsid w:val="00634A36"/>
    <w:rsid w:val="00634CA6"/>
    <w:rsid w:val="00635221"/>
    <w:rsid w:val="006353FA"/>
    <w:rsid w:val="0063551D"/>
    <w:rsid w:val="0063626D"/>
    <w:rsid w:val="00637BB4"/>
    <w:rsid w:val="00637E58"/>
    <w:rsid w:val="006400AB"/>
    <w:rsid w:val="00640439"/>
    <w:rsid w:val="00640AAE"/>
    <w:rsid w:val="00640C86"/>
    <w:rsid w:val="00641A1E"/>
    <w:rsid w:val="0064284D"/>
    <w:rsid w:val="00642AE8"/>
    <w:rsid w:val="00642B5A"/>
    <w:rsid w:val="00643176"/>
    <w:rsid w:val="0064321D"/>
    <w:rsid w:val="006432AD"/>
    <w:rsid w:val="006439DB"/>
    <w:rsid w:val="00643A53"/>
    <w:rsid w:val="00644826"/>
    <w:rsid w:val="00645BC3"/>
    <w:rsid w:val="00646301"/>
    <w:rsid w:val="0064655A"/>
    <w:rsid w:val="006474F4"/>
    <w:rsid w:val="00647D80"/>
    <w:rsid w:val="0065012E"/>
    <w:rsid w:val="0065031E"/>
    <w:rsid w:val="00650A87"/>
    <w:rsid w:val="00651A28"/>
    <w:rsid w:val="00651EE9"/>
    <w:rsid w:val="00652337"/>
    <w:rsid w:val="006538B6"/>
    <w:rsid w:val="00653B6C"/>
    <w:rsid w:val="00653FF3"/>
    <w:rsid w:val="00654039"/>
    <w:rsid w:val="006543E2"/>
    <w:rsid w:val="0065498D"/>
    <w:rsid w:val="00654A64"/>
    <w:rsid w:val="00655A73"/>
    <w:rsid w:val="00655AC3"/>
    <w:rsid w:val="00655F63"/>
    <w:rsid w:val="00656333"/>
    <w:rsid w:val="0065724A"/>
    <w:rsid w:val="00657F56"/>
    <w:rsid w:val="00657FEE"/>
    <w:rsid w:val="0066042E"/>
    <w:rsid w:val="00660AAB"/>
    <w:rsid w:val="00661B01"/>
    <w:rsid w:val="00661E9A"/>
    <w:rsid w:val="00662429"/>
    <w:rsid w:val="00662D5F"/>
    <w:rsid w:val="006639CE"/>
    <w:rsid w:val="00663AFE"/>
    <w:rsid w:val="0066452A"/>
    <w:rsid w:val="006648F4"/>
    <w:rsid w:val="00664B92"/>
    <w:rsid w:val="00664BD9"/>
    <w:rsid w:val="00665459"/>
    <w:rsid w:val="006655A8"/>
    <w:rsid w:val="006661A4"/>
    <w:rsid w:val="0066753D"/>
    <w:rsid w:val="0066780B"/>
    <w:rsid w:val="00670444"/>
    <w:rsid w:val="0067081D"/>
    <w:rsid w:val="00670891"/>
    <w:rsid w:val="00671193"/>
    <w:rsid w:val="0067175F"/>
    <w:rsid w:val="00671D4B"/>
    <w:rsid w:val="00671DB6"/>
    <w:rsid w:val="006733FD"/>
    <w:rsid w:val="0067386D"/>
    <w:rsid w:val="006738AD"/>
    <w:rsid w:val="00673972"/>
    <w:rsid w:val="00673E65"/>
    <w:rsid w:val="00674083"/>
    <w:rsid w:val="00674B74"/>
    <w:rsid w:val="00674FEC"/>
    <w:rsid w:val="00675018"/>
    <w:rsid w:val="006756C8"/>
    <w:rsid w:val="00675ABE"/>
    <w:rsid w:val="00675F7F"/>
    <w:rsid w:val="0067627C"/>
    <w:rsid w:val="006769E1"/>
    <w:rsid w:val="00676B6B"/>
    <w:rsid w:val="00676C2B"/>
    <w:rsid w:val="00676C6D"/>
    <w:rsid w:val="00676C7A"/>
    <w:rsid w:val="00677D8E"/>
    <w:rsid w:val="00680398"/>
    <w:rsid w:val="006807F9"/>
    <w:rsid w:val="00680EEF"/>
    <w:rsid w:val="00680F96"/>
    <w:rsid w:val="00681AC9"/>
    <w:rsid w:val="006820E6"/>
    <w:rsid w:val="006822FF"/>
    <w:rsid w:val="006824D2"/>
    <w:rsid w:val="0068269E"/>
    <w:rsid w:val="00682759"/>
    <w:rsid w:val="00682DC1"/>
    <w:rsid w:val="00682F4C"/>
    <w:rsid w:val="006835F8"/>
    <w:rsid w:val="0068382E"/>
    <w:rsid w:val="0068387D"/>
    <w:rsid w:val="00683897"/>
    <w:rsid w:val="0068392E"/>
    <w:rsid w:val="00683C0D"/>
    <w:rsid w:val="00683CDD"/>
    <w:rsid w:val="00683D10"/>
    <w:rsid w:val="00684831"/>
    <w:rsid w:val="00684FB0"/>
    <w:rsid w:val="00684FFC"/>
    <w:rsid w:val="0068548B"/>
    <w:rsid w:val="0068617D"/>
    <w:rsid w:val="006864D3"/>
    <w:rsid w:val="00686757"/>
    <w:rsid w:val="006868E0"/>
    <w:rsid w:val="00687052"/>
    <w:rsid w:val="006871DE"/>
    <w:rsid w:val="00687805"/>
    <w:rsid w:val="006914FF"/>
    <w:rsid w:val="00691814"/>
    <w:rsid w:val="00691B1F"/>
    <w:rsid w:val="00691F1D"/>
    <w:rsid w:val="00692C27"/>
    <w:rsid w:val="00692E73"/>
    <w:rsid w:val="0069355F"/>
    <w:rsid w:val="006937DA"/>
    <w:rsid w:val="006937E3"/>
    <w:rsid w:val="006937E6"/>
    <w:rsid w:val="00693C90"/>
    <w:rsid w:val="00693DB8"/>
    <w:rsid w:val="00694460"/>
    <w:rsid w:val="006952E1"/>
    <w:rsid w:val="00696220"/>
    <w:rsid w:val="006964DF"/>
    <w:rsid w:val="0069666C"/>
    <w:rsid w:val="00696739"/>
    <w:rsid w:val="00696A15"/>
    <w:rsid w:val="006975F9"/>
    <w:rsid w:val="00697B1C"/>
    <w:rsid w:val="00697DEC"/>
    <w:rsid w:val="006A09CF"/>
    <w:rsid w:val="006A0EE5"/>
    <w:rsid w:val="006A0FA0"/>
    <w:rsid w:val="006A1625"/>
    <w:rsid w:val="006A1AFA"/>
    <w:rsid w:val="006A1B2B"/>
    <w:rsid w:val="006A1B91"/>
    <w:rsid w:val="006A1E7A"/>
    <w:rsid w:val="006A1F2F"/>
    <w:rsid w:val="006A1F5A"/>
    <w:rsid w:val="006A20C3"/>
    <w:rsid w:val="006A26DF"/>
    <w:rsid w:val="006A2A26"/>
    <w:rsid w:val="006A2E30"/>
    <w:rsid w:val="006A2E35"/>
    <w:rsid w:val="006A3393"/>
    <w:rsid w:val="006A33CD"/>
    <w:rsid w:val="006A35E3"/>
    <w:rsid w:val="006A374F"/>
    <w:rsid w:val="006A3CF3"/>
    <w:rsid w:val="006A4B44"/>
    <w:rsid w:val="006A4B50"/>
    <w:rsid w:val="006A4E0E"/>
    <w:rsid w:val="006A4F84"/>
    <w:rsid w:val="006A5383"/>
    <w:rsid w:val="006A6670"/>
    <w:rsid w:val="006A6B2A"/>
    <w:rsid w:val="006A6DD9"/>
    <w:rsid w:val="006A6EBE"/>
    <w:rsid w:val="006A77D9"/>
    <w:rsid w:val="006A7A52"/>
    <w:rsid w:val="006A7F10"/>
    <w:rsid w:val="006B0068"/>
    <w:rsid w:val="006B038C"/>
    <w:rsid w:val="006B0630"/>
    <w:rsid w:val="006B08A0"/>
    <w:rsid w:val="006B2F5C"/>
    <w:rsid w:val="006B3210"/>
    <w:rsid w:val="006B38EE"/>
    <w:rsid w:val="006B3C24"/>
    <w:rsid w:val="006B4FAA"/>
    <w:rsid w:val="006B4FB1"/>
    <w:rsid w:val="006B50ED"/>
    <w:rsid w:val="006B54A8"/>
    <w:rsid w:val="006B5BA7"/>
    <w:rsid w:val="006B5E3B"/>
    <w:rsid w:val="006B621B"/>
    <w:rsid w:val="006B6D09"/>
    <w:rsid w:val="006B6DB4"/>
    <w:rsid w:val="006B6F99"/>
    <w:rsid w:val="006B7215"/>
    <w:rsid w:val="006B7E66"/>
    <w:rsid w:val="006C0093"/>
    <w:rsid w:val="006C013F"/>
    <w:rsid w:val="006C0633"/>
    <w:rsid w:val="006C06F8"/>
    <w:rsid w:val="006C0CA5"/>
    <w:rsid w:val="006C159A"/>
    <w:rsid w:val="006C27C6"/>
    <w:rsid w:val="006C45E0"/>
    <w:rsid w:val="006C53E2"/>
    <w:rsid w:val="006C756C"/>
    <w:rsid w:val="006C76F1"/>
    <w:rsid w:val="006C7D22"/>
    <w:rsid w:val="006D0859"/>
    <w:rsid w:val="006D0D15"/>
    <w:rsid w:val="006D103F"/>
    <w:rsid w:val="006D131A"/>
    <w:rsid w:val="006D138C"/>
    <w:rsid w:val="006D1A9A"/>
    <w:rsid w:val="006D1BE5"/>
    <w:rsid w:val="006D2902"/>
    <w:rsid w:val="006D2A2F"/>
    <w:rsid w:val="006D2C0A"/>
    <w:rsid w:val="006D306A"/>
    <w:rsid w:val="006D3817"/>
    <w:rsid w:val="006D403E"/>
    <w:rsid w:val="006D4313"/>
    <w:rsid w:val="006D43C5"/>
    <w:rsid w:val="006D49A7"/>
    <w:rsid w:val="006D4EAD"/>
    <w:rsid w:val="006D5E46"/>
    <w:rsid w:val="006D609C"/>
    <w:rsid w:val="006D7D02"/>
    <w:rsid w:val="006E0AE5"/>
    <w:rsid w:val="006E1520"/>
    <w:rsid w:val="006E16FB"/>
    <w:rsid w:val="006E18AC"/>
    <w:rsid w:val="006E21B6"/>
    <w:rsid w:val="006E2E95"/>
    <w:rsid w:val="006E3DBB"/>
    <w:rsid w:val="006E44B5"/>
    <w:rsid w:val="006E4C5C"/>
    <w:rsid w:val="006E4FBF"/>
    <w:rsid w:val="006E4FEF"/>
    <w:rsid w:val="006E5316"/>
    <w:rsid w:val="006E55BA"/>
    <w:rsid w:val="006E5A34"/>
    <w:rsid w:val="006E6629"/>
    <w:rsid w:val="006E6893"/>
    <w:rsid w:val="006E7249"/>
    <w:rsid w:val="006F1609"/>
    <w:rsid w:val="006F1820"/>
    <w:rsid w:val="006F187F"/>
    <w:rsid w:val="006F1E4E"/>
    <w:rsid w:val="006F26D1"/>
    <w:rsid w:val="006F2817"/>
    <w:rsid w:val="006F2B10"/>
    <w:rsid w:val="006F2EF8"/>
    <w:rsid w:val="006F3075"/>
    <w:rsid w:val="006F30DF"/>
    <w:rsid w:val="006F3B5E"/>
    <w:rsid w:val="006F48B1"/>
    <w:rsid w:val="006F4F88"/>
    <w:rsid w:val="006F50E2"/>
    <w:rsid w:val="006F54B8"/>
    <w:rsid w:val="006F5CD2"/>
    <w:rsid w:val="006F6DC8"/>
    <w:rsid w:val="006F7267"/>
    <w:rsid w:val="006F7302"/>
    <w:rsid w:val="006F754D"/>
    <w:rsid w:val="006F761B"/>
    <w:rsid w:val="007007A5"/>
    <w:rsid w:val="00701592"/>
    <w:rsid w:val="00701828"/>
    <w:rsid w:val="0070206F"/>
    <w:rsid w:val="007020D4"/>
    <w:rsid w:val="00702C7A"/>
    <w:rsid w:val="007034EB"/>
    <w:rsid w:val="00703546"/>
    <w:rsid w:val="007035B5"/>
    <w:rsid w:val="00703FD9"/>
    <w:rsid w:val="007041B2"/>
    <w:rsid w:val="007046D5"/>
    <w:rsid w:val="0070495B"/>
    <w:rsid w:val="00704F24"/>
    <w:rsid w:val="00704FD5"/>
    <w:rsid w:val="0070511A"/>
    <w:rsid w:val="007055CD"/>
    <w:rsid w:val="00705EBA"/>
    <w:rsid w:val="00706247"/>
    <w:rsid w:val="00706E0A"/>
    <w:rsid w:val="00706E2A"/>
    <w:rsid w:val="0070732C"/>
    <w:rsid w:val="00707671"/>
    <w:rsid w:val="00707CD3"/>
    <w:rsid w:val="00710006"/>
    <w:rsid w:val="007102FC"/>
    <w:rsid w:val="00710644"/>
    <w:rsid w:val="00710AC4"/>
    <w:rsid w:val="00710D39"/>
    <w:rsid w:val="007111A6"/>
    <w:rsid w:val="00712296"/>
    <w:rsid w:val="00712589"/>
    <w:rsid w:val="007126C6"/>
    <w:rsid w:val="007128AD"/>
    <w:rsid w:val="00712D8F"/>
    <w:rsid w:val="0071331E"/>
    <w:rsid w:val="00714340"/>
    <w:rsid w:val="007148B6"/>
    <w:rsid w:val="00714DC6"/>
    <w:rsid w:val="007158C4"/>
    <w:rsid w:val="00716011"/>
    <w:rsid w:val="007160C1"/>
    <w:rsid w:val="00716404"/>
    <w:rsid w:val="00716834"/>
    <w:rsid w:val="007177D5"/>
    <w:rsid w:val="00717DA2"/>
    <w:rsid w:val="00720246"/>
    <w:rsid w:val="00720580"/>
    <w:rsid w:val="007209EF"/>
    <w:rsid w:val="00720A29"/>
    <w:rsid w:val="00720B2F"/>
    <w:rsid w:val="00720FA8"/>
    <w:rsid w:val="007221F9"/>
    <w:rsid w:val="007222E6"/>
    <w:rsid w:val="00722F5C"/>
    <w:rsid w:val="00723A27"/>
    <w:rsid w:val="00723A35"/>
    <w:rsid w:val="00723E7B"/>
    <w:rsid w:val="007241A1"/>
    <w:rsid w:val="00724260"/>
    <w:rsid w:val="007244D4"/>
    <w:rsid w:val="0072455B"/>
    <w:rsid w:val="007249DF"/>
    <w:rsid w:val="007250CC"/>
    <w:rsid w:val="0072574B"/>
    <w:rsid w:val="00725968"/>
    <w:rsid w:val="00725C4A"/>
    <w:rsid w:val="00725E76"/>
    <w:rsid w:val="0072623F"/>
    <w:rsid w:val="007263E3"/>
    <w:rsid w:val="00726C03"/>
    <w:rsid w:val="00726F41"/>
    <w:rsid w:val="0072727B"/>
    <w:rsid w:val="00727A43"/>
    <w:rsid w:val="007304B8"/>
    <w:rsid w:val="007319AD"/>
    <w:rsid w:val="00732316"/>
    <w:rsid w:val="00732411"/>
    <w:rsid w:val="00732AD5"/>
    <w:rsid w:val="007339A2"/>
    <w:rsid w:val="00733BD8"/>
    <w:rsid w:val="00733C28"/>
    <w:rsid w:val="007344F9"/>
    <w:rsid w:val="007347A4"/>
    <w:rsid w:val="00734E5D"/>
    <w:rsid w:val="00734E6D"/>
    <w:rsid w:val="007358A4"/>
    <w:rsid w:val="00736191"/>
    <w:rsid w:val="007365DB"/>
    <w:rsid w:val="00737B38"/>
    <w:rsid w:val="00737B50"/>
    <w:rsid w:val="0074013A"/>
    <w:rsid w:val="00740D4A"/>
    <w:rsid w:val="0074109A"/>
    <w:rsid w:val="007410AC"/>
    <w:rsid w:val="0074151E"/>
    <w:rsid w:val="0074194E"/>
    <w:rsid w:val="00742820"/>
    <w:rsid w:val="00742D30"/>
    <w:rsid w:val="007432EB"/>
    <w:rsid w:val="007439BE"/>
    <w:rsid w:val="00743A82"/>
    <w:rsid w:val="007441D8"/>
    <w:rsid w:val="007447AA"/>
    <w:rsid w:val="007454C4"/>
    <w:rsid w:val="00745775"/>
    <w:rsid w:val="007457F7"/>
    <w:rsid w:val="00745A4B"/>
    <w:rsid w:val="00745CEC"/>
    <w:rsid w:val="0074625D"/>
    <w:rsid w:val="007466AF"/>
    <w:rsid w:val="00747150"/>
    <w:rsid w:val="0075008D"/>
    <w:rsid w:val="007519A8"/>
    <w:rsid w:val="0075217D"/>
    <w:rsid w:val="00752208"/>
    <w:rsid w:val="00752318"/>
    <w:rsid w:val="00752F6D"/>
    <w:rsid w:val="0075373E"/>
    <w:rsid w:val="0075469F"/>
    <w:rsid w:val="00755EF0"/>
    <w:rsid w:val="00755FBC"/>
    <w:rsid w:val="007563AF"/>
    <w:rsid w:val="0075688F"/>
    <w:rsid w:val="007570DF"/>
    <w:rsid w:val="007577B1"/>
    <w:rsid w:val="00760571"/>
    <w:rsid w:val="00760982"/>
    <w:rsid w:val="00761BFA"/>
    <w:rsid w:val="00762242"/>
    <w:rsid w:val="00762525"/>
    <w:rsid w:val="00762D1D"/>
    <w:rsid w:val="00764B1C"/>
    <w:rsid w:val="00764D99"/>
    <w:rsid w:val="00765842"/>
    <w:rsid w:val="007659C9"/>
    <w:rsid w:val="00765D4B"/>
    <w:rsid w:val="00766582"/>
    <w:rsid w:val="00766A08"/>
    <w:rsid w:val="00766ABF"/>
    <w:rsid w:val="00766C72"/>
    <w:rsid w:val="007673DF"/>
    <w:rsid w:val="007676C5"/>
    <w:rsid w:val="00770194"/>
    <w:rsid w:val="00770931"/>
    <w:rsid w:val="00770C87"/>
    <w:rsid w:val="00771079"/>
    <w:rsid w:val="00771376"/>
    <w:rsid w:val="00771494"/>
    <w:rsid w:val="00771805"/>
    <w:rsid w:val="00771E60"/>
    <w:rsid w:val="00773F63"/>
    <w:rsid w:val="007745CC"/>
    <w:rsid w:val="00775427"/>
    <w:rsid w:val="00776A9A"/>
    <w:rsid w:val="00776C7F"/>
    <w:rsid w:val="007772C0"/>
    <w:rsid w:val="007772D9"/>
    <w:rsid w:val="007778F6"/>
    <w:rsid w:val="00777F84"/>
    <w:rsid w:val="00780B4A"/>
    <w:rsid w:val="00780F3C"/>
    <w:rsid w:val="0078120F"/>
    <w:rsid w:val="007816CB"/>
    <w:rsid w:val="00782B5D"/>
    <w:rsid w:val="00782CDD"/>
    <w:rsid w:val="00784156"/>
    <w:rsid w:val="00785491"/>
    <w:rsid w:val="0078584C"/>
    <w:rsid w:val="0078595E"/>
    <w:rsid w:val="007860CE"/>
    <w:rsid w:val="00787808"/>
    <w:rsid w:val="0078784E"/>
    <w:rsid w:val="00787E9C"/>
    <w:rsid w:val="0079058B"/>
    <w:rsid w:val="007907B0"/>
    <w:rsid w:val="00790A30"/>
    <w:rsid w:val="00790F2A"/>
    <w:rsid w:val="00791EBF"/>
    <w:rsid w:val="00792675"/>
    <w:rsid w:val="00792857"/>
    <w:rsid w:val="00792BCD"/>
    <w:rsid w:val="00792E4A"/>
    <w:rsid w:val="007933A1"/>
    <w:rsid w:val="00793D52"/>
    <w:rsid w:val="00793EA7"/>
    <w:rsid w:val="0079463F"/>
    <w:rsid w:val="007954D7"/>
    <w:rsid w:val="00795F4B"/>
    <w:rsid w:val="00797B9D"/>
    <w:rsid w:val="007A00FF"/>
    <w:rsid w:val="007A05FA"/>
    <w:rsid w:val="007A0EEC"/>
    <w:rsid w:val="007A13B9"/>
    <w:rsid w:val="007A2BE0"/>
    <w:rsid w:val="007A2D79"/>
    <w:rsid w:val="007A38D5"/>
    <w:rsid w:val="007A3EA5"/>
    <w:rsid w:val="007A4218"/>
    <w:rsid w:val="007A45BE"/>
    <w:rsid w:val="007A474D"/>
    <w:rsid w:val="007A4F43"/>
    <w:rsid w:val="007A55A5"/>
    <w:rsid w:val="007A5B6F"/>
    <w:rsid w:val="007A5C3F"/>
    <w:rsid w:val="007A61EB"/>
    <w:rsid w:val="007A62BE"/>
    <w:rsid w:val="007A65CE"/>
    <w:rsid w:val="007B00D5"/>
    <w:rsid w:val="007B15DE"/>
    <w:rsid w:val="007B1946"/>
    <w:rsid w:val="007B1CC6"/>
    <w:rsid w:val="007B2074"/>
    <w:rsid w:val="007B2E9B"/>
    <w:rsid w:val="007B3C5D"/>
    <w:rsid w:val="007B4548"/>
    <w:rsid w:val="007B4F38"/>
    <w:rsid w:val="007B53F7"/>
    <w:rsid w:val="007B543E"/>
    <w:rsid w:val="007B544D"/>
    <w:rsid w:val="007B54BC"/>
    <w:rsid w:val="007B731D"/>
    <w:rsid w:val="007B76C2"/>
    <w:rsid w:val="007B773E"/>
    <w:rsid w:val="007B7C96"/>
    <w:rsid w:val="007C0DFD"/>
    <w:rsid w:val="007C0F54"/>
    <w:rsid w:val="007C19AA"/>
    <w:rsid w:val="007C1E06"/>
    <w:rsid w:val="007C259D"/>
    <w:rsid w:val="007C2EA8"/>
    <w:rsid w:val="007C2ECA"/>
    <w:rsid w:val="007C302C"/>
    <w:rsid w:val="007C3733"/>
    <w:rsid w:val="007C42E3"/>
    <w:rsid w:val="007C4643"/>
    <w:rsid w:val="007C4BAD"/>
    <w:rsid w:val="007C5AE3"/>
    <w:rsid w:val="007C62A8"/>
    <w:rsid w:val="007C72A7"/>
    <w:rsid w:val="007C78B2"/>
    <w:rsid w:val="007C7B07"/>
    <w:rsid w:val="007C7CB9"/>
    <w:rsid w:val="007D0D8E"/>
    <w:rsid w:val="007D1021"/>
    <w:rsid w:val="007D2D6E"/>
    <w:rsid w:val="007D2E00"/>
    <w:rsid w:val="007D3635"/>
    <w:rsid w:val="007D3797"/>
    <w:rsid w:val="007D4DDB"/>
    <w:rsid w:val="007D4E14"/>
    <w:rsid w:val="007D5265"/>
    <w:rsid w:val="007D5F2F"/>
    <w:rsid w:val="007D63A9"/>
    <w:rsid w:val="007D6460"/>
    <w:rsid w:val="007D65AD"/>
    <w:rsid w:val="007D6612"/>
    <w:rsid w:val="007D7062"/>
    <w:rsid w:val="007D71FE"/>
    <w:rsid w:val="007D792B"/>
    <w:rsid w:val="007D7DE6"/>
    <w:rsid w:val="007E09E2"/>
    <w:rsid w:val="007E0EDF"/>
    <w:rsid w:val="007E106E"/>
    <w:rsid w:val="007E1531"/>
    <w:rsid w:val="007E170F"/>
    <w:rsid w:val="007E1D66"/>
    <w:rsid w:val="007E27A0"/>
    <w:rsid w:val="007E2F64"/>
    <w:rsid w:val="007E42BD"/>
    <w:rsid w:val="007E4333"/>
    <w:rsid w:val="007E442B"/>
    <w:rsid w:val="007E4568"/>
    <w:rsid w:val="007E49F9"/>
    <w:rsid w:val="007E4B23"/>
    <w:rsid w:val="007E4D80"/>
    <w:rsid w:val="007E4DC6"/>
    <w:rsid w:val="007E505D"/>
    <w:rsid w:val="007E5C1D"/>
    <w:rsid w:val="007E6F17"/>
    <w:rsid w:val="007E6FF8"/>
    <w:rsid w:val="007E7084"/>
    <w:rsid w:val="007E7AAC"/>
    <w:rsid w:val="007E7BA6"/>
    <w:rsid w:val="007F0356"/>
    <w:rsid w:val="007F0466"/>
    <w:rsid w:val="007F0D88"/>
    <w:rsid w:val="007F138F"/>
    <w:rsid w:val="007F16E7"/>
    <w:rsid w:val="007F19C8"/>
    <w:rsid w:val="007F1AF9"/>
    <w:rsid w:val="007F1C23"/>
    <w:rsid w:val="007F2143"/>
    <w:rsid w:val="007F277B"/>
    <w:rsid w:val="007F3089"/>
    <w:rsid w:val="007F3944"/>
    <w:rsid w:val="007F3E60"/>
    <w:rsid w:val="007F5B42"/>
    <w:rsid w:val="007F6370"/>
    <w:rsid w:val="007F67F6"/>
    <w:rsid w:val="007F7223"/>
    <w:rsid w:val="007F77A0"/>
    <w:rsid w:val="007F7CA4"/>
    <w:rsid w:val="00800351"/>
    <w:rsid w:val="00801145"/>
    <w:rsid w:val="00801290"/>
    <w:rsid w:val="00801344"/>
    <w:rsid w:val="008019EC"/>
    <w:rsid w:val="00801A50"/>
    <w:rsid w:val="008021E8"/>
    <w:rsid w:val="00803103"/>
    <w:rsid w:val="008031BC"/>
    <w:rsid w:val="008031C5"/>
    <w:rsid w:val="00803A67"/>
    <w:rsid w:val="00804838"/>
    <w:rsid w:val="00804C55"/>
    <w:rsid w:val="008059C5"/>
    <w:rsid w:val="00805A71"/>
    <w:rsid w:val="00805B74"/>
    <w:rsid w:val="00806135"/>
    <w:rsid w:val="008066AA"/>
    <w:rsid w:val="008069A4"/>
    <w:rsid w:val="00807316"/>
    <w:rsid w:val="00807CC4"/>
    <w:rsid w:val="0081006C"/>
    <w:rsid w:val="008105C3"/>
    <w:rsid w:val="00810CE2"/>
    <w:rsid w:val="00811110"/>
    <w:rsid w:val="0081174A"/>
    <w:rsid w:val="00811753"/>
    <w:rsid w:val="00811959"/>
    <w:rsid w:val="0081206C"/>
    <w:rsid w:val="008124D7"/>
    <w:rsid w:val="008127BD"/>
    <w:rsid w:val="008127D1"/>
    <w:rsid w:val="008128FA"/>
    <w:rsid w:val="008130F6"/>
    <w:rsid w:val="00813107"/>
    <w:rsid w:val="008131E3"/>
    <w:rsid w:val="00813475"/>
    <w:rsid w:val="0081354D"/>
    <w:rsid w:val="008136EB"/>
    <w:rsid w:val="00813E53"/>
    <w:rsid w:val="00813F5C"/>
    <w:rsid w:val="008143FD"/>
    <w:rsid w:val="008156DD"/>
    <w:rsid w:val="0081594B"/>
    <w:rsid w:val="00815B41"/>
    <w:rsid w:val="00816534"/>
    <w:rsid w:val="00816604"/>
    <w:rsid w:val="00816779"/>
    <w:rsid w:val="008169BF"/>
    <w:rsid w:val="00816C7C"/>
    <w:rsid w:val="008170F1"/>
    <w:rsid w:val="008170F3"/>
    <w:rsid w:val="008171B5"/>
    <w:rsid w:val="00820A4C"/>
    <w:rsid w:val="00821441"/>
    <w:rsid w:val="008216BC"/>
    <w:rsid w:val="00821D3B"/>
    <w:rsid w:val="00821F0E"/>
    <w:rsid w:val="00821F8F"/>
    <w:rsid w:val="00822BC5"/>
    <w:rsid w:val="00822DEF"/>
    <w:rsid w:val="008234F8"/>
    <w:rsid w:val="0082362D"/>
    <w:rsid w:val="00823743"/>
    <w:rsid w:val="008239F2"/>
    <w:rsid w:val="00823A23"/>
    <w:rsid w:val="00823A97"/>
    <w:rsid w:val="0082424C"/>
    <w:rsid w:val="00824648"/>
    <w:rsid w:val="00824B59"/>
    <w:rsid w:val="0082524A"/>
    <w:rsid w:val="008255E5"/>
    <w:rsid w:val="00825E01"/>
    <w:rsid w:val="00825F2B"/>
    <w:rsid w:val="0082624C"/>
    <w:rsid w:val="008265F7"/>
    <w:rsid w:val="008268A9"/>
    <w:rsid w:val="00826EBD"/>
    <w:rsid w:val="008275A4"/>
    <w:rsid w:val="00827C31"/>
    <w:rsid w:val="0083004F"/>
    <w:rsid w:val="008302F8"/>
    <w:rsid w:val="008305B4"/>
    <w:rsid w:val="00831395"/>
    <w:rsid w:val="008316EF"/>
    <w:rsid w:val="00831CE1"/>
    <w:rsid w:val="00831EA3"/>
    <w:rsid w:val="00832A1C"/>
    <w:rsid w:val="00832AA7"/>
    <w:rsid w:val="008336F3"/>
    <w:rsid w:val="00833854"/>
    <w:rsid w:val="00833B63"/>
    <w:rsid w:val="008345AB"/>
    <w:rsid w:val="00834F2E"/>
    <w:rsid w:val="0083572D"/>
    <w:rsid w:val="0083641C"/>
    <w:rsid w:val="00837286"/>
    <w:rsid w:val="008372CA"/>
    <w:rsid w:val="00837B86"/>
    <w:rsid w:val="00837DA0"/>
    <w:rsid w:val="008406E2"/>
    <w:rsid w:val="00840C68"/>
    <w:rsid w:val="0084141C"/>
    <w:rsid w:val="00841D0E"/>
    <w:rsid w:val="0084236D"/>
    <w:rsid w:val="008426A4"/>
    <w:rsid w:val="00842B83"/>
    <w:rsid w:val="00843195"/>
    <w:rsid w:val="0084335A"/>
    <w:rsid w:val="00843425"/>
    <w:rsid w:val="00843E1C"/>
    <w:rsid w:val="00844198"/>
    <w:rsid w:val="0084426C"/>
    <w:rsid w:val="008456C2"/>
    <w:rsid w:val="008460F2"/>
    <w:rsid w:val="00846248"/>
    <w:rsid w:val="0084638D"/>
    <w:rsid w:val="008465F7"/>
    <w:rsid w:val="008469D9"/>
    <w:rsid w:val="00846B8A"/>
    <w:rsid w:val="00846EDF"/>
    <w:rsid w:val="0084746E"/>
    <w:rsid w:val="00847D8E"/>
    <w:rsid w:val="00850018"/>
    <w:rsid w:val="008504CA"/>
    <w:rsid w:val="0085057E"/>
    <w:rsid w:val="00851242"/>
    <w:rsid w:val="008513ED"/>
    <w:rsid w:val="00851809"/>
    <w:rsid w:val="00851975"/>
    <w:rsid w:val="00851B0C"/>
    <w:rsid w:val="00851EB0"/>
    <w:rsid w:val="00851FD1"/>
    <w:rsid w:val="00852166"/>
    <w:rsid w:val="008528B3"/>
    <w:rsid w:val="00852AD1"/>
    <w:rsid w:val="00852B06"/>
    <w:rsid w:val="00852EE2"/>
    <w:rsid w:val="0085309A"/>
    <w:rsid w:val="0085369F"/>
    <w:rsid w:val="008537AC"/>
    <w:rsid w:val="00854541"/>
    <w:rsid w:val="00854542"/>
    <w:rsid w:val="00854A15"/>
    <w:rsid w:val="00854CA9"/>
    <w:rsid w:val="00855216"/>
    <w:rsid w:val="00855C45"/>
    <w:rsid w:val="008561C3"/>
    <w:rsid w:val="00856ACD"/>
    <w:rsid w:val="00856CC8"/>
    <w:rsid w:val="00856DC0"/>
    <w:rsid w:val="00857295"/>
    <w:rsid w:val="008576A0"/>
    <w:rsid w:val="0085780B"/>
    <w:rsid w:val="008603AA"/>
    <w:rsid w:val="00861FA4"/>
    <w:rsid w:val="00862370"/>
    <w:rsid w:val="008633AC"/>
    <w:rsid w:val="008633E1"/>
    <w:rsid w:val="008642A5"/>
    <w:rsid w:val="008645EC"/>
    <w:rsid w:val="00864BBA"/>
    <w:rsid w:val="00864EDD"/>
    <w:rsid w:val="008650A3"/>
    <w:rsid w:val="00866248"/>
    <w:rsid w:val="0086658D"/>
    <w:rsid w:val="00866BD4"/>
    <w:rsid w:val="008671B5"/>
    <w:rsid w:val="00867848"/>
    <w:rsid w:val="00867A4D"/>
    <w:rsid w:val="00870FCB"/>
    <w:rsid w:val="008710E9"/>
    <w:rsid w:val="00871DAF"/>
    <w:rsid w:val="00871E2D"/>
    <w:rsid w:val="00872227"/>
    <w:rsid w:val="00872A62"/>
    <w:rsid w:val="008730AE"/>
    <w:rsid w:val="0087316C"/>
    <w:rsid w:val="008732E1"/>
    <w:rsid w:val="00873627"/>
    <w:rsid w:val="00873A5D"/>
    <w:rsid w:val="00873ADB"/>
    <w:rsid w:val="008747B7"/>
    <w:rsid w:val="00874BE2"/>
    <w:rsid w:val="0087561E"/>
    <w:rsid w:val="00875733"/>
    <w:rsid w:val="008759D7"/>
    <w:rsid w:val="00875C75"/>
    <w:rsid w:val="008766E2"/>
    <w:rsid w:val="008769A2"/>
    <w:rsid w:val="00876E03"/>
    <w:rsid w:val="00877C38"/>
    <w:rsid w:val="00877D8B"/>
    <w:rsid w:val="00877D90"/>
    <w:rsid w:val="008803D0"/>
    <w:rsid w:val="00880B56"/>
    <w:rsid w:val="00880CC7"/>
    <w:rsid w:val="00880CDC"/>
    <w:rsid w:val="008813DC"/>
    <w:rsid w:val="0088157F"/>
    <w:rsid w:val="008818D2"/>
    <w:rsid w:val="00882177"/>
    <w:rsid w:val="008833C3"/>
    <w:rsid w:val="008835AE"/>
    <w:rsid w:val="00883672"/>
    <w:rsid w:val="008836BF"/>
    <w:rsid w:val="00883D9A"/>
    <w:rsid w:val="00884271"/>
    <w:rsid w:val="00884649"/>
    <w:rsid w:val="00884FE5"/>
    <w:rsid w:val="00885A5B"/>
    <w:rsid w:val="0088743D"/>
    <w:rsid w:val="0089183F"/>
    <w:rsid w:val="0089184E"/>
    <w:rsid w:val="0089244E"/>
    <w:rsid w:val="008924CC"/>
    <w:rsid w:val="008926BB"/>
    <w:rsid w:val="00892CF3"/>
    <w:rsid w:val="00892EF8"/>
    <w:rsid w:val="0089347E"/>
    <w:rsid w:val="008935E5"/>
    <w:rsid w:val="00893911"/>
    <w:rsid w:val="00893C37"/>
    <w:rsid w:val="00893C46"/>
    <w:rsid w:val="00893E0F"/>
    <w:rsid w:val="0089463E"/>
    <w:rsid w:val="008949B9"/>
    <w:rsid w:val="00894D9C"/>
    <w:rsid w:val="00895182"/>
    <w:rsid w:val="00896302"/>
    <w:rsid w:val="00896380"/>
    <w:rsid w:val="00896D4A"/>
    <w:rsid w:val="00896DF2"/>
    <w:rsid w:val="00897539"/>
    <w:rsid w:val="00897B7F"/>
    <w:rsid w:val="008A0118"/>
    <w:rsid w:val="008A0335"/>
    <w:rsid w:val="008A08E1"/>
    <w:rsid w:val="008A152B"/>
    <w:rsid w:val="008A1620"/>
    <w:rsid w:val="008A2ABB"/>
    <w:rsid w:val="008A2D2F"/>
    <w:rsid w:val="008A2EBD"/>
    <w:rsid w:val="008A3A38"/>
    <w:rsid w:val="008A3D0B"/>
    <w:rsid w:val="008A427D"/>
    <w:rsid w:val="008A42EC"/>
    <w:rsid w:val="008A4A45"/>
    <w:rsid w:val="008A4D5B"/>
    <w:rsid w:val="008A543E"/>
    <w:rsid w:val="008A5449"/>
    <w:rsid w:val="008A5609"/>
    <w:rsid w:val="008A5C94"/>
    <w:rsid w:val="008A6545"/>
    <w:rsid w:val="008A7561"/>
    <w:rsid w:val="008A78C6"/>
    <w:rsid w:val="008A78F5"/>
    <w:rsid w:val="008A7946"/>
    <w:rsid w:val="008B03B5"/>
    <w:rsid w:val="008B09DC"/>
    <w:rsid w:val="008B0ADD"/>
    <w:rsid w:val="008B1D88"/>
    <w:rsid w:val="008B228E"/>
    <w:rsid w:val="008B3284"/>
    <w:rsid w:val="008B32E4"/>
    <w:rsid w:val="008B3860"/>
    <w:rsid w:val="008B42C9"/>
    <w:rsid w:val="008B47F9"/>
    <w:rsid w:val="008B4ACF"/>
    <w:rsid w:val="008B4FD7"/>
    <w:rsid w:val="008B55B1"/>
    <w:rsid w:val="008B5738"/>
    <w:rsid w:val="008B5896"/>
    <w:rsid w:val="008B59F9"/>
    <w:rsid w:val="008B5E54"/>
    <w:rsid w:val="008B6373"/>
    <w:rsid w:val="008B64B6"/>
    <w:rsid w:val="008B69AA"/>
    <w:rsid w:val="008B6E2C"/>
    <w:rsid w:val="008B70CB"/>
    <w:rsid w:val="008B7791"/>
    <w:rsid w:val="008C0742"/>
    <w:rsid w:val="008C0E21"/>
    <w:rsid w:val="008C0EFD"/>
    <w:rsid w:val="008C189F"/>
    <w:rsid w:val="008C1BC2"/>
    <w:rsid w:val="008C1EC6"/>
    <w:rsid w:val="008C2840"/>
    <w:rsid w:val="008C2861"/>
    <w:rsid w:val="008C2A3F"/>
    <w:rsid w:val="008C3655"/>
    <w:rsid w:val="008C3ED2"/>
    <w:rsid w:val="008C4072"/>
    <w:rsid w:val="008C4725"/>
    <w:rsid w:val="008C4EDA"/>
    <w:rsid w:val="008C56B3"/>
    <w:rsid w:val="008C6178"/>
    <w:rsid w:val="008C6E11"/>
    <w:rsid w:val="008C7305"/>
    <w:rsid w:val="008C73F2"/>
    <w:rsid w:val="008C7CDE"/>
    <w:rsid w:val="008D1221"/>
    <w:rsid w:val="008D1327"/>
    <w:rsid w:val="008D1A21"/>
    <w:rsid w:val="008D1C73"/>
    <w:rsid w:val="008D1CC9"/>
    <w:rsid w:val="008D1EC5"/>
    <w:rsid w:val="008D2291"/>
    <w:rsid w:val="008D353A"/>
    <w:rsid w:val="008D3ADF"/>
    <w:rsid w:val="008D4156"/>
    <w:rsid w:val="008D44A0"/>
    <w:rsid w:val="008D50B2"/>
    <w:rsid w:val="008D542B"/>
    <w:rsid w:val="008D542E"/>
    <w:rsid w:val="008D5650"/>
    <w:rsid w:val="008D60F1"/>
    <w:rsid w:val="008D68D1"/>
    <w:rsid w:val="008D6F08"/>
    <w:rsid w:val="008D70A1"/>
    <w:rsid w:val="008D7D9A"/>
    <w:rsid w:val="008E0D4F"/>
    <w:rsid w:val="008E11EC"/>
    <w:rsid w:val="008E12BD"/>
    <w:rsid w:val="008E1A55"/>
    <w:rsid w:val="008E241B"/>
    <w:rsid w:val="008E2BBD"/>
    <w:rsid w:val="008E3389"/>
    <w:rsid w:val="008E3A85"/>
    <w:rsid w:val="008E43C9"/>
    <w:rsid w:val="008E4497"/>
    <w:rsid w:val="008E495F"/>
    <w:rsid w:val="008E4A6D"/>
    <w:rsid w:val="008E4AE3"/>
    <w:rsid w:val="008E50C5"/>
    <w:rsid w:val="008E51D5"/>
    <w:rsid w:val="008E533A"/>
    <w:rsid w:val="008E59E2"/>
    <w:rsid w:val="008E5AB0"/>
    <w:rsid w:val="008E625D"/>
    <w:rsid w:val="008E62A9"/>
    <w:rsid w:val="008E6BF1"/>
    <w:rsid w:val="008E6E28"/>
    <w:rsid w:val="008E7F4D"/>
    <w:rsid w:val="008E7F51"/>
    <w:rsid w:val="008F04AE"/>
    <w:rsid w:val="008F1996"/>
    <w:rsid w:val="008F1F5C"/>
    <w:rsid w:val="008F1F7B"/>
    <w:rsid w:val="008F2045"/>
    <w:rsid w:val="008F27EE"/>
    <w:rsid w:val="008F329D"/>
    <w:rsid w:val="008F44BF"/>
    <w:rsid w:val="008F4A4A"/>
    <w:rsid w:val="008F4A81"/>
    <w:rsid w:val="008F4E4D"/>
    <w:rsid w:val="008F4F49"/>
    <w:rsid w:val="008F567E"/>
    <w:rsid w:val="008F5E32"/>
    <w:rsid w:val="008F644C"/>
    <w:rsid w:val="008F68B6"/>
    <w:rsid w:val="008F6A57"/>
    <w:rsid w:val="008F6D33"/>
    <w:rsid w:val="00900112"/>
    <w:rsid w:val="0090126D"/>
    <w:rsid w:val="00901C5D"/>
    <w:rsid w:val="00901CAB"/>
    <w:rsid w:val="00901CB5"/>
    <w:rsid w:val="00902F54"/>
    <w:rsid w:val="00903796"/>
    <w:rsid w:val="00903E6C"/>
    <w:rsid w:val="00904CB9"/>
    <w:rsid w:val="00904F1D"/>
    <w:rsid w:val="0090513F"/>
    <w:rsid w:val="00905DBA"/>
    <w:rsid w:val="00905E25"/>
    <w:rsid w:val="00906BDE"/>
    <w:rsid w:val="00906E8A"/>
    <w:rsid w:val="00906F0F"/>
    <w:rsid w:val="00906F59"/>
    <w:rsid w:val="0090777B"/>
    <w:rsid w:val="00910916"/>
    <w:rsid w:val="00910B37"/>
    <w:rsid w:val="009123CA"/>
    <w:rsid w:val="00912D58"/>
    <w:rsid w:val="00912EDA"/>
    <w:rsid w:val="0091340F"/>
    <w:rsid w:val="009134B9"/>
    <w:rsid w:val="009136F2"/>
    <w:rsid w:val="00913744"/>
    <w:rsid w:val="00913A69"/>
    <w:rsid w:val="00913E36"/>
    <w:rsid w:val="00914142"/>
    <w:rsid w:val="00914377"/>
    <w:rsid w:val="00914957"/>
    <w:rsid w:val="00914A45"/>
    <w:rsid w:val="009159B7"/>
    <w:rsid w:val="00915AAD"/>
    <w:rsid w:val="00916123"/>
    <w:rsid w:val="0091665A"/>
    <w:rsid w:val="00916FEC"/>
    <w:rsid w:val="00917408"/>
    <w:rsid w:val="00917628"/>
    <w:rsid w:val="009179CB"/>
    <w:rsid w:val="00917BC4"/>
    <w:rsid w:val="00917EE3"/>
    <w:rsid w:val="00917FD8"/>
    <w:rsid w:val="00921592"/>
    <w:rsid w:val="00922197"/>
    <w:rsid w:val="0092249A"/>
    <w:rsid w:val="00922B04"/>
    <w:rsid w:val="00922E76"/>
    <w:rsid w:val="00923733"/>
    <w:rsid w:val="00923A93"/>
    <w:rsid w:val="00923C3B"/>
    <w:rsid w:val="0092427D"/>
    <w:rsid w:val="009243E4"/>
    <w:rsid w:val="00924722"/>
    <w:rsid w:val="00924D0F"/>
    <w:rsid w:val="00925A4B"/>
    <w:rsid w:val="00925D9E"/>
    <w:rsid w:val="00926589"/>
    <w:rsid w:val="009267D6"/>
    <w:rsid w:val="00926D06"/>
    <w:rsid w:val="00927DA0"/>
    <w:rsid w:val="009305C3"/>
    <w:rsid w:val="009307BD"/>
    <w:rsid w:val="0093097B"/>
    <w:rsid w:val="009310D3"/>
    <w:rsid w:val="00931691"/>
    <w:rsid w:val="0093185E"/>
    <w:rsid w:val="00931937"/>
    <w:rsid w:val="00931C03"/>
    <w:rsid w:val="00931CB6"/>
    <w:rsid w:val="00932975"/>
    <w:rsid w:val="009330F6"/>
    <w:rsid w:val="009335D4"/>
    <w:rsid w:val="00933DA8"/>
    <w:rsid w:val="00934B20"/>
    <w:rsid w:val="00935780"/>
    <w:rsid w:val="00935BEA"/>
    <w:rsid w:val="00936370"/>
    <w:rsid w:val="0093670C"/>
    <w:rsid w:val="009367F8"/>
    <w:rsid w:val="009368EC"/>
    <w:rsid w:val="00936D92"/>
    <w:rsid w:val="00936EA4"/>
    <w:rsid w:val="0093786A"/>
    <w:rsid w:val="00937A38"/>
    <w:rsid w:val="009409F3"/>
    <w:rsid w:val="00940FC2"/>
    <w:rsid w:val="009415E4"/>
    <w:rsid w:val="00941DCC"/>
    <w:rsid w:val="00942451"/>
    <w:rsid w:val="00942513"/>
    <w:rsid w:val="0094254D"/>
    <w:rsid w:val="009425DE"/>
    <w:rsid w:val="00942A9D"/>
    <w:rsid w:val="00943FEE"/>
    <w:rsid w:val="00944883"/>
    <w:rsid w:val="009449A4"/>
    <w:rsid w:val="00945F66"/>
    <w:rsid w:val="0094606A"/>
    <w:rsid w:val="009464D6"/>
    <w:rsid w:val="00946EDF"/>
    <w:rsid w:val="0095015C"/>
    <w:rsid w:val="009503C5"/>
    <w:rsid w:val="00950A00"/>
    <w:rsid w:val="00950EB2"/>
    <w:rsid w:val="00951017"/>
    <w:rsid w:val="00951236"/>
    <w:rsid w:val="00951354"/>
    <w:rsid w:val="00951E37"/>
    <w:rsid w:val="00952AE8"/>
    <w:rsid w:val="00952ED5"/>
    <w:rsid w:val="00953074"/>
    <w:rsid w:val="00953127"/>
    <w:rsid w:val="00953158"/>
    <w:rsid w:val="0095383A"/>
    <w:rsid w:val="009553EE"/>
    <w:rsid w:val="00955AB5"/>
    <w:rsid w:val="00955F7F"/>
    <w:rsid w:val="00956610"/>
    <w:rsid w:val="00956616"/>
    <w:rsid w:val="00956806"/>
    <w:rsid w:val="00956AFF"/>
    <w:rsid w:val="009570A4"/>
    <w:rsid w:val="0095728F"/>
    <w:rsid w:val="00957373"/>
    <w:rsid w:val="00957BDD"/>
    <w:rsid w:val="00957DC4"/>
    <w:rsid w:val="009601CD"/>
    <w:rsid w:val="009602BA"/>
    <w:rsid w:val="00960539"/>
    <w:rsid w:val="00961282"/>
    <w:rsid w:val="0096225A"/>
    <w:rsid w:val="00962443"/>
    <w:rsid w:val="009624C5"/>
    <w:rsid w:val="009628AF"/>
    <w:rsid w:val="009638E5"/>
    <w:rsid w:val="00963D59"/>
    <w:rsid w:val="00963FF7"/>
    <w:rsid w:val="009641D0"/>
    <w:rsid w:val="00964890"/>
    <w:rsid w:val="00964C0B"/>
    <w:rsid w:val="00964CF0"/>
    <w:rsid w:val="00964F7C"/>
    <w:rsid w:val="0096554F"/>
    <w:rsid w:val="0096573E"/>
    <w:rsid w:val="00965AF5"/>
    <w:rsid w:val="00965FC4"/>
    <w:rsid w:val="00966AAF"/>
    <w:rsid w:val="00967153"/>
    <w:rsid w:val="00967C46"/>
    <w:rsid w:val="00967E23"/>
    <w:rsid w:val="00967FCC"/>
    <w:rsid w:val="009704D9"/>
    <w:rsid w:val="00970E65"/>
    <w:rsid w:val="00971344"/>
    <w:rsid w:val="00971B97"/>
    <w:rsid w:val="009726DB"/>
    <w:rsid w:val="00972A72"/>
    <w:rsid w:val="00972F2B"/>
    <w:rsid w:val="00973134"/>
    <w:rsid w:val="009736FE"/>
    <w:rsid w:val="00973B7C"/>
    <w:rsid w:val="009742FF"/>
    <w:rsid w:val="009749D1"/>
    <w:rsid w:val="00974A2A"/>
    <w:rsid w:val="00974BD0"/>
    <w:rsid w:val="00974D45"/>
    <w:rsid w:val="00975636"/>
    <w:rsid w:val="00975B71"/>
    <w:rsid w:val="00975C44"/>
    <w:rsid w:val="00975FD3"/>
    <w:rsid w:val="00976507"/>
    <w:rsid w:val="00977150"/>
    <w:rsid w:val="0097753F"/>
    <w:rsid w:val="00980F59"/>
    <w:rsid w:val="00982018"/>
    <w:rsid w:val="00982282"/>
    <w:rsid w:val="0098274E"/>
    <w:rsid w:val="00982A1E"/>
    <w:rsid w:val="00982D22"/>
    <w:rsid w:val="009833A5"/>
    <w:rsid w:val="00983862"/>
    <w:rsid w:val="00983BC4"/>
    <w:rsid w:val="00983E4F"/>
    <w:rsid w:val="00984082"/>
    <w:rsid w:val="00985817"/>
    <w:rsid w:val="00985DFC"/>
    <w:rsid w:val="00985FCD"/>
    <w:rsid w:val="00986078"/>
    <w:rsid w:val="00986408"/>
    <w:rsid w:val="00986A50"/>
    <w:rsid w:val="0098756F"/>
    <w:rsid w:val="0099097B"/>
    <w:rsid w:val="00990C86"/>
    <w:rsid w:val="00990DB9"/>
    <w:rsid w:val="0099191B"/>
    <w:rsid w:val="00991AC7"/>
    <w:rsid w:val="00992464"/>
    <w:rsid w:val="00993346"/>
    <w:rsid w:val="00993635"/>
    <w:rsid w:val="00993884"/>
    <w:rsid w:val="00994BE6"/>
    <w:rsid w:val="0099529B"/>
    <w:rsid w:val="0099550C"/>
    <w:rsid w:val="00995C74"/>
    <w:rsid w:val="0099659D"/>
    <w:rsid w:val="009969FE"/>
    <w:rsid w:val="00996C4C"/>
    <w:rsid w:val="00996DC5"/>
    <w:rsid w:val="00997017"/>
    <w:rsid w:val="00997937"/>
    <w:rsid w:val="00997BD0"/>
    <w:rsid w:val="00997F36"/>
    <w:rsid w:val="009A0A87"/>
    <w:rsid w:val="009A1220"/>
    <w:rsid w:val="009A135D"/>
    <w:rsid w:val="009A13A2"/>
    <w:rsid w:val="009A1D51"/>
    <w:rsid w:val="009A2986"/>
    <w:rsid w:val="009A2B67"/>
    <w:rsid w:val="009A3BD0"/>
    <w:rsid w:val="009A3D81"/>
    <w:rsid w:val="009A3E0F"/>
    <w:rsid w:val="009A3F32"/>
    <w:rsid w:val="009A5591"/>
    <w:rsid w:val="009A5690"/>
    <w:rsid w:val="009A65EB"/>
    <w:rsid w:val="009A68E0"/>
    <w:rsid w:val="009B00E4"/>
    <w:rsid w:val="009B03FA"/>
    <w:rsid w:val="009B0752"/>
    <w:rsid w:val="009B1266"/>
    <w:rsid w:val="009B1C0B"/>
    <w:rsid w:val="009B1C57"/>
    <w:rsid w:val="009B3945"/>
    <w:rsid w:val="009B3984"/>
    <w:rsid w:val="009B3BFD"/>
    <w:rsid w:val="009B3C01"/>
    <w:rsid w:val="009B407B"/>
    <w:rsid w:val="009B4242"/>
    <w:rsid w:val="009B4A8A"/>
    <w:rsid w:val="009B5915"/>
    <w:rsid w:val="009B5C1B"/>
    <w:rsid w:val="009B626F"/>
    <w:rsid w:val="009B63E6"/>
    <w:rsid w:val="009B6AF2"/>
    <w:rsid w:val="009B6FD1"/>
    <w:rsid w:val="009B700A"/>
    <w:rsid w:val="009B72BE"/>
    <w:rsid w:val="009B7409"/>
    <w:rsid w:val="009B7911"/>
    <w:rsid w:val="009B79C5"/>
    <w:rsid w:val="009C07F5"/>
    <w:rsid w:val="009C10B3"/>
    <w:rsid w:val="009C10C0"/>
    <w:rsid w:val="009C17EC"/>
    <w:rsid w:val="009C189D"/>
    <w:rsid w:val="009C1AFC"/>
    <w:rsid w:val="009C2CC3"/>
    <w:rsid w:val="009C33D0"/>
    <w:rsid w:val="009C3629"/>
    <w:rsid w:val="009C3D82"/>
    <w:rsid w:val="009C3E27"/>
    <w:rsid w:val="009C404F"/>
    <w:rsid w:val="009C4EBD"/>
    <w:rsid w:val="009C4FDD"/>
    <w:rsid w:val="009C567E"/>
    <w:rsid w:val="009C570F"/>
    <w:rsid w:val="009C7DD4"/>
    <w:rsid w:val="009D0556"/>
    <w:rsid w:val="009D0B14"/>
    <w:rsid w:val="009D0B25"/>
    <w:rsid w:val="009D114E"/>
    <w:rsid w:val="009D1D9E"/>
    <w:rsid w:val="009D2401"/>
    <w:rsid w:val="009D24A7"/>
    <w:rsid w:val="009D257F"/>
    <w:rsid w:val="009D29FB"/>
    <w:rsid w:val="009D358B"/>
    <w:rsid w:val="009D4C92"/>
    <w:rsid w:val="009D4EF3"/>
    <w:rsid w:val="009D5F9D"/>
    <w:rsid w:val="009D7A24"/>
    <w:rsid w:val="009E06BA"/>
    <w:rsid w:val="009E0780"/>
    <w:rsid w:val="009E0B20"/>
    <w:rsid w:val="009E0B83"/>
    <w:rsid w:val="009E0EEC"/>
    <w:rsid w:val="009E1070"/>
    <w:rsid w:val="009E130F"/>
    <w:rsid w:val="009E169D"/>
    <w:rsid w:val="009E19EF"/>
    <w:rsid w:val="009E1F67"/>
    <w:rsid w:val="009E229B"/>
    <w:rsid w:val="009E252E"/>
    <w:rsid w:val="009E29FD"/>
    <w:rsid w:val="009E2A07"/>
    <w:rsid w:val="009E2AFA"/>
    <w:rsid w:val="009E2E5C"/>
    <w:rsid w:val="009E3A7B"/>
    <w:rsid w:val="009E3DFC"/>
    <w:rsid w:val="009E4198"/>
    <w:rsid w:val="009E4E52"/>
    <w:rsid w:val="009E5183"/>
    <w:rsid w:val="009E528A"/>
    <w:rsid w:val="009E55E9"/>
    <w:rsid w:val="009E574C"/>
    <w:rsid w:val="009E582E"/>
    <w:rsid w:val="009E58A2"/>
    <w:rsid w:val="009E5960"/>
    <w:rsid w:val="009E60A9"/>
    <w:rsid w:val="009E6946"/>
    <w:rsid w:val="009E6EB0"/>
    <w:rsid w:val="009E7225"/>
    <w:rsid w:val="009E7F1D"/>
    <w:rsid w:val="009E7F28"/>
    <w:rsid w:val="009E7FEB"/>
    <w:rsid w:val="009F0172"/>
    <w:rsid w:val="009F1164"/>
    <w:rsid w:val="009F1AA7"/>
    <w:rsid w:val="009F2412"/>
    <w:rsid w:val="009F26B6"/>
    <w:rsid w:val="009F2A37"/>
    <w:rsid w:val="009F3921"/>
    <w:rsid w:val="009F4400"/>
    <w:rsid w:val="009F44C3"/>
    <w:rsid w:val="009F4C4D"/>
    <w:rsid w:val="009F4CCC"/>
    <w:rsid w:val="009F6657"/>
    <w:rsid w:val="009F6860"/>
    <w:rsid w:val="009F68A3"/>
    <w:rsid w:val="009F69A4"/>
    <w:rsid w:val="009F6A17"/>
    <w:rsid w:val="00A00189"/>
    <w:rsid w:val="00A01EF5"/>
    <w:rsid w:val="00A02C70"/>
    <w:rsid w:val="00A03452"/>
    <w:rsid w:val="00A036EF"/>
    <w:rsid w:val="00A0375F"/>
    <w:rsid w:val="00A03870"/>
    <w:rsid w:val="00A03BE7"/>
    <w:rsid w:val="00A04721"/>
    <w:rsid w:val="00A04A38"/>
    <w:rsid w:val="00A04D5A"/>
    <w:rsid w:val="00A068F4"/>
    <w:rsid w:val="00A06C3B"/>
    <w:rsid w:val="00A06E4E"/>
    <w:rsid w:val="00A0736D"/>
    <w:rsid w:val="00A0748B"/>
    <w:rsid w:val="00A07A0B"/>
    <w:rsid w:val="00A07FB8"/>
    <w:rsid w:val="00A07FC7"/>
    <w:rsid w:val="00A10040"/>
    <w:rsid w:val="00A10A4D"/>
    <w:rsid w:val="00A1192E"/>
    <w:rsid w:val="00A119D8"/>
    <w:rsid w:val="00A119FF"/>
    <w:rsid w:val="00A11F76"/>
    <w:rsid w:val="00A12465"/>
    <w:rsid w:val="00A12D7A"/>
    <w:rsid w:val="00A13694"/>
    <w:rsid w:val="00A138FA"/>
    <w:rsid w:val="00A13B7A"/>
    <w:rsid w:val="00A149FD"/>
    <w:rsid w:val="00A15280"/>
    <w:rsid w:val="00A158BF"/>
    <w:rsid w:val="00A15B43"/>
    <w:rsid w:val="00A15FFA"/>
    <w:rsid w:val="00A1608D"/>
    <w:rsid w:val="00A165F1"/>
    <w:rsid w:val="00A16D15"/>
    <w:rsid w:val="00A17247"/>
    <w:rsid w:val="00A176C9"/>
    <w:rsid w:val="00A17ACA"/>
    <w:rsid w:val="00A17EC9"/>
    <w:rsid w:val="00A20964"/>
    <w:rsid w:val="00A20989"/>
    <w:rsid w:val="00A212CE"/>
    <w:rsid w:val="00A216B2"/>
    <w:rsid w:val="00A22203"/>
    <w:rsid w:val="00A22C04"/>
    <w:rsid w:val="00A231B7"/>
    <w:rsid w:val="00A2355A"/>
    <w:rsid w:val="00A23AE7"/>
    <w:rsid w:val="00A240C2"/>
    <w:rsid w:val="00A24740"/>
    <w:rsid w:val="00A24BD7"/>
    <w:rsid w:val="00A24F25"/>
    <w:rsid w:val="00A24F6F"/>
    <w:rsid w:val="00A25293"/>
    <w:rsid w:val="00A25341"/>
    <w:rsid w:val="00A25493"/>
    <w:rsid w:val="00A25919"/>
    <w:rsid w:val="00A2646E"/>
    <w:rsid w:val="00A26643"/>
    <w:rsid w:val="00A26662"/>
    <w:rsid w:val="00A274BB"/>
    <w:rsid w:val="00A27580"/>
    <w:rsid w:val="00A2758F"/>
    <w:rsid w:val="00A30176"/>
    <w:rsid w:val="00A30770"/>
    <w:rsid w:val="00A308DC"/>
    <w:rsid w:val="00A30B1D"/>
    <w:rsid w:val="00A30D5B"/>
    <w:rsid w:val="00A3113A"/>
    <w:rsid w:val="00A3191D"/>
    <w:rsid w:val="00A31C41"/>
    <w:rsid w:val="00A31F41"/>
    <w:rsid w:val="00A3254F"/>
    <w:rsid w:val="00A32A24"/>
    <w:rsid w:val="00A330BA"/>
    <w:rsid w:val="00A332BA"/>
    <w:rsid w:val="00A3341F"/>
    <w:rsid w:val="00A33564"/>
    <w:rsid w:val="00A33AC1"/>
    <w:rsid w:val="00A33B89"/>
    <w:rsid w:val="00A33DF4"/>
    <w:rsid w:val="00A34052"/>
    <w:rsid w:val="00A34E3B"/>
    <w:rsid w:val="00A355DE"/>
    <w:rsid w:val="00A3582C"/>
    <w:rsid w:val="00A36085"/>
    <w:rsid w:val="00A362E8"/>
    <w:rsid w:val="00A36946"/>
    <w:rsid w:val="00A3775A"/>
    <w:rsid w:val="00A37A95"/>
    <w:rsid w:val="00A37D12"/>
    <w:rsid w:val="00A40206"/>
    <w:rsid w:val="00A4060E"/>
    <w:rsid w:val="00A41582"/>
    <w:rsid w:val="00A41D86"/>
    <w:rsid w:val="00A42007"/>
    <w:rsid w:val="00A42009"/>
    <w:rsid w:val="00A422A3"/>
    <w:rsid w:val="00A43E3F"/>
    <w:rsid w:val="00A44380"/>
    <w:rsid w:val="00A45599"/>
    <w:rsid w:val="00A46174"/>
    <w:rsid w:val="00A46BCD"/>
    <w:rsid w:val="00A46E88"/>
    <w:rsid w:val="00A50008"/>
    <w:rsid w:val="00A5087D"/>
    <w:rsid w:val="00A508F2"/>
    <w:rsid w:val="00A50D14"/>
    <w:rsid w:val="00A5129B"/>
    <w:rsid w:val="00A5135E"/>
    <w:rsid w:val="00A515ED"/>
    <w:rsid w:val="00A51621"/>
    <w:rsid w:val="00A51796"/>
    <w:rsid w:val="00A51930"/>
    <w:rsid w:val="00A51991"/>
    <w:rsid w:val="00A528F5"/>
    <w:rsid w:val="00A52B7A"/>
    <w:rsid w:val="00A52D16"/>
    <w:rsid w:val="00A53644"/>
    <w:rsid w:val="00A5398E"/>
    <w:rsid w:val="00A5432B"/>
    <w:rsid w:val="00A54B42"/>
    <w:rsid w:val="00A54C7B"/>
    <w:rsid w:val="00A54E64"/>
    <w:rsid w:val="00A557F8"/>
    <w:rsid w:val="00A5654E"/>
    <w:rsid w:val="00A5755B"/>
    <w:rsid w:val="00A575EB"/>
    <w:rsid w:val="00A60057"/>
    <w:rsid w:val="00A60580"/>
    <w:rsid w:val="00A6098A"/>
    <w:rsid w:val="00A60B3F"/>
    <w:rsid w:val="00A60E2E"/>
    <w:rsid w:val="00A612D6"/>
    <w:rsid w:val="00A61F4C"/>
    <w:rsid w:val="00A62196"/>
    <w:rsid w:val="00A62856"/>
    <w:rsid w:val="00A628F4"/>
    <w:rsid w:val="00A62D15"/>
    <w:rsid w:val="00A62E29"/>
    <w:rsid w:val="00A6355F"/>
    <w:rsid w:val="00A635F1"/>
    <w:rsid w:val="00A641AB"/>
    <w:rsid w:val="00A6435D"/>
    <w:rsid w:val="00A64577"/>
    <w:rsid w:val="00A64FAD"/>
    <w:rsid w:val="00A654CF"/>
    <w:rsid w:val="00A65E56"/>
    <w:rsid w:val="00A6625D"/>
    <w:rsid w:val="00A6642C"/>
    <w:rsid w:val="00A66A6A"/>
    <w:rsid w:val="00A708B2"/>
    <w:rsid w:val="00A70F8C"/>
    <w:rsid w:val="00A711C7"/>
    <w:rsid w:val="00A72442"/>
    <w:rsid w:val="00A724E1"/>
    <w:rsid w:val="00A73166"/>
    <w:rsid w:val="00A731B9"/>
    <w:rsid w:val="00A737C2"/>
    <w:rsid w:val="00A73FC0"/>
    <w:rsid w:val="00A74205"/>
    <w:rsid w:val="00A75274"/>
    <w:rsid w:val="00A75A99"/>
    <w:rsid w:val="00A75F48"/>
    <w:rsid w:val="00A760D5"/>
    <w:rsid w:val="00A766EA"/>
    <w:rsid w:val="00A76BB1"/>
    <w:rsid w:val="00A77191"/>
    <w:rsid w:val="00A77894"/>
    <w:rsid w:val="00A8068D"/>
    <w:rsid w:val="00A80B2D"/>
    <w:rsid w:val="00A80C79"/>
    <w:rsid w:val="00A812AB"/>
    <w:rsid w:val="00A81A5F"/>
    <w:rsid w:val="00A81EF3"/>
    <w:rsid w:val="00A82B61"/>
    <w:rsid w:val="00A830E1"/>
    <w:rsid w:val="00A833FA"/>
    <w:rsid w:val="00A839C4"/>
    <w:rsid w:val="00A83E31"/>
    <w:rsid w:val="00A8475A"/>
    <w:rsid w:val="00A84BDE"/>
    <w:rsid w:val="00A84FE8"/>
    <w:rsid w:val="00A85021"/>
    <w:rsid w:val="00A857A6"/>
    <w:rsid w:val="00A86521"/>
    <w:rsid w:val="00A86CCF"/>
    <w:rsid w:val="00A87589"/>
    <w:rsid w:val="00A87F9E"/>
    <w:rsid w:val="00A904F3"/>
    <w:rsid w:val="00A9209B"/>
    <w:rsid w:val="00A93548"/>
    <w:rsid w:val="00A93AE1"/>
    <w:rsid w:val="00A93C23"/>
    <w:rsid w:val="00A93F94"/>
    <w:rsid w:val="00A942E5"/>
    <w:rsid w:val="00A950EE"/>
    <w:rsid w:val="00A9580B"/>
    <w:rsid w:val="00A958AE"/>
    <w:rsid w:val="00A95A4D"/>
    <w:rsid w:val="00A95D15"/>
    <w:rsid w:val="00A9638B"/>
    <w:rsid w:val="00A964F4"/>
    <w:rsid w:val="00A9681C"/>
    <w:rsid w:val="00A9692C"/>
    <w:rsid w:val="00A96AC6"/>
    <w:rsid w:val="00A96B73"/>
    <w:rsid w:val="00A96BC4"/>
    <w:rsid w:val="00A96D3F"/>
    <w:rsid w:val="00A96FB9"/>
    <w:rsid w:val="00A974A3"/>
    <w:rsid w:val="00A97D53"/>
    <w:rsid w:val="00A97ED2"/>
    <w:rsid w:val="00A97FCE"/>
    <w:rsid w:val="00AA19C3"/>
    <w:rsid w:val="00AA19FF"/>
    <w:rsid w:val="00AA2266"/>
    <w:rsid w:val="00AA2661"/>
    <w:rsid w:val="00AA26FE"/>
    <w:rsid w:val="00AA2B10"/>
    <w:rsid w:val="00AA2C72"/>
    <w:rsid w:val="00AA3071"/>
    <w:rsid w:val="00AA37E6"/>
    <w:rsid w:val="00AA3AC7"/>
    <w:rsid w:val="00AA3F3F"/>
    <w:rsid w:val="00AA4165"/>
    <w:rsid w:val="00AA4727"/>
    <w:rsid w:val="00AA4753"/>
    <w:rsid w:val="00AA4E07"/>
    <w:rsid w:val="00AA4F76"/>
    <w:rsid w:val="00AA4F8D"/>
    <w:rsid w:val="00AA502E"/>
    <w:rsid w:val="00AA5B09"/>
    <w:rsid w:val="00AA635B"/>
    <w:rsid w:val="00AA63A1"/>
    <w:rsid w:val="00AA695E"/>
    <w:rsid w:val="00AA6CA2"/>
    <w:rsid w:val="00AA6D65"/>
    <w:rsid w:val="00AA70FE"/>
    <w:rsid w:val="00AA772A"/>
    <w:rsid w:val="00AA7843"/>
    <w:rsid w:val="00AA7C0C"/>
    <w:rsid w:val="00AB0106"/>
    <w:rsid w:val="00AB0DB4"/>
    <w:rsid w:val="00AB0E45"/>
    <w:rsid w:val="00AB1011"/>
    <w:rsid w:val="00AB13F6"/>
    <w:rsid w:val="00AB18E1"/>
    <w:rsid w:val="00AB1C92"/>
    <w:rsid w:val="00AB2034"/>
    <w:rsid w:val="00AB226F"/>
    <w:rsid w:val="00AB2770"/>
    <w:rsid w:val="00AB2BC0"/>
    <w:rsid w:val="00AB40C3"/>
    <w:rsid w:val="00AB41F1"/>
    <w:rsid w:val="00AB491B"/>
    <w:rsid w:val="00AB4A68"/>
    <w:rsid w:val="00AB4D12"/>
    <w:rsid w:val="00AB52C0"/>
    <w:rsid w:val="00AB5807"/>
    <w:rsid w:val="00AB5D7A"/>
    <w:rsid w:val="00AB5DC8"/>
    <w:rsid w:val="00AB5ED0"/>
    <w:rsid w:val="00AB6BBB"/>
    <w:rsid w:val="00AB7C40"/>
    <w:rsid w:val="00AB7F93"/>
    <w:rsid w:val="00AC01A5"/>
    <w:rsid w:val="00AC0657"/>
    <w:rsid w:val="00AC18DF"/>
    <w:rsid w:val="00AC201A"/>
    <w:rsid w:val="00AC2270"/>
    <w:rsid w:val="00AC2829"/>
    <w:rsid w:val="00AC2EDA"/>
    <w:rsid w:val="00AC3A84"/>
    <w:rsid w:val="00AC4326"/>
    <w:rsid w:val="00AC440A"/>
    <w:rsid w:val="00AC449E"/>
    <w:rsid w:val="00AC4F8C"/>
    <w:rsid w:val="00AC51A9"/>
    <w:rsid w:val="00AC64F4"/>
    <w:rsid w:val="00AC6D59"/>
    <w:rsid w:val="00AC6F72"/>
    <w:rsid w:val="00AC7865"/>
    <w:rsid w:val="00AC7D22"/>
    <w:rsid w:val="00AC7F19"/>
    <w:rsid w:val="00AD0DB0"/>
    <w:rsid w:val="00AD10C0"/>
    <w:rsid w:val="00AD1AA9"/>
    <w:rsid w:val="00AD225B"/>
    <w:rsid w:val="00AD234F"/>
    <w:rsid w:val="00AD2B28"/>
    <w:rsid w:val="00AD34B4"/>
    <w:rsid w:val="00AD3ADA"/>
    <w:rsid w:val="00AD3C47"/>
    <w:rsid w:val="00AD3D0C"/>
    <w:rsid w:val="00AD3E2B"/>
    <w:rsid w:val="00AD41F6"/>
    <w:rsid w:val="00AD4E75"/>
    <w:rsid w:val="00AD5F23"/>
    <w:rsid w:val="00AD68DD"/>
    <w:rsid w:val="00AD7078"/>
    <w:rsid w:val="00AD72F1"/>
    <w:rsid w:val="00AD7502"/>
    <w:rsid w:val="00AD7730"/>
    <w:rsid w:val="00AD7BD8"/>
    <w:rsid w:val="00AE04BC"/>
    <w:rsid w:val="00AE05CE"/>
    <w:rsid w:val="00AE1686"/>
    <w:rsid w:val="00AE1A76"/>
    <w:rsid w:val="00AE2249"/>
    <w:rsid w:val="00AE25E5"/>
    <w:rsid w:val="00AE27E5"/>
    <w:rsid w:val="00AE30A9"/>
    <w:rsid w:val="00AE487F"/>
    <w:rsid w:val="00AE4F34"/>
    <w:rsid w:val="00AE51C4"/>
    <w:rsid w:val="00AE57B9"/>
    <w:rsid w:val="00AE64BC"/>
    <w:rsid w:val="00AE6ADE"/>
    <w:rsid w:val="00AE725F"/>
    <w:rsid w:val="00AE72E8"/>
    <w:rsid w:val="00AE7AD4"/>
    <w:rsid w:val="00AE7F7C"/>
    <w:rsid w:val="00AF03A6"/>
    <w:rsid w:val="00AF1256"/>
    <w:rsid w:val="00AF1A73"/>
    <w:rsid w:val="00AF1C22"/>
    <w:rsid w:val="00AF3023"/>
    <w:rsid w:val="00AF326E"/>
    <w:rsid w:val="00AF32E4"/>
    <w:rsid w:val="00AF4059"/>
    <w:rsid w:val="00AF4BAE"/>
    <w:rsid w:val="00AF53F4"/>
    <w:rsid w:val="00AF588C"/>
    <w:rsid w:val="00AF5CA7"/>
    <w:rsid w:val="00AF61EE"/>
    <w:rsid w:val="00AF66FB"/>
    <w:rsid w:val="00AF671A"/>
    <w:rsid w:val="00AF6AF6"/>
    <w:rsid w:val="00AF7495"/>
    <w:rsid w:val="00AF7692"/>
    <w:rsid w:val="00B00742"/>
    <w:rsid w:val="00B00CBE"/>
    <w:rsid w:val="00B00DA4"/>
    <w:rsid w:val="00B02581"/>
    <w:rsid w:val="00B029AD"/>
    <w:rsid w:val="00B02A88"/>
    <w:rsid w:val="00B031F5"/>
    <w:rsid w:val="00B03908"/>
    <w:rsid w:val="00B03D9B"/>
    <w:rsid w:val="00B051C5"/>
    <w:rsid w:val="00B051ED"/>
    <w:rsid w:val="00B05FD9"/>
    <w:rsid w:val="00B06444"/>
    <w:rsid w:val="00B10CB8"/>
    <w:rsid w:val="00B1113B"/>
    <w:rsid w:val="00B114B3"/>
    <w:rsid w:val="00B1187D"/>
    <w:rsid w:val="00B123D2"/>
    <w:rsid w:val="00B13ABC"/>
    <w:rsid w:val="00B14CAA"/>
    <w:rsid w:val="00B14F03"/>
    <w:rsid w:val="00B1572B"/>
    <w:rsid w:val="00B15BCE"/>
    <w:rsid w:val="00B16686"/>
    <w:rsid w:val="00B16CA2"/>
    <w:rsid w:val="00B171D3"/>
    <w:rsid w:val="00B200E6"/>
    <w:rsid w:val="00B203F0"/>
    <w:rsid w:val="00B20900"/>
    <w:rsid w:val="00B21153"/>
    <w:rsid w:val="00B21D75"/>
    <w:rsid w:val="00B22450"/>
    <w:rsid w:val="00B22572"/>
    <w:rsid w:val="00B228B9"/>
    <w:rsid w:val="00B22915"/>
    <w:rsid w:val="00B22C92"/>
    <w:rsid w:val="00B23635"/>
    <w:rsid w:val="00B2425C"/>
    <w:rsid w:val="00B2435A"/>
    <w:rsid w:val="00B2541B"/>
    <w:rsid w:val="00B2552B"/>
    <w:rsid w:val="00B2653A"/>
    <w:rsid w:val="00B265F1"/>
    <w:rsid w:val="00B26754"/>
    <w:rsid w:val="00B26C47"/>
    <w:rsid w:val="00B26FAE"/>
    <w:rsid w:val="00B270A8"/>
    <w:rsid w:val="00B2714F"/>
    <w:rsid w:val="00B27900"/>
    <w:rsid w:val="00B27C39"/>
    <w:rsid w:val="00B3041C"/>
    <w:rsid w:val="00B30DD1"/>
    <w:rsid w:val="00B30EFC"/>
    <w:rsid w:val="00B3216A"/>
    <w:rsid w:val="00B32903"/>
    <w:rsid w:val="00B32BDB"/>
    <w:rsid w:val="00B33924"/>
    <w:rsid w:val="00B3437B"/>
    <w:rsid w:val="00B35157"/>
    <w:rsid w:val="00B3541E"/>
    <w:rsid w:val="00B35605"/>
    <w:rsid w:val="00B36145"/>
    <w:rsid w:val="00B36392"/>
    <w:rsid w:val="00B36394"/>
    <w:rsid w:val="00B372E2"/>
    <w:rsid w:val="00B374EB"/>
    <w:rsid w:val="00B37A4B"/>
    <w:rsid w:val="00B37CFC"/>
    <w:rsid w:val="00B37E0C"/>
    <w:rsid w:val="00B40443"/>
    <w:rsid w:val="00B40CC2"/>
    <w:rsid w:val="00B4115E"/>
    <w:rsid w:val="00B413A4"/>
    <w:rsid w:val="00B41EC0"/>
    <w:rsid w:val="00B4220F"/>
    <w:rsid w:val="00B422FD"/>
    <w:rsid w:val="00B4266C"/>
    <w:rsid w:val="00B42C0C"/>
    <w:rsid w:val="00B434F7"/>
    <w:rsid w:val="00B4355A"/>
    <w:rsid w:val="00B43832"/>
    <w:rsid w:val="00B43A0A"/>
    <w:rsid w:val="00B43C8A"/>
    <w:rsid w:val="00B43DBE"/>
    <w:rsid w:val="00B43DE9"/>
    <w:rsid w:val="00B44583"/>
    <w:rsid w:val="00B445C5"/>
    <w:rsid w:val="00B4470B"/>
    <w:rsid w:val="00B44D11"/>
    <w:rsid w:val="00B44EFA"/>
    <w:rsid w:val="00B4501D"/>
    <w:rsid w:val="00B452B7"/>
    <w:rsid w:val="00B45390"/>
    <w:rsid w:val="00B45EEC"/>
    <w:rsid w:val="00B45EF2"/>
    <w:rsid w:val="00B46231"/>
    <w:rsid w:val="00B46385"/>
    <w:rsid w:val="00B46570"/>
    <w:rsid w:val="00B46D8C"/>
    <w:rsid w:val="00B46F00"/>
    <w:rsid w:val="00B47674"/>
    <w:rsid w:val="00B479C8"/>
    <w:rsid w:val="00B47A7D"/>
    <w:rsid w:val="00B47C5F"/>
    <w:rsid w:val="00B47D3C"/>
    <w:rsid w:val="00B50858"/>
    <w:rsid w:val="00B508AB"/>
    <w:rsid w:val="00B50CFF"/>
    <w:rsid w:val="00B5103F"/>
    <w:rsid w:val="00B51391"/>
    <w:rsid w:val="00B51C06"/>
    <w:rsid w:val="00B51C43"/>
    <w:rsid w:val="00B524F1"/>
    <w:rsid w:val="00B5251D"/>
    <w:rsid w:val="00B5275D"/>
    <w:rsid w:val="00B529A9"/>
    <w:rsid w:val="00B5368F"/>
    <w:rsid w:val="00B53AC5"/>
    <w:rsid w:val="00B53E01"/>
    <w:rsid w:val="00B53E43"/>
    <w:rsid w:val="00B53EB7"/>
    <w:rsid w:val="00B53F28"/>
    <w:rsid w:val="00B545D2"/>
    <w:rsid w:val="00B54B49"/>
    <w:rsid w:val="00B5547B"/>
    <w:rsid w:val="00B563AA"/>
    <w:rsid w:val="00B56829"/>
    <w:rsid w:val="00B5704D"/>
    <w:rsid w:val="00B578BB"/>
    <w:rsid w:val="00B57ECF"/>
    <w:rsid w:val="00B6010B"/>
    <w:rsid w:val="00B60819"/>
    <w:rsid w:val="00B60A0D"/>
    <w:rsid w:val="00B60EBA"/>
    <w:rsid w:val="00B60F5C"/>
    <w:rsid w:val="00B60FDA"/>
    <w:rsid w:val="00B61503"/>
    <w:rsid w:val="00B62054"/>
    <w:rsid w:val="00B6226B"/>
    <w:rsid w:val="00B62536"/>
    <w:rsid w:val="00B634D1"/>
    <w:rsid w:val="00B636FB"/>
    <w:rsid w:val="00B6405B"/>
    <w:rsid w:val="00B64FA2"/>
    <w:rsid w:val="00B65343"/>
    <w:rsid w:val="00B658DA"/>
    <w:rsid w:val="00B65B13"/>
    <w:rsid w:val="00B664A6"/>
    <w:rsid w:val="00B66BE3"/>
    <w:rsid w:val="00B66CAF"/>
    <w:rsid w:val="00B66E7B"/>
    <w:rsid w:val="00B6797A"/>
    <w:rsid w:val="00B67CCD"/>
    <w:rsid w:val="00B67EC8"/>
    <w:rsid w:val="00B70816"/>
    <w:rsid w:val="00B70859"/>
    <w:rsid w:val="00B70FAC"/>
    <w:rsid w:val="00B7172C"/>
    <w:rsid w:val="00B718D3"/>
    <w:rsid w:val="00B71B0C"/>
    <w:rsid w:val="00B71E82"/>
    <w:rsid w:val="00B72263"/>
    <w:rsid w:val="00B72421"/>
    <w:rsid w:val="00B72A37"/>
    <w:rsid w:val="00B73312"/>
    <w:rsid w:val="00B7408F"/>
    <w:rsid w:val="00B743F2"/>
    <w:rsid w:val="00B74A63"/>
    <w:rsid w:val="00B74CF3"/>
    <w:rsid w:val="00B7535F"/>
    <w:rsid w:val="00B75781"/>
    <w:rsid w:val="00B75F0E"/>
    <w:rsid w:val="00B769DE"/>
    <w:rsid w:val="00B77F72"/>
    <w:rsid w:val="00B77FBD"/>
    <w:rsid w:val="00B8065F"/>
    <w:rsid w:val="00B8079F"/>
    <w:rsid w:val="00B80D4C"/>
    <w:rsid w:val="00B80DD5"/>
    <w:rsid w:val="00B81410"/>
    <w:rsid w:val="00B82976"/>
    <w:rsid w:val="00B8385C"/>
    <w:rsid w:val="00B83937"/>
    <w:rsid w:val="00B849B2"/>
    <w:rsid w:val="00B84D7E"/>
    <w:rsid w:val="00B84EB5"/>
    <w:rsid w:val="00B850A8"/>
    <w:rsid w:val="00B860CA"/>
    <w:rsid w:val="00B86AE5"/>
    <w:rsid w:val="00B86CE5"/>
    <w:rsid w:val="00B87A2F"/>
    <w:rsid w:val="00B87CAF"/>
    <w:rsid w:val="00B87E61"/>
    <w:rsid w:val="00B903C5"/>
    <w:rsid w:val="00B90777"/>
    <w:rsid w:val="00B90F7A"/>
    <w:rsid w:val="00B91637"/>
    <w:rsid w:val="00B91811"/>
    <w:rsid w:val="00B9254B"/>
    <w:rsid w:val="00B927E1"/>
    <w:rsid w:val="00B92D15"/>
    <w:rsid w:val="00B92DCA"/>
    <w:rsid w:val="00B9338A"/>
    <w:rsid w:val="00B9348A"/>
    <w:rsid w:val="00B93586"/>
    <w:rsid w:val="00B938CA"/>
    <w:rsid w:val="00B938E2"/>
    <w:rsid w:val="00B93C59"/>
    <w:rsid w:val="00B94358"/>
    <w:rsid w:val="00B9484D"/>
    <w:rsid w:val="00B94E9D"/>
    <w:rsid w:val="00B9564C"/>
    <w:rsid w:val="00B95E97"/>
    <w:rsid w:val="00B96429"/>
    <w:rsid w:val="00B966CE"/>
    <w:rsid w:val="00B96739"/>
    <w:rsid w:val="00B969A9"/>
    <w:rsid w:val="00B96A8A"/>
    <w:rsid w:val="00B96A97"/>
    <w:rsid w:val="00B96BAC"/>
    <w:rsid w:val="00B975F5"/>
    <w:rsid w:val="00BA09C6"/>
    <w:rsid w:val="00BA0ABE"/>
    <w:rsid w:val="00BA0DEC"/>
    <w:rsid w:val="00BA0E2D"/>
    <w:rsid w:val="00BA1A1D"/>
    <w:rsid w:val="00BA2AF6"/>
    <w:rsid w:val="00BA2F24"/>
    <w:rsid w:val="00BA323B"/>
    <w:rsid w:val="00BA33A2"/>
    <w:rsid w:val="00BA3560"/>
    <w:rsid w:val="00BA36B7"/>
    <w:rsid w:val="00BA53B2"/>
    <w:rsid w:val="00BA5937"/>
    <w:rsid w:val="00BA5BD8"/>
    <w:rsid w:val="00BA5CF5"/>
    <w:rsid w:val="00BA6054"/>
    <w:rsid w:val="00BA60CF"/>
    <w:rsid w:val="00BA6135"/>
    <w:rsid w:val="00BA6700"/>
    <w:rsid w:val="00BA6F45"/>
    <w:rsid w:val="00BA6F86"/>
    <w:rsid w:val="00BA757C"/>
    <w:rsid w:val="00BB07B9"/>
    <w:rsid w:val="00BB08D0"/>
    <w:rsid w:val="00BB10D4"/>
    <w:rsid w:val="00BB1204"/>
    <w:rsid w:val="00BB1F71"/>
    <w:rsid w:val="00BB2F18"/>
    <w:rsid w:val="00BB3B62"/>
    <w:rsid w:val="00BB3E01"/>
    <w:rsid w:val="00BB411B"/>
    <w:rsid w:val="00BB4806"/>
    <w:rsid w:val="00BB4835"/>
    <w:rsid w:val="00BB4936"/>
    <w:rsid w:val="00BB4B88"/>
    <w:rsid w:val="00BB4B8F"/>
    <w:rsid w:val="00BB6061"/>
    <w:rsid w:val="00BB633D"/>
    <w:rsid w:val="00BB6D38"/>
    <w:rsid w:val="00BB6E22"/>
    <w:rsid w:val="00BB6FB3"/>
    <w:rsid w:val="00BB7330"/>
    <w:rsid w:val="00BB7510"/>
    <w:rsid w:val="00BB7853"/>
    <w:rsid w:val="00BB7C6A"/>
    <w:rsid w:val="00BB7E0D"/>
    <w:rsid w:val="00BC097E"/>
    <w:rsid w:val="00BC0DC1"/>
    <w:rsid w:val="00BC1384"/>
    <w:rsid w:val="00BC209F"/>
    <w:rsid w:val="00BC3547"/>
    <w:rsid w:val="00BC3605"/>
    <w:rsid w:val="00BC360C"/>
    <w:rsid w:val="00BC3799"/>
    <w:rsid w:val="00BC3984"/>
    <w:rsid w:val="00BC44EA"/>
    <w:rsid w:val="00BC4E9D"/>
    <w:rsid w:val="00BC5001"/>
    <w:rsid w:val="00BC5562"/>
    <w:rsid w:val="00BC67B3"/>
    <w:rsid w:val="00BC753A"/>
    <w:rsid w:val="00BC7CD5"/>
    <w:rsid w:val="00BC7DA1"/>
    <w:rsid w:val="00BD08DE"/>
    <w:rsid w:val="00BD0BE0"/>
    <w:rsid w:val="00BD0EAC"/>
    <w:rsid w:val="00BD1026"/>
    <w:rsid w:val="00BD11EF"/>
    <w:rsid w:val="00BD2079"/>
    <w:rsid w:val="00BD2D56"/>
    <w:rsid w:val="00BD2E93"/>
    <w:rsid w:val="00BD2EF8"/>
    <w:rsid w:val="00BD31E8"/>
    <w:rsid w:val="00BD3453"/>
    <w:rsid w:val="00BD3698"/>
    <w:rsid w:val="00BD381A"/>
    <w:rsid w:val="00BD4954"/>
    <w:rsid w:val="00BD4B5D"/>
    <w:rsid w:val="00BD5964"/>
    <w:rsid w:val="00BD5A82"/>
    <w:rsid w:val="00BD5E8F"/>
    <w:rsid w:val="00BD657D"/>
    <w:rsid w:val="00BD7C0A"/>
    <w:rsid w:val="00BD7E0E"/>
    <w:rsid w:val="00BD7FC5"/>
    <w:rsid w:val="00BE16FB"/>
    <w:rsid w:val="00BE1F02"/>
    <w:rsid w:val="00BE2129"/>
    <w:rsid w:val="00BE2FEF"/>
    <w:rsid w:val="00BE3246"/>
    <w:rsid w:val="00BE39F0"/>
    <w:rsid w:val="00BE3B5E"/>
    <w:rsid w:val="00BE4600"/>
    <w:rsid w:val="00BE4A04"/>
    <w:rsid w:val="00BE4BDE"/>
    <w:rsid w:val="00BE4C1A"/>
    <w:rsid w:val="00BE4D49"/>
    <w:rsid w:val="00BE5414"/>
    <w:rsid w:val="00BE5AAF"/>
    <w:rsid w:val="00BE5C83"/>
    <w:rsid w:val="00BE69B3"/>
    <w:rsid w:val="00BE73DD"/>
    <w:rsid w:val="00BE7429"/>
    <w:rsid w:val="00BE7995"/>
    <w:rsid w:val="00BE7A5D"/>
    <w:rsid w:val="00BF0507"/>
    <w:rsid w:val="00BF0B92"/>
    <w:rsid w:val="00BF1834"/>
    <w:rsid w:val="00BF196C"/>
    <w:rsid w:val="00BF1A98"/>
    <w:rsid w:val="00BF1E43"/>
    <w:rsid w:val="00BF20BE"/>
    <w:rsid w:val="00BF291C"/>
    <w:rsid w:val="00BF339B"/>
    <w:rsid w:val="00BF383B"/>
    <w:rsid w:val="00BF3B1B"/>
    <w:rsid w:val="00BF3CC2"/>
    <w:rsid w:val="00BF3DCE"/>
    <w:rsid w:val="00BF4721"/>
    <w:rsid w:val="00BF4D1B"/>
    <w:rsid w:val="00BF514E"/>
    <w:rsid w:val="00BF53DB"/>
    <w:rsid w:val="00BF549D"/>
    <w:rsid w:val="00BF6398"/>
    <w:rsid w:val="00BF6818"/>
    <w:rsid w:val="00BF6B22"/>
    <w:rsid w:val="00BF77AA"/>
    <w:rsid w:val="00BF7965"/>
    <w:rsid w:val="00BF7969"/>
    <w:rsid w:val="00BF7B03"/>
    <w:rsid w:val="00C00392"/>
    <w:rsid w:val="00C00DB9"/>
    <w:rsid w:val="00C00E25"/>
    <w:rsid w:val="00C00FE3"/>
    <w:rsid w:val="00C0132E"/>
    <w:rsid w:val="00C01923"/>
    <w:rsid w:val="00C01C58"/>
    <w:rsid w:val="00C01E40"/>
    <w:rsid w:val="00C01EBC"/>
    <w:rsid w:val="00C01EF3"/>
    <w:rsid w:val="00C02C84"/>
    <w:rsid w:val="00C02D2F"/>
    <w:rsid w:val="00C035F3"/>
    <w:rsid w:val="00C03DB0"/>
    <w:rsid w:val="00C04291"/>
    <w:rsid w:val="00C04B9D"/>
    <w:rsid w:val="00C052EC"/>
    <w:rsid w:val="00C05EA0"/>
    <w:rsid w:val="00C06256"/>
    <w:rsid w:val="00C069BF"/>
    <w:rsid w:val="00C06DC4"/>
    <w:rsid w:val="00C0784F"/>
    <w:rsid w:val="00C07942"/>
    <w:rsid w:val="00C07AE1"/>
    <w:rsid w:val="00C07CAF"/>
    <w:rsid w:val="00C10035"/>
    <w:rsid w:val="00C10700"/>
    <w:rsid w:val="00C10B4C"/>
    <w:rsid w:val="00C11270"/>
    <w:rsid w:val="00C11E4B"/>
    <w:rsid w:val="00C1276C"/>
    <w:rsid w:val="00C12D2B"/>
    <w:rsid w:val="00C12ED9"/>
    <w:rsid w:val="00C13B93"/>
    <w:rsid w:val="00C13FD9"/>
    <w:rsid w:val="00C1498D"/>
    <w:rsid w:val="00C14E6D"/>
    <w:rsid w:val="00C15199"/>
    <w:rsid w:val="00C154A6"/>
    <w:rsid w:val="00C156B5"/>
    <w:rsid w:val="00C159DE"/>
    <w:rsid w:val="00C15F70"/>
    <w:rsid w:val="00C172B7"/>
    <w:rsid w:val="00C17C8F"/>
    <w:rsid w:val="00C20187"/>
    <w:rsid w:val="00C208ED"/>
    <w:rsid w:val="00C20906"/>
    <w:rsid w:val="00C20ABE"/>
    <w:rsid w:val="00C20F46"/>
    <w:rsid w:val="00C2167D"/>
    <w:rsid w:val="00C22B0A"/>
    <w:rsid w:val="00C22F09"/>
    <w:rsid w:val="00C22F3C"/>
    <w:rsid w:val="00C2308B"/>
    <w:rsid w:val="00C23511"/>
    <w:rsid w:val="00C23B27"/>
    <w:rsid w:val="00C2425B"/>
    <w:rsid w:val="00C24266"/>
    <w:rsid w:val="00C2441F"/>
    <w:rsid w:val="00C24543"/>
    <w:rsid w:val="00C25065"/>
    <w:rsid w:val="00C26084"/>
    <w:rsid w:val="00C26AD6"/>
    <w:rsid w:val="00C27007"/>
    <w:rsid w:val="00C273A5"/>
    <w:rsid w:val="00C273CA"/>
    <w:rsid w:val="00C27A29"/>
    <w:rsid w:val="00C27F7D"/>
    <w:rsid w:val="00C27F83"/>
    <w:rsid w:val="00C30250"/>
    <w:rsid w:val="00C3066F"/>
    <w:rsid w:val="00C30C09"/>
    <w:rsid w:val="00C315C2"/>
    <w:rsid w:val="00C322A9"/>
    <w:rsid w:val="00C3234E"/>
    <w:rsid w:val="00C32381"/>
    <w:rsid w:val="00C329F2"/>
    <w:rsid w:val="00C32B01"/>
    <w:rsid w:val="00C33294"/>
    <w:rsid w:val="00C33C64"/>
    <w:rsid w:val="00C3430B"/>
    <w:rsid w:val="00C34B10"/>
    <w:rsid w:val="00C36041"/>
    <w:rsid w:val="00C36116"/>
    <w:rsid w:val="00C365AC"/>
    <w:rsid w:val="00C36CEC"/>
    <w:rsid w:val="00C37977"/>
    <w:rsid w:val="00C37CB6"/>
    <w:rsid w:val="00C37FE9"/>
    <w:rsid w:val="00C4015F"/>
    <w:rsid w:val="00C402C8"/>
    <w:rsid w:val="00C40E00"/>
    <w:rsid w:val="00C40EE6"/>
    <w:rsid w:val="00C40F35"/>
    <w:rsid w:val="00C41BB5"/>
    <w:rsid w:val="00C41F91"/>
    <w:rsid w:val="00C423CF"/>
    <w:rsid w:val="00C4372B"/>
    <w:rsid w:val="00C4381B"/>
    <w:rsid w:val="00C447DF"/>
    <w:rsid w:val="00C44D98"/>
    <w:rsid w:val="00C44EBF"/>
    <w:rsid w:val="00C45258"/>
    <w:rsid w:val="00C45B91"/>
    <w:rsid w:val="00C45CC8"/>
    <w:rsid w:val="00C47A5F"/>
    <w:rsid w:val="00C47FA7"/>
    <w:rsid w:val="00C50799"/>
    <w:rsid w:val="00C508DD"/>
    <w:rsid w:val="00C50F21"/>
    <w:rsid w:val="00C510D3"/>
    <w:rsid w:val="00C512F1"/>
    <w:rsid w:val="00C51A9F"/>
    <w:rsid w:val="00C52F45"/>
    <w:rsid w:val="00C5331A"/>
    <w:rsid w:val="00C5376B"/>
    <w:rsid w:val="00C53B22"/>
    <w:rsid w:val="00C53D4F"/>
    <w:rsid w:val="00C54C4A"/>
    <w:rsid w:val="00C54E32"/>
    <w:rsid w:val="00C550B2"/>
    <w:rsid w:val="00C55198"/>
    <w:rsid w:val="00C559DC"/>
    <w:rsid w:val="00C56359"/>
    <w:rsid w:val="00C57FDA"/>
    <w:rsid w:val="00C602E1"/>
    <w:rsid w:val="00C6065B"/>
    <w:rsid w:val="00C60701"/>
    <w:rsid w:val="00C60B77"/>
    <w:rsid w:val="00C60D71"/>
    <w:rsid w:val="00C60E61"/>
    <w:rsid w:val="00C60FBE"/>
    <w:rsid w:val="00C615BC"/>
    <w:rsid w:val="00C619EB"/>
    <w:rsid w:val="00C61E09"/>
    <w:rsid w:val="00C626CE"/>
    <w:rsid w:val="00C62D66"/>
    <w:rsid w:val="00C63417"/>
    <w:rsid w:val="00C634C2"/>
    <w:rsid w:val="00C635B5"/>
    <w:rsid w:val="00C6367E"/>
    <w:rsid w:val="00C63BF3"/>
    <w:rsid w:val="00C63F30"/>
    <w:rsid w:val="00C63FB1"/>
    <w:rsid w:val="00C6401A"/>
    <w:rsid w:val="00C64216"/>
    <w:rsid w:val="00C64988"/>
    <w:rsid w:val="00C64AC7"/>
    <w:rsid w:val="00C64BEF"/>
    <w:rsid w:val="00C65050"/>
    <w:rsid w:val="00C65737"/>
    <w:rsid w:val="00C65C73"/>
    <w:rsid w:val="00C666DE"/>
    <w:rsid w:val="00C66908"/>
    <w:rsid w:val="00C67091"/>
    <w:rsid w:val="00C671DA"/>
    <w:rsid w:val="00C70660"/>
    <w:rsid w:val="00C70AB6"/>
    <w:rsid w:val="00C71487"/>
    <w:rsid w:val="00C7237C"/>
    <w:rsid w:val="00C750FB"/>
    <w:rsid w:val="00C76B1E"/>
    <w:rsid w:val="00C76F45"/>
    <w:rsid w:val="00C77118"/>
    <w:rsid w:val="00C77309"/>
    <w:rsid w:val="00C777D6"/>
    <w:rsid w:val="00C77A8F"/>
    <w:rsid w:val="00C80516"/>
    <w:rsid w:val="00C811F4"/>
    <w:rsid w:val="00C81E78"/>
    <w:rsid w:val="00C81F42"/>
    <w:rsid w:val="00C82DF3"/>
    <w:rsid w:val="00C82E66"/>
    <w:rsid w:val="00C83618"/>
    <w:rsid w:val="00C83763"/>
    <w:rsid w:val="00C83BEF"/>
    <w:rsid w:val="00C84719"/>
    <w:rsid w:val="00C84867"/>
    <w:rsid w:val="00C851D6"/>
    <w:rsid w:val="00C8554F"/>
    <w:rsid w:val="00C862D1"/>
    <w:rsid w:val="00C86413"/>
    <w:rsid w:val="00C869EF"/>
    <w:rsid w:val="00C86FE3"/>
    <w:rsid w:val="00C87480"/>
    <w:rsid w:val="00C87515"/>
    <w:rsid w:val="00C8752B"/>
    <w:rsid w:val="00C87EEB"/>
    <w:rsid w:val="00C87F38"/>
    <w:rsid w:val="00C90123"/>
    <w:rsid w:val="00C907D4"/>
    <w:rsid w:val="00C90B54"/>
    <w:rsid w:val="00C9185A"/>
    <w:rsid w:val="00C9228D"/>
    <w:rsid w:val="00C9269A"/>
    <w:rsid w:val="00C928E3"/>
    <w:rsid w:val="00C92C3A"/>
    <w:rsid w:val="00C93144"/>
    <w:rsid w:val="00C93738"/>
    <w:rsid w:val="00C93787"/>
    <w:rsid w:val="00C93844"/>
    <w:rsid w:val="00C939EC"/>
    <w:rsid w:val="00C93AC2"/>
    <w:rsid w:val="00C93C40"/>
    <w:rsid w:val="00C93D48"/>
    <w:rsid w:val="00C94437"/>
    <w:rsid w:val="00C948DD"/>
    <w:rsid w:val="00C94ABF"/>
    <w:rsid w:val="00C954AD"/>
    <w:rsid w:val="00C955D3"/>
    <w:rsid w:val="00C958FA"/>
    <w:rsid w:val="00C95B57"/>
    <w:rsid w:val="00C95E9C"/>
    <w:rsid w:val="00C9645F"/>
    <w:rsid w:val="00C96D6E"/>
    <w:rsid w:val="00C97833"/>
    <w:rsid w:val="00C97BBA"/>
    <w:rsid w:val="00CA01E5"/>
    <w:rsid w:val="00CA0799"/>
    <w:rsid w:val="00CA1915"/>
    <w:rsid w:val="00CA2347"/>
    <w:rsid w:val="00CA239D"/>
    <w:rsid w:val="00CA23BA"/>
    <w:rsid w:val="00CA386C"/>
    <w:rsid w:val="00CA3B6E"/>
    <w:rsid w:val="00CA47EA"/>
    <w:rsid w:val="00CA47FA"/>
    <w:rsid w:val="00CA4A6E"/>
    <w:rsid w:val="00CA4AFA"/>
    <w:rsid w:val="00CA4F3F"/>
    <w:rsid w:val="00CA4F81"/>
    <w:rsid w:val="00CA4F8B"/>
    <w:rsid w:val="00CA5007"/>
    <w:rsid w:val="00CA6FC7"/>
    <w:rsid w:val="00CA7263"/>
    <w:rsid w:val="00CA7B39"/>
    <w:rsid w:val="00CA7B4B"/>
    <w:rsid w:val="00CA7D59"/>
    <w:rsid w:val="00CA7FAE"/>
    <w:rsid w:val="00CB013A"/>
    <w:rsid w:val="00CB10FC"/>
    <w:rsid w:val="00CB1434"/>
    <w:rsid w:val="00CB29BF"/>
    <w:rsid w:val="00CB2F7D"/>
    <w:rsid w:val="00CB34C7"/>
    <w:rsid w:val="00CB3BA8"/>
    <w:rsid w:val="00CB3D23"/>
    <w:rsid w:val="00CB49FF"/>
    <w:rsid w:val="00CB666B"/>
    <w:rsid w:val="00CB69F5"/>
    <w:rsid w:val="00CB6DBF"/>
    <w:rsid w:val="00CB70EF"/>
    <w:rsid w:val="00CB788C"/>
    <w:rsid w:val="00CB7C0D"/>
    <w:rsid w:val="00CB7E27"/>
    <w:rsid w:val="00CC0724"/>
    <w:rsid w:val="00CC0751"/>
    <w:rsid w:val="00CC09C8"/>
    <w:rsid w:val="00CC165A"/>
    <w:rsid w:val="00CC1697"/>
    <w:rsid w:val="00CC1A00"/>
    <w:rsid w:val="00CC1A31"/>
    <w:rsid w:val="00CC264F"/>
    <w:rsid w:val="00CC2990"/>
    <w:rsid w:val="00CC2A70"/>
    <w:rsid w:val="00CC2BDE"/>
    <w:rsid w:val="00CC3578"/>
    <w:rsid w:val="00CC41F9"/>
    <w:rsid w:val="00CC436B"/>
    <w:rsid w:val="00CC49FF"/>
    <w:rsid w:val="00CC4E25"/>
    <w:rsid w:val="00CC58AE"/>
    <w:rsid w:val="00CC71E6"/>
    <w:rsid w:val="00CC7246"/>
    <w:rsid w:val="00CC7382"/>
    <w:rsid w:val="00CC76EB"/>
    <w:rsid w:val="00CC7D8D"/>
    <w:rsid w:val="00CD01F4"/>
    <w:rsid w:val="00CD0EFC"/>
    <w:rsid w:val="00CD1A90"/>
    <w:rsid w:val="00CD1CB3"/>
    <w:rsid w:val="00CD2330"/>
    <w:rsid w:val="00CD267F"/>
    <w:rsid w:val="00CD2800"/>
    <w:rsid w:val="00CD2C15"/>
    <w:rsid w:val="00CD2D5A"/>
    <w:rsid w:val="00CD2D6C"/>
    <w:rsid w:val="00CD3254"/>
    <w:rsid w:val="00CD373D"/>
    <w:rsid w:val="00CD47FD"/>
    <w:rsid w:val="00CD4FD2"/>
    <w:rsid w:val="00CD52C2"/>
    <w:rsid w:val="00CD56E7"/>
    <w:rsid w:val="00CD5C3F"/>
    <w:rsid w:val="00CD6F2B"/>
    <w:rsid w:val="00CD7598"/>
    <w:rsid w:val="00CD77A3"/>
    <w:rsid w:val="00CD7962"/>
    <w:rsid w:val="00CD7A6D"/>
    <w:rsid w:val="00CE027F"/>
    <w:rsid w:val="00CE0347"/>
    <w:rsid w:val="00CE2606"/>
    <w:rsid w:val="00CE2955"/>
    <w:rsid w:val="00CE2C94"/>
    <w:rsid w:val="00CE3F8B"/>
    <w:rsid w:val="00CE3FCE"/>
    <w:rsid w:val="00CE4133"/>
    <w:rsid w:val="00CE418C"/>
    <w:rsid w:val="00CE4F10"/>
    <w:rsid w:val="00CE4F61"/>
    <w:rsid w:val="00CE5285"/>
    <w:rsid w:val="00CE52AE"/>
    <w:rsid w:val="00CE52E3"/>
    <w:rsid w:val="00CE542D"/>
    <w:rsid w:val="00CE5977"/>
    <w:rsid w:val="00CE6A71"/>
    <w:rsid w:val="00CE6BD3"/>
    <w:rsid w:val="00CE6E6B"/>
    <w:rsid w:val="00CE7F0A"/>
    <w:rsid w:val="00CF03DF"/>
    <w:rsid w:val="00CF0891"/>
    <w:rsid w:val="00CF1019"/>
    <w:rsid w:val="00CF289D"/>
    <w:rsid w:val="00CF38A8"/>
    <w:rsid w:val="00CF3AE3"/>
    <w:rsid w:val="00CF3F26"/>
    <w:rsid w:val="00CF44D0"/>
    <w:rsid w:val="00CF4D48"/>
    <w:rsid w:val="00CF60B7"/>
    <w:rsid w:val="00CF6166"/>
    <w:rsid w:val="00CF6F9A"/>
    <w:rsid w:val="00CF700C"/>
    <w:rsid w:val="00CF7F4E"/>
    <w:rsid w:val="00D002DC"/>
    <w:rsid w:val="00D0055C"/>
    <w:rsid w:val="00D00899"/>
    <w:rsid w:val="00D00C91"/>
    <w:rsid w:val="00D01C4A"/>
    <w:rsid w:val="00D01F75"/>
    <w:rsid w:val="00D02C8F"/>
    <w:rsid w:val="00D033B1"/>
    <w:rsid w:val="00D0348A"/>
    <w:rsid w:val="00D036CA"/>
    <w:rsid w:val="00D03F79"/>
    <w:rsid w:val="00D04139"/>
    <w:rsid w:val="00D0420A"/>
    <w:rsid w:val="00D04F20"/>
    <w:rsid w:val="00D06227"/>
    <w:rsid w:val="00D07269"/>
    <w:rsid w:val="00D075FC"/>
    <w:rsid w:val="00D0798B"/>
    <w:rsid w:val="00D100EF"/>
    <w:rsid w:val="00D10687"/>
    <w:rsid w:val="00D1081F"/>
    <w:rsid w:val="00D112D6"/>
    <w:rsid w:val="00D114A1"/>
    <w:rsid w:val="00D11ACC"/>
    <w:rsid w:val="00D11BE2"/>
    <w:rsid w:val="00D11CF1"/>
    <w:rsid w:val="00D13902"/>
    <w:rsid w:val="00D13BF9"/>
    <w:rsid w:val="00D13C45"/>
    <w:rsid w:val="00D1490D"/>
    <w:rsid w:val="00D14DF2"/>
    <w:rsid w:val="00D151D7"/>
    <w:rsid w:val="00D152AB"/>
    <w:rsid w:val="00D15975"/>
    <w:rsid w:val="00D15BE9"/>
    <w:rsid w:val="00D15E9C"/>
    <w:rsid w:val="00D16541"/>
    <w:rsid w:val="00D1657B"/>
    <w:rsid w:val="00D16DAD"/>
    <w:rsid w:val="00D170F8"/>
    <w:rsid w:val="00D17BC0"/>
    <w:rsid w:val="00D202E2"/>
    <w:rsid w:val="00D20AD3"/>
    <w:rsid w:val="00D20D2C"/>
    <w:rsid w:val="00D212BF"/>
    <w:rsid w:val="00D21C01"/>
    <w:rsid w:val="00D21D93"/>
    <w:rsid w:val="00D22700"/>
    <w:rsid w:val="00D22B77"/>
    <w:rsid w:val="00D22FA5"/>
    <w:rsid w:val="00D23119"/>
    <w:rsid w:val="00D23CB6"/>
    <w:rsid w:val="00D23CE0"/>
    <w:rsid w:val="00D25906"/>
    <w:rsid w:val="00D25F36"/>
    <w:rsid w:val="00D2606B"/>
    <w:rsid w:val="00D26462"/>
    <w:rsid w:val="00D264F4"/>
    <w:rsid w:val="00D267F4"/>
    <w:rsid w:val="00D27C6C"/>
    <w:rsid w:val="00D27F98"/>
    <w:rsid w:val="00D30D17"/>
    <w:rsid w:val="00D312EC"/>
    <w:rsid w:val="00D31407"/>
    <w:rsid w:val="00D31FDA"/>
    <w:rsid w:val="00D3245E"/>
    <w:rsid w:val="00D327C4"/>
    <w:rsid w:val="00D32831"/>
    <w:rsid w:val="00D348A6"/>
    <w:rsid w:val="00D34E97"/>
    <w:rsid w:val="00D35E45"/>
    <w:rsid w:val="00D36553"/>
    <w:rsid w:val="00D3691A"/>
    <w:rsid w:val="00D373AC"/>
    <w:rsid w:val="00D37485"/>
    <w:rsid w:val="00D37A83"/>
    <w:rsid w:val="00D37E2F"/>
    <w:rsid w:val="00D40A1F"/>
    <w:rsid w:val="00D40D31"/>
    <w:rsid w:val="00D40E01"/>
    <w:rsid w:val="00D414BC"/>
    <w:rsid w:val="00D4157A"/>
    <w:rsid w:val="00D415BC"/>
    <w:rsid w:val="00D41CDE"/>
    <w:rsid w:val="00D41F6D"/>
    <w:rsid w:val="00D42233"/>
    <w:rsid w:val="00D4368C"/>
    <w:rsid w:val="00D43B0E"/>
    <w:rsid w:val="00D43BF5"/>
    <w:rsid w:val="00D44BAB"/>
    <w:rsid w:val="00D44F5B"/>
    <w:rsid w:val="00D451FB"/>
    <w:rsid w:val="00D45A9C"/>
    <w:rsid w:val="00D45C5D"/>
    <w:rsid w:val="00D462ED"/>
    <w:rsid w:val="00D466E0"/>
    <w:rsid w:val="00D46FA6"/>
    <w:rsid w:val="00D47A9F"/>
    <w:rsid w:val="00D47C14"/>
    <w:rsid w:val="00D50224"/>
    <w:rsid w:val="00D517AF"/>
    <w:rsid w:val="00D5180C"/>
    <w:rsid w:val="00D54275"/>
    <w:rsid w:val="00D547DE"/>
    <w:rsid w:val="00D5501B"/>
    <w:rsid w:val="00D5548E"/>
    <w:rsid w:val="00D555B1"/>
    <w:rsid w:val="00D55949"/>
    <w:rsid w:val="00D55C4A"/>
    <w:rsid w:val="00D55FBF"/>
    <w:rsid w:val="00D5667D"/>
    <w:rsid w:val="00D56857"/>
    <w:rsid w:val="00D569B8"/>
    <w:rsid w:val="00D5700E"/>
    <w:rsid w:val="00D5752B"/>
    <w:rsid w:val="00D576E8"/>
    <w:rsid w:val="00D57777"/>
    <w:rsid w:val="00D5795B"/>
    <w:rsid w:val="00D60999"/>
    <w:rsid w:val="00D60F7F"/>
    <w:rsid w:val="00D6230D"/>
    <w:rsid w:val="00D6258A"/>
    <w:rsid w:val="00D626B0"/>
    <w:rsid w:val="00D635D4"/>
    <w:rsid w:val="00D64912"/>
    <w:rsid w:val="00D64C89"/>
    <w:rsid w:val="00D64D13"/>
    <w:rsid w:val="00D64F8B"/>
    <w:rsid w:val="00D65281"/>
    <w:rsid w:val="00D663CC"/>
    <w:rsid w:val="00D66589"/>
    <w:rsid w:val="00D666C0"/>
    <w:rsid w:val="00D66B13"/>
    <w:rsid w:val="00D66B80"/>
    <w:rsid w:val="00D679A6"/>
    <w:rsid w:val="00D7102F"/>
    <w:rsid w:val="00D714BA"/>
    <w:rsid w:val="00D71F30"/>
    <w:rsid w:val="00D71F61"/>
    <w:rsid w:val="00D72269"/>
    <w:rsid w:val="00D72AB2"/>
    <w:rsid w:val="00D733FA"/>
    <w:rsid w:val="00D74519"/>
    <w:rsid w:val="00D7473B"/>
    <w:rsid w:val="00D74AD8"/>
    <w:rsid w:val="00D74EAA"/>
    <w:rsid w:val="00D755BA"/>
    <w:rsid w:val="00D755D5"/>
    <w:rsid w:val="00D76436"/>
    <w:rsid w:val="00D77028"/>
    <w:rsid w:val="00D77A91"/>
    <w:rsid w:val="00D804B7"/>
    <w:rsid w:val="00D80AD2"/>
    <w:rsid w:val="00D80FE9"/>
    <w:rsid w:val="00D8126C"/>
    <w:rsid w:val="00D812F3"/>
    <w:rsid w:val="00D82D91"/>
    <w:rsid w:val="00D83249"/>
    <w:rsid w:val="00D836E5"/>
    <w:rsid w:val="00D84661"/>
    <w:rsid w:val="00D851A9"/>
    <w:rsid w:val="00D854BE"/>
    <w:rsid w:val="00D856BC"/>
    <w:rsid w:val="00D85BCD"/>
    <w:rsid w:val="00D861F0"/>
    <w:rsid w:val="00D86709"/>
    <w:rsid w:val="00D86824"/>
    <w:rsid w:val="00D86C13"/>
    <w:rsid w:val="00D86DC7"/>
    <w:rsid w:val="00D871B8"/>
    <w:rsid w:val="00D875FE"/>
    <w:rsid w:val="00D877D6"/>
    <w:rsid w:val="00D87C95"/>
    <w:rsid w:val="00D901FA"/>
    <w:rsid w:val="00D9053F"/>
    <w:rsid w:val="00D91283"/>
    <w:rsid w:val="00D91437"/>
    <w:rsid w:val="00D91924"/>
    <w:rsid w:val="00D919E9"/>
    <w:rsid w:val="00D91D14"/>
    <w:rsid w:val="00D91DC5"/>
    <w:rsid w:val="00D91EAB"/>
    <w:rsid w:val="00D91FCC"/>
    <w:rsid w:val="00D92574"/>
    <w:rsid w:val="00D92E3D"/>
    <w:rsid w:val="00D932E3"/>
    <w:rsid w:val="00D948C8"/>
    <w:rsid w:val="00D94BF5"/>
    <w:rsid w:val="00D94CBB"/>
    <w:rsid w:val="00D9503D"/>
    <w:rsid w:val="00D958CC"/>
    <w:rsid w:val="00D95FB4"/>
    <w:rsid w:val="00D967EA"/>
    <w:rsid w:val="00D96AE6"/>
    <w:rsid w:val="00D96D76"/>
    <w:rsid w:val="00D97AC7"/>
    <w:rsid w:val="00DA02D8"/>
    <w:rsid w:val="00DA08D3"/>
    <w:rsid w:val="00DA137D"/>
    <w:rsid w:val="00DA17F1"/>
    <w:rsid w:val="00DA182F"/>
    <w:rsid w:val="00DA19D3"/>
    <w:rsid w:val="00DA1B4D"/>
    <w:rsid w:val="00DA1C62"/>
    <w:rsid w:val="00DA3056"/>
    <w:rsid w:val="00DA3D61"/>
    <w:rsid w:val="00DA3F34"/>
    <w:rsid w:val="00DA40DC"/>
    <w:rsid w:val="00DA4EA4"/>
    <w:rsid w:val="00DA50A3"/>
    <w:rsid w:val="00DA5182"/>
    <w:rsid w:val="00DA589E"/>
    <w:rsid w:val="00DA5BAB"/>
    <w:rsid w:val="00DA5C8E"/>
    <w:rsid w:val="00DA622F"/>
    <w:rsid w:val="00DA62F1"/>
    <w:rsid w:val="00DA6703"/>
    <w:rsid w:val="00DA680D"/>
    <w:rsid w:val="00DA6BCD"/>
    <w:rsid w:val="00DA7058"/>
    <w:rsid w:val="00DA7897"/>
    <w:rsid w:val="00DA7914"/>
    <w:rsid w:val="00DA7B29"/>
    <w:rsid w:val="00DB03C5"/>
    <w:rsid w:val="00DB0B19"/>
    <w:rsid w:val="00DB1700"/>
    <w:rsid w:val="00DB1749"/>
    <w:rsid w:val="00DB1E30"/>
    <w:rsid w:val="00DB1FCE"/>
    <w:rsid w:val="00DB2023"/>
    <w:rsid w:val="00DB24E5"/>
    <w:rsid w:val="00DB257A"/>
    <w:rsid w:val="00DB28E7"/>
    <w:rsid w:val="00DB28EF"/>
    <w:rsid w:val="00DB2944"/>
    <w:rsid w:val="00DB2981"/>
    <w:rsid w:val="00DB2E40"/>
    <w:rsid w:val="00DB2F4B"/>
    <w:rsid w:val="00DB31F6"/>
    <w:rsid w:val="00DB32C7"/>
    <w:rsid w:val="00DB456D"/>
    <w:rsid w:val="00DB4BC6"/>
    <w:rsid w:val="00DB6380"/>
    <w:rsid w:val="00DB6DF8"/>
    <w:rsid w:val="00DB7331"/>
    <w:rsid w:val="00DB7683"/>
    <w:rsid w:val="00DC030A"/>
    <w:rsid w:val="00DC03F6"/>
    <w:rsid w:val="00DC0F14"/>
    <w:rsid w:val="00DC17D3"/>
    <w:rsid w:val="00DC1A0A"/>
    <w:rsid w:val="00DC1C35"/>
    <w:rsid w:val="00DC1F21"/>
    <w:rsid w:val="00DC3624"/>
    <w:rsid w:val="00DC4FC3"/>
    <w:rsid w:val="00DC5162"/>
    <w:rsid w:val="00DC5315"/>
    <w:rsid w:val="00DC55B3"/>
    <w:rsid w:val="00DC55FE"/>
    <w:rsid w:val="00DC6863"/>
    <w:rsid w:val="00DC730E"/>
    <w:rsid w:val="00DC79FD"/>
    <w:rsid w:val="00DD0210"/>
    <w:rsid w:val="00DD05B0"/>
    <w:rsid w:val="00DD1056"/>
    <w:rsid w:val="00DD208F"/>
    <w:rsid w:val="00DD2479"/>
    <w:rsid w:val="00DD29E8"/>
    <w:rsid w:val="00DD2E53"/>
    <w:rsid w:val="00DD35B5"/>
    <w:rsid w:val="00DD3A9B"/>
    <w:rsid w:val="00DD5424"/>
    <w:rsid w:val="00DD5495"/>
    <w:rsid w:val="00DD5777"/>
    <w:rsid w:val="00DD642A"/>
    <w:rsid w:val="00DD68EF"/>
    <w:rsid w:val="00DD6F8D"/>
    <w:rsid w:val="00DD730B"/>
    <w:rsid w:val="00DD7638"/>
    <w:rsid w:val="00DE023E"/>
    <w:rsid w:val="00DE02A0"/>
    <w:rsid w:val="00DE04F3"/>
    <w:rsid w:val="00DE07E8"/>
    <w:rsid w:val="00DE18E1"/>
    <w:rsid w:val="00DE1ADF"/>
    <w:rsid w:val="00DE1F3D"/>
    <w:rsid w:val="00DE200C"/>
    <w:rsid w:val="00DE2070"/>
    <w:rsid w:val="00DE345F"/>
    <w:rsid w:val="00DE3821"/>
    <w:rsid w:val="00DE41CB"/>
    <w:rsid w:val="00DE425A"/>
    <w:rsid w:val="00DE4552"/>
    <w:rsid w:val="00DE46A4"/>
    <w:rsid w:val="00DE498F"/>
    <w:rsid w:val="00DE4A10"/>
    <w:rsid w:val="00DE4A20"/>
    <w:rsid w:val="00DE4B5F"/>
    <w:rsid w:val="00DE4EE6"/>
    <w:rsid w:val="00DE54AE"/>
    <w:rsid w:val="00DE6088"/>
    <w:rsid w:val="00DE67CE"/>
    <w:rsid w:val="00DE716E"/>
    <w:rsid w:val="00DE7621"/>
    <w:rsid w:val="00DE7D94"/>
    <w:rsid w:val="00DF0720"/>
    <w:rsid w:val="00DF09CE"/>
    <w:rsid w:val="00DF0C9E"/>
    <w:rsid w:val="00DF2359"/>
    <w:rsid w:val="00DF3007"/>
    <w:rsid w:val="00DF377D"/>
    <w:rsid w:val="00DF46B6"/>
    <w:rsid w:val="00DF46CF"/>
    <w:rsid w:val="00DF488B"/>
    <w:rsid w:val="00DF4DB0"/>
    <w:rsid w:val="00DF4F6D"/>
    <w:rsid w:val="00DF51EF"/>
    <w:rsid w:val="00DF592B"/>
    <w:rsid w:val="00DF5A14"/>
    <w:rsid w:val="00DF61F9"/>
    <w:rsid w:val="00DF71CC"/>
    <w:rsid w:val="00DF7B4F"/>
    <w:rsid w:val="00E001C3"/>
    <w:rsid w:val="00E005F8"/>
    <w:rsid w:val="00E01A9B"/>
    <w:rsid w:val="00E02159"/>
    <w:rsid w:val="00E02483"/>
    <w:rsid w:val="00E0357F"/>
    <w:rsid w:val="00E04046"/>
    <w:rsid w:val="00E04107"/>
    <w:rsid w:val="00E0472B"/>
    <w:rsid w:val="00E05265"/>
    <w:rsid w:val="00E0554F"/>
    <w:rsid w:val="00E05902"/>
    <w:rsid w:val="00E06154"/>
    <w:rsid w:val="00E061D6"/>
    <w:rsid w:val="00E0681B"/>
    <w:rsid w:val="00E06E81"/>
    <w:rsid w:val="00E0711B"/>
    <w:rsid w:val="00E10189"/>
    <w:rsid w:val="00E10BE7"/>
    <w:rsid w:val="00E10F2D"/>
    <w:rsid w:val="00E112B5"/>
    <w:rsid w:val="00E115A1"/>
    <w:rsid w:val="00E11D24"/>
    <w:rsid w:val="00E11DB8"/>
    <w:rsid w:val="00E1202E"/>
    <w:rsid w:val="00E12346"/>
    <w:rsid w:val="00E13023"/>
    <w:rsid w:val="00E137E7"/>
    <w:rsid w:val="00E15260"/>
    <w:rsid w:val="00E15FB0"/>
    <w:rsid w:val="00E161FF"/>
    <w:rsid w:val="00E16221"/>
    <w:rsid w:val="00E1634C"/>
    <w:rsid w:val="00E16909"/>
    <w:rsid w:val="00E170FF"/>
    <w:rsid w:val="00E173D1"/>
    <w:rsid w:val="00E17F26"/>
    <w:rsid w:val="00E20264"/>
    <w:rsid w:val="00E202DF"/>
    <w:rsid w:val="00E20342"/>
    <w:rsid w:val="00E20E84"/>
    <w:rsid w:val="00E20E9A"/>
    <w:rsid w:val="00E21276"/>
    <w:rsid w:val="00E22268"/>
    <w:rsid w:val="00E229A3"/>
    <w:rsid w:val="00E22B0E"/>
    <w:rsid w:val="00E2444F"/>
    <w:rsid w:val="00E24B30"/>
    <w:rsid w:val="00E24D6C"/>
    <w:rsid w:val="00E24EC8"/>
    <w:rsid w:val="00E25112"/>
    <w:rsid w:val="00E2559F"/>
    <w:rsid w:val="00E25B62"/>
    <w:rsid w:val="00E25C35"/>
    <w:rsid w:val="00E25E29"/>
    <w:rsid w:val="00E26517"/>
    <w:rsid w:val="00E265E5"/>
    <w:rsid w:val="00E26692"/>
    <w:rsid w:val="00E26B4B"/>
    <w:rsid w:val="00E26C00"/>
    <w:rsid w:val="00E26C09"/>
    <w:rsid w:val="00E26E14"/>
    <w:rsid w:val="00E271E6"/>
    <w:rsid w:val="00E2749C"/>
    <w:rsid w:val="00E27A0C"/>
    <w:rsid w:val="00E308F1"/>
    <w:rsid w:val="00E31912"/>
    <w:rsid w:val="00E32031"/>
    <w:rsid w:val="00E322D7"/>
    <w:rsid w:val="00E3249C"/>
    <w:rsid w:val="00E32F84"/>
    <w:rsid w:val="00E33724"/>
    <w:rsid w:val="00E33BB6"/>
    <w:rsid w:val="00E346F3"/>
    <w:rsid w:val="00E34CCA"/>
    <w:rsid w:val="00E34EC0"/>
    <w:rsid w:val="00E35C57"/>
    <w:rsid w:val="00E35FEB"/>
    <w:rsid w:val="00E36417"/>
    <w:rsid w:val="00E36D52"/>
    <w:rsid w:val="00E3701F"/>
    <w:rsid w:val="00E3717A"/>
    <w:rsid w:val="00E40F35"/>
    <w:rsid w:val="00E41032"/>
    <w:rsid w:val="00E42E9C"/>
    <w:rsid w:val="00E4328E"/>
    <w:rsid w:val="00E43543"/>
    <w:rsid w:val="00E43F2A"/>
    <w:rsid w:val="00E44C18"/>
    <w:rsid w:val="00E44E2E"/>
    <w:rsid w:val="00E45A03"/>
    <w:rsid w:val="00E45C7E"/>
    <w:rsid w:val="00E45CCE"/>
    <w:rsid w:val="00E460B7"/>
    <w:rsid w:val="00E462BA"/>
    <w:rsid w:val="00E467CD"/>
    <w:rsid w:val="00E4746F"/>
    <w:rsid w:val="00E47DE0"/>
    <w:rsid w:val="00E50ADB"/>
    <w:rsid w:val="00E51469"/>
    <w:rsid w:val="00E528DE"/>
    <w:rsid w:val="00E5321F"/>
    <w:rsid w:val="00E532DB"/>
    <w:rsid w:val="00E533F7"/>
    <w:rsid w:val="00E537D3"/>
    <w:rsid w:val="00E54288"/>
    <w:rsid w:val="00E55323"/>
    <w:rsid w:val="00E55351"/>
    <w:rsid w:val="00E557C0"/>
    <w:rsid w:val="00E55819"/>
    <w:rsid w:val="00E55D29"/>
    <w:rsid w:val="00E55FBC"/>
    <w:rsid w:val="00E5611F"/>
    <w:rsid w:val="00E562B4"/>
    <w:rsid w:val="00E56774"/>
    <w:rsid w:val="00E56BCE"/>
    <w:rsid w:val="00E56DE2"/>
    <w:rsid w:val="00E57B13"/>
    <w:rsid w:val="00E57BBF"/>
    <w:rsid w:val="00E60366"/>
    <w:rsid w:val="00E60C93"/>
    <w:rsid w:val="00E61C54"/>
    <w:rsid w:val="00E631B0"/>
    <w:rsid w:val="00E6323C"/>
    <w:rsid w:val="00E63264"/>
    <w:rsid w:val="00E633FF"/>
    <w:rsid w:val="00E63494"/>
    <w:rsid w:val="00E634B0"/>
    <w:rsid w:val="00E6350E"/>
    <w:rsid w:val="00E63749"/>
    <w:rsid w:val="00E63D35"/>
    <w:rsid w:val="00E63D82"/>
    <w:rsid w:val="00E640AE"/>
    <w:rsid w:val="00E64A7A"/>
    <w:rsid w:val="00E64E41"/>
    <w:rsid w:val="00E65C74"/>
    <w:rsid w:val="00E67119"/>
    <w:rsid w:val="00E700D4"/>
    <w:rsid w:val="00E70508"/>
    <w:rsid w:val="00E7090C"/>
    <w:rsid w:val="00E70CFB"/>
    <w:rsid w:val="00E70D43"/>
    <w:rsid w:val="00E72534"/>
    <w:rsid w:val="00E72A69"/>
    <w:rsid w:val="00E731CA"/>
    <w:rsid w:val="00E731E2"/>
    <w:rsid w:val="00E73558"/>
    <w:rsid w:val="00E73DF3"/>
    <w:rsid w:val="00E750AA"/>
    <w:rsid w:val="00E751BD"/>
    <w:rsid w:val="00E75878"/>
    <w:rsid w:val="00E75954"/>
    <w:rsid w:val="00E76CD3"/>
    <w:rsid w:val="00E76E8C"/>
    <w:rsid w:val="00E77179"/>
    <w:rsid w:val="00E77357"/>
    <w:rsid w:val="00E773FD"/>
    <w:rsid w:val="00E80100"/>
    <w:rsid w:val="00E805F2"/>
    <w:rsid w:val="00E809D2"/>
    <w:rsid w:val="00E80A59"/>
    <w:rsid w:val="00E80D24"/>
    <w:rsid w:val="00E810FF"/>
    <w:rsid w:val="00E81294"/>
    <w:rsid w:val="00E81AE4"/>
    <w:rsid w:val="00E82ADB"/>
    <w:rsid w:val="00E82DB8"/>
    <w:rsid w:val="00E83061"/>
    <w:rsid w:val="00E832B8"/>
    <w:rsid w:val="00E84C77"/>
    <w:rsid w:val="00E84EDE"/>
    <w:rsid w:val="00E853B7"/>
    <w:rsid w:val="00E85578"/>
    <w:rsid w:val="00E85A35"/>
    <w:rsid w:val="00E86713"/>
    <w:rsid w:val="00E8682A"/>
    <w:rsid w:val="00E86FCE"/>
    <w:rsid w:val="00E87CFD"/>
    <w:rsid w:val="00E87EAA"/>
    <w:rsid w:val="00E87EFD"/>
    <w:rsid w:val="00E901C8"/>
    <w:rsid w:val="00E909DD"/>
    <w:rsid w:val="00E90FC9"/>
    <w:rsid w:val="00E913AA"/>
    <w:rsid w:val="00E9148D"/>
    <w:rsid w:val="00E9151D"/>
    <w:rsid w:val="00E916D3"/>
    <w:rsid w:val="00E919BF"/>
    <w:rsid w:val="00E91DD1"/>
    <w:rsid w:val="00E9205E"/>
    <w:rsid w:val="00E92438"/>
    <w:rsid w:val="00E9440A"/>
    <w:rsid w:val="00E94806"/>
    <w:rsid w:val="00E948C4"/>
    <w:rsid w:val="00E950DD"/>
    <w:rsid w:val="00E95BC4"/>
    <w:rsid w:val="00E95D94"/>
    <w:rsid w:val="00E9630E"/>
    <w:rsid w:val="00E96531"/>
    <w:rsid w:val="00E96675"/>
    <w:rsid w:val="00E96878"/>
    <w:rsid w:val="00E9724D"/>
    <w:rsid w:val="00EA02C4"/>
    <w:rsid w:val="00EA0FE5"/>
    <w:rsid w:val="00EA189D"/>
    <w:rsid w:val="00EA1B22"/>
    <w:rsid w:val="00EA1DF3"/>
    <w:rsid w:val="00EA24E1"/>
    <w:rsid w:val="00EA2DCF"/>
    <w:rsid w:val="00EA30F8"/>
    <w:rsid w:val="00EA3105"/>
    <w:rsid w:val="00EA34C0"/>
    <w:rsid w:val="00EA3E01"/>
    <w:rsid w:val="00EA3E84"/>
    <w:rsid w:val="00EA46E0"/>
    <w:rsid w:val="00EA4A37"/>
    <w:rsid w:val="00EA4AB6"/>
    <w:rsid w:val="00EA4F03"/>
    <w:rsid w:val="00EA5155"/>
    <w:rsid w:val="00EA62AE"/>
    <w:rsid w:val="00EA6A19"/>
    <w:rsid w:val="00EA6B1A"/>
    <w:rsid w:val="00EA6D77"/>
    <w:rsid w:val="00EA7164"/>
    <w:rsid w:val="00EB044B"/>
    <w:rsid w:val="00EB053A"/>
    <w:rsid w:val="00EB0E42"/>
    <w:rsid w:val="00EB11EE"/>
    <w:rsid w:val="00EB144F"/>
    <w:rsid w:val="00EB1F14"/>
    <w:rsid w:val="00EB2805"/>
    <w:rsid w:val="00EB2A2D"/>
    <w:rsid w:val="00EB2C40"/>
    <w:rsid w:val="00EB2EFE"/>
    <w:rsid w:val="00EB352C"/>
    <w:rsid w:val="00EB3945"/>
    <w:rsid w:val="00EB3A1C"/>
    <w:rsid w:val="00EB3B6A"/>
    <w:rsid w:val="00EB3BCF"/>
    <w:rsid w:val="00EB3C22"/>
    <w:rsid w:val="00EB3F58"/>
    <w:rsid w:val="00EB44BD"/>
    <w:rsid w:val="00EB4637"/>
    <w:rsid w:val="00EB4A04"/>
    <w:rsid w:val="00EB4BA8"/>
    <w:rsid w:val="00EB5FB7"/>
    <w:rsid w:val="00EB642B"/>
    <w:rsid w:val="00EB66C5"/>
    <w:rsid w:val="00EB694F"/>
    <w:rsid w:val="00EB6B2F"/>
    <w:rsid w:val="00EB6D2E"/>
    <w:rsid w:val="00EB72FB"/>
    <w:rsid w:val="00EB7854"/>
    <w:rsid w:val="00EC02B8"/>
    <w:rsid w:val="00EC0DB1"/>
    <w:rsid w:val="00EC1831"/>
    <w:rsid w:val="00EC228A"/>
    <w:rsid w:val="00EC27F3"/>
    <w:rsid w:val="00EC2B56"/>
    <w:rsid w:val="00EC2DC6"/>
    <w:rsid w:val="00EC3093"/>
    <w:rsid w:val="00EC341D"/>
    <w:rsid w:val="00EC4AA0"/>
    <w:rsid w:val="00EC4C55"/>
    <w:rsid w:val="00EC4E13"/>
    <w:rsid w:val="00EC4FBB"/>
    <w:rsid w:val="00EC5C21"/>
    <w:rsid w:val="00EC663F"/>
    <w:rsid w:val="00EC6828"/>
    <w:rsid w:val="00EC6A1A"/>
    <w:rsid w:val="00EC6C65"/>
    <w:rsid w:val="00EC7968"/>
    <w:rsid w:val="00EC7DFE"/>
    <w:rsid w:val="00ED00D1"/>
    <w:rsid w:val="00ED0125"/>
    <w:rsid w:val="00ED044C"/>
    <w:rsid w:val="00ED0A24"/>
    <w:rsid w:val="00ED0C0E"/>
    <w:rsid w:val="00ED0C32"/>
    <w:rsid w:val="00ED0CF2"/>
    <w:rsid w:val="00ED1AFA"/>
    <w:rsid w:val="00ED240A"/>
    <w:rsid w:val="00ED27DC"/>
    <w:rsid w:val="00ED2BE5"/>
    <w:rsid w:val="00ED3347"/>
    <w:rsid w:val="00ED36BF"/>
    <w:rsid w:val="00ED3CD0"/>
    <w:rsid w:val="00ED457A"/>
    <w:rsid w:val="00ED4E02"/>
    <w:rsid w:val="00ED51E2"/>
    <w:rsid w:val="00ED5F5F"/>
    <w:rsid w:val="00ED6304"/>
    <w:rsid w:val="00ED6369"/>
    <w:rsid w:val="00ED6D68"/>
    <w:rsid w:val="00ED6DBA"/>
    <w:rsid w:val="00ED7095"/>
    <w:rsid w:val="00ED74ED"/>
    <w:rsid w:val="00ED7EB5"/>
    <w:rsid w:val="00EE00EE"/>
    <w:rsid w:val="00EE046C"/>
    <w:rsid w:val="00EE0683"/>
    <w:rsid w:val="00EE072C"/>
    <w:rsid w:val="00EE0911"/>
    <w:rsid w:val="00EE0A89"/>
    <w:rsid w:val="00EE1AC9"/>
    <w:rsid w:val="00EE2DF0"/>
    <w:rsid w:val="00EE3501"/>
    <w:rsid w:val="00EE35EF"/>
    <w:rsid w:val="00EE4AE9"/>
    <w:rsid w:val="00EE4DC3"/>
    <w:rsid w:val="00EE4F75"/>
    <w:rsid w:val="00EE5476"/>
    <w:rsid w:val="00EE574D"/>
    <w:rsid w:val="00EE5874"/>
    <w:rsid w:val="00EE5B98"/>
    <w:rsid w:val="00EE6A92"/>
    <w:rsid w:val="00EE6C5D"/>
    <w:rsid w:val="00EE6ED8"/>
    <w:rsid w:val="00EE70EC"/>
    <w:rsid w:val="00EE7164"/>
    <w:rsid w:val="00EE7BA3"/>
    <w:rsid w:val="00EF027A"/>
    <w:rsid w:val="00EF11B3"/>
    <w:rsid w:val="00EF14A2"/>
    <w:rsid w:val="00EF16E4"/>
    <w:rsid w:val="00EF18F0"/>
    <w:rsid w:val="00EF2246"/>
    <w:rsid w:val="00EF24C1"/>
    <w:rsid w:val="00EF28B7"/>
    <w:rsid w:val="00EF29BC"/>
    <w:rsid w:val="00EF2EAB"/>
    <w:rsid w:val="00EF31EC"/>
    <w:rsid w:val="00EF328D"/>
    <w:rsid w:val="00EF362D"/>
    <w:rsid w:val="00EF4251"/>
    <w:rsid w:val="00EF45CE"/>
    <w:rsid w:val="00EF477E"/>
    <w:rsid w:val="00EF48F1"/>
    <w:rsid w:val="00EF4A55"/>
    <w:rsid w:val="00EF4C98"/>
    <w:rsid w:val="00EF5012"/>
    <w:rsid w:val="00EF52D8"/>
    <w:rsid w:val="00EF5379"/>
    <w:rsid w:val="00EF553D"/>
    <w:rsid w:val="00EF5AC4"/>
    <w:rsid w:val="00EF5C05"/>
    <w:rsid w:val="00EF5D46"/>
    <w:rsid w:val="00EF6661"/>
    <w:rsid w:val="00EF782F"/>
    <w:rsid w:val="00EF7931"/>
    <w:rsid w:val="00EF7C67"/>
    <w:rsid w:val="00F005D9"/>
    <w:rsid w:val="00F00D4F"/>
    <w:rsid w:val="00F011B3"/>
    <w:rsid w:val="00F019C8"/>
    <w:rsid w:val="00F01C62"/>
    <w:rsid w:val="00F02142"/>
    <w:rsid w:val="00F023CC"/>
    <w:rsid w:val="00F02FD1"/>
    <w:rsid w:val="00F02FE0"/>
    <w:rsid w:val="00F03523"/>
    <w:rsid w:val="00F03643"/>
    <w:rsid w:val="00F037DD"/>
    <w:rsid w:val="00F03C01"/>
    <w:rsid w:val="00F050EF"/>
    <w:rsid w:val="00F05BA5"/>
    <w:rsid w:val="00F05C7B"/>
    <w:rsid w:val="00F05E9C"/>
    <w:rsid w:val="00F05F63"/>
    <w:rsid w:val="00F0651B"/>
    <w:rsid w:val="00F07357"/>
    <w:rsid w:val="00F07A21"/>
    <w:rsid w:val="00F07B4E"/>
    <w:rsid w:val="00F07BC1"/>
    <w:rsid w:val="00F10870"/>
    <w:rsid w:val="00F11CEA"/>
    <w:rsid w:val="00F11ED7"/>
    <w:rsid w:val="00F12021"/>
    <w:rsid w:val="00F12155"/>
    <w:rsid w:val="00F1347B"/>
    <w:rsid w:val="00F134DC"/>
    <w:rsid w:val="00F13FFB"/>
    <w:rsid w:val="00F15CA8"/>
    <w:rsid w:val="00F15CB9"/>
    <w:rsid w:val="00F15E7C"/>
    <w:rsid w:val="00F1607A"/>
    <w:rsid w:val="00F160E6"/>
    <w:rsid w:val="00F161FC"/>
    <w:rsid w:val="00F162B2"/>
    <w:rsid w:val="00F1677F"/>
    <w:rsid w:val="00F16D99"/>
    <w:rsid w:val="00F1740C"/>
    <w:rsid w:val="00F174B0"/>
    <w:rsid w:val="00F17A8F"/>
    <w:rsid w:val="00F204DC"/>
    <w:rsid w:val="00F21418"/>
    <w:rsid w:val="00F214DF"/>
    <w:rsid w:val="00F217A7"/>
    <w:rsid w:val="00F222D2"/>
    <w:rsid w:val="00F22C31"/>
    <w:rsid w:val="00F22F52"/>
    <w:rsid w:val="00F23096"/>
    <w:rsid w:val="00F23384"/>
    <w:rsid w:val="00F2384F"/>
    <w:rsid w:val="00F245C4"/>
    <w:rsid w:val="00F24F57"/>
    <w:rsid w:val="00F2565E"/>
    <w:rsid w:val="00F25DD8"/>
    <w:rsid w:val="00F2612A"/>
    <w:rsid w:val="00F26751"/>
    <w:rsid w:val="00F26F04"/>
    <w:rsid w:val="00F2752C"/>
    <w:rsid w:val="00F2784F"/>
    <w:rsid w:val="00F27C52"/>
    <w:rsid w:val="00F27E69"/>
    <w:rsid w:val="00F30265"/>
    <w:rsid w:val="00F316E8"/>
    <w:rsid w:val="00F32FFF"/>
    <w:rsid w:val="00F3323B"/>
    <w:rsid w:val="00F34984"/>
    <w:rsid w:val="00F34E0A"/>
    <w:rsid w:val="00F3551B"/>
    <w:rsid w:val="00F3694A"/>
    <w:rsid w:val="00F36F89"/>
    <w:rsid w:val="00F36FDF"/>
    <w:rsid w:val="00F37778"/>
    <w:rsid w:val="00F37A2B"/>
    <w:rsid w:val="00F37C4A"/>
    <w:rsid w:val="00F37EBC"/>
    <w:rsid w:val="00F400C6"/>
    <w:rsid w:val="00F40141"/>
    <w:rsid w:val="00F40788"/>
    <w:rsid w:val="00F41014"/>
    <w:rsid w:val="00F41264"/>
    <w:rsid w:val="00F41523"/>
    <w:rsid w:val="00F41618"/>
    <w:rsid w:val="00F416AB"/>
    <w:rsid w:val="00F42272"/>
    <w:rsid w:val="00F4367A"/>
    <w:rsid w:val="00F438C8"/>
    <w:rsid w:val="00F43955"/>
    <w:rsid w:val="00F43B93"/>
    <w:rsid w:val="00F442B4"/>
    <w:rsid w:val="00F4471D"/>
    <w:rsid w:val="00F448C6"/>
    <w:rsid w:val="00F44D66"/>
    <w:rsid w:val="00F456A1"/>
    <w:rsid w:val="00F46318"/>
    <w:rsid w:val="00F47ADE"/>
    <w:rsid w:val="00F5079E"/>
    <w:rsid w:val="00F50A0D"/>
    <w:rsid w:val="00F50DCA"/>
    <w:rsid w:val="00F5103C"/>
    <w:rsid w:val="00F511BB"/>
    <w:rsid w:val="00F51539"/>
    <w:rsid w:val="00F51700"/>
    <w:rsid w:val="00F5172B"/>
    <w:rsid w:val="00F51949"/>
    <w:rsid w:val="00F51ADD"/>
    <w:rsid w:val="00F52449"/>
    <w:rsid w:val="00F528BE"/>
    <w:rsid w:val="00F52965"/>
    <w:rsid w:val="00F530EE"/>
    <w:rsid w:val="00F53D78"/>
    <w:rsid w:val="00F541C3"/>
    <w:rsid w:val="00F5497E"/>
    <w:rsid w:val="00F54B9D"/>
    <w:rsid w:val="00F55492"/>
    <w:rsid w:val="00F554CF"/>
    <w:rsid w:val="00F55C77"/>
    <w:rsid w:val="00F55D46"/>
    <w:rsid w:val="00F55E8B"/>
    <w:rsid w:val="00F56143"/>
    <w:rsid w:val="00F564DF"/>
    <w:rsid w:val="00F5664F"/>
    <w:rsid w:val="00F572A1"/>
    <w:rsid w:val="00F5766E"/>
    <w:rsid w:val="00F57827"/>
    <w:rsid w:val="00F57CEF"/>
    <w:rsid w:val="00F57E1E"/>
    <w:rsid w:val="00F60018"/>
    <w:rsid w:val="00F60069"/>
    <w:rsid w:val="00F611AD"/>
    <w:rsid w:val="00F61811"/>
    <w:rsid w:val="00F61E66"/>
    <w:rsid w:val="00F62599"/>
    <w:rsid w:val="00F62675"/>
    <w:rsid w:val="00F62D2D"/>
    <w:rsid w:val="00F62FC3"/>
    <w:rsid w:val="00F6310E"/>
    <w:rsid w:val="00F63A3D"/>
    <w:rsid w:val="00F644E5"/>
    <w:rsid w:val="00F6481D"/>
    <w:rsid w:val="00F64DA8"/>
    <w:rsid w:val="00F653AA"/>
    <w:rsid w:val="00F65D22"/>
    <w:rsid w:val="00F6634B"/>
    <w:rsid w:val="00F67B60"/>
    <w:rsid w:val="00F7023E"/>
    <w:rsid w:val="00F706D5"/>
    <w:rsid w:val="00F70D99"/>
    <w:rsid w:val="00F71132"/>
    <w:rsid w:val="00F71197"/>
    <w:rsid w:val="00F713CF"/>
    <w:rsid w:val="00F717BA"/>
    <w:rsid w:val="00F719DA"/>
    <w:rsid w:val="00F72740"/>
    <w:rsid w:val="00F72F13"/>
    <w:rsid w:val="00F72F9A"/>
    <w:rsid w:val="00F731B1"/>
    <w:rsid w:val="00F73686"/>
    <w:rsid w:val="00F73E22"/>
    <w:rsid w:val="00F740E9"/>
    <w:rsid w:val="00F7456A"/>
    <w:rsid w:val="00F75473"/>
    <w:rsid w:val="00F757CA"/>
    <w:rsid w:val="00F76DAA"/>
    <w:rsid w:val="00F76DD7"/>
    <w:rsid w:val="00F76FC1"/>
    <w:rsid w:val="00F778DD"/>
    <w:rsid w:val="00F80870"/>
    <w:rsid w:val="00F80D4C"/>
    <w:rsid w:val="00F811BA"/>
    <w:rsid w:val="00F821B8"/>
    <w:rsid w:val="00F821CB"/>
    <w:rsid w:val="00F822D1"/>
    <w:rsid w:val="00F825AE"/>
    <w:rsid w:val="00F82FB5"/>
    <w:rsid w:val="00F83664"/>
    <w:rsid w:val="00F83AEE"/>
    <w:rsid w:val="00F84BBB"/>
    <w:rsid w:val="00F8548C"/>
    <w:rsid w:val="00F855B9"/>
    <w:rsid w:val="00F85A3F"/>
    <w:rsid w:val="00F86A3B"/>
    <w:rsid w:val="00F86DE6"/>
    <w:rsid w:val="00F86E3B"/>
    <w:rsid w:val="00F87AB3"/>
    <w:rsid w:val="00F87B1C"/>
    <w:rsid w:val="00F87E87"/>
    <w:rsid w:val="00F9055E"/>
    <w:rsid w:val="00F909FA"/>
    <w:rsid w:val="00F91430"/>
    <w:rsid w:val="00F914BB"/>
    <w:rsid w:val="00F916DF"/>
    <w:rsid w:val="00F91911"/>
    <w:rsid w:val="00F91B4A"/>
    <w:rsid w:val="00F92134"/>
    <w:rsid w:val="00F922BA"/>
    <w:rsid w:val="00F9236F"/>
    <w:rsid w:val="00F9287B"/>
    <w:rsid w:val="00F92D14"/>
    <w:rsid w:val="00F92FB1"/>
    <w:rsid w:val="00F9365F"/>
    <w:rsid w:val="00F9416A"/>
    <w:rsid w:val="00F9431F"/>
    <w:rsid w:val="00F95592"/>
    <w:rsid w:val="00F95E5A"/>
    <w:rsid w:val="00F96225"/>
    <w:rsid w:val="00F96702"/>
    <w:rsid w:val="00F96FB3"/>
    <w:rsid w:val="00F97B44"/>
    <w:rsid w:val="00F97BE1"/>
    <w:rsid w:val="00F97C60"/>
    <w:rsid w:val="00FA0256"/>
    <w:rsid w:val="00FA0490"/>
    <w:rsid w:val="00FA0913"/>
    <w:rsid w:val="00FA161F"/>
    <w:rsid w:val="00FA190B"/>
    <w:rsid w:val="00FA1D9A"/>
    <w:rsid w:val="00FA20E6"/>
    <w:rsid w:val="00FA2C5F"/>
    <w:rsid w:val="00FA3C76"/>
    <w:rsid w:val="00FA4075"/>
    <w:rsid w:val="00FA493E"/>
    <w:rsid w:val="00FA5FD9"/>
    <w:rsid w:val="00FA691B"/>
    <w:rsid w:val="00FA69BE"/>
    <w:rsid w:val="00FA74D9"/>
    <w:rsid w:val="00FB0C13"/>
    <w:rsid w:val="00FB15D4"/>
    <w:rsid w:val="00FB198E"/>
    <w:rsid w:val="00FB1A92"/>
    <w:rsid w:val="00FB1CD1"/>
    <w:rsid w:val="00FB2279"/>
    <w:rsid w:val="00FB256F"/>
    <w:rsid w:val="00FB2CBA"/>
    <w:rsid w:val="00FB2EF5"/>
    <w:rsid w:val="00FB3D68"/>
    <w:rsid w:val="00FB3FEE"/>
    <w:rsid w:val="00FB5CDE"/>
    <w:rsid w:val="00FB5DF0"/>
    <w:rsid w:val="00FB5E65"/>
    <w:rsid w:val="00FB6824"/>
    <w:rsid w:val="00FB7561"/>
    <w:rsid w:val="00FB7A5E"/>
    <w:rsid w:val="00FB7E70"/>
    <w:rsid w:val="00FC073B"/>
    <w:rsid w:val="00FC094F"/>
    <w:rsid w:val="00FC09A3"/>
    <w:rsid w:val="00FC0FA1"/>
    <w:rsid w:val="00FC134F"/>
    <w:rsid w:val="00FC196E"/>
    <w:rsid w:val="00FC298D"/>
    <w:rsid w:val="00FC2A92"/>
    <w:rsid w:val="00FC2C42"/>
    <w:rsid w:val="00FC2D8C"/>
    <w:rsid w:val="00FC329E"/>
    <w:rsid w:val="00FC37F6"/>
    <w:rsid w:val="00FC3C36"/>
    <w:rsid w:val="00FC4428"/>
    <w:rsid w:val="00FC4689"/>
    <w:rsid w:val="00FC4FDA"/>
    <w:rsid w:val="00FC65C0"/>
    <w:rsid w:val="00FC65E3"/>
    <w:rsid w:val="00FC6DA1"/>
    <w:rsid w:val="00FC6F2C"/>
    <w:rsid w:val="00FC719B"/>
    <w:rsid w:val="00FC7883"/>
    <w:rsid w:val="00FC789D"/>
    <w:rsid w:val="00FC7907"/>
    <w:rsid w:val="00FD02E4"/>
    <w:rsid w:val="00FD0586"/>
    <w:rsid w:val="00FD1284"/>
    <w:rsid w:val="00FD1D13"/>
    <w:rsid w:val="00FD2BDB"/>
    <w:rsid w:val="00FD2DEB"/>
    <w:rsid w:val="00FD40EC"/>
    <w:rsid w:val="00FD43E8"/>
    <w:rsid w:val="00FD4781"/>
    <w:rsid w:val="00FD4F9F"/>
    <w:rsid w:val="00FD542C"/>
    <w:rsid w:val="00FD6CA4"/>
    <w:rsid w:val="00FD705A"/>
    <w:rsid w:val="00FD7170"/>
    <w:rsid w:val="00FD7D7A"/>
    <w:rsid w:val="00FD7E7B"/>
    <w:rsid w:val="00FE014A"/>
    <w:rsid w:val="00FE042B"/>
    <w:rsid w:val="00FE1045"/>
    <w:rsid w:val="00FE1279"/>
    <w:rsid w:val="00FE1FA9"/>
    <w:rsid w:val="00FE2323"/>
    <w:rsid w:val="00FE2959"/>
    <w:rsid w:val="00FE2B4E"/>
    <w:rsid w:val="00FE2D8B"/>
    <w:rsid w:val="00FE2F23"/>
    <w:rsid w:val="00FE321F"/>
    <w:rsid w:val="00FE3A83"/>
    <w:rsid w:val="00FE3C6C"/>
    <w:rsid w:val="00FE3C9B"/>
    <w:rsid w:val="00FE3EC4"/>
    <w:rsid w:val="00FE3F6A"/>
    <w:rsid w:val="00FE4D64"/>
    <w:rsid w:val="00FE4EEC"/>
    <w:rsid w:val="00FE5AEA"/>
    <w:rsid w:val="00FE659D"/>
    <w:rsid w:val="00FE6ECD"/>
    <w:rsid w:val="00FE759F"/>
    <w:rsid w:val="00FE7A7E"/>
    <w:rsid w:val="00FE7D5A"/>
    <w:rsid w:val="00FF002D"/>
    <w:rsid w:val="00FF0106"/>
    <w:rsid w:val="00FF075B"/>
    <w:rsid w:val="00FF0E24"/>
    <w:rsid w:val="00FF0E4C"/>
    <w:rsid w:val="00FF0E58"/>
    <w:rsid w:val="00FF1911"/>
    <w:rsid w:val="00FF1994"/>
    <w:rsid w:val="00FF1F44"/>
    <w:rsid w:val="00FF2DF2"/>
    <w:rsid w:val="00FF2ECA"/>
    <w:rsid w:val="00FF30D1"/>
    <w:rsid w:val="00FF3382"/>
    <w:rsid w:val="00FF3CA5"/>
    <w:rsid w:val="00FF42BB"/>
    <w:rsid w:val="00FF46AF"/>
    <w:rsid w:val="00FF53C3"/>
    <w:rsid w:val="00FF72D8"/>
    <w:rsid w:val="00FF7732"/>
    <w:rsid w:val="00FF7758"/>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D53EC3"/>
  <w15:docId w15:val="{B54958B5-8132-4143-90A7-3673429C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662A"/>
    <w:pPr>
      <w:spacing w:after="120"/>
    </w:pPr>
    <w:rPr>
      <w:rFonts w:asciiTheme="minorHAnsi" w:hAnsiTheme="minorHAnsi"/>
      <w:sz w:val="24"/>
      <w:szCs w:val="24"/>
    </w:rPr>
  </w:style>
  <w:style w:type="paragraph" w:styleId="Nadpis1">
    <w:name w:val="heading 1"/>
    <w:basedOn w:val="Normln"/>
    <w:next w:val="Normln"/>
    <w:qFormat/>
    <w:rsid w:val="008124D7"/>
    <w:pPr>
      <w:keepNext/>
      <w:keepLines/>
      <w:suppressAutoHyphens/>
      <w:overflowPunct w:val="0"/>
      <w:autoSpaceDE w:val="0"/>
      <w:autoSpaceDN w:val="0"/>
      <w:adjustRightInd w:val="0"/>
      <w:spacing w:before="240"/>
      <w:jc w:val="both"/>
      <w:textAlignment w:val="baseline"/>
      <w:outlineLvl w:val="0"/>
    </w:pPr>
    <w:rPr>
      <w:b/>
      <w:kern w:val="36"/>
      <w:sz w:val="28"/>
      <w:szCs w:val="20"/>
    </w:rPr>
  </w:style>
  <w:style w:type="paragraph" w:styleId="Nadpis2">
    <w:name w:val="heading 2"/>
    <w:basedOn w:val="Normln"/>
    <w:next w:val="Normln"/>
    <w:qFormat/>
    <w:rsid w:val="00DE425A"/>
    <w:pPr>
      <w:keepNext/>
      <w:spacing w:before="240" w:after="60"/>
      <w:outlineLvl w:val="1"/>
    </w:pPr>
    <w:rPr>
      <w:b/>
      <w:bCs/>
      <w:iCs/>
      <w:szCs w:val="28"/>
    </w:rPr>
  </w:style>
  <w:style w:type="paragraph" w:styleId="Nadpis3">
    <w:name w:val="heading 3"/>
    <w:basedOn w:val="Normln"/>
    <w:next w:val="Normln"/>
    <w:uiPriority w:val="9"/>
    <w:qFormat/>
    <w:rsid w:val="00306984"/>
    <w:pPr>
      <w:keepNext/>
      <w:keepLines/>
      <w:spacing w:before="240"/>
      <w:ind w:left="425" w:hanging="425"/>
      <w:outlineLvl w:val="2"/>
    </w:pPr>
    <w:rPr>
      <w:b/>
      <w:bCs/>
      <w:u w:val="single"/>
    </w:rPr>
  </w:style>
  <w:style w:type="paragraph" w:styleId="Nadpis4">
    <w:name w:val="heading 4"/>
    <w:basedOn w:val="Normln"/>
    <w:next w:val="Normln"/>
    <w:qFormat/>
    <w:rsid w:val="00306984"/>
    <w:pPr>
      <w:keepNext/>
      <w:spacing w:before="120" w:after="60"/>
      <w:outlineLvl w:val="3"/>
    </w:pPr>
    <w:rPr>
      <w:rFonts w:ascii="Calibri" w:hAnsi="Calibri"/>
      <w:b/>
      <w:bCs/>
      <w:szCs w:val="28"/>
    </w:rPr>
  </w:style>
  <w:style w:type="paragraph" w:styleId="Nadpis5">
    <w:name w:val="heading 5"/>
    <w:basedOn w:val="Normln"/>
    <w:next w:val="Normln"/>
    <w:qFormat/>
    <w:rsid w:val="00A03BE7"/>
    <w:pPr>
      <w:spacing w:before="120" w:after="60"/>
      <w:outlineLvl w:val="4"/>
    </w:pPr>
    <w:rPr>
      <w:rFonts w:ascii="Calibri" w:hAnsi="Calibri"/>
      <w:bCs/>
      <w:i/>
      <w:iCs/>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iPriority w:val="99"/>
    <w:unhideWhenUsed/>
    <w:rsid w:val="00074A01"/>
    <w:pPr>
      <w:ind w:left="283"/>
    </w:pPr>
  </w:style>
  <w:style w:type="character" w:customStyle="1" w:styleId="ZkladntextodsazenChar">
    <w:name w:val="Základní text odsazený Char"/>
    <w:basedOn w:val="Standardnpsmoodstavce"/>
    <w:uiPriority w:val="99"/>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aliases w:val="Boston 10,Char,Char Char Char1,Char1,Font: Geneva 9,Fußnotentextf,Geneva 9,Podrozdzia3,Podrozdział,Schriftart: 10 pt,Schriftart: 8 pt,Schriftart: 9 pt,Text pozn. pod čarou1,Text poznámky pod čiarou 007,f,fn,o,pozn. pod čarou,Fußnote"/>
    <w:basedOn w:val="Normln"/>
    <w:uiPriority w:val="99"/>
    <w:unhideWhenUsed/>
    <w:qFormat/>
    <w:rsid w:val="00074A01"/>
    <w:rPr>
      <w:sz w:val="20"/>
      <w:szCs w:val="20"/>
    </w:rPr>
  </w:style>
  <w:style w:type="character" w:customStyle="1" w:styleId="TextpoznpodarouChar">
    <w:name w:val="Text pozn. pod čarou Char"/>
    <w:aliases w:val="Footnote Char,Fußnotentextf Char,Geneva 9 Char,Podrozdzia3 Char,Podrozdział Char,Schriftart: 10 pt Char,Schriftart: 8 pt Char,Schriftart: 9 pt Char,Text poznámky pod čiarou 007 Char,fn Char,fn Char1,pozn. pod čarou Char"/>
    <w:basedOn w:val="Standardnpsmoodstavce"/>
    <w:uiPriority w:val="99"/>
    <w:rsid w:val="00074A01"/>
  </w:style>
  <w:style w:type="character" w:styleId="Znakapoznpodarou">
    <w:name w:val="footnote reference"/>
    <w:aliases w:val="12 b.,Appel note de bas de p,Appel note de bas de page,BVI fnr,Char Car Car Car Car,Footnote,Footnote Reference Superscript,Footnote call,Footnote symbol,Légende,PGI Fußnote Ziffer,PGI Fußnote Ziffer + Times New Roman,Zúžené o ..."/>
    <w:basedOn w:val="Standardnpsmoodstavce"/>
    <w:link w:val="BVIfnrCharChar"/>
    <w:uiPriority w:val="99"/>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aliases w:val="List Paragraph_0,List Paragraph_0_0,List Paragraph_1,Nadpis pro KZ,Odstavec se seznamem1,Odstavec se seznamem2,Odstavec_muj,odrážky,Nad,List Paragraph,Odstavec cíl se seznamem,Odstavec se seznamem5,Odrážky,Dot pt,Indicator Text,Nad1"/>
    <w:basedOn w:val="Normln"/>
    <w:link w:val="OdstavecseseznamemChar"/>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unhideWhenUsed/>
    <w:rsid w:val="00B667E8"/>
    <w:rPr>
      <w:sz w:val="20"/>
      <w:szCs w:val="20"/>
    </w:rPr>
  </w:style>
  <w:style w:type="character" w:customStyle="1" w:styleId="TextkomenteChar">
    <w:name w:val="Text komentáře Char"/>
    <w:basedOn w:val="Standardnpsmoodstavce"/>
    <w:link w:val="Textkomente"/>
    <w:uiPriority w:val="99"/>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39"/>
    <w:rsid w:val="00803A70"/>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7A253E"/>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E67B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Standardnpsmoodstavce"/>
    <w:rsid w:val="003163D4"/>
  </w:style>
  <w:style w:type="paragraph" w:styleId="Normlnweb">
    <w:name w:val="Normal (Web)"/>
    <w:basedOn w:val="Normln"/>
    <w:uiPriority w:val="99"/>
    <w:unhideWhenUsed/>
    <w:rsid w:val="003163D4"/>
    <w:pPr>
      <w:spacing w:before="100" w:beforeAutospacing="1" w:after="100" w:afterAutospacing="1"/>
    </w:pPr>
    <w:rPr>
      <w:rFonts w:ascii="Times New Roman" w:hAnsi="Times New Roman"/>
    </w:rPr>
  </w:style>
  <w:style w:type="character" w:styleId="Siln">
    <w:name w:val="Strong"/>
    <w:basedOn w:val="Standardnpsmoodstavce"/>
    <w:uiPriority w:val="22"/>
    <w:qFormat/>
    <w:rsid w:val="003163D4"/>
    <w:rPr>
      <w:b/>
      <w:bCs/>
    </w:rPr>
  </w:style>
  <w:style w:type="paragraph" w:styleId="Textvysvtlivek">
    <w:name w:val="endnote text"/>
    <w:basedOn w:val="Normln"/>
    <w:link w:val="TextvysvtlivekChar"/>
    <w:uiPriority w:val="99"/>
    <w:semiHidden/>
    <w:unhideWhenUsed/>
    <w:rsid w:val="00667B99"/>
    <w:rPr>
      <w:sz w:val="20"/>
      <w:szCs w:val="20"/>
    </w:rPr>
  </w:style>
  <w:style w:type="character" w:customStyle="1" w:styleId="TextvysvtlivekChar">
    <w:name w:val="Text vysvětlivek Char"/>
    <w:basedOn w:val="Standardnpsmoodstavce"/>
    <w:link w:val="Textvysvtlivek"/>
    <w:uiPriority w:val="99"/>
    <w:semiHidden/>
    <w:rsid w:val="00667B99"/>
    <w:rPr>
      <w:rFonts w:ascii="Arial" w:hAnsi="Arial"/>
    </w:rPr>
  </w:style>
  <w:style w:type="character" w:styleId="Odkaznavysvtlivky">
    <w:name w:val="endnote reference"/>
    <w:basedOn w:val="Standardnpsmoodstavce"/>
    <w:uiPriority w:val="99"/>
    <w:semiHidden/>
    <w:unhideWhenUsed/>
    <w:rsid w:val="00667B99"/>
    <w:rPr>
      <w:vertAlign w:val="superscript"/>
    </w:rPr>
  </w:style>
  <w:style w:type="character" w:customStyle="1" w:styleId="A0">
    <w:name w:val="A0"/>
    <w:uiPriority w:val="99"/>
    <w:rsid w:val="00AD28AE"/>
    <w:rPr>
      <w:rFonts w:cs="Myriad Pro"/>
      <w:b/>
      <w:bCs/>
      <w:color w:val="000000"/>
      <w:sz w:val="26"/>
      <w:szCs w:val="26"/>
    </w:rPr>
  </w:style>
  <w:style w:type="character" w:customStyle="1" w:styleId="A2">
    <w:name w:val="A2"/>
    <w:uiPriority w:val="99"/>
    <w:rsid w:val="00AD28AE"/>
    <w:rPr>
      <w:rFonts w:cs="Myriad Pro"/>
      <w:b/>
      <w:bCs/>
      <w:color w:val="000000"/>
      <w:sz w:val="44"/>
      <w:szCs w:val="44"/>
    </w:rPr>
  </w:style>
  <w:style w:type="character" w:customStyle="1" w:styleId="st1">
    <w:name w:val="st1"/>
    <w:basedOn w:val="Standardnpsmoodstavce"/>
    <w:rsid w:val="009858DF"/>
  </w:style>
  <w:style w:type="character" w:customStyle="1" w:styleId="tgc">
    <w:name w:val="_tgc"/>
    <w:basedOn w:val="Standardnpsmoodstavce"/>
    <w:rsid w:val="00FC2078"/>
  </w:style>
  <w:style w:type="paragraph" w:styleId="Nzev">
    <w:name w:val="Title"/>
    <w:basedOn w:val="Normln"/>
    <w:link w:val="NzevChar"/>
    <w:qFormat/>
    <w:rsid w:val="008D4B89"/>
    <w:pPr>
      <w:jc w:val="center"/>
    </w:pPr>
    <w:rPr>
      <w:rFonts w:ascii="Times New Roman" w:hAnsi="Times New Roman"/>
      <w:sz w:val="28"/>
      <w:szCs w:val="28"/>
    </w:rPr>
  </w:style>
  <w:style w:type="character" w:customStyle="1" w:styleId="NzevChar">
    <w:name w:val="Název Char"/>
    <w:basedOn w:val="Standardnpsmoodstavce"/>
    <w:link w:val="Nzev"/>
    <w:rsid w:val="008D4B89"/>
    <w:rPr>
      <w:sz w:val="28"/>
      <w:szCs w:val="28"/>
    </w:rPr>
  </w:style>
  <w:style w:type="paragraph" w:customStyle="1" w:styleId="Pa18">
    <w:name w:val="Pa18"/>
    <w:basedOn w:val="Default"/>
    <w:next w:val="Default"/>
    <w:rsid w:val="009E75B5"/>
    <w:pPr>
      <w:spacing w:line="211" w:lineRule="atLeast"/>
    </w:pPr>
    <w:rPr>
      <w:rFonts w:cs="Times New Roman"/>
      <w:color w:val="auto"/>
    </w:rPr>
  </w:style>
  <w:style w:type="character" w:customStyle="1" w:styleId="A14">
    <w:name w:val="A14"/>
    <w:rsid w:val="009E75B5"/>
    <w:rPr>
      <w:rFonts w:cs="Calibri"/>
      <w:b/>
      <w:bCs/>
      <w:color w:val="000000"/>
      <w:sz w:val="54"/>
      <w:szCs w:val="54"/>
    </w:rPr>
  </w:style>
  <w:style w:type="character" w:customStyle="1" w:styleId="A15">
    <w:name w:val="A15"/>
    <w:rsid w:val="009E75B5"/>
    <w:rPr>
      <w:rFonts w:cs="Calibri"/>
      <w:color w:val="000000"/>
      <w:sz w:val="36"/>
      <w:szCs w:val="36"/>
    </w:rPr>
  </w:style>
  <w:style w:type="paragraph" w:customStyle="1" w:styleId="Pa19">
    <w:name w:val="Pa19"/>
    <w:basedOn w:val="Default"/>
    <w:next w:val="Default"/>
    <w:rsid w:val="009E75B5"/>
    <w:pPr>
      <w:spacing w:line="211" w:lineRule="atLeast"/>
    </w:pPr>
    <w:rPr>
      <w:rFonts w:cs="Times New Roman"/>
      <w:color w:val="auto"/>
    </w:rPr>
  </w:style>
  <w:style w:type="paragraph" w:customStyle="1" w:styleId="Pa6">
    <w:name w:val="Pa6"/>
    <w:basedOn w:val="Default"/>
    <w:next w:val="Default"/>
    <w:uiPriority w:val="99"/>
    <w:rsid w:val="007D792B"/>
    <w:pPr>
      <w:spacing w:line="211" w:lineRule="atLeast"/>
    </w:pPr>
    <w:rPr>
      <w:rFonts w:cs="Times New Roman"/>
      <w:color w:val="auto"/>
    </w:rPr>
  </w:style>
  <w:style w:type="character" w:customStyle="1" w:styleId="A12">
    <w:name w:val="A12"/>
    <w:uiPriority w:val="99"/>
    <w:rsid w:val="007D792B"/>
    <w:rPr>
      <w:rFonts w:cs="Calibri"/>
      <w:b/>
      <w:bCs/>
      <w:color w:val="000000"/>
      <w:sz w:val="34"/>
      <w:szCs w:val="34"/>
    </w:rPr>
  </w:style>
  <w:style w:type="paragraph" w:customStyle="1" w:styleId="Pa16">
    <w:name w:val="Pa16"/>
    <w:basedOn w:val="Default"/>
    <w:next w:val="Default"/>
    <w:uiPriority w:val="99"/>
    <w:rsid w:val="007D792B"/>
    <w:pPr>
      <w:spacing w:line="211" w:lineRule="atLeast"/>
    </w:pPr>
    <w:rPr>
      <w:rFonts w:cs="Times New Roman"/>
      <w:color w:val="auto"/>
    </w:rPr>
  </w:style>
  <w:style w:type="character" w:customStyle="1" w:styleId="A13">
    <w:name w:val="A13"/>
    <w:uiPriority w:val="99"/>
    <w:rsid w:val="007D792B"/>
    <w:rPr>
      <w:rFonts w:ascii="Arial" w:hAnsi="Arial" w:cs="Arial"/>
      <w:b/>
      <w:bCs/>
      <w:color w:val="000000"/>
      <w:sz w:val="19"/>
      <w:szCs w:val="19"/>
    </w:rPr>
  </w:style>
  <w:style w:type="character" w:customStyle="1" w:styleId="OdstavecseseznamemChar">
    <w:name w:val="Odstavec se seznamem Char"/>
    <w:aliases w:val="List Paragraph_0 Char,List Paragraph_0_0 Char,List Paragraph_1 Char,Nadpis pro KZ Char,Odstavec se seznamem1 Char,Odstavec se seznamem2 Char,Odstavec_muj Char,odrážky Char,Nad Char,List Paragraph Char,Odstavec se seznamem5 Char"/>
    <w:link w:val="Odstavecseseznamem"/>
    <w:uiPriority w:val="34"/>
    <w:qFormat/>
    <w:rsid w:val="00F92FB1"/>
    <w:rPr>
      <w:rFonts w:ascii="Arial" w:hAnsi="Arial"/>
      <w:sz w:val="24"/>
      <w:szCs w:val="24"/>
    </w:rPr>
  </w:style>
  <w:style w:type="paragraph" w:styleId="Titulek">
    <w:name w:val="caption"/>
    <w:basedOn w:val="Normln"/>
    <w:next w:val="Normln"/>
    <w:uiPriority w:val="35"/>
    <w:unhideWhenUsed/>
    <w:qFormat/>
    <w:rsid w:val="00F92FB1"/>
    <w:pPr>
      <w:spacing w:after="200"/>
    </w:pPr>
    <w:rPr>
      <w:rFonts w:ascii="Times New Roman" w:hAnsi="Times New Roman"/>
      <w:i/>
      <w:iCs/>
      <w:color w:val="1F497D" w:themeColor="text2"/>
      <w:sz w:val="18"/>
      <w:szCs w:val="18"/>
      <w:lang w:eastAsia="en-US"/>
    </w:rPr>
  </w:style>
  <w:style w:type="paragraph" w:customStyle="1" w:styleId="Odstavec">
    <w:name w:val="Odstavec"/>
    <w:basedOn w:val="Normln"/>
    <w:rsid w:val="0033626F"/>
    <w:pPr>
      <w:spacing w:before="120"/>
      <w:ind w:firstLine="709"/>
      <w:jc w:val="both"/>
    </w:pPr>
    <w:rPr>
      <w:rFonts w:ascii="Times New Roman" w:hAnsi="Times New Roman"/>
      <w:szCs w:val="20"/>
    </w:rPr>
  </w:style>
  <w:style w:type="paragraph" w:customStyle="1" w:styleId="l3">
    <w:name w:val="l3"/>
    <w:basedOn w:val="Normln"/>
    <w:rsid w:val="00542313"/>
    <w:pPr>
      <w:spacing w:before="100" w:beforeAutospacing="1" w:after="100" w:afterAutospacing="1"/>
    </w:pPr>
    <w:rPr>
      <w:rFonts w:ascii="Times New Roman" w:hAnsi="Times New Roman"/>
    </w:rPr>
  </w:style>
  <w:style w:type="paragraph" w:customStyle="1" w:styleId="l2">
    <w:name w:val="l2"/>
    <w:basedOn w:val="Normln"/>
    <w:rsid w:val="00542313"/>
    <w:pPr>
      <w:spacing w:before="100" w:beforeAutospacing="1" w:after="100" w:afterAutospacing="1"/>
    </w:pPr>
    <w:rPr>
      <w:rFonts w:ascii="Times New Roman" w:hAnsi="Times New Roman"/>
    </w:rPr>
  </w:style>
  <w:style w:type="paragraph" w:customStyle="1" w:styleId="l4">
    <w:name w:val="l4"/>
    <w:basedOn w:val="Normln"/>
    <w:rsid w:val="00542313"/>
    <w:pPr>
      <w:spacing w:before="100" w:beforeAutospacing="1" w:after="100" w:afterAutospacing="1"/>
    </w:pPr>
    <w:rPr>
      <w:rFonts w:ascii="Times New Roman" w:hAnsi="Times New Roman"/>
    </w:rPr>
  </w:style>
  <w:style w:type="character" w:styleId="PromnnHTML">
    <w:name w:val="HTML Variable"/>
    <w:basedOn w:val="Standardnpsmoodstavce"/>
    <w:uiPriority w:val="99"/>
    <w:semiHidden/>
    <w:unhideWhenUsed/>
    <w:rsid w:val="00542313"/>
    <w:rPr>
      <w:i/>
      <w:iCs/>
    </w:rPr>
  </w:style>
  <w:style w:type="character" w:styleId="Zdraznn">
    <w:name w:val="Emphasis"/>
    <w:basedOn w:val="Standardnpsmoodstavce"/>
    <w:uiPriority w:val="20"/>
    <w:qFormat/>
    <w:rsid w:val="00512467"/>
    <w:rPr>
      <w:b/>
      <w:bCs/>
      <w:i w:val="0"/>
      <w:iCs w:val="0"/>
    </w:rPr>
  </w:style>
  <w:style w:type="paragraph" w:customStyle="1" w:styleId="l1">
    <w:name w:val="l1"/>
    <w:basedOn w:val="Normln"/>
    <w:rsid w:val="003D41C0"/>
    <w:pPr>
      <w:spacing w:before="100" w:beforeAutospacing="1" w:after="100" w:afterAutospacing="1"/>
    </w:pPr>
    <w:rPr>
      <w:rFonts w:ascii="Times New Roman" w:hAnsi="Times New Roman"/>
    </w:rPr>
  </w:style>
  <w:style w:type="character" w:customStyle="1" w:styleId="aural">
    <w:name w:val="aural"/>
    <w:basedOn w:val="Standardnpsmoodstavce"/>
    <w:rsid w:val="00E43543"/>
  </w:style>
  <w:style w:type="paragraph" w:customStyle="1" w:styleId="KPnormln">
    <w:name w:val="KP normální"/>
    <w:basedOn w:val="Normln"/>
    <w:link w:val="KPnormlnChar"/>
    <w:qFormat/>
    <w:rsid w:val="00C50799"/>
    <w:pPr>
      <w:spacing w:before="120"/>
      <w:ind w:firstLine="720"/>
      <w:jc w:val="both"/>
    </w:pPr>
    <w:rPr>
      <w:rFonts w:cstheme="minorHAnsi"/>
      <w:color w:val="000000"/>
      <w:szCs w:val="22"/>
      <w:lang w:eastAsia="en-US"/>
    </w:rPr>
  </w:style>
  <w:style w:type="character" w:customStyle="1" w:styleId="KPnormlnChar">
    <w:name w:val="KP normální Char"/>
    <w:basedOn w:val="Standardnpsmoodstavce"/>
    <w:link w:val="KPnormln"/>
    <w:rsid w:val="00C50799"/>
    <w:rPr>
      <w:rFonts w:asciiTheme="minorHAnsi" w:hAnsiTheme="minorHAnsi" w:cstheme="minorHAnsi"/>
      <w:color w:val="000000"/>
      <w:sz w:val="24"/>
      <w:szCs w:val="22"/>
      <w:lang w:eastAsia="en-US"/>
    </w:rPr>
  </w:style>
  <w:style w:type="table" w:customStyle="1" w:styleId="Mkatabulky2">
    <w:name w:val="Mřížka tabulky2"/>
    <w:basedOn w:val="Normlntabulka"/>
    <w:next w:val="Mkatabulky"/>
    <w:uiPriority w:val="39"/>
    <w:rsid w:val="00B63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A5B09"/>
    <w:rPr>
      <w:color w:val="800080" w:themeColor="followedHyperlink"/>
      <w:u w:val="single"/>
    </w:rPr>
  </w:style>
  <w:style w:type="paragraph" w:customStyle="1" w:styleId="Pa25">
    <w:name w:val="Pa25"/>
    <w:basedOn w:val="Default"/>
    <w:next w:val="Default"/>
    <w:uiPriority w:val="99"/>
    <w:rsid w:val="0005565A"/>
    <w:pPr>
      <w:spacing w:line="261" w:lineRule="atLeast"/>
    </w:pPr>
    <w:rPr>
      <w:rFonts w:ascii="Myriad Pro" w:hAnsi="Myriad Pro" w:cs="Times New Roman"/>
      <w:color w:val="auto"/>
    </w:rPr>
  </w:style>
  <w:style w:type="character" w:customStyle="1" w:styleId="A1">
    <w:name w:val="A1"/>
    <w:uiPriority w:val="99"/>
    <w:rsid w:val="0067386D"/>
    <w:rPr>
      <w:color w:val="000000"/>
      <w:sz w:val="28"/>
      <w:szCs w:val="28"/>
    </w:rPr>
  </w:style>
  <w:style w:type="character" w:customStyle="1" w:styleId="A5">
    <w:name w:val="A5"/>
    <w:uiPriority w:val="99"/>
    <w:rsid w:val="0067386D"/>
    <w:rPr>
      <w:b/>
      <w:bCs/>
      <w:color w:val="000000"/>
      <w:sz w:val="40"/>
      <w:szCs w:val="40"/>
    </w:rPr>
  </w:style>
  <w:style w:type="paragraph" w:customStyle="1" w:styleId="Text">
    <w:name w:val="Text"/>
    <w:basedOn w:val="Normln"/>
    <w:link w:val="TextChar"/>
    <w:qFormat/>
    <w:rsid w:val="001E2774"/>
    <w:pPr>
      <w:spacing w:before="120" w:after="0"/>
      <w:jc w:val="both"/>
    </w:pPr>
    <w:rPr>
      <w:rFonts w:eastAsiaTheme="minorHAnsi" w:cstheme="minorHAnsi"/>
      <w:lang w:eastAsia="en-US"/>
    </w:rPr>
  </w:style>
  <w:style w:type="character" w:customStyle="1" w:styleId="TextChar">
    <w:name w:val="Text Char"/>
    <w:basedOn w:val="Standardnpsmoodstavce"/>
    <w:link w:val="Text"/>
    <w:rsid w:val="001E2774"/>
    <w:rPr>
      <w:rFonts w:asciiTheme="minorHAnsi" w:eastAsiaTheme="minorHAnsi" w:hAnsiTheme="minorHAnsi" w:cstheme="minorHAnsi"/>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F24F57"/>
    <w:pPr>
      <w:spacing w:after="160" w:line="240" w:lineRule="exact"/>
      <w:jc w:val="both"/>
    </w:pPr>
    <w:rPr>
      <w:rFonts w:ascii="Times New Roman" w:hAnsi="Times New Roman"/>
      <w:sz w:val="20"/>
      <w:szCs w:val="20"/>
      <w:vertAlign w:val="superscript"/>
    </w:rPr>
  </w:style>
  <w:style w:type="paragraph" w:customStyle="1" w:styleId="l5">
    <w:name w:val="l5"/>
    <w:basedOn w:val="Normln"/>
    <w:rsid w:val="00733BD8"/>
    <w:pPr>
      <w:spacing w:before="100" w:beforeAutospacing="1" w:after="100" w:afterAutospacing="1"/>
    </w:pPr>
    <w:rPr>
      <w:rFonts w:ascii="Times New Roman" w:hAnsi="Times New Roman"/>
    </w:rPr>
  </w:style>
  <w:style w:type="paragraph" w:customStyle="1" w:styleId="kp-normlntun">
    <w:name w:val="kp-normlntun"/>
    <w:basedOn w:val="Normln"/>
    <w:rsid w:val="00EF2EAB"/>
    <w:pPr>
      <w:jc w:val="both"/>
    </w:pPr>
    <w:rPr>
      <w:rFonts w:ascii="Calibri" w:eastAsiaTheme="minorHAnsi" w:hAnsi="Calibri" w:cs="Calibri"/>
      <w:b/>
      <w:bCs/>
    </w:rPr>
  </w:style>
  <w:style w:type="paragraph" w:customStyle="1" w:styleId="KP-normlntun0">
    <w:name w:val="KP-normální tučně"/>
    <w:basedOn w:val="Normln"/>
    <w:qFormat/>
    <w:rsid w:val="00EF2EAB"/>
    <w:pPr>
      <w:spacing w:before="120"/>
      <w:jc w:val="both"/>
    </w:pPr>
    <w:rPr>
      <w:rFonts w:cstheme="minorHAns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102">
      <w:bodyDiv w:val="1"/>
      <w:marLeft w:val="0"/>
      <w:marRight w:val="0"/>
      <w:marTop w:val="0"/>
      <w:marBottom w:val="0"/>
      <w:divBdr>
        <w:top w:val="none" w:sz="0" w:space="0" w:color="auto"/>
        <w:left w:val="none" w:sz="0" w:space="0" w:color="auto"/>
        <w:bottom w:val="none" w:sz="0" w:space="0" w:color="auto"/>
        <w:right w:val="none" w:sz="0" w:space="0" w:color="auto"/>
      </w:divBdr>
    </w:div>
    <w:div w:id="20086584">
      <w:bodyDiv w:val="1"/>
      <w:marLeft w:val="0"/>
      <w:marRight w:val="0"/>
      <w:marTop w:val="0"/>
      <w:marBottom w:val="0"/>
      <w:divBdr>
        <w:top w:val="none" w:sz="0" w:space="0" w:color="auto"/>
        <w:left w:val="none" w:sz="0" w:space="0" w:color="auto"/>
        <w:bottom w:val="none" w:sz="0" w:space="0" w:color="auto"/>
        <w:right w:val="none" w:sz="0" w:space="0" w:color="auto"/>
      </w:divBdr>
    </w:div>
    <w:div w:id="101191386">
      <w:bodyDiv w:val="1"/>
      <w:marLeft w:val="0"/>
      <w:marRight w:val="0"/>
      <w:marTop w:val="0"/>
      <w:marBottom w:val="0"/>
      <w:divBdr>
        <w:top w:val="none" w:sz="0" w:space="0" w:color="auto"/>
        <w:left w:val="none" w:sz="0" w:space="0" w:color="auto"/>
        <w:bottom w:val="none" w:sz="0" w:space="0" w:color="auto"/>
        <w:right w:val="none" w:sz="0" w:space="0" w:color="auto"/>
      </w:divBdr>
    </w:div>
    <w:div w:id="122578026">
      <w:bodyDiv w:val="1"/>
      <w:marLeft w:val="0"/>
      <w:marRight w:val="0"/>
      <w:marTop w:val="0"/>
      <w:marBottom w:val="0"/>
      <w:divBdr>
        <w:top w:val="none" w:sz="0" w:space="0" w:color="auto"/>
        <w:left w:val="none" w:sz="0" w:space="0" w:color="auto"/>
        <w:bottom w:val="none" w:sz="0" w:space="0" w:color="auto"/>
        <w:right w:val="none" w:sz="0" w:space="0" w:color="auto"/>
      </w:divBdr>
    </w:div>
    <w:div w:id="138305546">
      <w:bodyDiv w:val="1"/>
      <w:marLeft w:val="0"/>
      <w:marRight w:val="0"/>
      <w:marTop w:val="0"/>
      <w:marBottom w:val="0"/>
      <w:divBdr>
        <w:top w:val="none" w:sz="0" w:space="0" w:color="auto"/>
        <w:left w:val="none" w:sz="0" w:space="0" w:color="auto"/>
        <w:bottom w:val="none" w:sz="0" w:space="0" w:color="auto"/>
        <w:right w:val="none" w:sz="0" w:space="0" w:color="auto"/>
      </w:divBdr>
    </w:div>
    <w:div w:id="249049571">
      <w:bodyDiv w:val="1"/>
      <w:marLeft w:val="0"/>
      <w:marRight w:val="0"/>
      <w:marTop w:val="0"/>
      <w:marBottom w:val="0"/>
      <w:divBdr>
        <w:top w:val="none" w:sz="0" w:space="0" w:color="auto"/>
        <w:left w:val="none" w:sz="0" w:space="0" w:color="auto"/>
        <w:bottom w:val="none" w:sz="0" w:space="0" w:color="auto"/>
        <w:right w:val="none" w:sz="0" w:space="0" w:color="auto"/>
      </w:divBdr>
    </w:div>
    <w:div w:id="305547228">
      <w:bodyDiv w:val="1"/>
      <w:marLeft w:val="0"/>
      <w:marRight w:val="0"/>
      <w:marTop w:val="0"/>
      <w:marBottom w:val="0"/>
      <w:divBdr>
        <w:top w:val="none" w:sz="0" w:space="0" w:color="auto"/>
        <w:left w:val="none" w:sz="0" w:space="0" w:color="auto"/>
        <w:bottom w:val="none" w:sz="0" w:space="0" w:color="auto"/>
        <w:right w:val="none" w:sz="0" w:space="0" w:color="auto"/>
      </w:divBdr>
    </w:div>
    <w:div w:id="346062272">
      <w:bodyDiv w:val="1"/>
      <w:marLeft w:val="0"/>
      <w:marRight w:val="0"/>
      <w:marTop w:val="0"/>
      <w:marBottom w:val="0"/>
      <w:divBdr>
        <w:top w:val="none" w:sz="0" w:space="0" w:color="auto"/>
        <w:left w:val="none" w:sz="0" w:space="0" w:color="auto"/>
        <w:bottom w:val="none" w:sz="0" w:space="0" w:color="auto"/>
        <w:right w:val="none" w:sz="0" w:space="0" w:color="auto"/>
      </w:divBdr>
    </w:div>
    <w:div w:id="433405522">
      <w:bodyDiv w:val="1"/>
      <w:marLeft w:val="0"/>
      <w:marRight w:val="0"/>
      <w:marTop w:val="0"/>
      <w:marBottom w:val="0"/>
      <w:divBdr>
        <w:top w:val="none" w:sz="0" w:space="0" w:color="auto"/>
        <w:left w:val="none" w:sz="0" w:space="0" w:color="auto"/>
        <w:bottom w:val="none" w:sz="0" w:space="0" w:color="auto"/>
        <w:right w:val="none" w:sz="0" w:space="0" w:color="auto"/>
      </w:divBdr>
    </w:div>
    <w:div w:id="497044624">
      <w:bodyDiv w:val="1"/>
      <w:marLeft w:val="0"/>
      <w:marRight w:val="0"/>
      <w:marTop w:val="0"/>
      <w:marBottom w:val="0"/>
      <w:divBdr>
        <w:top w:val="none" w:sz="0" w:space="0" w:color="auto"/>
        <w:left w:val="none" w:sz="0" w:space="0" w:color="auto"/>
        <w:bottom w:val="none" w:sz="0" w:space="0" w:color="auto"/>
        <w:right w:val="none" w:sz="0" w:space="0" w:color="auto"/>
      </w:divBdr>
    </w:div>
    <w:div w:id="588579954">
      <w:bodyDiv w:val="1"/>
      <w:marLeft w:val="0"/>
      <w:marRight w:val="0"/>
      <w:marTop w:val="0"/>
      <w:marBottom w:val="0"/>
      <w:divBdr>
        <w:top w:val="none" w:sz="0" w:space="0" w:color="auto"/>
        <w:left w:val="none" w:sz="0" w:space="0" w:color="auto"/>
        <w:bottom w:val="none" w:sz="0" w:space="0" w:color="auto"/>
        <w:right w:val="none" w:sz="0" w:space="0" w:color="auto"/>
      </w:divBdr>
    </w:div>
    <w:div w:id="594943742">
      <w:bodyDiv w:val="1"/>
      <w:marLeft w:val="0"/>
      <w:marRight w:val="0"/>
      <w:marTop w:val="0"/>
      <w:marBottom w:val="0"/>
      <w:divBdr>
        <w:top w:val="none" w:sz="0" w:space="0" w:color="auto"/>
        <w:left w:val="none" w:sz="0" w:space="0" w:color="auto"/>
        <w:bottom w:val="none" w:sz="0" w:space="0" w:color="auto"/>
        <w:right w:val="none" w:sz="0" w:space="0" w:color="auto"/>
      </w:divBdr>
    </w:div>
    <w:div w:id="611210066">
      <w:bodyDiv w:val="1"/>
      <w:marLeft w:val="0"/>
      <w:marRight w:val="0"/>
      <w:marTop w:val="0"/>
      <w:marBottom w:val="0"/>
      <w:divBdr>
        <w:top w:val="none" w:sz="0" w:space="0" w:color="auto"/>
        <w:left w:val="none" w:sz="0" w:space="0" w:color="auto"/>
        <w:bottom w:val="none" w:sz="0" w:space="0" w:color="auto"/>
        <w:right w:val="none" w:sz="0" w:space="0" w:color="auto"/>
      </w:divBdr>
    </w:div>
    <w:div w:id="617688375">
      <w:bodyDiv w:val="1"/>
      <w:marLeft w:val="0"/>
      <w:marRight w:val="0"/>
      <w:marTop w:val="0"/>
      <w:marBottom w:val="0"/>
      <w:divBdr>
        <w:top w:val="none" w:sz="0" w:space="0" w:color="auto"/>
        <w:left w:val="none" w:sz="0" w:space="0" w:color="auto"/>
        <w:bottom w:val="none" w:sz="0" w:space="0" w:color="auto"/>
        <w:right w:val="none" w:sz="0" w:space="0" w:color="auto"/>
      </w:divBdr>
    </w:div>
    <w:div w:id="666401527">
      <w:bodyDiv w:val="1"/>
      <w:marLeft w:val="0"/>
      <w:marRight w:val="0"/>
      <w:marTop w:val="0"/>
      <w:marBottom w:val="0"/>
      <w:divBdr>
        <w:top w:val="none" w:sz="0" w:space="0" w:color="auto"/>
        <w:left w:val="none" w:sz="0" w:space="0" w:color="auto"/>
        <w:bottom w:val="none" w:sz="0" w:space="0" w:color="auto"/>
        <w:right w:val="none" w:sz="0" w:space="0" w:color="auto"/>
      </w:divBdr>
    </w:div>
    <w:div w:id="752512461">
      <w:bodyDiv w:val="1"/>
      <w:marLeft w:val="0"/>
      <w:marRight w:val="0"/>
      <w:marTop w:val="0"/>
      <w:marBottom w:val="0"/>
      <w:divBdr>
        <w:top w:val="none" w:sz="0" w:space="0" w:color="auto"/>
        <w:left w:val="none" w:sz="0" w:space="0" w:color="auto"/>
        <w:bottom w:val="none" w:sz="0" w:space="0" w:color="auto"/>
        <w:right w:val="none" w:sz="0" w:space="0" w:color="auto"/>
      </w:divBdr>
    </w:div>
    <w:div w:id="810564419">
      <w:bodyDiv w:val="1"/>
      <w:marLeft w:val="0"/>
      <w:marRight w:val="0"/>
      <w:marTop w:val="0"/>
      <w:marBottom w:val="0"/>
      <w:divBdr>
        <w:top w:val="none" w:sz="0" w:space="0" w:color="auto"/>
        <w:left w:val="none" w:sz="0" w:space="0" w:color="auto"/>
        <w:bottom w:val="none" w:sz="0" w:space="0" w:color="auto"/>
        <w:right w:val="none" w:sz="0" w:space="0" w:color="auto"/>
      </w:divBdr>
    </w:div>
    <w:div w:id="819738455">
      <w:bodyDiv w:val="1"/>
      <w:marLeft w:val="0"/>
      <w:marRight w:val="0"/>
      <w:marTop w:val="0"/>
      <w:marBottom w:val="0"/>
      <w:divBdr>
        <w:top w:val="none" w:sz="0" w:space="0" w:color="auto"/>
        <w:left w:val="none" w:sz="0" w:space="0" w:color="auto"/>
        <w:bottom w:val="none" w:sz="0" w:space="0" w:color="auto"/>
        <w:right w:val="none" w:sz="0" w:space="0" w:color="auto"/>
      </w:divBdr>
    </w:div>
    <w:div w:id="953705350">
      <w:bodyDiv w:val="1"/>
      <w:marLeft w:val="0"/>
      <w:marRight w:val="0"/>
      <w:marTop w:val="0"/>
      <w:marBottom w:val="0"/>
      <w:divBdr>
        <w:top w:val="none" w:sz="0" w:space="0" w:color="auto"/>
        <w:left w:val="none" w:sz="0" w:space="0" w:color="auto"/>
        <w:bottom w:val="none" w:sz="0" w:space="0" w:color="auto"/>
        <w:right w:val="none" w:sz="0" w:space="0" w:color="auto"/>
      </w:divBdr>
    </w:div>
    <w:div w:id="1048342183">
      <w:bodyDiv w:val="1"/>
      <w:marLeft w:val="0"/>
      <w:marRight w:val="0"/>
      <w:marTop w:val="0"/>
      <w:marBottom w:val="0"/>
      <w:divBdr>
        <w:top w:val="none" w:sz="0" w:space="0" w:color="auto"/>
        <w:left w:val="none" w:sz="0" w:space="0" w:color="auto"/>
        <w:bottom w:val="none" w:sz="0" w:space="0" w:color="auto"/>
        <w:right w:val="none" w:sz="0" w:space="0" w:color="auto"/>
      </w:divBdr>
    </w:div>
    <w:div w:id="1049304999">
      <w:bodyDiv w:val="1"/>
      <w:marLeft w:val="0"/>
      <w:marRight w:val="0"/>
      <w:marTop w:val="0"/>
      <w:marBottom w:val="0"/>
      <w:divBdr>
        <w:top w:val="none" w:sz="0" w:space="0" w:color="auto"/>
        <w:left w:val="none" w:sz="0" w:space="0" w:color="auto"/>
        <w:bottom w:val="none" w:sz="0" w:space="0" w:color="auto"/>
        <w:right w:val="none" w:sz="0" w:space="0" w:color="auto"/>
      </w:divBdr>
    </w:div>
    <w:div w:id="1066953858">
      <w:bodyDiv w:val="1"/>
      <w:marLeft w:val="0"/>
      <w:marRight w:val="0"/>
      <w:marTop w:val="0"/>
      <w:marBottom w:val="0"/>
      <w:divBdr>
        <w:top w:val="none" w:sz="0" w:space="0" w:color="auto"/>
        <w:left w:val="none" w:sz="0" w:space="0" w:color="auto"/>
        <w:bottom w:val="none" w:sz="0" w:space="0" w:color="auto"/>
        <w:right w:val="none" w:sz="0" w:space="0" w:color="auto"/>
      </w:divBdr>
    </w:div>
    <w:div w:id="1120297988">
      <w:bodyDiv w:val="1"/>
      <w:marLeft w:val="0"/>
      <w:marRight w:val="0"/>
      <w:marTop w:val="0"/>
      <w:marBottom w:val="0"/>
      <w:divBdr>
        <w:top w:val="none" w:sz="0" w:space="0" w:color="auto"/>
        <w:left w:val="none" w:sz="0" w:space="0" w:color="auto"/>
        <w:bottom w:val="none" w:sz="0" w:space="0" w:color="auto"/>
        <w:right w:val="none" w:sz="0" w:space="0" w:color="auto"/>
      </w:divBdr>
    </w:div>
    <w:div w:id="1121918709">
      <w:bodyDiv w:val="1"/>
      <w:marLeft w:val="0"/>
      <w:marRight w:val="0"/>
      <w:marTop w:val="0"/>
      <w:marBottom w:val="0"/>
      <w:divBdr>
        <w:top w:val="none" w:sz="0" w:space="0" w:color="auto"/>
        <w:left w:val="none" w:sz="0" w:space="0" w:color="auto"/>
        <w:bottom w:val="none" w:sz="0" w:space="0" w:color="auto"/>
        <w:right w:val="none" w:sz="0" w:space="0" w:color="auto"/>
      </w:divBdr>
    </w:div>
    <w:div w:id="1149664541">
      <w:bodyDiv w:val="1"/>
      <w:marLeft w:val="0"/>
      <w:marRight w:val="0"/>
      <w:marTop w:val="0"/>
      <w:marBottom w:val="0"/>
      <w:divBdr>
        <w:top w:val="none" w:sz="0" w:space="0" w:color="auto"/>
        <w:left w:val="none" w:sz="0" w:space="0" w:color="auto"/>
        <w:bottom w:val="none" w:sz="0" w:space="0" w:color="auto"/>
        <w:right w:val="none" w:sz="0" w:space="0" w:color="auto"/>
      </w:divBdr>
    </w:div>
    <w:div w:id="1197817188">
      <w:bodyDiv w:val="1"/>
      <w:marLeft w:val="0"/>
      <w:marRight w:val="0"/>
      <w:marTop w:val="0"/>
      <w:marBottom w:val="0"/>
      <w:divBdr>
        <w:top w:val="none" w:sz="0" w:space="0" w:color="auto"/>
        <w:left w:val="none" w:sz="0" w:space="0" w:color="auto"/>
        <w:bottom w:val="none" w:sz="0" w:space="0" w:color="auto"/>
        <w:right w:val="none" w:sz="0" w:space="0" w:color="auto"/>
      </w:divBdr>
    </w:div>
    <w:div w:id="1227491713">
      <w:bodyDiv w:val="1"/>
      <w:marLeft w:val="0"/>
      <w:marRight w:val="0"/>
      <w:marTop w:val="0"/>
      <w:marBottom w:val="0"/>
      <w:divBdr>
        <w:top w:val="none" w:sz="0" w:space="0" w:color="auto"/>
        <w:left w:val="none" w:sz="0" w:space="0" w:color="auto"/>
        <w:bottom w:val="none" w:sz="0" w:space="0" w:color="auto"/>
        <w:right w:val="none" w:sz="0" w:space="0" w:color="auto"/>
      </w:divBdr>
    </w:div>
    <w:div w:id="1241137382">
      <w:bodyDiv w:val="1"/>
      <w:marLeft w:val="0"/>
      <w:marRight w:val="0"/>
      <w:marTop w:val="0"/>
      <w:marBottom w:val="0"/>
      <w:divBdr>
        <w:top w:val="none" w:sz="0" w:space="0" w:color="auto"/>
        <w:left w:val="none" w:sz="0" w:space="0" w:color="auto"/>
        <w:bottom w:val="none" w:sz="0" w:space="0" w:color="auto"/>
        <w:right w:val="none" w:sz="0" w:space="0" w:color="auto"/>
      </w:divBdr>
    </w:div>
    <w:div w:id="1251155836">
      <w:bodyDiv w:val="1"/>
      <w:marLeft w:val="0"/>
      <w:marRight w:val="0"/>
      <w:marTop w:val="0"/>
      <w:marBottom w:val="0"/>
      <w:divBdr>
        <w:top w:val="none" w:sz="0" w:space="0" w:color="auto"/>
        <w:left w:val="none" w:sz="0" w:space="0" w:color="auto"/>
        <w:bottom w:val="none" w:sz="0" w:space="0" w:color="auto"/>
        <w:right w:val="none" w:sz="0" w:space="0" w:color="auto"/>
      </w:divBdr>
    </w:div>
    <w:div w:id="1256092405">
      <w:bodyDiv w:val="1"/>
      <w:marLeft w:val="0"/>
      <w:marRight w:val="0"/>
      <w:marTop w:val="0"/>
      <w:marBottom w:val="0"/>
      <w:divBdr>
        <w:top w:val="none" w:sz="0" w:space="0" w:color="auto"/>
        <w:left w:val="none" w:sz="0" w:space="0" w:color="auto"/>
        <w:bottom w:val="none" w:sz="0" w:space="0" w:color="auto"/>
        <w:right w:val="none" w:sz="0" w:space="0" w:color="auto"/>
      </w:divBdr>
    </w:div>
    <w:div w:id="1268081074">
      <w:bodyDiv w:val="1"/>
      <w:marLeft w:val="0"/>
      <w:marRight w:val="0"/>
      <w:marTop w:val="0"/>
      <w:marBottom w:val="0"/>
      <w:divBdr>
        <w:top w:val="none" w:sz="0" w:space="0" w:color="auto"/>
        <w:left w:val="none" w:sz="0" w:space="0" w:color="auto"/>
        <w:bottom w:val="none" w:sz="0" w:space="0" w:color="auto"/>
        <w:right w:val="none" w:sz="0" w:space="0" w:color="auto"/>
      </w:divBdr>
    </w:div>
    <w:div w:id="1368525045">
      <w:bodyDiv w:val="1"/>
      <w:marLeft w:val="0"/>
      <w:marRight w:val="0"/>
      <w:marTop w:val="0"/>
      <w:marBottom w:val="0"/>
      <w:divBdr>
        <w:top w:val="none" w:sz="0" w:space="0" w:color="auto"/>
        <w:left w:val="none" w:sz="0" w:space="0" w:color="auto"/>
        <w:bottom w:val="none" w:sz="0" w:space="0" w:color="auto"/>
        <w:right w:val="none" w:sz="0" w:space="0" w:color="auto"/>
      </w:divBdr>
    </w:div>
    <w:div w:id="1408726324">
      <w:bodyDiv w:val="1"/>
      <w:marLeft w:val="0"/>
      <w:marRight w:val="0"/>
      <w:marTop w:val="0"/>
      <w:marBottom w:val="0"/>
      <w:divBdr>
        <w:top w:val="none" w:sz="0" w:space="0" w:color="auto"/>
        <w:left w:val="none" w:sz="0" w:space="0" w:color="auto"/>
        <w:bottom w:val="none" w:sz="0" w:space="0" w:color="auto"/>
        <w:right w:val="none" w:sz="0" w:space="0" w:color="auto"/>
      </w:divBdr>
    </w:div>
    <w:div w:id="1475291888">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509949751">
      <w:bodyDiv w:val="1"/>
      <w:marLeft w:val="0"/>
      <w:marRight w:val="0"/>
      <w:marTop w:val="0"/>
      <w:marBottom w:val="0"/>
      <w:divBdr>
        <w:top w:val="none" w:sz="0" w:space="0" w:color="auto"/>
        <w:left w:val="none" w:sz="0" w:space="0" w:color="auto"/>
        <w:bottom w:val="none" w:sz="0" w:space="0" w:color="auto"/>
        <w:right w:val="none" w:sz="0" w:space="0" w:color="auto"/>
      </w:divBdr>
    </w:div>
    <w:div w:id="1540587258">
      <w:bodyDiv w:val="1"/>
      <w:marLeft w:val="0"/>
      <w:marRight w:val="0"/>
      <w:marTop w:val="0"/>
      <w:marBottom w:val="0"/>
      <w:divBdr>
        <w:top w:val="none" w:sz="0" w:space="0" w:color="auto"/>
        <w:left w:val="none" w:sz="0" w:space="0" w:color="auto"/>
        <w:bottom w:val="none" w:sz="0" w:space="0" w:color="auto"/>
        <w:right w:val="none" w:sz="0" w:space="0" w:color="auto"/>
      </w:divBdr>
    </w:div>
    <w:div w:id="1542933889">
      <w:bodyDiv w:val="1"/>
      <w:marLeft w:val="0"/>
      <w:marRight w:val="0"/>
      <w:marTop w:val="0"/>
      <w:marBottom w:val="0"/>
      <w:divBdr>
        <w:top w:val="none" w:sz="0" w:space="0" w:color="auto"/>
        <w:left w:val="none" w:sz="0" w:space="0" w:color="auto"/>
        <w:bottom w:val="none" w:sz="0" w:space="0" w:color="auto"/>
        <w:right w:val="none" w:sz="0" w:space="0" w:color="auto"/>
      </w:divBdr>
    </w:div>
    <w:div w:id="1557735628">
      <w:bodyDiv w:val="1"/>
      <w:marLeft w:val="0"/>
      <w:marRight w:val="0"/>
      <w:marTop w:val="0"/>
      <w:marBottom w:val="0"/>
      <w:divBdr>
        <w:top w:val="none" w:sz="0" w:space="0" w:color="auto"/>
        <w:left w:val="none" w:sz="0" w:space="0" w:color="auto"/>
        <w:bottom w:val="none" w:sz="0" w:space="0" w:color="auto"/>
        <w:right w:val="none" w:sz="0" w:space="0" w:color="auto"/>
      </w:divBdr>
    </w:div>
    <w:div w:id="1579514577">
      <w:bodyDiv w:val="1"/>
      <w:marLeft w:val="0"/>
      <w:marRight w:val="0"/>
      <w:marTop w:val="0"/>
      <w:marBottom w:val="0"/>
      <w:divBdr>
        <w:top w:val="none" w:sz="0" w:space="0" w:color="auto"/>
        <w:left w:val="none" w:sz="0" w:space="0" w:color="auto"/>
        <w:bottom w:val="none" w:sz="0" w:space="0" w:color="auto"/>
        <w:right w:val="none" w:sz="0" w:space="0" w:color="auto"/>
      </w:divBdr>
    </w:div>
    <w:div w:id="1591616627">
      <w:bodyDiv w:val="1"/>
      <w:marLeft w:val="0"/>
      <w:marRight w:val="0"/>
      <w:marTop w:val="0"/>
      <w:marBottom w:val="0"/>
      <w:divBdr>
        <w:top w:val="none" w:sz="0" w:space="0" w:color="auto"/>
        <w:left w:val="none" w:sz="0" w:space="0" w:color="auto"/>
        <w:bottom w:val="none" w:sz="0" w:space="0" w:color="auto"/>
        <w:right w:val="none" w:sz="0" w:space="0" w:color="auto"/>
      </w:divBdr>
    </w:div>
    <w:div w:id="1632637374">
      <w:bodyDiv w:val="1"/>
      <w:marLeft w:val="0"/>
      <w:marRight w:val="0"/>
      <w:marTop w:val="0"/>
      <w:marBottom w:val="0"/>
      <w:divBdr>
        <w:top w:val="none" w:sz="0" w:space="0" w:color="auto"/>
        <w:left w:val="none" w:sz="0" w:space="0" w:color="auto"/>
        <w:bottom w:val="none" w:sz="0" w:space="0" w:color="auto"/>
        <w:right w:val="none" w:sz="0" w:space="0" w:color="auto"/>
      </w:divBdr>
    </w:div>
    <w:div w:id="1695767166">
      <w:bodyDiv w:val="1"/>
      <w:marLeft w:val="0"/>
      <w:marRight w:val="0"/>
      <w:marTop w:val="0"/>
      <w:marBottom w:val="0"/>
      <w:divBdr>
        <w:top w:val="none" w:sz="0" w:space="0" w:color="auto"/>
        <w:left w:val="none" w:sz="0" w:space="0" w:color="auto"/>
        <w:bottom w:val="none" w:sz="0" w:space="0" w:color="auto"/>
        <w:right w:val="none" w:sz="0" w:space="0" w:color="auto"/>
      </w:divBdr>
    </w:div>
    <w:div w:id="1716733110">
      <w:bodyDiv w:val="1"/>
      <w:marLeft w:val="0"/>
      <w:marRight w:val="0"/>
      <w:marTop w:val="0"/>
      <w:marBottom w:val="0"/>
      <w:divBdr>
        <w:top w:val="none" w:sz="0" w:space="0" w:color="auto"/>
        <w:left w:val="none" w:sz="0" w:space="0" w:color="auto"/>
        <w:bottom w:val="none" w:sz="0" w:space="0" w:color="auto"/>
        <w:right w:val="none" w:sz="0" w:space="0" w:color="auto"/>
      </w:divBdr>
    </w:div>
    <w:div w:id="1821731934">
      <w:bodyDiv w:val="1"/>
      <w:marLeft w:val="0"/>
      <w:marRight w:val="0"/>
      <w:marTop w:val="0"/>
      <w:marBottom w:val="0"/>
      <w:divBdr>
        <w:top w:val="none" w:sz="0" w:space="0" w:color="auto"/>
        <w:left w:val="none" w:sz="0" w:space="0" w:color="auto"/>
        <w:bottom w:val="none" w:sz="0" w:space="0" w:color="auto"/>
        <w:right w:val="none" w:sz="0" w:space="0" w:color="auto"/>
      </w:divBdr>
    </w:div>
    <w:div w:id="1847551288">
      <w:bodyDiv w:val="1"/>
      <w:marLeft w:val="0"/>
      <w:marRight w:val="0"/>
      <w:marTop w:val="0"/>
      <w:marBottom w:val="0"/>
      <w:divBdr>
        <w:top w:val="none" w:sz="0" w:space="0" w:color="auto"/>
        <w:left w:val="none" w:sz="0" w:space="0" w:color="auto"/>
        <w:bottom w:val="none" w:sz="0" w:space="0" w:color="auto"/>
        <w:right w:val="none" w:sz="0" w:space="0" w:color="auto"/>
      </w:divBdr>
    </w:div>
    <w:div w:id="1861429638">
      <w:bodyDiv w:val="1"/>
      <w:marLeft w:val="0"/>
      <w:marRight w:val="0"/>
      <w:marTop w:val="0"/>
      <w:marBottom w:val="0"/>
      <w:divBdr>
        <w:top w:val="none" w:sz="0" w:space="0" w:color="auto"/>
        <w:left w:val="none" w:sz="0" w:space="0" w:color="auto"/>
        <w:bottom w:val="none" w:sz="0" w:space="0" w:color="auto"/>
        <w:right w:val="none" w:sz="0" w:space="0" w:color="auto"/>
      </w:divBdr>
    </w:div>
    <w:div w:id="1924875622">
      <w:bodyDiv w:val="1"/>
      <w:marLeft w:val="0"/>
      <w:marRight w:val="0"/>
      <w:marTop w:val="0"/>
      <w:marBottom w:val="0"/>
      <w:divBdr>
        <w:top w:val="none" w:sz="0" w:space="0" w:color="auto"/>
        <w:left w:val="none" w:sz="0" w:space="0" w:color="auto"/>
        <w:bottom w:val="none" w:sz="0" w:space="0" w:color="auto"/>
        <w:right w:val="none" w:sz="0" w:space="0" w:color="auto"/>
      </w:divBdr>
    </w:div>
    <w:div w:id="1937904704">
      <w:bodyDiv w:val="1"/>
      <w:marLeft w:val="0"/>
      <w:marRight w:val="0"/>
      <w:marTop w:val="0"/>
      <w:marBottom w:val="0"/>
      <w:divBdr>
        <w:top w:val="none" w:sz="0" w:space="0" w:color="auto"/>
        <w:left w:val="none" w:sz="0" w:space="0" w:color="auto"/>
        <w:bottom w:val="none" w:sz="0" w:space="0" w:color="auto"/>
        <w:right w:val="none" w:sz="0" w:space="0" w:color="auto"/>
      </w:divBdr>
    </w:div>
    <w:div w:id="1987009977">
      <w:bodyDiv w:val="1"/>
      <w:marLeft w:val="0"/>
      <w:marRight w:val="0"/>
      <w:marTop w:val="0"/>
      <w:marBottom w:val="0"/>
      <w:divBdr>
        <w:top w:val="none" w:sz="0" w:space="0" w:color="auto"/>
        <w:left w:val="none" w:sz="0" w:space="0" w:color="auto"/>
        <w:bottom w:val="none" w:sz="0" w:space="0" w:color="auto"/>
        <w:right w:val="none" w:sz="0" w:space="0" w:color="auto"/>
      </w:divBdr>
    </w:div>
    <w:div w:id="1999920890">
      <w:bodyDiv w:val="1"/>
      <w:marLeft w:val="0"/>
      <w:marRight w:val="0"/>
      <w:marTop w:val="0"/>
      <w:marBottom w:val="0"/>
      <w:divBdr>
        <w:top w:val="none" w:sz="0" w:space="0" w:color="auto"/>
        <w:left w:val="none" w:sz="0" w:space="0" w:color="auto"/>
        <w:bottom w:val="none" w:sz="0" w:space="0" w:color="auto"/>
        <w:right w:val="none" w:sz="0" w:space="0" w:color="auto"/>
      </w:divBdr>
    </w:div>
    <w:div w:id="2000108727">
      <w:bodyDiv w:val="1"/>
      <w:marLeft w:val="0"/>
      <w:marRight w:val="0"/>
      <w:marTop w:val="0"/>
      <w:marBottom w:val="0"/>
      <w:divBdr>
        <w:top w:val="none" w:sz="0" w:space="0" w:color="auto"/>
        <w:left w:val="none" w:sz="0" w:space="0" w:color="auto"/>
        <w:bottom w:val="none" w:sz="0" w:space="0" w:color="auto"/>
        <w:right w:val="none" w:sz="0" w:space="0" w:color="auto"/>
      </w:divBdr>
    </w:div>
    <w:div w:id="20578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320/2001%20Sb.%25238'&amp;ucin-k-dni='31.12.202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AA2F0666D50943BD5C4CE75497F910" ma:contentTypeVersion="0" ma:contentTypeDescription="Vytvoří nový dokument" ma:contentTypeScope="" ma:versionID="e10cfc9f903da976ec49f8d276ad396a">
  <xsd:schema xmlns:xsd="http://www.w3.org/2001/XMLSchema" xmlns:xs="http://www.w3.org/2001/XMLSchema" xmlns:p="http://schemas.microsoft.com/office/2006/metadata/properties" targetNamespace="http://schemas.microsoft.com/office/2006/metadata/properties" ma:root="true" ma:fieldsID="7bb0b85cf6ec3df31f7bbb0953499e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347A-F5E8-4EAA-9ACC-BF9749B23F79}">
  <ds:schemaRefs>
    <ds:schemaRef ds:uri="http://schemas.microsoft.com/sharepoint/v3/contenttype/forms"/>
  </ds:schemaRefs>
</ds:datastoreItem>
</file>

<file path=customXml/itemProps2.xml><?xml version="1.0" encoding="utf-8"?>
<ds:datastoreItem xmlns:ds="http://schemas.openxmlformats.org/officeDocument/2006/customXml" ds:itemID="{CE3C42A3-9C0F-4C62-9DF4-F22DDC322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7228B4-BA39-49C6-B50E-51DA7CF18AF6}">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D52C3B7-AA32-47B7-A28E-67A57D3210A3}">
  <ds:schemaRefs>
    <ds:schemaRef ds:uri="http://schemas.openxmlformats.org/officeDocument/2006/bibliography"/>
  </ds:schemaRefs>
</ds:datastoreItem>
</file>

<file path=customXml/itemProps5.xml><?xml version="1.0" encoding="utf-8"?>
<ds:datastoreItem xmlns:ds="http://schemas.openxmlformats.org/officeDocument/2006/customXml" ds:itemID="{3EB6234D-4F49-468E-ACEE-C67A5148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3893</Words>
  <Characters>22971</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21/07 - Majetek a peněžní prostředky státu, se kterými jsou příslušné hospodařit vybrané organizace v resortu Ministerstva pro místní rozvoj</vt:lpstr>
      <vt:lpstr/>
    </vt:vector>
  </TitlesOfParts>
  <Company>Nejvyšší kontrolní úřad</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21/07 - Majetek a peněžní prostředky státu, se kterými jsou příslušné hospodařit vybrané organizace v resortu Ministerstva pro místní rozvoj</dc:title>
  <dc:subject>Kontrolní závěr z kontrolní akce NKÚ č. 21/07 - Majetek a peněžní prostředky státu, se kterými jsou příslušné hospodařit vybrané organizace v resortu Ministerstva pro místní rozvoj</dc:subject>
  <dc:creator>Nejvyšší kontrolní úřad</dc:creator>
  <cp:keywords>kontrolní závěr; MMR</cp:keywords>
  <cp:lastModifiedBy>KOKRDA Daniel</cp:lastModifiedBy>
  <cp:revision>4</cp:revision>
  <cp:lastPrinted>2022-06-23T08:20:00Z</cp:lastPrinted>
  <dcterms:created xsi:type="dcterms:W3CDTF">2022-06-23T08:20:00Z</dcterms:created>
  <dcterms:modified xsi:type="dcterms:W3CDTF">2022-06-23T08:25:00Z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144/20-NKU200/312/20</vt:lpwstr>
  </property>
  <property fmtid="{D5CDD505-2E9C-101B-9397-08002B2CF9AE}" pid="5" name="CJ_PostaDoruc_PisemnostOdpovedNa_Pisemnost">
    <vt:lpwstr>XXX-XXX-XXX</vt:lpwstr>
  </property>
  <property fmtid="{D5CDD505-2E9C-101B-9397-08002B2CF9AE}" pid="6" name="CJ_Spis_Pisemnost">
    <vt:lpwstr>200/4/20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0x010100FDAA2F0666D50943BD5C4CE75497F910</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18.6.2020</vt:lpwstr>
  </property>
  <property fmtid="{D5CDD505-2E9C-101B-9397-08002B2CF9AE}" pid="13" name="DisplayName_CisloObalky_PostaOdes">
    <vt:lpwstr>ČÍSLO OBÁLKY</vt:lpwstr>
  </property>
  <property fmtid="{D5CDD505-2E9C-101B-9397-08002B2CF9AE}" pid="14" name="DisplayName_CJCol">
    <vt:lpwstr>&lt;TABLE&gt;&lt;TR&gt;&lt;TD&gt;Č.j.:&lt;/TD&gt;&lt;TD&gt;144/20-NKU200/312/20&lt;/TD&gt;&lt;/TR&gt;&lt;TR&gt;&lt;TD&gt;&lt;/TD&gt;&lt;TD&gt;&lt;/TD&gt;&lt;/TR&gt;&lt;/TABLE&gt;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kontrolní</vt:lpwstr>
  </property>
  <property fmtid="{D5CDD505-2E9C-101B-9397-08002B2CF9AE}" pid="17" name="DisplayName_UserPoriz_Pisemnost">
    <vt:lpwstr>Jana Másílková</vt:lpwstr>
  </property>
  <property fmtid="{D5CDD505-2E9C-101B-9397-08002B2CF9AE}" pid="18" name="DuvodZmeny_SlozkaStupenUtajeniCollection_Slozka_Pisemnost">
    <vt:lpwstr/>
  </property>
  <property fmtid="{D5CDD505-2E9C-101B-9397-08002B2CF9AE}" pid="19" name="EC_Pisemnost">
    <vt:lpwstr>20-7455/NKU</vt:lpwstr>
  </property>
  <property fmtid="{D5CDD505-2E9C-101B-9397-08002B2CF9AE}" pid="20" name="Key_BarCode_Pisemnost">
    <vt:lpwstr>*B000364759*</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2</vt:lpwstr>
  </property>
  <property fmtid="{D5CDD505-2E9C-101B-9397-08002B2CF9AE}" pid="28" name="PocetListu_Pisemnost">
    <vt:lpwstr>2/1</vt:lpwstr>
  </property>
  <property fmtid="{D5CDD505-2E9C-101B-9397-08002B2CF9AE}" pid="29" name="PocetPriloh_Pisemnost">
    <vt:lpwstr>1</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20-7455/NKU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144/20</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KZ 19/22 - připomínkové řízení </vt:lpwstr>
  </property>
  <property fmtid="{D5CDD505-2E9C-101B-9397-08002B2CF9AE}" pid="42" name="Zkratka_SpisovyUzel_PoziceZodpo_Pisemnost">
    <vt:lpwstr>200</vt:lpwstr>
  </property>
</Properties>
</file>