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4393" w14:textId="77777777" w:rsidR="00FE5796" w:rsidRPr="0091259D" w:rsidRDefault="00FE5796" w:rsidP="00E545C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Toc374526809"/>
      <w:r w:rsidRPr="0091259D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8752" behindDoc="0" locked="0" layoutInCell="1" allowOverlap="1" wp14:anchorId="72EE4531" wp14:editId="39E1548C">
            <wp:simplePos x="0" y="0"/>
            <wp:positionH relativeFrom="column">
              <wp:posOffset>2510155</wp:posOffset>
            </wp:positionH>
            <wp:positionV relativeFrom="paragraph">
              <wp:posOffset>-58420</wp:posOffset>
            </wp:positionV>
            <wp:extent cx="790575" cy="558800"/>
            <wp:effectExtent l="0" t="0" r="9525" b="0"/>
            <wp:wrapSquare wrapText="bothSides"/>
            <wp:docPr id="1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40B139A" w14:textId="77777777" w:rsidR="00FE5796" w:rsidRPr="0091259D" w:rsidRDefault="00FE5796" w:rsidP="00E545C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FBD370" w14:textId="77777777" w:rsidR="00FE5796" w:rsidRPr="0091259D" w:rsidRDefault="00FE5796" w:rsidP="00E545C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2EB427C" w14:textId="77777777" w:rsidR="00FE5796" w:rsidRPr="0091259D" w:rsidRDefault="00FE5796" w:rsidP="00E545C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625DDF" w14:textId="08FFCC09" w:rsidR="00FE5796" w:rsidRPr="0091259D" w:rsidRDefault="00FE5796" w:rsidP="00E545C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104820581"/>
      <w:bookmarkStart w:id="2" w:name="_GoBack"/>
      <w:r w:rsidRPr="0091259D">
        <w:rPr>
          <w:rFonts w:asciiTheme="minorHAnsi" w:hAnsiTheme="minorHAnsi" w:cstheme="minorHAnsi"/>
          <w:b/>
          <w:sz w:val="28"/>
          <w:szCs w:val="28"/>
        </w:rPr>
        <w:t>K</w:t>
      </w:r>
      <w:r w:rsidR="00D9414B" w:rsidRPr="0091259D">
        <w:rPr>
          <w:rFonts w:asciiTheme="minorHAnsi" w:hAnsiTheme="minorHAnsi" w:cstheme="minorHAnsi"/>
          <w:b/>
          <w:sz w:val="28"/>
          <w:szCs w:val="28"/>
        </w:rPr>
        <w:t>ontrolní závěr z kontrolní akce</w:t>
      </w:r>
    </w:p>
    <w:p w14:paraId="5843194F" w14:textId="77777777" w:rsidR="009E234F" w:rsidRPr="0091259D" w:rsidRDefault="009E234F" w:rsidP="0091259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B81125" w14:textId="2BD1DC3A" w:rsidR="00DB7B55" w:rsidRPr="0091259D" w:rsidRDefault="00F0221A" w:rsidP="0091259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259D">
        <w:rPr>
          <w:rFonts w:asciiTheme="minorHAnsi" w:hAnsiTheme="minorHAnsi" w:cstheme="minorHAnsi"/>
          <w:b/>
          <w:sz w:val="28"/>
          <w:szCs w:val="28"/>
        </w:rPr>
        <w:t>2</w:t>
      </w:r>
      <w:r w:rsidR="00DB7B55" w:rsidRPr="0091259D">
        <w:rPr>
          <w:rFonts w:asciiTheme="minorHAnsi" w:hAnsiTheme="minorHAnsi" w:cstheme="minorHAnsi"/>
          <w:b/>
          <w:sz w:val="28"/>
          <w:szCs w:val="28"/>
        </w:rPr>
        <w:t>1/10</w:t>
      </w:r>
    </w:p>
    <w:p w14:paraId="1C7C585D" w14:textId="77777777" w:rsidR="009E234F" w:rsidRPr="0091259D" w:rsidRDefault="009E234F" w:rsidP="0091259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76B02E" w14:textId="77777777" w:rsidR="00DB7B55" w:rsidRPr="0091259D" w:rsidRDefault="00F0221A" w:rsidP="00E545C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259D">
        <w:rPr>
          <w:rFonts w:asciiTheme="minorHAnsi" w:hAnsiTheme="minorHAnsi" w:cstheme="minorHAnsi"/>
          <w:b/>
          <w:sz w:val="28"/>
          <w:szCs w:val="28"/>
        </w:rPr>
        <w:t>Majetek a peněžní prostředky státu, se kterými jsou příslušné hospodařit vybrané příspěvkové organizace Ministerstva kultury</w:t>
      </w:r>
      <w:bookmarkEnd w:id="2"/>
    </w:p>
    <w:p w14:paraId="7A519260" w14:textId="77777777" w:rsidR="00FE5796" w:rsidRPr="00DC6987" w:rsidRDefault="00FE5796" w:rsidP="00E545C6">
      <w:pPr>
        <w:spacing w:line="240" w:lineRule="auto"/>
        <w:rPr>
          <w:szCs w:val="22"/>
        </w:rPr>
      </w:pPr>
    </w:p>
    <w:p w14:paraId="26695986" w14:textId="77777777" w:rsidR="00FE5796" w:rsidRPr="0054554F" w:rsidRDefault="00FE5796" w:rsidP="00A54CCC">
      <w:pPr>
        <w:spacing w:after="0" w:line="240" w:lineRule="auto"/>
        <w:rPr>
          <w:rFonts w:asciiTheme="minorHAnsi" w:hAnsiTheme="minorHAnsi" w:cstheme="minorHAnsi"/>
          <w:sz w:val="24"/>
          <w:szCs w:val="22"/>
        </w:rPr>
      </w:pPr>
      <w:r w:rsidRPr="0054554F">
        <w:rPr>
          <w:rFonts w:asciiTheme="minorHAnsi" w:hAnsiTheme="minorHAnsi" w:cstheme="minorHAnsi"/>
          <w:spacing w:val="-2"/>
          <w:sz w:val="24"/>
          <w:szCs w:val="22"/>
        </w:rPr>
        <w:t xml:space="preserve">Kontrolní akce byla zařazena do plánu kontrolní činnosti Nejvyššího kontrolního úřadu </w:t>
      </w:r>
      <w:r w:rsidR="00DB7B55" w:rsidRPr="0054554F">
        <w:rPr>
          <w:rFonts w:asciiTheme="minorHAnsi" w:hAnsiTheme="minorHAnsi" w:cstheme="minorHAnsi"/>
          <w:sz w:val="24"/>
          <w:szCs w:val="22"/>
        </w:rPr>
        <w:t xml:space="preserve">(dále </w:t>
      </w:r>
      <w:r w:rsidR="00F0221A" w:rsidRPr="0054554F">
        <w:rPr>
          <w:rFonts w:asciiTheme="minorHAnsi" w:hAnsiTheme="minorHAnsi" w:cstheme="minorHAnsi"/>
          <w:sz w:val="24"/>
          <w:szCs w:val="22"/>
        </w:rPr>
        <w:t>také</w:t>
      </w:r>
      <w:r w:rsidR="00DB7B55" w:rsidRPr="0054554F">
        <w:rPr>
          <w:rFonts w:asciiTheme="minorHAnsi" w:hAnsiTheme="minorHAnsi" w:cstheme="minorHAnsi"/>
          <w:sz w:val="24"/>
          <w:szCs w:val="22"/>
        </w:rPr>
        <w:t xml:space="preserve"> „NKÚ“) na rok 20</w:t>
      </w:r>
      <w:r w:rsidR="00F0221A" w:rsidRPr="0054554F">
        <w:rPr>
          <w:rFonts w:asciiTheme="minorHAnsi" w:hAnsiTheme="minorHAnsi" w:cstheme="minorHAnsi"/>
          <w:sz w:val="24"/>
          <w:szCs w:val="22"/>
        </w:rPr>
        <w:t>21</w:t>
      </w:r>
      <w:r w:rsidRPr="0054554F">
        <w:rPr>
          <w:rFonts w:asciiTheme="minorHAnsi" w:hAnsiTheme="minorHAnsi" w:cstheme="minorHAnsi"/>
          <w:sz w:val="24"/>
          <w:szCs w:val="22"/>
        </w:rPr>
        <w:t xml:space="preserve"> pod číslem </w:t>
      </w:r>
      <w:r w:rsidR="00F0221A" w:rsidRPr="0054554F">
        <w:rPr>
          <w:rFonts w:asciiTheme="minorHAnsi" w:hAnsiTheme="minorHAnsi" w:cstheme="minorHAnsi"/>
          <w:sz w:val="24"/>
          <w:szCs w:val="22"/>
        </w:rPr>
        <w:t>2</w:t>
      </w:r>
      <w:r w:rsidR="00DB7B55" w:rsidRPr="0054554F">
        <w:rPr>
          <w:rFonts w:asciiTheme="minorHAnsi" w:hAnsiTheme="minorHAnsi" w:cstheme="minorHAnsi"/>
          <w:sz w:val="24"/>
          <w:szCs w:val="22"/>
        </w:rPr>
        <w:t>1/10</w:t>
      </w:r>
      <w:r w:rsidRPr="0054554F">
        <w:rPr>
          <w:rFonts w:asciiTheme="minorHAnsi" w:hAnsiTheme="minorHAnsi" w:cstheme="minorHAnsi"/>
          <w:sz w:val="24"/>
          <w:szCs w:val="22"/>
        </w:rPr>
        <w:t>. Kontrolní akci řídi</w:t>
      </w:r>
      <w:r w:rsidR="0076342A" w:rsidRPr="0054554F">
        <w:rPr>
          <w:rFonts w:asciiTheme="minorHAnsi" w:hAnsiTheme="minorHAnsi" w:cstheme="minorHAnsi"/>
          <w:sz w:val="24"/>
          <w:szCs w:val="22"/>
        </w:rPr>
        <w:t>l</w:t>
      </w:r>
      <w:r w:rsidR="00DB7B55" w:rsidRPr="0054554F">
        <w:rPr>
          <w:rFonts w:asciiTheme="minorHAnsi" w:hAnsiTheme="minorHAnsi" w:cstheme="minorHAnsi"/>
          <w:sz w:val="24"/>
          <w:szCs w:val="22"/>
        </w:rPr>
        <w:t xml:space="preserve"> a kontrolní závěr vypracoval člen</w:t>
      </w:r>
      <w:r w:rsidRPr="0054554F">
        <w:rPr>
          <w:rFonts w:asciiTheme="minorHAnsi" w:hAnsiTheme="minorHAnsi" w:cstheme="minorHAnsi"/>
          <w:sz w:val="24"/>
          <w:szCs w:val="22"/>
        </w:rPr>
        <w:t xml:space="preserve"> NKÚ </w:t>
      </w:r>
      <w:r w:rsidR="00DB7B55" w:rsidRPr="0054554F">
        <w:rPr>
          <w:rFonts w:asciiTheme="minorHAnsi" w:hAnsiTheme="minorHAnsi" w:cstheme="minorHAnsi"/>
          <w:noProof/>
          <w:sz w:val="24"/>
          <w:szCs w:val="22"/>
        </w:rPr>
        <w:t xml:space="preserve">Ing. </w:t>
      </w:r>
      <w:r w:rsidR="00F0221A" w:rsidRPr="0054554F">
        <w:rPr>
          <w:rFonts w:asciiTheme="minorHAnsi" w:hAnsiTheme="minorHAnsi" w:cstheme="minorHAnsi"/>
          <w:noProof/>
          <w:sz w:val="24"/>
          <w:szCs w:val="22"/>
        </w:rPr>
        <w:t>Roman Procházka</w:t>
      </w:r>
      <w:r w:rsidRPr="0054554F">
        <w:rPr>
          <w:rFonts w:asciiTheme="minorHAnsi" w:hAnsiTheme="minorHAnsi" w:cstheme="minorHAnsi"/>
          <w:sz w:val="24"/>
          <w:szCs w:val="22"/>
        </w:rPr>
        <w:t xml:space="preserve">. </w:t>
      </w:r>
    </w:p>
    <w:p w14:paraId="329C2BD8" w14:textId="77777777" w:rsidR="00A54CCC" w:rsidRPr="0054554F" w:rsidRDefault="00A54CCC" w:rsidP="00A54CCC">
      <w:pPr>
        <w:spacing w:after="0" w:line="240" w:lineRule="auto"/>
        <w:rPr>
          <w:rFonts w:asciiTheme="minorHAnsi" w:hAnsiTheme="minorHAnsi" w:cstheme="minorHAnsi"/>
          <w:sz w:val="24"/>
          <w:szCs w:val="22"/>
        </w:rPr>
      </w:pPr>
    </w:p>
    <w:p w14:paraId="2C4ABFDB" w14:textId="1DF5EE3C" w:rsidR="00FE5796" w:rsidRPr="0054554F" w:rsidRDefault="00FE5796" w:rsidP="00A54CCC">
      <w:pPr>
        <w:spacing w:after="0" w:line="240" w:lineRule="auto"/>
        <w:rPr>
          <w:rFonts w:asciiTheme="minorHAnsi" w:hAnsiTheme="minorHAnsi" w:cstheme="minorHAnsi"/>
          <w:sz w:val="24"/>
        </w:rPr>
      </w:pPr>
      <w:r w:rsidRPr="0054554F">
        <w:rPr>
          <w:rFonts w:asciiTheme="minorHAnsi" w:hAnsiTheme="minorHAnsi" w:cstheme="minorHAnsi"/>
          <w:sz w:val="24"/>
          <w:szCs w:val="22"/>
        </w:rPr>
        <w:t>Cílem kontroly bylo prověřit</w:t>
      </w:r>
      <w:r w:rsidR="00F0221A" w:rsidRPr="0054554F">
        <w:rPr>
          <w:rFonts w:asciiTheme="minorHAnsi" w:hAnsiTheme="minorHAnsi" w:cstheme="minorHAnsi"/>
          <w:sz w:val="24"/>
          <w:szCs w:val="22"/>
        </w:rPr>
        <w:t>, zda vybrané příspěvkové organizace Ministerstva kultury hospodaří s</w:t>
      </w:r>
      <w:r w:rsidR="009E234F">
        <w:rPr>
          <w:rFonts w:asciiTheme="minorHAnsi" w:hAnsiTheme="minorHAnsi" w:cstheme="minorHAnsi"/>
          <w:sz w:val="24"/>
          <w:szCs w:val="22"/>
        </w:rPr>
        <w:t xml:space="preserve"> </w:t>
      </w:r>
      <w:r w:rsidR="00F0221A" w:rsidRPr="0054554F">
        <w:rPr>
          <w:rFonts w:asciiTheme="minorHAnsi" w:hAnsiTheme="minorHAnsi" w:cstheme="minorHAnsi"/>
          <w:sz w:val="24"/>
          <w:szCs w:val="22"/>
        </w:rPr>
        <w:t>majetkem a peněžními prostředky státu účelně, hospodárně a v</w:t>
      </w:r>
      <w:r w:rsidR="009E234F">
        <w:rPr>
          <w:rFonts w:asciiTheme="minorHAnsi" w:hAnsiTheme="minorHAnsi" w:cstheme="minorHAnsi"/>
          <w:sz w:val="24"/>
          <w:szCs w:val="22"/>
        </w:rPr>
        <w:t xml:space="preserve"> </w:t>
      </w:r>
      <w:r w:rsidR="00F0221A" w:rsidRPr="0054554F">
        <w:rPr>
          <w:rFonts w:asciiTheme="minorHAnsi" w:hAnsiTheme="minorHAnsi" w:cstheme="minorHAnsi"/>
          <w:sz w:val="24"/>
          <w:szCs w:val="22"/>
        </w:rPr>
        <w:t>souladu s právními předpisy</w:t>
      </w:r>
      <w:r w:rsidR="00DB7B55" w:rsidRPr="0054554F">
        <w:rPr>
          <w:rFonts w:asciiTheme="minorHAnsi" w:hAnsiTheme="minorHAnsi" w:cstheme="minorHAnsi"/>
          <w:sz w:val="24"/>
        </w:rPr>
        <w:t>.</w:t>
      </w:r>
    </w:p>
    <w:p w14:paraId="4AAF0BDA" w14:textId="77777777" w:rsidR="00A54CCC" w:rsidRPr="0054554F" w:rsidRDefault="00A54CCC" w:rsidP="00A54CCC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38667520" w14:textId="77777777" w:rsidR="00FE5796" w:rsidRPr="0054554F" w:rsidRDefault="00FE5796" w:rsidP="00A54CCC">
      <w:pPr>
        <w:spacing w:after="0" w:line="240" w:lineRule="auto"/>
        <w:rPr>
          <w:rFonts w:asciiTheme="minorHAnsi" w:hAnsiTheme="minorHAnsi" w:cstheme="minorHAnsi"/>
          <w:sz w:val="24"/>
          <w:szCs w:val="22"/>
        </w:rPr>
      </w:pPr>
      <w:r w:rsidRPr="0054554F">
        <w:rPr>
          <w:rFonts w:asciiTheme="minorHAnsi" w:hAnsiTheme="minorHAnsi" w:cstheme="minorHAnsi"/>
          <w:sz w:val="24"/>
          <w:szCs w:val="22"/>
        </w:rPr>
        <w:t xml:space="preserve">Kontrola byla prováděna </w:t>
      </w:r>
      <w:r w:rsidR="000529F2" w:rsidRPr="0054554F">
        <w:rPr>
          <w:rFonts w:asciiTheme="minorHAnsi" w:hAnsiTheme="minorHAnsi" w:cstheme="minorHAnsi"/>
          <w:sz w:val="24"/>
          <w:szCs w:val="22"/>
        </w:rPr>
        <w:t xml:space="preserve">u kontrolovaných osob </w:t>
      </w:r>
      <w:r w:rsidRPr="0054554F">
        <w:rPr>
          <w:rFonts w:asciiTheme="minorHAnsi" w:hAnsiTheme="minorHAnsi" w:cstheme="minorHAnsi"/>
          <w:sz w:val="24"/>
          <w:szCs w:val="22"/>
        </w:rPr>
        <w:t xml:space="preserve">od </w:t>
      </w:r>
      <w:r w:rsidR="00F0221A" w:rsidRPr="0054554F">
        <w:rPr>
          <w:rFonts w:asciiTheme="minorHAnsi" w:hAnsiTheme="minorHAnsi" w:cstheme="minorHAnsi"/>
          <w:sz w:val="24"/>
          <w:szCs w:val="22"/>
        </w:rPr>
        <w:t>dubna</w:t>
      </w:r>
      <w:r w:rsidRPr="0054554F">
        <w:rPr>
          <w:rFonts w:asciiTheme="minorHAnsi" w:hAnsiTheme="minorHAnsi" w:cstheme="minorHAnsi"/>
          <w:sz w:val="24"/>
          <w:szCs w:val="22"/>
        </w:rPr>
        <w:t xml:space="preserve"> do </w:t>
      </w:r>
      <w:r w:rsidR="000529F2" w:rsidRPr="0054554F">
        <w:rPr>
          <w:rFonts w:asciiTheme="minorHAnsi" w:hAnsiTheme="minorHAnsi" w:cstheme="minorHAnsi"/>
          <w:sz w:val="24"/>
          <w:szCs w:val="22"/>
        </w:rPr>
        <w:t>prosince</w:t>
      </w:r>
      <w:r w:rsidRPr="0054554F">
        <w:rPr>
          <w:rFonts w:asciiTheme="minorHAnsi" w:hAnsiTheme="minorHAnsi" w:cstheme="minorHAnsi"/>
          <w:sz w:val="24"/>
          <w:szCs w:val="22"/>
        </w:rPr>
        <w:t xml:space="preserve"> 20</w:t>
      </w:r>
      <w:r w:rsidR="000529F2" w:rsidRPr="0054554F">
        <w:rPr>
          <w:rFonts w:asciiTheme="minorHAnsi" w:hAnsiTheme="minorHAnsi" w:cstheme="minorHAnsi"/>
          <w:sz w:val="24"/>
          <w:szCs w:val="22"/>
        </w:rPr>
        <w:t>2</w:t>
      </w:r>
      <w:r w:rsidRPr="0054554F">
        <w:rPr>
          <w:rFonts w:asciiTheme="minorHAnsi" w:hAnsiTheme="minorHAnsi" w:cstheme="minorHAnsi"/>
          <w:sz w:val="24"/>
          <w:szCs w:val="22"/>
        </w:rPr>
        <w:t xml:space="preserve">1. </w:t>
      </w:r>
    </w:p>
    <w:p w14:paraId="4DA818AD" w14:textId="77777777" w:rsidR="00A54CCC" w:rsidRPr="0054554F" w:rsidRDefault="00A54CCC" w:rsidP="00A54CCC">
      <w:pPr>
        <w:spacing w:after="0" w:line="240" w:lineRule="auto"/>
        <w:rPr>
          <w:rFonts w:asciiTheme="minorHAnsi" w:hAnsiTheme="minorHAnsi" w:cstheme="minorHAnsi"/>
          <w:sz w:val="24"/>
          <w:szCs w:val="22"/>
        </w:rPr>
      </w:pPr>
    </w:p>
    <w:p w14:paraId="44C78CB3" w14:textId="77777777" w:rsidR="000529F2" w:rsidRPr="0054554F" w:rsidRDefault="000529F2" w:rsidP="00A54CCC">
      <w:pPr>
        <w:spacing w:after="0" w:line="240" w:lineRule="auto"/>
        <w:rPr>
          <w:rFonts w:asciiTheme="minorHAnsi" w:hAnsiTheme="minorHAnsi" w:cstheme="minorHAnsi"/>
          <w:sz w:val="24"/>
          <w:szCs w:val="22"/>
        </w:rPr>
      </w:pPr>
      <w:r w:rsidRPr="0054554F">
        <w:rPr>
          <w:rFonts w:asciiTheme="minorHAnsi" w:hAnsiTheme="minorHAnsi" w:cstheme="minorHAnsi"/>
          <w:sz w:val="24"/>
          <w:szCs w:val="22"/>
        </w:rPr>
        <w:t>Kontrolovaným obdobím byly roky 2018 až 2020, v případě věcných souvislostí i období předcházející či následující.</w:t>
      </w:r>
    </w:p>
    <w:p w14:paraId="366D7F6D" w14:textId="77777777" w:rsidR="00A54CCC" w:rsidRPr="0054554F" w:rsidRDefault="00A54CCC" w:rsidP="00A54CCC">
      <w:pPr>
        <w:spacing w:after="0" w:line="240" w:lineRule="auto"/>
        <w:rPr>
          <w:rFonts w:asciiTheme="minorHAnsi" w:hAnsiTheme="minorHAnsi" w:cstheme="minorHAnsi"/>
          <w:sz w:val="24"/>
          <w:szCs w:val="22"/>
        </w:rPr>
      </w:pPr>
    </w:p>
    <w:p w14:paraId="21BE4E9E" w14:textId="77777777" w:rsidR="00FE5796" w:rsidRPr="0054554F" w:rsidRDefault="00FE5796" w:rsidP="00A54CCC">
      <w:pPr>
        <w:spacing w:after="0" w:line="240" w:lineRule="auto"/>
        <w:rPr>
          <w:rFonts w:asciiTheme="minorHAnsi" w:hAnsiTheme="minorHAnsi" w:cstheme="minorHAnsi"/>
          <w:b/>
          <w:sz w:val="24"/>
          <w:szCs w:val="22"/>
        </w:rPr>
      </w:pPr>
      <w:r w:rsidRPr="0054554F">
        <w:rPr>
          <w:rFonts w:asciiTheme="minorHAnsi" w:hAnsiTheme="minorHAnsi" w:cstheme="minorHAnsi"/>
          <w:b/>
          <w:sz w:val="24"/>
          <w:szCs w:val="22"/>
        </w:rPr>
        <w:t>Kontrolované osoby:</w:t>
      </w:r>
      <w:r w:rsidRPr="0054554F">
        <w:rPr>
          <w:rFonts w:asciiTheme="minorHAnsi" w:hAnsiTheme="minorHAnsi" w:cstheme="minorHAnsi"/>
          <w:b/>
          <w:sz w:val="24"/>
          <w:szCs w:val="22"/>
        </w:rPr>
        <w:tab/>
      </w:r>
    </w:p>
    <w:p w14:paraId="1CDACAF5" w14:textId="77777777" w:rsidR="005B06EE" w:rsidRPr="0054554F" w:rsidRDefault="000529F2" w:rsidP="00A54CCC">
      <w:pPr>
        <w:spacing w:after="0" w:line="240" w:lineRule="auto"/>
        <w:rPr>
          <w:rFonts w:asciiTheme="minorHAnsi" w:hAnsiTheme="minorHAnsi" w:cstheme="minorHAnsi"/>
          <w:spacing w:val="-4"/>
          <w:sz w:val="24"/>
        </w:rPr>
      </w:pPr>
      <w:r w:rsidRPr="0054554F">
        <w:rPr>
          <w:rFonts w:asciiTheme="minorHAnsi" w:hAnsiTheme="minorHAnsi" w:cstheme="minorHAnsi"/>
          <w:spacing w:val="-4"/>
          <w:sz w:val="24"/>
        </w:rPr>
        <w:t>Národní galerie v</w:t>
      </w:r>
      <w:r w:rsidR="005F385B" w:rsidRPr="0054554F">
        <w:rPr>
          <w:rFonts w:asciiTheme="minorHAnsi" w:hAnsiTheme="minorHAnsi" w:cstheme="minorHAnsi"/>
          <w:spacing w:val="-4"/>
          <w:sz w:val="24"/>
        </w:rPr>
        <w:t> </w:t>
      </w:r>
      <w:r w:rsidRPr="0054554F">
        <w:rPr>
          <w:rFonts w:asciiTheme="minorHAnsi" w:hAnsiTheme="minorHAnsi" w:cstheme="minorHAnsi"/>
          <w:spacing w:val="-4"/>
          <w:sz w:val="24"/>
        </w:rPr>
        <w:t>Praze</w:t>
      </w:r>
      <w:r w:rsidR="005F385B" w:rsidRPr="0054554F">
        <w:rPr>
          <w:rFonts w:asciiTheme="minorHAnsi" w:hAnsiTheme="minorHAnsi" w:cstheme="minorHAnsi"/>
          <w:spacing w:val="-4"/>
          <w:sz w:val="24"/>
        </w:rPr>
        <w:t xml:space="preserve"> (dále také „NG“)</w:t>
      </w:r>
      <w:r w:rsidRPr="0054554F">
        <w:rPr>
          <w:rFonts w:asciiTheme="minorHAnsi" w:hAnsiTheme="minorHAnsi" w:cstheme="minorHAnsi"/>
          <w:spacing w:val="-4"/>
          <w:sz w:val="24"/>
        </w:rPr>
        <w:t>;</w:t>
      </w:r>
    </w:p>
    <w:p w14:paraId="10A8DE64" w14:textId="77777777" w:rsidR="000529F2" w:rsidRPr="0054554F" w:rsidRDefault="000529F2" w:rsidP="00A54CCC">
      <w:pPr>
        <w:spacing w:after="0" w:line="240" w:lineRule="auto"/>
        <w:rPr>
          <w:rFonts w:asciiTheme="minorHAnsi" w:hAnsiTheme="minorHAnsi" w:cstheme="minorHAnsi"/>
          <w:spacing w:val="-4"/>
          <w:sz w:val="24"/>
        </w:rPr>
      </w:pPr>
      <w:r w:rsidRPr="0054554F">
        <w:rPr>
          <w:rFonts w:asciiTheme="minorHAnsi" w:hAnsiTheme="minorHAnsi" w:cstheme="minorHAnsi"/>
          <w:spacing w:val="-4"/>
          <w:sz w:val="24"/>
        </w:rPr>
        <w:t>Uměleckoprůmyslové museum v</w:t>
      </w:r>
      <w:r w:rsidR="005F385B" w:rsidRPr="0054554F">
        <w:rPr>
          <w:rFonts w:asciiTheme="minorHAnsi" w:hAnsiTheme="minorHAnsi" w:cstheme="minorHAnsi"/>
          <w:spacing w:val="-4"/>
          <w:sz w:val="24"/>
        </w:rPr>
        <w:t> </w:t>
      </w:r>
      <w:r w:rsidRPr="0054554F">
        <w:rPr>
          <w:rFonts w:asciiTheme="minorHAnsi" w:hAnsiTheme="minorHAnsi" w:cstheme="minorHAnsi"/>
          <w:spacing w:val="-4"/>
          <w:sz w:val="24"/>
        </w:rPr>
        <w:t>Praze</w:t>
      </w:r>
      <w:r w:rsidR="005F385B" w:rsidRPr="0054554F">
        <w:rPr>
          <w:rFonts w:asciiTheme="minorHAnsi" w:hAnsiTheme="minorHAnsi" w:cstheme="minorHAnsi"/>
          <w:spacing w:val="-4"/>
          <w:sz w:val="24"/>
        </w:rPr>
        <w:t xml:space="preserve"> (dále také „UPM“)</w:t>
      </w:r>
      <w:r w:rsidRPr="0054554F">
        <w:rPr>
          <w:rFonts w:asciiTheme="minorHAnsi" w:hAnsiTheme="minorHAnsi" w:cstheme="minorHAnsi"/>
          <w:spacing w:val="-4"/>
          <w:sz w:val="24"/>
        </w:rPr>
        <w:t xml:space="preserve">. </w:t>
      </w:r>
    </w:p>
    <w:p w14:paraId="39685D73" w14:textId="77777777" w:rsidR="000529F2" w:rsidRPr="0054554F" w:rsidRDefault="000529F2" w:rsidP="00E545C6">
      <w:pPr>
        <w:spacing w:line="240" w:lineRule="auto"/>
        <w:rPr>
          <w:rFonts w:asciiTheme="minorHAnsi" w:hAnsiTheme="minorHAnsi" w:cstheme="minorHAnsi"/>
          <w:spacing w:val="-4"/>
        </w:rPr>
      </w:pPr>
    </w:p>
    <w:bookmarkEnd w:id="1"/>
    <w:p w14:paraId="73D5C450" w14:textId="77777777" w:rsidR="00DB7B55" w:rsidRPr="00DC6987" w:rsidRDefault="00DB7B55" w:rsidP="00E545C6">
      <w:pPr>
        <w:spacing w:line="240" w:lineRule="auto"/>
        <w:rPr>
          <w:rFonts w:cs="Arial"/>
          <w:szCs w:val="22"/>
        </w:rPr>
      </w:pPr>
    </w:p>
    <w:p w14:paraId="6AD93276" w14:textId="77777777" w:rsidR="00FE5796" w:rsidRPr="00DC6987" w:rsidRDefault="00FE5796" w:rsidP="00E545C6">
      <w:pPr>
        <w:spacing w:line="240" w:lineRule="auto"/>
        <w:rPr>
          <w:rFonts w:cs="Arial"/>
        </w:rPr>
      </w:pPr>
    </w:p>
    <w:p w14:paraId="2971CD62" w14:textId="561A56ED" w:rsidR="00FE5796" w:rsidRPr="0054554F" w:rsidRDefault="00FE5796" w:rsidP="00E545C6">
      <w:pPr>
        <w:pStyle w:val="Zkladntext"/>
        <w:spacing w:line="240" w:lineRule="auto"/>
        <w:rPr>
          <w:rFonts w:ascii="Calibri" w:hAnsi="Calibri"/>
          <w:sz w:val="24"/>
        </w:rPr>
      </w:pPr>
      <w:r w:rsidRPr="0054554F">
        <w:rPr>
          <w:rFonts w:ascii="Calibri" w:hAnsi="Calibri"/>
          <w:b/>
          <w:i/>
          <w:spacing w:val="60"/>
          <w:sz w:val="24"/>
        </w:rPr>
        <w:t>Kolegium NKÚ</w:t>
      </w:r>
      <w:r w:rsidRPr="0054554F">
        <w:rPr>
          <w:rFonts w:ascii="Calibri" w:hAnsi="Calibri"/>
          <w:b/>
          <w:i/>
          <w:sz w:val="24"/>
        </w:rPr>
        <w:t xml:space="preserve"> </w:t>
      </w:r>
      <w:r w:rsidRPr="0054554F">
        <w:rPr>
          <w:rFonts w:ascii="Calibri" w:hAnsi="Calibri"/>
          <w:sz w:val="24"/>
        </w:rPr>
        <w:t xml:space="preserve">na svém </w:t>
      </w:r>
      <w:r w:rsidR="0054554F">
        <w:rPr>
          <w:rFonts w:ascii="Calibri" w:hAnsi="Calibri"/>
          <w:sz w:val="24"/>
        </w:rPr>
        <w:t>VIII. jednání</w:t>
      </w:r>
      <w:r w:rsidR="009E234F">
        <w:rPr>
          <w:rFonts w:ascii="Calibri" w:hAnsi="Calibri"/>
          <w:sz w:val="24"/>
        </w:rPr>
        <w:t>, které se</w:t>
      </w:r>
      <w:r w:rsidR="0054554F">
        <w:rPr>
          <w:rFonts w:ascii="Calibri" w:hAnsi="Calibri"/>
          <w:sz w:val="24"/>
        </w:rPr>
        <w:t xml:space="preserve"> </w:t>
      </w:r>
      <w:r w:rsidRPr="0054554F">
        <w:rPr>
          <w:rFonts w:ascii="Calibri" w:hAnsi="Calibri"/>
          <w:sz w:val="24"/>
        </w:rPr>
        <w:t>kona</w:t>
      </w:r>
      <w:r w:rsidR="009E234F">
        <w:rPr>
          <w:rFonts w:ascii="Calibri" w:hAnsi="Calibri"/>
          <w:sz w:val="24"/>
        </w:rPr>
        <w:t>lo</w:t>
      </w:r>
      <w:r w:rsidRPr="0054554F">
        <w:rPr>
          <w:rFonts w:ascii="Calibri" w:hAnsi="Calibri"/>
          <w:sz w:val="24"/>
        </w:rPr>
        <w:t xml:space="preserve"> dne </w:t>
      </w:r>
      <w:r w:rsidR="0054554F">
        <w:rPr>
          <w:rFonts w:ascii="Calibri" w:hAnsi="Calibri"/>
          <w:sz w:val="24"/>
        </w:rPr>
        <w:t xml:space="preserve">30. května </w:t>
      </w:r>
      <w:r w:rsidRPr="0054554F">
        <w:rPr>
          <w:rFonts w:ascii="Calibri" w:hAnsi="Calibri"/>
          <w:sz w:val="24"/>
        </w:rPr>
        <w:t>20</w:t>
      </w:r>
      <w:r w:rsidR="000529F2" w:rsidRPr="0054554F">
        <w:rPr>
          <w:rFonts w:ascii="Calibri" w:hAnsi="Calibri"/>
          <w:sz w:val="24"/>
        </w:rPr>
        <w:t>22</w:t>
      </w:r>
      <w:r w:rsidRPr="0054554F">
        <w:rPr>
          <w:rFonts w:ascii="Calibri" w:hAnsi="Calibri"/>
          <w:sz w:val="24"/>
        </w:rPr>
        <w:t>,</w:t>
      </w:r>
    </w:p>
    <w:p w14:paraId="0DE0ED77" w14:textId="2A606C0F" w:rsidR="00FE5796" w:rsidRPr="0054554F" w:rsidRDefault="00FE5796" w:rsidP="00E545C6">
      <w:pPr>
        <w:spacing w:line="240" w:lineRule="auto"/>
        <w:rPr>
          <w:rFonts w:ascii="Calibri" w:hAnsi="Calibri"/>
          <w:sz w:val="24"/>
          <w:shd w:val="clear" w:color="auto" w:fill="FFFF00"/>
        </w:rPr>
      </w:pPr>
      <w:r w:rsidRPr="0054554F">
        <w:rPr>
          <w:rFonts w:ascii="Calibri" w:hAnsi="Calibri"/>
          <w:b/>
          <w:i/>
          <w:spacing w:val="60"/>
          <w:sz w:val="24"/>
        </w:rPr>
        <w:t>schválilo</w:t>
      </w:r>
      <w:r w:rsidRPr="0054554F">
        <w:rPr>
          <w:rFonts w:ascii="Calibri" w:hAnsi="Calibri"/>
          <w:b/>
          <w:i/>
          <w:sz w:val="24"/>
        </w:rPr>
        <w:t xml:space="preserve"> </w:t>
      </w:r>
      <w:r w:rsidRPr="0054554F">
        <w:rPr>
          <w:rFonts w:ascii="Calibri" w:hAnsi="Calibri"/>
          <w:sz w:val="24"/>
        </w:rPr>
        <w:t xml:space="preserve">usnesením č. </w:t>
      </w:r>
      <w:r w:rsidR="0054554F">
        <w:rPr>
          <w:rFonts w:ascii="Calibri" w:hAnsi="Calibri"/>
          <w:sz w:val="24"/>
        </w:rPr>
        <w:t>9</w:t>
      </w:r>
      <w:r w:rsidRPr="0054554F">
        <w:rPr>
          <w:rFonts w:ascii="Calibri" w:hAnsi="Calibri"/>
          <w:sz w:val="24"/>
        </w:rPr>
        <w:t>/</w:t>
      </w:r>
      <w:r w:rsidR="0054554F">
        <w:rPr>
          <w:rFonts w:ascii="Calibri" w:hAnsi="Calibri"/>
          <w:sz w:val="24"/>
        </w:rPr>
        <w:t>VIII</w:t>
      </w:r>
      <w:r w:rsidRPr="0054554F">
        <w:rPr>
          <w:rFonts w:ascii="Calibri" w:hAnsi="Calibri"/>
          <w:sz w:val="24"/>
        </w:rPr>
        <w:t>/20</w:t>
      </w:r>
      <w:r w:rsidR="000529F2" w:rsidRPr="0054554F">
        <w:rPr>
          <w:rFonts w:ascii="Calibri" w:hAnsi="Calibri"/>
          <w:sz w:val="24"/>
        </w:rPr>
        <w:t>22</w:t>
      </w:r>
    </w:p>
    <w:p w14:paraId="09029EF0" w14:textId="77777777" w:rsidR="00FE5796" w:rsidRPr="0054554F" w:rsidRDefault="00FE5796" w:rsidP="00E545C6">
      <w:pPr>
        <w:spacing w:line="240" w:lineRule="auto"/>
        <w:rPr>
          <w:rFonts w:ascii="Calibri" w:hAnsi="Calibri"/>
          <w:sz w:val="24"/>
        </w:rPr>
      </w:pPr>
      <w:r w:rsidRPr="0054554F">
        <w:rPr>
          <w:rFonts w:ascii="Calibri" w:hAnsi="Calibri"/>
          <w:b/>
          <w:i/>
          <w:spacing w:val="60"/>
          <w:sz w:val="24"/>
        </w:rPr>
        <w:t>kontrolní</w:t>
      </w:r>
      <w:r w:rsidRPr="0054554F">
        <w:rPr>
          <w:rFonts w:ascii="Calibri" w:hAnsi="Calibri"/>
          <w:b/>
          <w:i/>
          <w:sz w:val="24"/>
        </w:rPr>
        <w:t xml:space="preserve"> </w:t>
      </w:r>
      <w:r w:rsidRPr="0054554F">
        <w:rPr>
          <w:rFonts w:ascii="Calibri" w:hAnsi="Calibri"/>
          <w:b/>
          <w:i/>
          <w:spacing w:val="60"/>
          <w:sz w:val="24"/>
        </w:rPr>
        <w:t>závěr</w:t>
      </w:r>
      <w:r w:rsidRPr="0054554F">
        <w:rPr>
          <w:rFonts w:ascii="Calibri" w:hAnsi="Calibri"/>
          <w:i/>
          <w:sz w:val="24"/>
        </w:rPr>
        <w:t xml:space="preserve"> </w:t>
      </w:r>
      <w:r w:rsidRPr="0054554F">
        <w:rPr>
          <w:rFonts w:ascii="Calibri" w:hAnsi="Calibri"/>
          <w:sz w:val="24"/>
        </w:rPr>
        <w:t>v tomto znění:</w:t>
      </w:r>
    </w:p>
    <w:p w14:paraId="44981336" w14:textId="77777777" w:rsidR="00A54CCC" w:rsidRPr="0054554F" w:rsidRDefault="00A54CCC">
      <w:pPr>
        <w:suppressAutoHyphens w:val="0"/>
        <w:spacing w:before="120" w:after="0"/>
        <w:rPr>
          <w:rFonts w:ascii="Calibri" w:hAnsi="Calibri"/>
          <w:spacing w:val="20"/>
          <w:sz w:val="24"/>
        </w:rPr>
      </w:pPr>
      <w:r w:rsidRPr="0054554F">
        <w:rPr>
          <w:rFonts w:ascii="Calibri" w:hAnsi="Calibri"/>
          <w:spacing w:val="20"/>
          <w:sz w:val="24"/>
        </w:rPr>
        <w:br w:type="page"/>
      </w:r>
    </w:p>
    <w:p w14:paraId="1925D709" w14:textId="77777777" w:rsidR="00B807C0" w:rsidRDefault="00B807C0" w:rsidP="00B807C0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</w:pPr>
    </w:p>
    <w:p w14:paraId="5BB734A2" w14:textId="5E6EA6DC" w:rsidR="004A0AD1" w:rsidRDefault="00BA2B15" w:rsidP="00B807C0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sectPr w:rsidR="004A0AD1" w:rsidSect="00BE03A9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t>Příspěvkové</w:t>
      </w:r>
      <w:r w:rsidR="003F3C6F"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t xml:space="preserve"> organizac</w:t>
      </w:r>
      <w:r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t xml:space="preserve">e v číslech </w:t>
      </w:r>
      <w:r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br/>
      </w:r>
      <w:r w:rsidR="003F3C6F"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t>za období</w:t>
      </w:r>
      <w:r>
        <w:rPr>
          <w:rFonts w:asciiTheme="minorHAnsi" w:hAnsiTheme="minorHAnsi" w:cstheme="minorHAnsi"/>
          <w:b/>
          <w:color w:val="252423"/>
          <w:sz w:val="40"/>
          <w:szCs w:val="40"/>
          <w:lang w:eastAsia="cs-CZ"/>
        </w:rPr>
        <w:t xml:space="preserve"> 2018–2020</w:t>
      </w:r>
    </w:p>
    <w:p w14:paraId="1E6B05D1" w14:textId="77777777" w:rsidR="004A0AD1" w:rsidRDefault="004A0AD1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ACAEA09" w14:textId="77777777" w:rsidR="004A0AD1" w:rsidRDefault="004A0AD1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925"/>
        <w:gridCol w:w="2925"/>
      </w:tblGrid>
      <w:tr w:rsidR="00F665D2" w14:paraId="7D2D3476" w14:textId="77777777" w:rsidTr="00F665D2">
        <w:trPr>
          <w:trHeight w:val="546"/>
        </w:trPr>
        <w:tc>
          <w:tcPr>
            <w:tcW w:w="2924" w:type="dxa"/>
            <w:hideMark/>
          </w:tcPr>
          <w:p w14:paraId="25811D35" w14:textId="77777777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7E1DEE">
              <w:rPr>
                <w:rFonts w:asciiTheme="minorHAnsi" w:hAnsiTheme="minorHAnsi" w:cstheme="minorHAnsi"/>
                <w:b/>
                <w:sz w:val="24"/>
              </w:rPr>
              <w:t>N</w:t>
            </w:r>
            <w:r w:rsidR="00DD5723">
              <w:rPr>
                <w:rFonts w:asciiTheme="minorHAnsi" w:hAnsiTheme="minorHAnsi" w:cstheme="minorHAnsi"/>
                <w:b/>
                <w:sz w:val="24"/>
              </w:rPr>
              <w:t xml:space="preserve">árodní galerie </w:t>
            </w:r>
            <w:r w:rsidR="00DD5723">
              <w:rPr>
                <w:rFonts w:asciiTheme="minorHAnsi" w:hAnsiTheme="minorHAnsi" w:cstheme="minorHAnsi"/>
                <w:b/>
                <w:sz w:val="24"/>
              </w:rPr>
              <w:br/>
              <w:t>v Praze</w:t>
            </w:r>
          </w:p>
        </w:tc>
        <w:tc>
          <w:tcPr>
            <w:tcW w:w="2925" w:type="dxa"/>
          </w:tcPr>
          <w:p w14:paraId="654A4E19" w14:textId="77777777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925" w:type="dxa"/>
            <w:hideMark/>
          </w:tcPr>
          <w:p w14:paraId="6EA2F8BC" w14:textId="77777777" w:rsidR="00F665D2" w:rsidRPr="00DD5723" w:rsidRDefault="00DD5723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D5723">
              <w:rPr>
                <w:rFonts w:ascii="Calibri" w:hAnsi="Calibri"/>
                <w:b/>
                <w:spacing w:val="-4"/>
                <w:sz w:val="24"/>
              </w:rPr>
              <w:t>Uměleckoprůmyslové museum v Praze</w:t>
            </w:r>
          </w:p>
        </w:tc>
      </w:tr>
      <w:tr w:rsidR="00503D67" w14:paraId="3FF76C54" w14:textId="77777777" w:rsidTr="00F665D2">
        <w:trPr>
          <w:trHeight w:val="546"/>
        </w:trPr>
        <w:tc>
          <w:tcPr>
            <w:tcW w:w="2924" w:type="dxa"/>
          </w:tcPr>
          <w:p w14:paraId="4A428FEC" w14:textId="77777777" w:rsidR="00503D67" w:rsidRPr="007E1DEE" w:rsidRDefault="00503D6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925" w:type="dxa"/>
          </w:tcPr>
          <w:p w14:paraId="769830B7" w14:textId="77777777" w:rsidR="00503D67" w:rsidRPr="007E1DEE" w:rsidRDefault="00503D6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925" w:type="dxa"/>
          </w:tcPr>
          <w:p w14:paraId="4791D078" w14:textId="77777777" w:rsidR="00503D67" w:rsidRPr="007E1DEE" w:rsidRDefault="00503D6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03D67" w14:paraId="124B2D45" w14:textId="77777777" w:rsidTr="00F665D2">
        <w:trPr>
          <w:trHeight w:val="546"/>
        </w:trPr>
        <w:tc>
          <w:tcPr>
            <w:tcW w:w="2924" w:type="dxa"/>
          </w:tcPr>
          <w:p w14:paraId="1203991A" w14:textId="77777777" w:rsidR="00503D67" w:rsidRPr="007E1DEE" w:rsidRDefault="00503D6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03D67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1 344,6 mil. Kč</w:t>
            </w:r>
          </w:p>
        </w:tc>
        <w:tc>
          <w:tcPr>
            <w:tcW w:w="2925" w:type="dxa"/>
          </w:tcPr>
          <w:p w14:paraId="2F1531F8" w14:textId="79D86FC3" w:rsidR="00503D67" w:rsidRPr="00503D67" w:rsidRDefault="00503D67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503D67">
              <w:rPr>
                <w:rFonts w:asciiTheme="minorHAnsi" w:hAnsiTheme="minorHAnsi" w:cstheme="minorHAnsi"/>
                <w:sz w:val="24"/>
              </w:rPr>
              <w:t xml:space="preserve">Celkové náklady </w:t>
            </w:r>
            <w:r>
              <w:rPr>
                <w:rFonts w:asciiTheme="minorHAnsi" w:hAnsiTheme="minorHAnsi" w:cstheme="minorHAnsi"/>
                <w:sz w:val="24"/>
              </w:rPr>
              <w:t xml:space="preserve">organizace </w:t>
            </w:r>
            <w:r w:rsidRPr="00503D67">
              <w:rPr>
                <w:rFonts w:asciiTheme="minorHAnsi" w:hAnsiTheme="minorHAnsi" w:cstheme="minorHAnsi"/>
                <w:sz w:val="24"/>
              </w:rPr>
              <w:t>za roky 2018</w:t>
            </w:r>
            <w:r w:rsidR="003F3C6F">
              <w:rPr>
                <w:rFonts w:asciiTheme="minorHAnsi" w:hAnsiTheme="minorHAnsi" w:cstheme="minorHAnsi"/>
                <w:sz w:val="24"/>
              </w:rPr>
              <w:t>–</w:t>
            </w:r>
            <w:r w:rsidRPr="00503D67">
              <w:rPr>
                <w:rFonts w:asciiTheme="minorHAnsi" w:hAnsiTheme="minorHAnsi" w:cstheme="minorHAnsi"/>
                <w:sz w:val="24"/>
              </w:rPr>
              <w:t>2020</w:t>
            </w:r>
          </w:p>
        </w:tc>
        <w:tc>
          <w:tcPr>
            <w:tcW w:w="2925" w:type="dxa"/>
          </w:tcPr>
          <w:p w14:paraId="5B2AC16C" w14:textId="77777777" w:rsidR="00503D67" w:rsidRPr="00503D67" w:rsidRDefault="00503D67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 w:rsidRPr="00503D67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359,8 mil. Kč</w:t>
            </w:r>
          </w:p>
        </w:tc>
      </w:tr>
      <w:tr w:rsidR="00F665D2" w14:paraId="57273F9D" w14:textId="77777777" w:rsidTr="00F665D2">
        <w:trPr>
          <w:trHeight w:val="1118"/>
        </w:trPr>
        <w:tc>
          <w:tcPr>
            <w:tcW w:w="2924" w:type="dxa"/>
            <w:vAlign w:val="center"/>
            <w:hideMark/>
          </w:tcPr>
          <w:p w14:paraId="69146C28" w14:textId="77777777" w:rsidR="00F665D2" w:rsidRPr="007E1DEE" w:rsidRDefault="00902A98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 w:rsidRPr="00902A98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245,3</w:t>
            </w:r>
            <w:r w:rsidR="00F665D2" w:rsidRPr="00902A98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 xml:space="preserve"> mil. Kč</w:t>
            </w:r>
          </w:p>
        </w:tc>
        <w:tc>
          <w:tcPr>
            <w:tcW w:w="2925" w:type="dxa"/>
            <w:vAlign w:val="center"/>
            <w:hideMark/>
          </w:tcPr>
          <w:p w14:paraId="4F862E4B" w14:textId="055B4120" w:rsidR="00F665D2" w:rsidRDefault="00F665D2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7E1DEE">
              <w:rPr>
                <w:rFonts w:asciiTheme="minorHAnsi" w:hAnsiTheme="minorHAnsi" w:cstheme="minorHAnsi"/>
                <w:sz w:val="24"/>
              </w:rPr>
              <w:t xml:space="preserve">Náklady na výstavy celkem </w:t>
            </w:r>
            <w:r w:rsidR="007F5AC1" w:rsidRPr="007E1DEE">
              <w:rPr>
                <w:rFonts w:asciiTheme="minorHAnsi" w:hAnsiTheme="minorHAnsi" w:cstheme="minorHAnsi"/>
                <w:sz w:val="24"/>
              </w:rPr>
              <w:t>za roky 2018</w:t>
            </w:r>
            <w:r w:rsidR="003F3C6F">
              <w:rPr>
                <w:rFonts w:asciiTheme="minorHAnsi" w:hAnsiTheme="minorHAnsi" w:cstheme="minorHAnsi"/>
                <w:sz w:val="24"/>
              </w:rPr>
              <w:t>–</w:t>
            </w:r>
            <w:r w:rsidR="007F5AC1" w:rsidRPr="007E1DEE">
              <w:rPr>
                <w:rFonts w:asciiTheme="minorHAnsi" w:hAnsiTheme="minorHAnsi" w:cstheme="minorHAnsi"/>
                <w:sz w:val="24"/>
              </w:rPr>
              <w:t>2020</w:t>
            </w:r>
          </w:p>
          <w:p w14:paraId="69AAE56F" w14:textId="77777777" w:rsidR="00503D67" w:rsidRPr="007E1DEE" w:rsidRDefault="00503D67" w:rsidP="00503D67">
            <w:pPr>
              <w:spacing w:after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25" w:type="dxa"/>
            <w:vAlign w:val="center"/>
            <w:hideMark/>
          </w:tcPr>
          <w:p w14:paraId="5C30CCA2" w14:textId="77777777" w:rsidR="00F665D2" w:rsidRPr="007E1DEE" w:rsidRDefault="00DF5A7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 w:rsidRPr="00DF5A7E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14,7</w:t>
            </w:r>
            <w:r w:rsidR="00F665D2" w:rsidRPr="00DF5A7E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 xml:space="preserve"> mil. Kč</w:t>
            </w:r>
          </w:p>
        </w:tc>
      </w:tr>
      <w:tr w:rsidR="00902A98" w14:paraId="19E8E198" w14:textId="77777777" w:rsidTr="00A354BE">
        <w:trPr>
          <w:trHeight w:val="1093"/>
        </w:trPr>
        <w:tc>
          <w:tcPr>
            <w:tcW w:w="2924" w:type="dxa"/>
            <w:vAlign w:val="center"/>
            <w:hideMark/>
          </w:tcPr>
          <w:p w14:paraId="17C03EEF" w14:textId="77777777" w:rsidR="00902A98" w:rsidRPr="007E1DEE" w:rsidRDefault="00902A98" w:rsidP="00A354B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1 512</w:t>
            </w:r>
            <w:r w:rsidR="00503D67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 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472</w:t>
            </w:r>
          </w:p>
        </w:tc>
        <w:tc>
          <w:tcPr>
            <w:tcW w:w="2925" w:type="dxa"/>
            <w:vAlign w:val="center"/>
            <w:hideMark/>
          </w:tcPr>
          <w:p w14:paraId="453B0295" w14:textId="1A33F6C7" w:rsidR="00902A98" w:rsidRPr="007E1DEE" w:rsidRDefault="00902A98" w:rsidP="00A354BE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7E1DEE">
              <w:rPr>
                <w:rFonts w:asciiTheme="minorHAnsi" w:hAnsiTheme="minorHAnsi" w:cstheme="minorHAnsi"/>
                <w:sz w:val="24"/>
              </w:rPr>
              <w:t>Počet návštěvníků celkem za roky 2018</w:t>
            </w:r>
            <w:r w:rsidR="003F3C6F">
              <w:rPr>
                <w:rFonts w:asciiTheme="minorHAnsi" w:hAnsiTheme="minorHAnsi" w:cstheme="minorHAnsi"/>
                <w:sz w:val="24"/>
              </w:rPr>
              <w:t>–</w:t>
            </w:r>
            <w:r w:rsidRPr="007E1DEE">
              <w:rPr>
                <w:rFonts w:asciiTheme="minorHAnsi" w:hAnsiTheme="minorHAnsi" w:cstheme="minorHAnsi"/>
                <w:sz w:val="24"/>
              </w:rPr>
              <w:t>2020</w:t>
            </w:r>
          </w:p>
        </w:tc>
        <w:tc>
          <w:tcPr>
            <w:tcW w:w="2925" w:type="dxa"/>
            <w:vAlign w:val="center"/>
            <w:hideMark/>
          </w:tcPr>
          <w:p w14:paraId="03DEEAF8" w14:textId="77777777" w:rsidR="00902A98" w:rsidRPr="007E1DEE" w:rsidRDefault="00902A98" w:rsidP="00A354B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 w:rsidRPr="007E1DEE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230 855</w:t>
            </w:r>
          </w:p>
        </w:tc>
      </w:tr>
      <w:tr w:rsidR="00902A98" w14:paraId="6CAFCF4E" w14:textId="77777777" w:rsidTr="00A354BE">
        <w:trPr>
          <w:trHeight w:val="1118"/>
        </w:trPr>
        <w:tc>
          <w:tcPr>
            <w:tcW w:w="2924" w:type="dxa"/>
            <w:vAlign w:val="center"/>
          </w:tcPr>
          <w:p w14:paraId="16235239" w14:textId="77777777" w:rsidR="00902A98" w:rsidRDefault="00902A98" w:rsidP="00A354B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599</w:t>
            </w:r>
            <w:r w:rsidR="00B00170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 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836</w:t>
            </w:r>
          </w:p>
          <w:p w14:paraId="64160B8D" w14:textId="77777777" w:rsidR="00B00170" w:rsidRDefault="00B00170" w:rsidP="00A354B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(39,7)</w:t>
            </w:r>
          </w:p>
        </w:tc>
        <w:tc>
          <w:tcPr>
            <w:tcW w:w="2925" w:type="dxa"/>
            <w:vAlign w:val="center"/>
          </w:tcPr>
          <w:p w14:paraId="3CC61EED" w14:textId="4496794A" w:rsidR="00902A98" w:rsidRDefault="00902A98" w:rsidP="00A354BE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Počty </w:t>
            </w:r>
            <w:r w:rsidR="006654C0">
              <w:rPr>
                <w:rFonts w:asciiTheme="minorHAnsi" w:hAnsiTheme="minorHAnsi" w:cstheme="minorHAnsi"/>
                <w:sz w:val="24"/>
              </w:rPr>
              <w:t>návštěvníků</w:t>
            </w:r>
            <w:r>
              <w:rPr>
                <w:rFonts w:asciiTheme="minorHAnsi" w:hAnsiTheme="minorHAnsi" w:cstheme="minorHAnsi"/>
                <w:sz w:val="24"/>
              </w:rPr>
              <w:t xml:space="preserve"> zdarma za roky 2018</w:t>
            </w:r>
            <w:r w:rsidR="00B00170">
              <w:rPr>
                <w:rFonts w:asciiTheme="minorHAnsi" w:hAnsiTheme="minorHAnsi" w:cstheme="minorHAnsi"/>
                <w:sz w:val="24"/>
              </w:rPr>
              <w:t>–</w:t>
            </w:r>
            <w:r>
              <w:rPr>
                <w:rFonts w:asciiTheme="minorHAnsi" w:hAnsiTheme="minorHAnsi" w:cstheme="minorHAnsi"/>
                <w:sz w:val="24"/>
              </w:rPr>
              <w:t>2020</w:t>
            </w:r>
          </w:p>
          <w:p w14:paraId="179D49DC" w14:textId="77777777" w:rsidR="00B00170" w:rsidRPr="007E1DEE" w:rsidRDefault="00B00170" w:rsidP="00A354BE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(tj. % z celkov</w:t>
            </w:r>
            <w:r w:rsidR="006654C0">
              <w:rPr>
                <w:rFonts w:asciiTheme="minorHAnsi" w:hAnsiTheme="minorHAnsi" w:cstheme="minorHAnsi"/>
                <w:sz w:val="24"/>
              </w:rPr>
              <w:t>é</w:t>
            </w:r>
            <w:r>
              <w:rPr>
                <w:rFonts w:asciiTheme="minorHAnsi" w:hAnsiTheme="minorHAnsi" w:cstheme="minorHAnsi"/>
                <w:sz w:val="24"/>
              </w:rPr>
              <w:t>h</w:t>
            </w:r>
            <w:r w:rsidR="006654C0">
              <w:rPr>
                <w:rFonts w:asciiTheme="minorHAnsi" w:hAnsiTheme="minorHAnsi" w:cstheme="minorHAnsi"/>
                <w:sz w:val="24"/>
              </w:rPr>
              <w:t>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654C0">
              <w:rPr>
                <w:rFonts w:asciiTheme="minorHAnsi" w:hAnsiTheme="minorHAnsi" w:cstheme="minorHAnsi"/>
                <w:sz w:val="24"/>
              </w:rPr>
              <w:t>počtu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2925" w:type="dxa"/>
            <w:vAlign w:val="center"/>
          </w:tcPr>
          <w:p w14:paraId="082735A5" w14:textId="77777777" w:rsidR="00902A98" w:rsidRDefault="00902A98" w:rsidP="00A354B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28</w:t>
            </w:r>
            <w:r w:rsidR="00B00170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 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307</w:t>
            </w:r>
          </w:p>
          <w:p w14:paraId="6341C1AC" w14:textId="77777777" w:rsidR="00B00170" w:rsidRPr="007E1DEE" w:rsidRDefault="00B00170" w:rsidP="00A354BE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(12,3)</w:t>
            </w:r>
          </w:p>
        </w:tc>
      </w:tr>
      <w:tr w:rsidR="00F665D2" w14:paraId="403100CD" w14:textId="77777777" w:rsidTr="00F665D2">
        <w:trPr>
          <w:trHeight w:val="1118"/>
        </w:trPr>
        <w:tc>
          <w:tcPr>
            <w:tcW w:w="2924" w:type="dxa"/>
            <w:vAlign w:val="center"/>
          </w:tcPr>
          <w:p w14:paraId="2FB0CBCA" w14:textId="77777777" w:rsidR="00F665D2" w:rsidRPr="007E1DEE" w:rsidRDefault="002B5B2D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104</w:t>
            </w:r>
            <w:r w:rsidR="001D352B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,3 mil. Kč</w:t>
            </w:r>
          </w:p>
        </w:tc>
        <w:tc>
          <w:tcPr>
            <w:tcW w:w="2925" w:type="dxa"/>
            <w:vAlign w:val="center"/>
            <w:hideMark/>
          </w:tcPr>
          <w:p w14:paraId="2C86BFF4" w14:textId="3693574C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7E1DEE">
              <w:rPr>
                <w:rFonts w:asciiTheme="minorHAnsi" w:hAnsiTheme="minorHAnsi" w:cstheme="minorHAnsi"/>
                <w:sz w:val="24"/>
              </w:rPr>
              <w:t>Tržby ze vstupného celkem za roky 2018</w:t>
            </w:r>
            <w:r w:rsidR="003F3C6F">
              <w:rPr>
                <w:rFonts w:asciiTheme="minorHAnsi" w:hAnsiTheme="minorHAnsi" w:cstheme="minorHAnsi"/>
                <w:sz w:val="24"/>
              </w:rPr>
              <w:t>–</w:t>
            </w:r>
            <w:r w:rsidRPr="007E1DEE">
              <w:rPr>
                <w:rFonts w:asciiTheme="minorHAnsi" w:hAnsiTheme="minorHAnsi" w:cstheme="minorHAnsi"/>
                <w:sz w:val="24"/>
              </w:rPr>
              <w:t>2020</w:t>
            </w:r>
          </w:p>
        </w:tc>
        <w:tc>
          <w:tcPr>
            <w:tcW w:w="2925" w:type="dxa"/>
            <w:vAlign w:val="center"/>
            <w:hideMark/>
          </w:tcPr>
          <w:p w14:paraId="487EB6A0" w14:textId="77777777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  <w:r w:rsidRPr="007E1DEE"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  <w:t>26,4 mil. Kč</w:t>
            </w:r>
          </w:p>
        </w:tc>
      </w:tr>
      <w:tr w:rsidR="00F665D2" w14:paraId="3C6ACD69" w14:textId="77777777" w:rsidTr="005C1B2B">
        <w:trPr>
          <w:trHeight w:val="2238"/>
        </w:trPr>
        <w:tc>
          <w:tcPr>
            <w:tcW w:w="2924" w:type="dxa"/>
            <w:vAlign w:val="center"/>
          </w:tcPr>
          <w:p w14:paraId="32F888CC" w14:textId="77777777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</w:p>
        </w:tc>
        <w:tc>
          <w:tcPr>
            <w:tcW w:w="2925" w:type="dxa"/>
            <w:vAlign w:val="center"/>
          </w:tcPr>
          <w:p w14:paraId="03A4C92A" w14:textId="77777777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25" w:type="dxa"/>
            <w:vAlign w:val="center"/>
          </w:tcPr>
          <w:p w14:paraId="63C5F592" w14:textId="77777777" w:rsidR="00F665D2" w:rsidRPr="007E1DEE" w:rsidRDefault="00F665D2">
            <w:pPr>
              <w:spacing w:after="0"/>
              <w:jc w:val="center"/>
              <w:rPr>
                <w:rFonts w:asciiTheme="minorHAnsi" w:hAnsiTheme="minorHAnsi" w:cstheme="minorHAnsi"/>
                <w:color w:val="365F91" w:themeColor="accent1" w:themeShade="BF"/>
                <w:sz w:val="24"/>
              </w:rPr>
            </w:pPr>
          </w:p>
        </w:tc>
      </w:tr>
    </w:tbl>
    <w:p w14:paraId="68571A25" w14:textId="77777777" w:rsidR="00F665D2" w:rsidRDefault="00F665D2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7092F7F2" w14:textId="77777777" w:rsidR="00F665D2" w:rsidRDefault="00F665D2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513EFE71" w14:textId="77777777" w:rsidR="00F665D2" w:rsidRDefault="00F665D2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78B414E2" w14:textId="77777777" w:rsidR="004A0AD1" w:rsidRDefault="004A0AD1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2F920828" w14:textId="77777777" w:rsidR="004A0AD1" w:rsidRDefault="004A0AD1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104FA94C" w14:textId="77777777" w:rsidR="00C73D57" w:rsidRDefault="00C73D57">
      <w:pPr>
        <w:suppressAutoHyphens w:val="0"/>
        <w:spacing w:before="120" w:after="0"/>
        <w:rPr>
          <w:rFonts w:asciiTheme="minorHAnsi" w:hAnsiTheme="minorHAnsi" w:cstheme="minorHAnsi"/>
          <w:b/>
          <w:spacing w:val="20"/>
          <w:sz w:val="24"/>
        </w:rPr>
      </w:pPr>
      <w:r>
        <w:rPr>
          <w:rFonts w:asciiTheme="minorHAnsi" w:hAnsiTheme="minorHAnsi" w:cstheme="minorHAnsi"/>
          <w:b/>
          <w:spacing w:val="20"/>
          <w:sz w:val="24"/>
        </w:rPr>
        <w:br w:type="page"/>
      </w:r>
    </w:p>
    <w:p w14:paraId="5B1E7604" w14:textId="77777777" w:rsidR="00A54CCC" w:rsidRPr="00ED342F" w:rsidRDefault="00A54CCC" w:rsidP="00B807C0">
      <w:pPr>
        <w:spacing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ED342F">
        <w:rPr>
          <w:rFonts w:asciiTheme="minorHAnsi" w:hAnsiTheme="minorHAnsi" w:cstheme="minorHAnsi"/>
          <w:b/>
          <w:spacing w:val="20"/>
          <w:sz w:val="24"/>
        </w:rPr>
        <w:lastRenderedPageBreak/>
        <w:t>I. Shrnutí a vyhodnocení</w:t>
      </w:r>
    </w:p>
    <w:p w14:paraId="3AA25424" w14:textId="77777777" w:rsidR="00087B85" w:rsidRDefault="00087B85" w:rsidP="00743736">
      <w:pPr>
        <w:spacing w:line="240" w:lineRule="auto"/>
        <w:jc w:val="center"/>
        <w:rPr>
          <w:b/>
          <w:spacing w:val="20"/>
        </w:rPr>
      </w:pPr>
    </w:p>
    <w:p w14:paraId="0082B702" w14:textId="34F0871E" w:rsidR="00087B85" w:rsidRPr="006475E5" w:rsidRDefault="007A7663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Nejvyšší kontrolní úřad</w:t>
      </w:r>
      <w:r w:rsidR="00087B85" w:rsidRPr="006475E5">
        <w:rPr>
          <w:rFonts w:asciiTheme="minorHAnsi" w:hAnsiTheme="minorHAnsi" w:cstheme="minorHAnsi"/>
          <w:sz w:val="24"/>
        </w:rPr>
        <w:t xml:space="preserve"> provedl kontrolu majetku a peněžních prostředků státu, se kterými jsou příslušné hospodařit příspěvkové organizace </w:t>
      </w:r>
      <w:r>
        <w:rPr>
          <w:rFonts w:asciiTheme="minorHAnsi" w:hAnsiTheme="minorHAnsi" w:cstheme="minorHAnsi"/>
          <w:sz w:val="24"/>
        </w:rPr>
        <w:t>M</w:t>
      </w:r>
      <w:r w:rsidR="00087B85" w:rsidRPr="006475E5">
        <w:rPr>
          <w:rFonts w:asciiTheme="minorHAnsi" w:hAnsiTheme="minorHAnsi" w:cstheme="minorHAnsi"/>
          <w:sz w:val="24"/>
        </w:rPr>
        <w:t>inisterstva kultury Národní galerie v Praze a Uměleckoprůmyslové museum v Praze.</w:t>
      </w:r>
    </w:p>
    <w:p w14:paraId="31B3779B" w14:textId="607B61CC" w:rsidR="00087B85" w:rsidRPr="006475E5" w:rsidRDefault="00087B85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 w:rsidRPr="006475E5">
        <w:rPr>
          <w:rFonts w:asciiTheme="minorHAnsi" w:hAnsiTheme="minorHAnsi" w:cstheme="minorHAnsi"/>
          <w:sz w:val="24"/>
        </w:rPr>
        <w:t>Cílem kontrol</w:t>
      </w:r>
      <w:r w:rsidR="00976C8D">
        <w:rPr>
          <w:rFonts w:asciiTheme="minorHAnsi" w:hAnsiTheme="minorHAnsi" w:cstheme="minorHAnsi"/>
          <w:sz w:val="24"/>
        </w:rPr>
        <w:t>ní</w:t>
      </w:r>
      <w:r w:rsidRPr="006475E5">
        <w:rPr>
          <w:rFonts w:asciiTheme="minorHAnsi" w:hAnsiTheme="minorHAnsi" w:cstheme="minorHAnsi"/>
          <w:sz w:val="24"/>
        </w:rPr>
        <w:t xml:space="preserve"> </w:t>
      </w:r>
      <w:r w:rsidR="00976C8D">
        <w:rPr>
          <w:rFonts w:asciiTheme="minorHAnsi" w:hAnsiTheme="minorHAnsi" w:cstheme="minorHAnsi"/>
          <w:sz w:val="24"/>
        </w:rPr>
        <w:t xml:space="preserve">akce </w:t>
      </w:r>
      <w:r w:rsidRPr="006475E5">
        <w:rPr>
          <w:rFonts w:asciiTheme="minorHAnsi" w:hAnsiTheme="minorHAnsi" w:cstheme="minorHAnsi"/>
          <w:sz w:val="24"/>
        </w:rPr>
        <w:t>bylo prověřit, zda příspěvkové organizace Národní galerie v Praze a</w:t>
      </w:r>
      <w:r w:rsidR="007A7663">
        <w:rPr>
          <w:rFonts w:asciiTheme="minorHAnsi" w:hAnsiTheme="minorHAnsi" w:cstheme="minorHAnsi"/>
          <w:sz w:val="24"/>
        </w:rPr>
        <w:t> </w:t>
      </w:r>
      <w:r w:rsidRPr="006475E5">
        <w:rPr>
          <w:rFonts w:asciiTheme="minorHAnsi" w:hAnsiTheme="minorHAnsi" w:cstheme="minorHAnsi"/>
          <w:sz w:val="24"/>
        </w:rPr>
        <w:t xml:space="preserve">Uměleckoprůmyslové museum v Praze hospodaří s majetkem a peněžními prostředky státu účelně, hospodárně a v souladu s právními předpisy. </w:t>
      </w:r>
    </w:p>
    <w:p w14:paraId="4D0051C5" w14:textId="77777777" w:rsidR="00535DB2" w:rsidRDefault="00535DB2" w:rsidP="0083260D">
      <w:pPr>
        <w:shd w:val="clear" w:color="auto" w:fill="FFFFFF" w:themeFill="background1"/>
        <w:spacing w:before="120" w:after="0" w:line="240" w:lineRule="auto"/>
        <w:rPr>
          <w:rFonts w:asciiTheme="minorHAnsi" w:hAnsiTheme="minorHAnsi" w:cstheme="minorHAnsi"/>
          <w:b/>
          <w:sz w:val="24"/>
        </w:rPr>
      </w:pPr>
      <w:r w:rsidRPr="00976C8D">
        <w:rPr>
          <w:rFonts w:asciiTheme="minorHAnsi" w:hAnsiTheme="minorHAnsi" w:cstheme="minorHAnsi"/>
          <w:b/>
          <w:sz w:val="24"/>
        </w:rPr>
        <w:t>Kontrolované příspěvkové organizace</w:t>
      </w:r>
      <w:r w:rsidRPr="00AD30EC">
        <w:rPr>
          <w:rFonts w:asciiTheme="minorHAnsi" w:hAnsiTheme="minorHAnsi" w:cstheme="minorHAnsi"/>
          <w:b/>
          <w:sz w:val="24"/>
        </w:rPr>
        <w:t xml:space="preserve"> plnily své úkoly vyplývající ze zakládacích dokumentů a </w:t>
      </w:r>
      <w:r w:rsidR="00DD5723" w:rsidRPr="00AD30EC">
        <w:rPr>
          <w:rFonts w:asciiTheme="minorHAnsi" w:hAnsiTheme="minorHAnsi" w:cstheme="minorHAnsi"/>
          <w:b/>
          <w:sz w:val="24"/>
        </w:rPr>
        <w:t>účelu zřízení</w:t>
      </w:r>
      <w:r w:rsidRPr="00AD30EC">
        <w:rPr>
          <w:rFonts w:asciiTheme="minorHAnsi" w:hAnsiTheme="minorHAnsi" w:cstheme="minorHAnsi"/>
          <w:b/>
          <w:sz w:val="24"/>
        </w:rPr>
        <w:t xml:space="preserve">. </w:t>
      </w:r>
      <w:r w:rsidR="00A77BDF" w:rsidRPr="00AD30EC">
        <w:rPr>
          <w:rFonts w:asciiTheme="minorHAnsi" w:hAnsiTheme="minorHAnsi" w:cstheme="minorHAnsi"/>
          <w:b/>
          <w:sz w:val="24"/>
        </w:rPr>
        <w:t>Kontrolou však bylo</w:t>
      </w:r>
      <w:r w:rsidR="001E2B9D" w:rsidRPr="00925411">
        <w:rPr>
          <w:rFonts w:asciiTheme="minorHAnsi" w:hAnsiTheme="minorHAnsi" w:cstheme="minorHAnsi"/>
          <w:b/>
          <w:sz w:val="24"/>
        </w:rPr>
        <w:t xml:space="preserve"> </w:t>
      </w:r>
      <w:r w:rsidR="00A77BDF">
        <w:rPr>
          <w:rFonts w:asciiTheme="minorHAnsi" w:hAnsiTheme="minorHAnsi" w:cstheme="minorHAnsi"/>
          <w:b/>
          <w:sz w:val="24"/>
        </w:rPr>
        <w:t>zjištěno, že</w:t>
      </w:r>
      <w:r w:rsidR="001E2B9D" w:rsidRPr="00925411">
        <w:rPr>
          <w:rFonts w:asciiTheme="minorHAnsi" w:hAnsiTheme="minorHAnsi" w:cstheme="minorHAnsi"/>
          <w:b/>
          <w:sz w:val="24"/>
        </w:rPr>
        <w:t xml:space="preserve"> </w:t>
      </w:r>
      <w:r w:rsidR="00E52AD3">
        <w:rPr>
          <w:rFonts w:asciiTheme="minorHAnsi" w:hAnsiTheme="minorHAnsi" w:cstheme="minorHAnsi"/>
          <w:b/>
          <w:sz w:val="24"/>
        </w:rPr>
        <w:t>příspěvkové</w:t>
      </w:r>
      <w:r w:rsidR="001E2B9D" w:rsidRPr="00925411">
        <w:rPr>
          <w:rFonts w:asciiTheme="minorHAnsi" w:hAnsiTheme="minorHAnsi" w:cstheme="minorHAnsi"/>
          <w:b/>
          <w:sz w:val="24"/>
        </w:rPr>
        <w:t xml:space="preserve"> </w:t>
      </w:r>
      <w:r w:rsidR="00A77BDF">
        <w:rPr>
          <w:rFonts w:asciiTheme="minorHAnsi" w:hAnsiTheme="minorHAnsi" w:cstheme="minorHAnsi"/>
          <w:b/>
          <w:sz w:val="24"/>
        </w:rPr>
        <w:t>organizace</w:t>
      </w:r>
      <w:r w:rsidR="001E2B9D" w:rsidRPr="00925411">
        <w:rPr>
          <w:rFonts w:asciiTheme="minorHAnsi" w:hAnsiTheme="minorHAnsi" w:cstheme="minorHAnsi"/>
          <w:b/>
          <w:sz w:val="24"/>
        </w:rPr>
        <w:t xml:space="preserve"> hospodařily s majetkem a peněžními prostředky státu při plnění svých úkolů </w:t>
      </w:r>
      <w:r w:rsidR="00904444" w:rsidRPr="00925411">
        <w:rPr>
          <w:rFonts w:asciiTheme="minorHAnsi" w:hAnsiTheme="minorHAnsi" w:cstheme="minorHAnsi"/>
          <w:b/>
          <w:sz w:val="24"/>
        </w:rPr>
        <w:t>v</w:t>
      </w:r>
      <w:r w:rsidR="00904444">
        <w:rPr>
          <w:rFonts w:asciiTheme="minorHAnsi" w:hAnsiTheme="minorHAnsi" w:cstheme="minorHAnsi"/>
          <w:b/>
          <w:sz w:val="24"/>
        </w:rPr>
        <w:t xml:space="preserve"> některých případech </w:t>
      </w:r>
      <w:r w:rsidR="001E2B9D" w:rsidRPr="00925411">
        <w:rPr>
          <w:rFonts w:asciiTheme="minorHAnsi" w:hAnsiTheme="minorHAnsi" w:cstheme="minorHAnsi"/>
          <w:b/>
          <w:sz w:val="24"/>
        </w:rPr>
        <w:t>neúčelně</w:t>
      </w:r>
      <w:r w:rsidR="00A77BDF">
        <w:rPr>
          <w:rFonts w:asciiTheme="minorHAnsi" w:hAnsiTheme="minorHAnsi" w:cstheme="minorHAnsi"/>
          <w:b/>
          <w:sz w:val="24"/>
        </w:rPr>
        <w:t xml:space="preserve"> a</w:t>
      </w:r>
      <w:r w:rsidR="001E2B9D" w:rsidRPr="00925411">
        <w:rPr>
          <w:rFonts w:asciiTheme="minorHAnsi" w:hAnsiTheme="minorHAnsi" w:cstheme="minorHAnsi"/>
          <w:b/>
          <w:sz w:val="24"/>
        </w:rPr>
        <w:t xml:space="preserve"> v rozporu s právními předpisy</w:t>
      </w:r>
      <w:r w:rsidR="00904B94">
        <w:rPr>
          <w:rFonts w:asciiTheme="minorHAnsi" w:hAnsiTheme="minorHAnsi" w:cstheme="minorHAnsi"/>
          <w:b/>
          <w:sz w:val="24"/>
        </w:rPr>
        <w:t>.</w:t>
      </w:r>
    </w:p>
    <w:p w14:paraId="204DDD74" w14:textId="20DFE296" w:rsidR="000C611E" w:rsidRDefault="0082292B" w:rsidP="0083260D">
      <w:pPr>
        <w:spacing w:before="120" w:after="0" w:line="240" w:lineRule="auto"/>
        <w:rPr>
          <w:rFonts w:asciiTheme="minorHAnsi" w:hAnsiTheme="minorHAnsi" w:cstheme="minorHAnsi"/>
          <w:b/>
          <w:sz w:val="24"/>
        </w:rPr>
      </w:pPr>
      <w:r w:rsidRPr="00006225">
        <w:rPr>
          <w:rFonts w:asciiTheme="minorHAnsi" w:hAnsiTheme="minorHAnsi" w:cstheme="minorHAnsi"/>
          <w:b/>
          <w:sz w:val="24"/>
        </w:rPr>
        <w:t>NG nepos</w:t>
      </w:r>
      <w:r w:rsidR="00233912" w:rsidRPr="00006225">
        <w:rPr>
          <w:rFonts w:asciiTheme="minorHAnsi" w:hAnsiTheme="minorHAnsi" w:cstheme="minorHAnsi"/>
          <w:b/>
          <w:sz w:val="24"/>
        </w:rPr>
        <w:t>t</w:t>
      </w:r>
      <w:r w:rsidRPr="00006225">
        <w:rPr>
          <w:rFonts w:asciiTheme="minorHAnsi" w:hAnsiTheme="minorHAnsi" w:cstheme="minorHAnsi"/>
          <w:b/>
          <w:sz w:val="24"/>
        </w:rPr>
        <w:t xml:space="preserve">upovala v souladu s právními předpisy, když </w:t>
      </w:r>
      <w:r w:rsidR="00904444">
        <w:rPr>
          <w:rFonts w:asciiTheme="minorHAnsi" w:hAnsiTheme="minorHAnsi" w:cstheme="minorHAnsi"/>
          <w:b/>
          <w:sz w:val="24"/>
        </w:rPr>
        <w:t xml:space="preserve">při </w:t>
      </w:r>
      <w:r w:rsidRPr="00006225">
        <w:rPr>
          <w:rFonts w:asciiTheme="minorHAnsi" w:hAnsiTheme="minorHAnsi" w:cstheme="minorHAnsi"/>
          <w:b/>
          <w:sz w:val="24"/>
        </w:rPr>
        <w:t xml:space="preserve">zadání veřejných zakázek spojených s nabýváním majetku a pořizováním služeb nevyužila žádný z druhů zadávacího řízení. </w:t>
      </w:r>
      <w:r w:rsidR="0035580B" w:rsidRPr="00006225">
        <w:rPr>
          <w:rFonts w:asciiTheme="minorHAnsi" w:hAnsiTheme="minorHAnsi" w:cstheme="minorHAnsi"/>
          <w:b/>
          <w:sz w:val="24"/>
        </w:rPr>
        <w:t xml:space="preserve">NG </w:t>
      </w:r>
      <w:r w:rsidR="0035580B" w:rsidRPr="00AD16FB">
        <w:rPr>
          <w:rFonts w:asciiTheme="minorHAnsi" w:hAnsiTheme="minorHAnsi" w:cstheme="minorHAnsi"/>
          <w:b/>
          <w:sz w:val="24"/>
        </w:rPr>
        <w:t>vynakládala peněžní prostředky za plnění, které nebylo podloženo platnými smlouvami.</w:t>
      </w:r>
      <w:r w:rsidR="00EB53B4" w:rsidRPr="00AD16FB">
        <w:rPr>
          <w:rFonts w:asciiTheme="minorHAnsi" w:hAnsiTheme="minorHAnsi" w:cstheme="minorHAnsi"/>
          <w:b/>
          <w:sz w:val="24"/>
        </w:rPr>
        <w:t xml:space="preserve"> </w:t>
      </w:r>
      <w:r w:rsidR="006F18F3" w:rsidRPr="006F18F3">
        <w:rPr>
          <w:rFonts w:asciiTheme="minorHAnsi" w:hAnsiTheme="minorHAnsi" w:cstheme="minorHAnsi"/>
          <w:b/>
          <w:sz w:val="24"/>
        </w:rPr>
        <w:t>Dále</w:t>
      </w:r>
      <w:r w:rsidR="00B42963">
        <w:rPr>
          <w:rFonts w:asciiTheme="minorHAnsi" w:hAnsiTheme="minorHAnsi" w:cstheme="minorHAnsi"/>
          <w:b/>
          <w:sz w:val="24"/>
        </w:rPr>
        <w:t xml:space="preserve"> </w:t>
      </w:r>
      <w:r w:rsidR="006F18F3" w:rsidRPr="006F18F3">
        <w:rPr>
          <w:rFonts w:asciiTheme="minorHAnsi" w:hAnsiTheme="minorHAnsi" w:cstheme="minorHAnsi"/>
          <w:b/>
          <w:sz w:val="24"/>
        </w:rPr>
        <w:t xml:space="preserve">byly zjištěny nedostatky </w:t>
      </w:r>
      <w:r w:rsidR="00A77BDF">
        <w:rPr>
          <w:rFonts w:asciiTheme="minorHAnsi" w:hAnsiTheme="minorHAnsi" w:cstheme="minorHAnsi"/>
          <w:b/>
          <w:sz w:val="24"/>
        </w:rPr>
        <w:t>ve vedení účetnictví</w:t>
      </w:r>
      <w:r w:rsidR="006F18F3" w:rsidRPr="006F18F3">
        <w:rPr>
          <w:rFonts w:asciiTheme="minorHAnsi" w:hAnsiTheme="minorHAnsi" w:cstheme="minorHAnsi"/>
          <w:b/>
          <w:sz w:val="24"/>
        </w:rPr>
        <w:t>, v evidenci majetku</w:t>
      </w:r>
      <w:r w:rsidR="00A77BDF">
        <w:rPr>
          <w:rFonts w:asciiTheme="minorHAnsi" w:hAnsiTheme="minorHAnsi" w:cstheme="minorHAnsi"/>
          <w:b/>
          <w:sz w:val="24"/>
        </w:rPr>
        <w:t xml:space="preserve"> a</w:t>
      </w:r>
      <w:r w:rsidR="006F18F3" w:rsidRPr="006F18F3">
        <w:rPr>
          <w:rFonts w:asciiTheme="minorHAnsi" w:hAnsiTheme="minorHAnsi" w:cstheme="minorHAnsi"/>
          <w:b/>
          <w:sz w:val="24"/>
        </w:rPr>
        <w:t xml:space="preserve"> při jeho inventarizaci. </w:t>
      </w:r>
    </w:p>
    <w:p w14:paraId="66357611" w14:textId="7863B6BB" w:rsidR="006F18F3" w:rsidRPr="006F18F3" w:rsidRDefault="006F18F3" w:rsidP="0083260D">
      <w:pPr>
        <w:spacing w:before="120" w:after="0" w:line="240" w:lineRule="auto"/>
        <w:rPr>
          <w:rFonts w:asciiTheme="minorHAnsi" w:hAnsiTheme="minorHAnsi" w:cstheme="minorHAnsi"/>
          <w:b/>
          <w:sz w:val="24"/>
        </w:rPr>
      </w:pPr>
      <w:r w:rsidRPr="006F18F3">
        <w:rPr>
          <w:rFonts w:asciiTheme="minorHAnsi" w:hAnsiTheme="minorHAnsi" w:cstheme="minorHAnsi"/>
          <w:b/>
          <w:sz w:val="24"/>
        </w:rPr>
        <w:t>Kontrolou u UPM byl</w:t>
      </w:r>
      <w:r w:rsidR="00904444">
        <w:rPr>
          <w:rFonts w:asciiTheme="minorHAnsi" w:hAnsiTheme="minorHAnsi" w:cstheme="minorHAnsi"/>
          <w:b/>
          <w:sz w:val="24"/>
        </w:rPr>
        <w:t>y</w:t>
      </w:r>
      <w:r w:rsidRPr="006F18F3">
        <w:rPr>
          <w:rFonts w:asciiTheme="minorHAnsi" w:hAnsiTheme="minorHAnsi" w:cstheme="minorHAnsi"/>
          <w:b/>
          <w:sz w:val="24"/>
        </w:rPr>
        <w:t xml:space="preserve"> zjištěn</w:t>
      </w:r>
      <w:r w:rsidR="00904444">
        <w:rPr>
          <w:rFonts w:asciiTheme="minorHAnsi" w:hAnsiTheme="minorHAnsi" w:cstheme="minorHAnsi"/>
          <w:b/>
          <w:sz w:val="24"/>
        </w:rPr>
        <w:t>y</w:t>
      </w:r>
      <w:r w:rsidRPr="006F18F3">
        <w:rPr>
          <w:rFonts w:asciiTheme="minorHAnsi" w:hAnsiTheme="minorHAnsi" w:cstheme="minorHAnsi"/>
          <w:b/>
          <w:sz w:val="24"/>
        </w:rPr>
        <w:t xml:space="preserve"> nedostat</w:t>
      </w:r>
      <w:r w:rsidR="00904444">
        <w:rPr>
          <w:rFonts w:asciiTheme="minorHAnsi" w:hAnsiTheme="minorHAnsi" w:cstheme="minorHAnsi"/>
          <w:b/>
          <w:sz w:val="24"/>
        </w:rPr>
        <w:t>ky</w:t>
      </w:r>
      <w:r w:rsidRPr="006F18F3">
        <w:rPr>
          <w:rFonts w:asciiTheme="minorHAnsi" w:hAnsiTheme="minorHAnsi" w:cstheme="minorHAnsi"/>
          <w:b/>
          <w:sz w:val="24"/>
        </w:rPr>
        <w:t xml:space="preserve"> v</w:t>
      </w:r>
      <w:r w:rsidR="00904444">
        <w:rPr>
          <w:rFonts w:asciiTheme="minorHAnsi" w:hAnsiTheme="minorHAnsi" w:cstheme="minorHAnsi"/>
          <w:b/>
          <w:sz w:val="24"/>
        </w:rPr>
        <w:t>e vedení</w:t>
      </w:r>
      <w:r w:rsidR="00976C8D">
        <w:rPr>
          <w:rFonts w:asciiTheme="minorHAnsi" w:hAnsiTheme="minorHAnsi" w:cstheme="minorHAnsi"/>
          <w:b/>
          <w:sz w:val="24"/>
        </w:rPr>
        <w:t xml:space="preserve"> </w:t>
      </w:r>
      <w:r w:rsidRPr="006F18F3">
        <w:rPr>
          <w:rFonts w:asciiTheme="minorHAnsi" w:hAnsiTheme="minorHAnsi" w:cstheme="minorHAnsi"/>
          <w:b/>
          <w:sz w:val="24"/>
        </w:rPr>
        <w:t>evidenc</w:t>
      </w:r>
      <w:r w:rsidR="00904444">
        <w:rPr>
          <w:rFonts w:asciiTheme="minorHAnsi" w:hAnsiTheme="minorHAnsi" w:cstheme="minorHAnsi"/>
          <w:b/>
          <w:sz w:val="24"/>
        </w:rPr>
        <w:t>e majetku</w:t>
      </w:r>
      <w:r w:rsidRPr="006F18F3">
        <w:rPr>
          <w:rFonts w:asciiTheme="minorHAnsi" w:hAnsiTheme="minorHAnsi" w:cstheme="minorHAnsi"/>
          <w:b/>
          <w:sz w:val="24"/>
        </w:rPr>
        <w:t xml:space="preserve"> a </w:t>
      </w:r>
      <w:r w:rsidR="00904444">
        <w:rPr>
          <w:rFonts w:asciiTheme="minorHAnsi" w:hAnsiTheme="minorHAnsi" w:cstheme="minorHAnsi"/>
          <w:b/>
          <w:sz w:val="24"/>
        </w:rPr>
        <w:t>jeho</w:t>
      </w:r>
      <w:r w:rsidRPr="006F18F3">
        <w:rPr>
          <w:rFonts w:asciiTheme="minorHAnsi" w:hAnsiTheme="minorHAnsi" w:cstheme="minorHAnsi"/>
          <w:b/>
          <w:sz w:val="24"/>
        </w:rPr>
        <w:t xml:space="preserve"> zařaz</w:t>
      </w:r>
      <w:r w:rsidR="00904444">
        <w:rPr>
          <w:rFonts w:asciiTheme="minorHAnsi" w:hAnsiTheme="minorHAnsi" w:cstheme="minorHAnsi"/>
          <w:b/>
          <w:sz w:val="24"/>
        </w:rPr>
        <w:t>ová</w:t>
      </w:r>
      <w:r w:rsidRPr="006F18F3">
        <w:rPr>
          <w:rFonts w:asciiTheme="minorHAnsi" w:hAnsiTheme="minorHAnsi" w:cstheme="minorHAnsi"/>
          <w:b/>
          <w:sz w:val="24"/>
        </w:rPr>
        <w:t xml:space="preserve">ní </w:t>
      </w:r>
      <w:r w:rsidR="00904444">
        <w:rPr>
          <w:rFonts w:asciiTheme="minorHAnsi" w:hAnsiTheme="minorHAnsi" w:cstheme="minorHAnsi"/>
          <w:b/>
          <w:sz w:val="24"/>
        </w:rPr>
        <w:t>do účetnictví.</w:t>
      </w:r>
      <w:r w:rsidRPr="006F18F3">
        <w:rPr>
          <w:rFonts w:asciiTheme="minorHAnsi" w:hAnsiTheme="minorHAnsi" w:cstheme="minorHAnsi"/>
          <w:b/>
          <w:sz w:val="24"/>
        </w:rPr>
        <w:t xml:space="preserve"> </w:t>
      </w:r>
      <w:r w:rsidR="00904444">
        <w:rPr>
          <w:rFonts w:asciiTheme="minorHAnsi" w:hAnsiTheme="minorHAnsi" w:cstheme="minorHAnsi"/>
          <w:b/>
          <w:sz w:val="24"/>
        </w:rPr>
        <w:t>UPM v nájemních smlouvách nesjednal</w:t>
      </w:r>
      <w:r w:rsidR="00B40179">
        <w:rPr>
          <w:rFonts w:asciiTheme="minorHAnsi" w:hAnsiTheme="minorHAnsi" w:cstheme="minorHAnsi"/>
          <w:b/>
          <w:sz w:val="24"/>
        </w:rPr>
        <w:t>o</w:t>
      </w:r>
      <w:r w:rsidR="00904444">
        <w:rPr>
          <w:rFonts w:asciiTheme="minorHAnsi" w:hAnsiTheme="minorHAnsi" w:cstheme="minorHAnsi"/>
          <w:b/>
          <w:sz w:val="24"/>
        </w:rPr>
        <w:t xml:space="preserve"> </w:t>
      </w:r>
      <w:r w:rsidRPr="006F18F3">
        <w:rPr>
          <w:rFonts w:asciiTheme="minorHAnsi" w:hAnsiTheme="minorHAnsi" w:cstheme="minorHAnsi"/>
          <w:b/>
          <w:sz w:val="24"/>
        </w:rPr>
        <w:t>inflační doložk</w:t>
      </w:r>
      <w:r w:rsidR="00904444">
        <w:rPr>
          <w:rFonts w:asciiTheme="minorHAnsi" w:hAnsiTheme="minorHAnsi" w:cstheme="minorHAnsi"/>
          <w:b/>
          <w:sz w:val="24"/>
        </w:rPr>
        <w:t>y</w:t>
      </w:r>
      <w:r w:rsidRPr="006F18F3">
        <w:rPr>
          <w:rFonts w:asciiTheme="minorHAnsi" w:hAnsiTheme="minorHAnsi" w:cstheme="minorHAnsi"/>
          <w:b/>
          <w:sz w:val="24"/>
        </w:rPr>
        <w:t xml:space="preserve">. </w:t>
      </w:r>
    </w:p>
    <w:p w14:paraId="2BFF5C98" w14:textId="02B2A1EA" w:rsidR="0035580B" w:rsidRPr="00011C6C" w:rsidRDefault="006F18F3" w:rsidP="0083260D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Obě příspěvkové organizace uzavřely dohodu o spolupráci s</w:t>
      </w:r>
      <w:r w:rsidR="00B40179">
        <w:rPr>
          <w:rFonts w:asciiTheme="minorHAnsi" w:eastAsia="Calibri" w:hAnsiTheme="minorHAnsi" w:cstheme="minorHAnsi"/>
          <w:b/>
          <w:sz w:val="24"/>
        </w:rPr>
        <w:t xml:space="preserve"> Ministerstvem kultury </w:t>
      </w:r>
      <w:r w:rsidR="00B40179" w:rsidRPr="00177036">
        <w:rPr>
          <w:rFonts w:asciiTheme="minorHAnsi" w:eastAsia="Calibri" w:hAnsiTheme="minorHAnsi" w:cstheme="minorHAnsi"/>
          <w:b/>
          <w:sz w:val="24"/>
        </w:rPr>
        <w:t>(</w:t>
      </w:r>
      <w:r w:rsidR="00B40179" w:rsidRPr="00155C0A">
        <w:rPr>
          <w:rStyle w:val="eop"/>
          <w:rFonts w:ascii="Calibri" w:hAnsi="Calibri"/>
          <w:b/>
          <w:sz w:val="24"/>
        </w:rPr>
        <w:t>dále také „MK“)</w:t>
      </w:r>
      <w:r w:rsidRPr="00177036">
        <w:rPr>
          <w:rFonts w:asciiTheme="minorHAnsi" w:eastAsia="Calibri" w:hAnsiTheme="minorHAnsi" w:cstheme="minorHAnsi"/>
          <w:b/>
          <w:sz w:val="24"/>
        </w:rPr>
        <w:t>,</w:t>
      </w:r>
      <w:r>
        <w:rPr>
          <w:rFonts w:asciiTheme="minorHAnsi" w:eastAsia="Calibri" w:hAnsiTheme="minorHAnsi" w:cstheme="minorHAnsi"/>
          <w:b/>
          <w:sz w:val="24"/>
        </w:rPr>
        <w:t xml:space="preserve"> </w:t>
      </w:r>
      <w:r w:rsidR="00D217B8">
        <w:rPr>
          <w:rFonts w:asciiTheme="minorHAnsi" w:eastAsia="Calibri" w:hAnsiTheme="minorHAnsi" w:cstheme="minorHAnsi"/>
          <w:b/>
          <w:sz w:val="24"/>
        </w:rPr>
        <w:t xml:space="preserve">na </w:t>
      </w:r>
      <w:proofErr w:type="gramStart"/>
      <w:r w:rsidR="00D217B8">
        <w:rPr>
          <w:rFonts w:asciiTheme="minorHAnsi" w:eastAsia="Calibri" w:hAnsiTheme="minorHAnsi" w:cstheme="minorHAnsi"/>
          <w:b/>
          <w:sz w:val="24"/>
        </w:rPr>
        <w:t>základě</w:t>
      </w:r>
      <w:proofErr w:type="gramEnd"/>
      <w:r w:rsidR="00D217B8">
        <w:rPr>
          <w:rFonts w:asciiTheme="minorHAnsi" w:eastAsia="Calibri" w:hAnsiTheme="minorHAnsi" w:cstheme="minorHAnsi"/>
          <w:b/>
          <w:sz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</w:rPr>
        <w:t>kter</w:t>
      </w:r>
      <w:r w:rsidR="00D217B8">
        <w:rPr>
          <w:rFonts w:asciiTheme="minorHAnsi" w:eastAsia="Calibri" w:hAnsiTheme="minorHAnsi" w:cstheme="minorHAnsi"/>
          <w:b/>
          <w:sz w:val="24"/>
        </w:rPr>
        <w:t>é</w:t>
      </w:r>
      <w:r>
        <w:rPr>
          <w:rFonts w:asciiTheme="minorHAnsi" w:eastAsia="Calibri" w:hAnsiTheme="minorHAnsi" w:cstheme="minorHAnsi"/>
          <w:b/>
          <w:sz w:val="24"/>
        </w:rPr>
        <w:t xml:space="preserve"> neodůvodněně snižovaly výnosy</w:t>
      </w:r>
      <w:r w:rsidR="00244F24">
        <w:rPr>
          <w:rFonts w:asciiTheme="minorHAnsi" w:eastAsia="Calibri" w:hAnsiTheme="minorHAnsi" w:cstheme="minorHAnsi"/>
          <w:b/>
          <w:sz w:val="24"/>
        </w:rPr>
        <w:t xml:space="preserve"> </w:t>
      </w:r>
      <w:r w:rsidR="00D217B8">
        <w:rPr>
          <w:rFonts w:asciiTheme="minorHAnsi" w:eastAsia="Calibri" w:hAnsiTheme="minorHAnsi" w:cstheme="minorHAnsi"/>
          <w:b/>
          <w:sz w:val="24"/>
        </w:rPr>
        <w:t>ze vstupného</w:t>
      </w:r>
      <w:r w:rsidRPr="0035580B">
        <w:rPr>
          <w:rFonts w:asciiTheme="minorHAnsi" w:eastAsia="Calibri" w:hAnsiTheme="minorHAnsi" w:cstheme="minorHAnsi"/>
          <w:b/>
          <w:sz w:val="24"/>
        </w:rPr>
        <w:t>.</w:t>
      </w:r>
      <w:r w:rsidR="0035580B" w:rsidRPr="0035580B">
        <w:rPr>
          <w:rFonts w:asciiTheme="minorHAnsi" w:eastAsia="Calibri" w:hAnsiTheme="minorHAnsi" w:cstheme="minorHAnsi"/>
          <w:b/>
          <w:sz w:val="24"/>
        </w:rPr>
        <w:t xml:space="preserve"> </w:t>
      </w:r>
      <w:r w:rsidR="0035580B">
        <w:rPr>
          <w:rFonts w:asciiTheme="minorHAnsi" w:eastAsia="Calibri" w:hAnsiTheme="minorHAnsi" w:cstheme="minorHAnsi"/>
          <w:b/>
          <w:sz w:val="24"/>
        </w:rPr>
        <w:t xml:space="preserve">Dále NG </w:t>
      </w:r>
      <w:r w:rsidR="00B40179">
        <w:rPr>
          <w:rFonts w:asciiTheme="minorHAnsi" w:eastAsia="Calibri" w:hAnsiTheme="minorHAnsi" w:cstheme="minorHAnsi"/>
          <w:b/>
          <w:sz w:val="24"/>
        </w:rPr>
        <w:br/>
      </w:r>
      <w:r w:rsidR="0035580B">
        <w:rPr>
          <w:rFonts w:asciiTheme="minorHAnsi" w:eastAsia="Calibri" w:hAnsiTheme="minorHAnsi" w:cstheme="minorHAnsi"/>
          <w:b/>
          <w:sz w:val="24"/>
        </w:rPr>
        <w:t>i UPM</w:t>
      </w:r>
      <w:r w:rsidR="0035580B" w:rsidRPr="00011C6C">
        <w:rPr>
          <w:rFonts w:asciiTheme="minorHAnsi" w:eastAsia="Calibri" w:hAnsiTheme="minorHAnsi" w:cstheme="minorHAnsi"/>
          <w:b/>
          <w:sz w:val="24"/>
        </w:rPr>
        <w:t xml:space="preserve"> nepostupovaly v souladu se zákonem o finanční kontrole</w:t>
      </w:r>
      <w:r w:rsidR="00BD21A9">
        <w:rPr>
          <w:rStyle w:val="Znakapoznpodarou"/>
          <w:rFonts w:asciiTheme="minorHAnsi" w:eastAsia="Calibri" w:hAnsiTheme="minorHAnsi" w:cstheme="minorHAnsi"/>
          <w:b/>
          <w:sz w:val="24"/>
        </w:rPr>
        <w:footnoteReference w:id="1"/>
      </w:r>
      <w:r w:rsidR="0035580B"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>tím</w:t>
      </w:r>
      <w:r w:rsidR="00B40179">
        <w:rPr>
          <w:rFonts w:asciiTheme="minorHAnsi" w:eastAsia="Calibri" w:hAnsiTheme="minorHAnsi" w:cstheme="minorHAnsi"/>
          <w:b/>
          <w:sz w:val="24"/>
        </w:rPr>
        <w:t>,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 xml:space="preserve"> že 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 xml:space="preserve">vedoucí zaměstnanci 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>nedodržoval</w:t>
      </w:r>
      <w:r w:rsidR="00F10229" w:rsidRPr="00006225">
        <w:rPr>
          <w:rFonts w:asciiTheme="minorHAnsi" w:eastAsia="Calibri" w:hAnsiTheme="minorHAnsi" w:cstheme="minorHAnsi"/>
          <w:b/>
          <w:sz w:val="24"/>
        </w:rPr>
        <w:t>i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 xml:space="preserve"> 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>kontrolní a</w:t>
      </w:r>
      <w:r w:rsidR="00976C8D">
        <w:rPr>
          <w:rFonts w:asciiTheme="minorHAnsi" w:eastAsia="Calibri" w:hAnsiTheme="minorHAnsi" w:cstheme="minorHAnsi"/>
          <w:b/>
          <w:sz w:val="24"/>
        </w:rPr>
        <w:t> 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 xml:space="preserve">schvalovací 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>postupy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 xml:space="preserve"> nastavené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 xml:space="preserve"> vnitřní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>m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 xml:space="preserve"> kontrolní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>m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 xml:space="preserve"> systém</w:t>
      </w:r>
      <w:r w:rsidR="003E1611" w:rsidRPr="00006225">
        <w:rPr>
          <w:rFonts w:asciiTheme="minorHAnsi" w:eastAsia="Calibri" w:hAnsiTheme="minorHAnsi" w:cstheme="minorHAnsi"/>
          <w:b/>
          <w:sz w:val="24"/>
        </w:rPr>
        <w:t>em</w:t>
      </w:r>
      <w:r w:rsidR="0035580B" w:rsidRPr="00006225">
        <w:rPr>
          <w:rFonts w:asciiTheme="minorHAnsi" w:eastAsia="Calibri" w:hAnsiTheme="minorHAnsi" w:cstheme="minorHAnsi"/>
          <w:b/>
          <w:sz w:val="24"/>
        </w:rPr>
        <w:t>.</w:t>
      </w:r>
      <w:r w:rsidR="0035580B"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="0035580B">
        <w:rPr>
          <w:rFonts w:asciiTheme="minorHAnsi" w:eastAsia="Calibri" w:hAnsiTheme="minorHAnsi" w:cstheme="minorHAnsi"/>
          <w:b/>
          <w:sz w:val="24"/>
        </w:rPr>
        <w:t>Důsledkem nedostatečně fungujícího vnitřního kontrolního systému bylo ve zjištěných případech neúčelné nakládání s majetkem a peněžními prostředky.</w:t>
      </w:r>
    </w:p>
    <w:p w14:paraId="7E8FF4B4" w14:textId="77777777" w:rsidR="00A101AB" w:rsidRDefault="00A101AB" w:rsidP="0083260D">
      <w:pPr>
        <w:suppressAutoHyphens w:val="0"/>
        <w:spacing w:before="120" w:after="0" w:line="240" w:lineRule="auto"/>
        <w:jc w:val="left"/>
        <w:rPr>
          <w:b/>
          <w:spacing w:val="20"/>
        </w:rPr>
      </w:pPr>
    </w:p>
    <w:p w14:paraId="73AB9426" w14:textId="6A698D69" w:rsidR="006475E5" w:rsidRDefault="006475E5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 w:rsidRPr="006475E5">
        <w:rPr>
          <w:rFonts w:asciiTheme="minorHAnsi" w:hAnsiTheme="minorHAnsi" w:cstheme="minorHAnsi"/>
          <w:sz w:val="24"/>
        </w:rPr>
        <w:t xml:space="preserve">Celkové vyhodnocení </w:t>
      </w:r>
      <w:r w:rsidR="001A6836">
        <w:rPr>
          <w:rFonts w:asciiTheme="minorHAnsi" w:hAnsiTheme="minorHAnsi" w:cstheme="minorHAnsi"/>
          <w:sz w:val="24"/>
        </w:rPr>
        <w:t>vyplývá z těchto zjištěných skutečností</w:t>
      </w:r>
      <w:r>
        <w:rPr>
          <w:rFonts w:asciiTheme="minorHAnsi" w:hAnsiTheme="minorHAnsi" w:cstheme="minorHAnsi"/>
          <w:sz w:val="24"/>
        </w:rPr>
        <w:t>:</w:t>
      </w:r>
    </w:p>
    <w:p w14:paraId="185F7243" w14:textId="77777777" w:rsidR="00AC4E89" w:rsidRPr="00A10BE1" w:rsidRDefault="00C81A71" w:rsidP="00155C0A">
      <w:pPr>
        <w:pStyle w:val="Nadpis1"/>
        <w:numPr>
          <w:ilvl w:val="0"/>
          <w:numId w:val="3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t>Nedostatky</w:t>
      </w:r>
      <w:r w:rsidR="00CE6C62" w:rsidRPr="00A10BE1">
        <w:rPr>
          <w:rFonts w:asciiTheme="minorHAnsi" w:hAnsiTheme="minorHAnsi" w:cstheme="minorHAnsi"/>
          <w:sz w:val="24"/>
          <w:u w:val="none"/>
        </w:rPr>
        <w:t xml:space="preserve"> </w:t>
      </w:r>
      <w:r w:rsidR="003907E6" w:rsidRPr="00A10BE1">
        <w:rPr>
          <w:rFonts w:asciiTheme="minorHAnsi" w:hAnsiTheme="minorHAnsi" w:cstheme="minorHAnsi"/>
          <w:sz w:val="24"/>
          <w:u w:val="none"/>
        </w:rPr>
        <w:t>při vynakládání</w:t>
      </w:r>
      <w:r w:rsidR="00CE6C62" w:rsidRPr="00A10BE1">
        <w:rPr>
          <w:rFonts w:asciiTheme="minorHAnsi" w:hAnsiTheme="minorHAnsi" w:cstheme="minorHAnsi"/>
          <w:sz w:val="24"/>
          <w:u w:val="none"/>
        </w:rPr>
        <w:t xml:space="preserve"> p</w:t>
      </w:r>
      <w:r w:rsidR="00AC4E89" w:rsidRPr="00A10BE1">
        <w:rPr>
          <w:rFonts w:asciiTheme="minorHAnsi" w:hAnsiTheme="minorHAnsi" w:cstheme="minorHAnsi"/>
          <w:sz w:val="24"/>
          <w:u w:val="none"/>
        </w:rPr>
        <w:t>eněžní</w:t>
      </w:r>
      <w:r w:rsidR="00CE6C62" w:rsidRPr="00A10BE1">
        <w:rPr>
          <w:rFonts w:asciiTheme="minorHAnsi" w:hAnsiTheme="minorHAnsi" w:cstheme="minorHAnsi"/>
          <w:sz w:val="24"/>
          <w:u w:val="none"/>
        </w:rPr>
        <w:t>ch</w:t>
      </w:r>
      <w:r w:rsidR="00AC4E89" w:rsidRPr="00A10BE1">
        <w:rPr>
          <w:rFonts w:asciiTheme="minorHAnsi" w:hAnsiTheme="minorHAnsi" w:cstheme="minorHAnsi"/>
          <w:sz w:val="24"/>
          <w:u w:val="none"/>
        </w:rPr>
        <w:t xml:space="preserve"> prostředk</w:t>
      </w:r>
      <w:r w:rsidR="00CE6C62" w:rsidRPr="00A10BE1">
        <w:rPr>
          <w:rFonts w:asciiTheme="minorHAnsi" w:hAnsiTheme="minorHAnsi" w:cstheme="minorHAnsi"/>
          <w:sz w:val="24"/>
          <w:u w:val="none"/>
        </w:rPr>
        <w:t>ů</w:t>
      </w:r>
      <w:r w:rsidR="00AC4E89" w:rsidRPr="00A10BE1">
        <w:rPr>
          <w:rFonts w:asciiTheme="minorHAnsi" w:hAnsiTheme="minorHAnsi" w:cstheme="minorHAnsi"/>
          <w:sz w:val="24"/>
          <w:u w:val="none"/>
        </w:rPr>
        <w:t xml:space="preserve"> na vybran</w:t>
      </w:r>
      <w:r w:rsidR="00CE6C62" w:rsidRPr="00A10BE1">
        <w:rPr>
          <w:rFonts w:asciiTheme="minorHAnsi" w:hAnsiTheme="minorHAnsi" w:cstheme="minorHAnsi"/>
          <w:sz w:val="24"/>
          <w:u w:val="none"/>
        </w:rPr>
        <w:t>é</w:t>
      </w:r>
      <w:r w:rsidR="00AC4E89" w:rsidRPr="00A10BE1">
        <w:rPr>
          <w:rFonts w:asciiTheme="minorHAnsi" w:hAnsiTheme="minorHAnsi" w:cstheme="minorHAnsi"/>
          <w:sz w:val="24"/>
          <w:u w:val="none"/>
        </w:rPr>
        <w:t xml:space="preserve"> služ</w:t>
      </w:r>
      <w:r w:rsidR="00CE6C62" w:rsidRPr="00A10BE1">
        <w:rPr>
          <w:rFonts w:asciiTheme="minorHAnsi" w:hAnsiTheme="minorHAnsi" w:cstheme="minorHAnsi"/>
          <w:sz w:val="24"/>
          <w:u w:val="none"/>
        </w:rPr>
        <w:t>by</w:t>
      </w:r>
    </w:p>
    <w:p w14:paraId="20AF42F1" w14:textId="1AB43040" w:rsidR="00AC4E89" w:rsidRDefault="00AC4E89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 w:rsidRPr="00C70DE8">
        <w:rPr>
          <w:rFonts w:asciiTheme="minorHAnsi" w:hAnsiTheme="minorHAnsi" w:cstheme="minorHAnsi"/>
          <w:sz w:val="24"/>
        </w:rPr>
        <w:t>Národní galerie v Praze v kontrolovaném období</w:t>
      </w:r>
      <w:r>
        <w:rPr>
          <w:rFonts w:asciiTheme="minorHAnsi" w:hAnsiTheme="minorHAnsi" w:cstheme="minorHAnsi"/>
          <w:sz w:val="24"/>
        </w:rPr>
        <w:t xml:space="preserve"> opakovaně při zajišťování služeb externími dodavateli uzavírala smlouvy </w:t>
      </w:r>
      <w:r w:rsidR="00CE6C62" w:rsidRPr="00006225">
        <w:rPr>
          <w:rFonts w:asciiTheme="minorHAnsi" w:hAnsiTheme="minorHAnsi" w:cstheme="minorHAnsi"/>
          <w:sz w:val="24"/>
        </w:rPr>
        <w:t xml:space="preserve">bez </w:t>
      </w:r>
      <w:r w:rsidR="003E1611" w:rsidRPr="00006225">
        <w:rPr>
          <w:rFonts w:asciiTheme="minorHAnsi" w:hAnsiTheme="minorHAnsi" w:cstheme="minorHAnsi"/>
          <w:sz w:val="24"/>
        </w:rPr>
        <w:t>zadávacího</w:t>
      </w:r>
      <w:r w:rsidR="00CE6C62">
        <w:rPr>
          <w:rFonts w:asciiTheme="minorHAnsi" w:hAnsiTheme="minorHAnsi" w:cstheme="minorHAnsi"/>
          <w:sz w:val="24"/>
        </w:rPr>
        <w:t xml:space="preserve"> řízení</w:t>
      </w:r>
      <w:r>
        <w:rPr>
          <w:rFonts w:asciiTheme="minorHAnsi" w:hAnsiTheme="minorHAnsi" w:cstheme="minorHAnsi"/>
          <w:sz w:val="24"/>
        </w:rPr>
        <w:t xml:space="preserve">. V několika případech </w:t>
      </w:r>
      <w:r w:rsidR="00244F24">
        <w:rPr>
          <w:rFonts w:asciiTheme="minorHAnsi" w:hAnsiTheme="minorHAnsi" w:cstheme="minorHAnsi"/>
          <w:sz w:val="24"/>
        </w:rPr>
        <w:t xml:space="preserve">tak činila </w:t>
      </w:r>
      <w:r>
        <w:rPr>
          <w:rFonts w:asciiTheme="minorHAnsi" w:hAnsiTheme="minorHAnsi" w:cstheme="minorHAnsi"/>
          <w:sz w:val="24"/>
        </w:rPr>
        <w:t xml:space="preserve">i s více dodavateli na stejné či obdobné plnění. Tímto jednáním nepostupovala v souladu se zákonem </w:t>
      </w:r>
      <w:r w:rsidR="00AC177C">
        <w:rPr>
          <w:rFonts w:asciiTheme="minorHAnsi" w:hAnsiTheme="minorHAnsi" w:cstheme="minorHAnsi"/>
          <w:sz w:val="24"/>
        </w:rPr>
        <w:t>o zadávání veřejných zakázek</w:t>
      </w:r>
      <w:r w:rsidR="00AC177C" w:rsidRPr="00006225">
        <w:rPr>
          <w:rStyle w:val="Znakapoznpodarou"/>
          <w:rFonts w:asciiTheme="minorHAnsi" w:hAnsiTheme="minorHAnsi" w:cstheme="minorHAnsi"/>
          <w:sz w:val="24"/>
        </w:rPr>
        <w:footnoteReference w:id="2"/>
      </w:r>
      <w:r w:rsidR="00BE4892" w:rsidRPr="00006225">
        <w:rPr>
          <w:rFonts w:asciiTheme="minorHAnsi" w:hAnsiTheme="minorHAnsi" w:cstheme="minorHAnsi"/>
          <w:sz w:val="24"/>
        </w:rPr>
        <w:t>.</w:t>
      </w:r>
      <w:r w:rsidR="00BE4892">
        <w:rPr>
          <w:rFonts w:asciiTheme="minorHAnsi" w:hAnsiTheme="minorHAnsi" w:cstheme="minorHAnsi"/>
          <w:sz w:val="24"/>
        </w:rPr>
        <w:t xml:space="preserve"> </w:t>
      </w:r>
      <w:r w:rsidR="002A0178">
        <w:rPr>
          <w:rFonts w:asciiTheme="minorHAnsi" w:hAnsiTheme="minorHAnsi" w:cstheme="minorHAnsi"/>
          <w:sz w:val="24"/>
        </w:rPr>
        <w:t>NG vynakládala peněžní prostředky na základě smluv</w:t>
      </w:r>
      <w:r w:rsidR="001C32A7">
        <w:rPr>
          <w:rFonts w:asciiTheme="minorHAnsi" w:hAnsiTheme="minorHAnsi" w:cstheme="minorHAnsi"/>
          <w:sz w:val="24"/>
        </w:rPr>
        <w:t>, které byly</w:t>
      </w:r>
      <w:r w:rsidR="002A0178">
        <w:rPr>
          <w:rFonts w:asciiTheme="minorHAnsi" w:hAnsiTheme="minorHAnsi" w:cstheme="minorHAnsi"/>
          <w:sz w:val="24"/>
        </w:rPr>
        <w:t xml:space="preserve"> </w:t>
      </w:r>
      <w:r w:rsidR="001C32A7">
        <w:rPr>
          <w:rFonts w:asciiTheme="minorHAnsi" w:hAnsiTheme="minorHAnsi" w:cstheme="minorHAnsi"/>
          <w:sz w:val="24"/>
        </w:rPr>
        <w:t>podle zákona o registru smluv</w:t>
      </w:r>
      <w:r w:rsidR="00BD21A9" w:rsidRPr="00006225">
        <w:rPr>
          <w:rStyle w:val="Znakapoznpodarou"/>
          <w:rFonts w:asciiTheme="minorHAnsi" w:hAnsiTheme="minorHAnsi" w:cstheme="minorHAnsi"/>
          <w:sz w:val="24"/>
        </w:rPr>
        <w:footnoteReference w:id="3"/>
      </w:r>
      <w:r w:rsidR="001C32A7">
        <w:rPr>
          <w:rFonts w:asciiTheme="minorHAnsi" w:hAnsiTheme="minorHAnsi" w:cstheme="minorHAnsi"/>
          <w:sz w:val="24"/>
        </w:rPr>
        <w:t xml:space="preserve"> </w:t>
      </w:r>
      <w:r w:rsidR="00851F00">
        <w:rPr>
          <w:rFonts w:asciiTheme="minorHAnsi" w:hAnsiTheme="minorHAnsi" w:cstheme="minorHAnsi"/>
          <w:sz w:val="24"/>
        </w:rPr>
        <w:t>zrušen</w:t>
      </w:r>
      <w:r w:rsidR="001C32A7">
        <w:rPr>
          <w:rFonts w:asciiTheme="minorHAnsi" w:hAnsiTheme="minorHAnsi" w:cstheme="minorHAnsi"/>
          <w:sz w:val="24"/>
        </w:rPr>
        <w:t>y</w:t>
      </w:r>
      <w:r w:rsidR="00BE4892">
        <w:rPr>
          <w:rFonts w:asciiTheme="minorHAnsi" w:hAnsiTheme="minorHAnsi" w:cstheme="minorHAnsi"/>
          <w:sz w:val="24"/>
        </w:rPr>
        <w:t xml:space="preserve"> </w:t>
      </w:r>
      <w:r w:rsidR="00BE4892" w:rsidRPr="00006225">
        <w:rPr>
          <w:rFonts w:asciiTheme="minorHAnsi" w:hAnsiTheme="minorHAnsi" w:cstheme="minorHAnsi"/>
          <w:sz w:val="24"/>
        </w:rPr>
        <w:t>od počátku</w:t>
      </w:r>
      <w:r w:rsidR="002A0178" w:rsidRPr="00006225">
        <w:rPr>
          <w:rFonts w:asciiTheme="minorHAnsi" w:hAnsiTheme="minorHAnsi" w:cstheme="minorHAnsi"/>
          <w:sz w:val="24"/>
        </w:rPr>
        <w:t>.</w:t>
      </w:r>
      <w:r w:rsidR="002A0178">
        <w:rPr>
          <w:rFonts w:asciiTheme="minorHAnsi" w:hAnsiTheme="minorHAnsi" w:cstheme="minorHAnsi"/>
          <w:sz w:val="24"/>
        </w:rPr>
        <w:t xml:space="preserve"> </w:t>
      </w:r>
    </w:p>
    <w:p w14:paraId="7EA7DFC7" w14:textId="6E62DF64" w:rsidR="00F4442E" w:rsidRPr="00AC4E89" w:rsidRDefault="00F4442E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U UPM nebyly kontrolou zjištěny nedostatky </w:t>
      </w:r>
      <w:r w:rsidR="005546AC">
        <w:rPr>
          <w:rFonts w:asciiTheme="minorHAnsi" w:hAnsiTheme="minorHAnsi" w:cstheme="minorHAnsi"/>
          <w:sz w:val="24"/>
        </w:rPr>
        <w:t>ani v procesu</w:t>
      </w:r>
      <w:r>
        <w:rPr>
          <w:rFonts w:asciiTheme="minorHAnsi" w:hAnsiTheme="minorHAnsi" w:cstheme="minorHAnsi"/>
          <w:sz w:val="24"/>
        </w:rPr>
        <w:t xml:space="preserve"> zadávání veřejných zakázek, ani v oblasti hospodárnosti a účelnosti </w:t>
      </w:r>
      <w:r w:rsidR="00AD16FB">
        <w:rPr>
          <w:rFonts w:asciiTheme="minorHAnsi" w:hAnsiTheme="minorHAnsi" w:cstheme="minorHAnsi"/>
          <w:sz w:val="24"/>
        </w:rPr>
        <w:t>vynakládání</w:t>
      </w:r>
      <w:r>
        <w:rPr>
          <w:rFonts w:asciiTheme="minorHAnsi" w:hAnsiTheme="minorHAnsi" w:cstheme="minorHAnsi"/>
          <w:sz w:val="24"/>
        </w:rPr>
        <w:t xml:space="preserve"> peněžních prostředků v souvislosti se zajišťováním služeb.</w:t>
      </w:r>
    </w:p>
    <w:p w14:paraId="0940D965" w14:textId="77777777" w:rsidR="00FA6FF6" w:rsidRPr="00A10BE1" w:rsidRDefault="003907E6" w:rsidP="00155C0A">
      <w:pPr>
        <w:pStyle w:val="Nadpis1"/>
        <w:numPr>
          <w:ilvl w:val="0"/>
          <w:numId w:val="3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lastRenderedPageBreak/>
        <w:t>Nedostatky při h</w:t>
      </w:r>
      <w:r w:rsidR="00AC4E89" w:rsidRPr="00A10BE1">
        <w:rPr>
          <w:rFonts w:asciiTheme="minorHAnsi" w:hAnsiTheme="minorHAnsi" w:cstheme="minorHAnsi"/>
          <w:sz w:val="24"/>
          <w:u w:val="none"/>
        </w:rPr>
        <w:t>ospodaření s</w:t>
      </w:r>
      <w:r w:rsidR="00FA6FF6" w:rsidRPr="00A10BE1">
        <w:rPr>
          <w:rFonts w:asciiTheme="minorHAnsi" w:hAnsiTheme="minorHAnsi" w:cstheme="minorHAnsi"/>
          <w:sz w:val="24"/>
          <w:u w:val="none"/>
        </w:rPr>
        <w:t> </w:t>
      </w:r>
      <w:r w:rsidR="00AC4E89" w:rsidRPr="00A10BE1">
        <w:rPr>
          <w:rFonts w:asciiTheme="minorHAnsi" w:hAnsiTheme="minorHAnsi" w:cstheme="minorHAnsi"/>
          <w:sz w:val="24"/>
          <w:u w:val="none"/>
        </w:rPr>
        <w:t>majetkem</w:t>
      </w:r>
    </w:p>
    <w:p w14:paraId="17E0B429" w14:textId="4D92BAFA" w:rsidR="00244F24" w:rsidRDefault="00FA6FF6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 w:rsidRPr="00FA6FF6">
        <w:rPr>
          <w:rFonts w:asciiTheme="minorHAnsi" w:hAnsiTheme="minorHAnsi" w:cstheme="minorHAnsi"/>
          <w:sz w:val="24"/>
        </w:rPr>
        <w:t>NG nedisponovala investičními plány</w:t>
      </w:r>
      <w:r w:rsidR="005546AC">
        <w:rPr>
          <w:rFonts w:asciiTheme="minorHAnsi" w:hAnsiTheme="minorHAnsi" w:cstheme="minorHAnsi"/>
          <w:sz w:val="24"/>
        </w:rPr>
        <w:t>,</w:t>
      </w:r>
      <w:r w:rsidRPr="00FA6FF6">
        <w:rPr>
          <w:rFonts w:asciiTheme="minorHAnsi" w:hAnsiTheme="minorHAnsi" w:cstheme="minorHAnsi"/>
          <w:sz w:val="24"/>
        </w:rPr>
        <w:t xml:space="preserve"> </w:t>
      </w:r>
      <w:r w:rsidRPr="00006225">
        <w:rPr>
          <w:rFonts w:asciiTheme="minorHAnsi" w:hAnsiTheme="minorHAnsi" w:cstheme="minorHAnsi"/>
          <w:sz w:val="24"/>
        </w:rPr>
        <w:t>a</w:t>
      </w:r>
      <w:r w:rsidR="00C751DE" w:rsidRPr="00006225">
        <w:rPr>
          <w:rFonts w:asciiTheme="minorHAnsi" w:hAnsiTheme="minorHAnsi" w:cstheme="minorHAnsi"/>
          <w:sz w:val="24"/>
        </w:rPr>
        <w:t xml:space="preserve"> </w:t>
      </w:r>
      <w:r w:rsidR="00781157" w:rsidRPr="00006225">
        <w:rPr>
          <w:rFonts w:asciiTheme="minorHAnsi" w:hAnsiTheme="minorHAnsi" w:cstheme="minorHAnsi"/>
          <w:sz w:val="24"/>
        </w:rPr>
        <w:t xml:space="preserve">neměla </w:t>
      </w:r>
      <w:r w:rsidR="005546AC">
        <w:rPr>
          <w:rFonts w:asciiTheme="minorHAnsi" w:hAnsiTheme="minorHAnsi" w:cstheme="minorHAnsi"/>
          <w:sz w:val="24"/>
        </w:rPr>
        <w:t>tudíž</w:t>
      </w:r>
      <w:r w:rsidR="00581A20" w:rsidRPr="00006225">
        <w:rPr>
          <w:rFonts w:asciiTheme="minorHAnsi" w:hAnsiTheme="minorHAnsi" w:cstheme="minorHAnsi"/>
          <w:sz w:val="24"/>
        </w:rPr>
        <w:t xml:space="preserve"> </w:t>
      </w:r>
      <w:r w:rsidR="00781157" w:rsidRPr="00006225">
        <w:rPr>
          <w:rFonts w:asciiTheme="minorHAnsi" w:hAnsiTheme="minorHAnsi" w:cstheme="minorHAnsi"/>
          <w:sz w:val="24"/>
        </w:rPr>
        <w:t xml:space="preserve">přehled o </w:t>
      </w:r>
      <w:r w:rsidR="00581A20" w:rsidRPr="00006225">
        <w:rPr>
          <w:rFonts w:asciiTheme="minorHAnsi" w:hAnsiTheme="minorHAnsi" w:cstheme="minorHAnsi"/>
          <w:sz w:val="24"/>
        </w:rPr>
        <w:t>budoucích investičních potřebách.</w:t>
      </w:r>
      <w:r w:rsidR="00781157" w:rsidRPr="00006225">
        <w:rPr>
          <w:rFonts w:asciiTheme="minorHAnsi" w:hAnsiTheme="minorHAnsi" w:cstheme="minorHAnsi"/>
          <w:sz w:val="24"/>
        </w:rPr>
        <w:t xml:space="preserve"> </w:t>
      </w:r>
      <w:r w:rsidR="00E96501">
        <w:rPr>
          <w:rFonts w:asciiTheme="minorHAnsi" w:hAnsiTheme="minorHAnsi" w:cstheme="minorHAnsi"/>
          <w:sz w:val="24"/>
        </w:rPr>
        <w:t xml:space="preserve">NG </w:t>
      </w:r>
      <w:r w:rsidR="00CF0250">
        <w:rPr>
          <w:rFonts w:asciiTheme="minorHAnsi" w:hAnsiTheme="minorHAnsi" w:cstheme="minorHAnsi"/>
          <w:sz w:val="24"/>
        </w:rPr>
        <w:t>v</w:t>
      </w:r>
      <w:r w:rsidR="00B74A84">
        <w:rPr>
          <w:rFonts w:asciiTheme="minorHAnsi" w:hAnsiTheme="minorHAnsi" w:cstheme="minorHAnsi"/>
          <w:sz w:val="24"/>
        </w:rPr>
        <w:t xml:space="preserve"> </w:t>
      </w:r>
      <w:r w:rsidR="00B634F8">
        <w:rPr>
          <w:rFonts w:asciiTheme="minorHAnsi" w:hAnsiTheme="minorHAnsi" w:cstheme="minorHAnsi"/>
          <w:sz w:val="24"/>
        </w:rPr>
        <w:t>rozporu</w:t>
      </w:r>
      <w:r w:rsidR="00CF0250">
        <w:rPr>
          <w:rFonts w:asciiTheme="minorHAnsi" w:hAnsiTheme="minorHAnsi" w:cstheme="minorHAnsi"/>
          <w:sz w:val="24"/>
        </w:rPr>
        <w:t xml:space="preserve"> se zákonem o finanční kontrole</w:t>
      </w:r>
      <w:r w:rsidR="00CF0250">
        <w:rPr>
          <w:rStyle w:val="Znakapoznpodarou"/>
          <w:rFonts w:asciiTheme="minorHAnsi" w:hAnsiTheme="minorHAnsi" w:cstheme="minorHAnsi"/>
          <w:sz w:val="24"/>
        </w:rPr>
        <w:footnoteReference w:id="4"/>
      </w:r>
      <w:r w:rsidR="00CF0250">
        <w:rPr>
          <w:rFonts w:asciiTheme="minorHAnsi" w:hAnsiTheme="minorHAnsi" w:cstheme="minorHAnsi"/>
          <w:sz w:val="24"/>
        </w:rPr>
        <w:t xml:space="preserve"> </w:t>
      </w:r>
      <w:r w:rsidR="00B634F8">
        <w:rPr>
          <w:rFonts w:asciiTheme="minorHAnsi" w:hAnsiTheme="minorHAnsi" w:cstheme="minorHAnsi"/>
          <w:sz w:val="24"/>
        </w:rPr>
        <w:t xml:space="preserve">neprověřila prostřednictvím </w:t>
      </w:r>
      <w:r w:rsidR="00E96501">
        <w:rPr>
          <w:rFonts w:asciiTheme="minorHAnsi" w:hAnsiTheme="minorHAnsi" w:cstheme="minorHAnsi"/>
          <w:sz w:val="24"/>
        </w:rPr>
        <w:t>schvalovací</w:t>
      </w:r>
      <w:r w:rsidR="00B634F8">
        <w:rPr>
          <w:rFonts w:asciiTheme="minorHAnsi" w:hAnsiTheme="minorHAnsi" w:cstheme="minorHAnsi"/>
          <w:sz w:val="24"/>
        </w:rPr>
        <w:t>ho</w:t>
      </w:r>
      <w:r w:rsidR="00E96501">
        <w:rPr>
          <w:rFonts w:asciiTheme="minorHAnsi" w:hAnsiTheme="minorHAnsi" w:cstheme="minorHAnsi"/>
          <w:sz w:val="24"/>
        </w:rPr>
        <w:t xml:space="preserve"> postup</w:t>
      </w:r>
      <w:r w:rsidR="00B634F8">
        <w:rPr>
          <w:rFonts w:asciiTheme="minorHAnsi" w:hAnsiTheme="minorHAnsi" w:cstheme="minorHAnsi"/>
          <w:sz w:val="24"/>
        </w:rPr>
        <w:t>u</w:t>
      </w:r>
      <w:r w:rsidR="00E96501">
        <w:rPr>
          <w:rFonts w:asciiTheme="minorHAnsi" w:hAnsiTheme="minorHAnsi" w:cstheme="minorHAnsi"/>
          <w:sz w:val="24"/>
        </w:rPr>
        <w:t xml:space="preserve"> příkazce operace nezbytnost připravovaných operací k zajištění stanovených úkolů </w:t>
      </w:r>
      <w:r w:rsidR="00CF0250">
        <w:rPr>
          <w:rFonts w:asciiTheme="minorHAnsi" w:hAnsiTheme="minorHAnsi" w:cstheme="minorHAnsi"/>
          <w:sz w:val="24"/>
        </w:rPr>
        <w:t xml:space="preserve">v oblasti nabývání majetku. </w:t>
      </w:r>
      <w:r w:rsidR="000A5CFB" w:rsidRPr="00006225">
        <w:rPr>
          <w:rFonts w:asciiTheme="minorHAnsi" w:hAnsiTheme="minorHAnsi" w:cstheme="minorHAnsi"/>
          <w:sz w:val="24"/>
        </w:rPr>
        <w:t>NG nepos</w:t>
      </w:r>
      <w:r w:rsidR="00233912" w:rsidRPr="00006225">
        <w:rPr>
          <w:rFonts w:asciiTheme="minorHAnsi" w:hAnsiTheme="minorHAnsi" w:cstheme="minorHAnsi"/>
          <w:sz w:val="24"/>
        </w:rPr>
        <w:t>t</w:t>
      </w:r>
      <w:r w:rsidR="000A5CFB" w:rsidRPr="00006225">
        <w:rPr>
          <w:rFonts w:asciiTheme="minorHAnsi" w:hAnsiTheme="minorHAnsi" w:cstheme="minorHAnsi"/>
          <w:sz w:val="24"/>
        </w:rPr>
        <w:t xml:space="preserve">upovala v souladu s právními předpisy, když </w:t>
      </w:r>
      <w:r w:rsidR="00904444">
        <w:rPr>
          <w:rFonts w:asciiTheme="minorHAnsi" w:hAnsiTheme="minorHAnsi" w:cstheme="minorHAnsi"/>
          <w:sz w:val="24"/>
        </w:rPr>
        <w:t>při</w:t>
      </w:r>
      <w:r w:rsidR="000A5CFB" w:rsidRPr="00006225">
        <w:rPr>
          <w:rFonts w:asciiTheme="minorHAnsi" w:hAnsiTheme="minorHAnsi" w:cstheme="minorHAnsi"/>
          <w:sz w:val="24"/>
        </w:rPr>
        <w:t xml:space="preserve"> zadání veřejných zakázek spojených s nabýváním majetku nevyužila žádný z druhů zadávacího řízení. </w:t>
      </w:r>
      <w:r w:rsidR="00781157" w:rsidRPr="00006225">
        <w:rPr>
          <w:rFonts w:asciiTheme="minorHAnsi" w:hAnsiTheme="minorHAnsi" w:cstheme="minorHAnsi"/>
          <w:sz w:val="24"/>
        </w:rPr>
        <w:t>NG měla zpracovaný plán oprav, ale v</w:t>
      </w:r>
      <w:r w:rsidRPr="00006225">
        <w:rPr>
          <w:rFonts w:asciiTheme="minorHAnsi" w:hAnsiTheme="minorHAnsi" w:cstheme="minorHAnsi"/>
          <w:sz w:val="24"/>
        </w:rPr>
        <w:t xml:space="preserve">ětšina </w:t>
      </w:r>
      <w:r w:rsidR="00B634F8" w:rsidRPr="00006225">
        <w:rPr>
          <w:rFonts w:asciiTheme="minorHAnsi" w:hAnsiTheme="minorHAnsi" w:cstheme="minorHAnsi"/>
          <w:sz w:val="24"/>
        </w:rPr>
        <w:t xml:space="preserve">oprav </w:t>
      </w:r>
      <w:r w:rsidRPr="00006225">
        <w:rPr>
          <w:rFonts w:asciiTheme="minorHAnsi" w:hAnsiTheme="minorHAnsi" w:cstheme="minorHAnsi"/>
          <w:sz w:val="24"/>
        </w:rPr>
        <w:t xml:space="preserve">provedených v kontrolovaném období </w:t>
      </w:r>
      <w:r w:rsidR="00B634F8" w:rsidRPr="00006225">
        <w:rPr>
          <w:rFonts w:asciiTheme="minorHAnsi" w:hAnsiTheme="minorHAnsi" w:cstheme="minorHAnsi"/>
          <w:sz w:val="24"/>
        </w:rPr>
        <w:t xml:space="preserve">nebyla </w:t>
      </w:r>
      <w:r w:rsidR="00781157" w:rsidRPr="00006225">
        <w:rPr>
          <w:rFonts w:asciiTheme="minorHAnsi" w:hAnsiTheme="minorHAnsi" w:cstheme="minorHAnsi"/>
          <w:sz w:val="24"/>
        </w:rPr>
        <w:t>v </w:t>
      </w:r>
      <w:r w:rsidR="00B634F8">
        <w:rPr>
          <w:rFonts w:asciiTheme="minorHAnsi" w:hAnsiTheme="minorHAnsi" w:cstheme="minorHAnsi"/>
          <w:sz w:val="24"/>
        </w:rPr>
        <w:t>tomto</w:t>
      </w:r>
      <w:r w:rsidR="00781157" w:rsidRPr="00006225">
        <w:rPr>
          <w:rFonts w:asciiTheme="minorHAnsi" w:hAnsiTheme="minorHAnsi" w:cstheme="minorHAnsi"/>
          <w:sz w:val="24"/>
        </w:rPr>
        <w:t xml:space="preserve"> plánu uvedena</w:t>
      </w:r>
      <w:r w:rsidRPr="00006225">
        <w:rPr>
          <w:rFonts w:asciiTheme="minorHAnsi" w:hAnsiTheme="minorHAnsi" w:cstheme="minorHAnsi"/>
          <w:sz w:val="24"/>
        </w:rPr>
        <w:t>.</w:t>
      </w:r>
      <w:r w:rsidRPr="00FA6FF6">
        <w:rPr>
          <w:rFonts w:asciiTheme="minorHAnsi" w:hAnsiTheme="minorHAnsi" w:cstheme="minorHAnsi"/>
          <w:sz w:val="24"/>
        </w:rPr>
        <w:t xml:space="preserve"> </w:t>
      </w:r>
      <w:r w:rsidR="00244F24" w:rsidRPr="00244F24">
        <w:rPr>
          <w:rFonts w:asciiTheme="minorHAnsi" w:hAnsiTheme="minorHAnsi" w:cstheme="minorHAnsi"/>
          <w:sz w:val="24"/>
        </w:rPr>
        <w:t xml:space="preserve">NG vynaložila peněžní </w:t>
      </w:r>
      <w:r w:rsidR="00244F24" w:rsidRPr="00006225">
        <w:rPr>
          <w:rFonts w:asciiTheme="minorHAnsi" w:hAnsiTheme="minorHAnsi" w:cstheme="minorHAnsi"/>
          <w:sz w:val="24"/>
        </w:rPr>
        <w:t>prostředky</w:t>
      </w:r>
      <w:r w:rsidR="0053150D" w:rsidRPr="00006225">
        <w:rPr>
          <w:rFonts w:asciiTheme="minorHAnsi" w:hAnsiTheme="minorHAnsi" w:cstheme="minorHAnsi"/>
          <w:sz w:val="24"/>
        </w:rPr>
        <w:t xml:space="preserve"> za</w:t>
      </w:r>
      <w:r w:rsidR="00244F24" w:rsidRPr="00006225">
        <w:rPr>
          <w:rFonts w:asciiTheme="minorHAnsi" w:hAnsiTheme="minorHAnsi" w:cstheme="minorHAnsi"/>
          <w:sz w:val="24"/>
        </w:rPr>
        <w:t xml:space="preserve"> vytvoření</w:t>
      </w:r>
      <w:r w:rsidR="00244F24" w:rsidRPr="00244F24">
        <w:rPr>
          <w:rFonts w:asciiTheme="minorHAnsi" w:hAnsiTheme="minorHAnsi" w:cstheme="minorHAnsi"/>
          <w:sz w:val="24"/>
        </w:rPr>
        <w:t xml:space="preserve"> nového loga, jehož předmětem nebyl její zákonný název</w:t>
      </w:r>
      <w:r w:rsidR="00006225" w:rsidRPr="00C54561">
        <w:rPr>
          <w:rFonts w:asciiTheme="minorHAnsi" w:hAnsiTheme="minorHAnsi" w:cstheme="minorHAnsi"/>
          <w:sz w:val="24"/>
        </w:rPr>
        <w:t>.</w:t>
      </w:r>
      <w:r w:rsidR="0053150D" w:rsidRPr="00C54561">
        <w:rPr>
          <w:rFonts w:asciiTheme="minorHAnsi" w:hAnsiTheme="minorHAnsi" w:cstheme="minorHAnsi"/>
          <w:sz w:val="24"/>
        </w:rPr>
        <w:t xml:space="preserve"> Jelikož nebyla provedena změna názvu v zákoně, nemůže NG využívat toto logo a</w:t>
      </w:r>
      <w:r w:rsidR="00B634F8">
        <w:rPr>
          <w:rFonts w:asciiTheme="minorHAnsi" w:hAnsiTheme="minorHAnsi" w:cstheme="minorHAnsi"/>
          <w:sz w:val="24"/>
        </w:rPr>
        <w:t>ni</w:t>
      </w:r>
      <w:r w:rsidR="0053150D" w:rsidRPr="00C54561">
        <w:rPr>
          <w:rFonts w:asciiTheme="minorHAnsi" w:hAnsiTheme="minorHAnsi" w:cstheme="minorHAnsi"/>
          <w:sz w:val="24"/>
        </w:rPr>
        <w:t xml:space="preserve"> název na oficiálních dokumentech. Takové vynaložení peněžních prostředků nebylo v souladu se zákonem o</w:t>
      </w:r>
      <w:r w:rsidR="00E03B0C">
        <w:rPr>
          <w:rFonts w:asciiTheme="minorHAnsi" w:hAnsiTheme="minorHAnsi" w:cstheme="minorHAnsi"/>
          <w:sz w:val="24"/>
        </w:rPr>
        <w:t xml:space="preserve"> </w:t>
      </w:r>
      <w:r w:rsidR="0053150D" w:rsidRPr="00C54561">
        <w:rPr>
          <w:rFonts w:asciiTheme="minorHAnsi" w:hAnsiTheme="minorHAnsi" w:cstheme="minorHAnsi"/>
          <w:sz w:val="24"/>
        </w:rPr>
        <w:t>rozpočtových pravidlech</w:t>
      </w:r>
      <w:r w:rsidR="00D50B68">
        <w:rPr>
          <w:rStyle w:val="Znakapoznpodarou"/>
          <w:rFonts w:asciiTheme="minorHAnsi" w:hAnsiTheme="minorHAnsi" w:cstheme="minorHAnsi"/>
          <w:sz w:val="24"/>
        </w:rPr>
        <w:footnoteReference w:id="5"/>
      </w:r>
      <w:r w:rsidR="0053150D" w:rsidRPr="00C54561">
        <w:rPr>
          <w:rFonts w:asciiTheme="minorHAnsi" w:hAnsiTheme="minorHAnsi" w:cstheme="minorHAnsi"/>
          <w:sz w:val="24"/>
        </w:rPr>
        <w:t>, který příspěvkovým organizacím povoluje použ</w:t>
      </w:r>
      <w:r w:rsidR="005814DE">
        <w:rPr>
          <w:rFonts w:asciiTheme="minorHAnsi" w:hAnsiTheme="minorHAnsi" w:cstheme="minorHAnsi"/>
          <w:sz w:val="24"/>
        </w:rPr>
        <w:t>ít</w:t>
      </w:r>
      <w:r w:rsidR="0053150D" w:rsidRPr="00C54561">
        <w:rPr>
          <w:rFonts w:asciiTheme="minorHAnsi" w:hAnsiTheme="minorHAnsi" w:cstheme="minorHAnsi"/>
          <w:sz w:val="24"/>
        </w:rPr>
        <w:t xml:space="preserve"> </w:t>
      </w:r>
      <w:r w:rsidR="005814DE" w:rsidRPr="00C54561">
        <w:rPr>
          <w:rFonts w:asciiTheme="minorHAnsi" w:hAnsiTheme="minorHAnsi" w:cstheme="minorHAnsi"/>
          <w:sz w:val="24"/>
        </w:rPr>
        <w:t>peněžn</w:t>
      </w:r>
      <w:r w:rsidR="005814DE">
        <w:rPr>
          <w:rFonts w:asciiTheme="minorHAnsi" w:hAnsiTheme="minorHAnsi" w:cstheme="minorHAnsi"/>
          <w:sz w:val="24"/>
        </w:rPr>
        <w:t>í prostředky</w:t>
      </w:r>
      <w:r w:rsidR="005814DE" w:rsidRPr="00C54561">
        <w:rPr>
          <w:rFonts w:asciiTheme="minorHAnsi" w:hAnsiTheme="minorHAnsi" w:cstheme="minorHAnsi"/>
          <w:sz w:val="24"/>
        </w:rPr>
        <w:t xml:space="preserve"> </w:t>
      </w:r>
      <w:r w:rsidR="0053150D" w:rsidRPr="00C54561">
        <w:rPr>
          <w:rFonts w:asciiTheme="minorHAnsi" w:hAnsiTheme="minorHAnsi" w:cstheme="minorHAnsi"/>
          <w:sz w:val="24"/>
        </w:rPr>
        <w:t>jen k účelům, na které jsou</w:t>
      </w:r>
      <w:r w:rsidR="00AD16FB">
        <w:rPr>
          <w:rFonts w:asciiTheme="minorHAnsi" w:hAnsiTheme="minorHAnsi" w:cstheme="minorHAnsi"/>
          <w:sz w:val="24"/>
        </w:rPr>
        <w:t xml:space="preserve"> určeny</w:t>
      </w:r>
      <w:r w:rsidR="00E85326" w:rsidRPr="00A252C6">
        <w:rPr>
          <w:rFonts w:asciiTheme="minorHAnsi" w:hAnsiTheme="minorHAnsi" w:cstheme="minorHAnsi"/>
          <w:sz w:val="24"/>
        </w:rPr>
        <w:t>, a to na krytí nezbytných potřeb</w:t>
      </w:r>
      <w:r w:rsidR="0053150D" w:rsidRPr="00C54561">
        <w:rPr>
          <w:rFonts w:asciiTheme="minorHAnsi" w:hAnsiTheme="minorHAnsi" w:cstheme="minorHAnsi"/>
          <w:sz w:val="24"/>
        </w:rPr>
        <w:t>.</w:t>
      </w:r>
      <w:r w:rsidR="006A420D" w:rsidRPr="00C54561">
        <w:rPr>
          <w:rFonts w:asciiTheme="minorHAnsi" w:hAnsiTheme="minorHAnsi" w:cstheme="minorHAnsi"/>
          <w:sz w:val="24"/>
        </w:rPr>
        <w:t xml:space="preserve"> </w:t>
      </w:r>
      <w:r w:rsidR="001C2549" w:rsidRPr="00C54561">
        <w:rPr>
          <w:rFonts w:asciiTheme="minorHAnsi" w:hAnsiTheme="minorHAnsi" w:cstheme="minorHAnsi"/>
          <w:sz w:val="24"/>
        </w:rPr>
        <w:t xml:space="preserve">NG v kontrolovaném </w:t>
      </w:r>
      <w:r w:rsidR="00006225" w:rsidRPr="00C54561">
        <w:rPr>
          <w:rFonts w:asciiTheme="minorHAnsi" w:hAnsiTheme="minorHAnsi" w:cstheme="minorHAnsi"/>
          <w:sz w:val="24"/>
        </w:rPr>
        <w:t xml:space="preserve">období </w:t>
      </w:r>
      <w:r w:rsidR="002D3096" w:rsidRPr="00C54561">
        <w:rPr>
          <w:rFonts w:asciiTheme="minorHAnsi" w:hAnsiTheme="minorHAnsi" w:cstheme="minorHAnsi"/>
          <w:sz w:val="24"/>
        </w:rPr>
        <w:t>v</w:t>
      </w:r>
      <w:r w:rsidR="002D3096">
        <w:rPr>
          <w:rFonts w:asciiTheme="minorHAnsi" w:hAnsiTheme="minorHAnsi" w:cstheme="minorHAnsi"/>
          <w:sz w:val="24"/>
        </w:rPr>
        <w:t>e zjištěných</w:t>
      </w:r>
      <w:r w:rsidR="002D3096" w:rsidRPr="00C54561">
        <w:rPr>
          <w:rFonts w:asciiTheme="minorHAnsi" w:hAnsiTheme="minorHAnsi" w:cstheme="minorHAnsi"/>
          <w:sz w:val="24"/>
        </w:rPr>
        <w:t xml:space="preserve"> případech </w:t>
      </w:r>
      <w:r w:rsidR="00417856" w:rsidRPr="00C54561">
        <w:rPr>
          <w:rFonts w:asciiTheme="minorHAnsi" w:hAnsiTheme="minorHAnsi" w:cstheme="minorHAnsi"/>
          <w:sz w:val="24"/>
        </w:rPr>
        <w:t>o nabyt</w:t>
      </w:r>
      <w:r w:rsidR="00417856">
        <w:rPr>
          <w:rFonts w:asciiTheme="minorHAnsi" w:hAnsiTheme="minorHAnsi" w:cstheme="minorHAnsi"/>
          <w:sz w:val="24"/>
        </w:rPr>
        <w:t>í</w:t>
      </w:r>
      <w:r w:rsidR="00417856" w:rsidRPr="00C54561">
        <w:rPr>
          <w:rFonts w:asciiTheme="minorHAnsi" w:hAnsiTheme="minorHAnsi" w:cstheme="minorHAnsi"/>
          <w:sz w:val="24"/>
        </w:rPr>
        <w:t xml:space="preserve"> majetku </w:t>
      </w:r>
      <w:r w:rsidR="007924E3" w:rsidRPr="00C54561">
        <w:rPr>
          <w:rFonts w:asciiTheme="minorHAnsi" w:hAnsiTheme="minorHAnsi" w:cstheme="minorHAnsi"/>
          <w:sz w:val="24"/>
        </w:rPr>
        <w:t>ne</w:t>
      </w:r>
      <w:r w:rsidR="006A420D" w:rsidRPr="00C54561">
        <w:rPr>
          <w:rFonts w:asciiTheme="minorHAnsi" w:hAnsiTheme="minorHAnsi" w:cstheme="minorHAnsi"/>
          <w:sz w:val="24"/>
        </w:rPr>
        <w:t>ú</w:t>
      </w:r>
      <w:r w:rsidR="00E411F3" w:rsidRPr="00C54561">
        <w:rPr>
          <w:rFonts w:asciiTheme="minorHAnsi" w:hAnsiTheme="minorHAnsi" w:cstheme="minorHAnsi"/>
          <w:sz w:val="24"/>
        </w:rPr>
        <w:t>čtovala</w:t>
      </w:r>
      <w:r w:rsidR="001C2549" w:rsidRPr="00C54561">
        <w:rPr>
          <w:rFonts w:asciiTheme="minorHAnsi" w:hAnsiTheme="minorHAnsi" w:cstheme="minorHAnsi"/>
          <w:sz w:val="24"/>
        </w:rPr>
        <w:t xml:space="preserve"> </w:t>
      </w:r>
      <w:r w:rsidR="002D3096">
        <w:rPr>
          <w:rFonts w:asciiTheme="minorHAnsi" w:hAnsiTheme="minorHAnsi" w:cstheme="minorHAnsi"/>
          <w:sz w:val="24"/>
        </w:rPr>
        <w:t>do</w:t>
      </w:r>
      <w:r w:rsidR="00B634F8">
        <w:rPr>
          <w:rFonts w:asciiTheme="minorHAnsi" w:hAnsiTheme="minorHAnsi" w:cstheme="minorHAnsi"/>
          <w:sz w:val="24"/>
        </w:rPr>
        <w:t xml:space="preserve"> </w:t>
      </w:r>
      <w:r w:rsidR="007924E3" w:rsidRPr="00C54561">
        <w:rPr>
          <w:rFonts w:asciiTheme="minorHAnsi" w:hAnsiTheme="minorHAnsi" w:cstheme="minorHAnsi"/>
          <w:sz w:val="24"/>
        </w:rPr>
        <w:t xml:space="preserve">období, s nímž </w:t>
      </w:r>
      <w:r w:rsidR="002D3096">
        <w:rPr>
          <w:rFonts w:asciiTheme="minorHAnsi" w:hAnsiTheme="minorHAnsi" w:cstheme="minorHAnsi"/>
          <w:sz w:val="24"/>
        </w:rPr>
        <w:t xml:space="preserve">toto nabytí majetku </w:t>
      </w:r>
      <w:r w:rsidR="007924E3" w:rsidRPr="00C54561">
        <w:rPr>
          <w:rFonts w:asciiTheme="minorHAnsi" w:hAnsiTheme="minorHAnsi" w:cstheme="minorHAnsi"/>
          <w:sz w:val="24"/>
        </w:rPr>
        <w:t>časově a</w:t>
      </w:r>
      <w:r w:rsidR="00767143">
        <w:rPr>
          <w:rFonts w:asciiTheme="minorHAnsi" w:hAnsiTheme="minorHAnsi" w:cstheme="minorHAnsi"/>
          <w:sz w:val="24"/>
        </w:rPr>
        <w:t> </w:t>
      </w:r>
      <w:r w:rsidR="002D3096">
        <w:rPr>
          <w:rFonts w:asciiTheme="minorHAnsi" w:hAnsiTheme="minorHAnsi" w:cstheme="minorHAnsi"/>
          <w:sz w:val="24"/>
        </w:rPr>
        <w:t>věcně</w:t>
      </w:r>
      <w:r w:rsidR="007924E3" w:rsidRPr="00C54561">
        <w:rPr>
          <w:rFonts w:asciiTheme="minorHAnsi" w:hAnsiTheme="minorHAnsi" w:cstheme="minorHAnsi"/>
          <w:sz w:val="24"/>
        </w:rPr>
        <w:t xml:space="preserve"> souvisel</w:t>
      </w:r>
      <w:r w:rsidR="002D3096">
        <w:rPr>
          <w:rFonts w:asciiTheme="minorHAnsi" w:hAnsiTheme="minorHAnsi" w:cstheme="minorHAnsi"/>
          <w:sz w:val="24"/>
        </w:rPr>
        <w:t>o</w:t>
      </w:r>
      <w:r w:rsidR="001C2549" w:rsidRPr="00C54561">
        <w:rPr>
          <w:rFonts w:asciiTheme="minorHAnsi" w:hAnsiTheme="minorHAnsi" w:cstheme="minorHAnsi"/>
          <w:sz w:val="24"/>
        </w:rPr>
        <w:t>.</w:t>
      </w:r>
      <w:r w:rsidR="001C2549">
        <w:rPr>
          <w:rFonts w:asciiTheme="minorHAnsi" w:hAnsiTheme="minorHAnsi" w:cstheme="minorHAnsi"/>
          <w:sz w:val="24"/>
        </w:rPr>
        <w:t xml:space="preserve"> </w:t>
      </w:r>
    </w:p>
    <w:p w14:paraId="226C52C7" w14:textId="44DE2144" w:rsidR="00417856" w:rsidRPr="00417856" w:rsidRDefault="00417856" w:rsidP="0083260D">
      <w:pPr>
        <w:spacing w:before="120" w:after="0" w:line="240" w:lineRule="auto"/>
      </w:pPr>
      <w:r>
        <w:rPr>
          <w:rFonts w:asciiTheme="minorHAnsi" w:hAnsiTheme="minorHAnsi" w:cstheme="minorHAnsi"/>
          <w:sz w:val="24"/>
        </w:rPr>
        <w:t>U UPM byly zjištěny nedostatky v oblasti evidence majetku. Dále byl</w:t>
      </w:r>
      <w:r w:rsidR="001D3380">
        <w:rPr>
          <w:rFonts w:asciiTheme="minorHAnsi" w:hAnsiTheme="minorHAnsi" w:cstheme="minorHAnsi"/>
          <w:sz w:val="24"/>
        </w:rPr>
        <w:t>o</w:t>
      </w:r>
      <w:r>
        <w:rPr>
          <w:rFonts w:asciiTheme="minorHAnsi" w:hAnsiTheme="minorHAnsi" w:cstheme="minorHAnsi"/>
          <w:sz w:val="24"/>
        </w:rPr>
        <w:t xml:space="preserve"> zjištěn</w:t>
      </w:r>
      <w:r w:rsidR="001D3380">
        <w:rPr>
          <w:rFonts w:asciiTheme="minorHAnsi" w:hAnsiTheme="minorHAnsi" w:cstheme="minorHAnsi"/>
          <w:sz w:val="24"/>
        </w:rPr>
        <w:t xml:space="preserve">o, že </w:t>
      </w:r>
      <w:r w:rsidR="005814DE">
        <w:rPr>
          <w:rFonts w:asciiTheme="minorHAnsi" w:hAnsiTheme="minorHAnsi" w:cstheme="minorHAnsi"/>
          <w:sz w:val="24"/>
        </w:rPr>
        <w:t xml:space="preserve">UPM </w:t>
      </w:r>
      <w:r w:rsidR="00022B08">
        <w:rPr>
          <w:rFonts w:asciiTheme="minorHAnsi" w:hAnsiTheme="minorHAnsi" w:cstheme="minorHAnsi"/>
          <w:sz w:val="24"/>
        </w:rPr>
        <w:br/>
      </w:r>
      <w:r w:rsidR="001D3380">
        <w:rPr>
          <w:rFonts w:asciiTheme="minorHAnsi" w:hAnsiTheme="minorHAnsi" w:cstheme="minorHAnsi"/>
          <w:sz w:val="24"/>
        </w:rPr>
        <w:t>o</w:t>
      </w:r>
      <w:r w:rsidR="00022B08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nabytí pozemku neúčtovalo do období,</w:t>
      </w:r>
      <w:r w:rsidRPr="00417856">
        <w:rPr>
          <w:rFonts w:asciiTheme="minorHAnsi" w:hAnsiTheme="minorHAnsi" w:cstheme="minorHAnsi"/>
          <w:sz w:val="24"/>
        </w:rPr>
        <w:t xml:space="preserve"> </w:t>
      </w:r>
      <w:r w:rsidRPr="00C54561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e kterým nabytí pozemku </w:t>
      </w:r>
      <w:r w:rsidRPr="00C54561">
        <w:rPr>
          <w:rFonts w:asciiTheme="minorHAnsi" w:hAnsiTheme="minorHAnsi" w:cstheme="minorHAnsi"/>
          <w:sz w:val="24"/>
        </w:rPr>
        <w:t xml:space="preserve">časově a </w:t>
      </w:r>
      <w:r>
        <w:rPr>
          <w:rFonts w:asciiTheme="minorHAnsi" w:hAnsiTheme="minorHAnsi" w:cstheme="minorHAnsi"/>
          <w:sz w:val="24"/>
        </w:rPr>
        <w:t>věcně</w:t>
      </w:r>
      <w:r w:rsidRPr="00C54561">
        <w:rPr>
          <w:rFonts w:asciiTheme="minorHAnsi" w:hAnsiTheme="minorHAnsi" w:cstheme="minorHAnsi"/>
          <w:sz w:val="24"/>
        </w:rPr>
        <w:t xml:space="preserve"> souvisel</w:t>
      </w:r>
      <w:r>
        <w:rPr>
          <w:rFonts w:asciiTheme="minorHAnsi" w:hAnsiTheme="minorHAnsi" w:cstheme="minorHAnsi"/>
          <w:sz w:val="24"/>
        </w:rPr>
        <w:t>o.</w:t>
      </w:r>
    </w:p>
    <w:p w14:paraId="30B05384" w14:textId="77777777" w:rsidR="002D3B41" w:rsidRPr="00A10BE1" w:rsidRDefault="002D3B41" w:rsidP="0089567F">
      <w:pPr>
        <w:pStyle w:val="Nadpis1"/>
        <w:numPr>
          <w:ilvl w:val="0"/>
          <w:numId w:val="3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t>Nedostatky vnitřního kontrolního systému</w:t>
      </w:r>
    </w:p>
    <w:p w14:paraId="7780C3C5" w14:textId="026C83CD" w:rsidR="00D9336E" w:rsidRPr="00E177DA" w:rsidRDefault="00BC6DDD" w:rsidP="0083260D">
      <w:pPr>
        <w:shd w:val="clear" w:color="auto" w:fill="FFFFFF" w:themeFill="background1"/>
        <w:spacing w:before="120"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NG </w:t>
      </w:r>
      <w:r w:rsidR="00AF7C8A" w:rsidRPr="00C54561">
        <w:rPr>
          <w:rFonts w:asciiTheme="minorHAnsi" w:hAnsiTheme="minorHAnsi" w:cstheme="minorHAnsi"/>
          <w:sz w:val="24"/>
        </w:rPr>
        <w:t>porušovala ustanovení</w:t>
      </w:r>
      <w:r w:rsidRPr="00C54561">
        <w:rPr>
          <w:rFonts w:asciiTheme="minorHAnsi" w:hAnsiTheme="minorHAnsi" w:cstheme="minorHAnsi"/>
          <w:sz w:val="24"/>
        </w:rPr>
        <w:t xml:space="preserve"> zákona o</w:t>
      </w:r>
      <w:r>
        <w:rPr>
          <w:rFonts w:asciiTheme="minorHAnsi" w:hAnsiTheme="minorHAnsi" w:cstheme="minorHAnsi"/>
          <w:sz w:val="24"/>
        </w:rPr>
        <w:t xml:space="preserve"> finanční kontrole</w:t>
      </w:r>
      <w:r w:rsidR="00BE4B8D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D9336E">
        <w:rPr>
          <w:rFonts w:asciiTheme="minorHAnsi" w:hAnsiTheme="minorHAnsi" w:cstheme="minorHAnsi"/>
          <w:sz w:val="24"/>
        </w:rPr>
        <w:t>N</w:t>
      </w:r>
      <w:r>
        <w:rPr>
          <w:rFonts w:asciiTheme="minorHAnsi" w:hAnsiTheme="minorHAnsi" w:cstheme="minorHAnsi"/>
          <w:sz w:val="24"/>
        </w:rPr>
        <w:t xml:space="preserve">ebyly dodržovány schvalovací postupy předběžné řídicí kontroly před vznikem závazku </w:t>
      </w:r>
      <w:r w:rsidR="00AF7C8A">
        <w:rPr>
          <w:rFonts w:asciiTheme="minorHAnsi" w:hAnsiTheme="minorHAnsi" w:cstheme="minorHAnsi"/>
          <w:sz w:val="24"/>
        </w:rPr>
        <w:t>ani</w:t>
      </w:r>
      <w:r>
        <w:rPr>
          <w:rFonts w:asciiTheme="minorHAnsi" w:hAnsiTheme="minorHAnsi" w:cstheme="minorHAnsi"/>
          <w:sz w:val="24"/>
        </w:rPr>
        <w:t xml:space="preserve"> po jeho </w:t>
      </w:r>
      <w:r w:rsidRPr="00C54561">
        <w:rPr>
          <w:rFonts w:asciiTheme="minorHAnsi" w:hAnsiTheme="minorHAnsi" w:cstheme="minorHAnsi"/>
          <w:sz w:val="24"/>
        </w:rPr>
        <w:t>vzniku</w:t>
      </w:r>
      <w:r w:rsidR="00D9336E" w:rsidRPr="00C54561">
        <w:rPr>
          <w:rFonts w:asciiTheme="minorHAnsi" w:hAnsiTheme="minorHAnsi" w:cstheme="minorHAnsi"/>
          <w:sz w:val="24"/>
        </w:rPr>
        <w:t xml:space="preserve">. Dále </w:t>
      </w:r>
      <w:r w:rsidR="00AF7C8A" w:rsidRPr="00C54561">
        <w:rPr>
          <w:rFonts w:asciiTheme="minorHAnsi" w:hAnsiTheme="minorHAnsi" w:cstheme="minorHAnsi"/>
          <w:sz w:val="24"/>
        </w:rPr>
        <w:t>hradila faktury až po termínu jejich splatnosti</w:t>
      </w:r>
      <w:r w:rsidRPr="00C54561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D9336E">
        <w:rPr>
          <w:rFonts w:asciiTheme="minorHAnsi" w:hAnsiTheme="minorHAnsi" w:cstheme="minorHAnsi"/>
          <w:sz w:val="24"/>
        </w:rPr>
        <w:t>Kontrolou</w:t>
      </w:r>
      <w:r>
        <w:rPr>
          <w:rFonts w:asciiTheme="minorHAnsi" w:hAnsiTheme="minorHAnsi" w:cstheme="minorHAnsi"/>
          <w:sz w:val="24"/>
        </w:rPr>
        <w:t xml:space="preserve"> bylo zjištěno, že NG </w:t>
      </w:r>
      <w:r w:rsidR="002F77CF">
        <w:rPr>
          <w:rFonts w:asciiTheme="minorHAnsi" w:hAnsiTheme="minorHAnsi" w:cstheme="minorHAnsi"/>
          <w:sz w:val="24"/>
        </w:rPr>
        <w:t>nedohledala</w:t>
      </w:r>
      <w:r>
        <w:rPr>
          <w:rFonts w:asciiTheme="minorHAnsi" w:hAnsiTheme="minorHAnsi" w:cstheme="minorHAnsi"/>
          <w:sz w:val="24"/>
        </w:rPr>
        <w:t xml:space="preserve"> záznamy o projednávání a schvalování plánů kontrol, zpráv</w:t>
      </w:r>
      <w:r w:rsidR="00E85326">
        <w:rPr>
          <w:rFonts w:asciiTheme="minorHAnsi" w:hAnsiTheme="minorHAnsi" w:cstheme="minorHAnsi"/>
          <w:sz w:val="24"/>
        </w:rPr>
        <w:t>y</w:t>
      </w:r>
      <w:r>
        <w:rPr>
          <w:rFonts w:asciiTheme="minorHAnsi" w:hAnsiTheme="minorHAnsi" w:cstheme="minorHAnsi"/>
          <w:sz w:val="24"/>
        </w:rPr>
        <w:t xml:space="preserve"> z provedených interních auditů, přijat</w:t>
      </w:r>
      <w:r w:rsidR="00E85326">
        <w:rPr>
          <w:rFonts w:asciiTheme="minorHAnsi" w:hAnsiTheme="minorHAnsi" w:cstheme="minorHAnsi"/>
          <w:sz w:val="24"/>
        </w:rPr>
        <w:t>á</w:t>
      </w:r>
      <w:r>
        <w:rPr>
          <w:rFonts w:asciiTheme="minorHAnsi" w:hAnsiTheme="minorHAnsi" w:cstheme="minorHAnsi"/>
          <w:sz w:val="24"/>
        </w:rPr>
        <w:t xml:space="preserve"> nápravn</w:t>
      </w:r>
      <w:r w:rsidR="00E85326">
        <w:rPr>
          <w:rFonts w:asciiTheme="minorHAnsi" w:hAnsiTheme="minorHAnsi" w:cstheme="minorHAnsi"/>
          <w:sz w:val="24"/>
        </w:rPr>
        <w:t>á</w:t>
      </w:r>
      <w:r>
        <w:rPr>
          <w:rFonts w:asciiTheme="minorHAnsi" w:hAnsiTheme="minorHAnsi" w:cstheme="minorHAnsi"/>
          <w:sz w:val="24"/>
        </w:rPr>
        <w:t xml:space="preserve"> opatření k</w:t>
      </w:r>
      <w:r w:rsidR="00B74A8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těmto auditům a ani ke kontrolám provedeným </w:t>
      </w:r>
      <w:r w:rsidR="00AF7C8A" w:rsidRPr="00C54561">
        <w:rPr>
          <w:rFonts w:asciiTheme="minorHAnsi" w:hAnsiTheme="minorHAnsi" w:cstheme="minorHAnsi"/>
          <w:sz w:val="24"/>
        </w:rPr>
        <w:t>externími</w:t>
      </w:r>
      <w:r w:rsidR="00FB2F84">
        <w:rPr>
          <w:rFonts w:asciiTheme="minorHAnsi" w:hAnsiTheme="minorHAnsi" w:cstheme="minorHAnsi"/>
          <w:sz w:val="24"/>
        </w:rPr>
        <w:t xml:space="preserve"> kontrolními orgány.</w:t>
      </w:r>
      <w:r w:rsidR="00D9336E" w:rsidRPr="00D9336E">
        <w:rPr>
          <w:rFonts w:asciiTheme="minorHAnsi" w:hAnsiTheme="minorHAnsi" w:cstheme="minorHAnsi"/>
          <w:sz w:val="24"/>
        </w:rPr>
        <w:t xml:space="preserve"> </w:t>
      </w:r>
      <w:r w:rsidR="00D9336E" w:rsidRPr="00E177DA">
        <w:rPr>
          <w:rFonts w:asciiTheme="minorHAnsi" w:hAnsiTheme="minorHAnsi" w:cstheme="minorHAnsi"/>
          <w:sz w:val="24"/>
        </w:rPr>
        <w:t>Značná část zjištěných pochybení souvisí s nastavením a fungováním vnitřního kontrolního systém</w:t>
      </w:r>
      <w:r w:rsidR="00174175">
        <w:rPr>
          <w:rFonts w:asciiTheme="minorHAnsi" w:hAnsiTheme="minorHAnsi" w:cstheme="minorHAnsi"/>
          <w:sz w:val="24"/>
        </w:rPr>
        <w:t>u. Interní audit ne</w:t>
      </w:r>
      <w:r w:rsidR="00D9336E" w:rsidRPr="00E177DA">
        <w:rPr>
          <w:rFonts w:asciiTheme="minorHAnsi" w:hAnsiTheme="minorHAnsi" w:cstheme="minorHAnsi"/>
          <w:sz w:val="24"/>
        </w:rPr>
        <w:t>zajisti</w:t>
      </w:r>
      <w:r w:rsidR="00174175">
        <w:rPr>
          <w:rFonts w:asciiTheme="minorHAnsi" w:hAnsiTheme="minorHAnsi" w:cstheme="minorHAnsi"/>
          <w:sz w:val="24"/>
        </w:rPr>
        <w:t>l</w:t>
      </w:r>
      <w:r w:rsidR="00D9336E" w:rsidRPr="00E177DA">
        <w:rPr>
          <w:rFonts w:asciiTheme="minorHAnsi" w:hAnsiTheme="minorHAnsi" w:cstheme="minorHAnsi"/>
          <w:sz w:val="24"/>
        </w:rPr>
        <w:t xml:space="preserve"> potřebný rozsah a </w:t>
      </w:r>
      <w:r w:rsidR="006C3CA0">
        <w:rPr>
          <w:rFonts w:asciiTheme="minorHAnsi" w:hAnsiTheme="minorHAnsi" w:cstheme="minorHAnsi"/>
          <w:sz w:val="24"/>
        </w:rPr>
        <w:t xml:space="preserve">potřebnou </w:t>
      </w:r>
      <w:r w:rsidR="00D9336E" w:rsidRPr="00E177DA">
        <w:rPr>
          <w:rFonts w:asciiTheme="minorHAnsi" w:hAnsiTheme="minorHAnsi" w:cstheme="minorHAnsi"/>
          <w:sz w:val="24"/>
        </w:rPr>
        <w:t>úroveň auditů</w:t>
      </w:r>
      <w:r w:rsidR="00174175">
        <w:rPr>
          <w:rFonts w:asciiTheme="minorHAnsi" w:hAnsiTheme="minorHAnsi" w:cstheme="minorHAnsi"/>
          <w:sz w:val="24"/>
        </w:rPr>
        <w:t>.</w:t>
      </w:r>
      <w:r w:rsidR="00E85326">
        <w:rPr>
          <w:rFonts w:asciiTheme="minorHAnsi" w:hAnsiTheme="minorHAnsi" w:cstheme="minorHAnsi"/>
          <w:sz w:val="24"/>
        </w:rPr>
        <w:t xml:space="preserve"> NG nezavedla spisovou </w:t>
      </w:r>
      <w:r w:rsidR="00D9336E" w:rsidRPr="00E177DA">
        <w:rPr>
          <w:rFonts w:asciiTheme="minorHAnsi" w:hAnsiTheme="minorHAnsi" w:cstheme="minorHAnsi"/>
          <w:sz w:val="24"/>
        </w:rPr>
        <w:t>služb</w:t>
      </w:r>
      <w:r w:rsidR="00E85326">
        <w:rPr>
          <w:rFonts w:asciiTheme="minorHAnsi" w:hAnsiTheme="minorHAnsi" w:cstheme="minorHAnsi"/>
          <w:sz w:val="24"/>
        </w:rPr>
        <w:t>u v elektronické podobě</w:t>
      </w:r>
      <w:r w:rsidR="0083260D">
        <w:rPr>
          <w:rStyle w:val="Znakapoznpodarou"/>
          <w:rFonts w:asciiTheme="minorHAnsi" w:hAnsiTheme="minorHAnsi" w:cstheme="minorHAnsi"/>
          <w:sz w:val="24"/>
        </w:rPr>
        <w:footnoteReference w:id="6"/>
      </w:r>
      <w:r w:rsidR="00D9336E" w:rsidRPr="00E177DA">
        <w:rPr>
          <w:rFonts w:asciiTheme="minorHAnsi" w:hAnsiTheme="minorHAnsi" w:cstheme="minorHAnsi"/>
          <w:sz w:val="24"/>
        </w:rPr>
        <w:t>.</w:t>
      </w:r>
    </w:p>
    <w:p w14:paraId="21E34E16" w14:textId="1808F35E" w:rsidR="00FA652D" w:rsidRDefault="00BC6DDD" w:rsidP="0083260D">
      <w:pPr>
        <w:pStyle w:val="Odstavecseseznamem"/>
        <w:spacing w:before="120" w:after="0" w:line="240" w:lineRule="auto"/>
        <w:ind w:left="0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UPM</w:t>
      </w:r>
      <w:r w:rsidR="00D13048">
        <w:rPr>
          <w:rFonts w:asciiTheme="minorHAnsi" w:hAnsiTheme="minorHAnsi" w:cstheme="minorHAnsi"/>
          <w:sz w:val="24"/>
        </w:rPr>
        <w:t xml:space="preserve"> v rozporu se zákonem o finanční kontrole</w:t>
      </w:r>
      <w:r w:rsidR="00FB2F84">
        <w:rPr>
          <w:rFonts w:asciiTheme="minorHAnsi" w:hAnsiTheme="minorHAnsi" w:cstheme="minorHAnsi"/>
          <w:sz w:val="24"/>
        </w:rPr>
        <w:t xml:space="preserve"> neprověřovalo auditem účinnost vnitřního kontrolního systému a ve zprávách o výsledcích finančních kontrol neuvádělo zhodnocení přiměřenosti a účinnosti zavedeného systému vnitřní kontroly</w:t>
      </w:r>
      <w:r w:rsidR="00FB2F84" w:rsidRPr="00C54561">
        <w:rPr>
          <w:rFonts w:asciiTheme="minorHAnsi" w:hAnsiTheme="minorHAnsi" w:cstheme="minorHAnsi"/>
          <w:sz w:val="24"/>
        </w:rPr>
        <w:t>.</w:t>
      </w:r>
      <w:r w:rsidRPr="00C54561">
        <w:rPr>
          <w:rFonts w:asciiTheme="minorHAnsi" w:hAnsiTheme="minorHAnsi" w:cstheme="minorHAnsi"/>
          <w:sz w:val="24"/>
        </w:rPr>
        <w:t xml:space="preserve"> </w:t>
      </w:r>
      <w:r w:rsidR="00FB2F84" w:rsidRPr="00C54561">
        <w:rPr>
          <w:rFonts w:asciiTheme="minorHAnsi" w:hAnsiTheme="minorHAnsi" w:cstheme="minorHAnsi"/>
          <w:sz w:val="24"/>
        </w:rPr>
        <w:t>Dál</w:t>
      </w:r>
      <w:r w:rsidR="00FB2F84">
        <w:rPr>
          <w:rFonts w:asciiTheme="minorHAnsi" w:hAnsiTheme="minorHAnsi" w:cstheme="minorHAnsi"/>
          <w:sz w:val="24"/>
        </w:rPr>
        <w:t xml:space="preserve">e </w:t>
      </w:r>
      <w:r>
        <w:rPr>
          <w:rFonts w:asciiTheme="minorHAnsi" w:hAnsiTheme="minorHAnsi" w:cstheme="minorHAnsi"/>
          <w:sz w:val="24"/>
        </w:rPr>
        <w:t>bylo zjištěno pochybení u schvalovacích postupů předběžné říd</w:t>
      </w:r>
      <w:r w:rsidR="003E25BB">
        <w:rPr>
          <w:rFonts w:asciiTheme="minorHAnsi" w:hAnsiTheme="minorHAnsi" w:cstheme="minorHAnsi"/>
          <w:sz w:val="24"/>
        </w:rPr>
        <w:t>i</w:t>
      </w:r>
      <w:r>
        <w:rPr>
          <w:rFonts w:asciiTheme="minorHAnsi" w:hAnsiTheme="minorHAnsi" w:cstheme="minorHAnsi"/>
          <w:sz w:val="24"/>
        </w:rPr>
        <w:t xml:space="preserve">cí kontroly </w:t>
      </w:r>
      <w:r w:rsidR="00FB2F84">
        <w:rPr>
          <w:rFonts w:asciiTheme="minorHAnsi" w:hAnsiTheme="minorHAnsi" w:cstheme="minorHAnsi"/>
          <w:sz w:val="24"/>
        </w:rPr>
        <w:t xml:space="preserve">a </w:t>
      </w:r>
      <w:r w:rsidR="00461792">
        <w:rPr>
          <w:rFonts w:asciiTheme="minorHAnsi" w:hAnsiTheme="minorHAnsi" w:cstheme="minorHAnsi"/>
          <w:sz w:val="24"/>
        </w:rPr>
        <w:t xml:space="preserve">v </w:t>
      </w:r>
      <w:r w:rsidR="00D9336E">
        <w:rPr>
          <w:rFonts w:asciiTheme="minorHAnsi" w:hAnsiTheme="minorHAnsi" w:cstheme="minorHAnsi"/>
          <w:sz w:val="24"/>
        </w:rPr>
        <w:t>ne</w:t>
      </w:r>
      <w:r w:rsidR="00FB2F84">
        <w:rPr>
          <w:rFonts w:asciiTheme="minorHAnsi" w:hAnsiTheme="minorHAnsi" w:cstheme="minorHAnsi"/>
          <w:sz w:val="24"/>
        </w:rPr>
        <w:t>existenci vnitřního předpisu upravujícího podpisové vzory.</w:t>
      </w:r>
    </w:p>
    <w:p w14:paraId="28375CAA" w14:textId="77777777" w:rsidR="00FA652D" w:rsidRPr="00A10BE1" w:rsidRDefault="00FA652D" w:rsidP="0089567F">
      <w:pPr>
        <w:pStyle w:val="Nadpis1"/>
        <w:numPr>
          <w:ilvl w:val="0"/>
          <w:numId w:val="3"/>
        </w:numPr>
        <w:spacing w:before="120" w:after="0" w:line="240" w:lineRule="auto"/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t>Neodůvodněné snižování výnosů</w:t>
      </w:r>
      <w:r w:rsidR="003907E6" w:rsidRPr="00A10BE1">
        <w:rPr>
          <w:rFonts w:asciiTheme="minorHAnsi" w:hAnsiTheme="minorHAnsi" w:cstheme="minorHAnsi"/>
          <w:sz w:val="24"/>
          <w:u w:val="none"/>
        </w:rPr>
        <w:t xml:space="preserve"> státu</w:t>
      </w:r>
    </w:p>
    <w:p w14:paraId="6EEAA1D9" w14:textId="5B817BC4" w:rsidR="006475E5" w:rsidRDefault="00B60E75" w:rsidP="0083260D">
      <w:pPr>
        <w:pStyle w:val="Odstavecseseznamem"/>
        <w:spacing w:before="120" w:after="0" w:line="240" w:lineRule="auto"/>
        <w:ind w:left="0"/>
        <w:contextualSpacing w:val="0"/>
        <w:rPr>
          <w:rFonts w:asciiTheme="minorHAnsi" w:hAnsiTheme="minorHAnsi" w:cstheme="minorHAnsi"/>
          <w:sz w:val="24"/>
        </w:rPr>
      </w:pPr>
      <w:r w:rsidRPr="00B60E75">
        <w:rPr>
          <w:rFonts w:asciiTheme="minorHAnsi" w:hAnsiTheme="minorHAnsi" w:cstheme="minorHAnsi"/>
          <w:sz w:val="24"/>
        </w:rPr>
        <w:t xml:space="preserve">Obě </w:t>
      </w:r>
      <w:r>
        <w:rPr>
          <w:rFonts w:asciiTheme="minorHAnsi" w:hAnsiTheme="minorHAnsi" w:cstheme="minorHAnsi"/>
          <w:sz w:val="24"/>
        </w:rPr>
        <w:t>příspěvkové organizace</w:t>
      </w:r>
      <w:r w:rsidR="002931C3">
        <w:rPr>
          <w:rFonts w:asciiTheme="minorHAnsi" w:hAnsiTheme="minorHAnsi" w:cstheme="minorHAnsi"/>
          <w:sz w:val="24"/>
        </w:rPr>
        <w:t xml:space="preserve"> (dále také „PO“)</w:t>
      </w:r>
      <w:r>
        <w:rPr>
          <w:rFonts w:asciiTheme="minorHAnsi" w:hAnsiTheme="minorHAnsi" w:cstheme="minorHAnsi"/>
          <w:sz w:val="24"/>
        </w:rPr>
        <w:t xml:space="preserve"> snižovaly výnosy z majetku státu</w:t>
      </w:r>
      <w:r w:rsidR="00C54561">
        <w:rPr>
          <w:rFonts w:asciiTheme="minorHAnsi" w:hAnsiTheme="minorHAnsi" w:cstheme="minorHAnsi"/>
          <w:sz w:val="24"/>
        </w:rPr>
        <w:t xml:space="preserve"> tím, že </w:t>
      </w:r>
      <w:r w:rsidR="00C54561" w:rsidRPr="00C54561">
        <w:rPr>
          <w:rFonts w:asciiTheme="minorHAnsi" w:hAnsiTheme="minorHAnsi" w:cstheme="minorHAnsi"/>
          <w:sz w:val="24"/>
        </w:rPr>
        <w:t>poskytovaly</w:t>
      </w:r>
      <w:r w:rsidRPr="00C54561">
        <w:rPr>
          <w:rFonts w:asciiTheme="minorHAnsi" w:hAnsiTheme="minorHAnsi" w:cstheme="minorHAnsi"/>
          <w:sz w:val="24"/>
        </w:rPr>
        <w:t xml:space="preserve"> </w:t>
      </w:r>
      <w:r w:rsidR="00935578">
        <w:rPr>
          <w:rFonts w:asciiTheme="minorHAnsi" w:hAnsiTheme="minorHAnsi" w:cstheme="minorHAnsi"/>
          <w:sz w:val="24"/>
        </w:rPr>
        <w:t xml:space="preserve">zdarma </w:t>
      </w:r>
      <w:r>
        <w:rPr>
          <w:rFonts w:asciiTheme="minorHAnsi" w:hAnsiTheme="minorHAnsi" w:cstheme="minorHAnsi"/>
          <w:sz w:val="24"/>
        </w:rPr>
        <w:t>určitým okruhům návštěvníků vstupy do objektů v</w:t>
      </w:r>
      <w:r w:rsidR="00716322">
        <w:rPr>
          <w:rFonts w:asciiTheme="minorHAnsi" w:hAnsiTheme="minorHAnsi" w:cstheme="minorHAnsi"/>
          <w:sz w:val="24"/>
        </w:rPr>
        <w:t xml:space="preserve">e své </w:t>
      </w:r>
      <w:r>
        <w:rPr>
          <w:rFonts w:asciiTheme="minorHAnsi" w:hAnsiTheme="minorHAnsi" w:cstheme="minorHAnsi"/>
          <w:sz w:val="24"/>
        </w:rPr>
        <w:t xml:space="preserve">správě, a to na základě </w:t>
      </w:r>
      <w:r w:rsidRPr="0089567F">
        <w:rPr>
          <w:rFonts w:asciiTheme="minorHAnsi" w:hAnsiTheme="minorHAnsi" w:cstheme="minorHAnsi"/>
          <w:i/>
          <w:sz w:val="24"/>
        </w:rPr>
        <w:t>dohody o spolupráci</w:t>
      </w:r>
      <w:r w:rsidR="00DE6D5F">
        <w:rPr>
          <w:rFonts w:asciiTheme="minorHAnsi" w:hAnsiTheme="minorHAnsi" w:cstheme="minorHAnsi"/>
          <w:sz w:val="24"/>
        </w:rPr>
        <w:t xml:space="preserve"> </w:t>
      </w:r>
      <w:r w:rsidR="00716322">
        <w:rPr>
          <w:rFonts w:asciiTheme="minorHAnsi" w:hAnsiTheme="minorHAnsi" w:cstheme="minorHAnsi"/>
          <w:sz w:val="24"/>
        </w:rPr>
        <w:t xml:space="preserve">uzavřené </w:t>
      </w:r>
      <w:r w:rsidR="00DE6D5F">
        <w:rPr>
          <w:rFonts w:asciiTheme="minorHAnsi" w:hAnsiTheme="minorHAnsi" w:cstheme="minorHAnsi"/>
          <w:sz w:val="24"/>
        </w:rPr>
        <w:t>s MK a dalšími PO zřízenými MK</w:t>
      </w:r>
      <w:r>
        <w:rPr>
          <w:rFonts w:asciiTheme="minorHAnsi" w:hAnsiTheme="minorHAnsi" w:cstheme="minorHAnsi"/>
          <w:sz w:val="24"/>
        </w:rPr>
        <w:t xml:space="preserve">. </w:t>
      </w:r>
    </w:p>
    <w:p w14:paraId="3A4FF599" w14:textId="1175F5AF" w:rsidR="006763F0" w:rsidRDefault="006763F0" w:rsidP="0083260D">
      <w:pPr>
        <w:pStyle w:val="Odstavecseseznamem"/>
        <w:spacing w:before="120" w:after="0" w:line="240" w:lineRule="auto"/>
        <w:ind w:left="0"/>
        <w:contextualSpacing w:val="0"/>
        <w:rPr>
          <w:rFonts w:asciiTheme="minorHAnsi" w:hAnsiTheme="minorHAnsi" w:cstheme="minorHAnsi"/>
          <w:sz w:val="24"/>
        </w:rPr>
      </w:pPr>
      <w:r w:rsidRPr="006763F0">
        <w:rPr>
          <w:rFonts w:asciiTheme="minorHAnsi" w:hAnsiTheme="minorHAnsi" w:cstheme="minorHAnsi"/>
          <w:sz w:val="24"/>
        </w:rPr>
        <w:lastRenderedPageBreak/>
        <w:t xml:space="preserve">UPM uzavřelo smlouvy, které neobsahovaly </w:t>
      </w:r>
      <w:r w:rsidR="00A56C58">
        <w:rPr>
          <w:rFonts w:asciiTheme="minorHAnsi" w:hAnsiTheme="minorHAnsi" w:cstheme="minorHAnsi"/>
          <w:sz w:val="24"/>
        </w:rPr>
        <w:t>režim zvyšování nájemného</w:t>
      </w:r>
      <w:r w:rsidRPr="006763F0">
        <w:rPr>
          <w:rFonts w:asciiTheme="minorHAnsi" w:hAnsiTheme="minorHAnsi" w:cstheme="minorHAnsi"/>
          <w:sz w:val="24"/>
        </w:rPr>
        <w:t>, což nebylo v souladu se zákonem o majetku státu</w:t>
      </w:r>
      <w:r w:rsidR="00E177DA">
        <w:rPr>
          <w:rStyle w:val="Znakapoznpodarou"/>
          <w:rFonts w:asciiTheme="minorHAnsi" w:hAnsiTheme="minorHAnsi" w:cstheme="minorHAnsi"/>
          <w:sz w:val="24"/>
        </w:rPr>
        <w:footnoteReference w:id="7"/>
      </w:r>
      <w:r w:rsidRPr="006763F0">
        <w:rPr>
          <w:rFonts w:asciiTheme="minorHAnsi" w:hAnsiTheme="minorHAnsi" w:cstheme="minorHAnsi"/>
          <w:sz w:val="24"/>
        </w:rPr>
        <w:t>.</w:t>
      </w:r>
      <w:r w:rsidR="00114941">
        <w:rPr>
          <w:rFonts w:asciiTheme="minorHAnsi" w:hAnsiTheme="minorHAnsi" w:cstheme="minorHAnsi"/>
          <w:sz w:val="24"/>
        </w:rPr>
        <w:t xml:space="preserve"> UPM přenech</w:t>
      </w:r>
      <w:r w:rsidR="00EC4C19">
        <w:rPr>
          <w:rFonts w:asciiTheme="minorHAnsi" w:hAnsiTheme="minorHAnsi" w:cstheme="minorHAnsi"/>
          <w:sz w:val="24"/>
        </w:rPr>
        <w:t>a</w:t>
      </w:r>
      <w:r w:rsidR="00114941">
        <w:rPr>
          <w:rFonts w:asciiTheme="minorHAnsi" w:hAnsiTheme="minorHAnsi" w:cstheme="minorHAnsi"/>
          <w:sz w:val="24"/>
        </w:rPr>
        <w:t xml:space="preserve">lo bezúplatně </w:t>
      </w:r>
      <w:r w:rsidR="00A56C58">
        <w:rPr>
          <w:rFonts w:asciiTheme="minorHAnsi" w:hAnsiTheme="minorHAnsi" w:cstheme="minorHAnsi"/>
          <w:sz w:val="24"/>
        </w:rPr>
        <w:t xml:space="preserve">podnikatelskému subjektu </w:t>
      </w:r>
      <w:r w:rsidR="00114941">
        <w:rPr>
          <w:rFonts w:asciiTheme="minorHAnsi" w:hAnsiTheme="minorHAnsi" w:cstheme="minorHAnsi"/>
          <w:sz w:val="24"/>
        </w:rPr>
        <w:t xml:space="preserve">movitý majetek </w:t>
      </w:r>
      <w:r w:rsidR="00EC4C19">
        <w:rPr>
          <w:rFonts w:asciiTheme="minorHAnsi" w:hAnsiTheme="minorHAnsi" w:cstheme="minorHAnsi"/>
          <w:sz w:val="24"/>
        </w:rPr>
        <w:t>u dvou uzavřených</w:t>
      </w:r>
      <w:r w:rsidR="00114941">
        <w:rPr>
          <w:rFonts w:asciiTheme="minorHAnsi" w:hAnsiTheme="minorHAnsi" w:cstheme="minorHAnsi"/>
          <w:sz w:val="24"/>
        </w:rPr>
        <w:t xml:space="preserve"> nájemních smluv</w:t>
      </w:r>
      <w:r w:rsidR="00A56C58">
        <w:rPr>
          <w:rFonts w:asciiTheme="minorHAnsi" w:hAnsiTheme="minorHAnsi" w:cstheme="minorHAnsi"/>
          <w:sz w:val="24"/>
        </w:rPr>
        <w:t>, což je v rozporu se zákonem o</w:t>
      </w:r>
      <w:r w:rsidR="00716322">
        <w:rPr>
          <w:rFonts w:asciiTheme="minorHAnsi" w:hAnsiTheme="minorHAnsi" w:cstheme="minorHAnsi"/>
          <w:sz w:val="24"/>
        </w:rPr>
        <w:t> </w:t>
      </w:r>
      <w:r w:rsidR="00A56C58">
        <w:rPr>
          <w:rFonts w:asciiTheme="minorHAnsi" w:hAnsiTheme="minorHAnsi" w:cstheme="minorHAnsi"/>
          <w:sz w:val="24"/>
        </w:rPr>
        <w:t>majetku státu.</w:t>
      </w:r>
    </w:p>
    <w:p w14:paraId="673845A7" w14:textId="77777777" w:rsidR="00315685" w:rsidRPr="00B60E75" w:rsidRDefault="00315685" w:rsidP="0083260D">
      <w:pPr>
        <w:pStyle w:val="Odstavecseseznamem"/>
        <w:spacing w:before="120" w:after="0" w:line="240" w:lineRule="auto"/>
        <w:ind w:left="0"/>
        <w:contextualSpacing w:val="0"/>
        <w:rPr>
          <w:rFonts w:asciiTheme="minorHAnsi" w:hAnsiTheme="minorHAnsi" w:cstheme="minorHAnsi"/>
          <w:sz w:val="24"/>
        </w:rPr>
      </w:pPr>
    </w:p>
    <w:p w14:paraId="603800F6" w14:textId="77777777" w:rsidR="00A54CCC" w:rsidRDefault="00A54CCC" w:rsidP="00475416">
      <w:pPr>
        <w:spacing w:before="120" w:after="0" w:line="240" w:lineRule="auto"/>
        <w:jc w:val="center"/>
        <w:rPr>
          <w:b/>
          <w:spacing w:val="20"/>
        </w:rPr>
      </w:pPr>
      <w:r>
        <w:rPr>
          <w:b/>
          <w:spacing w:val="20"/>
        </w:rPr>
        <w:t>II. Informace o kontrolované oblasti</w:t>
      </w:r>
    </w:p>
    <w:p w14:paraId="5F89B601" w14:textId="77777777" w:rsidR="0083260D" w:rsidRPr="00475416" w:rsidRDefault="0083260D" w:rsidP="00475416">
      <w:pPr>
        <w:spacing w:before="120"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bookmarkEnd w:id="0"/>
    <w:p w14:paraId="41183FFF" w14:textId="1E965880" w:rsidR="007F5AC1" w:rsidRPr="00B40179" w:rsidRDefault="007F5AC1" w:rsidP="00475416">
      <w:pPr>
        <w:overflowPunct w:val="0"/>
        <w:autoSpaceDE w:val="0"/>
        <w:autoSpaceDN w:val="0"/>
        <w:adjustRightInd w:val="0"/>
        <w:spacing w:line="240" w:lineRule="auto"/>
        <w:rPr>
          <w:rStyle w:val="eop"/>
          <w:rFonts w:ascii="Calibri" w:hAnsi="Calibri"/>
          <w:sz w:val="24"/>
          <w:lang w:eastAsia="cs-CZ"/>
        </w:rPr>
      </w:pPr>
      <w:r w:rsidRPr="00D3329A">
        <w:rPr>
          <w:rStyle w:val="eop"/>
          <w:rFonts w:ascii="Calibri" w:hAnsi="Calibri"/>
          <w:sz w:val="24"/>
          <w:lang w:eastAsia="cs-CZ"/>
        </w:rPr>
        <w:t>Kontrolované osoby jsou příspěvkovými</w:t>
      </w:r>
      <w:r w:rsidRPr="00177036">
        <w:rPr>
          <w:rStyle w:val="eop"/>
          <w:rFonts w:ascii="Calibri" w:hAnsi="Calibri"/>
          <w:sz w:val="24"/>
          <w:lang w:eastAsia="cs-CZ"/>
        </w:rPr>
        <w:t xml:space="preserve"> organizacemi Ministerstva kultury</w:t>
      </w:r>
      <w:r w:rsidR="00A97ED8" w:rsidRPr="00177036">
        <w:rPr>
          <w:rStyle w:val="eop"/>
          <w:rFonts w:ascii="Calibri" w:hAnsi="Calibri"/>
          <w:sz w:val="24"/>
          <w:lang w:eastAsia="cs-CZ"/>
        </w:rPr>
        <w:t xml:space="preserve"> </w:t>
      </w:r>
      <w:r w:rsidRPr="00177036">
        <w:rPr>
          <w:rStyle w:val="eop"/>
          <w:rFonts w:ascii="Calibri" w:hAnsi="Calibri"/>
          <w:sz w:val="24"/>
          <w:lang w:eastAsia="cs-CZ"/>
        </w:rPr>
        <w:t>a</w:t>
      </w:r>
      <w:r w:rsidR="00B40179">
        <w:rPr>
          <w:rStyle w:val="eop"/>
          <w:rFonts w:ascii="Calibri" w:hAnsi="Calibri"/>
          <w:sz w:val="24"/>
          <w:lang w:eastAsia="cs-CZ"/>
        </w:rPr>
        <w:t xml:space="preserve"> </w:t>
      </w:r>
      <w:r w:rsidRPr="00177036">
        <w:rPr>
          <w:rStyle w:val="eop"/>
          <w:rFonts w:ascii="Calibri" w:hAnsi="Calibri"/>
          <w:sz w:val="24"/>
          <w:lang w:eastAsia="cs-CZ"/>
        </w:rPr>
        <w:t>v souladu se zákonem o rozpočtových pravidlech</w:t>
      </w:r>
      <w:r w:rsidRPr="00B40179">
        <w:rPr>
          <w:rStyle w:val="eop"/>
          <w:rFonts w:ascii="Calibri" w:hAnsi="Calibri"/>
          <w:sz w:val="24"/>
          <w:lang w:eastAsia="cs-CZ"/>
        </w:rPr>
        <w:t xml:space="preserve"> hospodaří s peněžními prostředky získanými hlavní činností a</w:t>
      </w:r>
      <w:r w:rsidR="00B40179">
        <w:rPr>
          <w:rStyle w:val="eop"/>
          <w:rFonts w:ascii="Calibri" w:hAnsi="Calibri"/>
          <w:sz w:val="24"/>
          <w:lang w:eastAsia="cs-CZ"/>
        </w:rPr>
        <w:t xml:space="preserve"> </w:t>
      </w:r>
      <w:r w:rsidRPr="00177036">
        <w:rPr>
          <w:rStyle w:val="eop"/>
          <w:rFonts w:ascii="Calibri" w:hAnsi="Calibri"/>
          <w:sz w:val="24"/>
          <w:lang w:eastAsia="cs-CZ"/>
        </w:rPr>
        <w:t>přijatými ze státního rozpočtu v</w:t>
      </w:r>
      <w:r w:rsidR="00B40179">
        <w:rPr>
          <w:rStyle w:val="eop"/>
          <w:rFonts w:ascii="Calibri" w:hAnsi="Calibri"/>
          <w:sz w:val="24"/>
          <w:lang w:eastAsia="cs-CZ"/>
        </w:rPr>
        <w:t xml:space="preserve"> </w:t>
      </w:r>
      <w:r w:rsidRPr="00177036">
        <w:rPr>
          <w:rStyle w:val="eop"/>
          <w:rFonts w:ascii="Calibri" w:hAnsi="Calibri"/>
          <w:sz w:val="24"/>
          <w:lang w:eastAsia="cs-CZ"/>
        </w:rPr>
        <w:t>rámci finančních vztahů stanovených zřizovatelem. Dále PO hospodaří s peněžními prostředky svých fondů, s prostředk</w:t>
      </w:r>
      <w:r w:rsidRPr="00B40179">
        <w:rPr>
          <w:rStyle w:val="eop"/>
          <w:rFonts w:ascii="Calibri" w:hAnsi="Calibri"/>
          <w:sz w:val="24"/>
          <w:lang w:eastAsia="cs-CZ"/>
        </w:rPr>
        <w:t>y získanými jinou činností, s peněžitými dary od fyzických a právnických osob, s peněžními prostředky poskytnutými ze zahraničí a s peněžními prostředky poskytnutými z rozpočtů územních samosprávných celků a státních fondů, včetně prostředků poskytnutých České republice z rozpočtu Evropské unie a přijatých příspěvkovými organizacemi z Národního fondu.</w:t>
      </w:r>
    </w:p>
    <w:p w14:paraId="5A5BE83C" w14:textId="77777777" w:rsidR="007F5AC1" w:rsidRPr="00475416" w:rsidRDefault="007F5AC1" w:rsidP="007F5AC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F1F45">
        <w:rPr>
          <w:rStyle w:val="normaltextrun"/>
          <w:rFonts w:ascii="Calibri" w:hAnsi="Calibri" w:cs="Calibri"/>
          <w:b/>
          <w:bCs/>
        </w:rPr>
        <w:t>Národní galerie v Praze</w:t>
      </w:r>
    </w:p>
    <w:p w14:paraId="12E93465" w14:textId="17FEC8DA" w:rsidR="007F5AC1" w:rsidRPr="000C609F" w:rsidRDefault="007F5AC1" w:rsidP="007F5AC1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="Calibri" w:hAnsi="Calibri" w:cs="Calibri"/>
        </w:rPr>
      </w:pPr>
      <w:r w:rsidRPr="000C609F">
        <w:rPr>
          <w:rStyle w:val="eop"/>
          <w:rFonts w:ascii="Calibri" w:hAnsi="Calibri" w:cs="Calibri"/>
        </w:rPr>
        <w:t>Národní galerie v Praze je příspěvkovou organizací Ministerstva kultury</w:t>
      </w:r>
      <w:r>
        <w:rPr>
          <w:rStyle w:val="Znakapoznpodarou"/>
          <w:rFonts w:ascii="Calibri" w:hAnsi="Calibri" w:cs="Calibri"/>
        </w:rPr>
        <w:footnoteReference w:id="8"/>
      </w:r>
      <w:r>
        <w:rPr>
          <w:rStyle w:val="eop"/>
          <w:rFonts w:ascii="Calibri" w:hAnsi="Calibri" w:cs="Calibri"/>
        </w:rPr>
        <w:t>.</w:t>
      </w:r>
      <w:r w:rsidRPr="000C609F">
        <w:rPr>
          <w:rStyle w:val="eop"/>
          <w:rFonts w:ascii="Calibri" w:hAnsi="Calibri" w:cs="Calibri"/>
        </w:rPr>
        <w:t xml:space="preserve"> NG byla zřízena za účelem poskytovat veřejně prospěšné služby</w:t>
      </w:r>
      <w:r>
        <w:rPr>
          <w:rStyle w:val="eop"/>
          <w:rFonts w:ascii="Calibri" w:hAnsi="Calibri" w:cs="Calibri"/>
        </w:rPr>
        <w:t>,</w:t>
      </w:r>
      <w:r w:rsidRPr="000C609F">
        <w:rPr>
          <w:rStyle w:val="eop"/>
          <w:rFonts w:ascii="Calibri" w:hAnsi="Calibri" w:cs="Calibri"/>
        </w:rPr>
        <w:t xml:space="preserve"> veřejné kulturní služby a dále za účelem získávat, shromažďovat, trvale ochraňovat, evidovat, odborně zpracovávat a zpřístupňovat veřejnosti sbírky muzejní povahy, provádět vědecký výzkum týkající se sbírek a prostředí, z něhož jsou získávány sbírkové předměty, šířit výsledky výzkumu a vývoje prostřednictvím výuky a publikací, realizací muzejních výstav, funkčních prezentací exponátů a programů se zřetelem na mezinárodní kontext.</w:t>
      </w:r>
      <w:r w:rsidRPr="000C609F">
        <w:rPr>
          <w:rStyle w:val="Znakapoznpodarou"/>
          <w:rFonts w:ascii="Calibri" w:hAnsi="Calibri" w:cs="Calibri"/>
        </w:rPr>
        <w:footnoteReference w:id="9"/>
      </w:r>
      <w:r w:rsidRPr="000C609F">
        <w:rPr>
          <w:rStyle w:val="eop"/>
          <w:rFonts w:ascii="Calibri" w:hAnsi="Calibri" w:cs="Calibri"/>
        </w:rPr>
        <w:t xml:space="preserve"> </w:t>
      </w:r>
    </w:p>
    <w:p w14:paraId="178BBE11" w14:textId="03714549" w:rsidR="007F5AC1" w:rsidRDefault="007F5AC1" w:rsidP="007F5AC1">
      <w:pPr>
        <w:spacing w:before="120" w:line="240" w:lineRule="auto"/>
        <w:rPr>
          <w:rStyle w:val="eop"/>
          <w:rFonts w:ascii="Calibri" w:hAnsi="Calibri"/>
          <w:sz w:val="24"/>
          <w:lang w:eastAsia="cs-CZ"/>
        </w:rPr>
      </w:pPr>
      <w:r w:rsidRPr="000C609F">
        <w:rPr>
          <w:rStyle w:val="eop"/>
          <w:rFonts w:ascii="Calibri" w:hAnsi="Calibri"/>
          <w:sz w:val="24"/>
          <w:lang w:eastAsia="cs-CZ"/>
        </w:rPr>
        <w:t>Pro výstavní činnost</w:t>
      </w:r>
      <w:r>
        <w:rPr>
          <w:rStyle w:val="eop"/>
          <w:rFonts w:ascii="Calibri" w:hAnsi="Calibri"/>
          <w:sz w:val="24"/>
          <w:lang w:eastAsia="cs-CZ"/>
        </w:rPr>
        <w:t xml:space="preserve"> v Praze</w:t>
      </w:r>
      <w:r w:rsidRPr="000C609F">
        <w:rPr>
          <w:rStyle w:val="eop"/>
          <w:rFonts w:ascii="Calibri" w:hAnsi="Calibri"/>
          <w:sz w:val="24"/>
          <w:lang w:eastAsia="cs-CZ"/>
        </w:rPr>
        <w:t xml:space="preserve"> využívá NG zejména Veletržní palác, Šternberský palác, </w:t>
      </w:r>
      <w:r w:rsidR="00716322">
        <w:rPr>
          <w:rStyle w:val="eop"/>
          <w:rFonts w:ascii="Calibri" w:hAnsi="Calibri"/>
          <w:sz w:val="24"/>
          <w:lang w:eastAsia="cs-CZ"/>
        </w:rPr>
        <w:br/>
      </w:r>
      <w:r w:rsidR="00301620">
        <w:rPr>
          <w:rStyle w:val="eop"/>
          <w:rFonts w:ascii="Calibri" w:hAnsi="Calibri"/>
          <w:sz w:val="24"/>
          <w:lang w:eastAsia="cs-CZ"/>
        </w:rPr>
        <w:t>k</w:t>
      </w:r>
      <w:r w:rsidRPr="000C609F">
        <w:rPr>
          <w:rStyle w:val="eop"/>
          <w:rFonts w:ascii="Calibri" w:hAnsi="Calibri"/>
          <w:sz w:val="24"/>
          <w:lang w:eastAsia="cs-CZ"/>
        </w:rPr>
        <w:t>lášter sv.</w:t>
      </w:r>
      <w:r w:rsidR="00716322">
        <w:rPr>
          <w:rStyle w:val="eop"/>
          <w:rFonts w:ascii="Calibri" w:hAnsi="Calibri"/>
          <w:sz w:val="24"/>
          <w:lang w:eastAsia="cs-CZ"/>
        </w:rPr>
        <w:t xml:space="preserve"> </w:t>
      </w:r>
      <w:r w:rsidRPr="000C609F">
        <w:rPr>
          <w:rStyle w:val="eop"/>
          <w:rFonts w:ascii="Calibri" w:hAnsi="Calibri"/>
          <w:sz w:val="24"/>
          <w:lang w:eastAsia="cs-CZ"/>
        </w:rPr>
        <w:t xml:space="preserve">Anežky České, Schwarzenberský palác, Salmovský palác, </w:t>
      </w:r>
      <w:r w:rsidR="00301620">
        <w:rPr>
          <w:rStyle w:val="eop"/>
          <w:rFonts w:ascii="Calibri" w:hAnsi="Calibri"/>
          <w:sz w:val="24"/>
          <w:lang w:eastAsia="cs-CZ"/>
        </w:rPr>
        <w:t>p</w:t>
      </w:r>
      <w:r w:rsidRPr="000C609F">
        <w:rPr>
          <w:rStyle w:val="eop"/>
          <w:rFonts w:ascii="Calibri" w:hAnsi="Calibri"/>
          <w:sz w:val="24"/>
          <w:lang w:eastAsia="cs-CZ"/>
        </w:rPr>
        <w:t>alác Kinských</w:t>
      </w:r>
      <w:r w:rsidR="00D01446">
        <w:rPr>
          <w:rStyle w:val="eop"/>
          <w:rFonts w:ascii="Calibri" w:hAnsi="Calibri"/>
          <w:sz w:val="24"/>
          <w:lang w:eastAsia="cs-CZ"/>
        </w:rPr>
        <w:t xml:space="preserve"> na Staroměstském náměstí</w:t>
      </w:r>
      <w:r w:rsidRPr="000C609F">
        <w:rPr>
          <w:rStyle w:val="eop"/>
          <w:rFonts w:ascii="Calibri" w:hAnsi="Calibri"/>
          <w:sz w:val="24"/>
          <w:lang w:eastAsia="cs-CZ"/>
        </w:rPr>
        <w:t xml:space="preserve"> a Valdštejnskou jízdárnu. NG </w:t>
      </w:r>
      <w:r w:rsidR="008861E0">
        <w:rPr>
          <w:rStyle w:val="eop"/>
          <w:rFonts w:ascii="Calibri" w:hAnsi="Calibri"/>
          <w:sz w:val="24"/>
          <w:lang w:eastAsia="cs-CZ"/>
        </w:rPr>
        <w:t xml:space="preserve">dlouhodobě zapůjčila části sbírky </w:t>
      </w:r>
      <w:r w:rsidRPr="000C609F">
        <w:rPr>
          <w:rStyle w:val="eop"/>
          <w:rFonts w:ascii="Calibri" w:hAnsi="Calibri"/>
          <w:sz w:val="24"/>
          <w:lang w:eastAsia="cs-CZ"/>
        </w:rPr>
        <w:t>na zám</w:t>
      </w:r>
      <w:r w:rsidR="0059011C">
        <w:rPr>
          <w:rStyle w:val="eop"/>
          <w:rFonts w:ascii="Calibri" w:hAnsi="Calibri"/>
          <w:sz w:val="24"/>
          <w:lang w:eastAsia="cs-CZ"/>
        </w:rPr>
        <w:t>ky</w:t>
      </w:r>
      <w:r w:rsidRPr="000C609F">
        <w:rPr>
          <w:rStyle w:val="eop"/>
          <w:rFonts w:ascii="Calibri" w:hAnsi="Calibri"/>
          <w:sz w:val="24"/>
          <w:lang w:eastAsia="cs-CZ"/>
        </w:rPr>
        <w:t xml:space="preserve"> Fryštát a Žďár nad Sázavou. NG spravuje také Česk</w:t>
      </w:r>
      <w:r w:rsidR="00956396">
        <w:rPr>
          <w:rStyle w:val="eop"/>
          <w:rFonts w:ascii="Calibri" w:hAnsi="Calibri"/>
          <w:sz w:val="24"/>
          <w:lang w:eastAsia="cs-CZ"/>
        </w:rPr>
        <w:t>ý a S</w:t>
      </w:r>
      <w:r w:rsidRPr="000C609F">
        <w:rPr>
          <w:rStyle w:val="eop"/>
          <w:rFonts w:ascii="Calibri" w:hAnsi="Calibri"/>
          <w:sz w:val="24"/>
          <w:lang w:eastAsia="cs-CZ"/>
        </w:rPr>
        <w:t>lovenský pavilon v italských Benátkách</w:t>
      </w:r>
      <w:r w:rsidR="00400A88">
        <w:rPr>
          <w:rStyle w:val="eop"/>
          <w:rFonts w:ascii="Calibri" w:hAnsi="Calibri"/>
          <w:sz w:val="24"/>
          <w:lang w:eastAsia="cs-CZ"/>
        </w:rPr>
        <w:t xml:space="preserve"> a najímá si depozitář v Lobkovicích.</w:t>
      </w:r>
    </w:p>
    <w:p w14:paraId="67074E91" w14:textId="2B7BA437" w:rsidR="007F5AC1" w:rsidRPr="00A54CCC" w:rsidRDefault="007F5AC1" w:rsidP="007F5AC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</w:rPr>
      </w:pPr>
      <w:r w:rsidRPr="00627F3A">
        <w:rPr>
          <w:rStyle w:val="normaltextrun"/>
          <w:rFonts w:ascii="Calibri" w:hAnsi="Calibri" w:cs="Calibri"/>
          <w:b/>
          <w:bCs/>
        </w:rPr>
        <w:t>Uměleckoprůmyslové museum v Praze</w:t>
      </w:r>
    </w:p>
    <w:p w14:paraId="1E5DF9F4" w14:textId="40B9688D" w:rsidR="007F5AC1" w:rsidRDefault="007F5AC1" w:rsidP="007F5AC1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Uměleckoprůmyslové museum v</w:t>
      </w:r>
      <w:r w:rsidR="00F257DF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Praze je příspěvkovou organizací</w:t>
      </w:r>
      <w:r w:rsidR="00F257DF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zřízenou Ministerstvem kultury ČR. UPM plní funkci muzea</w:t>
      </w:r>
      <w:r w:rsidR="00F257DF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ve smyslu zákona o ochraně sbírek muzejní povahy</w:t>
      </w:r>
      <w:r w:rsidR="00061EF1">
        <w:rPr>
          <w:rStyle w:val="Znakapoznpodarou"/>
          <w:rFonts w:ascii="Calibri" w:hAnsi="Calibri" w:cs="Calibri"/>
          <w:color w:val="000000"/>
          <w:szCs w:val="22"/>
          <w:shd w:val="clear" w:color="auto" w:fill="FFFFFF"/>
        </w:rPr>
        <w:footnoteReference w:id="10"/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. Hlavním předmětem činnosti UPM je</w:t>
      </w:r>
      <w:r w:rsidR="0030162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získávání, shromažďování, trvalé uchovávání, odborné zpracování a zpřístupňování sbírky</w:t>
      </w:r>
      <w:r w:rsidR="0030162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umění</w:t>
      </w:r>
      <w:r w:rsidR="00301620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veřejnosti, zejména v oblasti uměleckého řemesla, užitého umění, uměleckého průmyslu a designu, knižní kultury, fotografie a oděvní tvorby.</w:t>
      </w:r>
    </w:p>
    <w:p w14:paraId="164AC0FD" w14:textId="23BC8E2E" w:rsidR="00061EF1" w:rsidRDefault="007F5AC1" w:rsidP="00061EF1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UPM spravuje hlavní budovu muzea spolu s</w:t>
      </w:r>
      <w:r w:rsidR="00CB2874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knihovnou</w:t>
      </w:r>
      <w:r w:rsidR="00CB287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 Praze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Centrální depozitář UPM 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v </w:t>
      </w:r>
      <w:r w:rsidR="009054AC">
        <w:rPr>
          <w:rStyle w:val="normaltextrun"/>
          <w:rFonts w:ascii="Calibri" w:hAnsi="Calibri" w:cs="Calibri"/>
          <w:color w:val="000000"/>
          <w:shd w:val="clear" w:color="auto" w:fill="FFFFFF"/>
        </w:rPr>
        <w:t>Pra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ze-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Stodůlk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ách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zámek Kamenice nad Lipou, </w:t>
      </w:r>
      <w:r w:rsidR="009054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depozitář 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 </w:t>
      </w:r>
      <w:r w:rsidR="009054AC">
        <w:rPr>
          <w:rStyle w:val="normaltextrun"/>
          <w:rFonts w:ascii="Calibri" w:hAnsi="Calibri" w:cs="Calibri"/>
          <w:color w:val="000000"/>
          <w:shd w:val="clear" w:color="auto" w:fill="FFFFFF"/>
        </w:rPr>
        <w:t>Brandýs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="009054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nad Labem</w:t>
      </w:r>
      <w:r w:rsidR="00CB03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(připraven pro předání jiné státní instituci – Národnímu technickému muzeu, stav ke dni 18.</w:t>
      </w:r>
      <w:r w:rsidR="007A7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CB0381">
        <w:rPr>
          <w:rStyle w:val="normaltextrun"/>
          <w:rFonts w:ascii="Calibri" w:hAnsi="Calibri" w:cs="Calibri"/>
          <w:color w:val="000000"/>
          <w:shd w:val="clear" w:color="auto" w:fill="FFFFFF"/>
        </w:rPr>
        <w:t>11.</w:t>
      </w:r>
      <w:r w:rsidR="007A766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CB03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2021),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objekt 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Chlumín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ě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(připraven pro předání Ústavu pro zastupování státu ve věcech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majetkových,</w:t>
      </w:r>
      <w:r w:rsidRPr="00500E6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stav ke dni 18.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11.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2021) a sklad 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Stehelčev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si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 Od roku 1995 si UPM najímá prostory Galerie Josefa Sudka</w:t>
      </w:r>
      <w:r w:rsidR="009054A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 Praze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zaměřen</w:t>
      </w:r>
      <w:r w:rsidR="006F218C">
        <w:rPr>
          <w:rStyle w:val="normaltextrun"/>
          <w:rFonts w:ascii="Calibri" w:hAnsi="Calibri" w:cs="Calibri"/>
          <w:color w:val="000000"/>
          <w:shd w:val="clear" w:color="auto" w:fill="FFFFFF"/>
        </w:rPr>
        <w:t>é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na fotografickou tvorbu. Na základě smlouvy se Státním fondem kultury ČR má UPM v Domě U Černé Matky Boží umístěno muzeum sbírek českého kubismu. Dále si najímá nesbírkové sklady v Čelákovicích a v České Skalici (sklad textilních strojů, který bude uvolněn po předání strojů Národnímu technickému muzeu). </w:t>
      </w:r>
    </w:p>
    <w:p w14:paraId="4CDA57FE" w14:textId="7AF26188" w:rsidR="007F5AC1" w:rsidRDefault="00A250D5" w:rsidP="00061EF1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Kontrolované p</w:t>
      </w:r>
      <w:r w:rsidR="007F5AC1">
        <w:rPr>
          <w:rFonts w:asciiTheme="minorHAnsi" w:eastAsiaTheme="minorHAnsi" w:hAnsiTheme="minorHAnsi" w:cstheme="minorHAnsi"/>
          <w:lang w:eastAsia="en-US"/>
        </w:rPr>
        <w:t>říspěvkové organizace spravují především budovy na území hlavního města Prahy</w:t>
      </w:r>
      <w:r w:rsidR="00061EF1">
        <w:rPr>
          <w:rFonts w:asciiTheme="minorHAnsi" w:eastAsiaTheme="minorHAnsi" w:hAnsiTheme="minorHAnsi" w:cstheme="minorHAnsi"/>
          <w:lang w:eastAsia="en-US"/>
        </w:rPr>
        <w:t>.</w:t>
      </w:r>
      <w:r w:rsidR="007F5AC1">
        <w:rPr>
          <w:rFonts w:asciiTheme="minorHAnsi" w:eastAsiaTheme="minorHAnsi" w:hAnsiTheme="minorHAnsi" w:cstheme="minorHAnsi"/>
          <w:lang w:eastAsia="en-US"/>
        </w:rPr>
        <w:t xml:space="preserve"> NG v jednom případě spravuje budovu mimo území České republiky, a to v italských Benátkách</w:t>
      </w:r>
      <w:r w:rsidR="00061EF1">
        <w:rPr>
          <w:rFonts w:asciiTheme="minorHAnsi" w:eastAsiaTheme="minorHAnsi" w:hAnsiTheme="minorHAnsi" w:cstheme="minorHAnsi"/>
          <w:lang w:eastAsia="en-US"/>
        </w:rPr>
        <w:t>, což znázorňuje příloha č. 1.</w:t>
      </w:r>
      <w:r w:rsidR="00FE35F5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35F5" w:rsidRPr="00A10BE1">
        <w:rPr>
          <w:rFonts w:asciiTheme="minorHAnsi" w:eastAsiaTheme="minorHAnsi" w:hAnsiTheme="minorHAnsi" w:cstheme="minorHAnsi"/>
          <w:lang w:eastAsia="en-US"/>
        </w:rPr>
        <w:t>Interaktivní příloha doplňující kontrolní závěr z kontrolní akce č.</w:t>
      </w:r>
      <w:r w:rsidR="007A7663">
        <w:rPr>
          <w:rFonts w:asciiTheme="minorHAnsi" w:eastAsiaTheme="minorHAnsi" w:hAnsiTheme="minorHAnsi" w:cstheme="minorHAnsi"/>
          <w:lang w:eastAsia="en-US"/>
        </w:rPr>
        <w:t> </w:t>
      </w:r>
      <w:r w:rsidR="00FE35F5" w:rsidRPr="00A10BE1">
        <w:rPr>
          <w:rFonts w:asciiTheme="minorHAnsi" w:eastAsiaTheme="minorHAnsi" w:hAnsiTheme="minorHAnsi" w:cstheme="minorHAnsi"/>
          <w:lang w:eastAsia="en-US"/>
        </w:rPr>
        <w:t xml:space="preserve">21/10 je dostupná </w:t>
      </w:r>
      <w:hyperlink r:id="rId10" w:history="1">
        <w:r w:rsidR="006B1A22" w:rsidRPr="00A10BE1">
          <w:rPr>
            <w:rStyle w:val="Hypertextovodkaz"/>
            <w:rFonts w:asciiTheme="minorHAnsi" w:eastAsiaTheme="minorHAnsi" w:hAnsiTheme="minorHAnsi" w:cstheme="minorHAnsi"/>
            <w:lang w:eastAsia="en-US"/>
          </w:rPr>
          <w:t>zde</w:t>
        </w:r>
      </w:hyperlink>
      <w:r w:rsidR="006B1A22" w:rsidRPr="00A10BE1">
        <w:rPr>
          <w:rFonts w:asciiTheme="minorHAnsi" w:eastAsiaTheme="minorHAnsi" w:hAnsiTheme="minorHAnsi" w:cstheme="minorHAnsi"/>
          <w:lang w:eastAsia="en-US"/>
        </w:rPr>
        <w:t>.</w:t>
      </w:r>
      <w:r w:rsidR="00A10BE1" w:rsidRPr="00A10BE1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F6E79F2" w14:textId="77777777" w:rsidR="007F5AC1" w:rsidRDefault="007F5AC1" w:rsidP="007F5AC1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Fonts w:ascii="CIDFont+F1" w:eastAsiaTheme="minorHAnsi" w:hAnsi="CIDFont+F1" w:cs="CIDFont+F1"/>
          <w:lang w:eastAsia="en-US"/>
        </w:rPr>
        <w:t xml:space="preserve">Přehled hodnoty majetku </w:t>
      </w:r>
      <w:r w:rsidR="00AF4329">
        <w:rPr>
          <w:rFonts w:ascii="CIDFont+F1" w:eastAsiaTheme="minorHAnsi" w:hAnsi="CIDFont+F1" w:cs="CIDFont+F1"/>
          <w:lang w:eastAsia="en-US"/>
        </w:rPr>
        <w:t xml:space="preserve">ve správě NG a UPM </w:t>
      </w:r>
      <w:r>
        <w:rPr>
          <w:rFonts w:ascii="CIDFont+F1" w:eastAsiaTheme="minorHAnsi" w:hAnsi="CIDFont+F1" w:cs="CIDFont+F1"/>
          <w:lang w:eastAsia="en-US"/>
        </w:rPr>
        <w:t xml:space="preserve">dle rozvah </w:t>
      </w:r>
      <w:r w:rsidR="00AF4329">
        <w:rPr>
          <w:rFonts w:ascii="CIDFont+F1" w:eastAsiaTheme="minorHAnsi" w:hAnsi="CIDFont+F1" w:cs="CIDFont+F1"/>
          <w:lang w:eastAsia="en-US"/>
        </w:rPr>
        <w:t xml:space="preserve">sestavených </w:t>
      </w:r>
      <w:r w:rsidR="00FE35F5">
        <w:rPr>
          <w:rFonts w:ascii="CIDFont+F1" w:eastAsiaTheme="minorHAnsi" w:hAnsi="CIDFont+F1" w:cs="CIDFont+F1"/>
          <w:lang w:eastAsia="en-US"/>
        </w:rPr>
        <w:t>k</w:t>
      </w:r>
      <w:r w:rsidR="00AF4329">
        <w:rPr>
          <w:rFonts w:ascii="CIDFont+F1" w:eastAsiaTheme="minorHAnsi" w:hAnsi="CIDFont+F1" w:cs="CIDFont+F1"/>
          <w:lang w:eastAsia="en-US"/>
        </w:rPr>
        <w:t xml:space="preserve">e dni </w:t>
      </w:r>
      <w:r w:rsidR="00FE35F5">
        <w:rPr>
          <w:rFonts w:ascii="CIDFont+F1" w:eastAsiaTheme="minorHAnsi" w:hAnsi="CIDFont+F1" w:cs="CIDFont+F1"/>
          <w:lang w:eastAsia="en-US"/>
        </w:rPr>
        <w:t>31. 12.</w:t>
      </w:r>
      <w:r w:rsidR="00AF4329">
        <w:rPr>
          <w:rFonts w:ascii="CIDFont+F1" w:eastAsiaTheme="minorHAnsi" w:hAnsi="CIDFont+F1" w:cs="CIDFont+F1"/>
          <w:lang w:eastAsia="en-US"/>
        </w:rPr>
        <w:t xml:space="preserve"> 2018, 31. 12. 2019 a 31. 12. 2020 </w:t>
      </w:r>
      <w:r>
        <w:rPr>
          <w:rFonts w:ascii="CIDFont+F1" w:eastAsiaTheme="minorHAnsi" w:hAnsi="CIDFont+F1" w:cs="CIDFont+F1"/>
          <w:lang w:eastAsia="en-US"/>
        </w:rPr>
        <w:t>uvádí tabulka č. 1.</w:t>
      </w:r>
    </w:p>
    <w:p w14:paraId="7C492E79" w14:textId="205BEBC1" w:rsidR="007F5AC1" w:rsidRPr="00C005BB" w:rsidRDefault="007F5AC1" w:rsidP="00A250D5">
      <w:pPr>
        <w:pStyle w:val="paragraph"/>
        <w:tabs>
          <w:tab w:val="right" w:pos="9072"/>
        </w:tabs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005BB">
        <w:rPr>
          <w:rFonts w:asciiTheme="minorHAnsi" w:hAnsiTheme="minorHAnsi" w:cstheme="minorHAnsi"/>
        </w:rPr>
        <w:t>Tabulka č. 1</w:t>
      </w:r>
      <w:r w:rsidR="00A250D5">
        <w:rPr>
          <w:rFonts w:asciiTheme="minorHAnsi" w:hAnsiTheme="minorHAnsi" w:cstheme="minorHAnsi"/>
        </w:rPr>
        <w:t xml:space="preserve">: </w:t>
      </w:r>
      <w:r w:rsidRPr="00C005BB">
        <w:rPr>
          <w:rFonts w:asciiTheme="minorHAnsi" w:hAnsiTheme="minorHAnsi" w:cstheme="minorHAnsi"/>
        </w:rPr>
        <w:t>Vybrané položky rozvahy NG a UPM</w:t>
      </w:r>
      <w:r w:rsidRPr="00C005BB">
        <w:rPr>
          <w:rFonts w:asciiTheme="minorHAnsi" w:hAnsiTheme="minorHAnsi" w:cstheme="minorHAnsi"/>
        </w:rPr>
        <w:tab/>
        <w:t>(v tis. Kč)</w:t>
      </w:r>
    </w:p>
    <w:tbl>
      <w:tblPr>
        <w:tblW w:w="494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185"/>
        <w:gridCol w:w="1301"/>
        <w:gridCol w:w="1216"/>
        <w:gridCol w:w="1047"/>
        <w:gridCol w:w="1149"/>
        <w:gridCol w:w="1163"/>
      </w:tblGrid>
      <w:tr w:rsidR="007F5AC1" w:rsidRPr="009E19CF" w14:paraId="0DE99628" w14:textId="77777777" w:rsidTr="0079135D">
        <w:trPr>
          <w:trHeight w:val="3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1E88D803" w14:textId="77777777" w:rsidR="007F5AC1" w:rsidRPr="009E19CF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Aktiva</w:t>
            </w:r>
          </w:p>
        </w:tc>
        <w:tc>
          <w:tcPr>
            <w:tcW w:w="38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bottom"/>
            <w:hideMark/>
          </w:tcPr>
          <w:p w14:paraId="02D3AEE7" w14:textId="77777777" w:rsidR="007F5AC1" w:rsidRPr="009E19CF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Netto hodnoty</w:t>
            </w:r>
          </w:p>
        </w:tc>
      </w:tr>
      <w:tr w:rsidR="007F5AC1" w:rsidRPr="009E19CF" w14:paraId="14D82468" w14:textId="77777777" w:rsidTr="0079135D">
        <w:trPr>
          <w:trHeight w:val="3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45E3" w14:textId="77777777" w:rsidR="007F5AC1" w:rsidRPr="009E19CF" w:rsidRDefault="007F5AC1" w:rsidP="0032071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04AFFFA4" w14:textId="77777777" w:rsidR="007F5AC1" w:rsidRPr="009E19CF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 31. 12. 2018</w:t>
            </w:r>
          </w:p>
        </w:tc>
        <w:tc>
          <w:tcPr>
            <w:tcW w:w="1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6EEEF8D0" w14:textId="77777777" w:rsidR="007F5AC1" w:rsidRPr="009E19CF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Pr="009E19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31. 12. 2019</w:t>
            </w:r>
          </w:p>
        </w:tc>
        <w:tc>
          <w:tcPr>
            <w:tcW w:w="12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bottom"/>
            <w:hideMark/>
          </w:tcPr>
          <w:p w14:paraId="60CC3347" w14:textId="77777777" w:rsidR="007F5AC1" w:rsidRPr="009E19CF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 31. 12. 2020</w:t>
            </w:r>
          </w:p>
        </w:tc>
      </w:tr>
      <w:tr w:rsidR="007F5AC1" w:rsidRPr="009E19CF" w14:paraId="61FFD875" w14:textId="77777777" w:rsidTr="0079135D">
        <w:trPr>
          <w:trHeight w:val="3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55B0" w14:textId="77777777" w:rsidR="007F5AC1" w:rsidRPr="009E19CF" w:rsidRDefault="007F5AC1" w:rsidP="00320712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2592BB5" w14:textId="77777777" w:rsidR="007F5AC1" w:rsidRPr="00BC1D16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1D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NG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1EEB8BC" w14:textId="77777777" w:rsidR="007F5AC1" w:rsidRPr="00BC1D16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1D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UPM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E31F96A" w14:textId="77777777" w:rsidR="007F5AC1" w:rsidRPr="00BC1D16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1D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NG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E3A074F" w14:textId="77777777" w:rsidR="007F5AC1" w:rsidRPr="00BC1D16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1D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UPM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3375D8F" w14:textId="77777777" w:rsidR="007F5AC1" w:rsidRPr="00BC1D16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1D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NG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4E0CF42A" w14:textId="77777777" w:rsidR="007F5AC1" w:rsidRPr="00BC1D16" w:rsidRDefault="007F5AC1" w:rsidP="0032071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C1D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UPM</w:t>
            </w:r>
          </w:p>
        </w:tc>
      </w:tr>
      <w:tr w:rsidR="007F5AC1" w:rsidRPr="009E19CF" w14:paraId="5B4E1104" w14:textId="77777777" w:rsidTr="0079135D">
        <w:trPr>
          <w:trHeight w:val="30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DB3E" w14:textId="77777777" w:rsidR="007F5AC1" w:rsidRPr="009E19CF" w:rsidRDefault="007F5AC1" w:rsidP="00A250D5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b/>
                <w:color w:val="000000"/>
                <w:sz w:val="18"/>
                <w:szCs w:val="18"/>
              </w:rPr>
              <w:t>Aktiva celkem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216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b/>
                <w:color w:val="000000"/>
                <w:sz w:val="18"/>
                <w:szCs w:val="18"/>
              </w:rPr>
              <w:t>1 716 779,78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EAA8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b/>
                <w:color w:val="000000"/>
                <w:sz w:val="18"/>
                <w:szCs w:val="18"/>
              </w:rPr>
              <w:t>945 032,39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1D3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b/>
                <w:color w:val="000000"/>
                <w:sz w:val="18"/>
                <w:szCs w:val="18"/>
              </w:rPr>
              <w:t>1 679 762,34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F0D6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b/>
                <w:color w:val="000000"/>
                <w:sz w:val="18"/>
                <w:szCs w:val="18"/>
              </w:rPr>
              <w:t>967 738,98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53D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b/>
                <w:color w:val="000000"/>
                <w:sz w:val="18"/>
                <w:szCs w:val="18"/>
              </w:rPr>
              <w:t>1 774 281,60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2CF8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966 260,03</w:t>
            </w:r>
          </w:p>
        </w:tc>
      </w:tr>
      <w:tr w:rsidR="007F5AC1" w:rsidRPr="009E19CF" w14:paraId="198E8FEF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FA815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Stálá aktiva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02177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1 606 601,40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0CB65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912 404,54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78A3A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1 583 169,11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B72C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948 033,42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6069A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1 597 755,61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7FFD7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944 883,71</w:t>
            </w:r>
          </w:p>
        </w:tc>
      </w:tr>
      <w:tr w:rsidR="007F5AC1" w:rsidRPr="009E19CF" w14:paraId="005B2E0D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34797A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Dlouhodobý nehmotný majetek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50143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4 185,72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3F5C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526,62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19E89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4 473,95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E02F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805,63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045300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5 063,13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0FE5D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864,42</w:t>
            </w:r>
          </w:p>
        </w:tc>
      </w:tr>
      <w:tr w:rsidR="007F5AC1" w:rsidRPr="009E19CF" w14:paraId="3B253828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024A4A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8E11D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1 576,12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0CA70" w14:textId="017014C6" w:rsidR="007F5AC1" w:rsidRPr="009E19CF" w:rsidRDefault="007F5AC1" w:rsidP="00320712">
            <w:pPr>
              <w:tabs>
                <w:tab w:val="left" w:pos="376"/>
              </w:tabs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224,12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2E74E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2 583,92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7327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259,05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AE7482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1 786,63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9B28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864,42</w:t>
            </w:r>
          </w:p>
        </w:tc>
      </w:tr>
      <w:tr w:rsidR="007F5AC1" w:rsidRPr="009E19CF" w14:paraId="4DA1462D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E81C4B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Dlouhodobý hmotný majetek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220D7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1 602 327,09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CFC4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911 877,92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96F31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1 578 606,56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B6E3D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947 227,79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0DFEB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1 591 203,88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B1855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944 019,28</w:t>
            </w:r>
          </w:p>
        </w:tc>
      </w:tr>
      <w:tr w:rsidR="007F5AC1" w:rsidRPr="009E19CF" w14:paraId="27823131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942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Pozemky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0BCF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350 669,54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FCE14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62 912,32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2D9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350 669,54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2A04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62 912,32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A69C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388 411,82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6944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62 912,32</w:t>
            </w:r>
          </w:p>
        </w:tc>
      </w:tr>
      <w:tr w:rsidR="007F5AC1" w:rsidRPr="009E19CF" w14:paraId="1356B266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F653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Kulturní předměty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99B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25 698,98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CA5C6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94 643,41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8E4D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38 710,40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FCCA1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133 717,03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2037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47 946,89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51E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141 632,12</w:t>
            </w:r>
          </w:p>
        </w:tc>
      </w:tr>
      <w:tr w:rsidR="007F5AC1" w:rsidRPr="009E19CF" w14:paraId="3DA0530D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603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61FC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1 137 646,31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AD06C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691 661,61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987F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1 107 714,60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F88E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685 315,69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572D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1 079 827,65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8ED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678 324,10</w:t>
            </w:r>
          </w:p>
        </w:tc>
      </w:tr>
      <w:tr w:rsidR="007F5AC1" w:rsidRPr="009E19CF" w14:paraId="08E9B0D5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E360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Samostatné hmotné movité věci a soubory hmotných movitých věcí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8EB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86 651,56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9C08E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62 052,53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19E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76 527,55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5F8F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63 732,36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BD87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71 572,50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FF3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59 768,39</w:t>
            </w:r>
          </w:p>
        </w:tc>
      </w:tr>
      <w:tr w:rsidR="007F5AC1" w:rsidRPr="009E19CF" w14:paraId="273C831F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8DA9" w14:textId="77777777" w:rsidR="007F5AC1" w:rsidRPr="009E19CF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Nedokončený dlouhodobý hmotný majetek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3B4C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1 660,69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C792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608,04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AB6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4 984,47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7676" w14:textId="77777777" w:rsidR="007F5AC1" w:rsidRPr="00501675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01675">
              <w:rPr>
                <w:rFonts w:ascii="Calibri" w:hAnsi="Calibri"/>
                <w:color w:val="000000"/>
                <w:sz w:val="18"/>
                <w:szCs w:val="18"/>
              </w:rPr>
              <w:t>1 550,39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523" w14:textId="77777777" w:rsidR="007F5AC1" w:rsidRPr="009E19CF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9E19CF">
              <w:rPr>
                <w:rFonts w:ascii="Calibri" w:hAnsi="Calibri"/>
                <w:color w:val="000000"/>
                <w:sz w:val="18"/>
                <w:szCs w:val="18"/>
              </w:rPr>
              <w:t>3 445,01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395D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728C6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942,35</w:t>
            </w:r>
          </w:p>
        </w:tc>
      </w:tr>
      <w:tr w:rsidR="007F5AC1" w:rsidRPr="009E19CF" w14:paraId="608D3112" w14:textId="77777777" w:rsidTr="0079135D">
        <w:trPr>
          <w:trHeight w:val="3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F0A09" w14:textId="77777777" w:rsidR="007F5AC1" w:rsidRPr="00AD1884" w:rsidRDefault="007F5AC1" w:rsidP="0079135D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18"/>
              </w:rPr>
              <w:t>Oběžná aktiva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B0E9F0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18"/>
              </w:rPr>
              <w:t>110 178,37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80E5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18"/>
              </w:rPr>
              <w:t>32 627,85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C8977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18"/>
              </w:rPr>
              <w:t>96 593,22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5D84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18"/>
              </w:rPr>
              <w:t>19 705,55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A7AA4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18"/>
              </w:rPr>
              <w:t>176 525,99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FB41A" w14:textId="77777777" w:rsidR="007F5AC1" w:rsidRPr="008728C6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-12 922,30</w:t>
            </w:r>
          </w:p>
        </w:tc>
      </w:tr>
    </w:tbl>
    <w:p w14:paraId="23A06166" w14:textId="43D9923F" w:rsidR="007F5AC1" w:rsidRDefault="007F5AC1" w:rsidP="007F5AC1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Calibri" w:eastAsiaTheme="minorHAnsi" w:hAnsi="Calibri"/>
          <w:sz w:val="24"/>
          <w:lang w:eastAsia="en-US"/>
        </w:rPr>
      </w:pPr>
      <w:r>
        <w:rPr>
          <w:rFonts w:ascii="CIDFont+F2" w:eastAsiaTheme="minorHAnsi" w:hAnsi="CIDFont+F2" w:cs="CIDFont+F2"/>
          <w:sz w:val="20"/>
          <w:szCs w:val="20"/>
          <w:lang w:eastAsia="en-US"/>
        </w:rPr>
        <w:t xml:space="preserve">Zdroj: </w:t>
      </w:r>
      <w:r w:rsidR="00001CF6">
        <w:rPr>
          <w:rFonts w:ascii="CIDFont+F1" w:eastAsiaTheme="minorHAnsi" w:hAnsi="CIDFont+F1" w:cs="CIDFont+F1"/>
          <w:sz w:val="20"/>
          <w:szCs w:val="20"/>
          <w:lang w:eastAsia="en-US"/>
        </w:rPr>
        <w:t>ú</w:t>
      </w:r>
      <w:r>
        <w:rPr>
          <w:rFonts w:ascii="CIDFont+F1" w:eastAsiaTheme="minorHAnsi" w:hAnsi="CIDFont+F1" w:cs="CIDFont+F1"/>
          <w:sz w:val="20"/>
          <w:szCs w:val="20"/>
          <w:lang w:eastAsia="en-US"/>
        </w:rPr>
        <w:t>četní závěrky NG a UPM za roky 2018, 2019 a 2020.</w:t>
      </w:r>
    </w:p>
    <w:p w14:paraId="5AC54212" w14:textId="0CCC5C13" w:rsidR="00573726" w:rsidRDefault="00573726" w:rsidP="00573726">
      <w:pPr>
        <w:suppressAutoHyphens w:val="0"/>
        <w:autoSpaceDE w:val="0"/>
        <w:autoSpaceDN w:val="0"/>
        <w:adjustRightInd w:val="0"/>
        <w:spacing w:before="120" w:line="240" w:lineRule="auto"/>
        <w:rPr>
          <w:rFonts w:ascii="Calibri" w:eastAsiaTheme="minorHAnsi" w:hAnsi="Calibri"/>
          <w:sz w:val="24"/>
          <w:lang w:eastAsia="en-US"/>
        </w:rPr>
      </w:pPr>
      <w:r>
        <w:rPr>
          <w:rFonts w:ascii="Calibri" w:eastAsiaTheme="minorHAnsi" w:hAnsi="Calibri"/>
          <w:sz w:val="24"/>
          <w:lang w:eastAsia="en-US"/>
        </w:rPr>
        <w:t xml:space="preserve">Z tabulky </w:t>
      </w:r>
      <w:r w:rsidR="0065496F">
        <w:rPr>
          <w:rFonts w:ascii="Calibri" w:eastAsiaTheme="minorHAnsi" w:hAnsi="Calibri"/>
          <w:sz w:val="24"/>
          <w:lang w:eastAsia="en-US"/>
        </w:rPr>
        <w:t xml:space="preserve">č. 1 </w:t>
      </w:r>
      <w:r>
        <w:rPr>
          <w:rFonts w:ascii="Calibri" w:eastAsiaTheme="minorHAnsi" w:hAnsi="Calibri"/>
          <w:sz w:val="24"/>
          <w:lang w:eastAsia="en-US"/>
        </w:rPr>
        <w:t>je patrné, že dlouhodobý hmotný majetek, konkrétně stavby, představuj</w:t>
      </w:r>
      <w:r w:rsidR="0065496F">
        <w:rPr>
          <w:rFonts w:ascii="Calibri" w:eastAsiaTheme="minorHAnsi" w:hAnsi="Calibri"/>
          <w:sz w:val="24"/>
          <w:lang w:eastAsia="en-US"/>
        </w:rPr>
        <w:t>e</w:t>
      </w:r>
      <w:r>
        <w:rPr>
          <w:rFonts w:ascii="Calibri" w:eastAsiaTheme="minorHAnsi" w:hAnsi="Calibri"/>
          <w:sz w:val="24"/>
          <w:lang w:eastAsia="en-US"/>
        </w:rPr>
        <w:t xml:space="preserve"> většinu hodnoty celkových aktiv. </w:t>
      </w:r>
      <w:r w:rsidR="008F7A94">
        <w:rPr>
          <w:rFonts w:ascii="Calibri" w:eastAsiaTheme="minorHAnsi" w:hAnsi="Calibri"/>
          <w:sz w:val="24"/>
          <w:lang w:eastAsia="en-US"/>
        </w:rPr>
        <w:t>Akviziční činností o</w:t>
      </w:r>
      <w:r>
        <w:rPr>
          <w:rFonts w:ascii="Calibri" w:eastAsiaTheme="minorHAnsi" w:hAnsi="Calibri"/>
          <w:sz w:val="24"/>
          <w:lang w:eastAsia="en-US"/>
        </w:rPr>
        <w:t>bě příspěvko</w:t>
      </w:r>
      <w:r w:rsidR="008F7A94">
        <w:rPr>
          <w:rFonts w:ascii="Calibri" w:eastAsiaTheme="minorHAnsi" w:hAnsi="Calibri"/>
          <w:sz w:val="24"/>
          <w:lang w:eastAsia="en-US"/>
        </w:rPr>
        <w:t>vé</w:t>
      </w:r>
      <w:r>
        <w:rPr>
          <w:rFonts w:ascii="Calibri" w:eastAsiaTheme="minorHAnsi" w:hAnsi="Calibri"/>
          <w:sz w:val="24"/>
          <w:lang w:eastAsia="en-US"/>
        </w:rPr>
        <w:t xml:space="preserve"> organizac</w:t>
      </w:r>
      <w:r w:rsidR="008F7A94">
        <w:rPr>
          <w:rFonts w:ascii="Calibri" w:eastAsiaTheme="minorHAnsi" w:hAnsi="Calibri"/>
          <w:sz w:val="24"/>
          <w:lang w:eastAsia="en-US"/>
        </w:rPr>
        <w:t>e</w:t>
      </w:r>
      <w:r>
        <w:rPr>
          <w:rFonts w:ascii="Calibri" w:eastAsiaTheme="minorHAnsi" w:hAnsi="Calibri"/>
          <w:sz w:val="24"/>
          <w:lang w:eastAsia="en-US"/>
        </w:rPr>
        <w:t xml:space="preserve"> </w:t>
      </w:r>
      <w:r w:rsidR="001D1079">
        <w:rPr>
          <w:rFonts w:ascii="Calibri" w:eastAsiaTheme="minorHAnsi" w:hAnsi="Calibri"/>
          <w:sz w:val="24"/>
          <w:lang w:eastAsia="en-US"/>
        </w:rPr>
        <w:t xml:space="preserve">každoročně </w:t>
      </w:r>
      <w:r w:rsidR="008F7A94">
        <w:rPr>
          <w:rFonts w:ascii="Calibri" w:eastAsiaTheme="minorHAnsi" w:hAnsi="Calibri"/>
          <w:sz w:val="24"/>
          <w:lang w:eastAsia="en-US"/>
        </w:rPr>
        <w:t>navyšovaly počty svých kulturních předmětů.</w:t>
      </w:r>
    </w:p>
    <w:p w14:paraId="5C849955" w14:textId="70F6305F" w:rsidR="007F5AC1" w:rsidRDefault="007F5AC1" w:rsidP="00573726">
      <w:pPr>
        <w:suppressAutoHyphens w:val="0"/>
        <w:autoSpaceDE w:val="0"/>
        <w:autoSpaceDN w:val="0"/>
        <w:adjustRightInd w:val="0"/>
        <w:spacing w:before="120" w:line="240" w:lineRule="auto"/>
        <w:rPr>
          <w:rFonts w:ascii="Calibri" w:eastAsiaTheme="minorHAnsi" w:hAnsi="Calibri"/>
          <w:sz w:val="24"/>
          <w:lang w:eastAsia="en-US"/>
        </w:rPr>
      </w:pPr>
      <w:r w:rsidRPr="00031AD9">
        <w:rPr>
          <w:rFonts w:ascii="Calibri" w:eastAsiaTheme="minorHAnsi" w:hAnsi="Calibri"/>
          <w:sz w:val="24"/>
          <w:lang w:eastAsia="en-US"/>
        </w:rPr>
        <w:t xml:space="preserve">Celkové náklady a výnosy </w:t>
      </w:r>
      <w:r w:rsidR="0065496F">
        <w:rPr>
          <w:rFonts w:ascii="Calibri" w:eastAsiaTheme="minorHAnsi" w:hAnsi="Calibri"/>
          <w:sz w:val="24"/>
          <w:lang w:eastAsia="en-US"/>
        </w:rPr>
        <w:t>NG a UPM</w:t>
      </w:r>
      <w:r w:rsidR="0065496F" w:rsidRPr="00031AD9">
        <w:rPr>
          <w:rFonts w:ascii="Calibri" w:eastAsiaTheme="minorHAnsi" w:hAnsi="Calibri"/>
          <w:sz w:val="24"/>
          <w:lang w:eastAsia="en-US"/>
        </w:rPr>
        <w:t xml:space="preserve"> </w:t>
      </w:r>
      <w:r w:rsidRPr="00031AD9">
        <w:rPr>
          <w:rFonts w:ascii="Calibri" w:eastAsiaTheme="minorHAnsi" w:hAnsi="Calibri"/>
          <w:sz w:val="24"/>
          <w:lang w:eastAsia="en-US"/>
        </w:rPr>
        <w:t>dle výkaz</w:t>
      </w:r>
      <w:r w:rsidR="0065496F">
        <w:rPr>
          <w:rFonts w:ascii="Calibri" w:eastAsiaTheme="minorHAnsi" w:hAnsi="Calibri"/>
          <w:sz w:val="24"/>
          <w:lang w:eastAsia="en-US"/>
        </w:rPr>
        <w:t>ů</w:t>
      </w:r>
      <w:r w:rsidRPr="00031AD9">
        <w:rPr>
          <w:rFonts w:ascii="Calibri" w:eastAsiaTheme="minorHAnsi" w:hAnsi="Calibri"/>
          <w:sz w:val="24"/>
          <w:lang w:eastAsia="en-US"/>
        </w:rPr>
        <w:t xml:space="preserve"> zisk</w:t>
      </w:r>
      <w:r w:rsidR="00222D89">
        <w:rPr>
          <w:rFonts w:ascii="Calibri" w:eastAsiaTheme="minorHAnsi" w:hAnsi="Calibri"/>
          <w:sz w:val="24"/>
          <w:lang w:eastAsia="en-US"/>
        </w:rPr>
        <w:t>u</w:t>
      </w:r>
      <w:r w:rsidRPr="00031AD9">
        <w:rPr>
          <w:rFonts w:ascii="Calibri" w:eastAsiaTheme="minorHAnsi" w:hAnsi="Calibri"/>
          <w:sz w:val="24"/>
          <w:lang w:eastAsia="en-US"/>
        </w:rPr>
        <w:t xml:space="preserve"> a ztrát</w:t>
      </w:r>
      <w:r w:rsidR="00222D89">
        <w:rPr>
          <w:rFonts w:ascii="Calibri" w:eastAsiaTheme="minorHAnsi" w:hAnsi="Calibri"/>
          <w:sz w:val="24"/>
          <w:lang w:eastAsia="en-US"/>
        </w:rPr>
        <w:t xml:space="preserve">y </w:t>
      </w:r>
      <w:r w:rsidR="00AF4329">
        <w:rPr>
          <w:rFonts w:ascii="CIDFont+F1" w:eastAsiaTheme="minorHAnsi" w:hAnsi="CIDFont+F1" w:cs="CIDFont+F1"/>
          <w:lang w:eastAsia="en-US"/>
        </w:rPr>
        <w:t xml:space="preserve">sestavených ke dni 31. 12. 2018, 31. 12. 2019 a 31. 12. 2020 </w:t>
      </w:r>
      <w:r w:rsidRPr="00031AD9">
        <w:rPr>
          <w:rFonts w:ascii="Calibri" w:eastAsiaTheme="minorHAnsi" w:hAnsi="Calibri"/>
          <w:sz w:val="24"/>
          <w:lang w:eastAsia="en-US"/>
        </w:rPr>
        <w:t>uvádí tabulka č. 2</w:t>
      </w:r>
      <w:r w:rsidR="003D715C">
        <w:rPr>
          <w:rFonts w:ascii="Calibri" w:eastAsiaTheme="minorHAnsi" w:hAnsi="Calibri"/>
          <w:sz w:val="24"/>
          <w:lang w:eastAsia="en-US"/>
        </w:rPr>
        <w:t>.</w:t>
      </w:r>
    </w:p>
    <w:p w14:paraId="65FB4830" w14:textId="2FAAB1BC" w:rsidR="007F5AC1" w:rsidRPr="00C005BB" w:rsidRDefault="007F5AC1" w:rsidP="00B343BF">
      <w:pPr>
        <w:tabs>
          <w:tab w:val="right" w:pos="9072"/>
        </w:tabs>
        <w:spacing w:after="0" w:line="240" w:lineRule="auto"/>
        <w:rPr>
          <w:rFonts w:asciiTheme="minorHAnsi" w:hAnsiTheme="minorHAnsi" w:cstheme="minorBidi"/>
          <w:sz w:val="24"/>
        </w:rPr>
      </w:pPr>
      <w:r w:rsidRPr="00C005BB">
        <w:rPr>
          <w:rFonts w:asciiTheme="minorHAnsi" w:hAnsiTheme="minorHAnsi" w:cstheme="minorBidi"/>
          <w:sz w:val="24"/>
        </w:rPr>
        <w:t>Tabulka č. 2</w:t>
      </w:r>
      <w:r w:rsidR="00B343BF">
        <w:rPr>
          <w:rFonts w:asciiTheme="minorHAnsi" w:hAnsiTheme="minorHAnsi" w:cstheme="minorBidi"/>
          <w:sz w:val="24"/>
        </w:rPr>
        <w:t>:</w:t>
      </w:r>
      <w:r w:rsidRPr="00C005BB">
        <w:rPr>
          <w:rFonts w:asciiTheme="minorHAnsi" w:hAnsiTheme="minorHAnsi" w:cstheme="minorBidi"/>
          <w:sz w:val="24"/>
        </w:rPr>
        <w:t xml:space="preserve"> Vybrané položky výkazu zisku a ztráty NG a UPM</w:t>
      </w:r>
      <w:r w:rsidRPr="00C005BB">
        <w:rPr>
          <w:rFonts w:asciiTheme="minorHAnsi" w:hAnsiTheme="minorHAnsi" w:cstheme="minorBidi"/>
          <w:sz w:val="24"/>
        </w:rPr>
        <w:tab/>
        <w:t>(v tis. Kč)</w:t>
      </w:r>
    </w:p>
    <w:tbl>
      <w:tblPr>
        <w:tblW w:w="90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1168"/>
        <w:gridCol w:w="1084"/>
        <w:gridCol w:w="1084"/>
        <w:gridCol w:w="1084"/>
        <w:gridCol w:w="1084"/>
        <w:gridCol w:w="1157"/>
      </w:tblGrid>
      <w:tr w:rsidR="007F5AC1" w:rsidRPr="003A6C90" w14:paraId="102048B1" w14:textId="77777777" w:rsidTr="0079135D">
        <w:trPr>
          <w:trHeight w:val="254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F1FF"/>
            <w:vAlign w:val="center"/>
          </w:tcPr>
          <w:p w14:paraId="740D525E" w14:textId="427151A3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3A6C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Vybrané </w:t>
            </w:r>
            <w:r w:rsidR="0065496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položky </w:t>
            </w:r>
            <w:r w:rsidRPr="003A6C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náklad</w:t>
            </w:r>
            <w:r w:rsidR="0065496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ů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E1DE6CC" w14:textId="77777777" w:rsidR="007F5AC1" w:rsidRPr="003A6C90" w:rsidRDefault="007F5AC1" w:rsidP="00E50C6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1C2BE353" w14:textId="77777777" w:rsidR="007F5AC1" w:rsidRPr="003A6C90" w:rsidRDefault="007F5A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ABC9801" w14:textId="77777777" w:rsidR="007F5AC1" w:rsidRPr="003A6C90" w:rsidRDefault="007F5AC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2020</w:t>
            </w:r>
          </w:p>
        </w:tc>
      </w:tr>
      <w:tr w:rsidR="007F5AC1" w:rsidRPr="003A6C90" w14:paraId="793632BD" w14:textId="77777777" w:rsidTr="00B343BF">
        <w:trPr>
          <w:trHeight w:val="254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1581C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FEE11A5" w14:textId="77777777" w:rsidR="007F5AC1" w:rsidRPr="003A6C90" w:rsidRDefault="007F5AC1" w:rsidP="003207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6B27E139" w14:textId="77777777" w:rsidR="007F5AC1" w:rsidRPr="003A6C90" w:rsidRDefault="007F5AC1" w:rsidP="003207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UPM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3F83254" w14:textId="77777777" w:rsidR="007F5AC1" w:rsidRPr="003A6C90" w:rsidRDefault="007F5AC1" w:rsidP="003207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13AFACA4" w14:textId="77777777" w:rsidR="007F5AC1" w:rsidRPr="003A6C90" w:rsidRDefault="007F5AC1" w:rsidP="003207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UPM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57EC740" w14:textId="77777777" w:rsidR="007F5AC1" w:rsidRPr="003A6C90" w:rsidRDefault="007F5AC1" w:rsidP="003207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NG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BAEBA83" w14:textId="77777777" w:rsidR="007F5AC1" w:rsidRPr="003A6C90" w:rsidRDefault="007F5AC1" w:rsidP="0032071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UPM</w:t>
            </w:r>
          </w:p>
        </w:tc>
      </w:tr>
      <w:tr w:rsidR="007F5AC1" w:rsidRPr="00AD1884" w14:paraId="548CC445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45864E" w14:textId="77777777" w:rsidR="007F5AC1" w:rsidRPr="00AD1884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Náklady celkem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3E2BBD" w14:textId="77777777" w:rsidR="007F5AC1" w:rsidRPr="00AD1884" w:rsidRDefault="007F5AC1" w:rsidP="00320712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443 980,06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20BD7E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120 660,53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12375B" w14:textId="77777777" w:rsidR="007F5AC1" w:rsidRPr="00AD1884" w:rsidRDefault="007F5AC1" w:rsidP="00320712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  <w:lang w:eastAsia="cs-CZ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22"/>
              </w:rPr>
              <w:t>474 356,94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27AD2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126 141,95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EAAA5" w14:textId="77777777" w:rsidR="007F5AC1" w:rsidRPr="00AD1884" w:rsidRDefault="007F5AC1" w:rsidP="00320712">
            <w:pPr>
              <w:suppressAutoHyphens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426 258,07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56C69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112 982,69</w:t>
            </w:r>
          </w:p>
        </w:tc>
      </w:tr>
      <w:tr w:rsidR="007F5AC1" w:rsidRPr="003A6C90" w14:paraId="0C9C1D48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279E3" w14:textId="77777777" w:rsidR="007F5AC1" w:rsidRPr="00AD1884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Náklady z činnosti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1AC5BD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440 515,82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20E06B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120 029,23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4E2CFA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AD1884">
              <w:rPr>
                <w:rFonts w:ascii="Calibri" w:hAnsi="Calibri"/>
                <w:color w:val="000000"/>
                <w:sz w:val="18"/>
                <w:szCs w:val="22"/>
              </w:rPr>
              <w:t>472 380,23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0774C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125 513,67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8D577B" w14:textId="77777777" w:rsidR="007F5AC1" w:rsidRPr="00AD1884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425 350,15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1DE5A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188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112 824,66</w:t>
            </w:r>
          </w:p>
        </w:tc>
      </w:tr>
      <w:tr w:rsidR="007F5AC1" w:rsidRPr="003A6C90" w14:paraId="726D743C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0CED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Spotřeba materiálu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BBA9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21 183,93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1AE3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3 228,05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83DCC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30 791,08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91F4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2 864,32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520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10 726,89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5B0A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2 514,37</w:t>
            </w:r>
          </w:p>
        </w:tc>
      </w:tr>
      <w:tr w:rsidR="007F5AC1" w:rsidRPr="003A6C90" w14:paraId="628481EA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753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Spotřeba energie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D9C9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35 394,01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DDBE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6 185,75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A72E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46 880,64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4B6E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6 927,19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8BE1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45 999,57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D88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6 317,19</w:t>
            </w:r>
          </w:p>
        </w:tc>
      </w:tr>
      <w:tr w:rsidR="007F5AC1" w:rsidRPr="003A6C90" w14:paraId="0D92DCA7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36C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Opravy a udržování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1EA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41 482,37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E304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5 299,95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F575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29 639,33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DA5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4 986,49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278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39 940,16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156E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5 022,19</w:t>
            </w:r>
          </w:p>
        </w:tc>
      </w:tr>
      <w:tr w:rsidR="007F5AC1" w:rsidRPr="003A6C90" w14:paraId="67F30C0D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547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Ostatní služby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50FD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158 654,41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DED6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34 763,63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AB48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166 529,91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697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38 350,82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C1A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119 724,99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4FE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24 850,74</w:t>
            </w:r>
          </w:p>
        </w:tc>
      </w:tr>
      <w:tr w:rsidR="007F5AC1" w:rsidRPr="003A6C90" w14:paraId="7AF9D762" w14:textId="77777777" w:rsidTr="00B343BF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4F5F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Mzdové náklady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EAFF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87 731,45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F94C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38 075,60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2CF73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91 361,60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2566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41 605,56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3DB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99 205,65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E50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44 180,15</w:t>
            </w:r>
          </w:p>
        </w:tc>
      </w:tr>
      <w:tr w:rsidR="007F5AC1" w:rsidRPr="003A6C90" w14:paraId="187929D0" w14:textId="77777777" w:rsidTr="00812626">
        <w:trPr>
          <w:trHeight w:val="254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269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Odpisy dlouhodobého majetku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110" w14:textId="77777777" w:rsidR="007F5AC1" w:rsidRPr="00D11588" w:rsidRDefault="007F5AC1" w:rsidP="00E50C6A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49 812,07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6ABB" w14:textId="77777777" w:rsidR="007F5AC1" w:rsidRPr="00D11588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11 225,20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74F4" w14:textId="77777777" w:rsidR="007F5AC1" w:rsidRPr="00D11588" w:rsidRDefault="007F5AC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51 235,08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97F" w14:textId="77777777" w:rsidR="007F5AC1" w:rsidRPr="00AB6A6D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11 880,15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359" w14:textId="77777777" w:rsidR="007F5AC1" w:rsidRPr="00AB6A6D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51 503,25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85F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12 482,12</w:t>
            </w:r>
          </w:p>
        </w:tc>
      </w:tr>
      <w:tr w:rsidR="007F5AC1" w:rsidRPr="003A6C90" w14:paraId="6797A153" w14:textId="77777777" w:rsidTr="00812626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D4F8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Ostatní náklady z činnosti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2814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5 433,54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5603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980,70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AD9F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15 860,50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8268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2 437,87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9ADB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10 120,05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C3E9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663,66</w:t>
            </w:r>
          </w:p>
        </w:tc>
      </w:tr>
      <w:tr w:rsidR="007F5AC1" w:rsidRPr="003A6C90" w14:paraId="7DFE31A3" w14:textId="77777777" w:rsidTr="00B343BF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EBA2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Výnosy celkem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70B5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444 168,47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094D6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120 660,53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C1B8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474 408,86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5981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126 141,95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8368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426 258,67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E295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112 982,69</w:t>
            </w:r>
          </w:p>
        </w:tc>
      </w:tr>
      <w:tr w:rsidR="007F5AC1" w:rsidRPr="003A6C90" w14:paraId="68C3C7A3" w14:textId="77777777" w:rsidTr="00B343BF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2D4F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Výnosy z činnosti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E32D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106 689,61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0706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24 877,12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2435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152 237,53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D37A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26 172,46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E16F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46 230,31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51A9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9 616,89</w:t>
            </w:r>
          </w:p>
        </w:tc>
      </w:tr>
      <w:tr w:rsidR="007F5AC1" w:rsidRPr="003A6C90" w14:paraId="35050A91" w14:textId="77777777" w:rsidTr="00B343BF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B32C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Výnosy z prodeje služeb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7B98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53 357,69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638A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16 458,82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D7F80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66 526,78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0738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16 149,60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F89C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23 264,33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6FE2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3 536,46</w:t>
            </w:r>
          </w:p>
        </w:tc>
      </w:tr>
      <w:tr w:rsidR="007F5AC1" w:rsidRPr="003A6C90" w14:paraId="0A6A8101" w14:textId="77777777" w:rsidTr="00B343BF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31DF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Výnosy z pronájmu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FFA4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16 913,10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294C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2 379,24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FF9B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25 550,09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C396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2 361,00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2902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10 134,98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118F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1 484,46</w:t>
            </w:r>
          </w:p>
        </w:tc>
      </w:tr>
      <w:tr w:rsidR="007F5AC1" w:rsidRPr="003A6C90" w14:paraId="60E8F882" w14:textId="77777777" w:rsidTr="00B343BF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C5FA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Finanční výnosy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CDA7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59,28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4649A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74,93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0EC3" w14:textId="77777777" w:rsidR="007F5AC1" w:rsidRPr="00D11588" w:rsidRDefault="007F5AC1" w:rsidP="00320712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102,36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05C2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29,97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E926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151,79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3272" w14:textId="77777777" w:rsidR="007F5AC1" w:rsidRPr="00AB6A6D" w:rsidRDefault="007F5AC1" w:rsidP="0032071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207,36</w:t>
            </w:r>
          </w:p>
        </w:tc>
      </w:tr>
      <w:tr w:rsidR="007F5AC1" w:rsidRPr="003A6C90" w14:paraId="1DF738A8" w14:textId="77777777" w:rsidTr="0079135D">
        <w:trPr>
          <w:trHeight w:val="2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7CCC" w14:textId="77777777" w:rsidR="007F5AC1" w:rsidRPr="003A6C90" w:rsidRDefault="007F5AC1" w:rsidP="00B343BF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A6C9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Výsledek hospodaření běžného účetního období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9BB0" w14:textId="77777777" w:rsidR="007F5AC1" w:rsidRPr="00D11588" w:rsidRDefault="007F5AC1" w:rsidP="00E50C6A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188,41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9944" w14:textId="77777777" w:rsidR="007F5AC1" w:rsidRPr="00D11588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D11588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6F84" w14:textId="77777777" w:rsidR="007F5AC1" w:rsidRPr="00D11588" w:rsidRDefault="007F5AC1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18"/>
                <w:szCs w:val="22"/>
              </w:rPr>
            </w:pPr>
            <w:r w:rsidRPr="00D11588">
              <w:rPr>
                <w:rFonts w:ascii="Calibri" w:hAnsi="Calibri"/>
                <w:color w:val="000000"/>
                <w:sz w:val="18"/>
                <w:szCs w:val="22"/>
              </w:rPr>
              <w:t>51,93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DC11" w14:textId="77777777" w:rsidR="007F5AC1" w:rsidRPr="00AB6A6D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4C18" w14:textId="77777777" w:rsidR="007F5AC1" w:rsidRPr="00AB6A6D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1F58" w14:textId="77777777" w:rsidR="007F5AC1" w:rsidRPr="00AB6A6D" w:rsidRDefault="007F5AC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6A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</w:tr>
    </w:tbl>
    <w:p w14:paraId="5724ED90" w14:textId="1339EF3B" w:rsidR="00E50C6A" w:rsidRPr="00C02E9A" w:rsidRDefault="00E50C6A" w:rsidP="00E50C6A">
      <w:pPr>
        <w:suppressAutoHyphens w:val="0"/>
        <w:spacing w:after="0" w:line="256" w:lineRule="auto"/>
        <w:rPr>
          <w:rFonts w:asciiTheme="minorHAnsi" w:hAnsiTheme="minorHAnsi" w:cstheme="minorBidi"/>
          <w:iCs/>
          <w:sz w:val="20"/>
          <w:szCs w:val="20"/>
        </w:rPr>
      </w:pPr>
      <w:r w:rsidRPr="00C02E9A">
        <w:rPr>
          <w:rFonts w:asciiTheme="minorHAnsi" w:hAnsiTheme="minorHAnsi" w:cstheme="minorBidi"/>
          <w:iCs/>
          <w:sz w:val="20"/>
          <w:szCs w:val="20"/>
        </w:rPr>
        <w:t xml:space="preserve">Zdroj: </w:t>
      </w:r>
      <w:r>
        <w:rPr>
          <w:rFonts w:asciiTheme="minorHAnsi" w:hAnsiTheme="minorHAnsi" w:cstheme="minorBidi"/>
          <w:iCs/>
          <w:sz w:val="20"/>
          <w:szCs w:val="20"/>
        </w:rPr>
        <w:t>ú</w:t>
      </w:r>
      <w:r w:rsidRPr="00C02E9A">
        <w:rPr>
          <w:rFonts w:asciiTheme="minorHAnsi" w:hAnsiTheme="minorHAnsi" w:cstheme="minorBidi"/>
          <w:iCs/>
          <w:sz w:val="20"/>
          <w:szCs w:val="20"/>
        </w:rPr>
        <w:t>četní závěrky NG a UPM za roky 2018, 2019 a 2020.</w:t>
      </w:r>
    </w:p>
    <w:p w14:paraId="304535A9" w14:textId="5F74C94D" w:rsidR="007F5AC1" w:rsidRPr="00C02E9A" w:rsidRDefault="007F5AC1" w:rsidP="007F5AC1">
      <w:pPr>
        <w:suppressAutoHyphens w:val="0"/>
        <w:spacing w:after="0" w:line="256" w:lineRule="auto"/>
        <w:rPr>
          <w:rFonts w:asciiTheme="minorHAnsi" w:hAnsiTheme="minorHAnsi" w:cstheme="minorBidi"/>
          <w:iCs/>
          <w:sz w:val="20"/>
          <w:szCs w:val="20"/>
        </w:rPr>
      </w:pPr>
      <w:r w:rsidRPr="00C02E9A">
        <w:rPr>
          <w:rFonts w:asciiTheme="minorHAnsi" w:hAnsiTheme="minorHAnsi" w:cstheme="minorBidi"/>
          <w:iCs/>
          <w:sz w:val="20"/>
          <w:szCs w:val="20"/>
        </w:rPr>
        <w:t>Pozn.: Hodnoty u NG slučují hlavní a hospodářskou činnost, UPM hospodářskou činnost nevykazovalo</w:t>
      </w:r>
      <w:r w:rsidR="00E50C6A">
        <w:rPr>
          <w:rFonts w:asciiTheme="minorHAnsi" w:hAnsiTheme="minorHAnsi" w:cstheme="minorBidi"/>
          <w:iCs/>
          <w:sz w:val="20"/>
          <w:szCs w:val="20"/>
        </w:rPr>
        <w:t>.</w:t>
      </w:r>
      <w:r w:rsidRPr="00C02E9A">
        <w:rPr>
          <w:rFonts w:asciiTheme="minorHAnsi" w:hAnsiTheme="minorHAnsi" w:cstheme="minorBidi"/>
          <w:iCs/>
          <w:sz w:val="20"/>
          <w:szCs w:val="20"/>
        </w:rPr>
        <w:t xml:space="preserve"> </w:t>
      </w:r>
    </w:p>
    <w:p w14:paraId="2B702D1A" w14:textId="56206647" w:rsidR="00573726" w:rsidRDefault="005B7D3C" w:rsidP="00BA6C3F">
      <w:pPr>
        <w:suppressAutoHyphens w:val="0"/>
        <w:spacing w:before="120"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 nákladech z činnosti se u obou příspěvkových organizací největší měrou podílely mzdové náklady, náklady na ostatní služby a odpisy dlouhodobého majetku.</w:t>
      </w:r>
      <w:r w:rsidR="0059011C">
        <w:rPr>
          <w:rFonts w:asciiTheme="minorHAnsi" w:hAnsiTheme="minorHAnsi" w:cstheme="minorHAnsi"/>
          <w:sz w:val="24"/>
        </w:rPr>
        <w:t xml:space="preserve"> Většina výnosů a</w:t>
      </w:r>
      <w:r w:rsidR="00E50C6A">
        <w:rPr>
          <w:rFonts w:asciiTheme="minorHAnsi" w:hAnsiTheme="minorHAnsi" w:cstheme="minorHAnsi"/>
          <w:sz w:val="24"/>
        </w:rPr>
        <w:t> </w:t>
      </w:r>
      <w:r w:rsidR="0059011C">
        <w:rPr>
          <w:rFonts w:asciiTheme="minorHAnsi" w:hAnsiTheme="minorHAnsi" w:cstheme="minorHAnsi"/>
          <w:sz w:val="24"/>
        </w:rPr>
        <w:t xml:space="preserve">nákladů uvedených v tabulce </w:t>
      </w:r>
      <w:r w:rsidR="00E50C6A">
        <w:rPr>
          <w:rFonts w:asciiTheme="minorHAnsi" w:hAnsiTheme="minorHAnsi" w:cstheme="minorHAnsi"/>
          <w:sz w:val="24"/>
        </w:rPr>
        <w:t xml:space="preserve">č. 2 </w:t>
      </w:r>
      <w:r w:rsidR="0059011C">
        <w:rPr>
          <w:rFonts w:asciiTheme="minorHAnsi" w:hAnsiTheme="minorHAnsi" w:cstheme="minorHAnsi"/>
          <w:sz w:val="24"/>
        </w:rPr>
        <w:t xml:space="preserve">v roce 2019 oproti předcházejícímu roku rostla a v roce 2020 </w:t>
      </w:r>
      <w:r w:rsidR="00E50C6A">
        <w:rPr>
          <w:rFonts w:asciiTheme="minorHAnsi" w:hAnsiTheme="minorHAnsi" w:cstheme="minorHAnsi"/>
          <w:sz w:val="24"/>
        </w:rPr>
        <w:t xml:space="preserve">se </w:t>
      </w:r>
      <w:r w:rsidR="0059011C">
        <w:rPr>
          <w:rFonts w:asciiTheme="minorHAnsi" w:hAnsiTheme="minorHAnsi" w:cstheme="minorHAnsi"/>
          <w:sz w:val="24"/>
        </w:rPr>
        <w:t xml:space="preserve">vlivem pandemie </w:t>
      </w:r>
      <w:r w:rsidR="00F3012E">
        <w:rPr>
          <w:rFonts w:asciiTheme="minorHAnsi" w:hAnsiTheme="minorHAnsi" w:cstheme="minorHAnsi"/>
          <w:sz w:val="24"/>
        </w:rPr>
        <w:t xml:space="preserve">onemocnění </w:t>
      </w:r>
      <w:r w:rsidR="00E50C6A">
        <w:rPr>
          <w:rFonts w:asciiTheme="minorHAnsi" w:hAnsiTheme="minorHAnsi" w:cstheme="minorHAnsi"/>
          <w:sz w:val="24"/>
        </w:rPr>
        <w:t>covid</w:t>
      </w:r>
      <w:r w:rsidR="0059011C">
        <w:rPr>
          <w:rFonts w:asciiTheme="minorHAnsi" w:hAnsiTheme="minorHAnsi" w:cstheme="minorHAnsi"/>
          <w:sz w:val="24"/>
        </w:rPr>
        <w:t>-19 hodnoty většiny nákladů i výnosů snížily pod hodnoty roku 2018.</w:t>
      </w:r>
    </w:p>
    <w:p w14:paraId="097EFE70" w14:textId="77777777" w:rsidR="0083260D" w:rsidRDefault="0083260D" w:rsidP="0083260D">
      <w:pPr>
        <w:spacing w:before="120" w:after="0" w:line="240" w:lineRule="auto"/>
        <w:rPr>
          <w:rFonts w:asciiTheme="minorHAnsi" w:hAnsiTheme="minorHAnsi" w:cstheme="minorHAnsi"/>
          <w:sz w:val="24"/>
        </w:rPr>
      </w:pPr>
    </w:p>
    <w:p w14:paraId="67F3C6CF" w14:textId="77777777" w:rsidR="007F5AC1" w:rsidRDefault="007F5AC1" w:rsidP="007F5AC1">
      <w:pPr>
        <w:spacing w:before="120" w:line="240" w:lineRule="auto"/>
        <w:jc w:val="center"/>
        <w:rPr>
          <w:b/>
          <w:spacing w:val="20"/>
        </w:rPr>
      </w:pPr>
      <w:r>
        <w:rPr>
          <w:b/>
          <w:spacing w:val="20"/>
        </w:rPr>
        <w:t>III. Rozsah kontroly</w:t>
      </w:r>
    </w:p>
    <w:p w14:paraId="0E1ECEEA" w14:textId="77777777" w:rsidR="0083260D" w:rsidRPr="0079135D" w:rsidRDefault="0083260D" w:rsidP="007F5AC1">
      <w:pPr>
        <w:spacing w:before="12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4EF4A712" w14:textId="7D0E34DD" w:rsidR="0040114F" w:rsidRDefault="007F5AC1" w:rsidP="007F5AC1">
      <w:pPr>
        <w:suppressAutoHyphens w:val="0"/>
        <w:spacing w:after="160" w:line="256" w:lineRule="auto"/>
        <w:rPr>
          <w:rStyle w:val="eop"/>
          <w:rFonts w:ascii="Calibri" w:hAnsi="Calibri"/>
          <w:sz w:val="24"/>
          <w:szCs w:val="22"/>
        </w:rPr>
      </w:pPr>
      <w:r w:rsidRPr="00C574C2">
        <w:rPr>
          <w:rStyle w:val="eop"/>
          <w:rFonts w:ascii="Calibri" w:hAnsi="Calibri"/>
          <w:sz w:val="24"/>
          <w:szCs w:val="22"/>
        </w:rPr>
        <w:t>Předmětem kontrolní akce byl</w:t>
      </w:r>
      <w:r w:rsidR="00C574C2">
        <w:rPr>
          <w:rStyle w:val="eop"/>
          <w:rFonts w:ascii="Calibri" w:hAnsi="Calibri"/>
          <w:sz w:val="24"/>
          <w:szCs w:val="22"/>
        </w:rPr>
        <w:t>y</w:t>
      </w:r>
      <w:r w:rsidRPr="00F15632">
        <w:rPr>
          <w:rStyle w:val="eop"/>
          <w:rFonts w:ascii="Calibri" w:hAnsi="Calibri"/>
          <w:sz w:val="24"/>
          <w:szCs w:val="22"/>
        </w:rPr>
        <w:t xml:space="preserve"> majet</w:t>
      </w:r>
      <w:r w:rsidR="00BC7B23" w:rsidRPr="00F15632">
        <w:rPr>
          <w:rStyle w:val="eop"/>
          <w:rFonts w:ascii="Calibri" w:hAnsi="Calibri"/>
          <w:sz w:val="24"/>
          <w:szCs w:val="22"/>
        </w:rPr>
        <w:t>ek</w:t>
      </w:r>
      <w:r w:rsidRPr="00F15632">
        <w:rPr>
          <w:rStyle w:val="eop"/>
          <w:rFonts w:ascii="Calibri" w:hAnsi="Calibri"/>
          <w:sz w:val="24"/>
          <w:szCs w:val="22"/>
        </w:rPr>
        <w:t xml:space="preserve"> a peněžní prostředky státu, se kterými jsou příslušné hospodařit </w:t>
      </w:r>
      <w:r w:rsidR="00BB1DBE" w:rsidRPr="00F15632">
        <w:rPr>
          <w:rStyle w:val="eop"/>
          <w:rFonts w:ascii="Calibri" w:hAnsi="Calibri"/>
          <w:sz w:val="24"/>
          <w:szCs w:val="22"/>
        </w:rPr>
        <w:t xml:space="preserve">vybrané </w:t>
      </w:r>
      <w:r w:rsidRPr="00F15632">
        <w:rPr>
          <w:rStyle w:val="eop"/>
          <w:rFonts w:ascii="Calibri" w:hAnsi="Calibri"/>
          <w:sz w:val="24"/>
          <w:szCs w:val="22"/>
        </w:rPr>
        <w:t>příspěvkové organizace Ministerstva kultury.</w:t>
      </w:r>
      <w:r w:rsidRPr="00615372">
        <w:rPr>
          <w:rStyle w:val="eop"/>
          <w:rFonts w:ascii="Calibri" w:hAnsi="Calibri"/>
          <w:sz w:val="24"/>
          <w:szCs w:val="22"/>
        </w:rPr>
        <w:t xml:space="preserve"> </w:t>
      </w:r>
    </w:p>
    <w:p w14:paraId="1ABA42FF" w14:textId="00CDA913" w:rsidR="007F5AC1" w:rsidRPr="00615372" w:rsidRDefault="007F5AC1" w:rsidP="007F5AC1">
      <w:pPr>
        <w:suppressAutoHyphens w:val="0"/>
        <w:spacing w:after="160" w:line="256" w:lineRule="auto"/>
        <w:rPr>
          <w:rStyle w:val="eop"/>
          <w:rFonts w:ascii="Calibri" w:hAnsi="Calibri"/>
          <w:sz w:val="24"/>
          <w:szCs w:val="22"/>
        </w:rPr>
      </w:pPr>
      <w:r w:rsidRPr="00615372">
        <w:rPr>
          <w:rStyle w:val="eop"/>
          <w:rFonts w:ascii="Calibri" w:hAnsi="Calibri"/>
          <w:sz w:val="24"/>
          <w:szCs w:val="22"/>
        </w:rPr>
        <w:t>Cílem kontroly bylo prověřit, zda vybrané příspěvkové organizace Ministerstva kultury hospodaří s majetkem a peněžními prostředky státu účelně, hospodárně a v souladu s právními předpisy. Kontrolov</w:t>
      </w:r>
      <w:r w:rsidR="00C574C2">
        <w:rPr>
          <w:rStyle w:val="eop"/>
          <w:rFonts w:ascii="Calibri" w:hAnsi="Calibri"/>
          <w:sz w:val="24"/>
          <w:szCs w:val="22"/>
        </w:rPr>
        <w:t>áno</w:t>
      </w:r>
      <w:r w:rsidRPr="00615372">
        <w:rPr>
          <w:rStyle w:val="eop"/>
          <w:rFonts w:ascii="Calibri" w:hAnsi="Calibri"/>
          <w:sz w:val="24"/>
          <w:szCs w:val="22"/>
        </w:rPr>
        <w:t xml:space="preserve"> bylo </w:t>
      </w:r>
      <w:r w:rsidR="00C574C2">
        <w:rPr>
          <w:rStyle w:val="eop"/>
          <w:rFonts w:ascii="Calibri" w:hAnsi="Calibri"/>
          <w:sz w:val="24"/>
          <w:szCs w:val="22"/>
        </w:rPr>
        <w:t>období let</w:t>
      </w:r>
      <w:r w:rsidRPr="00615372">
        <w:rPr>
          <w:rStyle w:val="eop"/>
          <w:rFonts w:ascii="Calibri" w:hAnsi="Calibri"/>
          <w:sz w:val="24"/>
          <w:szCs w:val="22"/>
        </w:rPr>
        <w:t xml:space="preserve"> 2018–2020, v případě věcných souvislostí i</w:t>
      </w:r>
      <w:r w:rsidR="00C574C2">
        <w:rPr>
          <w:rStyle w:val="eop"/>
          <w:rFonts w:ascii="Calibri" w:hAnsi="Calibri"/>
          <w:sz w:val="24"/>
          <w:szCs w:val="22"/>
        </w:rPr>
        <w:t> </w:t>
      </w:r>
      <w:r w:rsidRPr="00615372">
        <w:rPr>
          <w:rStyle w:val="eop"/>
          <w:rFonts w:ascii="Calibri" w:hAnsi="Calibri"/>
          <w:sz w:val="24"/>
          <w:szCs w:val="22"/>
        </w:rPr>
        <w:t>období předcházející a období do ukončení kontroly.</w:t>
      </w:r>
    </w:p>
    <w:p w14:paraId="76A8E1DD" w14:textId="59B9F7D5" w:rsidR="007F5AC1" w:rsidRDefault="007F5AC1" w:rsidP="007F5AC1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>Hodnota kontrolovaného majetku</w:t>
      </w:r>
      <w:r w:rsidR="00EC7D10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u NG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za kontrolované období činila </w:t>
      </w:r>
      <w:r w:rsidR="00BC4978">
        <w:rPr>
          <w:rFonts w:asciiTheme="minorHAnsi" w:eastAsiaTheme="minorHAnsi" w:hAnsiTheme="minorHAnsi" w:cstheme="minorHAnsi"/>
          <w:sz w:val="24"/>
          <w:szCs w:val="22"/>
          <w:lang w:eastAsia="en-US"/>
        </w:rPr>
        <w:t>99</w:t>
      </w:r>
      <w:r w:rsidR="00C574C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</w:t>
      </w:r>
      <w:r w:rsidR="00BC4978">
        <w:rPr>
          <w:rFonts w:asciiTheme="minorHAnsi" w:eastAsiaTheme="minorHAnsi" w:hAnsiTheme="minorHAnsi" w:cstheme="minorHAnsi"/>
          <w:sz w:val="24"/>
          <w:szCs w:val="22"/>
          <w:lang w:eastAsia="en-US"/>
        </w:rPr>
        <w:t>449</w:t>
      </w:r>
      <w:r w:rsidR="00D41E65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</w:t>
      </w:r>
      <w:r w:rsidR="00BC4978">
        <w:rPr>
          <w:rFonts w:asciiTheme="minorHAnsi" w:eastAsiaTheme="minorHAnsi" w:hAnsiTheme="minorHAnsi" w:cstheme="minorHAnsi"/>
          <w:sz w:val="24"/>
          <w:szCs w:val="22"/>
          <w:lang w:eastAsia="en-US"/>
        </w:rPr>
        <w:t>159,43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Kč. Objem kontrolovaných peněžních prostředků za kontrolované období </w:t>
      </w:r>
      <w:r w:rsidR="000843EE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u NG 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činil celkem </w:t>
      </w:r>
      <w:r w:rsidR="004F2FDE">
        <w:rPr>
          <w:rFonts w:asciiTheme="minorHAnsi" w:eastAsiaTheme="minorHAnsi" w:hAnsiTheme="minorHAnsi" w:cstheme="minorHAnsi"/>
          <w:sz w:val="24"/>
          <w:szCs w:val="22"/>
          <w:lang w:eastAsia="en-US"/>
        </w:rPr>
        <w:br/>
      </w:r>
      <w:r w:rsidR="00EC7D10">
        <w:rPr>
          <w:rFonts w:asciiTheme="minorHAnsi" w:eastAsiaTheme="minorHAnsi" w:hAnsiTheme="minorHAnsi" w:cstheme="minorHAnsi"/>
          <w:sz w:val="24"/>
          <w:szCs w:val="22"/>
          <w:lang w:eastAsia="en-US"/>
        </w:rPr>
        <w:t>333</w:t>
      </w:r>
      <w:r w:rsidR="004F2FDE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</w:t>
      </w:r>
      <w:r w:rsidR="00EC7D10">
        <w:rPr>
          <w:rFonts w:asciiTheme="minorHAnsi" w:eastAsiaTheme="minorHAnsi" w:hAnsiTheme="minorHAnsi" w:cstheme="minorHAnsi"/>
          <w:sz w:val="24"/>
          <w:szCs w:val="22"/>
          <w:lang w:eastAsia="en-US"/>
        </w:rPr>
        <w:t>750</w:t>
      </w:r>
      <w:r w:rsidR="00C67DD1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</w:t>
      </w:r>
      <w:r w:rsidR="00EC7D10">
        <w:rPr>
          <w:rFonts w:asciiTheme="minorHAnsi" w:eastAsiaTheme="minorHAnsi" w:hAnsiTheme="minorHAnsi" w:cstheme="minorHAnsi"/>
          <w:sz w:val="24"/>
          <w:szCs w:val="22"/>
          <w:lang w:eastAsia="en-US"/>
        </w:rPr>
        <w:t>623,82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Kč. Celkový kontrolovaný objem majetku a peněžních prostředků činil </w:t>
      </w:r>
      <w:r w:rsidR="00C069EB">
        <w:rPr>
          <w:rFonts w:asciiTheme="minorHAnsi" w:eastAsiaTheme="minorHAnsi" w:hAnsiTheme="minorHAnsi" w:cstheme="minorHAnsi"/>
          <w:sz w:val="24"/>
          <w:szCs w:val="22"/>
          <w:lang w:eastAsia="en-US"/>
        </w:rPr>
        <w:t>433 199 783,25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Kč.</w:t>
      </w:r>
    </w:p>
    <w:p w14:paraId="47EDC216" w14:textId="4E657A39" w:rsidR="00EC7D10" w:rsidRPr="00615372" w:rsidRDefault="00EC7D10" w:rsidP="00F15632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sz w:val="24"/>
          <w:szCs w:val="22"/>
        </w:rPr>
      </w:pP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Hodnota kontrolovaného majetku </w:t>
      </w:r>
      <w:r w:rsidR="00DF1EB3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UPM 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za kontrolované období činila </w:t>
      </w:r>
      <w:r w:rsidR="007B5B83">
        <w:rPr>
          <w:rFonts w:asciiTheme="minorHAnsi" w:eastAsiaTheme="minorHAnsi" w:hAnsiTheme="minorHAnsi" w:cstheme="minorHAnsi"/>
          <w:sz w:val="24"/>
          <w:szCs w:val="22"/>
          <w:lang w:eastAsia="en-US"/>
        </w:rPr>
        <w:t>954 495 278,15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Kč. Objem kontrolovaných peněžních prostředků za kontrolované období </w:t>
      </w:r>
      <w:r w:rsidR="00C16AB5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u UPM 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činil celkem </w:t>
      </w:r>
      <w:r w:rsidR="00EC72AB" w:rsidRPr="00EC72AB">
        <w:rPr>
          <w:rFonts w:asciiTheme="minorHAnsi" w:eastAsiaTheme="minorHAnsi" w:hAnsiTheme="minorHAnsi" w:cstheme="minorHAnsi"/>
          <w:sz w:val="24"/>
          <w:szCs w:val="22"/>
          <w:lang w:eastAsia="en-US"/>
        </w:rPr>
        <w:t>97</w:t>
      </w:r>
      <w:r w:rsidR="005B0396">
        <w:rPr>
          <w:rFonts w:asciiTheme="minorHAnsi" w:eastAsiaTheme="minorHAnsi" w:hAnsiTheme="minorHAnsi" w:cstheme="minorHAnsi"/>
          <w:sz w:val="24"/>
          <w:szCs w:val="22"/>
          <w:lang w:eastAsia="en-US"/>
        </w:rPr>
        <w:t> </w:t>
      </w:r>
      <w:r w:rsidR="00EC72AB" w:rsidRPr="00EC72AB">
        <w:rPr>
          <w:rFonts w:asciiTheme="minorHAnsi" w:eastAsiaTheme="minorHAnsi" w:hAnsiTheme="minorHAnsi" w:cstheme="minorHAnsi"/>
          <w:sz w:val="24"/>
          <w:szCs w:val="22"/>
          <w:lang w:eastAsia="en-US"/>
        </w:rPr>
        <w:t>182</w:t>
      </w:r>
      <w:r w:rsidR="005B0396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</w:t>
      </w:r>
      <w:r w:rsidR="00EC72AB" w:rsidRPr="00EC72AB">
        <w:rPr>
          <w:rFonts w:asciiTheme="minorHAnsi" w:eastAsiaTheme="minorHAnsi" w:hAnsiTheme="minorHAnsi" w:cstheme="minorHAnsi"/>
          <w:sz w:val="24"/>
          <w:szCs w:val="22"/>
          <w:lang w:eastAsia="en-US"/>
        </w:rPr>
        <w:t>532,25</w:t>
      </w:r>
      <w:r w:rsidRPr="00EC72AB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Kč. Celkový kontrolovaný objem majetku a peněžních prostředků činil </w:t>
      </w:r>
      <w:r w:rsidR="00EC72AB" w:rsidRPr="00EC72AB">
        <w:rPr>
          <w:rFonts w:asciiTheme="minorHAnsi" w:eastAsiaTheme="minorHAnsi" w:hAnsiTheme="minorHAnsi" w:cstheme="minorHAnsi"/>
          <w:sz w:val="24"/>
          <w:szCs w:val="22"/>
          <w:lang w:eastAsia="en-US"/>
        </w:rPr>
        <w:t>1 051 677 810,40</w:t>
      </w:r>
      <w:r w:rsidRPr="00615372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Kč.</w:t>
      </w:r>
    </w:p>
    <w:p w14:paraId="073BA7ED" w14:textId="260EC05D" w:rsidR="007F5AC1" w:rsidRDefault="007F5AC1" w:rsidP="007F5AC1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Calibri" w:hAnsi="Calibri"/>
          <w:sz w:val="24"/>
          <w:szCs w:val="22"/>
        </w:rPr>
      </w:pPr>
      <w:r w:rsidRPr="00615372">
        <w:rPr>
          <w:rFonts w:ascii="Calibri" w:hAnsi="Calibri"/>
          <w:sz w:val="24"/>
          <w:szCs w:val="22"/>
        </w:rPr>
        <w:t>Kontrol</w:t>
      </w:r>
      <w:r>
        <w:rPr>
          <w:rFonts w:ascii="Calibri" w:hAnsi="Calibri"/>
          <w:sz w:val="24"/>
          <w:szCs w:val="22"/>
        </w:rPr>
        <w:t>ou bylo ověř</w:t>
      </w:r>
      <w:r w:rsidR="001F1E53">
        <w:rPr>
          <w:rFonts w:ascii="Calibri" w:hAnsi="Calibri"/>
          <w:sz w:val="24"/>
          <w:szCs w:val="22"/>
        </w:rPr>
        <w:t>ován</w:t>
      </w:r>
      <w:r>
        <w:rPr>
          <w:rFonts w:ascii="Calibri" w:hAnsi="Calibri"/>
          <w:sz w:val="24"/>
          <w:szCs w:val="22"/>
        </w:rPr>
        <w:t xml:space="preserve">o, zda PO plnily povinnosti stanovené zákonem o majetku České republiky a zákonem o rozpočtových pravidlech. </w:t>
      </w:r>
      <w:r w:rsidR="00A56C58">
        <w:rPr>
          <w:rFonts w:ascii="Calibri" w:hAnsi="Calibri"/>
          <w:sz w:val="24"/>
          <w:szCs w:val="22"/>
        </w:rPr>
        <w:t>Dále kontrola prověřila, zda PO postupovaly v souladu se zákonem o zadávání veřejných zakázek.</w:t>
      </w:r>
      <w:r>
        <w:rPr>
          <w:rFonts w:ascii="Calibri" w:hAnsi="Calibri"/>
          <w:sz w:val="24"/>
          <w:szCs w:val="22"/>
        </w:rPr>
        <w:t xml:space="preserve"> Kontrolou bylo prověřeno</w:t>
      </w:r>
      <w:r w:rsidR="004F0611">
        <w:rPr>
          <w:rFonts w:ascii="Calibri" w:hAnsi="Calibri"/>
          <w:sz w:val="24"/>
          <w:szCs w:val="22"/>
        </w:rPr>
        <w:t xml:space="preserve"> i</w:t>
      </w:r>
      <w:r>
        <w:rPr>
          <w:rFonts w:ascii="Calibri" w:hAnsi="Calibri"/>
          <w:sz w:val="24"/>
          <w:szCs w:val="22"/>
        </w:rPr>
        <w:t xml:space="preserve"> nabývání majetku a nakládání s majetkem, včetně pronajímání a pozbývání nepotřebného majetku. Kontrola se </w:t>
      </w:r>
      <w:r w:rsidR="004F0611">
        <w:rPr>
          <w:rFonts w:ascii="Calibri" w:hAnsi="Calibri"/>
          <w:sz w:val="24"/>
          <w:szCs w:val="22"/>
        </w:rPr>
        <w:t xml:space="preserve">také </w:t>
      </w:r>
      <w:r>
        <w:rPr>
          <w:rFonts w:ascii="Calibri" w:hAnsi="Calibri"/>
          <w:sz w:val="24"/>
          <w:szCs w:val="22"/>
        </w:rPr>
        <w:t xml:space="preserve">zaměřila na vynakládání peněžních prostředků na vybrané služby, zejména na opravy a udržování majetku, právní a úklidové služby, </w:t>
      </w:r>
      <w:r w:rsidR="001F1E53">
        <w:rPr>
          <w:rFonts w:ascii="Calibri" w:hAnsi="Calibri"/>
          <w:sz w:val="24"/>
          <w:szCs w:val="22"/>
        </w:rPr>
        <w:t xml:space="preserve">služby </w:t>
      </w:r>
      <w:r>
        <w:rPr>
          <w:rFonts w:ascii="Calibri" w:hAnsi="Calibri"/>
          <w:sz w:val="24"/>
          <w:szCs w:val="22"/>
        </w:rPr>
        <w:t>ostrah</w:t>
      </w:r>
      <w:r w:rsidR="001F1E53">
        <w:rPr>
          <w:rFonts w:ascii="Calibri" w:hAnsi="Calibri"/>
          <w:sz w:val="24"/>
          <w:szCs w:val="22"/>
        </w:rPr>
        <w:t>y</w:t>
      </w:r>
      <w:r>
        <w:rPr>
          <w:rFonts w:ascii="Calibri" w:hAnsi="Calibri"/>
          <w:sz w:val="24"/>
          <w:szCs w:val="22"/>
        </w:rPr>
        <w:t xml:space="preserve"> </w:t>
      </w:r>
      <w:r w:rsidR="001F1E53">
        <w:rPr>
          <w:rFonts w:ascii="Calibri" w:hAnsi="Calibri"/>
          <w:sz w:val="24"/>
          <w:szCs w:val="22"/>
        </w:rPr>
        <w:t>a v</w:t>
      </w:r>
      <w:r w:rsidR="004F0611">
        <w:rPr>
          <w:rFonts w:ascii="Calibri" w:hAnsi="Calibri"/>
          <w:sz w:val="24"/>
          <w:szCs w:val="22"/>
        </w:rPr>
        <w:t xml:space="preserve"> </w:t>
      </w:r>
      <w:r w:rsidR="001F1E53">
        <w:rPr>
          <w:rFonts w:ascii="Calibri" w:hAnsi="Calibri"/>
          <w:sz w:val="24"/>
          <w:szCs w:val="22"/>
        </w:rPr>
        <w:t xml:space="preserve">případě NG </w:t>
      </w:r>
      <w:r w:rsidR="004F0611">
        <w:rPr>
          <w:rFonts w:ascii="Calibri" w:hAnsi="Calibri"/>
          <w:sz w:val="24"/>
          <w:szCs w:val="22"/>
        </w:rPr>
        <w:br/>
      </w:r>
      <w:r w:rsidR="001F1E53">
        <w:rPr>
          <w:rFonts w:ascii="Calibri" w:hAnsi="Calibri"/>
          <w:sz w:val="24"/>
          <w:szCs w:val="22"/>
        </w:rPr>
        <w:t xml:space="preserve">i </w:t>
      </w:r>
      <w:r w:rsidR="00F3012E">
        <w:rPr>
          <w:rFonts w:ascii="Calibri" w:hAnsi="Calibri"/>
          <w:sz w:val="24"/>
          <w:szCs w:val="22"/>
        </w:rPr>
        <w:t>služby realitní</w:t>
      </w:r>
      <w:r>
        <w:rPr>
          <w:rFonts w:ascii="Calibri" w:hAnsi="Calibri"/>
          <w:sz w:val="24"/>
          <w:szCs w:val="22"/>
        </w:rPr>
        <w:t xml:space="preserve">. Dle zákona o registru smluv bylo kontrolováno </w:t>
      </w:r>
      <w:r w:rsidR="00F3012E" w:rsidRPr="00F3012E">
        <w:rPr>
          <w:rFonts w:ascii="Calibri" w:hAnsi="Calibri"/>
          <w:sz w:val="24"/>
          <w:szCs w:val="22"/>
        </w:rPr>
        <w:t>dodržování povinnosti uveřejnit smlouvy v registru smluv</w:t>
      </w:r>
      <w:r>
        <w:rPr>
          <w:rFonts w:ascii="Calibri" w:hAnsi="Calibri"/>
          <w:sz w:val="24"/>
          <w:szCs w:val="22"/>
        </w:rPr>
        <w:t>.</w:t>
      </w:r>
    </w:p>
    <w:p w14:paraId="6A9C13B8" w14:textId="77777777" w:rsidR="004F0611" w:rsidRDefault="004F0611" w:rsidP="007F5AC1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Calibri" w:hAnsi="Calibri"/>
          <w:sz w:val="24"/>
          <w:szCs w:val="22"/>
        </w:rPr>
      </w:pPr>
    </w:p>
    <w:p w14:paraId="16A5F216" w14:textId="21706980" w:rsidR="007F5AC1" w:rsidRDefault="007F5AC1" w:rsidP="007F5AC1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lastRenderedPageBreak/>
        <w:t>Kontrolováno bylo rovněž dodržování zákona o účetnictví</w:t>
      </w:r>
      <w:r>
        <w:rPr>
          <w:rStyle w:val="Znakapoznpodarou"/>
          <w:rFonts w:ascii="Calibri" w:hAnsi="Calibri"/>
          <w:sz w:val="24"/>
          <w:szCs w:val="22"/>
        </w:rPr>
        <w:footnoteReference w:id="11"/>
      </w:r>
      <w:r>
        <w:rPr>
          <w:rFonts w:ascii="Calibri" w:hAnsi="Calibri"/>
          <w:sz w:val="24"/>
          <w:szCs w:val="22"/>
        </w:rPr>
        <w:t xml:space="preserve"> a prováděcí vyhlášky</w:t>
      </w:r>
      <w:r>
        <w:rPr>
          <w:rStyle w:val="Znakapoznpodarou"/>
          <w:rFonts w:ascii="Calibri" w:hAnsi="Calibri"/>
          <w:sz w:val="24"/>
          <w:szCs w:val="22"/>
        </w:rPr>
        <w:footnoteReference w:id="12"/>
      </w:r>
      <w:r>
        <w:rPr>
          <w:rFonts w:ascii="Calibri" w:hAnsi="Calibri"/>
          <w:sz w:val="24"/>
          <w:szCs w:val="22"/>
        </w:rPr>
        <w:t xml:space="preserve">. V oblasti účetnictví se kontrola zaměřila zejména na soulad fakturace se smlouvami </w:t>
      </w:r>
      <w:r w:rsidR="00D35DA4">
        <w:rPr>
          <w:rFonts w:ascii="Calibri" w:hAnsi="Calibri"/>
          <w:sz w:val="24"/>
          <w:szCs w:val="22"/>
        </w:rPr>
        <w:t xml:space="preserve">a dále také na to, zda byl pořízený majetek </w:t>
      </w:r>
      <w:r>
        <w:rPr>
          <w:rFonts w:ascii="Calibri" w:hAnsi="Calibri"/>
          <w:sz w:val="24"/>
          <w:szCs w:val="22"/>
        </w:rPr>
        <w:t xml:space="preserve">zaúčtován na </w:t>
      </w:r>
      <w:r w:rsidR="00D35DA4">
        <w:rPr>
          <w:rFonts w:ascii="Calibri" w:hAnsi="Calibri"/>
          <w:sz w:val="24"/>
          <w:szCs w:val="22"/>
        </w:rPr>
        <w:t>správné</w:t>
      </w:r>
      <w:r>
        <w:rPr>
          <w:rFonts w:ascii="Calibri" w:hAnsi="Calibri"/>
          <w:sz w:val="24"/>
          <w:szCs w:val="22"/>
        </w:rPr>
        <w:t xml:space="preserve"> majetkové účty, ve správném ocenění </w:t>
      </w:r>
      <w:r w:rsidR="00812626">
        <w:rPr>
          <w:rFonts w:ascii="Calibri" w:hAnsi="Calibri"/>
          <w:sz w:val="24"/>
          <w:szCs w:val="22"/>
        </w:rPr>
        <w:br/>
      </w:r>
      <w:r>
        <w:rPr>
          <w:rFonts w:ascii="Calibri" w:hAnsi="Calibri"/>
          <w:sz w:val="24"/>
          <w:szCs w:val="22"/>
        </w:rPr>
        <w:t>a</w:t>
      </w:r>
      <w:r w:rsidR="00812626">
        <w:rPr>
          <w:rFonts w:ascii="Calibri" w:hAnsi="Calibri"/>
          <w:sz w:val="24"/>
          <w:szCs w:val="22"/>
        </w:rPr>
        <w:t xml:space="preserve"> </w:t>
      </w:r>
      <w:r>
        <w:rPr>
          <w:rFonts w:ascii="Calibri" w:hAnsi="Calibri"/>
          <w:sz w:val="24"/>
          <w:szCs w:val="22"/>
        </w:rPr>
        <w:t>v</w:t>
      </w:r>
      <w:r w:rsidR="00812626">
        <w:rPr>
          <w:rFonts w:ascii="Calibri" w:hAnsi="Calibri"/>
          <w:sz w:val="24"/>
          <w:szCs w:val="22"/>
        </w:rPr>
        <w:t xml:space="preserve"> </w:t>
      </w:r>
      <w:r>
        <w:rPr>
          <w:rFonts w:ascii="Calibri" w:hAnsi="Calibri"/>
          <w:sz w:val="24"/>
          <w:szCs w:val="22"/>
        </w:rPr>
        <w:t xml:space="preserve">období časově a věcně souvisejícím. Dle </w:t>
      </w:r>
      <w:r w:rsidR="00F3012E">
        <w:rPr>
          <w:rFonts w:ascii="Calibri" w:hAnsi="Calibri"/>
          <w:sz w:val="24"/>
          <w:szCs w:val="22"/>
        </w:rPr>
        <w:t>vyhlášky</w:t>
      </w:r>
      <w:r>
        <w:rPr>
          <w:rFonts w:ascii="Calibri" w:hAnsi="Calibri"/>
          <w:sz w:val="24"/>
          <w:szCs w:val="22"/>
        </w:rPr>
        <w:t xml:space="preserve"> o inventarizaci</w:t>
      </w:r>
      <w:r>
        <w:rPr>
          <w:rStyle w:val="Znakapoznpodarou"/>
          <w:rFonts w:ascii="Calibri" w:hAnsi="Calibri"/>
          <w:sz w:val="24"/>
          <w:szCs w:val="22"/>
        </w:rPr>
        <w:footnoteReference w:id="13"/>
      </w:r>
      <w:r>
        <w:rPr>
          <w:rFonts w:ascii="Calibri" w:hAnsi="Calibri"/>
          <w:sz w:val="24"/>
          <w:szCs w:val="22"/>
        </w:rPr>
        <w:t xml:space="preserve"> bylo kontrolou ověřeno, zda PO řádně evid</w:t>
      </w:r>
      <w:r w:rsidR="00F3012E">
        <w:rPr>
          <w:rFonts w:ascii="Calibri" w:hAnsi="Calibri"/>
          <w:sz w:val="24"/>
          <w:szCs w:val="22"/>
        </w:rPr>
        <w:t>ovaly</w:t>
      </w:r>
      <w:r>
        <w:rPr>
          <w:rFonts w:ascii="Calibri" w:hAnsi="Calibri"/>
          <w:sz w:val="24"/>
          <w:szCs w:val="22"/>
        </w:rPr>
        <w:t xml:space="preserve"> a inventari</w:t>
      </w:r>
      <w:r w:rsidR="00F3012E">
        <w:rPr>
          <w:rFonts w:ascii="Calibri" w:hAnsi="Calibri"/>
          <w:sz w:val="24"/>
          <w:szCs w:val="22"/>
        </w:rPr>
        <w:t>zovaly</w:t>
      </w:r>
      <w:r>
        <w:rPr>
          <w:rFonts w:ascii="Calibri" w:hAnsi="Calibri"/>
          <w:sz w:val="24"/>
          <w:szCs w:val="22"/>
        </w:rPr>
        <w:t xml:space="preserve"> majetek.</w:t>
      </w:r>
    </w:p>
    <w:p w14:paraId="7744F84D" w14:textId="3028215B" w:rsidR="007F5AC1" w:rsidRDefault="00111926" w:rsidP="007F5AC1">
      <w:pPr>
        <w:suppressAutoHyphens w:val="0"/>
        <w:autoSpaceDE w:val="0"/>
        <w:autoSpaceDN w:val="0"/>
        <w:adjustRightInd w:val="0"/>
        <w:spacing w:before="120" w:after="0" w:line="240" w:lineRule="auto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NKÚ se zaměřil i na kontrolu</w:t>
      </w:r>
      <w:r w:rsidR="007F5AC1">
        <w:rPr>
          <w:rFonts w:ascii="Calibri" w:hAnsi="Calibri"/>
          <w:sz w:val="24"/>
          <w:szCs w:val="22"/>
        </w:rPr>
        <w:t xml:space="preserve"> provádění říd</w:t>
      </w:r>
      <w:r w:rsidR="00D35DA4">
        <w:rPr>
          <w:rFonts w:ascii="Calibri" w:hAnsi="Calibri"/>
          <w:sz w:val="24"/>
          <w:szCs w:val="22"/>
        </w:rPr>
        <w:t>i</w:t>
      </w:r>
      <w:r w:rsidR="007F5AC1">
        <w:rPr>
          <w:rFonts w:ascii="Calibri" w:hAnsi="Calibri"/>
          <w:sz w:val="24"/>
          <w:szCs w:val="22"/>
        </w:rPr>
        <w:t>cí kontroly ve smyslu zákona o finanční kontrole</w:t>
      </w:r>
      <w:r w:rsidR="005B0396" w:rsidRPr="005B0396">
        <w:rPr>
          <w:rFonts w:ascii="Calibri" w:hAnsi="Calibri"/>
          <w:sz w:val="24"/>
          <w:szCs w:val="22"/>
        </w:rPr>
        <w:t xml:space="preserve"> </w:t>
      </w:r>
      <w:r w:rsidR="005B0396">
        <w:rPr>
          <w:rFonts w:ascii="Calibri" w:hAnsi="Calibri"/>
          <w:sz w:val="24"/>
          <w:szCs w:val="22"/>
        </w:rPr>
        <w:t>a</w:t>
      </w:r>
      <w:r w:rsidR="00D35DA4">
        <w:rPr>
          <w:rFonts w:ascii="Calibri" w:hAnsi="Calibri"/>
          <w:sz w:val="24"/>
          <w:szCs w:val="22"/>
        </w:rPr>
        <w:t> </w:t>
      </w:r>
      <w:r w:rsidR="005B0396">
        <w:rPr>
          <w:rFonts w:ascii="Calibri" w:hAnsi="Calibri"/>
          <w:sz w:val="24"/>
          <w:szCs w:val="22"/>
        </w:rPr>
        <w:t>prováděcí vyhlášky</w:t>
      </w:r>
      <w:r w:rsidR="005B0396">
        <w:rPr>
          <w:rStyle w:val="Znakapoznpodarou"/>
          <w:rFonts w:ascii="Calibri" w:hAnsi="Calibri"/>
          <w:sz w:val="24"/>
          <w:szCs w:val="22"/>
        </w:rPr>
        <w:footnoteReference w:id="14"/>
      </w:r>
      <w:r w:rsidR="007F5AC1">
        <w:rPr>
          <w:rFonts w:ascii="Calibri" w:hAnsi="Calibri"/>
          <w:sz w:val="24"/>
          <w:szCs w:val="22"/>
        </w:rPr>
        <w:t>.</w:t>
      </w:r>
    </w:p>
    <w:p w14:paraId="2BF698A9" w14:textId="0E947C39" w:rsidR="00186FC1" w:rsidRDefault="007F5AC1" w:rsidP="0079135D">
      <w:pPr>
        <w:suppressAutoHyphens w:val="0"/>
        <w:autoSpaceDE w:val="0"/>
        <w:autoSpaceDN w:val="0"/>
        <w:adjustRightInd w:val="0"/>
        <w:spacing w:before="120" w:after="240" w:line="240" w:lineRule="auto"/>
        <w:rPr>
          <w:rFonts w:asciiTheme="minorHAnsi" w:hAnsiTheme="minorHAnsi" w:cstheme="minorHAnsi"/>
          <w:bCs/>
          <w:sz w:val="24"/>
        </w:rPr>
      </w:pPr>
      <w:r w:rsidRPr="009B1771">
        <w:rPr>
          <w:rFonts w:asciiTheme="minorHAnsi" w:hAnsiTheme="minorHAnsi" w:cstheme="minorHAnsi"/>
          <w:sz w:val="24"/>
        </w:rPr>
        <w:t>Kontrole byl</w:t>
      </w:r>
      <w:r>
        <w:rPr>
          <w:rFonts w:asciiTheme="minorHAnsi" w:hAnsiTheme="minorHAnsi" w:cstheme="minorHAnsi"/>
          <w:sz w:val="24"/>
        </w:rPr>
        <w:t>o</w:t>
      </w:r>
      <w:r w:rsidRPr="009B1771">
        <w:rPr>
          <w:rFonts w:asciiTheme="minorHAnsi" w:hAnsiTheme="minorHAnsi" w:cstheme="minorHAnsi"/>
          <w:sz w:val="24"/>
        </w:rPr>
        <w:t xml:space="preserve"> podroben</w:t>
      </w:r>
      <w:r>
        <w:rPr>
          <w:rFonts w:asciiTheme="minorHAnsi" w:hAnsiTheme="minorHAnsi" w:cstheme="minorHAnsi"/>
          <w:sz w:val="24"/>
        </w:rPr>
        <w:t xml:space="preserve">o hospodaření PO a jeho ovlivnění dopadem pandemie </w:t>
      </w:r>
      <w:r w:rsidR="00F3012E">
        <w:rPr>
          <w:rFonts w:asciiTheme="minorHAnsi" w:hAnsiTheme="minorHAnsi" w:cstheme="minorHAnsi"/>
          <w:sz w:val="24"/>
        </w:rPr>
        <w:t xml:space="preserve">onemocnění </w:t>
      </w:r>
      <w:r w:rsidR="00D35DA4">
        <w:rPr>
          <w:rFonts w:asciiTheme="minorHAnsi" w:hAnsiTheme="minorHAnsi" w:cstheme="minorHAnsi"/>
          <w:sz w:val="24"/>
        </w:rPr>
        <w:t>covid</w:t>
      </w:r>
      <w:r>
        <w:rPr>
          <w:rFonts w:asciiTheme="minorHAnsi" w:hAnsiTheme="minorHAnsi" w:cstheme="minorHAnsi"/>
          <w:sz w:val="24"/>
        </w:rPr>
        <w:t>-19</w:t>
      </w:r>
      <w:r w:rsidR="002B4B44" w:rsidRPr="002B4B44">
        <w:rPr>
          <w:rFonts w:asciiTheme="minorHAnsi" w:hAnsiTheme="minorHAnsi" w:cstheme="minorHAnsi"/>
          <w:sz w:val="24"/>
        </w:rPr>
        <w:t xml:space="preserve"> </w:t>
      </w:r>
      <w:r w:rsidR="002B4B44">
        <w:rPr>
          <w:rFonts w:asciiTheme="minorHAnsi" w:hAnsiTheme="minorHAnsi" w:cstheme="minorHAnsi"/>
          <w:sz w:val="24"/>
        </w:rPr>
        <w:t>v roce 2020</w:t>
      </w:r>
      <w:r>
        <w:rPr>
          <w:rFonts w:asciiTheme="minorHAnsi" w:hAnsiTheme="minorHAnsi" w:cstheme="minorHAnsi"/>
          <w:sz w:val="24"/>
        </w:rPr>
        <w:t xml:space="preserve">. </w:t>
      </w:r>
      <w:r w:rsidR="00222D89" w:rsidRPr="0004533D">
        <w:rPr>
          <w:rFonts w:asciiTheme="minorHAnsi" w:hAnsiTheme="minorHAnsi" w:cstheme="minorHAnsi"/>
          <w:sz w:val="24"/>
        </w:rPr>
        <w:t xml:space="preserve">NKÚ také prověřil realizaci opatření k odstranění nedostatků zjištěných kontrolními akcemi NKÚ č. 14/29 a č. 19/09. </w:t>
      </w:r>
    </w:p>
    <w:p w14:paraId="2E4B5A72" w14:textId="2D1C3C05" w:rsidR="0083260D" w:rsidRDefault="007F5AC1" w:rsidP="0079135D">
      <w:p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jc w:val="left"/>
        <w:rPr>
          <w:rFonts w:ascii="Calibri" w:eastAsiaTheme="minorHAnsi" w:hAnsi="Calibri"/>
          <w:sz w:val="20"/>
          <w:szCs w:val="20"/>
          <w:lang w:eastAsia="en-US"/>
        </w:rPr>
      </w:pPr>
      <w:bookmarkStart w:id="9" w:name="_Hlk104821131"/>
      <w:r w:rsidRPr="0079135D">
        <w:rPr>
          <w:rFonts w:ascii="Calibri" w:eastAsiaTheme="minorHAnsi" w:hAnsi="Calibri"/>
          <w:b/>
          <w:sz w:val="20"/>
          <w:szCs w:val="20"/>
          <w:lang w:eastAsia="en-US"/>
        </w:rPr>
        <w:t>Pozn.:</w:t>
      </w:r>
      <w:r w:rsidRPr="00AB69A2">
        <w:rPr>
          <w:rFonts w:ascii="Calibri" w:eastAsiaTheme="minorHAnsi" w:hAnsi="Calibri"/>
          <w:sz w:val="20"/>
          <w:szCs w:val="20"/>
          <w:lang w:eastAsia="en-US"/>
        </w:rPr>
        <w:t xml:space="preserve"> </w:t>
      </w:r>
      <w:r w:rsidR="0011624B">
        <w:rPr>
          <w:rFonts w:ascii="Calibri" w:eastAsiaTheme="minorHAnsi" w:hAnsi="Calibri"/>
          <w:sz w:val="20"/>
          <w:szCs w:val="20"/>
          <w:lang w:eastAsia="en-US"/>
        </w:rPr>
        <w:tab/>
      </w:r>
      <w:r w:rsidRPr="00AB69A2">
        <w:rPr>
          <w:rFonts w:ascii="Calibri" w:eastAsiaTheme="minorHAnsi" w:hAnsi="Calibri"/>
          <w:sz w:val="20"/>
          <w:szCs w:val="20"/>
          <w:lang w:eastAsia="en-US"/>
        </w:rPr>
        <w:t>Právní předpisy uvedené</w:t>
      </w:r>
      <w:r w:rsidR="0011624B">
        <w:rPr>
          <w:rFonts w:ascii="Calibri" w:eastAsiaTheme="minorHAnsi" w:hAnsi="Calibri"/>
          <w:sz w:val="20"/>
          <w:szCs w:val="20"/>
          <w:lang w:eastAsia="en-US"/>
        </w:rPr>
        <w:t xml:space="preserve"> v</w:t>
      </w:r>
      <w:r w:rsidRPr="00AB69A2">
        <w:rPr>
          <w:rFonts w:ascii="Calibri" w:eastAsiaTheme="minorHAnsi" w:hAnsi="Calibri"/>
          <w:sz w:val="20"/>
          <w:szCs w:val="20"/>
          <w:lang w:eastAsia="en-US"/>
        </w:rPr>
        <w:t xml:space="preserve"> </w:t>
      </w:r>
      <w:r w:rsidR="005D7BD5">
        <w:rPr>
          <w:rFonts w:ascii="Calibri" w:eastAsiaTheme="minorHAnsi" w:hAnsi="Calibri"/>
          <w:sz w:val="20"/>
          <w:szCs w:val="20"/>
          <w:lang w:eastAsia="en-US"/>
        </w:rPr>
        <w:t>kontrolním závěru</w:t>
      </w:r>
      <w:r w:rsidRPr="00AB69A2">
        <w:rPr>
          <w:rFonts w:ascii="Calibri" w:eastAsiaTheme="minorHAnsi" w:hAnsi="Calibri"/>
          <w:sz w:val="20"/>
          <w:szCs w:val="20"/>
          <w:lang w:eastAsia="en-US"/>
        </w:rPr>
        <w:t xml:space="preserve"> jsou aplikovány ve znění účinném pro kontrolované období.</w:t>
      </w:r>
      <w:bookmarkEnd w:id="9"/>
    </w:p>
    <w:p w14:paraId="1BD99318" w14:textId="77777777" w:rsidR="0083260D" w:rsidRPr="0079135D" w:rsidRDefault="0083260D" w:rsidP="0083260D">
      <w:pPr>
        <w:suppressAutoHyphens w:val="0"/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</w:p>
    <w:p w14:paraId="04ECC4BB" w14:textId="77777777" w:rsidR="00615372" w:rsidRDefault="00615372" w:rsidP="0083260D">
      <w:pPr>
        <w:suppressAutoHyphens w:val="0"/>
        <w:autoSpaceDE w:val="0"/>
        <w:autoSpaceDN w:val="0"/>
        <w:adjustRightInd w:val="0"/>
        <w:spacing w:before="120" w:after="0" w:line="240" w:lineRule="auto"/>
        <w:jc w:val="center"/>
        <w:rPr>
          <w:b/>
          <w:spacing w:val="20"/>
        </w:rPr>
      </w:pPr>
      <w:r>
        <w:rPr>
          <w:b/>
          <w:spacing w:val="20"/>
        </w:rPr>
        <w:t>IV. Podrobné skutečnosti zjištěné kontrolou</w:t>
      </w:r>
    </w:p>
    <w:p w14:paraId="0A43F894" w14:textId="77777777" w:rsidR="00E54F14" w:rsidRDefault="00E54F14" w:rsidP="007371B1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</w:p>
    <w:p w14:paraId="6CA3F38B" w14:textId="77777777" w:rsidR="007D3603" w:rsidRPr="00A10BE1" w:rsidRDefault="00AC177C" w:rsidP="0079135D">
      <w:pPr>
        <w:pStyle w:val="Nadpis1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t xml:space="preserve">Nedostatky </w:t>
      </w:r>
      <w:r w:rsidR="00212060" w:rsidRPr="00A10BE1">
        <w:rPr>
          <w:rFonts w:asciiTheme="minorHAnsi" w:hAnsiTheme="minorHAnsi" w:cstheme="minorHAnsi"/>
          <w:sz w:val="24"/>
          <w:u w:val="none"/>
        </w:rPr>
        <w:t xml:space="preserve">při vynakládání </w:t>
      </w:r>
      <w:r w:rsidRPr="00A10BE1">
        <w:rPr>
          <w:rFonts w:asciiTheme="minorHAnsi" w:hAnsiTheme="minorHAnsi" w:cstheme="minorHAnsi"/>
          <w:sz w:val="24"/>
          <w:u w:val="none"/>
        </w:rPr>
        <w:t>p</w:t>
      </w:r>
      <w:r w:rsidR="007D60A4" w:rsidRPr="00A10BE1">
        <w:rPr>
          <w:rFonts w:asciiTheme="minorHAnsi" w:hAnsiTheme="minorHAnsi" w:cstheme="minorHAnsi"/>
          <w:sz w:val="24"/>
          <w:u w:val="none"/>
        </w:rPr>
        <w:t>eněžní</w:t>
      </w:r>
      <w:r w:rsidRPr="00A10BE1">
        <w:rPr>
          <w:rFonts w:asciiTheme="minorHAnsi" w:hAnsiTheme="minorHAnsi" w:cstheme="minorHAnsi"/>
          <w:sz w:val="24"/>
          <w:u w:val="none"/>
        </w:rPr>
        <w:t>ch</w:t>
      </w:r>
      <w:r w:rsidR="007D60A4" w:rsidRPr="00A10BE1">
        <w:rPr>
          <w:rFonts w:asciiTheme="minorHAnsi" w:hAnsiTheme="minorHAnsi" w:cstheme="minorHAnsi"/>
          <w:sz w:val="24"/>
          <w:u w:val="none"/>
        </w:rPr>
        <w:t xml:space="preserve"> prostředk</w:t>
      </w:r>
      <w:r w:rsidRPr="00A10BE1">
        <w:rPr>
          <w:rFonts w:asciiTheme="minorHAnsi" w:hAnsiTheme="minorHAnsi" w:cstheme="minorHAnsi"/>
          <w:sz w:val="24"/>
          <w:u w:val="none"/>
        </w:rPr>
        <w:t>ů</w:t>
      </w:r>
      <w:r w:rsidR="00510629" w:rsidRPr="00A10BE1">
        <w:rPr>
          <w:rFonts w:asciiTheme="minorHAnsi" w:hAnsiTheme="minorHAnsi" w:cstheme="minorHAnsi"/>
          <w:sz w:val="24"/>
          <w:u w:val="none"/>
        </w:rPr>
        <w:t xml:space="preserve"> </w:t>
      </w:r>
      <w:r w:rsidR="007D60A4" w:rsidRPr="00A10BE1">
        <w:rPr>
          <w:rFonts w:asciiTheme="minorHAnsi" w:hAnsiTheme="minorHAnsi" w:cstheme="minorHAnsi"/>
          <w:sz w:val="24"/>
          <w:u w:val="none"/>
        </w:rPr>
        <w:t xml:space="preserve">na </w:t>
      </w:r>
      <w:r w:rsidR="00510629" w:rsidRPr="00A10BE1">
        <w:rPr>
          <w:rFonts w:asciiTheme="minorHAnsi" w:hAnsiTheme="minorHAnsi" w:cstheme="minorHAnsi"/>
          <w:sz w:val="24"/>
          <w:u w:val="none"/>
        </w:rPr>
        <w:t>vybran</w:t>
      </w:r>
      <w:r w:rsidRPr="00A10BE1">
        <w:rPr>
          <w:rFonts w:asciiTheme="minorHAnsi" w:hAnsiTheme="minorHAnsi" w:cstheme="minorHAnsi"/>
          <w:sz w:val="24"/>
          <w:u w:val="none"/>
        </w:rPr>
        <w:t>é</w:t>
      </w:r>
      <w:r w:rsidR="00510629" w:rsidRPr="00A10BE1">
        <w:rPr>
          <w:rFonts w:asciiTheme="minorHAnsi" w:hAnsiTheme="minorHAnsi" w:cstheme="minorHAnsi"/>
          <w:sz w:val="24"/>
          <w:u w:val="none"/>
        </w:rPr>
        <w:t xml:space="preserve"> </w:t>
      </w:r>
      <w:r w:rsidR="007D60A4" w:rsidRPr="00A10BE1">
        <w:rPr>
          <w:rFonts w:asciiTheme="minorHAnsi" w:hAnsiTheme="minorHAnsi" w:cstheme="minorHAnsi"/>
          <w:sz w:val="24"/>
          <w:u w:val="none"/>
        </w:rPr>
        <w:t>služ</w:t>
      </w:r>
      <w:r w:rsidRPr="00A10BE1">
        <w:rPr>
          <w:rFonts w:asciiTheme="minorHAnsi" w:hAnsiTheme="minorHAnsi" w:cstheme="minorHAnsi"/>
          <w:sz w:val="24"/>
          <w:u w:val="none"/>
        </w:rPr>
        <w:t>by</w:t>
      </w:r>
    </w:p>
    <w:p w14:paraId="68C31B06" w14:textId="716E5A37" w:rsidR="00510629" w:rsidRPr="0004533D" w:rsidRDefault="003756C5" w:rsidP="0066581F">
      <w:pPr>
        <w:spacing w:line="240" w:lineRule="auto"/>
        <w:rPr>
          <w:rFonts w:asciiTheme="minorHAnsi" w:hAnsiTheme="minorHAnsi" w:cstheme="minorHAnsi"/>
          <w:b/>
          <w:sz w:val="24"/>
        </w:rPr>
      </w:pPr>
      <w:r w:rsidRPr="00A71B65">
        <w:rPr>
          <w:rFonts w:asciiTheme="minorHAnsi" w:hAnsiTheme="minorHAnsi" w:cstheme="minorHAnsi"/>
          <w:b/>
          <w:sz w:val="24"/>
        </w:rPr>
        <w:t>Kontrolou byl</w:t>
      </w:r>
      <w:r w:rsidR="00510629" w:rsidRPr="00A71B65">
        <w:rPr>
          <w:rFonts w:asciiTheme="minorHAnsi" w:hAnsiTheme="minorHAnsi" w:cstheme="minorHAnsi"/>
          <w:b/>
          <w:sz w:val="24"/>
        </w:rPr>
        <w:t>o</w:t>
      </w:r>
      <w:r w:rsidRPr="00A71B65">
        <w:rPr>
          <w:rFonts w:asciiTheme="minorHAnsi" w:hAnsiTheme="minorHAnsi" w:cstheme="minorHAnsi"/>
          <w:b/>
          <w:sz w:val="24"/>
        </w:rPr>
        <w:t xml:space="preserve"> prově</w:t>
      </w:r>
      <w:r w:rsidR="00510629" w:rsidRPr="00A71B65">
        <w:rPr>
          <w:rFonts w:asciiTheme="minorHAnsi" w:hAnsiTheme="minorHAnsi" w:cstheme="minorHAnsi"/>
          <w:b/>
          <w:sz w:val="24"/>
        </w:rPr>
        <w:t>řeno u příspěvkových</w:t>
      </w:r>
      <w:r w:rsidR="00510629" w:rsidRPr="00F7622B">
        <w:rPr>
          <w:rFonts w:asciiTheme="minorHAnsi" w:hAnsiTheme="minorHAnsi" w:cstheme="minorHAnsi"/>
          <w:b/>
          <w:sz w:val="24"/>
        </w:rPr>
        <w:t xml:space="preserve"> </w:t>
      </w:r>
      <w:r w:rsidR="00510629" w:rsidRPr="0004533D">
        <w:rPr>
          <w:rFonts w:asciiTheme="minorHAnsi" w:hAnsiTheme="minorHAnsi" w:cstheme="minorHAnsi"/>
          <w:b/>
          <w:sz w:val="24"/>
        </w:rPr>
        <w:t>organizací pořizování právních a úklidových služeb,</w:t>
      </w:r>
      <w:r w:rsidR="00F3012E" w:rsidRPr="0004533D">
        <w:rPr>
          <w:rFonts w:asciiTheme="minorHAnsi" w:hAnsiTheme="minorHAnsi" w:cstheme="minorHAnsi"/>
          <w:b/>
          <w:sz w:val="24"/>
        </w:rPr>
        <w:t xml:space="preserve"> služeb</w:t>
      </w:r>
      <w:r w:rsidR="00510629" w:rsidRPr="0004533D">
        <w:rPr>
          <w:rFonts w:asciiTheme="minorHAnsi" w:hAnsiTheme="minorHAnsi" w:cstheme="minorHAnsi"/>
          <w:b/>
          <w:sz w:val="24"/>
        </w:rPr>
        <w:t xml:space="preserve"> ostrahy a </w:t>
      </w:r>
      <w:r w:rsidR="00F3012E" w:rsidRPr="0004533D">
        <w:rPr>
          <w:rFonts w:asciiTheme="minorHAnsi" w:hAnsiTheme="minorHAnsi" w:cstheme="minorHAnsi"/>
          <w:b/>
          <w:sz w:val="24"/>
        </w:rPr>
        <w:t>u NG také</w:t>
      </w:r>
      <w:r w:rsidR="000B05E7" w:rsidRPr="0004533D">
        <w:rPr>
          <w:rFonts w:asciiTheme="minorHAnsi" w:hAnsiTheme="minorHAnsi" w:cstheme="minorHAnsi"/>
          <w:b/>
          <w:sz w:val="24"/>
        </w:rPr>
        <w:t xml:space="preserve"> služeb</w:t>
      </w:r>
      <w:r w:rsidR="00F3012E" w:rsidRPr="0004533D">
        <w:rPr>
          <w:rFonts w:asciiTheme="minorHAnsi" w:hAnsiTheme="minorHAnsi" w:cstheme="minorHAnsi"/>
          <w:b/>
          <w:sz w:val="24"/>
        </w:rPr>
        <w:t xml:space="preserve"> realitních</w:t>
      </w:r>
      <w:r w:rsidR="00510629" w:rsidRPr="00D615BF">
        <w:rPr>
          <w:rFonts w:asciiTheme="minorHAnsi" w:hAnsiTheme="minorHAnsi" w:cstheme="minorHAnsi"/>
          <w:b/>
          <w:sz w:val="24"/>
        </w:rPr>
        <w:t xml:space="preserve">. </w:t>
      </w:r>
      <w:r w:rsidR="00233912" w:rsidRPr="00D615BF">
        <w:rPr>
          <w:rFonts w:asciiTheme="minorHAnsi" w:hAnsiTheme="minorHAnsi" w:cstheme="minorHAnsi"/>
          <w:b/>
          <w:sz w:val="24"/>
        </w:rPr>
        <w:t xml:space="preserve">NG nepostupovala v souladu s právními předpisy, když </w:t>
      </w:r>
      <w:r w:rsidR="00904444">
        <w:rPr>
          <w:rFonts w:asciiTheme="minorHAnsi" w:hAnsiTheme="minorHAnsi" w:cstheme="minorHAnsi"/>
          <w:b/>
          <w:sz w:val="24"/>
        </w:rPr>
        <w:t>při</w:t>
      </w:r>
      <w:r w:rsidR="00233912" w:rsidRPr="00D615BF">
        <w:rPr>
          <w:rFonts w:asciiTheme="minorHAnsi" w:hAnsiTheme="minorHAnsi" w:cstheme="minorHAnsi"/>
          <w:b/>
          <w:sz w:val="24"/>
        </w:rPr>
        <w:t xml:space="preserve"> zadání veřejných zakázek spojených s pořizováním služeb nevyužila žádný z druhů zadávacího řízení. </w:t>
      </w:r>
      <w:r w:rsidR="00320DE4" w:rsidRPr="00D615BF">
        <w:rPr>
          <w:rFonts w:asciiTheme="minorHAnsi" w:hAnsiTheme="minorHAnsi" w:cstheme="minorHAnsi"/>
          <w:b/>
          <w:sz w:val="24"/>
        </w:rPr>
        <w:t>NG vynakládala</w:t>
      </w:r>
      <w:r w:rsidR="00320DE4" w:rsidRPr="00F7622B">
        <w:rPr>
          <w:rFonts w:asciiTheme="minorHAnsi" w:hAnsiTheme="minorHAnsi" w:cstheme="minorHAnsi"/>
          <w:b/>
          <w:sz w:val="24"/>
        </w:rPr>
        <w:t xml:space="preserve"> peněžní prostředky za plnění, které nebylo podloženo platnými smlouvami. </w:t>
      </w:r>
      <w:r w:rsidR="00510629" w:rsidRPr="00F7622B">
        <w:rPr>
          <w:rFonts w:asciiTheme="minorHAnsi" w:hAnsiTheme="minorHAnsi" w:cstheme="minorHAnsi"/>
          <w:b/>
          <w:sz w:val="24"/>
        </w:rPr>
        <w:t>U UPM nebyly kontrolou zjištěny nedostatky</w:t>
      </w:r>
      <w:r w:rsidR="00AC177C" w:rsidRPr="00F7622B">
        <w:rPr>
          <w:rFonts w:asciiTheme="minorHAnsi" w:hAnsiTheme="minorHAnsi" w:cstheme="minorHAnsi"/>
          <w:b/>
          <w:sz w:val="24"/>
        </w:rPr>
        <w:t xml:space="preserve"> </w:t>
      </w:r>
      <w:r w:rsidR="00767143">
        <w:rPr>
          <w:rFonts w:asciiTheme="minorHAnsi" w:hAnsiTheme="minorHAnsi" w:cstheme="minorHAnsi"/>
          <w:b/>
          <w:sz w:val="24"/>
        </w:rPr>
        <w:t>ani v procesu</w:t>
      </w:r>
      <w:r w:rsidR="00AC177C" w:rsidRPr="00F7622B">
        <w:rPr>
          <w:rFonts w:asciiTheme="minorHAnsi" w:hAnsiTheme="minorHAnsi" w:cstheme="minorHAnsi"/>
          <w:b/>
          <w:sz w:val="24"/>
        </w:rPr>
        <w:t xml:space="preserve"> zadávání veřejných zakázek</w:t>
      </w:r>
      <w:r w:rsidR="00320DE4" w:rsidRPr="00F7622B">
        <w:rPr>
          <w:rFonts w:asciiTheme="minorHAnsi" w:hAnsiTheme="minorHAnsi" w:cstheme="minorHAnsi"/>
          <w:b/>
          <w:sz w:val="24"/>
        </w:rPr>
        <w:t>,</w:t>
      </w:r>
      <w:r w:rsidR="00D0003A" w:rsidRPr="00F7622B">
        <w:rPr>
          <w:rFonts w:asciiTheme="minorHAnsi" w:hAnsiTheme="minorHAnsi" w:cstheme="minorHAnsi"/>
          <w:b/>
          <w:sz w:val="24"/>
        </w:rPr>
        <w:t xml:space="preserve"> </w:t>
      </w:r>
      <w:r w:rsidR="00320DE4" w:rsidRPr="00F7622B">
        <w:rPr>
          <w:rFonts w:asciiTheme="minorHAnsi" w:hAnsiTheme="minorHAnsi" w:cstheme="minorHAnsi"/>
          <w:b/>
          <w:sz w:val="24"/>
        </w:rPr>
        <w:t xml:space="preserve">ani v oblasti hospodárnosti a </w:t>
      </w:r>
      <w:r w:rsidR="00320DE4" w:rsidRPr="0004533D">
        <w:rPr>
          <w:rFonts w:asciiTheme="minorHAnsi" w:hAnsiTheme="minorHAnsi" w:cstheme="minorHAnsi"/>
          <w:b/>
          <w:sz w:val="24"/>
        </w:rPr>
        <w:t>účelnosti v</w:t>
      </w:r>
      <w:r w:rsidR="00F3012E" w:rsidRPr="0004533D">
        <w:rPr>
          <w:rFonts w:asciiTheme="minorHAnsi" w:hAnsiTheme="minorHAnsi" w:cstheme="minorHAnsi"/>
          <w:b/>
          <w:sz w:val="24"/>
        </w:rPr>
        <w:t>ýd</w:t>
      </w:r>
      <w:r w:rsidR="009E07C0" w:rsidRPr="0004533D">
        <w:rPr>
          <w:rFonts w:asciiTheme="minorHAnsi" w:hAnsiTheme="minorHAnsi" w:cstheme="minorHAnsi"/>
          <w:b/>
          <w:sz w:val="24"/>
        </w:rPr>
        <w:t>ajů</w:t>
      </w:r>
      <w:r w:rsidR="00F3012E" w:rsidRPr="0004533D">
        <w:rPr>
          <w:rFonts w:asciiTheme="minorHAnsi" w:hAnsiTheme="minorHAnsi" w:cstheme="minorHAnsi"/>
          <w:b/>
          <w:sz w:val="24"/>
        </w:rPr>
        <w:t xml:space="preserve"> peněžních prostředků v</w:t>
      </w:r>
      <w:r w:rsidR="00320DE4" w:rsidRPr="0004533D">
        <w:rPr>
          <w:rFonts w:asciiTheme="minorHAnsi" w:hAnsiTheme="minorHAnsi" w:cstheme="minorHAnsi"/>
          <w:b/>
          <w:sz w:val="24"/>
        </w:rPr>
        <w:t> souvislosti se zajišťováním služeb.</w:t>
      </w:r>
    </w:p>
    <w:p w14:paraId="1FF09504" w14:textId="77777777" w:rsidR="00510629" w:rsidRPr="00BB7A07" w:rsidRDefault="00510629" w:rsidP="0051062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04533D">
        <w:rPr>
          <w:rFonts w:asciiTheme="minorHAnsi" w:eastAsia="Calibri" w:hAnsiTheme="minorHAnsi" w:cstheme="minorHAnsi"/>
          <w:b/>
          <w:sz w:val="24"/>
        </w:rPr>
        <w:t xml:space="preserve">NG </w:t>
      </w:r>
      <w:r w:rsidR="00C25F84" w:rsidRPr="0004533D">
        <w:rPr>
          <w:rFonts w:asciiTheme="minorHAnsi" w:eastAsia="Calibri" w:hAnsiTheme="minorHAnsi" w:cstheme="minorHAnsi"/>
          <w:b/>
          <w:sz w:val="24"/>
        </w:rPr>
        <w:t>nezadala</w:t>
      </w:r>
      <w:r w:rsidRPr="0004533D">
        <w:rPr>
          <w:rFonts w:asciiTheme="minorHAnsi" w:eastAsia="Calibri" w:hAnsiTheme="minorHAnsi" w:cstheme="minorHAnsi"/>
          <w:b/>
          <w:sz w:val="24"/>
        </w:rPr>
        <w:t xml:space="preserve"> veřejnou zakázku na obecné právní služby</w:t>
      </w:r>
      <w:r w:rsidR="00C25F84" w:rsidRPr="0004533D">
        <w:rPr>
          <w:rFonts w:asciiTheme="minorHAnsi" w:eastAsia="Calibri" w:hAnsiTheme="minorHAnsi" w:cstheme="minorHAnsi"/>
          <w:b/>
          <w:sz w:val="24"/>
        </w:rPr>
        <w:t xml:space="preserve"> v zadávacím řízení</w:t>
      </w:r>
    </w:p>
    <w:p w14:paraId="6B917A24" w14:textId="6B0BD108" w:rsidR="007C56F5" w:rsidRDefault="00510629" w:rsidP="00F7622B">
      <w:pPr>
        <w:shd w:val="clear" w:color="auto" w:fill="FFFFFF" w:themeFill="background1"/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Obecné právní služby</w:t>
      </w:r>
      <w:r w:rsidR="001E244A">
        <w:rPr>
          <w:rStyle w:val="Znakapoznpodarou"/>
          <w:rFonts w:asciiTheme="minorHAnsi" w:eastAsia="Calibri" w:hAnsiTheme="minorHAnsi" w:cstheme="minorHAnsi"/>
          <w:sz w:val="24"/>
        </w:rPr>
        <w:footnoteReference w:id="15"/>
      </w:r>
      <w:r>
        <w:rPr>
          <w:rFonts w:asciiTheme="minorHAnsi" w:eastAsia="Calibri" w:hAnsiTheme="minorHAnsi" w:cstheme="minorHAnsi"/>
          <w:sz w:val="24"/>
        </w:rPr>
        <w:t xml:space="preserve"> poskytoval</w:t>
      </w:r>
      <w:r w:rsidR="00767143">
        <w:rPr>
          <w:rFonts w:asciiTheme="minorHAnsi" w:eastAsia="Calibri" w:hAnsiTheme="minorHAnsi" w:cstheme="minorHAnsi"/>
          <w:sz w:val="24"/>
        </w:rPr>
        <w:t>i</w:t>
      </w:r>
      <w:r>
        <w:rPr>
          <w:rFonts w:asciiTheme="minorHAnsi" w:eastAsia="Calibri" w:hAnsiTheme="minorHAnsi" w:cstheme="minorHAnsi"/>
          <w:sz w:val="24"/>
        </w:rPr>
        <w:t xml:space="preserve"> v kontrolovaném období N</w:t>
      </w:r>
      <w:r w:rsidR="00767143">
        <w:rPr>
          <w:rFonts w:asciiTheme="minorHAnsi" w:eastAsia="Calibri" w:hAnsiTheme="minorHAnsi" w:cstheme="minorHAnsi"/>
          <w:sz w:val="24"/>
        </w:rPr>
        <w:t>árodní galerii v Praze</w:t>
      </w:r>
      <w:r>
        <w:rPr>
          <w:rFonts w:asciiTheme="minorHAnsi" w:eastAsia="Calibri" w:hAnsiTheme="minorHAnsi" w:cstheme="minorHAnsi"/>
          <w:sz w:val="24"/>
        </w:rPr>
        <w:t xml:space="preserve"> současně až </w:t>
      </w:r>
      <w:r w:rsidR="00C67DD1">
        <w:rPr>
          <w:rFonts w:asciiTheme="minorHAnsi" w:eastAsia="Calibri" w:hAnsiTheme="minorHAnsi" w:cstheme="minorHAnsi"/>
          <w:sz w:val="24"/>
        </w:rPr>
        <w:t>tři</w:t>
      </w:r>
      <w:r>
        <w:rPr>
          <w:rFonts w:asciiTheme="minorHAnsi" w:eastAsia="Calibri" w:hAnsiTheme="minorHAnsi" w:cstheme="minorHAnsi"/>
          <w:sz w:val="24"/>
        </w:rPr>
        <w:t xml:space="preserve"> různ</w:t>
      </w:r>
      <w:r w:rsidR="00AC177C">
        <w:rPr>
          <w:rFonts w:asciiTheme="minorHAnsi" w:eastAsia="Calibri" w:hAnsiTheme="minorHAnsi" w:cstheme="minorHAnsi"/>
          <w:sz w:val="24"/>
        </w:rPr>
        <w:t>í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AC177C">
        <w:rPr>
          <w:rFonts w:asciiTheme="minorHAnsi" w:eastAsia="Calibri" w:hAnsiTheme="minorHAnsi" w:cstheme="minorHAnsi"/>
          <w:sz w:val="24"/>
        </w:rPr>
        <w:t xml:space="preserve">poskytovatelé na základě </w:t>
      </w:r>
      <w:r w:rsidR="00C67DD1">
        <w:rPr>
          <w:rFonts w:asciiTheme="minorHAnsi" w:eastAsia="Calibri" w:hAnsiTheme="minorHAnsi" w:cstheme="minorHAnsi"/>
          <w:sz w:val="24"/>
        </w:rPr>
        <w:t>sedmi</w:t>
      </w:r>
      <w:r>
        <w:rPr>
          <w:rFonts w:asciiTheme="minorHAnsi" w:eastAsia="Calibri" w:hAnsiTheme="minorHAnsi" w:cstheme="minorHAnsi"/>
          <w:sz w:val="24"/>
        </w:rPr>
        <w:t xml:space="preserve"> smluv. NG se všemi </w:t>
      </w:r>
      <w:r w:rsidR="00C6034B">
        <w:rPr>
          <w:rFonts w:asciiTheme="minorHAnsi" w:eastAsia="Calibri" w:hAnsiTheme="minorHAnsi" w:cstheme="minorHAnsi"/>
          <w:sz w:val="24"/>
        </w:rPr>
        <w:t>poskytovateli</w:t>
      </w:r>
      <w:r>
        <w:rPr>
          <w:rFonts w:asciiTheme="minorHAnsi" w:eastAsia="Calibri" w:hAnsiTheme="minorHAnsi" w:cstheme="minorHAnsi"/>
          <w:sz w:val="24"/>
        </w:rPr>
        <w:t xml:space="preserve"> uzavírala smlouvy </w:t>
      </w:r>
      <w:r w:rsidR="006C4C6E">
        <w:rPr>
          <w:rFonts w:asciiTheme="minorHAnsi" w:eastAsia="Calibri" w:hAnsiTheme="minorHAnsi" w:cstheme="minorHAnsi"/>
          <w:sz w:val="24"/>
        </w:rPr>
        <w:t xml:space="preserve">přibližně </w:t>
      </w:r>
      <w:r>
        <w:rPr>
          <w:rFonts w:asciiTheme="minorHAnsi" w:eastAsia="Calibri" w:hAnsiTheme="minorHAnsi" w:cstheme="minorHAnsi"/>
          <w:sz w:val="24"/>
        </w:rPr>
        <w:t xml:space="preserve">na jeden rok, aniž by před jejich uzavřením proběhlo výběrové řízení. V kontrolovaném období jen za tyto služby uhradila </w:t>
      </w:r>
      <w:r w:rsidR="00767143">
        <w:rPr>
          <w:rFonts w:asciiTheme="minorHAnsi" w:eastAsia="Calibri" w:hAnsiTheme="minorHAnsi" w:cstheme="minorHAnsi"/>
          <w:sz w:val="24"/>
        </w:rPr>
        <w:t xml:space="preserve">NG </w:t>
      </w:r>
      <w:r w:rsidR="003F06D6">
        <w:rPr>
          <w:rFonts w:asciiTheme="minorHAnsi" w:eastAsia="Calibri" w:hAnsiTheme="minorHAnsi" w:cstheme="minorHAnsi"/>
          <w:sz w:val="24"/>
        </w:rPr>
        <w:t>6 735 777,52</w:t>
      </w:r>
      <w:r>
        <w:rPr>
          <w:rFonts w:asciiTheme="minorHAnsi" w:eastAsia="Calibri" w:hAnsiTheme="minorHAnsi" w:cstheme="minorHAnsi"/>
          <w:sz w:val="24"/>
        </w:rPr>
        <w:t xml:space="preserve"> Kč</w:t>
      </w:r>
      <w:r w:rsidR="00A12D92">
        <w:rPr>
          <w:rFonts w:asciiTheme="minorHAnsi" w:eastAsia="Calibri" w:hAnsiTheme="minorHAnsi" w:cstheme="minorHAnsi"/>
          <w:sz w:val="24"/>
        </w:rPr>
        <w:t xml:space="preserve"> včetně</w:t>
      </w:r>
      <w:r w:rsidR="007A7663">
        <w:rPr>
          <w:rFonts w:asciiTheme="minorHAnsi" w:eastAsia="Calibri" w:hAnsiTheme="minorHAnsi" w:cstheme="minorHAnsi"/>
          <w:sz w:val="24"/>
        </w:rPr>
        <w:t xml:space="preserve"> </w:t>
      </w:r>
      <w:r w:rsidR="00A12D92">
        <w:rPr>
          <w:rFonts w:asciiTheme="minorHAnsi" w:eastAsia="Calibri" w:hAnsiTheme="minorHAnsi" w:cstheme="minorHAnsi"/>
          <w:sz w:val="24"/>
        </w:rPr>
        <w:t>daně z přidané hodnoty (dále také „DPH“)</w:t>
      </w:r>
      <w:r w:rsidR="00AC177C">
        <w:rPr>
          <w:rFonts w:asciiTheme="minorHAnsi" w:eastAsia="Calibri" w:hAnsiTheme="minorHAnsi" w:cstheme="minorHAnsi"/>
          <w:sz w:val="24"/>
        </w:rPr>
        <w:t>.</w:t>
      </w:r>
      <w:r w:rsidR="000F0C79">
        <w:rPr>
          <w:rFonts w:asciiTheme="minorHAnsi" w:eastAsia="Calibri" w:hAnsiTheme="minorHAnsi" w:cstheme="minorHAnsi"/>
          <w:sz w:val="24"/>
        </w:rPr>
        <w:t xml:space="preserve"> NG disponovala vlastním právním oddělením</w:t>
      </w:r>
      <w:r w:rsidR="0074101C">
        <w:rPr>
          <w:rFonts w:asciiTheme="minorHAnsi" w:eastAsia="Calibri" w:hAnsiTheme="minorHAnsi" w:cstheme="minorHAnsi"/>
          <w:sz w:val="24"/>
        </w:rPr>
        <w:t xml:space="preserve">. </w:t>
      </w:r>
      <w:r w:rsidR="00595170">
        <w:rPr>
          <w:rFonts w:asciiTheme="minorHAnsi" w:eastAsia="Calibri" w:hAnsiTheme="minorHAnsi" w:cstheme="minorHAnsi"/>
          <w:sz w:val="24"/>
        </w:rPr>
        <w:t>Po</w:t>
      </w:r>
      <w:r w:rsidR="00595170" w:rsidRPr="00595170">
        <w:rPr>
          <w:rFonts w:asciiTheme="minorHAnsi" w:eastAsia="Calibri" w:hAnsiTheme="minorHAnsi" w:cstheme="minorHAnsi"/>
          <w:sz w:val="24"/>
        </w:rPr>
        <w:t>dle organizačního řádu</w:t>
      </w:r>
      <w:r w:rsidR="00595170">
        <w:rPr>
          <w:rFonts w:asciiTheme="minorHAnsi" w:eastAsia="Calibri" w:hAnsiTheme="minorHAnsi" w:cstheme="minorHAnsi"/>
          <w:sz w:val="24"/>
        </w:rPr>
        <w:t xml:space="preserve"> mělo právní oddělení poskytovat a zajišťovat podporu generálnímu řediteli a organizačním jednotkám ve všech věcech, vyjma otázek daňových a celních</w:t>
      </w:r>
      <w:r w:rsidR="00767143">
        <w:rPr>
          <w:rFonts w:asciiTheme="minorHAnsi" w:eastAsia="Calibri" w:hAnsiTheme="minorHAnsi" w:cstheme="minorHAnsi"/>
          <w:sz w:val="24"/>
        </w:rPr>
        <w:t>,</w:t>
      </w:r>
      <w:r w:rsidR="00595170">
        <w:rPr>
          <w:rFonts w:asciiTheme="minorHAnsi" w:eastAsia="Calibri" w:hAnsiTheme="minorHAnsi" w:cstheme="minorHAnsi"/>
          <w:sz w:val="24"/>
        </w:rPr>
        <w:t xml:space="preserve"> a také zastupovat </w:t>
      </w:r>
      <w:r w:rsidR="00767143">
        <w:rPr>
          <w:rFonts w:asciiTheme="minorHAnsi" w:eastAsia="Calibri" w:hAnsiTheme="minorHAnsi" w:cstheme="minorHAnsi"/>
          <w:sz w:val="24"/>
        </w:rPr>
        <w:t xml:space="preserve">NG </w:t>
      </w:r>
      <w:r w:rsidR="00595170">
        <w:rPr>
          <w:rFonts w:asciiTheme="minorHAnsi" w:eastAsia="Calibri" w:hAnsiTheme="minorHAnsi" w:cstheme="minorHAnsi"/>
          <w:sz w:val="24"/>
        </w:rPr>
        <w:t>v soudních řízení</w:t>
      </w:r>
      <w:r w:rsidR="00767143">
        <w:rPr>
          <w:rFonts w:asciiTheme="minorHAnsi" w:eastAsia="Calibri" w:hAnsiTheme="minorHAnsi" w:cstheme="minorHAnsi"/>
          <w:sz w:val="24"/>
        </w:rPr>
        <w:t>ch</w:t>
      </w:r>
      <w:r w:rsidR="00595170">
        <w:rPr>
          <w:rFonts w:asciiTheme="minorHAnsi" w:eastAsia="Calibri" w:hAnsiTheme="minorHAnsi" w:cstheme="minorHAnsi"/>
          <w:sz w:val="24"/>
        </w:rPr>
        <w:t xml:space="preserve">, zajišťovat restituční agendu, vést centrální registr smluv, zajišťovat agendu související s veřejnými zakázkami a koordinovat agendu ochrany osobních údajů ve spolupráci s pověřencem. </w:t>
      </w:r>
    </w:p>
    <w:p w14:paraId="4707A00D" w14:textId="3CD6E7FC" w:rsidR="00AC177C" w:rsidRDefault="00595170" w:rsidP="00F7622B">
      <w:pPr>
        <w:shd w:val="clear" w:color="auto" w:fill="FFFFFF" w:themeFill="background1"/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Kontrolou bylo </w:t>
      </w:r>
      <w:r w:rsidRPr="00595170">
        <w:rPr>
          <w:rFonts w:asciiTheme="minorHAnsi" w:eastAsia="Calibri" w:hAnsiTheme="minorHAnsi" w:cstheme="minorHAnsi"/>
          <w:sz w:val="24"/>
        </w:rPr>
        <w:t xml:space="preserve">zjištěno, že agendu svěřenou organizačním řádem právnímu oddělení vykonávali externí </w:t>
      </w:r>
      <w:r w:rsidR="007C56F5">
        <w:rPr>
          <w:rFonts w:asciiTheme="minorHAnsi" w:eastAsia="Calibri" w:hAnsiTheme="minorHAnsi" w:cstheme="minorHAnsi"/>
          <w:sz w:val="24"/>
        </w:rPr>
        <w:t>poskytov</w:t>
      </w:r>
      <w:r w:rsidR="0090147E">
        <w:rPr>
          <w:rFonts w:asciiTheme="minorHAnsi" w:eastAsia="Calibri" w:hAnsiTheme="minorHAnsi" w:cstheme="minorHAnsi"/>
          <w:sz w:val="24"/>
        </w:rPr>
        <w:t>atelé</w:t>
      </w:r>
      <w:r>
        <w:rPr>
          <w:rFonts w:asciiTheme="minorHAnsi" w:eastAsia="Calibri" w:hAnsiTheme="minorHAnsi" w:cstheme="minorHAnsi"/>
          <w:sz w:val="24"/>
        </w:rPr>
        <w:t xml:space="preserve"> a většinu </w:t>
      </w:r>
      <w:r w:rsidRPr="00595170">
        <w:rPr>
          <w:rFonts w:asciiTheme="minorHAnsi" w:eastAsia="Calibri" w:hAnsiTheme="minorHAnsi" w:cstheme="minorHAnsi"/>
          <w:sz w:val="24"/>
        </w:rPr>
        <w:t>smluv uzavíraných NG</w:t>
      </w:r>
      <w:r w:rsidR="00767143">
        <w:rPr>
          <w:rFonts w:asciiTheme="minorHAnsi" w:eastAsia="Calibri" w:hAnsiTheme="minorHAnsi" w:cstheme="minorHAnsi"/>
          <w:sz w:val="24"/>
        </w:rPr>
        <w:t>,</w:t>
      </w:r>
      <w:r w:rsidRPr="00595170">
        <w:rPr>
          <w:rFonts w:asciiTheme="minorHAnsi" w:eastAsia="Calibri" w:hAnsiTheme="minorHAnsi" w:cstheme="minorHAnsi"/>
          <w:sz w:val="24"/>
        </w:rPr>
        <w:t xml:space="preserve"> včetně vzorů, připravovali dle dokumentů předložených ke kontrole výše zmínění tři dodavatelé.</w:t>
      </w:r>
      <w:r>
        <w:rPr>
          <w:rFonts w:asciiTheme="minorHAnsi" w:eastAsia="Calibri" w:hAnsiTheme="minorHAnsi" w:cstheme="minorHAnsi"/>
          <w:sz w:val="24"/>
        </w:rPr>
        <w:t xml:space="preserve"> NG </w:t>
      </w:r>
      <w:r w:rsidR="000F0C79">
        <w:rPr>
          <w:rFonts w:asciiTheme="minorHAnsi" w:eastAsia="Calibri" w:hAnsiTheme="minorHAnsi" w:cstheme="minorHAnsi"/>
          <w:sz w:val="24"/>
        </w:rPr>
        <w:t>nepře</w:t>
      </w:r>
      <w:r w:rsidR="000F0C79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 xml:space="preserve">dložila ke </w:t>
      </w:r>
      <w:r w:rsidR="000F0C79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lastRenderedPageBreak/>
        <w:t>kontrole souhrn činností, které toto oddělení v kontrolovaném období zaji</w:t>
      </w:r>
      <w:r w:rsidR="008102DE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>š</w:t>
      </w:r>
      <w:r w:rsidR="00B557C9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>ťovalo</w:t>
      </w:r>
      <w:r w:rsidR="000F0C79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 xml:space="preserve">. </w:t>
      </w:r>
      <w:r w:rsidR="00F7622B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>Uvedené smlouvy se netýkaly zastupování NG v soudních řízení</w:t>
      </w:r>
      <w:r w:rsidR="00767143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>ch</w:t>
      </w:r>
      <w:r w:rsidR="00ED7166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 xml:space="preserve">, na </w:t>
      </w:r>
      <w:r w:rsidR="00767143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>něž</w:t>
      </w:r>
      <w:r w:rsidR="00F7622B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 xml:space="preserve"> byly uzavírány samostatné smlouvy s</w:t>
      </w:r>
      <w:r w:rsidR="00ED7166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>e stejnými i dalšími</w:t>
      </w:r>
      <w:r w:rsidR="007E144E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 xml:space="preserve"> </w:t>
      </w:r>
      <w:r w:rsidR="00F7622B" w:rsidRPr="00ED7166">
        <w:rPr>
          <w:rFonts w:asciiTheme="minorHAnsi" w:eastAsia="Calibri" w:hAnsiTheme="minorHAnsi" w:cstheme="minorHAnsi"/>
          <w:sz w:val="24"/>
          <w:shd w:val="clear" w:color="auto" w:fill="FFFFFF" w:themeFill="background1"/>
        </w:rPr>
        <w:t xml:space="preserve">poskytovateli. </w:t>
      </w:r>
    </w:p>
    <w:p w14:paraId="6AAA422B" w14:textId="45389977" w:rsidR="000F0C79" w:rsidRDefault="000F0C79" w:rsidP="0051062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Tabulka č. </w:t>
      </w:r>
      <w:r w:rsidR="00C005BB">
        <w:rPr>
          <w:rFonts w:asciiTheme="minorHAnsi" w:eastAsia="Calibri" w:hAnsiTheme="minorHAnsi" w:cstheme="minorHAnsi"/>
          <w:sz w:val="24"/>
        </w:rPr>
        <w:t>3</w:t>
      </w:r>
      <w:r w:rsidR="00B343BF">
        <w:rPr>
          <w:rFonts w:asciiTheme="minorHAnsi" w:eastAsia="Calibri" w:hAnsiTheme="minorHAnsi" w:cstheme="minorHAnsi"/>
          <w:sz w:val="24"/>
        </w:rPr>
        <w:t>: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3E7E48">
        <w:rPr>
          <w:rFonts w:asciiTheme="minorHAnsi" w:eastAsia="Calibri" w:hAnsiTheme="minorHAnsi" w:cstheme="minorHAnsi"/>
          <w:sz w:val="24"/>
        </w:rPr>
        <w:t>Přehled s</w:t>
      </w:r>
      <w:r>
        <w:rPr>
          <w:rFonts w:asciiTheme="minorHAnsi" w:eastAsia="Calibri" w:hAnsiTheme="minorHAnsi" w:cstheme="minorHAnsi"/>
          <w:sz w:val="24"/>
        </w:rPr>
        <w:t xml:space="preserve">mluv na </w:t>
      </w:r>
      <w:r w:rsidR="003E7E48">
        <w:rPr>
          <w:rFonts w:asciiTheme="minorHAnsi" w:eastAsia="Calibri" w:hAnsiTheme="minorHAnsi" w:cstheme="minorHAnsi"/>
          <w:sz w:val="24"/>
        </w:rPr>
        <w:t xml:space="preserve">zajišťování </w:t>
      </w:r>
      <w:r>
        <w:rPr>
          <w:rFonts w:asciiTheme="minorHAnsi" w:eastAsia="Calibri" w:hAnsiTheme="minorHAnsi" w:cstheme="minorHAnsi"/>
          <w:sz w:val="24"/>
        </w:rPr>
        <w:t>obecn</w:t>
      </w:r>
      <w:r w:rsidR="003E7E48">
        <w:rPr>
          <w:rFonts w:asciiTheme="minorHAnsi" w:eastAsia="Calibri" w:hAnsiTheme="minorHAnsi" w:cstheme="minorHAnsi"/>
          <w:sz w:val="24"/>
        </w:rPr>
        <w:t>ých</w:t>
      </w:r>
      <w:r>
        <w:rPr>
          <w:rFonts w:asciiTheme="minorHAnsi" w:eastAsia="Calibri" w:hAnsiTheme="minorHAnsi" w:cstheme="minorHAnsi"/>
          <w:sz w:val="24"/>
        </w:rPr>
        <w:t xml:space="preserve"> právní</w:t>
      </w:r>
      <w:r w:rsidR="003E7E48">
        <w:rPr>
          <w:rFonts w:asciiTheme="minorHAnsi" w:eastAsia="Calibri" w:hAnsiTheme="minorHAnsi" w:cstheme="minorHAnsi"/>
          <w:sz w:val="24"/>
        </w:rPr>
        <w:t>ch</w:t>
      </w:r>
      <w:r>
        <w:rPr>
          <w:rFonts w:asciiTheme="minorHAnsi" w:eastAsia="Calibri" w:hAnsiTheme="minorHAnsi" w:cstheme="minorHAnsi"/>
          <w:sz w:val="24"/>
        </w:rPr>
        <w:t xml:space="preserve"> služ</w:t>
      </w:r>
      <w:r w:rsidR="003E7E48">
        <w:rPr>
          <w:rFonts w:asciiTheme="minorHAnsi" w:eastAsia="Calibri" w:hAnsiTheme="minorHAnsi" w:cstheme="minorHAnsi"/>
          <w:sz w:val="24"/>
        </w:rPr>
        <w:t>e</w:t>
      </w:r>
      <w:r>
        <w:rPr>
          <w:rFonts w:asciiTheme="minorHAnsi" w:eastAsia="Calibri" w:hAnsiTheme="minorHAnsi" w:cstheme="minorHAnsi"/>
          <w:sz w:val="24"/>
        </w:rPr>
        <w:t>b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140"/>
        <w:gridCol w:w="1971"/>
        <w:gridCol w:w="1984"/>
      </w:tblGrid>
      <w:tr w:rsidR="00257037" w:rsidRPr="00257037" w14:paraId="513ADF62" w14:textId="77777777" w:rsidTr="00257037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20B95B0B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1E66C4C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Smlouva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FD55508" w14:textId="4D746E1F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Předpokládaná hodnota sml</w:t>
            </w:r>
            <w:r w:rsidR="0076714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ouvy</w:t>
            </w: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</w:t>
            </w:r>
            <w:r w:rsidR="0076714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62C014E" w14:textId="06B18C7B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Uhrazeno v letech 2018</w:t>
            </w:r>
            <w:r w:rsidR="008865F9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257037" w:rsidRPr="00257037" w14:paraId="6C5B1B93" w14:textId="77777777" w:rsidTr="0025703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8878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4394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5264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2736A710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v Kč bez DPH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6B3D764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v Kč s DPH</w:t>
            </w:r>
          </w:p>
        </w:tc>
      </w:tr>
      <w:tr w:rsidR="00257037" w:rsidRPr="00257037" w14:paraId="2632C759" w14:textId="77777777" w:rsidTr="00257037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C72A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4B3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260C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1 500 000,00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49F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2 972 912,00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C52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3 597 223,52</w:t>
            </w:r>
          </w:p>
        </w:tc>
      </w:tr>
      <w:tr w:rsidR="00257037" w:rsidRPr="00257037" w14:paraId="0278DEE2" w14:textId="77777777" w:rsidTr="0025703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67D8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7A06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dodatek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806A2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2 000 000,00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32F25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846B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57037" w:rsidRPr="00257037" w14:paraId="0C482F4F" w14:textId="77777777" w:rsidTr="00FF631F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27B1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95DC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dodatek 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DA56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2 600 000,00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DEAC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6A0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57037" w:rsidRPr="00257037" w14:paraId="769E42E7" w14:textId="77777777" w:rsidTr="00FF631F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B29B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B409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7AF0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500 000,00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0F79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340 062,00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6F7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411 475,00</w:t>
            </w:r>
          </w:p>
        </w:tc>
      </w:tr>
      <w:tr w:rsidR="00257037" w:rsidRPr="00257037" w14:paraId="163A3942" w14:textId="77777777" w:rsidTr="00E24499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799DD1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Celkem za poskytovatele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A8252E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3 100 000,00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72FC7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3 312 974,00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E0A583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4 008 698,52</w:t>
            </w:r>
          </w:p>
        </w:tc>
      </w:tr>
      <w:tr w:rsidR="00257037" w:rsidRPr="00257037" w14:paraId="527230F6" w14:textId="77777777" w:rsidTr="0083260D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D75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7014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</w:t>
            </w:r>
            <w:r w:rsid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94DE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275 000,00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E2E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396 000,00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12E9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396 000,00</w:t>
            </w:r>
          </w:p>
        </w:tc>
      </w:tr>
      <w:tr w:rsidR="00257037" w:rsidRPr="00257037" w14:paraId="7FAEB1EE" w14:textId="77777777" w:rsidTr="0083260D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2FAD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BF50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dodatek 1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</w:t>
            </w:r>
            <w:r w:rsid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423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312 000,00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E58C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2CF7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57037" w:rsidRPr="00257037" w14:paraId="37D96742" w14:textId="77777777" w:rsidTr="0025703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C1F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5A6B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B022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660 000,00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EC88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600 600,00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1A0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600 600,00</w:t>
            </w:r>
          </w:p>
        </w:tc>
      </w:tr>
      <w:tr w:rsidR="00257037" w:rsidRPr="00257037" w14:paraId="55F83D57" w14:textId="77777777" w:rsidTr="0025703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2A8A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C8A1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3.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6975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931 000,00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8459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665 800,00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1D1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665 800,00</w:t>
            </w:r>
          </w:p>
        </w:tc>
      </w:tr>
      <w:tr w:rsidR="00257037" w:rsidRPr="00257037" w14:paraId="6C7A6AB3" w14:textId="77777777" w:rsidTr="00E24499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561836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Celkem za poskytovatele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EB8EC9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1 903 000,00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D16D38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1 662 400,00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57B9AA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1 662 400,00</w:t>
            </w:r>
          </w:p>
        </w:tc>
      </w:tr>
      <w:tr w:rsidR="00257037" w:rsidRPr="00257037" w14:paraId="69B4F018" w14:textId="77777777" w:rsidTr="00257037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3ADB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</w:t>
            </w:r>
            <w:r w:rsid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B7B5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4D8E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624 000,00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045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424 300,00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D92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513 403,00</w:t>
            </w:r>
          </w:p>
        </w:tc>
      </w:tr>
      <w:tr w:rsidR="00257037" w:rsidRPr="00257037" w14:paraId="74261097" w14:textId="77777777" w:rsidTr="0025703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C28D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267" w14:textId="77777777" w:rsidR="00257037" w:rsidRPr="00257037" w:rsidRDefault="00257037" w:rsidP="0025703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  <w:r w:rsidR="001E500A" w:rsidRPr="001E500A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6177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700 000,00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6F9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455 600,00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C901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551 276,00</w:t>
            </w:r>
          </w:p>
        </w:tc>
      </w:tr>
      <w:tr w:rsidR="00257037" w:rsidRPr="00257037" w14:paraId="7F529A2A" w14:textId="77777777" w:rsidTr="00E24499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759E7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Celkem za poskytovatele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0E63B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1 324 000,00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D5440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879 900,00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60DF7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1 064 679,00</w:t>
            </w:r>
          </w:p>
        </w:tc>
      </w:tr>
      <w:tr w:rsidR="00257037" w:rsidRPr="00257037" w14:paraId="6665BE15" w14:textId="77777777" w:rsidTr="0025703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C6C9"/>
            <w:noWrap/>
            <w:vAlign w:val="center"/>
            <w:hideMark/>
          </w:tcPr>
          <w:p w14:paraId="1EF12A81" w14:textId="77777777" w:rsidR="00257037" w:rsidRPr="00257037" w:rsidRDefault="00257037" w:rsidP="0025703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24F86A69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6 327 000,00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91705EC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5 855 274,00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334B2F63" w14:textId="77777777" w:rsidR="00257037" w:rsidRPr="00257037" w:rsidRDefault="00257037" w:rsidP="0025703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5703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6 735 777,52</w:t>
            </w:r>
          </w:p>
        </w:tc>
      </w:tr>
    </w:tbl>
    <w:p w14:paraId="683A12A7" w14:textId="64670FC4" w:rsidR="00BA0388" w:rsidRPr="00CD3C5C" w:rsidRDefault="00BA0388" w:rsidP="00BA0388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D3C5C">
        <w:rPr>
          <w:rFonts w:asciiTheme="minorHAnsi" w:eastAsia="Calibri" w:hAnsiTheme="minorHAnsi" w:cstheme="minorHAnsi"/>
          <w:sz w:val="20"/>
          <w:szCs w:val="20"/>
        </w:rPr>
        <w:t xml:space="preserve">Zdroj: </w:t>
      </w:r>
      <w:r w:rsidR="00767143">
        <w:rPr>
          <w:rFonts w:asciiTheme="minorHAnsi" w:eastAsia="Calibri" w:hAnsiTheme="minorHAnsi" w:cstheme="minorHAnsi"/>
          <w:sz w:val="20"/>
          <w:szCs w:val="20"/>
        </w:rPr>
        <w:t>p</w:t>
      </w:r>
      <w:r w:rsidRPr="00CD3C5C">
        <w:rPr>
          <w:rFonts w:asciiTheme="minorHAnsi" w:eastAsia="Calibri" w:hAnsiTheme="minorHAnsi" w:cstheme="minorHAnsi"/>
          <w:sz w:val="20"/>
          <w:szCs w:val="20"/>
        </w:rPr>
        <w:t>odklady NG</w:t>
      </w:r>
      <w:r w:rsidR="00767143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6EA8782" w14:textId="4F3AE395" w:rsidR="000F0C79" w:rsidRDefault="00D30BC4" w:rsidP="00E3742D">
      <w:pPr>
        <w:spacing w:after="0" w:line="240" w:lineRule="auto"/>
        <w:ind w:left="567" w:hanging="567"/>
        <w:rPr>
          <w:rFonts w:asciiTheme="minorHAnsi" w:eastAsia="Calibri" w:hAnsiTheme="minorHAnsi" w:cstheme="minorHAnsi"/>
          <w:sz w:val="20"/>
          <w:szCs w:val="20"/>
        </w:rPr>
      </w:pPr>
      <w:r w:rsidRPr="00E3742D">
        <w:rPr>
          <w:rFonts w:asciiTheme="minorHAnsi" w:eastAsia="Calibri" w:hAnsiTheme="minorHAnsi" w:cstheme="minorHAnsi"/>
          <w:sz w:val="20"/>
          <w:szCs w:val="20"/>
        </w:rPr>
        <w:t>*</w:t>
      </w:r>
      <w:r w:rsidR="009A2248" w:rsidRPr="00E3742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E144E">
        <w:rPr>
          <w:rFonts w:asciiTheme="minorHAnsi" w:eastAsia="Calibri" w:hAnsiTheme="minorHAnsi" w:cstheme="minorHAnsi"/>
          <w:sz w:val="20"/>
          <w:szCs w:val="20"/>
        </w:rPr>
        <w:tab/>
      </w:r>
      <w:r w:rsidRPr="00D30BC4">
        <w:rPr>
          <w:rFonts w:asciiTheme="minorHAnsi" w:eastAsia="Calibri" w:hAnsiTheme="minorHAnsi" w:cstheme="minorHAnsi"/>
          <w:sz w:val="20"/>
          <w:szCs w:val="20"/>
        </w:rPr>
        <w:t>Není plátcem DPH</w:t>
      </w:r>
      <w:r w:rsidR="00767143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E5D3CDA" w14:textId="5C90945F" w:rsidR="00D30BC4" w:rsidRDefault="00D30BC4" w:rsidP="00E3742D">
      <w:pPr>
        <w:spacing w:after="0" w:line="240" w:lineRule="auto"/>
        <w:ind w:left="567" w:hanging="567"/>
        <w:rPr>
          <w:rFonts w:asciiTheme="minorHAnsi" w:eastAsia="Calibri" w:hAnsiTheme="minorHAnsi" w:cstheme="minorHAnsi"/>
          <w:sz w:val="20"/>
          <w:szCs w:val="20"/>
        </w:rPr>
      </w:pPr>
      <w:r w:rsidRPr="00E3742D">
        <w:rPr>
          <w:rFonts w:asciiTheme="minorHAnsi" w:eastAsia="Calibri" w:hAnsiTheme="minorHAnsi" w:cstheme="minorHAnsi"/>
          <w:sz w:val="20"/>
          <w:szCs w:val="20"/>
        </w:rPr>
        <w:t>**</w:t>
      </w:r>
      <w:r w:rsidR="007E144E"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>Výše plnění u těchto smluv vychází z</w:t>
      </w:r>
      <w:r w:rsidR="0090147E">
        <w:rPr>
          <w:rFonts w:asciiTheme="minorHAnsi" w:eastAsia="Calibri" w:hAnsiTheme="minorHAnsi" w:cstheme="minorHAnsi"/>
          <w:sz w:val="20"/>
          <w:szCs w:val="20"/>
        </w:rPr>
        <w:t> </w:t>
      </w:r>
      <w:r w:rsidR="00767143">
        <w:rPr>
          <w:rFonts w:asciiTheme="minorHAnsi" w:eastAsia="Calibri" w:hAnsiTheme="minorHAnsi" w:cstheme="minorHAnsi"/>
          <w:sz w:val="20"/>
          <w:szCs w:val="20"/>
        </w:rPr>
        <w:t>p</w:t>
      </w:r>
      <w:r w:rsidR="0090147E">
        <w:rPr>
          <w:rFonts w:asciiTheme="minorHAnsi" w:eastAsia="Calibri" w:hAnsiTheme="minorHAnsi" w:cstheme="minorHAnsi"/>
          <w:sz w:val="20"/>
          <w:szCs w:val="20"/>
        </w:rPr>
        <w:t xml:space="preserve">řílohy č. 2 – </w:t>
      </w:r>
      <w:r w:rsidR="0090147E" w:rsidRPr="00E3742D">
        <w:rPr>
          <w:rFonts w:asciiTheme="minorHAnsi" w:eastAsia="Calibri" w:hAnsiTheme="minorHAnsi" w:cstheme="minorHAnsi"/>
          <w:i/>
          <w:sz w:val="20"/>
          <w:szCs w:val="20"/>
        </w:rPr>
        <w:t>Informace o zakázce</w:t>
      </w:r>
      <w:r w:rsidR="009A2248">
        <w:rPr>
          <w:rFonts w:asciiTheme="minorHAnsi" w:eastAsia="Calibri" w:hAnsiTheme="minorHAnsi" w:cstheme="minorHAnsi"/>
          <w:sz w:val="20"/>
          <w:szCs w:val="20"/>
        </w:rPr>
        <w:t>, kde je uvedena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E144E">
        <w:rPr>
          <w:rFonts w:asciiTheme="minorHAnsi" w:eastAsia="Calibri" w:hAnsiTheme="minorHAnsi" w:cstheme="minorHAnsi"/>
          <w:sz w:val="20"/>
          <w:szCs w:val="20"/>
        </w:rPr>
        <w:br/>
      </w:r>
      <w:r>
        <w:rPr>
          <w:rFonts w:asciiTheme="minorHAnsi" w:eastAsia="Calibri" w:hAnsiTheme="minorHAnsi" w:cstheme="minorHAnsi"/>
          <w:sz w:val="20"/>
          <w:szCs w:val="20"/>
        </w:rPr>
        <w:t>předpokládan</w:t>
      </w:r>
      <w:r w:rsidR="009A2248">
        <w:rPr>
          <w:rFonts w:asciiTheme="minorHAnsi" w:eastAsia="Calibri" w:hAnsiTheme="minorHAnsi" w:cstheme="minorHAnsi"/>
          <w:sz w:val="20"/>
          <w:szCs w:val="20"/>
        </w:rPr>
        <w:t>á</w:t>
      </w:r>
      <w:r>
        <w:rPr>
          <w:rFonts w:asciiTheme="minorHAnsi" w:eastAsia="Calibri" w:hAnsiTheme="minorHAnsi" w:cstheme="minorHAnsi"/>
          <w:sz w:val="20"/>
          <w:szCs w:val="20"/>
        </w:rPr>
        <w:t xml:space="preserve"> výše </w:t>
      </w:r>
      <w:r w:rsidR="00AE7D8A">
        <w:rPr>
          <w:rFonts w:asciiTheme="minorHAnsi" w:eastAsia="Calibri" w:hAnsiTheme="minorHAnsi" w:cstheme="minorHAnsi"/>
          <w:sz w:val="20"/>
          <w:szCs w:val="20"/>
        </w:rPr>
        <w:t xml:space="preserve">celkového peněžitého plnění ze </w:t>
      </w:r>
      <w:r w:rsidR="00ED127D">
        <w:rPr>
          <w:rFonts w:asciiTheme="minorHAnsi" w:eastAsia="Calibri" w:hAnsiTheme="minorHAnsi" w:cstheme="minorHAnsi"/>
          <w:sz w:val="20"/>
          <w:szCs w:val="20"/>
        </w:rPr>
        <w:t>smlouvy</w:t>
      </w:r>
      <w:r>
        <w:rPr>
          <w:rFonts w:asciiTheme="minorHAnsi" w:eastAsia="Calibri" w:hAnsiTheme="minorHAnsi" w:cstheme="minorHAnsi"/>
          <w:sz w:val="20"/>
          <w:szCs w:val="20"/>
        </w:rPr>
        <w:t xml:space="preserve">, smlouvy obsahovaly měsíční plnění </w:t>
      </w:r>
      <w:r w:rsidR="009A2248">
        <w:rPr>
          <w:rFonts w:asciiTheme="minorHAnsi" w:eastAsia="Calibri" w:hAnsiTheme="minorHAnsi" w:cstheme="minorHAnsi"/>
          <w:sz w:val="20"/>
          <w:szCs w:val="20"/>
        </w:rPr>
        <w:t>ve výši 42 500 Kč + odměn</w:t>
      </w:r>
      <w:r w:rsidR="00767143">
        <w:rPr>
          <w:rFonts w:asciiTheme="minorHAnsi" w:eastAsia="Calibri" w:hAnsiTheme="minorHAnsi" w:cstheme="minorHAnsi"/>
          <w:sz w:val="20"/>
          <w:szCs w:val="20"/>
        </w:rPr>
        <w:t>u</w:t>
      </w:r>
      <w:r w:rsidR="009A2248">
        <w:rPr>
          <w:rFonts w:asciiTheme="minorHAnsi" w:eastAsia="Calibri" w:hAnsiTheme="minorHAnsi" w:cstheme="minorHAnsi"/>
          <w:sz w:val="20"/>
          <w:szCs w:val="20"/>
        </w:rPr>
        <w:t xml:space="preserve"> nad rámec smluvních 50 hod/měsíčně</w:t>
      </w:r>
      <w:r w:rsidR="00767143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19F43AA2" w14:textId="4FF200E2" w:rsidR="009A2248" w:rsidRDefault="009A2248" w:rsidP="00E3742D">
      <w:pPr>
        <w:spacing w:after="0" w:line="240" w:lineRule="auto"/>
        <w:ind w:left="567" w:hanging="567"/>
        <w:rPr>
          <w:rFonts w:asciiTheme="minorHAnsi" w:eastAsia="Calibri" w:hAnsiTheme="minorHAnsi" w:cstheme="minorHAnsi"/>
          <w:sz w:val="20"/>
          <w:szCs w:val="20"/>
        </w:rPr>
      </w:pPr>
      <w:r w:rsidRPr="00E3742D">
        <w:rPr>
          <w:rFonts w:asciiTheme="minorHAnsi" w:eastAsia="Calibri" w:hAnsiTheme="minorHAnsi" w:cstheme="minorHAnsi"/>
          <w:sz w:val="20"/>
          <w:szCs w:val="20"/>
        </w:rPr>
        <w:t>***</w:t>
      </w:r>
      <w:r w:rsidR="007E144E">
        <w:rPr>
          <w:rFonts w:asciiTheme="minorHAnsi" w:eastAsia="Calibri" w:hAnsiTheme="minorHAnsi" w:cstheme="minorHAnsi"/>
          <w:sz w:val="20"/>
          <w:szCs w:val="20"/>
        </w:rPr>
        <w:tab/>
      </w:r>
      <w:r>
        <w:rPr>
          <w:rFonts w:asciiTheme="minorHAnsi" w:eastAsia="Calibri" w:hAnsiTheme="minorHAnsi" w:cstheme="minorHAnsi"/>
          <w:sz w:val="20"/>
          <w:szCs w:val="20"/>
        </w:rPr>
        <w:t xml:space="preserve">Výše plnění u těchto smluv vychází </w:t>
      </w:r>
      <w:r w:rsidR="0090147E">
        <w:rPr>
          <w:rFonts w:asciiTheme="minorHAnsi" w:eastAsia="Calibri" w:hAnsiTheme="minorHAnsi" w:cstheme="minorHAnsi"/>
          <w:sz w:val="20"/>
          <w:szCs w:val="20"/>
        </w:rPr>
        <w:t>z </w:t>
      </w:r>
      <w:r w:rsidR="00767143">
        <w:rPr>
          <w:rFonts w:asciiTheme="minorHAnsi" w:eastAsia="Calibri" w:hAnsiTheme="minorHAnsi" w:cstheme="minorHAnsi"/>
          <w:sz w:val="20"/>
          <w:szCs w:val="20"/>
        </w:rPr>
        <w:t>p</w:t>
      </w:r>
      <w:r w:rsidR="0090147E">
        <w:rPr>
          <w:rFonts w:asciiTheme="minorHAnsi" w:eastAsia="Calibri" w:hAnsiTheme="minorHAnsi" w:cstheme="minorHAnsi"/>
          <w:sz w:val="20"/>
          <w:szCs w:val="20"/>
        </w:rPr>
        <w:t xml:space="preserve">řílohy č. 2 – </w:t>
      </w:r>
      <w:r w:rsidR="0090147E" w:rsidRPr="00E3742D">
        <w:rPr>
          <w:rFonts w:asciiTheme="minorHAnsi" w:eastAsia="Calibri" w:hAnsiTheme="minorHAnsi" w:cstheme="minorHAnsi"/>
          <w:i/>
          <w:sz w:val="20"/>
          <w:szCs w:val="20"/>
        </w:rPr>
        <w:t>Informace o zakázce</w:t>
      </w:r>
      <w:r>
        <w:rPr>
          <w:rFonts w:asciiTheme="minorHAnsi" w:eastAsia="Calibri" w:hAnsiTheme="minorHAnsi" w:cstheme="minorHAnsi"/>
          <w:sz w:val="20"/>
          <w:szCs w:val="20"/>
        </w:rPr>
        <w:t xml:space="preserve">, kde je uvedena </w:t>
      </w:r>
      <w:r w:rsidR="007E144E">
        <w:rPr>
          <w:rFonts w:asciiTheme="minorHAnsi" w:eastAsia="Calibri" w:hAnsiTheme="minorHAnsi" w:cstheme="minorHAnsi"/>
          <w:sz w:val="20"/>
          <w:szCs w:val="20"/>
        </w:rPr>
        <w:br/>
      </w:r>
      <w:r>
        <w:rPr>
          <w:rFonts w:asciiTheme="minorHAnsi" w:eastAsia="Calibri" w:hAnsiTheme="minorHAnsi" w:cstheme="minorHAnsi"/>
          <w:sz w:val="20"/>
          <w:szCs w:val="20"/>
        </w:rPr>
        <w:t xml:space="preserve">předpokládaná výše </w:t>
      </w:r>
      <w:r w:rsidR="00ED127D">
        <w:rPr>
          <w:rFonts w:asciiTheme="minorHAnsi" w:eastAsia="Calibri" w:hAnsiTheme="minorHAnsi" w:cstheme="minorHAnsi"/>
          <w:sz w:val="20"/>
          <w:szCs w:val="20"/>
        </w:rPr>
        <w:t>celkového peněžitého plnění ze smlouvy</w:t>
      </w:r>
      <w:r>
        <w:rPr>
          <w:rFonts w:asciiTheme="minorHAnsi" w:eastAsia="Calibri" w:hAnsiTheme="minorHAnsi" w:cstheme="minorHAnsi"/>
          <w:sz w:val="20"/>
          <w:szCs w:val="20"/>
        </w:rPr>
        <w:t>, smlouvy obsahovaly měsíční plnění ve výši 32 000 Kč + odměn</w:t>
      </w:r>
      <w:r w:rsidR="00767143">
        <w:rPr>
          <w:rFonts w:asciiTheme="minorHAnsi" w:eastAsia="Calibri" w:hAnsiTheme="minorHAnsi" w:cstheme="minorHAnsi"/>
          <w:sz w:val="20"/>
          <w:szCs w:val="20"/>
        </w:rPr>
        <w:t>u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nad rámec smluvních 16 hod/měsíčně</w:t>
      </w:r>
      <w:r w:rsidR="00767143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497A1E9C" w14:textId="77777777" w:rsidR="008F19C1" w:rsidRDefault="009A2E19" w:rsidP="000F0C79">
      <w:pPr>
        <w:pStyle w:val="Odstavecseseznamem"/>
        <w:numPr>
          <w:ilvl w:val="0"/>
          <w:numId w:val="5"/>
        </w:numPr>
        <w:spacing w:before="120" w:after="0" w:line="240" w:lineRule="auto"/>
        <w:ind w:left="426"/>
        <w:rPr>
          <w:rFonts w:asciiTheme="minorHAnsi" w:eastAsia="Calibri" w:hAnsiTheme="minorHAnsi" w:cstheme="minorHAnsi"/>
          <w:sz w:val="24"/>
        </w:rPr>
      </w:pPr>
      <w:r w:rsidRPr="000F0C79">
        <w:rPr>
          <w:rFonts w:asciiTheme="minorHAnsi" w:eastAsia="Calibri" w:hAnsiTheme="minorHAnsi" w:cstheme="minorHAnsi"/>
          <w:sz w:val="24"/>
        </w:rPr>
        <w:t>NG uzavřela s </w:t>
      </w:r>
      <w:r w:rsidR="009A2248">
        <w:rPr>
          <w:rFonts w:asciiTheme="minorHAnsi" w:eastAsia="Calibri" w:hAnsiTheme="minorHAnsi" w:cstheme="minorHAnsi"/>
          <w:sz w:val="24"/>
        </w:rPr>
        <w:t>prvním</w:t>
      </w:r>
      <w:r w:rsidRPr="000F0C79">
        <w:rPr>
          <w:rFonts w:asciiTheme="minorHAnsi" w:eastAsia="Calibri" w:hAnsiTheme="minorHAnsi" w:cstheme="minorHAnsi"/>
          <w:sz w:val="24"/>
        </w:rPr>
        <w:t xml:space="preserve"> </w:t>
      </w:r>
      <w:r w:rsidR="000F0C79">
        <w:rPr>
          <w:rFonts w:asciiTheme="minorHAnsi" w:eastAsia="Calibri" w:hAnsiTheme="minorHAnsi" w:cstheme="minorHAnsi"/>
          <w:sz w:val="24"/>
        </w:rPr>
        <w:t>poskyto</w:t>
      </w:r>
      <w:r w:rsidRPr="000F0C79">
        <w:rPr>
          <w:rFonts w:asciiTheme="minorHAnsi" w:eastAsia="Calibri" w:hAnsiTheme="minorHAnsi" w:cstheme="minorHAnsi"/>
          <w:sz w:val="24"/>
        </w:rPr>
        <w:t xml:space="preserve">vatelem </w:t>
      </w:r>
      <w:r w:rsidR="00923973" w:rsidRPr="000F0C79">
        <w:rPr>
          <w:rFonts w:asciiTheme="minorHAnsi" w:eastAsia="Calibri" w:hAnsiTheme="minorHAnsi" w:cstheme="minorHAnsi"/>
          <w:sz w:val="24"/>
        </w:rPr>
        <w:t xml:space="preserve">obecných právních služeb </w:t>
      </w:r>
      <w:r w:rsidRPr="000F0C79">
        <w:rPr>
          <w:rFonts w:asciiTheme="minorHAnsi" w:eastAsia="Calibri" w:hAnsiTheme="minorHAnsi" w:cstheme="minorHAnsi"/>
          <w:sz w:val="24"/>
        </w:rPr>
        <w:t xml:space="preserve">dvě smlouvy na dobu určitou. </w:t>
      </w:r>
    </w:p>
    <w:p w14:paraId="6CF524A1" w14:textId="61CB43C4" w:rsidR="008F19C1" w:rsidRDefault="009A2E19" w:rsidP="008F19C1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0F0C79">
        <w:rPr>
          <w:rFonts w:asciiTheme="minorHAnsi" w:eastAsia="Calibri" w:hAnsiTheme="minorHAnsi" w:cstheme="minorHAnsi"/>
          <w:sz w:val="24"/>
        </w:rPr>
        <w:t>V </w:t>
      </w:r>
      <w:r w:rsidR="009A2248">
        <w:rPr>
          <w:rFonts w:asciiTheme="minorHAnsi" w:eastAsia="Calibri" w:hAnsiTheme="minorHAnsi" w:cstheme="minorHAnsi"/>
          <w:sz w:val="24"/>
        </w:rPr>
        <w:t>prvním</w:t>
      </w:r>
      <w:r w:rsidRPr="000F0C79">
        <w:rPr>
          <w:rFonts w:asciiTheme="minorHAnsi" w:eastAsia="Calibri" w:hAnsiTheme="minorHAnsi" w:cstheme="minorHAnsi"/>
          <w:sz w:val="24"/>
        </w:rPr>
        <w:t xml:space="preserve"> případě se jednalo o smlouvu s maximální odměnou 1 500 000 Kč bez DPH, která byla navýšena </w:t>
      </w:r>
      <w:r w:rsidR="000F0C79">
        <w:rPr>
          <w:rFonts w:asciiTheme="minorHAnsi" w:eastAsia="Calibri" w:hAnsiTheme="minorHAnsi" w:cstheme="minorHAnsi"/>
          <w:sz w:val="24"/>
        </w:rPr>
        <w:t>dvěma</w:t>
      </w:r>
      <w:r w:rsidRPr="000F0C79">
        <w:rPr>
          <w:rFonts w:asciiTheme="minorHAnsi" w:eastAsia="Calibri" w:hAnsiTheme="minorHAnsi" w:cstheme="minorHAnsi"/>
          <w:sz w:val="24"/>
        </w:rPr>
        <w:t xml:space="preserve"> dodatky až na 2 600 000 Kč bez DPH. Dodatky navýšily celkovou výši odměny o 73 % oproti původně sjednané odměn</w:t>
      </w:r>
      <w:r w:rsidR="00767143">
        <w:rPr>
          <w:rFonts w:asciiTheme="minorHAnsi" w:eastAsia="Calibri" w:hAnsiTheme="minorHAnsi" w:cstheme="minorHAnsi"/>
          <w:sz w:val="24"/>
        </w:rPr>
        <w:t>ě</w:t>
      </w:r>
      <w:r w:rsidRPr="000F0C79">
        <w:rPr>
          <w:rFonts w:asciiTheme="minorHAnsi" w:eastAsia="Calibri" w:hAnsiTheme="minorHAnsi" w:cstheme="minorHAnsi"/>
          <w:sz w:val="24"/>
        </w:rPr>
        <w:t xml:space="preserve">. </w:t>
      </w:r>
      <w:r w:rsidR="009A2248">
        <w:rPr>
          <w:rFonts w:asciiTheme="minorHAnsi" w:eastAsia="Calibri" w:hAnsiTheme="minorHAnsi" w:cstheme="minorHAnsi"/>
          <w:sz w:val="24"/>
        </w:rPr>
        <w:t xml:space="preserve">Z tabulky </w:t>
      </w:r>
      <w:r w:rsidR="00F7622B">
        <w:rPr>
          <w:rFonts w:asciiTheme="minorHAnsi" w:eastAsia="Calibri" w:hAnsiTheme="minorHAnsi" w:cstheme="minorHAnsi"/>
          <w:sz w:val="24"/>
        </w:rPr>
        <w:t xml:space="preserve">č. </w:t>
      </w:r>
      <w:r w:rsidR="00C005BB">
        <w:rPr>
          <w:rFonts w:asciiTheme="minorHAnsi" w:eastAsia="Calibri" w:hAnsiTheme="minorHAnsi" w:cstheme="minorHAnsi"/>
          <w:sz w:val="24"/>
        </w:rPr>
        <w:t>3</w:t>
      </w:r>
      <w:r w:rsidR="009A2248">
        <w:rPr>
          <w:rFonts w:asciiTheme="minorHAnsi" w:eastAsia="Calibri" w:hAnsiTheme="minorHAnsi" w:cstheme="minorHAnsi"/>
          <w:sz w:val="24"/>
        </w:rPr>
        <w:t xml:space="preserve"> je patrné, že NG</w:t>
      </w:r>
      <w:r w:rsidRPr="000F0C79">
        <w:rPr>
          <w:rFonts w:asciiTheme="minorHAnsi" w:eastAsia="Calibri" w:hAnsiTheme="minorHAnsi" w:cstheme="minorHAnsi"/>
          <w:sz w:val="24"/>
        </w:rPr>
        <w:t xml:space="preserve"> </w:t>
      </w:r>
      <w:r w:rsidR="00767143">
        <w:rPr>
          <w:rFonts w:asciiTheme="minorHAnsi" w:eastAsia="Calibri" w:hAnsiTheme="minorHAnsi" w:cstheme="minorHAnsi"/>
          <w:sz w:val="24"/>
        </w:rPr>
        <w:t xml:space="preserve">na </w:t>
      </w:r>
      <w:r w:rsidRPr="000F0C79">
        <w:rPr>
          <w:rFonts w:asciiTheme="minorHAnsi" w:eastAsia="Calibri" w:hAnsiTheme="minorHAnsi" w:cstheme="minorHAnsi"/>
          <w:sz w:val="24"/>
        </w:rPr>
        <w:t xml:space="preserve">základě této smlouvy uhradila 2 972 912 Kč bez DPH, což je </w:t>
      </w:r>
      <w:r w:rsidR="008C4716">
        <w:rPr>
          <w:rFonts w:asciiTheme="minorHAnsi" w:eastAsia="Calibri" w:hAnsiTheme="minorHAnsi" w:cstheme="minorHAnsi"/>
          <w:sz w:val="24"/>
        </w:rPr>
        <w:t>o</w:t>
      </w:r>
      <w:r w:rsidR="007A7663">
        <w:rPr>
          <w:rFonts w:asciiTheme="minorHAnsi" w:eastAsia="Calibri" w:hAnsiTheme="minorHAnsi" w:cstheme="minorHAnsi"/>
          <w:sz w:val="24"/>
        </w:rPr>
        <w:t> </w:t>
      </w:r>
      <w:r w:rsidRPr="000F0C79">
        <w:rPr>
          <w:rFonts w:asciiTheme="minorHAnsi" w:eastAsia="Calibri" w:hAnsiTheme="minorHAnsi" w:cstheme="minorHAnsi"/>
          <w:sz w:val="24"/>
        </w:rPr>
        <w:t>372</w:t>
      </w:r>
      <w:r w:rsidR="00145F9E">
        <w:rPr>
          <w:rFonts w:asciiTheme="minorHAnsi" w:eastAsia="Calibri" w:hAnsiTheme="minorHAnsi" w:cstheme="minorHAnsi"/>
          <w:sz w:val="24"/>
        </w:rPr>
        <w:t> </w:t>
      </w:r>
      <w:r w:rsidRPr="000F0C79">
        <w:rPr>
          <w:rFonts w:asciiTheme="minorHAnsi" w:eastAsia="Calibri" w:hAnsiTheme="minorHAnsi" w:cstheme="minorHAnsi"/>
          <w:sz w:val="24"/>
        </w:rPr>
        <w:t>912</w:t>
      </w:r>
      <w:r w:rsidR="00145F9E">
        <w:rPr>
          <w:rFonts w:asciiTheme="minorHAnsi" w:eastAsia="Calibri" w:hAnsiTheme="minorHAnsi" w:cstheme="minorHAnsi"/>
          <w:sz w:val="24"/>
        </w:rPr>
        <w:t> </w:t>
      </w:r>
      <w:r w:rsidRPr="000F0C79">
        <w:rPr>
          <w:rFonts w:asciiTheme="minorHAnsi" w:eastAsia="Calibri" w:hAnsiTheme="minorHAnsi" w:cstheme="minorHAnsi"/>
          <w:sz w:val="24"/>
        </w:rPr>
        <w:t xml:space="preserve">Kč bez DPH </w:t>
      </w:r>
      <w:r w:rsidR="00767143">
        <w:rPr>
          <w:rFonts w:asciiTheme="minorHAnsi" w:eastAsia="Calibri" w:hAnsiTheme="minorHAnsi" w:cstheme="minorHAnsi"/>
          <w:sz w:val="24"/>
        </w:rPr>
        <w:t>více, než kolik činila odměna</w:t>
      </w:r>
      <w:r w:rsidRPr="000F0C79">
        <w:rPr>
          <w:rFonts w:asciiTheme="minorHAnsi" w:eastAsia="Calibri" w:hAnsiTheme="minorHAnsi" w:cstheme="minorHAnsi"/>
          <w:sz w:val="24"/>
        </w:rPr>
        <w:t xml:space="preserve"> sjednan</w:t>
      </w:r>
      <w:r w:rsidR="00767143">
        <w:rPr>
          <w:rFonts w:asciiTheme="minorHAnsi" w:eastAsia="Calibri" w:hAnsiTheme="minorHAnsi" w:cstheme="minorHAnsi"/>
          <w:sz w:val="24"/>
        </w:rPr>
        <w:t>á</w:t>
      </w:r>
      <w:r w:rsidRPr="000F0C79">
        <w:rPr>
          <w:rFonts w:asciiTheme="minorHAnsi" w:eastAsia="Calibri" w:hAnsiTheme="minorHAnsi" w:cstheme="minorHAnsi"/>
          <w:sz w:val="24"/>
        </w:rPr>
        <w:t xml:space="preserve"> smlouv</w:t>
      </w:r>
      <w:r w:rsidR="003D4C8F" w:rsidRPr="000F0C79">
        <w:rPr>
          <w:rFonts w:asciiTheme="minorHAnsi" w:eastAsia="Calibri" w:hAnsiTheme="minorHAnsi" w:cstheme="minorHAnsi"/>
          <w:sz w:val="24"/>
        </w:rPr>
        <w:t>ou</w:t>
      </w:r>
      <w:r w:rsidRPr="000F0C79">
        <w:rPr>
          <w:rFonts w:asciiTheme="minorHAnsi" w:eastAsia="Calibri" w:hAnsiTheme="minorHAnsi" w:cstheme="minorHAnsi"/>
          <w:sz w:val="24"/>
        </w:rPr>
        <w:t xml:space="preserve"> </w:t>
      </w:r>
      <w:r w:rsidR="00767143">
        <w:rPr>
          <w:rFonts w:asciiTheme="minorHAnsi" w:eastAsia="Calibri" w:hAnsiTheme="minorHAnsi" w:cstheme="minorHAnsi"/>
          <w:sz w:val="24"/>
        </w:rPr>
        <w:t>a</w:t>
      </w:r>
      <w:r w:rsidR="00753D07">
        <w:rPr>
          <w:rFonts w:asciiTheme="minorHAnsi" w:eastAsia="Calibri" w:hAnsiTheme="minorHAnsi" w:cstheme="minorHAnsi"/>
          <w:sz w:val="24"/>
        </w:rPr>
        <w:t xml:space="preserve"> </w:t>
      </w:r>
      <w:r w:rsidRPr="000F0C79">
        <w:rPr>
          <w:rFonts w:asciiTheme="minorHAnsi" w:eastAsia="Calibri" w:hAnsiTheme="minorHAnsi" w:cstheme="minorHAnsi"/>
          <w:sz w:val="24"/>
        </w:rPr>
        <w:t>oběma dodatky.</w:t>
      </w:r>
    </w:p>
    <w:p w14:paraId="138B2C27" w14:textId="140971B6" w:rsidR="00355AAA" w:rsidRPr="000F0C79" w:rsidRDefault="00355AAA" w:rsidP="008F19C1">
      <w:pPr>
        <w:pStyle w:val="Odstavecseseznamem"/>
        <w:numPr>
          <w:ilvl w:val="0"/>
          <w:numId w:val="7"/>
        </w:num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0F0C79">
        <w:rPr>
          <w:rFonts w:asciiTheme="minorHAnsi" w:eastAsia="Calibri" w:hAnsiTheme="minorHAnsi" w:cstheme="minorHAnsi"/>
          <w:sz w:val="24"/>
        </w:rPr>
        <w:t>V druhém případě se jednalo o smlouvu s maximální výš</w:t>
      </w:r>
      <w:r w:rsidR="00767143">
        <w:rPr>
          <w:rFonts w:asciiTheme="minorHAnsi" w:eastAsia="Calibri" w:hAnsiTheme="minorHAnsi" w:cstheme="minorHAnsi"/>
          <w:sz w:val="24"/>
        </w:rPr>
        <w:t>í</w:t>
      </w:r>
      <w:r w:rsidRPr="000F0C79">
        <w:rPr>
          <w:rFonts w:asciiTheme="minorHAnsi" w:eastAsia="Calibri" w:hAnsiTheme="minorHAnsi" w:cstheme="minorHAnsi"/>
          <w:sz w:val="24"/>
        </w:rPr>
        <w:t xml:space="preserve"> plnění 500 000 Kč bez DPH. NG uhradila 340 062 Kč bez DPH </w:t>
      </w:r>
      <w:r w:rsidR="00767143">
        <w:rPr>
          <w:rFonts w:asciiTheme="minorHAnsi" w:eastAsia="Calibri" w:hAnsiTheme="minorHAnsi" w:cstheme="minorHAnsi"/>
          <w:sz w:val="24"/>
        </w:rPr>
        <w:t>(</w:t>
      </w:r>
      <w:r w:rsidRPr="000F0C79">
        <w:rPr>
          <w:rFonts w:asciiTheme="minorHAnsi" w:eastAsia="Calibri" w:hAnsiTheme="minorHAnsi" w:cstheme="minorHAnsi"/>
          <w:sz w:val="24"/>
        </w:rPr>
        <w:t>tj. 411 475 Kč včetně DPH</w:t>
      </w:r>
      <w:r w:rsidR="00767143">
        <w:rPr>
          <w:rFonts w:asciiTheme="minorHAnsi" w:eastAsia="Calibri" w:hAnsiTheme="minorHAnsi" w:cstheme="minorHAnsi"/>
          <w:sz w:val="24"/>
        </w:rPr>
        <w:t>)</w:t>
      </w:r>
      <w:r w:rsidRPr="000F0C79">
        <w:rPr>
          <w:rFonts w:asciiTheme="minorHAnsi" w:eastAsia="Calibri" w:hAnsiTheme="minorHAnsi" w:cstheme="minorHAnsi"/>
          <w:sz w:val="24"/>
        </w:rPr>
        <w:t xml:space="preserve"> za plnění poskytnut</w:t>
      </w:r>
      <w:r w:rsidR="00ED127D">
        <w:rPr>
          <w:rFonts w:asciiTheme="minorHAnsi" w:eastAsia="Calibri" w:hAnsiTheme="minorHAnsi" w:cstheme="minorHAnsi"/>
          <w:sz w:val="24"/>
        </w:rPr>
        <w:t>á</w:t>
      </w:r>
      <w:r w:rsidRPr="000F0C79">
        <w:rPr>
          <w:rFonts w:asciiTheme="minorHAnsi" w:eastAsia="Calibri" w:hAnsiTheme="minorHAnsi" w:cstheme="minorHAnsi"/>
          <w:sz w:val="24"/>
        </w:rPr>
        <w:t xml:space="preserve"> na základě této smlouvy.</w:t>
      </w:r>
    </w:p>
    <w:p w14:paraId="5D298ACA" w14:textId="53B56B05" w:rsidR="009A2E19" w:rsidRPr="009F3EEA" w:rsidRDefault="00763AD6" w:rsidP="009F3EEA">
      <w:pPr>
        <w:pStyle w:val="Odstavecseseznamem"/>
        <w:spacing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NG</w:t>
      </w:r>
      <w:r w:rsidR="009A2E19" w:rsidRPr="001D2650">
        <w:rPr>
          <w:rFonts w:asciiTheme="minorHAnsi" w:eastAsia="Calibri" w:hAnsiTheme="minorHAnsi" w:cstheme="minorHAnsi"/>
          <w:sz w:val="24"/>
        </w:rPr>
        <w:t xml:space="preserve"> nepostupovala v souladu s</w:t>
      </w:r>
      <w:r w:rsidR="009F3EEA" w:rsidRPr="001D2650">
        <w:rPr>
          <w:rFonts w:asciiTheme="minorHAnsi" w:eastAsia="Calibri" w:hAnsiTheme="minorHAnsi" w:cstheme="minorHAnsi"/>
          <w:sz w:val="24"/>
        </w:rPr>
        <w:t> ustanovením zákona o registru smluv, který</w:t>
      </w:r>
      <w:r w:rsidR="009A2E19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9F3EEA" w:rsidRPr="001D2650">
        <w:rPr>
          <w:rFonts w:asciiTheme="minorHAnsi" w:eastAsia="Calibri" w:hAnsiTheme="minorHAnsi" w:cstheme="minorHAnsi"/>
          <w:sz w:val="24"/>
        </w:rPr>
        <w:t>stanov</w:t>
      </w:r>
      <w:r>
        <w:rPr>
          <w:rFonts w:asciiTheme="minorHAnsi" w:eastAsia="Calibri" w:hAnsiTheme="minorHAnsi" w:cstheme="minorHAnsi"/>
          <w:sz w:val="24"/>
        </w:rPr>
        <w:t>í</w:t>
      </w:r>
      <w:r w:rsidR="009F3EEA" w:rsidRPr="001D2650">
        <w:rPr>
          <w:rFonts w:asciiTheme="minorHAnsi" w:eastAsia="Calibri" w:hAnsiTheme="minorHAnsi" w:cstheme="minorHAnsi"/>
          <w:sz w:val="24"/>
        </w:rPr>
        <w:t xml:space="preserve">, že smlouva, </w:t>
      </w:r>
      <w:r w:rsidR="00ED127D">
        <w:rPr>
          <w:rFonts w:asciiTheme="minorHAnsi" w:eastAsia="Calibri" w:hAnsiTheme="minorHAnsi" w:cstheme="minorHAnsi"/>
          <w:sz w:val="24"/>
        </w:rPr>
        <w:t>která</w:t>
      </w:r>
      <w:r w:rsidR="009F3EEA" w:rsidRPr="001D2650">
        <w:rPr>
          <w:rFonts w:asciiTheme="minorHAnsi" w:eastAsia="Calibri" w:hAnsiTheme="minorHAnsi" w:cstheme="minorHAnsi"/>
          <w:sz w:val="24"/>
        </w:rPr>
        <w:t xml:space="preserve"> podléhá </w:t>
      </w:r>
      <w:r w:rsidR="00FE02F1">
        <w:rPr>
          <w:rFonts w:asciiTheme="minorHAnsi" w:eastAsia="Calibri" w:hAnsiTheme="minorHAnsi" w:cstheme="minorHAnsi"/>
          <w:sz w:val="24"/>
        </w:rPr>
        <w:t>u</w:t>
      </w:r>
      <w:r w:rsidR="009F3EEA" w:rsidRPr="001D2650">
        <w:rPr>
          <w:rFonts w:asciiTheme="minorHAnsi" w:eastAsia="Calibri" w:hAnsiTheme="minorHAnsi" w:cstheme="minorHAnsi"/>
          <w:sz w:val="24"/>
        </w:rPr>
        <w:t>veřejnění v registru, nabývá účinnosti dnem uveřejnění</w:t>
      </w:r>
      <w:r w:rsidR="00FE02F1">
        <w:rPr>
          <w:rStyle w:val="Znakapoznpodarou"/>
          <w:rFonts w:asciiTheme="minorHAnsi" w:eastAsia="Calibri" w:hAnsiTheme="minorHAnsi" w:cstheme="minorHAnsi"/>
          <w:sz w:val="24"/>
        </w:rPr>
        <w:footnoteReference w:id="16"/>
      </w:r>
      <w:r w:rsidR="009F3EEA" w:rsidRPr="001D2650">
        <w:rPr>
          <w:rFonts w:asciiTheme="minorHAnsi" w:eastAsia="Calibri" w:hAnsiTheme="minorHAnsi" w:cstheme="minorHAnsi"/>
          <w:sz w:val="24"/>
        </w:rPr>
        <w:t xml:space="preserve"> v tomto registru.</w:t>
      </w:r>
      <w:r w:rsidR="00355AAA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ED127D">
        <w:rPr>
          <w:rFonts w:asciiTheme="minorHAnsi" w:eastAsia="Calibri" w:hAnsiTheme="minorHAnsi" w:cstheme="minorHAnsi"/>
          <w:sz w:val="24"/>
        </w:rPr>
        <w:t>NG v</w:t>
      </w:r>
      <w:r w:rsidR="00355AAA" w:rsidRPr="001D2650">
        <w:rPr>
          <w:rFonts w:asciiTheme="minorHAnsi" w:eastAsia="Calibri" w:hAnsiTheme="minorHAnsi" w:cstheme="minorHAnsi"/>
          <w:sz w:val="24"/>
        </w:rPr>
        <w:t> prvním případě</w:t>
      </w:r>
      <w:r w:rsidR="009A2E19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355AAA" w:rsidRPr="001D2650">
        <w:rPr>
          <w:rFonts w:asciiTheme="minorHAnsi" w:eastAsia="Calibri" w:hAnsiTheme="minorHAnsi" w:cstheme="minorHAnsi"/>
          <w:sz w:val="24"/>
        </w:rPr>
        <w:t xml:space="preserve">sjednala účinnost </w:t>
      </w:r>
      <w:r w:rsidR="009A2E19" w:rsidRPr="001D2650">
        <w:rPr>
          <w:rFonts w:asciiTheme="minorHAnsi" w:eastAsia="Calibri" w:hAnsiTheme="minorHAnsi" w:cstheme="minorHAnsi"/>
          <w:sz w:val="24"/>
        </w:rPr>
        <w:t>ke dni podpisu smlouvy</w:t>
      </w:r>
      <w:r w:rsidR="00355AAA" w:rsidRPr="001D2650">
        <w:rPr>
          <w:rFonts w:asciiTheme="minorHAnsi" w:eastAsia="Calibri" w:hAnsiTheme="minorHAnsi" w:cstheme="minorHAnsi"/>
          <w:sz w:val="24"/>
        </w:rPr>
        <w:t xml:space="preserve"> a</w:t>
      </w:r>
      <w:r w:rsidR="0006390C">
        <w:rPr>
          <w:rFonts w:asciiTheme="minorHAnsi" w:eastAsia="Calibri" w:hAnsiTheme="minorHAnsi" w:cstheme="minorHAnsi"/>
          <w:sz w:val="24"/>
        </w:rPr>
        <w:t> </w:t>
      </w:r>
      <w:r w:rsidR="00355AAA" w:rsidRPr="001D2650">
        <w:rPr>
          <w:rFonts w:asciiTheme="minorHAnsi" w:eastAsia="Calibri" w:hAnsiTheme="minorHAnsi" w:cstheme="minorHAnsi"/>
          <w:sz w:val="24"/>
        </w:rPr>
        <w:t>v druhém případě</w:t>
      </w:r>
      <w:r w:rsidR="009A2E19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831750">
        <w:rPr>
          <w:rFonts w:asciiTheme="minorHAnsi" w:eastAsia="Calibri" w:hAnsiTheme="minorHAnsi" w:cstheme="minorHAnsi"/>
          <w:sz w:val="24"/>
        </w:rPr>
        <w:t xml:space="preserve">sjednala </w:t>
      </w:r>
      <w:r w:rsidR="00355AAA" w:rsidRPr="001D2650">
        <w:rPr>
          <w:rFonts w:asciiTheme="minorHAnsi" w:eastAsia="Calibri" w:hAnsiTheme="minorHAnsi" w:cstheme="minorHAnsi"/>
          <w:sz w:val="24"/>
        </w:rPr>
        <w:t xml:space="preserve">zpětnou účinnost smlouvy, </w:t>
      </w:r>
      <w:r w:rsidR="00753D07">
        <w:rPr>
          <w:rFonts w:asciiTheme="minorHAnsi" w:eastAsia="Calibri" w:hAnsiTheme="minorHAnsi" w:cstheme="minorHAnsi"/>
          <w:sz w:val="24"/>
        </w:rPr>
        <w:t>což</w:t>
      </w:r>
      <w:r w:rsidR="00355AAA" w:rsidRPr="001D2650">
        <w:rPr>
          <w:rFonts w:asciiTheme="minorHAnsi" w:eastAsia="Calibri" w:hAnsiTheme="minorHAnsi" w:cstheme="minorHAnsi"/>
          <w:sz w:val="24"/>
        </w:rPr>
        <w:t xml:space="preserve"> je </w:t>
      </w:r>
      <w:r w:rsidR="009A2E19" w:rsidRPr="001D2650">
        <w:rPr>
          <w:rFonts w:asciiTheme="minorHAnsi" w:eastAsia="Calibri" w:hAnsiTheme="minorHAnsi" w:cstheme="minorHAnsi"/>
          <w:sz w:val="24"/>
        </w:rPr>
        <w:t>v rozporu s ustanovením zákona</w:t>
      </w:r>
      <w:r w:rsidR="008C4716">
        <w:rPr>
          <w:rFonts w:asciiTheme="minorHAnsi" w:eastAsia="Calibri" w:hAnsiTheme="minorHAnsi" w:cstheme="minorHAnsi"/>
          <w:sz w:val="24"/>
        </w:rPr>
        <w:t xml:space="preserve"> o registru smluv</w:t>
      </w:r>
      <w:r w:rsidR="009A2E19" w:rsidRPr="001D2650">
        <w:rPr>
          <w:rFonts w:asciiTheme="minorHAnsi" w:eastAsia="Calibri" w:hAnsiTheme="minorHAnsi" w:cstheme="minorHAnsi"/>
          <w:sz w:val="24"/>
        </w:rPr>
        <w:t>.</w:t>
      </w:r>
      <w:r w:rsidR="008C6C24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9F3EEA" w:rsidRPr="001D2650">
        <w:rPr>
          <w:rFonts w:asciiTheme="minorHAnsi" w:eastAsia="Calibri" w:hAnsiTheme="minorHAnsi" w:cstheme="minorHAnsi"/>
          <w:sz w:val="24"/>
        </w:rPr>
        <w:t xml:space="preserve">NG nezaslala správci registru smluv k </w:t>
      </w:r>
      <w:r w:rsidR="001D2650" w:rsidRPr="001D2650">
        <w:rPr>
          <w:rFonts w:asciiTheme="minorHAnsi" w:eastAsia="Calibri" w:hAnsiTheme="minorHAnsi" w:cstheme="minorHAnsi"/>
          <w:sz w:val="24"/>
        </w:rPr>
        <w:t>u</w:t>
      </w:r>
      <w:r w:rsidR="009F3EEA" w:rsidRPr="001D2650">
        <w:rPr>
          <w:rFonts w:asciiTheme="minorHAnsi" w:eastAsia="Calibri" w:hAnsiTheme="minorHAnsi" w:cstheme="minorHAnsi"/>
          <w:sz w:val="24"/>
        </w:rPr>
        <w:t xml:space="preserve">veřejnění druhou smlouvu </w:t>
      </w:r>
      <w:r w:rsidR="001D2650" w:rsidRPr="001D2650">
        <w:rPr>
          <w:rFonts w:asciiTheme="minorHAnsi" w:eastAsia="Calibri" w:hAnsiTheme="minorHAnsi" w:cstheme="minorHAnsi"/>
          <w:sz w:val="24"/>
        </w:rPr>
        <w:t>s</w:t>
      </w:r>
      <w:r w:rsidR="009A2248" w:rsidRPr="001D2650">
        <w:rPr>
          <w:rFonts w:asciiTheme="minorHAnsi" w:eastAsia="Calibri" w:hAnsiTheme="minorHAnsi" w:cstheme="minorHAnsi"/>
          <w:sz w:val="24"/>
        </w:rPr>
        <w:t xml:space="preserve"> uveden</w:t>
      </w:r>
      <w:r w:rsidR="001D2650" w:rsidRPr="001D2650">
        <w:rPr>
          <w:rFonts w:asciiTheme="minorHAnsi" w:eastAsia="Calibri" w:hAnsiTheme="minorHAnsi" w:cstheme="minorHAnsi"/>
          <w:sz w:val="24"/>
        </w:rPr>
        <w:t>ou</w:t>
      </w:r>
      <w:r w:rsidR="009A2248" w:rsidRPr="001D2650">
        <w:rPr>
          <w:rFonts w:asciiTheme="minorHAnsi" w:eastAsia="Calibri" w:hAnsiTheme="minorHAnsi" w:cstheme="minorHAnsi"/>
          <w:sz w:val="24"/>
        </w:rPr>
        <w:t xml:space="preserve"> hodnot</w:t>
      </w:r>
      <w:r w:rsidR="001D2650" w:rsidRPr="001D2650">
        <w:rPr>
          <w:rFonts w:asciiTheme="minorHAnsi" w:eastAsia="Calibri" w:hAnsiTheme="minorHAnsi" w:cstheme="minorHAnsi"/>
          <w:sz w:val="24"/>
        </w:rPr>
        <w:t>ou</w:t>
      </w:r>
      <w:r w:rsidR="009A2248" w:rsidRPr="001D2650">
        <w:rPr>
          <w:rFonts w:asciiTheme="minorHAnsi" w:eastAsia="Calibri" w:hAnsiTheme="minorHAnsi" w:cstheme="minorHAnsi"/>
          <w:sz w:val="24"/>
        </w:rPr>
        <w:t xml:space="preserve"> předmětu smlouvy</w:t>
      </w:r>
      <w:r w:rsidR="008C4716">
        <w:rPr>
          <w:rFonts w:asciiTheme="minorHAnsi" w:eastAsia="Calibri" w:hAnsiTheme="minorHAnsi" w:cstheme="minorHAnsi"/>
          <w:sz w:val="24"/>
        </w:rPr>
        <w:t>.</w:t>
      </w:r>
      <w:r w:rsidR="00355AAA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8C4716">
        <w:rPr>
          <w:rFonts w:asciiTheme="minorHAnsi" w:eastAsia="Calibri" w:hAnsiTheme="minorHAnsi" w:cstheme="minorHAnsi"/>
          <w:sz w:val="24"/>
        </w:rPr>
        <w:t>Hodnota předmětu smlouvy</w:t>
      </w:r>
      <w:r w:rsidR="001D2650" w:rsidRPr="001D2650">
        <w:rPr>
          <w:rFonts w:asciiTheme="minorHAnsi" w:eastAsia="Calibri" w:hAnsiTheme="minorHAnsi" w:cstheme="minorHAnsi"/>
          <w:sz w:val="24"/>
        </w:rPr>
        <w:t xml:space="preserve"> patří </w:t>
      </w:r>
      <w:r w:rsidR="001D2650" w:rsidRPr="001D2650">
        <w:rPr>
          <w:rFonts w:asciiTheme="minorHAnsi" w:eastAsia="Calibri" w:hAnsiTheme="minorHAnsi" w:cstheme="minorHAnsi"/>
          <w:sz w:val="24"/>
        </w:rPr>
        <w:lastRenderedPageBreak/>
        <w:t xml:space="preserve">mezi povinně zveřejňovaná </w:t>
      </w:r>
      <w:proofErr w:type="spellStart"/>
      <w:r w:rsidR="001D2650" w:rsidRPr="001D2650">
        <w:rPr>
          <w:rFonts w:asciiTheme="minorHAnsi" w:eastAsia="Calibri" w:hAnsiTheme="minorHAnsi" w:cstheme="minorHAnsi"/>
          <w:sz w:val="24"/>
        </w:rPr>
        <w:t>metadata</w:t>
      </w:r>
      <w:proofErr w:type="spellEnd"/>
      <w:r w:rsidR="00D26F51">
        <w:rPr>
          <w:rStyle w:val="Znakapoznpodarou"/>
          <w:rFonts w:asciiTheme="minorHAnsi" w:eastAsia="Calibri" w:hAnsiTheme="minorHAnsi" w:cstheme="minorHAnsi"/>
          <w:sz w:val="24"/>
        </w:rPr>
        <w:footnoteReference w:id="17"/>
      </w:r>
      <w:r w:rsidR="00753D07">
        <w:rPr>
          <w:rFonts w:asciiTheme="minorHAnsi" w:eastAsia="Calibri" w:hAnsiTheme="minorHAnsi" w:cstheme="minorHAnsi"/>
          <w:sz w:val="24"/>
        </w:rPr>
        <w:t>,</w:t>
      </w:r>
      <w:r w:rsidR="001D2650" w:rsidRPr="001D2650">
        <w:rPr>
          <w:rFonts w:asciiTheme="minorHAnsi" w:eastAsia="Calibri" w:hAnsiTheme="minorHAnsi" w:cstheme="minorHAnsi"/>
          <w:sz w:val="24"/>
        </w:rPr>
        <w:t xml:space="preserve"> bez jejich</w:t>
      </w:r>
      <w:r w:rsidR="00753D07">
        <w:rPr>
          <w:rFonts w:asciiTheme="minorHAnsi" w:eastAsia="Calibri" w:hAnsiTheme="minorHAnsi" w:cstheme="minorHAnsi"/>
          <w:sz w:val="24"/>
        </w:rPr>
        <w:t>ž</w:t>
      </w:r>
      <w:r w:rsidR="009F4CD2" w:rsidRPr="001D2650">
        <w:rPr>
          <w:rFonts w:asciiTheme="minorHAnsi" w:eastAsia="Calibri" w:hAnsiTheme="minorHAnsi" w:cstheme="minorHAnsi"/>
          <w:sz w:val="24"/>
        </w:rPr>
        <w:t xml:space="preserve"> uveřejnění v</w:t>
      </w:r>
      <w:r w:rsidR="001D2650" w:rsidRPr="001D2650">
        <w:rPr>
          <w:rFonts w:asciiTheme="minorHAnsi" w:eastAsia="Calibri" w:hAnsiTheme="minorHAnsi" w:cstheme="minorHAnsi"/>
          <w:sz w:val="24"/>
        </w:rPr>
        <w:t> </w:t>
      </w:r>
      <w:r w:rsidR="009F4CD2" w:rsidRPr="001D2650">
        <w:rPr>
          <w:rFonts w:asciiTheme="minorHAnsi" w:eastAsia="Calibri" w:hAnsiTheme="minorHAnsi" w:cstheme="minorHAnsi"/>
          <w:sz w:val="24"/>
        </w:rPr>
        <w:t>registru</w:t>
      </w:r>
      <w:r w:rsidR="001D2650" w:rsidRPr="001D2650">
        <w:rPr>
          <w:rFonts w:asciiTheme="minorHAnsi" w:eastAsia="Calibri" w:hAnsiTheme="minorHAnsi" w:cstheme="minorHAnsi"/>
          <w:sz w:val="24"/>
        </w:rPr>
        <w:t xml:space="preserve"> smluv se smlouva považuje za neuveřejněnou a je zrušena od po</w:t>
      </w:r>
      <w:r w:rsidR="009F4CD2" w:rsidRPr="001D2650">
        <w:rPr>
          <w:rFonts w:asciiTheme="minorHAnsi" w:eastAsia="Calibri" w:hAnsiTheme="minorHAnsi" w:cstheme="minorHAnsi"/>
          <w:sz w:val="24"/>
        </w:rPr>
        <w:t>čátku</w:t>
      </w:r>
      <w:r w:rsidR="00D26F51">
        <w:rPr>
          <w:rStyle w:val="Znakapoznpodarou"/>
          <w:rFonts w:asciiTheme="minorHAnsi" w:eastAsia="Calibri" w:hAnsiTheme="minorHAnsi" w:cstheme="minorHAnsi"/>
          <w:sz w:val="24"/>
        </w:rPr>
        <w:footnoteReference w:id="18"/>
      </w:r>
      <w:r w:rsidR="009F4CD2" w:rsidRPr="001D2650">
        <w:rPr>
          <w:rFonts w:asciiTheme="minorHAnsi" w:eastAsia="Calibri" w:hAnsiTheme="minorHAnsi" w:cstheme="minorHAnsi"/>
          <w:sz w:val="24"/>
        </w:rPr>
        <w:t>.</w:t>
      </w:r>
    </w:p>
    <w:p w14:paraId="1DBE512F" w14:textId="24AB9C5F" w:rsidR="004C7A73" w:rsidRPr="000F0C79" w:rsidRDefault="00923973" w:rsidP="000F0C79">
      <w:pPr>
        <w:pStyle w:val="Odstavecseseznamem"/>
        <w:numPr>
          <w:ilvl w:val="0"/>
          <w:numId w:val="5"/>
        </w:numPr>
        <w:spacing w:before="120" w:after="0" w:line="240" w:lineRule="auto"/>
        <w:ind w:left="426" w:hanging="357"/>
        <w:contextualSpacing w:val="0"/>
        <w:rPr>
          <w:rFonts w:asciiTheme="minorHAnsi" w:hAnsiTheme="minorHAnsi" w:cstheme="minorHAnsi"/>
          <w:sz w:val="24"/>
        </w:rPr>
      </w:pPr>
      <w:r w:rsidRPr="000F0C79">
        <w:rPr>
          <w:rFonts w:asciiTheme="minorHAnsi" w:hAnsiTheme="minorHAnsi" w:cstheme="minorHAnsi"/>
          <w:sz w:val="24"/>
        </w:rPr>
        <w:t>S d</w:t>
      </w:r>
      <w:r w:rsidR="00753D07">
        <w:rPr>
          <w:rFonts w:asciiTheme="minorHAnsi" w:hAnsiTheme="minorHAnsi" w:cstheme="minorHAnsi"/>
          <w:sz w:val="24"/>
        </w:rPr>
        <w:t>ruhým</w:t>
      </w:r>
      <w:r w:rsidRPr="000F0C79">
        <w:rPr>
          <w:rFonts w:asciiTheme="minorHAnsi" w:hAnsiTheme="minorHAnsi" w:cstheme="minorHAnsi"/>
          <w:sz w:val="24"/>
        </w:rPr>
        <w:t xml:space="preserve"> </w:t>
      </w:r>
      <w:r w:rsidR="000F0C79">
        <w:rPr>
          <w:rFonts w:asciiTheme="minorHAnsi" w:hAnsiTheme="minorHAnsi" w:cstheme="minorHAnsi"/>
          <w:sz w:val="24"/>
        </w:rPr>
        <w:t>poskytova</w:t>
      </w:r>
      <w:r w:rsidRPr="000F0C79">
        <w:rPr>
          <w:rFonts w:asciiTheme="minorHAnsi" w:hAnsiTheme="minorHAnsi" w:cstheme="minorHAnsi"/>
          <w:sz w:val="24"/>
        </w:rPr>
        <w:t xml:space="preserve">telem obecných právních služeb uzavřela </w:t>
      </w:r>
      <w:r w:rsidR="00753D07" w:rsidRPr="000F0C79">
        <w:rPr>
          <w:rFonts w:asciiTheme="minorHAnsi" w:hAnsiTheme="minorHAnsi" w:cstheme="minorHAnsi"/>
          <w:sz w:val="24"/>
        </w:rPr>
        <w:t xml:space="preserve">NG </w:t>
      </w:r>
      <w:r w:rsidR="006C4C6E" w:rsidRPr="000F0C79">
        <w:rPr>
          <w:rFonts w:asciiTheme="minorHAnsi" w:hAnsiTheme="minorHAnsi" w:cstheme="minorHAnsi"/>
          <w:sz w:val="24"/>
        </w:rPr>
        <w:t xml:space="preserve">napřímo tři smlouvy s paušální odměnou, kdy </w:t>
      </w:r>
      <w:r w:rsidR="006970EC">
        <w:rPr>
          <w:rFonts w:asciiTheme="minorHAnsi" w:hAnsiTheme="minorHAnsi" w:cstheme="minorHAnsi"/>
          <w:sz w:val="24"/>
        </w:rPr>
        <w:t>poskyto</w:t>
      </w:r>
      <w:r w:rsidR="006C4C6E" w:rsidRPr="000F0C79">
        <w:rPr>
          <w:rFonts w:asciiTheme="minorHAnsi" w:hAnsiTheme="minorHAnsi" w:cstheme="minorHAnsi"/>
          <w:sz w:val="24"/>
        </w:rPr>
        <w:t xml:space="preserve">vateli byly uhrazeny peněžní prostředky i </w:t>
      </w:r>
      <w:r w:rsidR="00753D07">
        <w:rPr>
          <w:rFonts w:asciiTheme="minorHAnsi" w:hAnsiTheme="minorHAnsi" w:cstheme="minorHAnsi"/>
          <w:sz w:val="24"/>
        </w:rPr>
        <w:t>za</w:t>
      </w:r>
      <w:r w:rsidR="006C4C6E" w:rsidRPr="000F0C79">
        <w:rPr>
          <w:rFonts w:asciiTheme="minorHAnsi" w:hAnsiTheme="minorHAnsi" w:cstheme="minorHAnsi"/>
          <w:sz w:val="24"/>
        </w:rPr>
        <w:t xml:space="preserve"> měsíc</w:t>
      </w:r>
      <w:r w:rsidR="00753D07">
        <w:rPr>
          <w:rFonts w:asciiTheme="minorHAnsi" w:hAnsiTheme="minorHAnsi" w:cstheme="minorHAnsi"/>
          <w:sz w:val="24"/>
        </w:rPr>
        <w:t>e</w:t>
      </w:r>
      <w:r w:rsidR="006C4C6E" w:rsidRPr="000F0C79">
        <w:rPr>
          <w:rFonts w:asciiTheme="minorHAnsi" w:hAnsiTheme="minorHAnsi" w:cstheme="minorHAnsi"/>
          <w:sz w:val="24"/>
        </w:rPr>
        <w:t>, kdy neposkytoval žádné právní služby. Na základě těchto smluv uhradila NG celkem 1 662 400 Kč</w:t>
      </w:r>
      <w:r w:rsidR="006C4C6E">
        <w:rPr>
          <w:rStyle w:val="Znakapoznpodarou"/>
          <w:rFonts w:asciiTheme="minorHAnsi" w:hAnsiTheme="minorHAnsi" w:cstheme="minorHAnsi"/>
          <w:sz w:val="24"/>
        </w:rPr>
        <w:footnoteReference w:id="19"/>
      </w:r>
      <w:r w:rsidR="006C4C6E" w:rsidRPr="000F0C79">
        <w:rPr>
          <w:rFonts w:asciiTheme="minorHAnsi" w:hAnsiTheme="minorHAnsi" w:cstheme="minorHAnsi"/>
          <w:sz w:val="24"/>
        </w:rPr>
        <w:t>.</w:t>
      </w:r>
      <w:r w:rsidR="00C1760E" w:rsidRPr="000F0C79">
        <w:rPr>
          <w:rFonts w:asciiTheme="minorHAnsi" w:hAnsiTheme="minorHAnsi" w:cstheme="minorHAnsi"/>
          <w:sz w:val="24"/>
        </w:rPr>
        <w:t xml:space="preserve"> </w:t>
      </w:r>
      <w:r w:rsidR="00753D07">
        <w:rPr>
          <w:rFonts w:asciiTheme="minorHAnsi" w:hAnsiTheme="minorHAnsi" w:cstheme="minorHAnsi"/>
          <w:sz w:val="24"/>
        </w:rPr>
        <w:t xml:space="preserve">Ani jedna z těchto </w:t>
      </w:r>
      <w:r w:rsidR="00C1760E" w:rsidRPr="000F0C79">
        <w:rPr>
          <w:rFonts w:asciiTheme="minorHAnsi" w:hAnsiTheme="minorHAnsi" w:cstheme="minorHAnsi"/>
          <w:sz w:val="24"/>
        </w:rPr>
        <w:t>tř</w:t>
      </w:r>
      <w:r w:rsidR="00753D07">
        <w:rPr>
          <w:rFonts w:asciiTheme="minorHAnsi" w:hAnsiTheme="minorHAnsi" w:cstheme="minorHAnsi"/>
          <w:sz w:val="24"/>
        </w:rPr>
        <w:t>í</w:t>
      </w:r>
      <w:r w:rsidR="00C1760E" w:rsidRPr="000F0C79">
        <w:rPr>
          <w:rFonts w:asciiTheme="minorHAnsi" w:hAnsiTheme="minorHAnsi" w:cstheme="minorHAnsi"/>
          <w:sz w:val="24"/>
        </w:rPr>
        <w:t xml:space="preserve"> sml</w:t>
      </w:r>
      <w:r w:rsidR="00753D07">
        <w:rPr>
          <w:rFonts w:asciiTheme="minorHAnsi" w:hAnsiTheme="minorHAnsi" w:cstheme="minorHAnsi"/>
          <w:sz w:val="24"/>
        </w:rPr>
        <w:t>uv</w:t>
      </w:r>
      <w:r w:rsidR="00C1760E" w:rsidRPr="000F0C79">
        <w:rPr>
          <w:rFonts w:asciiTheme="minorHAnsi" w:hAnsiTheme="minorHAnsi" w:cstheme="minorHAnsi"/>
          <w:sz w:val="24"/>
        </w:rPr>
        <w:t xml:space="preserve"> nebyl</w:t>
      </w:r>
      <w:r w:rsidR="00753D07">
        <w:rPr>
          <w:rFonts w:asciiTheme="minorHAnsi" w:hAnsiTheme="minorHAnsi" w:cstheme="minorHAnsi"/>
          <w:sz w:val="24"/>
        </w:rPr>
        <w:t>a</w:t>
      </w:r>
      <w:r w:rsidR="00C1760E" w:rsidRPr="000F0C79">
        <w:rPr>
          <w:rFonts w:asciiTheme="minorHAnsi" w:hAnsiTheme="minorHAnsi" w:cstheme="minorHAnsi"/>
          <w:sz w:val="24"/>
        </w:rPr>
        <w:t xml:space="preserve"> uzavřen</w:t>
      </w:r>
      <w:r w:rsidR="00753D07">
        <w:rPr>
          <w:rFonts w:asciiTheme="minorHAnsi" w:hAnsiTheme="minorHAnsi" w:cstheme="minorHAnsi"/>
          <w:sz w:val="24"/>
        </w:rPr>
        <w:t>a</w:t>
      </w:r>
      <w:r w:rsidR="00C1760E" w:rsidRPr="000F0C79">
        <w:rPr>
          <w:rFonts w:asciiTheme="minorHAnsi" w:hAnsiTheme="minorHAnsi" w:cstheme="minorHAnsi"/>
          <w:sz w:val="24"/>
        </w:rPr>
        <w:t xml:space="preserve"> </w:t>
      </w:r>
      <w:r w:rsidR="004C1C80">
        <w:rPr>
          <w:rFonts w:asciiTheme="minorHAnsi" w:hAnsiTheme="minorHAnsi" w:cstheme="minorHAnsi"/>
          <w:sz w:val="24"/>
        </w:rPr>
        <w:t>s poskytovatel</w:t>
      </w:r>
      <w:r w:rsidR="00753D07">
        <w:rPr>
          <w:rFonts w:asciiTheme="minorHAnsi" w:hAnsiTheme="minorHAnsi" w:cstheme="minorHAnsi"/>
          <w:sz w:val="24"/>
        </w:rPr>
        <w:t>em</w:t>
      </w:r>
      <w:r w:rsidR="004C1C80">
        <w:rPr>
          <w:rFonts w:asciiTheme="minorHAnsi" w:hAnsiTheme="minorHAnsi" w:cstheme="minorHAnsi"/>
          <w:sz w:val="24"/>
        </w:rPr>
        <w:t xml:space="preserve"> vzešlým z</w:t>
      </w:r>
      <w:r w:rsidR="007A7663">
        <w:rPr>
          <w:rFonts w:asciiTheme="minorHAnsi" w:hAnsiTheme="minorHAnsi" w:cstheme="minorHAnsi"/>
          <w:sz w:val="24"/>
        </w:rPr>
        <w:t> </w:t>
      </w:r>
      <w:r w:rsidR="00C1760E" w:rsidRPr="000F0C79">
        <w:rPr>
          <w:rFonts w:asciiTheme="minorHAnsi" w:hAnsiTheme="minorHAnsi" w:cstheme="minorHAnsi"/>
          <w:sz w:val="24"/>
        </w:rPr>
        <w:t xml:space="preserve">předchozího zadávacího řízení, </w:t>
      </w:r>
      <w:r w:rsidR="00753D07">
        <w:rPr>
          <w:rFonts w:asciiTheme="minorHAnsi" w:hAnsiTheme="minorHAnsi" w:cstheme="minorHAnsi"/>
          <w:sz w:val="24"/>
        </w:rPr>
        <w:t>smlouvy byly uzavřeny</w:t>
      </w:r>
      <w:r w:rsidR="00C1760E" w:rsidRPr="000F0C79">
        <w:rPr>
          <w:rFonts w:asciiTheme="minorHAnsi" w:hAnsiTheme="minorHAnsi" w:cstheme="minorHAnsi"/>
          <w:sz w:val="24"/>
        </w:rPr>
        <w:t xml:space="preserve"> na základě přímého zadání</w:t>
      </w:r>
      <w:r w:rsidR="00951E4E">
        <w:rPr>
          <w:rFonts w:asciiTheme="minorHAnsi" w:hAnsiTheme="minorHAnsi" w:cstheme="minorHAnsi"/>
          <w:sz w:val="24"/>
        </w:rPr>
        <w:t>, čímž nebyl dodržen zákon o zadávání veřejných zakázek</w:t>
      </w:r>
      <w:r w:rsidR="00951E4E">
        <w:rPr>
          <w:rStyle w:val="Znakapoznpodarou"/>
          <w:rFonts w:asciiTheme="minorHAnsi" w:hAnsiTheme="minorHAnsi" w:cstheme="minorHAnsi"/>
          <w:sz w:val="24"/>
        </w:rPr>
        <w:footnoteReference w:id="20"/>
      </w:r>
      <w:r w:rsidR="00951E4E">
        <w:rPr>
          <w:rFonts w:asciiTheme="minorHAnsi" w:hAnsiTheme="minorHAnsi" w:cstheme="minorHAnsi"/>
          <w:sz w:val="24"/>
        </w:rPr>
        <w:t>.</w:t>
      </w:r>
      <w:r w:rsidR="00C1760E" w:rsidRPr="000F0C79">
        <w:rPr>
          <w:rFonts w:asciiTheme="minorHAnsi" w:hAnsiTheme="minorHAnsi" w:cstheme="minorHAnsi"/>
          <w:sz w:val="24"/>
        </w:rPr>
        <w:t xml:space="preserve"> </w:t>
      </w:r>
    </w:p>
    <w:p w14:paraId="293D3DD6" w14:textId="4E2EE34E" w:rsidR="00A55403" w:rsidRPr="000F0C79" w:rsidRDefault="00C1760E" w:rsidP="000F0C79">
      <w:pPr>
        <w:pStyle w:val="Odstavecseseznamem"/>
        <w:numPr>
          <w:ilvl w:val="0"/>
          <w:numId w:val="5"/>
        </w:numPr>
        <w:spacing w:before="120" w:after="0" w:line="240" w:lineRule="auto"/>
        <w:ind w:left="426" w:hanging="357"/>
        <w:contextualSpacing w:val="0"/>
        <w:rPr>
          <w:rFonts w:asciiTheme="minorHAnsi" w:eastAsia="Calibri" w:hAnsiTheme="minorHAnsi" w:cstheme="minorHAnsi"/>
          <w:sz w:val="24"/>
        </w:rPr>
      </w:pPr>
      <w:r w:rsidRPr="000F0C79">
        <w:rPr>
          <w:rFonts w:asciiTheme="minorHAnsi" w:eastAsia="Calibri" w:hAnsiTheme="minorHAnsi" w:cstheme="minorHAnsi"/>
          <w:sz w:val="24"/>
        </w:rPr>
        <w:t>S </w:t>
      </w:r>
      <w:r w:rsidR="00753D07">
        <w:rPr>
          <w:rFonts w:asciiTheme="minorHAnsi" w:eastAsia="Calibri" w:hAnsiTheme="minorHAnsi" w:cstheme="minorHAnsi"/>
          <w:sz w:val="24"/>
        </w:rPr>
        <w:t>třetím</w:t>
      </w:r>
      <w:r w:rsidRPr="000F0C79">
        <w:rPr>
          <w:rFonts w:asciiTheme="minorHAnsi" w:eastAsia="Calibri" w:hAnsiTheme="minorHAnsi" w:cstheme="minorHAnsi"/>
          <w:sz w:val="24"/>
        </w:rPr>
        <w:t xml:space="preserve"> </w:t>
      </w:r>
      <w:r w:rsidR="000F0C79">
        <w:rPr>
          <w:rFonts w:asciiTheme="minorHAnsi" w:eastAsia="Calibri" w:hAnsiTheme="minorHAnsi" w:cstheme="minorHAnsi"/>
          <w:sz w:val="24"/>
        </w:rPr>
        <w:t>poskyto</w:t>
      </w:r>
      <w:r w:rsidRPr="000F0C79">
        <w:rPr>
          <w:rFonts w:asciiTheme="minorHAnsi" w:eastAsia="Calibri" w:hAnsiTheme="minorHAnsi" w:cstheme="minorHAnsi"/>
          <w:sz w:val="24"/>
        </w:rPr>
        <w:t xml:space="preserve">vatelem </w:t>
      </w:r>
      <w:r w:rsidR="00A541F1">
        <w:rPr>
          <w:rFonts w:asciiTheme="minorHAnsi" w:eastAsia="Calibri" w:hAnsiTheme="minorHAnsi" w:cstheme="minorHAnsi"/>
          <w:sz w:val="24"/>
        </w:rPr>
        <w:t>u</w:t>
      </w:r>
      <w:r w:rsidRPr="000F0C79">
        <w:rPr>
          <w:rFonts w:asciiTheme="minorHAnsi" w:eastAsia="Calibri" w:hAnsiTheme="minorHAnsi" w:cstheme="minorHAnsi"/>
          <w:sz w:val="24"/>
        </w:rPr>
        <w:t>zavřela</w:t>
      </w:r>
      <w:r w:rsidR="00A541F1">
        <w:rPr>
          <w:rFonts w:asciiTheme="minorHAnsi" w:eastAsia="Calibri" w:hAnsiTheme="minorHAnsi" w:cstheme="minorHAnsi"/>
          <w:sz w:val="24"/>
        </w:rPr>
        <w:t xml:space="preserve"> NG</w:t>
      </w:r>
      <w:r w:rsidRPr="000F0C79">
        <w:rPr>
          <w:rFonts w:asciiTheme="minorHAnsi" w:eastAsia="Calibri" w:hAnsiTheme="minorHAnsi" w:cstheme="minorHAnsi"/>
          <w:sz w:val="24"/>
        </w:rPr>
        <w:t xml:space="preserve"> v kontrolovaném období </w:t>
      </w:r>
      <w:r w:rsidR="00D55052">
        <w:rPr>
          <w:rFonts w:asciiTheme="minorHAnsi" w:eastAsia="Calibri" w:hAnsiTheme="minorHAnsi" w:cstheme="minorHAnsi"/>
          <w:sz w:val="24"/>
        </w:rPr>
        <w:t>dvě</w:t>
      </w:r>
      <w:r w:rsidRPr="000F0C79">
        <w:rPr>
          <w:rFonts w:asciiTheme="minorHAnsi" w:eastAsia="Calibri" w:hAnsiTheme="minorHAnsi" w:cstheme="minorHAnsi"/>
          <w:sz w:val="24"/>
        </w:rPr>
        <w:t xml:space="preserve"> smlouvy na poskytování obecných právních služeb. Obdobně jako </w:t>
      </w:r>
      <w:r w:rsidR="00A541F1">
        <w:rPr>
          <w:rFonts w:asciiTheme="minorHAnsi" w:eastAsia="Calibri" w:hAnsiTheme="minorHAnsi" w:cstheme="minorHAnsi"/>
          <w:sz w:val="24"/>
        </w:rPr>
        <w:t>v</w:t>
      </w:r>
      <w:r w:rsidRPr="000F0C79">
        <w:rPr>
          <w:rFonts w:asciiTheme="minorHAnsi" w:eastAsia="Calibri" w:hAnsiTheme="minorHAnsi" w:cstheme="minorHAnsi"/>
          <w:sz w:val="24"/>
        </w:rPr>
        <w:t xml:space="preserve"> předchozím </w:t>
      </w:r>
      <w:r w:rsidR="0061526F">
        <w:rPr>
          <w:rFonts w:asciiTheme="minorHAnsi" w:eastAsia="Calibri" w:hAnsiTheme="minorHAnsi" w:cstheme="minorHAnsi"/>
          <w:sz w:val="24"/>
        </w:rPr>
        <w:t>p</w:t>
      </w:r>
      <w:r w:rsidR="00A541F1">
        <w:rPr>
          <w:rFonts w:asciiTheme="minorHAnsi" w:eastAsia="Calibri" w:hAnsiTheme="minorHAnsi" w:cstheme="minorHAnsi"/>
          <w:sz w:val="24"/>
        </w:rPr>
        <w:t>řípadě</w:t>
      </w:r>
      <w:r w:rsidRPr="000F0C79">
        <w:rPr>
          <w:rFonts w:asciiTheme="minorHAnsi" w:eastAsia="Calibri" w:hAnsiTheme="minorHAnsi" w:cstheme="minorHAnsi"/>
          <w:sz w:val="24"/>
        </w:rPr>
        <w:t xml:space="preserve"> byly smlouvy </w:t>
      </w:r>
      <w:r w:rsidR="00A55403" w:rsidRPr="000F0C79">
        <w:rPr>
          <w:rFonts w:asciiTheme="minorHAnsi" w:eastAsia="Calibri" w:hAnsiTheme="minorHAnsi" w:cstheme="minorHAnsi"/>
          <w:sz w:val="24"/>
        </w:rPr>
        <w:t>uzavřeny na základě přímého zadání</w:t>
      </w:r>
      <w:r w:rsidR="00753D07">
        <w:rPr>
          <w:rFonts w:asciiTheme="minorHAnsi" w:eastAsia="Calibri" w:hAnsiTheme="minorHAnsi" w:cstheme="minorHAnsi"/>
          <w:sz w:val="24"/>
        </w:rPr>
        <w:t>,</w:t>
      </w:r>
      <w:r w:rsidR="00A55403" w:rsidRPr="000F0C79">
        <w:rPr>
          <w:rFonts w:asciiTheme="minorHAnsi" w:eastAsia="Calibri" w:hAnsiTheme="minorHAnsi" w:cstheme="minorHAnsi"/>
          <w:sz w:val="24"/>
        </w:rPr>
        <w:t xml:space="preserve"> nikoli v souladu se zákonem o zadávání veřejných zakázek</w:t>
      </w:r>
      <w:r w:rsidR="006A138D" w:rsidRPr="006A138D">
        <w:rPr>
          <w:rFonts w:asciiTheme="minorHAnsi" w:eastAsia="Calibri" w:hAnsiTheme="minorHAnsi" w:cstheme="minorHAnsi"/>
          <w:sz w:val="24"/>
          <w:vertAlign w:val="superscript"/>
        </w:rPr>
        <w:t>20</w:t>
      </w:r>
      <w:r w:rsidR="00A55403" w:rsidRPr="000F0C79">
        <w:rPr>
          <w:rFonts w:asciiTheme="minorHAnsi" w:eastAsia="Calibri" w:hAnsiTheme="minorHAnsi" w:cstheme="minorHAnsi"/>
          <w:sz w:val="24"/>
        </w:rPr>
        <w:t>.</w:t>
      </w:r>
      <w:r w:rsidR="00A55403" w:rsidRPr="000F0C79">
        <w:rPr>
          <w:rFonts w:asciiTheme="minorHAnsi" w:hAnsiTheme="minorHAnsi" w:cstheme="minorHAnsi"/>
          <w:sz w:val="24"/>
        </w:rPr>
        <w:t xml:space="preserve"> V kontrolovaném období NG za poskytnuté služby od tohoto </w:t>
      </w:r>
      <w:r w:rsidR="0061526F">
        <w:rPr>
          <w:rFonts w:asciiTheme="minorHAnsi" w:hAnsiTheme="minorHAnsi" w:cstheme="minorHAnsi"/>
          <w:sz w:val="24"/>
        </w:rPr>
        <w:t>poskyto</w:t>
      </w:r>
      <w:r w:rsidR="00A55403" w:rsidRPr="000F0C79">
        <w:rPr>
          <w:rFonts w:asciiTheme="minorHAnsi" w:hAnsiTheme="minorHAnsi" w:cstheme="minorHAnsi"/>
          <w:sz w:val="24"/>
        </w:rPr>
        <w:t xml:space="preserve">vatele uhradila celkem </w:t>
      </w:r>
      <w:r w:rsidR="007A2102">
        <w:rPr>
          <w:rFonts w:asciiTheme="minorHAnsi" w:hAnsiTheme="minorHAnsi" w:cstheme="minorHAnsi"/>
          <w:sz w:val="24"/>
        </w:rPr>
        <w:t>1 064 679</w:t>
      </w:r>
      <w:r w:rsidR="00A55403" w:rsidRPr="000F0C79">
        <w:rPr>
          <w:rFonts w:asciiTheme="minorHAnsi" w:hAnsiTheme="minorHAnsi" w:cstheme="minorHAnsi"/>
          <w:sz w:val="24"/>
        </w:rPr>
        <w:t xml:space="preserve"> Kč včetně</w:t>
      </w:r>
      <w:r w:rsidR="00753D07">
        <w:rPr>
          <w:rFonts w:asciiTheme="minorHAnsi" w:hAnsiTheme="minorHAnsi" w:cstheme="minorHAnsi"/>
          <w:sz w:val="24"/>
        </w:rPr>
        <w:t xml:space="preserve"> </w:t>
      </w:r>
      <w:r w:rsidR="00A55403" w:rsidRPr="000F0C79">
        <w:rPr>
          <w:rFonts w:asciiTheme="minorHAnsi" w:hAnsiTheme="minorHAnsi" w:cstheme="minorHAnsi"/>
          <w:sz w:val="24"/>
        </w:rPr>
        <w:t xml:space="preserve">DPH. </w:t>
      </w:r>
      <w:r w:rsidR="0061526F" w:rsidRPr="001D2650">
        <w:rPr>
          <w:rFonts w:asciiTheme="minorHAnsi" w:eastAsia="Calibri" w:hAnsiTheme="minorHAnsi" w:cstheme="minorHAnsi"/>
          <w:sz w:val="24"/>
        </w:rPr>
        <w:t>NG nezaslala správci registru smluv k uveřejnění druhou smlouvu s uvedenou hodnotou předmětu smlouvy</w:t>
      </w:r>
      <w:r w:rsidR="00753D07">
        <w:rPr>
          <w:rFonts w:asciiTheme="minorHAnsi" w:eastAsia="Calibri" w:hAnsiTheme="minorHAnsi" w:cstheme="minorHAnsi"/>
          <w:sz w:val="24"/>
        </w:rPr>
        <w:t>.</w:t>
      </w:r>
      <w:r w:rsidR="0061526F" w:rsidRPr="001D2650">
        <w:rPr>
          <w:rFonts w:asciiTheme="minorHAnsi" w:eastAsia="Calibri" w:hAnsiTheme="minorHAnsi" w:cstheme="minorHAnsi"/>
          <w:sz w:val="24"/>
        </w:rPr>
        <w:t xml:space="preserve"> </w:t>
      </w:r>
      <w:r w:rsidR="00753D07">
        <w:rPr>
          <w:rFonts w:asciiTheme="minorHAnsi" w:eastAsia="Calibri" w:hAnsiTheme="minorHAnsi" w:cstheme="minorHAnsi"/>
          <w:sz w:val="24"/>
        </w:rPr>
        <w:t>Tato hodnota však</w:t>
      </w:r>
      <w:r w:rsidR="0061526F" w:rsidRPr="001D2650">
        <w:rPr>
          <w:rFonts w:asciiTheme="minorHAnsi" w:eastAsia="Calibri" w:hAnsiTheme="minorHAnsi" w:cstheme="minorHAnsi"/>
          <w:sz w:val="24"/>
        </w:rPr>
        <w:t xml:space="preserve"> patří mezi povinně zveřejňovaná metadata</w:t>
      </w:r>
      <w:r w:rsidR="008F5910">
        <w:rPr>
          <w:rFonts w:asciiTheme="minorHAnsi" w:eastAsia="Calibri" w:hAnsiTheme="minorHAnsi" w:cstheme="minorHAnsi"/>
          <w:sz w:val="24"/>
          <w:vertAlign w:val="superscript"/>
        </w:rPr>
        <w:t>1</w:t>
      </w:r>
      <w:r w:rsidR="006A138D">
        <w:rPr>
          <w:rFonts w:asciiTheme="minorHAnsi" w:eastAsia="Calibri" w:hAnsiTheme="minorHAnsi" w:cstheme="minorHAnsi"/>
          <w:sz w:val="24"/>
          <w:vertAlign w:val="superscript"/>
        </w:rPr>
        <w:t>7</w:t>
      </w:r>
      <w:r w:rsidR="00753D07">
        <w:rPr>
          <w:rFonts w:asciiTheme="minorHAnsi" w:eastAsia="Calibri" w:hAnsiTheme="minorHAnsi" w:cstheme="minorHAnsi"/>
          <w:sz w:val="24"/>
        </w:rPr>
        <w:t>,</w:t>
      </w:r>
      <w:r w:rsidR="0061526F" w:rsidRPr="001D2650">
        <w:rPr>
          <w:rFonts w:asciiTheme="minorHAnsi" w:eastAsia="Calibri" w:hAnsiTheme="minorHAnsi" w:cstheme="minorHAnsi"/>
          <w:sz w:val="24"/>
        </w:rPr>
        <w:t xml:space="preserve"> bez jejich</w:t>
      </w:r>
      <w:r w:rsidR="00753D07">
        <w:rPr>
          <w:rFonts w:asciiTheme="minorHAnsi" w:eastAsia="Calibri" w:hAnsiTheme="minorHAnsi" w:cstheme="minorHAnsi"/>
          <w:sz w:val="24"/>
        </w:rPr>
        <w:t>ž</w:t>
      </w:r>
      <w:r w:rsidR="0061526F" w:rsidRPr="001D2650">
        <w:rPr>
          <w:rFonts w:asciiTheme="minorHAnsi" w:eastAsia="Calibri" w:hAnsiTheme="minorHAnsi" w:cstheme="minorHAnsi"/>
          <w:sz w:val="24"/>
        </w:rPr>
        <w:t xml:space="preserve"> uveřejnění v registru smluv se smlouva považuje za neuveřejněnou a je zrušena od počátku</w:t>
      </w:r>
      <w:r w:rsidR="008F5910">
        <w:rPr>
          <w:rFonts w:asciiTheme="minorHAnsi" w:eastAsia="Calibri" w:hAnsiTheme="minorHAnsi" w:cstheme="minorHAnsi"/>
          <w:sz w:val="24"/>
          <w:vertAlign w:val="superscript"/>
        </w:rPr>
        <w:t>1</w:t>
      </w:r>
      <w:r w:rsidR="006A138D">
        <w:rPr>
          <w:rFonts w:asciiTheme="minorHAnsi" w:eastAsia="Calibri" w:hAnsiTheme="minorHAnsi" w:cstheme="minorHAnsi"/>
          <w:sz w:val="24"/>
          <w:vertAlign w:val="superscript"/>
        </w:rPr>
        <w:t>8</w:t>
      </w:r>
      <w:r w:rsidR="0061526F" w:rsidRPr="001D2650">
        <w:rPr>
          <w:rFonts w:asciiTheme="minorHAnsi" w:eastAsia="Calibri" w:hAnsiTheme="minorHAnsi" w:cstheme="minorHAnsi"/>
          <w:sz w:val="24"/>
        </w:rPr>
        <w:t>.</w:t>
      </w:r>
    </w:p>
    <w:p w14:paraId="2D79F257" w14:textId="77777777" w:rsidR="004801C4" w:rsidRDefault="004801C4" w:rsidP="00034CE1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 w:rsidRPr="0004533D">
        <w:rPr>
          <w:rFonts w:asciiTheme="minorHAnsi" w:hAnsiTheme="minorHAnsi" w:cstheme="minorHAnsi"/>
          <w:sz w:val="24"/>
        </w:rPr>
        <w:t xml:space="preserve">NG </w:t>
      </w:r>
      <w:r w:rsidRPr="00034CE1">
        <w:rPr>
          <w:rFonts w:asciiTheme="minorHAnsi" w:eastAsia="Calibri" w:hAnsiTheme="minorHAnsi" w:cstheme="minorHAnsi"/>
          <w:sz w:val="24"/>
        </w:rPr>
        <w:t xml:space="preserve">jako veřejný zadavatel </w:t>
      </w:r>
      <w:r w:rsidRPr="0004533D">
        <w:rPr>
          <w:rFonts w:asciiTheme="minorHAnsi" w:hAnsiTheme="minorHAnsi" w:cstheme="minorHAnsi"/>
          <w:sz w:val="24"/>
        </w:rPr>
        <w:t xml:space="preserve">nepostupovala v souladu s právními předpisy, když </w:t>
      </w:r>
      <w:r w:rsidR="00904444">
        <w:rPr>
          <w:rFonts w:asciiTheme="minorHAnsi" w:hAnsiTheme="minorHAnsi" w:cstheme="minorHAnsi"/>
          <w:sz w:val="24"/>
        </w:rPr>
        <w:t>při</w:t>
      </w:r>
      <w:r w:rsidRPr="0004533D">
        <w:rPr>
          <w:rFonts w:asciiTheme="minorHAnsi" w:hAnsiTheme="minorHAnsi" w:cstheme="minorHAnsi"/>
          <w:sz w:val="24"/>
        </w:rPr>
        <w:t xml:space="preserve"> zadání veřejných zakázek</w:t>
      </w:r>
      <w:r w:rsidR="00C40CC3">
        <w:rPr>
          <w:rStyle w:val="Znakapoznpodarou"/>
          <w:rFonts w:asciiTheme="minorHAnsi" w:hAnsiTheme="minorHAnsi" w:cstheme="minorHAnsi"/>
          <w:sz w:val="24"/>
        </w:rPr>
        <w:footnoteReference w:id="21"/>
      </w:r>
      <w:r w:rsidRPr="0004533D">
        <w:rPr>
          <w:rFonts w:asciiTheme="minorHAnsi" w:hAnsiTheme="minorHAnsi" w:cstheme="minorHAnsi"/>
          <w:sz w:val="24"/>
        </w:rPr>
        <w:t xml:space="preserve"> spojených s pořizováním služeb nevyužila žádný z druhů</w:t>
      </w:r>
      <w:r w:rsidR="00836F9C">
        <w:rPr>
          <w:rStyle w:val="Znakapoznpodarou"/>
          <w:rFonts w:asciiTheme="minorHAnsi" w:hAnsiTheme="minorHAnsi" w:cstheme="minorHAnsi"/>
          <w:sz w:val="24"/>
        </w:rPr>
        <w:footnoteReference w:id="22"/>
      </w:r>
      <w:r w:rsidRPr="0004533D">
        <w:rPr>
          <w:rFonts w:asciiTheme="minorHAnsi" w:hAnsiTheme="minorHAnsi" w:cstheme="minorHAnsi"/>
          <w:sz w:val="24"/>
        </w:rPr>
        <w:t xml:space="preserve"> zadávacího řízení. </w:t>
      </w:r>
    </w:p>
    <w:p w14:paraId="3A52C4E7" w14:textId="26A18B2A" w:rsidR="00AC177C" w:rsidRPr="00034CE1" w:rsidRDefault="00EF2B74" w:rsidP="00034CE1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4801C4">
        <w:rPr>
          <w:rFonts w:asciiTheme="minorHAnsi" w:eastAsia="Calibri" w:hAnsiTheme="minorHAnsi" w:cstheme="minorHAnsi"/>
          <w:sz w:val="24"/>
        </w:rPr>
        <w:t>NG</w:t>
      </w:r>
      <w:r w:rsidR="00AC177C" w:rsidRPr="004801C4">
        <w:rPr>
          <w:rFonts w:asciiTheme="minorHAnsi" w:eastAsia="Calibri" w:hAnsiTheme="minorHAnsi" w:cstheme="minorHAnsi"/>
          <w:sz w:val="24"/>
        </w:rPr>
        <w:t xml:space="preserve"> vynal</w:t>
      </w:r>
      <w:r w:rsidR="002D0B5B" w:rsidRPr="004801C4">
        <w:rPr>
          <w:rFonts w:asciiTheme="minorHAnsi" w:eastAsia="Calibri" w:hAnsiTheme="minorHAnsi" w:cstheme="minorHAnsi"/>
          <w:sz w:val="24"/>
        </w:rPr>
        <w:t>ožil</w:t>
      </w:r>
      <w:r w:rsidR="00AC177C" w:rsidRPr="004801C4">
        <w:rPr>
          <w:rFonts w:asciiTheme="minorHAnsi" w:eastAsia="Calibri" w:hAnsiTheme="minorHAnsi" w:cstheme="minorHAnsi"/>
          <w:sz w:val="24"/>
        </w:rPr>
        <w:t>a peněžní prostředky</w:t>
      </w:r>
      <w:r w:rsidR="003F06D6" w:rsidRPr="004801C4">
        <w:rPr>
          <w:rFonts w:asciiTheme="minorHAnsi" w:eastAsia="Calibri" w:hAnsiTheme="minorHAnsi" w:cstheme="minorHAnsi"/>
          <w:sz w:val="24"/>
        </w:rPr>
        <w:t xml:space="preserve"> ve výši 962 751 Kč</w:t>
      </w:r>
      <w:r w:rsidR="00DA5C6D" w:rsidRPr="004801C4">
        <w:rPr>
          <w:rStyle w:val="Znakapoznpodarou"/>
          <w:rFonts w:asciiTheme="minorHAnsi" w:eastAsia="Calibri" w:hAnsiTheme="minorHAnsi" w:cstheme="minorHAnsi"/>
          <w:sz w:val="24"/>
        </w:rPr>
        <w:footnoteReference w:id="23"/>
      </w:r>
      <w:r w:rsidR="003F06D6" w:rsidRPr="004801C4">
        <w:rPr>
          <w:rFonts w:asciiTheme="minorHAnsi" w:eastAsia="Calibri" w:hAnsiTheme="minorHAnsi" w:cstheme="minorHAnsi"/>
          <w:sz w:val="24"/>
        </w:rPr>
        <w:t xml:space="preserve"> s DPH</w:t>
      </w:r>
      <w:r w:rsidR="00AC177C" w:rsidRPr="004801C4">
        <w:rPr>
          <w:rFonts w:asciiTheme="minorHAnsi" w:eastAsia="Calibri" w:hAnsiTheme="minorHAnsi" w:cstheme="minorHAnsi"/>
          <w:sz w:val="24"/>
        </w:rPr>
        <w:t xml:space="preserve"> za plnění</w:t>
      </w:r>
      <w:r w:rsidRPr="004801C4">
        <w:rPr>
          <w:rFonts w:asciiTheme="minorHAnsi" w:eastAsia="Calibri" w:hAnsiTheme="minorHAnsi" w:cstheme="minorHAnsi"/>
          <w:sz w:val="24"/>
        </w:rPr>
        <w:t xml:space="preserve"> vyplývající ze smluv, které byly podle zákona o registru smluv </w:t>
      </w:r>
      <w:r w:rsidR="00753D07" w:rsidRPr="004801C4">
        <w:rPr>
          <w:rFonts w:asciiTheme="minorHAnsi" w:eastAsia="Calibri" w:hAnsiTheme="minorHAnsi" w:cstheme="minorHAnsi"/>
          <w:sz w:val="24"/>
        </w:rPr>
        <w:t>zrušen</w:t>
      </w:r>
      <w:r w:rsidR="00753D07">
        <w:rPr>
          <w:rFonts w:asciiTheme="minorHAnsi" w:eastAsia="Calibri" w:hAnsiTheme="minorHAnsi" w:cstheme="minorHAnsi"/>
          <w:sz w:val="24"/>
        </w:rPr>
        <w:t>y</w:t>
      </w:r>
      <w:r w:rsidR="00753D07" w:rsidRPr="004801C4">
        <w:rPr>
          <w:rFonts w:asciiTheme="minorHAnsi" w:eastAsia="Calibri" w:hAnsiTheme="minorHAnsi" w:cstheme="minorHAnsi"/>
          <w:sz w:val="24"/>
        </w:rPr>
        <w:t xml:space="preserve"> </w:t>
      </w:r>
      <w:r w:rsidRPr="004801C4">
        <w:rPr>
          <w:rFonts w:asciiTheme="minorHAnsi" w:eastAsia="Calibri" w:hAnsiTheme="minorHAnsi" w:cstheme="minorHAnsi"/>
          <w:sz w:val="24"/>
        </w:rPr>
        <w:t>od počátku z důvodu neuveřejnění v registru smluv ve správném formátu a se všemi náležitostmi.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78312A" w:rsidRPr="00E92A6E">
        <w:rPr>
          <w:rFonts w:asciiTheme="minorHAnsi" w:eastAsia="Calibri" w:hAnsiTheme="minorHAnsi" w:cstheme="minorHAnsi"/>
          <w:sz w:val="24"/>
        </w:rPr>
        <w:t>Dle NKÚ se jedná o</w:t>
      </w:r>
      <w:r w:rsidR="00753D07">
        <w:rPr>
          <w:rFonts w:asciiTheme="minorHAnsi" w:eastAsia="Calibri" w:hAnsiTheme="minorHAnsi" w:cstheme="minorHAnsi"/>
          <w:sz w:val="24"/>
        </w:rPr>
        <w:t> </w:t>
      </w:r>
      <w:r w:rsidR="0078312A" w:rsidRPr="00E92A6E">
        <w:rPr>
          <w:rFonts w:asciiTheme="minorHAnsi" w:eastAsia="Calibri" w:hAnsiTheme="minorHAnsi" w:cstheme="minorHAnsi"/>
          <w:sz w:val="24"/>
        </w:rPr>
        <w:t>skutečnosti nasvědčující porušení rozpočtové kázně</w:t>
      </w:r>
      <w:r w:rsidR="0078312A" w:rsidRPr="00E92A6E">
        <w:rPr>
          <w:rStyle w:val="Znakapoznpodarou"/>
          <w:rFonts w:asciiTheme="minorHAnsi" w:eastAsia="Calibri" w:hAnsiTheme="minorHAnsi" w:cstheme="minorHAnsi"/>
          <w:sz w:val="24"/>
        </w:rPr>
        <w:footnoteReference w:id="24"/>
      </w:r>
      <w:r w:rsidR="00753D07">
        <w:rPr>
          <w:rFonts w:asciiTheme="minorHAnsi" w:eastAsia="Calibri" w:hAnsiTheme="minorHAnsi" w:cstheme="minorHAnsi"/>
          <w:sz w:val="24"/>
        </w:rPr>
        <w:t>.</w:t>
      </w:r>
      <w:r w:rsidR="0078312A" w:rsidRPr="00E92A6E">
        <w:rPr>
          <w:rFonts w:asciiTheme="minorHAnsi" w:eastAsia="Calibri" w:hAnsiTheme="minorHAnsi" w:cstheme="minorHAnsi"/>
          <w:sz w:val="24"/>
        </w:rPr>
        <w:t xml:space="preserve"> </w:t>
      </w:r>
    </w:p>
    <w:p w14:paraId="1458AED5" w14:textId="77777777" w:rsidR="004C7A73" w:rsidRPr="00BB7A07" w:rsidRDefault="004C7A73" w:rsidP="004C7A73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510629">
        <w:rPr>
          <w:rFonts w:asciiTheme="minorHAnsi" w:eastAsia="Calibri" w:hAnsiTheme="minorHAnsi" w:cstheme="minorHAnsi"/>
          <w:b/>
          <w:sz w:val="24"/>
        </w:rPr>
        <w:t xml:space="preserve">NG </w:t>
      </w:r>
      <w:r w:rsidR="00EF2B74">
        <w:rPr>
          <w:rFonts w:asciiTheme="minorHAnsi" w:eastAsia="Calibri" w:hAnsiTheme="minorHAnsi" w:cstheme="minorHAnsi"/>
          <w:b/>
          <w:sz w:val="24"/>
        </w:rPr>
        <w:t>nezadal</w:t>
      </w:r>
      <w:r w:rsidRPr="00510629">
        <w:rPr>
          <w:rFonts w:asciiTheme="minorHAnsi" w:eastAsia="Calibri" w:hAnsiTheme="minorHAnsi" w:cstheme="minorHAnsi"/>
          <w:b/>
          <w:sz w:val="24"/>
        </w:rPr>
        <w:t xml:space="preserve">a veřejnou zakázku na </w:t>
      </w:r>
      <w:r>
        <w:rPr>
          <w:rFonts w:asciiTheme="minorHAnsi" w:eastAsia="Calibri" w:hAnsiTheme="minorHAnsi" w:cstheme="minorHAnsi"/>
          <w:b/>
          <w:sz w:val="24"/>
        </w:rPr>
        <w:t>realitní</w:t>
      </w:r>
      <w:r w:rsidRPr="00510629">
        <w:rPr>
          <w:rFonts w:asciiTheme="minorHAnsi" w:eastAsia="Calibri" w:hAnsiTheme="minorHAnsi" w:cstheme="minorHAnsi"/>
          <w:b/>
          <w:sz w:val="24"/>
        </w:rPr>
        <w:t xml:space="preserve"> služby</w:t>
      </w:r>
      <w:r w:rsidR="00EF2B74">
        <w:rPr>
          <w:rFonts w:asciiTheme="minorHAnsi" w:eastAsia="Calibri" w:hAnsiTheme="minorHAnsi" w:cstheme="minorHAnsi"/>
          <w:b/>
          <w:sz w:val="24"/>
        </w:rPr>
        <w:t xml:space="preserve"> v zadávacím řízení</w:t>
      </w:r>
    </w:p>
    <w:p w14:paraId="2937DDD9" w14:textId="2F42FC17" w:rsidR="00510629" w:rsidRDefault="00DA2B5C" w:rsidP="00923973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Realitní služby poskytoval</w:t>
      </w:r>
      <w:r w:rsidR="005846C5">
        <w:rPr>
          <w:rFonts w:asciiTheme="minorHAnsi" w:eastAsia="Calibri" w:hAnsiTheme="minorHAnsi" w:cstheme="minorHAnsi"/>
          <w:sz w:val="24"/>
        </w:rPr>
        <w:t>i</w:t>
      </w:r>
      <w:r>
        <w:rPr>
          <w:rFonts w:asciiTheme="minorHAnsi" w:eastAsia="Calibri" w:hAnsiTheme="minorHAnsi" w:cstheme="minorHAnsi"/>
          <w:sz w:val="24"/>
        </w:rPr>
        <w:t xml:space="preserve"> v kontrolovaném období </w:t>
      </w:r>
      <w:r w:rsidR="00E02067">
        <w:rPr>
          <w:rFonts w:asciiTheme="minorHAnsi" w:eastAsia="Calibri" w:hAnsiTheme="minorHAnsi" w:cstheme="minorHAnsi"/>
          <w:sz w:val="24"/>
        </w:rPr>
        <w:t>Národní galerii v Praze</w:t>
      </w:r>
      <w:r>
        <w:rPr>
          <w:rFonts w:asciiTheme="minorHAnsi" w:eastAsia="Calibri" w:hAnsiTheme="minorHAnsi" w:cstheme="minorHAnsi"/>
          <w:sz w:val="24"/>
        </w:rPr>
        <w:t xml:space="preserve"> současně až </w:t>
      </w:r>
      <w:r w:rsidR="00D55052">
        <w:rPr>
          <w:rFonts w:asciiTheme="minorHAnsi" w:eastAsia="Calibri" w:hAnsiTheme="minorHAnsi" w:cstheme="minorHAnsi"/>
          <w:sz w:val="24"/>
        </w:rPr>
        <w:t>tři</w:t>
      </w:r>
      <w:r>
        <w:rPr>
          <w:rFonts w:asciiTheme="minorHAnsi" w:eastAsia="Calibri" w:hAnsiTheme="minorHAnsi" w:cstheme="minorHAnsi"/>
          <w:sz w:val="24"/>
        </w:rPr>
        <w:t xml:space="preserve"> různí poskytovatelé na základě </w:t>
      </w:r>
      <w:r w:rsidR="00D55052">
        <w:rPr>
          <w:rFonts w:asciiTheme="minorHAnsi" w:eastAsia="Calibri" w:hAnsiTheme="minorHAnsi" w:cstheme="minorHAnsi"/>
          <w:sz w:val="24"/>
        </w:rPr>
        <w:t>devíti</w:t>
      </w:r>
      <w:r>
        <w:rPr>
          <w:rFonts w:asciiTheme="minorHAnsi" w:eastAsia="Calibri" w:hAnsiTheme="minorHAnsi" w:cstheme="minorHAnsi"/>
          <w:sz w:val="24"/>
        </w:rPr>
        <w:t xml:space="preserve"> smluv. Souhrnná předpokládaná </w:t>
      </w:r>
      <w:r w:rsidR="001250F1">
        <w:rPr>
          <w:rFonts w:asciiTheme="minorHAnsi" w:eastAsia="Calibri" w:hAnsiTheme="minorHAnsi" w:cstheme="minorHAnsi"/>
          <w:sz w:val="24"/>
        </w:rPr>
        <w:t>hodnot</w:t>
      </w:r>
      <w:r>
        <w:rPr>
          <w:rFonts w:asciiTheme="minorHAnsi" w:eastAsia="Calibri" w:hAnsiTheme="minorHAnsi" w:cstheme="minorHAnsi"/>
          <w:sz w:val="24"/>
        </w:rPr>
        <w:t xml:space="preserve">a předmětného plnění všech </w:t>
      </w:r>
      <w:r w:rsidR="00D55052">
        <w:rPr>
          <w:rFonts w:asciiTheme="minorHAnsi" w:eastAsia="Calibri" w:hAnsiTheme="minorHAnsi" w:cstheme="minorHAnsi"/>
          <w:sz w:val="24"/>
        </w:rPr>
        <w:t>devíti</w:t>
      </w:r>
      <w:r>
        <w:rPr>
          <w:rFonts w:asciiTheme="minorHAnsi" w:eastAsia="Calibri" w:hAnsiTheme="minorHAnsi" w:cstheme="minorHAnsi"/>
          <w:sz w:val="24"/>
        </w:rPr>
        <w:t xml:space="preserve"> smluv byla</w:t>
      </w:r>
      <w:r w:rsidR="0060553D">
        <w:rPr>
          <w:rFonts w:asciiTheme="minorHAnsi" w:eastAsia="Calibri" w:hAnsiTheme="minorHAnsi" w:cstheme="minorHAnsi"/>
          <w:sz w:val="24"/>
        </w:rPr>
        <w:t xml:space="preserve"> ve výši</w:t>
      </w:r>
      <w:r w:rsidR="00193DBF">
        <w:rPr>
          <w:rFonts w:asciiTheme="minorHAnsi" w:eastAsia="Calibri" w:hAnsiTheme="minorHAnsi" w:cstheme="minorHAnsi"/>
          <w:sz w:val="24"/>
        </w:rPr>
        <w:t xml:space="preserve"> </w:t>
      </w:r>
      <w:r w:rsidR="001250F1">
        <w:rPr>
          <w:rFonts w:asciiTheme="minorHAnsi" w:eastAsia="Calibri" w:hAnsiTheme="minorHAnsi" w:cstheme="minorHAnsi"/>
          <w:sz w:val="24"/>
        </w:rPr>
        <w:t xml:space="preserve">2 384 100 Kč bez DPH. </w:t>
      </w:r>
      <w:r w:rsidR="00F85764">
        <w:rPr>
          <w:rFonts w:asciiTheme="minorHAnsi" w:eastAsia="Calibri" w:hAnsiTheme="minorHAnsi" w:cstheme="minorHAnsi"/>
          <w:sz w:val="24"/>
        </w:rPr>
        <w:t xml:space="preserve">NG se všemi subjekty uzavírala smlouvy, aniž by před jejich uzavřením </w:t>
      </w:r>
      <w:r w:rsidR="00E02067">
        <w:rPr>
          <w:rFonts w:asciiTheme="minorHAnsi" w:eastAsia="Calibri" w:hAnsiTheme="minorHAnsi" w:cstheme="minorHAnsi"/>
          <w:sz w:val="24"/>
        </w:rPr>
        <w:t>uspořádala</w:t>
      </w:r>
      <w:r w:rsidR="00F85764">
        <w:rPr>
          <w:rFonts w:asciiTheme="minorHAnsi" w:eastAsia="Calibri" w:hAnsiTheme="minorHAnsi" w:cstheme="minorHAnsi"/>
          <w:sz w:val="24"/>
        </w:rPr>
        <w:t xml:space="preserve"> výběrov</w:t>
      </w:r>
      <w:r w:rsidR="00E02067">
        <w:rPr>
          <w:rFonts w:asciiTheme="minorHAnsi" w:eastAsia="Calibri" w:hAnsiTheme="minorHAnsi" w:cstheme="minorHAnsi"/>
          <w:sz w:val="24"/>
        </w:rPr>
        <w:t>á</w:t>
      </w:r>
      <w:r w:rsidR="00A131D4">
        <w:rPr>
          <w:rFonts w:asciiTheme="minorHAnsi" w:eastAsia="Calibri" w:hAnsiTheme="minorHAnsi" w:cstheme="minorHAnsi"/>
          <w:sz w:val="24"/>
        </w:rPr>
        <w:t xml:space="preserve"> řízení</w:t>
      </w:r>
      <w:r w:rsidR="00F85764">
        <w:rPr>
          <w:rFonts w:asciiTheme="minorHAnsi" w:eastAsia="Calibri" w:hAnsiTheme="minorHAnsi" w:cstheme="minorHAnsi"/>
          <w:sz w:val="24"/>
        </w:rPr>
        <w:t xml:space="preserve">. </w:t>
      </w:r>
      <w:r w:rsidR="00543D48">
        <w:rPr>
          <w:rFonts w:asciiTheme="minorHAnsi" w:eastAsia="Calibri" w:hAnsiTheme="minorHAnsi" w:cstheme="minorHAnsi"/>
          <w:sz w:val="24"/>
        </w:rPr>
        <w:t xml:space="preserve">NG v kontrolovaném období </w:t>
      </w:r>
      <w:r w:rsidR="00E02067">
        <w:rPr>
          <w:rFonts w:asciiTheme="minorHAnsi" w:eastAsia="Calibri" w:hAnsiTheme="minorHAnsi" w:cstheme="minorHAnsi"/>
          <w:sz w:val="24"/>
        </w:rPr>
        <w:t xml:space="preserve">uhradila </w:t>
      </w:r>
      <w:r w:rsidR="00543D48">
        <w:rPr>
          <w:rFonts w:asciiTheme="minorHAnsi" w:eastAsia="Calibri" w:hAnsiTheme="minorHAnsi" w:cstheme="minorHAnsi"/>
          <w:sz w:val="24"/>
        </w:rPr>
        <w:t xml:space="preserve">za realitní služby </w:t>
      </w:r>
      <w:r w:rsidR="00E02067">
        <w:rPr>
          <w:rFonts w:asciiTheme="minorHAnsi" w:eastAsia="Calibri" w:hAnsiTheme="minorHAnsi" w:cstheme="minorHAnsi"/>
          <w:sz w:val="24"/>
        </w:rPr>
        <w:t xml:space="preserve">celkem </w:t>
      </w:r>
      <w:r w:rsidR="00543D48">
        <w:rPr>
          <w:rFonts w:asciiTheme="minorHAnsi" w:eastAsia="Calibri" w:hAnsiTheme="minorHAnsi" w:cstheme="minorHAnsi"/>
          <w:sz w:val="24"/>
        </w:rPr>
        <w:t>1 541 391 Kč bez DPH.</w:t>
      </w:r>
    </w:p>
    <w:p w14:paraId="6E19520D" w14:textId="77777777" w:rsidR="007E144E" w:rsidRDefault="007E144E">
      <w:pPr>
        <w:suppressAutoHyphens w:val="0"/>
        <w:spacing w:before="120" w:after="0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br w:type="page"/>
      </w:r>
    </w:p>
    <w:p w14:paraId="5F4697B6" w14:textId="440273C3" w:rsidR="008236DF" w:rsidRDefault="008236DF" w:rsidP="008236DF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lastRenderedPageBreak/>
        <w:t xml:space="preserve">Tabulka č. </w:t>
      </w:r>
      <w:r w:rsidR="00C005BB">
        <w:rPr>
          <w:rFonts w:asciiTheme="minorHAnsi" w:eastAsia="Calibri" w:hAnsiTheme="minorHAnsi" w:cstheme="minorHAnsi"/>
          <w:sz w:val="24"/>
        </w:rPr>
        <w:t>4</w:t>
      </w:r>
      <w:r w:rsidR="00B343BF">
        <w:rPr>
          <w:rFonts w:asciiTheme="minorHAnsi" w:eastAsia="Calibri" w:hAnsiTheme="minorHAnsi" w:cstheme="minorHAnsi"/>
          <w:sz w:val="24"/>
        </w:rPr>
        <w:t>:</w:t>
      </w:r>
      <w:r w:rsidR="00664724">
        <w:rPr>
          <w:rFonts w:asciiTheme="minorHAnsi" w:eastAsia="Calibri" w:hAnsiTheme="minorHAnsi" w:cstheme="minorHAnsi"/>
          <w:sz w:val="24"/>
        </w:rPr>
        <w:t xml:space="preserve"> </w:t>
      </w:r>
      <w:r w:rsidR="00193DBF">
        <w:rPr>
          <w:rFonts w:asciiTheme="minorHAnsi" w:eastAsia="Calibri" w:hAnsiTheme="minorHAnsi" w:cstheme="minorHAnsi"/>
          <w:sz w:val="24"/>
        </w:rPr>
        <w:t>Přehled s</w:t>
      </w:r>
      <w:r>
        <w:rPr>
          <w:rFonts w:asciiTheme="minorHAnsi" w:eastAsia="Calibri" w:hAnsiTheme="minorHAnsi" w:cstheme="minorHAnsi"/>
          <w:sz w:val="24"/>
        </w:rPr>
        <w:t xml:space="preserve">mluv na </w:t>
      </w:r>
      <w:r w:rsidR="00193DBF">
        <w:rPr>
          <w:rFonts w:asciiTheme="minorHAnsi" w:eastAsia="Calibri" w:hAnsiTheme="minorHAnsi" w:cstheme="minorHAnsi"/>
          <w:sz w:val="24"/>
        </w:rPr>
        <w:t xml:space="preserve">zajišťování </w:t>
      </w:r>
      <w:r>
        <w:rPr>
          <w:rFonts w:asciiTheme="minorHAnsi" w:eastAsia="Calibri" w:hAnsiTheme="minorHAnsi" w:cstheme="minorHAnsi"/>
          <w:sz w:val="24"/>
        </w:rPr>
        <w:t>realitní</w:t>
      </w:r>
      <w:r w:rsidR="00193DBF">
        <w:rPr>
          <w:rFonts w:asciiTheme="minorHAnsi" w:eastAsia="Calibri" w:hAnsiTheme="minorHAnsi" w:cstheme="minorHAnsi"/>
          <w:sz w:val="24"/>
        </w:rPr>
        <w:t>ch</w:t>
      </w:r>
      <w:r>
        <w:rPr>
          <w:rFonts w:asciiTheme="minorHAnsi" w:eastAsia="Calibri" w:hAnsiTheme="minorHAnsi" w:cstheme="minorHAnsi"/>
          <w:sz w:val="24"/>
        </w:rPr>
        <w:t xml:space="preserve"> služ</w:t>
      </w:r>
      <w:r w:rsidR="00193DBF">
        <w:rPr>
          <w:rFonts w:asciiTheme="minorHAnsi" w:eastAsia="Calibri" w:hAnsiTheme="minorHAnsi" w:cstheme="minorHAnsi"/>
          <w:sz w:val="24"/>
        </w:rPr>
        <w:t>eb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2140"/>
        <w:gridCol w:w="1971"/>
        <w:gridCol w:w="1984"/>
      </w:tblGrid>
      <w:tr w:rsidR="00400493" w:rsidRPr="00400493" w14:paraId="5AB9EB2B" w14:textId="77777777" w:rsidTr="00400493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236FEB4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2D61437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Smlouva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9D226C5" w14:textId="3C8F5B9F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Předpokládaná hodnota sml</w:t>
            </w:r>
            <w:r w:rsidR="00E0206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ouvy</w:t>
            </w: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</w:t>
            </w:r>
            <w:r w:rsidR="00E0206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E263487" w14:textId="62BAB6E8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Uhrazeno v letech 2018</w:t>
            </w:r>
            <w:r w:rsidR="00E0206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400493" w:rsidRPr="00400493" w14:paraId="0BC89A0E" w14:textId="77777777" w:rsidTr="00400493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BF71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1E54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52E8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59178AF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v Kč bez DPH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8CF825A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v Kč s DPH</w:t>
            </w:r>
          </w:p>
        </w:tc>
      </w:tr>
      <w:tr w:rsidR="00400493" w:rsidRPr="00400493" w14:paraId="1A5688FC" w14:textId="77777777" w:rsidTr="0040049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905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58E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E006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1 200 000,00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4568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1 157 291,00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911C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1 400 323,50</w:t>
            </w:r>
          </w:p>
        </w:tc>
      </w:tr>
      <w:tr w:rsidR="00400493" w:rsidRPr="00400493" w14:paraId="01A9F9B0" w14:textId="77777777" w:rsidTr="004004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ECAA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EED2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dodatek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9AD5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2 000 000,00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C9D6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0EA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0493" w:rsidRPr="00400493" w14:paraId="2C59986E" w14:textId="77777777" w:rsidTr="00E24499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DC7EE5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0349C5">
              <w:rPr>
                <w:rFonts w:ascii="Calibri" w:hAnsi="Calibri"/>
                <w:color w:val="000000" w:themeColor="text1"/>
                <w:sz w:val="20"/>
                <w:szCs w:val="20"/>
                <w:lang w:eastAsia="cs-CZ"/>
              </w:rPr>
              <w:t>Celkem za poskytovatele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FD0C9B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2 000 000,00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96D99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1 157 291,00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E77E0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1 400 323,50</w:t>
            </w:r>
          </w:p>
        </w:tc>
      </w:tr>
      <w:tr w:rsidR="00400493" w:rsidRPr="00400493" w14:paraId="0F4CB712" w14:textId="77777777" w:rsidTr="0040049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574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8D2D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CD5D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56B5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2337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60 500,00</w:t>
            </w:r>
          </w:p>
        </w:tc>
      </w:tr>
      <w:tr w:rsidR="00400493" w:rsidRPr="00400493" w14:paraId="74C5E9CA" w14:textId="77777777" w:rsidTr="0040049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E8F6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A6A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56C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F62C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C14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54 450,00</w:t>
            </w:r>
          </w:p>
        </w:tc>
      </w:tr>
      <w:tr w:rsidR="00400493" w:rsidRPr="00400493" w14:paraId="32B867EE" w14:textId="77777777" w:rsidTr="007B7F5F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D202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8A9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E62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A7E9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8C55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60 500,00</w:t>
            </w:r>
          </w:p>
        </w:tc>
      </w:tr>
      <w:tr w:rsidR="00400493" w:rsidRPr="00400493" w14:paraId="3DE7A6D2" w14:textId="77777777" w:rsidTr="007B7F5F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7E123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0349C5">
              <w:rPr>
                <w:rFonts w:ascii="Calibri" w:hAnsi="Calibri"/>
                <w:color w:val="000000" w:themeColor="text1"/>
                <w:sz w:val="20"/>
                <w:szCs w:val="20"/>
                <w:lang w:eastAsia="cs-CZ"/>
              </w:rPr>
              <w:t>Celkem za poskytovatele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04E715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145 000,00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221BFF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145 000,00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98D9C7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175 450,00</w:t>
            </w:r>
          </w:p>
        </w:tc>
      </w:tr>
      <w:tr w:rsidR="00400493" w:rsidRPr="00400493" w14:paraId="6C2EF879" w14:textId="77777777" w:rsidTr="0015085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61E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3.</w:t>
            </w:r>
            <w:r w:rsidR="00FE02F1" w:rsidRPr="00FE02F1">
              <w:rPr>
                <w:rFonts w:ascii="Calibri" w:hAnsi="Calibri"/>
                <w:color w:val="000000"/>
                <w:sz w:val="20"/>
                <w:szCs w:val="20"/>
                <w:vertAlign w:val="superscript"/>
                <w:lang w:eastAsia="cs-CZ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D951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BB30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47 500,00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F435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71F1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47 500,00</w:t>
            </w:r>
          </w:p>
        </w:tc>
      </w:tr>
      <w:tr w:rsidR="00400493" w:rsidRPr="00400493" w14:paraId="7CB014B0" w14:textId="77777777" w:rsidTr="00150853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3690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EDA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812E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48 000,00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68F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48 000,00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7BC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48 000,00</w:t>
            </w:r>
          </w:p>
        </w:tc>
      </w:tr>
      <w:tr w:rsidR="00400493" w:rsidRPr="00400493" w14:paraId="57E75458" w14:textId="77777777" w:rsidTr="00150853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ABA3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DE5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E14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44 000,00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E78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D32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44 000,00</w:t>
            </w:r>
          </w:p>
        </w:tc>
      </w:tr>
      <w:tr w:rsidR="00400493" w:rsidRPr="00400493" w14:paraId="1F75154A" w14:textId="77777777" w:rsidTr="00A247D8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A21D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CD3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CFC6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9F98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5AB2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50 000,00</w:t>
            </w:r>
          </w:p>
        </w:tc>
      </w:tr>
      <w:tr w:rsidR="00400493" w:rsidRPr="00400493" w14:paraId="2B1A9440" w14:textId="77777777" w:rsidTr="007B7F5F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7B51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E8C" w14:textId="77777777" w:rsidR="00400493" w:rsidRPr="00400493" w:rsidRDefault="00400493" w:rsidP="00400493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ED2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49 600,00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EF96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49 600,00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2A67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49 600,00</w:t>
            </w:r>
          </w:p>
        </w:tc>
      </w:tr>
      <w:tr w:rsidR="00400493" w:rsidRPr="00400493" w14:paraId="1BFEB5E2" w14:textId="77777777" w:rsidTr="007B7F5F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62521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0349C5">
              <w:rPr>
                <w:rFonts w:ascii="Calibri" w:hAnsi="Calibri"/>
                <w:color w:val="000000" w:themeColor="text1"/>
                <w:sz w:val="20"/>
                <w:szCs w:val="20"/>
                <w:lang w:eastAsia="cs-CZ"/>
              </w:rPr>
              <w:t>Celkem za poskytovatele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BB4093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239 100,00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A91C38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239 100,00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AC81DC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239 100,00</w:t>
            </w:r>
          </w:p>
        </w:tc>
      </w:tr>
      <w:tr w:rsidR="00400493" w:rsidRPr="00400493" w14:paraId="79FAA783" w14:textId="77777777" w:rsidTr="00400493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1594543B" w14:textId="77777777" w:rsidR="00400493" w:rsidRPr="00400493" w:rsidRDefault="00400493" w:rsidP="00400493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76700697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2 384 100,00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42B9C0AC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1 541 391,00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center"/>
            <w:hideMark/>
          </w:tcPr>
          <w:p w14:paraId="6B215D06" w14:textId="77777777" w:rsidR="00400493" w:rsidRPr="00400493" w:rsidRDefault="00400493" w:rsidP="00400493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493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1 814 873,50</w:t>
            </w:r>
          </w:p>
        </w:tc>
      </w:tr>
    </w:tbl>
    <w:p w14:paraId="1FF94201" w14:textId="3007BB72" w:rsidR="00BA0388" w:rsidRPr="00CD3C5C" w:rsidRDefault="00BA0388" w:rsidP="00BA0388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D3C5C">
        <w:rPr>
          <w:rFonts w:asciiTheme="minorHAnsi" w:eastAsia="Calibri" w:hAnsiTheme="minorHAnsi" w:cstheme="minorHAnsi"/>
          <w:sz w:val="20"/>
          <w:szCs w:val="20"/>
        </w:rPr>
        <w:t xml:space="preserve">Zdroj: </w:t>
      </w:r>
      <w:r w:rsidR="00E02067">
        <w:rPr>
          <w:rFonts w:asciiTheme="minorHAnsi" w:eastAsia="Calibri" w:hAnsiTheme="minorHAnsi" w:cstheme="minorHAnsi"/>
          <w:sz w:val="20"/>
          <w:szCs w:val="20"/>
        </w:rPr>
        <w:t>p</w:t>
      </w:r>
      <w:r w:rsidRPr="00CD3C5C">
        <w:rPr>
          <w:rFonts w:asciiTheme="minorHAnsi" w:eastAsia="Calibri" w:hAnsiTheme="minorHAnsi" w:cstheme="minorHAnsi"/>
          <w:sz w:val="20"/>
          <w:szCs w:val="20"/>
        </w:rPr>
        <w:t>odklady NG</w:t>
      </w:r>
      <w:r w:rsidR="00E02067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865EC1E" w14:textId="4FCF25AA" w:rsidR="008236DF" w:rsidRDefault="00CB5F3C" w:rsidP="007B7F5F">
      <w:pPr>
        <w:spacing w:after="0" w:line="240" w:lineRule="auto"/>
        <w:ind w:left="284" w:hanging="284"/>
        <w:rPr>
          <w:rFonts w:asciiTheme="minorHAnsi" w:eastAsia="Calibri" w:hAnsiTheme="minorHAnsi" w:cstheme="minorHAnsi"/>
          <w:sz w:val="20"/>
          <w:szCs w:val="20"/>
        </w:rPr>
      </w:pPr>
      <w:r w:rsidRPr="007B7F5F">
        <w:rPr>
          <w:rFonts w:asciiTheme="minorHAnsi" w:eastAsia="Calibri" w:hAnsiTheme="minorHAnsi" w:cstheme="minorHAnsi"/>
          <w:sz w:val="20"/>
          <w:szCs w:val="20"/>
        </w:rPr>
        <w:t>*</w:t>
      </w:r>
      <w:r w:rsidR="00E02067">
        <w:rPr>
          <w:rFonts w:asciiTheme="minorHAnsi" w:eastAsia="Calibri" w:hAnsiTheme="minorHAnsi" w:cstheme="minorHAnsi"/>
          <w:sz w:val="20"/>
          <w:szCs w:val="20"/>
        </w:rPr>
        <w:tab/>
      </w:r>
      <w:r w:rsidRPr="00CB5F3C">
        <w:rPr>
          <w:rFonts w:asciiTheme="minorHAnsi" w:eastAsia="Calibri" w:hAnsiTheme="minorHAnsi" w:cstheme="minorHAnsi"/>
          <w:sz w:val="20"/>
          <w:szCs w:val="20"/>
        </w:rPr>
        <w:t>Poskytovatel nebyl plátcem DPH</w:t>
      </w:r>
      <w:r w:rsidR="00E02067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92006E0" w14:textId="77777777" w:rsidR="00BA0388" w:rsidRPr="00CB5F3C" w:rsidRDefault="00BA0388" w:rsidP="00CB5F3C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1CB4A042" w14:textId="04779631" w:rsidR="001250F1" w:rsidRPr="003C7E07" w:rsidRDefault="001250F1" w:rsidP="003C7E07">
      <w:pPr>
        <w:pStyle w:val="Odstavecseseznamem"/>
        <w:numPr>
          <w:ilvl w:val="0"/>
          <w:numId w:val="6"/>
        </w:numPr>
        <w:spacing w:before="120" w:after="0" w:line="240" w:lineRule="auto"/>
        <w:ind w:left="426"/>
        <w:rPr>
          <w:rFonts w:asciiTheme="minorHAnsi" w:eastAsia="Calibri" w:hAnsiTheme="minorHAnsi" w:cstheme="minorHAnsi"/>
          <w:b/>
          <w:sz w:val="24"/>
        </w:rPr>
      </w:pPr>
      <w:r w:rsidRPr="003C7E07">
        <w:rPr>
          <w:rFonts w:asciiTheme="minorHAnsi" w:eastAsia="Calibri" w:hAnsiTheme="minorHAnsi" w:cstheme="minorHAnsi"/>
          <w:sz w:val="24"/>
        </w:rPr>
        <w:t>NG uzavřela s </w:t>
      </w:r>
      <w:r w:rsidR="00744A8D" w:rsidRPr="003C7E07">
        <w:rPr>
          <w:rFonts w:asciiTheme="minorHAnsi" w:eastAsia="Calibri" w:hAnsiTheme="minorHAnsi" w:cstheme="minorHAnsi"/>
          <w:sz w:val="24"/>
        </w:rPr>
        <w:t>poskyto</w:t>
      </w:r>
      <w:r w:rsidRPr="003C7E07">
        <w:rPr>
          <w:rFonts w:asciiTheme="minorHAnsi" w:eastAsia="Calibri" w:hAnsiTheme="minorHAnsi" w:cstheme="minorHAnsi"/>
          <w:sz w:val="24"/>
        </w:rPr>
        <w:t xml:space="preserve">vatelem napřímo </w:t>
      </w:r>
      <w:r w:rsidR="00AC7038">
        <w:rPr>
          <w:rFonts w:asciiTheme="minorHAnsi" w:eastAsia="Calibri" w:hAnsiTheme="minorHAnsi" w:cstheme="minorHAnsi"/>
          <w:sz w:val="24"/>
        </w:rPr>
        <w:t>(</w:t>
      </w:r>
      <w:r w:rsidRPr="003C7E07">
        <w:rPr>
          <w:rFonts w:asciiTheme="minorHAnsi" w:eastAsia="Calibri" w:hAnsiTheme="minorHAnsi" w:cstheme="minorHAnsi"/>
          <w:sz w:val="24"/>
        </w:rPr>
        <w:t>bez výběrového říze</w:t>
      </w:r>
      <w:r w:rsidR="008C563A" w:rsidRPr="003C7E07">
        <w:rPr>
          <w:rFonts w:asciiTheme="minorHAnsi" w:eastAsia="Calibri" w:hAnsiTheme="minorHAnsi" w:cstheme="minorHAnsi"/>
          <w:sz w:val="24"/>
        </w:rPr>
        <w:t>ní</w:t>
      </w:r>
      <w:r w:rsidR="00AC7038">
        <w:rPr>
          <w:rFonts w:asciiTheme="minorHAnsi" w:eastAsia="Calibri" w:hAnsiTheme="minorHAnsi" w:cstheme="minorHAnsi"/>
          <w:sz w:val="24"/>
        </w:rPr>
        <w:t>)</w:t>
      </w:r>
      <w:r w:rsidRPr="003C7E07">
        <w:rPr>
          <w:rFonts w:asciiTheme="minorHAnsi" w:eastAsia="Calibri" w:hAnsiTheme="minorHAnsi" w:cstheme="minorHAnsi"/>
          <w:sz w:val="24"/>
        </w:rPr>
        <w:t xml:space="preserve"> v listopadu 2017 smlouvu</w:t>
      </w:r>
      <w:r w:rsidRPr="003C7E07">
        <w:rPr>
          <w:rFonts w:asciiTheme="minorHAnsi" w:hAnsiTheme="minorHAnsi" w:cstheme="minorHAnsi"/>
          <w:color w:val="000000" w:themeColor="text1"/>
          <w:sz w:val="24"/>
        </w:rPr>
        <w:t xml:space="preserve"> na dobu určitou</w:t>
      </w:r>
      <w:r w:rsidR="008C563A" w:rsidRPr="003C7E07">
        <w:rPr>
          <w:rFonts w:asciiTheme="minorHAnsi" w:hAnsiTheme="minorHAnsi" w:cstheme="minorHAnsi"/>
          <w:color w:val="000000" w:themeColor="text1"/>
          <w:sz w:val="24"/>
        </w:rPr>
        <w:t xml:space="preserve"> do</w:t>
      </w:r>
      <w:r w:rsidRPr="003C7E07">
        <w:rPr>
          <w:rFonts w:asciiTheme="minorHAnsi" w:hAnsiTheme="minorHAnsi" w:cstheme="minorHAnsi"/>
          <w:color w:val="000000" w:themeColor="text1"/>
          <w:sz w:val="24"/>
        </w:rPr>
        <w:t xml:space="preserve"> konce roku 2019</w:t>
      </w:r>
      <w:r w:rsidRPr="003C7E07">
        <w:rPr>
          <w:rFonts w:asciiTheme="minorHAnsi" w:eastAsia="Calibri" w:hAnsiTheme="minorHAnsi" w:cstheme="minorHAnsi"/>
          <w:sz w:val="24"/>
        </w:rPr>
        <w:t>, její</w:t>
      </w:r>
      <w:r w:rsidR="00A80488">
        <w:rPr>
          <w:rFonts w:asciiTheme="minorHAnsi" w:eastAsia="Calibri" w:hAnsiTheme="minorHAnsi" w:cstheme="minorHAnsi"/>
          <w:sz w:val="24"/>
        </w:rPr>
        <w:t>m</w:t>
      </w:r>
      <w:r w:rsidRPr="003C7E07">
        <w:rPr>
          <w:rFonts w:asciiTheme="minorHAnsi" w:eastAsia="Calibri" w:hAnsiTheme="minorHAnsi" w:cstheme="minorHAnsi"/>
          <w:sz w:val="24"/>
        </w:rPr>
        <w:t xml:space="preserve">ž předmětem bylo </w:t>
      </w:r>
      <w:r w:rsidRPr="003C7E07">
        <w:rPr>
          <w:rFonts w:asciiTheme="minorHAnsi" w:hAnsiTheme="minorHAnsi" w:cstheme="minorHAnsi"/>
          <w:sz w:val="24"/>
        </w:rPr>
        <w:t>p</w:t>
      </w:r>
      <w:r w:rsidRPr="003C7E07">
        <w:rPr>
          <w:rFonts w:asciiTheme="minorHAnsi" w:hAnsiTheme="minorHAnsi" w:cstheme="minorHAnsi"/>
          <w:color w:val="000000" w:themeColor="text1"/>
          <w:sz w:val="24"/>
        </w:rPr>
        <w:t>oskytování specializovaných i obvyklých realitních služeb v předpokládané výši plnění 1 200 000 Kč bez DPH</w:t>
      </w:r>
      <w:r w:rsidRPr="003C7E07">
        <w:rPr>
          <w:rFonts w:asciiTheme="minorHAnsi" w:eastAsia="Calibri" w:hAnsiTheme="minorHAnsi" w:cstheme="minorHAnsi"/>
          <w:sz w:val="24"/>
        </w:rPr>
        <w:t>. Již o necelého půl roku později dodatkem upravila výši plnění až na</w:t>
      </w:r>
      <w:r w:rsidR="000349C5">
        <w:rPr>
          <w:rFonts w:asciiTheme="minorHAnsi" w:eastAsia="Calibri" w:hAnsiTheme="minorHAnsi" w:cstheme="minorHAnsi"/>
          <w:sz w:val="24"/>
        </w:rPr>
        <w:t xml:space="preserve"> </w:t>
      </w:r>
      <w:r w:rsidRPr="003C7E07">
        <w:rPr>
          <w:rFonts w:asciiTheme="minorHAnsi" w:eastAsia="Calibri" w:hAnsiTheme="minorHAnsi" w:cstheme="minorHAnsi"/>
          <w:sz w:val="24"/>
        </w:rPr>
        <w:t>2 000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Pr="003C7E07">
        <w:rPr>
          <w:rFonts w:asciiTheme="minorHAnsi" w:eastAsia="Calibri" w:hAnsiTheme="minorHAnsi" w:cstheme="minorHAnsi"/>
          <w:sz w:val="24"/>
        </w:rPr>
        <w:t>000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Pr="003C7E07">
        <w:rPr>
          <w:rFonts w:asciiTheme="minorHAnsi" w:eastAsia="Calibri" w:hAnsiTheme="minorHAnsi" w:cstheme="minorHAnsi"/>
          <w:sz w:val="24"/>
        </w:rPr>
        <w:t xml:space="preserve">Kč bez DPH. </w:t>
      </w:r>
    </w:p>
    <w:p w14:paraId="5874D87F" w14:textId="109318A5" w:rsidR="001250F1" w:rsidRPr="003C7E07" w:rsidRDefault="001250F1" w:rsidP="003C7E07">
      <w:pPr>
        <w:pStyle w:val="Odstavecseseznamem"/>
        <w:numPr>
          <w:ilvl w:val="0"/>
          <w:numId w:val="6"/>
        </w:numPr>
        <w:spacing w:before="120" w:after="0" w:line="240" w:lineRule="auto"/>
        <w:ind w:left="426"/>
        <w:rPr>
          <w:rFonts w:asciiTheme="minorHAnsi" w:eastAsia="Calibri" w:hAnsiTheme="minorHAnsi" w:cstheme="minorHAnsi"/>
          <w:sz w:val="24"/>
        </w:rPr>
      </w:pPr>
      <w:r w:rsidRPr="003C7E07">
        <w:rPr>
          <w:rFonts w:asciiTheme="minorHAnsi" w:eastAsia="Calibri" w:hAnsiTheme="minorHAnsi" w:cstheme="minorHAnsi"/>
          <w:sz w:val="24"/>
        </w:rPr>
        <w:t xml:space="preserve">NG </w:t>
      </w:r>
      <w:r w:rsidR="00AC7038">
        <w:rPr>
          <w:rFonts w:asciiTheme="minorHAnsi" w:eastAsia="Calibri" w:hAnsiTheme="minorHAnsi" w:cstheme="minorHAnsi"/>
          <w:sz w:val="24"/>
        </w:rPr>
        <w:t>v</w:t>
      </w:r>
      <w:r w:rsidR="00AC7038" w:rsidRPr="003C7E07">
        <w:rPr>
          <w:rFonts w:asciiTheme="minorHAnsi" w:eastAsia="Calibri" w:hAnsiTheme="minorHAnsi" w:cstheme="minorHAnsi"/>
          <w:sz w:val="24"/>
        </w:rPr>
        <w:t xml:space="preserve"> červenci 2018</w:t>
      </w:r>
      <w:r w:rsidR="00AC7038">
        <w:rPr>
          <w:rFonts w:asciiTheme="minorHAnsi" w:eastAsia="Calibri" w:hAnsiTheme="minorHAnsi" w:cstheme="minorHAnsi"/>
          <w:sz w:val="24"/>
        </w:rPr>
        <w:t xml:space="preserve"> </w:t>
      </w:r>
      <w:r w:rsidRPr="003C7E07">
        <w:rPr>
          <w:rFonts w:asciiTheme="minorHAnsi" w:eastAsia="Calibri" w:hAnsiTheme="minorHAnsi" w:cstheme="minorHAnsi"/>
          <w:sz w:val="24"/>
        </w:rPr>
        <w:t xml:space="preserve">uzavřela s druhým </w:t>
      </w:r>
      <w:r w:rsidR="00744A8D" w:rsidRPr="003C7E07">
        <w:rPr>
          <w:rFonts w:asciiTheme="minorHAnsi" w:eastAsia="Calibri" w:hAnsiTheme="minorHAnsi" w:cstheme="minorHAnsi"/>
          <w:sz w:val="24"/>
        </w:rPr>
        <w:t>poskyto</w:t>
      </w:r>
      <w:r w:rsidRPr="003C7E07">
        <w:rPr>
          <w:rFonts w:asciiTheme="minorHAnsi" w:eastAsia="Calibri" w:hAnsiTheme="minorHAnsi" w:cstheme="minorHAnsi"/>
          <w:sz w:val="24"/>
        </w:rPr>
        <w:t xml:space="preserve">vatelem napřímo </w:t>
      </w:r>
      <w:r w:rsidR="00D55052">
        <w:rPr>
          <w:rFonts w:asciiTheme="minorHAnsi" w:eastAsia="Calibri" w:hAnsiTheme="minorHAnsi" w:cstheme="minorHAnsi"/>
          <w:sz w:val="24"/>
        </w:rPr>
        <w:t>tři</w:t>
      </w:r>
      <w:r w:rsidRPr="003C7E07">
        <w:rPr>
          <w:rFonts w:asciiTheme="minorHAnsi" w:eastAsia="Calibri" w:hAnsiTheme="minorHAnsi" w:cstheme="minorHAnsi"/>
          <w:sz w:val="24"/>
        </w:rPr>
        <w:t xml:space="preserve"> smlouvy </w:t>
      </w:r>
      <w:r w:rsidR="00D55052">
        <w:rPr>
          <w:rFonts w:asciiTheme="minorHAnsi" w:eastAsia="Calibri" w:hAnsiTheme="minorHAnsi" w:cstheme="minorHAnsi"/>
          <w:sz w:val="24"/>
        </w:rPr>
        <w:t>v jeden den</w:t>
      </w:r>
      <w:r w:rsidRPr="003C7E07">
        <w:rPr>
          <w:rFonts w:asciiTheme="minorHAnsi" w:eastAsia="Calibri" w:hAnsiTheme="minorHAnsi" w:cstheme="minorHAnsi"/>
          <w:sz w:val="24"/>
        </w:rPr>
        <w:t xml:space="preserve">, předmětem </w:t>
      </w:r>
      <w:r w:rsidR="00BF0417">
        <w:rPr>
          <w:rFonts w:asciiTheme="minorHAnsi" w:eastAsia="Calibri" w:hAnsiTheme="minorHAnsi" w:cstheme="minorHAnsi"/>
          <w:sz w:val="24"/>
        </w:rPr>
        <w:t xml:space="preserve">těchto smluv </w:t>
      </w:r>
      <w:r w:rsidRPr="003C7E07">
        <w:rPr>
          <w:rFonts w:asciiTheme="minorHAnsi" w:eastAsia="Calibri" w:hAnsiTheme="minorHAnsi" w:cstheme="minorHAnsi"/>
          <w:sz w:val="24"/>
        </w:rPr>
        <w:t xml:space="preserve">bylo poskytnutí realitních služeb </w:t>
      </w:r>
      <w:r w:rsidR="00BF0417">
        <w:rPr>
          <w:rFonts w:asciiTheme="minorHAnsi" w:eastAsia="Calibri" w:hAnsiTheme="minorHAnsi" w:cstheme="minorHAnsi"/>
          <w:sz w:val="24"/>
        </w:rPr>
        <w:t xml:space="preserve">a </w:t>
      </w:r>
      <w:r w:rsidRPr="003C7E07">
        <w:rPr>
          <w:rFonts w:asciiTheme="minorHAnsi" w:eastAsia="Calibri" w:hAnsiTheme="minorHAnsi" w:cstheme="minorHAnsi"/>
          <w:sz w:val="24"/>
        </w:rPr>
        <w:t xml:space="preserve">jejich hodnota činila </w:t>
      </w:r>
      <w:r w:rsidR="00BF0417" w:rsidRPr="003C7E07">
        <w:rPr>
          <w:rFonts w:asciiTheme="minorHAnsi" w:eastAsia="Calibri" w:hAnsiTheme="minorHAnsi" w:cstheme="minorHAnsi"/>
          <w:sz w:val="24"/>
        </w:rPr>
        <w:t xml:space="preserve">celkem </w:t>
      </w:r>
      <w:r w:rsidRPr="003C7E07">
        <w:rPr>
          <w:rFonts w:asciiTheme="minorHAnsi" w:eastAsia="Calibri" w:hAnsiTheme="minorHAnsi" w:cstheme="minorHAnsi"/>
          <w:sz w:val="24"/>
        </w:rPr>
        <w:t>145 000 Kč bez DPH</w:t>
      </w:r>
      <w:r w:rsidR="00BF0417">
        <w:rPr>
          <w:rFonts w:asciiTheme="minorHAnsi" w:eastAsia="Calibri" w:hAnsiTheme="minorHAnsi" w:cstheme="minorHAnsi"/>
          <w:sz w:val="24"/>
        </w:rPr>
        <w:t>,</w:t>
      </w:r>
      <w:r w:rsidRPr="003C7E07">
        <w:rPr>
          <w:rFonts w:asciiTheme="minorHAnsi" w:eastAsia="Calibri" w:hAnsiTheme="minorHAnsi" w:cstheme="minorHAnsi"/>
          <w:sz w:val="24"/>
        </w:rPr>
        <w:t xml:space="preserve"> jednotlivě nepřekročila 50 000 Kč bez DPH</w:t>
      </w:r>
      <w:r w:rsidR="00097A13">
        <w:rPr>
          <w:rFonts w:asciiTheme="minorHAnsi" w:eastAsia="Calibri" w:hAnsiTheme="minorHAnsi" w:cstheme="minorHAnsi"/>
          <w:sz w:val="24"/>
        </w:rPr>
        <w:t>.</w:t>
      </w:r>
      <w:r w:rsidRPr="003C7E07">
        <w:rPr>
          <w:rFonts w:asciiTheme="minorHAnsi" w:eastAsia="Calibri" w:hAnsiTheme="minorHAnsi" w:cstheme="minorHAnsi"/>
          <w:sz w:val="24"/>
        </w:rPr>
        <w:t xml:space="preserve"> </w:t>
      </w:r>
      <w:r w:rsidR="00097A13">
        <w:rPr>
          <w:rFonts w:asciiTheme="minorHAnsi" w:eastAsia="Calibri" w:hAnsiTheme="minorHAnsi" w:cstheme="minorHAnsi"/>
          <w:sz w:val="24"/>
        </w:rPr>
        <w:t>Tímto způsobem NG obcházela</w:t>
      </w:r>
      <w:r w:rsidRPr="003C7E07">
        <w:rPr>
          <w:rFonts w:asciiTheme="minorHAnsi" w:eastAsia="Calibri" w:hAnsiTheme="minorHAnsi" w:cstheme="minorHAnsi"/>
          <w:sz w:val="24"/>
        </w:rPr>
        <w:t xml:space="preserve"> </w:t>
      </w:r>
      <w:r w:rsidR="00097A13">
        <w:rPr>
          <w:rFonts w:asciiTheme="minorHAnsi" w:eastAsia="Calibri" w:hAnsiTheme="minorHAnsi" w:cstheme="minorHAnsi"/>
          <w:sz w:val="24"/>
        </w:rPr>
        <w:t>zákon o</w:t>
      </w:r>
      <w:r w:rsidRPr="003C7E07">
        <w:rPr>
          <w:rFonts w:asciiTheme="minorHAnsi" w:eastAsia="Calibri" w:hAnsiTheme="minorHAnsi" w:cstheme="minorHAnsi"/>
          <w:sz w:val="24"/>
        </w:rPr>
        <w:t> registru smluv</w:t>
      </w:r>
      <w:r w:rsidR="00D76F24">
        <w:rPr>
          <w:rStyle w:val="Znakapoznpodarou"/>
          <w:rFonts w:asciiTheme="minorHAnsi" w:eastAsia="Calibri" w:hAnsiTheme="minorHAnsi" w:cstheme="minorHAnsi"/>
          <w:sz w:val="24"/>
        </w:rPr>
        <w:footnoteReference w:id="25"/>
      </w:r>
      <w:r w:rsidRPr="003C7E07">
        <w:rPr>
          <w:rFonts w:asciiTheme="minorHAnsi" w:eastAsia="Calibri" w:hAnsiTheme="minorHAnsi" w:cstheme="minorHAnsi"/>
          <w:sz w:val="24"/>
        </w:rPr>
        <w:t xml:space="preserve">. </w:t>
      </w:r>
    </w:p>
    <w:p w14:paraId="15A255C8" w14:textId="6B9424D8" w:rsidR="001209C6" w:rsidRPr="0011310D" w:rsidRDefault="001250F1" w:rsidP="001209C6">
      <w:pPr>
        <w:pStyle w:val="Odstavecseseznamem"/>
        <w:numPr>
          <w:ilvl w:val="0"/>
          <w:numId w:val="6"/>
        </w:numPr>
        <w:spacing w:before="120" w:after="0" w:line="240" w:lineRule="auto"/>
        <w:ind w:left="426"/>
        <w:rPr>
          <w:rFonts w:asciiTheme="minorHAnsi" w:eastAsia="Calibri" w:hAnsiTheme="minorHAnsi" w:cstheme="minorHAnsi"/>
          <w:sz w:val="24"/>
        </w:rPr>
      </w:pPr>
      <w:r w:rsidRPr="001209C6">
        <w:rPr>
          <w:rFonts w:asciiTheme="minorHAnsi" w:eastAsia="Calibri" w:hAnsiTheme="minorHAnsi" w:cstheme="minorHAnsi"/>
          <w:sz w:val="24"/>
        </w:rPr>
        <w:t xml:space="preserve">NG uzavřela s třetím </w:t>
      </w:r>
      <w:r w:rsidR="00744A8D" w:rsidRPr="001209C6">
        <w:rPr>
          <w:rFonts w:asciiTheme="minorHAnsi" w:eastAsia="Calibri" w:hAnsiTheme="minorHAnsi" w:cstheme="minorHAnsi"/>
          <w:sz w:val="24"/>
        </w:rPr>
        <w:t>poskyto</w:t>
      </w:r>
      <w:r w:rsidRPr="001209C6">
        <w:rPr>
          <w:rFonts w:asciiTheme="minorHAnsi" w:eastAsia="Calibri" w:hAnsiTheme="minorHAnsi" w:cstheme="minorHAnsi"/>
          <w:sz w:val="24"/>
        </w:rPr>
        <w:t>vatelem napřímo</w:t>
      </w:r>
      <w:r w:rsidR="00D55052">
        <w:rPr>
          <w:rFonts w:asciiTheme="minorHAnsi" w:eastAsia="Calibri" w:hAnsiTheme="minorHAnsi" w:cstheme="minorHAnsi"/>
          <w:sz w:val="24"/>
        </w:rPr>
        <w:t xml:space="preserve"> během dvou dnů</w:t>
      </w:r>
      <w:r w:rsidRPr="001209C6">
        <w:rPr>
          <w:rFonts w:asciiTheme="minorHAnsi" w:eastAsia="Calibri" w:hAnsiTheme="minorHAnsi" w:cstheme="minorHAnsi"/>
          <w:sz w:val="24"/>
        </w:rPr>
        <w:t xml:space="preserve"> v červenci a srpnu 2018 dalších </w:t>
      </w:r>
      <w:r w:rsidR="00D55052">
        <w:rPr>
          <w:rFonts w:asciiTheme="minorHAnsi" w:eastAsia="Calibri" w:hAnsiTheme="minorHAnsi" w:cstheme="minorHAnsi"/>
          <w:sz w:val="24"/>
        </w:rPr>
        <w:t>pět</w:t>
      </w:r>
      <w:r w:rsidRPr="001209C6">
        <w:rPr>
          <w:rFonts w:asciiTheme="minorHAnsi" w:eastAsia="Calibri" w:hAnsiTheme="minorHAnsi" w:cstheme="minorHAnsi"/>
          <w:sz w:val="24"/>
        </w:rPr>
        <w:t xml:space="preserve"> smluv, jejichž předmětem bylo poskytnutí realitních služeb </w:t>
      </w:r>
      <w:r w:rsidR="00BF0417">
        <w:rPr>
          <w:rFonts w:asciiTheme="minorHAnsi" w:eastAsia="Calibri" w:hAnsiTheme="minorHAnsi" w:cstheme="minorHAnsi"/>
          <w:sz w:val="24"/>
        </w:rPr>
        <w:t xml:space="preserve">a </w:t>
      </w:r>
      <w:r w:rsidRPr="001209C6">
        <w:rPr>
          <w:rFonts w:asciiTheme="minorHAnsi" w:eastAsia="Calibri" w:hAnsiTheme="minorHAnsi" w:cstheme="minorHAnsi"/>
          <w:sz w:val="24"/>
        </w:rPr>
        <w:t xml:space="preserve">jejichž hodnota činila </w:t>
      </w:r>
      <w:r w:rsidR="00BF0417" w:rsidRPr="001209C6">
        <w:rPr>
          <w:rFonts w:asciiTheme="minorHAnsi" w:eastAsia="Calibri" w:hAnsiTheme="minorHAnsi" w:cstheme="minorHAnsi"/>
          <w:sz w:val="24"/>
        </w:rPr>
        <w:t xml:space="preserve">celkem </w:t>
      </w:r>
      <w:r w:rsidRPr="001209C6">
        <w:rPr>
          <w:rFonts w:asciiTheme="minorHAnsi" w:eastAsia="Calibri" w:hAnsiTheme="minorHAnsi" w:cstheme="minorHAnsi"/>
          <w:sz w:val="24"/>
        </w:rPr>
        <w:t xml:space="preserve">239 100 Kč bez </w:t>
      </w:r>
      <w:r w:rsidRPr="0011310D">
        <w:rPr>
          <w:rFonts w:asciiTheme="minorHAnsi" w:eastAsia="Calibri" w:hAnsiTheme="minorHAnsi" w:cstheme="minorHAnsi"/>
          <w:sz w:val="24"/>
        </w:rPr>
        <w:t>DPH a jednotlivě nepřekročila 50 000 Kč bez DPH</w:t>
      </w:r>
      <w:r w:rsidR="001209C6" w:rsidRPr="0011310D">
        <w:rPr>
          <w:rFonts w:asciiTheme="minorHAnsi" w:eastAsia="Calibri" w:hAnsiTheme="minorHAnsi" w:cstheme="minorHAnsi"/>
          <w:sz w:val="24"/>
        </w:rPr>
        <w:t>.</w:t>
      </w:r>
      <w:r w:rsidRPr="0011310D">
        <w:rPr>
          <w:rFonts w:asciiTheme="minorHAnsi" w:eastAsia="Calibri" w:hAnsiTheme="minorHAnsi" w:cstheme="minorHAnsi"/>
          <w:sz w:val="24"/>
        </w:rPr>
        <w:t xml:space="preserve"> </w:t>
      </w:r>
      <w:r w:rsidR="001209C6" w:rsidRPr="0011310D">
        <w:rPr>
          <w:rFonts w:asciiTheme="minorHAnsi" w:eastAsia="Calibri" w:hAnsiTheme="minorHAnsi" w:cstheme="minorHAnsi"/>
          <w:sz w:val="24"/>
        </w:rPr>
        <w:t>Tímto způsobem NG obcházela zákon o registru smluv</w:t>
      </w:r>
      <w:r w:rsidR="00DF0479" w:rsidRPr="0011310D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5</w:t>
      </w:r>
      <w:r w:rsidR="001209C6" w:rsidRPr="0011310D">
        <w:rPr>
          <w:rFonts w:asciiTheme="minorHAnsi" w:eastAsia="Calibri" w:hAnsiTheme="minorHAnsi" w:cstheme="minorHAnsi"/>
          <w:sz w:val="24"/>
        </w:rPr>
        <w:t>.</w:t>
      </w:r>
    </w:p>
    <w:p w14:paraId="0FC1A4BD" w14:textId="77777777" w:rsidR="00B748B4" w:rsidRPr="001209C6" w:rsidRDefault="00B748B4" w:rsidP="001209C6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1209C6">
        <w:rPr>
          <w:rFonts w:asciiTheme="minorHAnsi" w:eastAsia="Calibri" w:hAnsiTheme="minorHAnsi" w:cstheme="minorHAnsi"/>
          <w:sz w:val="24"/>
        </w:rPr>
        <w:t xml:space="preserve">NG jako veřejný zadavatel nedodržela postup stanovený zákonem o zadávání veřejných zakázek, když </w:t>
      </w:r>
      <w:r w:rsidR="00111926">
        <w:rPr>
          <w:rFonts w:asciiTheme="minorHAnsi" w:eastAsia="Calibri" w:hAnsiTheme="minorHAnsi" w:cstheme="minorHAnsi"/>
          <w:sz w:val="24"/>
        </w:rPr>
        <w:t>při zadání veřejné zakázky</w:t>
      </w:r>
      <w:r w:rsidRPr="001209C6">
        <w:rPr>
          <w:rFonts w:asciiTheme="minorHAnsi" w:eastAsia="Calibri" w:hAnsiTheme="minorHAnsi" w:cstheme="minorHAnsi"/>
          <w:sz w:val="24"/>
        </w:rPr>
        <w:t xml:space="preserve"> na poskytování realitních služeb</w:t>
      </w:r>
      <w:r w:rsidR="00D615BF">
        <w:rPr>
          <w:rFonts w:asciiTheme="minorHAnsi" w:eastAsia="Calibri" w:hAnsiTheme="minorHAnsi" w:cstheme="minorHAnsi"/>
          <w:sz w:val="24"/>
        </w:rPr>
        <w:t xml:space="preserve"> </w:t>
      </w:r>
      <w:r w:rsidR="00836F9C">
        <w:rPr>
          <w:rFonts w:asciiTheme="minorHAnsi" w:eastAsia="Calibri" w:hAnsiTheme="minorHAnsi" w:cstheme="minorHAnsi"/>
          <w:sz w:val="24"/>
        </w:rPr>
        <w:t>nevyužila žádný z druhů</w:t>
      </w:r>
      <w:r w:rsidR="00836F9C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836F9C">
        <w:rPr>
          <w:rFonts w:asciiTheme="minorHAnsi" w:eastAsia="Calibri" w:hAnsiTheme="minorHAnsi" w:cstheme="minorHAnsi"/>
          <w:sz w:val="24"/>
        </w:rPr>
        <w:t xml:space="preserve"> </w:t>
      </w:r>
      <w:r w:rsidR="00D615BF">
        <w:rPr>
          <w:rFonts w:asciiTheme="minorHAnsi" w:eastAsia="Calibri" w:hAnsiTheme="minorHAnsi" w:cstheme="minorHAnsi"/>
          <w:sz w:val="24"/>
        </w:rPr>
        <w:t>zadávací</w:t>
      </w:r>
      <w:r w:rsidR="00836F9C">
        <w:rPr>
          <w:rFonts w:asciiTheme="minorHAnsi" w:eastAsia="Calibri" w:hAnsiTheme="minorHAnsi" w:cstheme="minorHAnsi"/>
          <w:sz w:val="24"/>
        </w:rPr>
        <w:t>ho</w:t>
      </w:r>
      <w:r w:rsidR="00D615BF">
        <w:rPr>
          <w:rFonts w:asciiTheme="minorHAnsi" w:eastAsia="Calibri" w:hAnsiTheme="minorHAnsi" w:cstheme="minorHAnsi"/>
          <w:sz w:val="24"/>
        </w:rPr>
        <w:t xml:space="preserve"> řízení</w:t>
      </w:r>
      <w:r w:rsidRPr="001209C6">
        <w:rPr>
          <w:rFonts w:asciiTheme="minorHAnsi" w:eastAsia="Calibri" w:hAnsiTheme="minorHAnsi" w:cstheme="minorHAnsi"/>
          <w:sz w:val="24"/>
        </w:rPr>
        <w:t xml:space="preserve">. </w:t>
      </w:r>
      <w:r w:rsidR="00DA6726" w:rsidRPr="00392852">
        <w:rPr>
          <w:rFonts w:asciiTheme="minorHAnsi" w:eastAsia="Calibri" w:hAnsiTheme="minorHAnsi" w:cstheme="minorHAnsi"/>
          <w:sz w:val="24"/>
        </w:rPr>
        <w:t>Dle NKÚ se jedná o skutečnosti nasvědčující porušení rozpočtové kázně</w:t>
      </w:r>
      <w:r w:rsidR="00DF0479" w:rsidRPr="007B7F5F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7D3EE4" w:rsidRPr="007B7F5F">
        <w:rPr>
          <w:rFonts w:asciiTheme="minorHAnsi" w:eastAsia="Calibri" w:hAnsiTheme="minorHAnsi" w:cstheme="minorHAnsi"/>
          <w:sz w:val="24"/>
          <w:vertAlign w:val="superscript"/>
        </w:rPr>
        <w:t>4</w:t>
      </w:r>
      <w:r w:rsidR="00DA6726" w:rsidRPr="00392852">
        <w:rPr>
          <w:rFonts w:asciiTheme="minorHAnsi" w:eastAsia="Calibri" w:hAnsiTheme="minorHAnsi" w:cstheme="minorHAnsi"/>
          <w:sz w:val="24"/>
        </w:rPr>
        <w:t xml:space="preserve">. </w:t>
      </w:r>
    </w:p>
    <w:p w14:paraId="627582CF" w14:textId="77777777" w:rsidR="00F7261D" w:rsidRDefault="00F7261D">
      <w:pPr>
        <w:suppressAutoHyphens w:val="0"/>
        <w:spacing w:before="120" w:after="0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br w:type="page"/>
      </w:r>
    </w:p>
    <w:p w14:paraId="12D99A4A" w14:textId="3250D7DA" w:rsidR="00E148D7" w:rsidRPr="00BB7A07" w:rsidRDefault="00E148D7" w:rsidP="00E148D7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510629">
        <w:rPr>
          <w:rFonts w:asciiTheme="minorHAnsi" w:eastAsia="Calibri" w:hAnsiTheme="minorHAnsi" w:cstheme="minorHAnsi"/>
          <w:b/>
          <w:sz w:val="24"/>
        </w:rPr>
        <w:lastRenderedPageBreak/>
        <w:t xml:space="preserve">NG </w:t>
      </w:r>
      <w:r w:rsidR="00D615BF">
        <w:rPr>
          <w:rFonts w:asciiTheme="minorHAnsi" w:eastAsia="Calibri" w:hAnsiTheme="minorHAnsi" w:cstheme="minorHAnsi"/>
          <w:b/>
          <w:sz w:val="24"/>
        </w:rPr>
        <w:t>nezadala</w:t>
      </w:r>
      <w:r w:rsidRPr="00510629">
        <w:rPr>
          <w:rFonts w:asciiTheme="minorHAnsi" w:eastAsia="Calibri" w:hAnsiTheme="minorHAnsi" w:cstheme="minorHAnsi"/>
          <w:b/>
          <w:sz w:val="24"/>
        </w:rPr>
        <w:t xml:space="preserve"> veřejnou zakázku na </w:t>
      </w:r>
      <w:r w:rsidR="004B6158">
        <w:rPr>
          <w:rFonts w:asciiTheme="minorHAnsi" w:eastAsia="Calibri" w:hAnsiTheme="minorHAnsi" w:cstheme="minorHAnsi"/>
          <w:b/>
          <w:sz w:val="24"/>
        </w:rPr>
        <w:t>úklidové</w:t>
      </w:r>
      <w:r w:rsidRPr="00510629">
        <w:rPr>
          <w:rFonts w:asciiTheme="minorHAnsi" w:eastAsia="Calibri" w:hAnsiTheme="minorHAnsi" w:cstheme="minorHAnsi"/>
          <w:b/>
          <w:sz w:val="24"/>
        </w:rPr>
        <w:t xml:space="preserve"> služby</w:t>
      </w:r>
      <w:r w:rsidR="00D615BF">
        <w:rPr>
          <w:rFonts w:asciiTheme="minorHAnsi" w:eastAsia="Calibri" w:hAnsiTheme="minorHAnsi" w:cstheme="minorHAnsi"/>
          <w:b/>
          <w:sz w:val="24"/>
        </w:rPr>
        <w:t xml:space="preserve"> v zadávacím řízení</w:t>
      </w:r>
    </w:p>
    <w:p w14:paraId="4100C221" w14:textId="77777777" w:rsidR="00122B6E" w:rsidRDefault="00923033" w:rsidP="00583B16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Úklidové služby v objektech NG </w:t>
      </w:r>
      <w:r w:rsidR="003E510D">
        <w:rPr>
          <w:rFonts w:asciiTheme="minorHAnsi" w:eastAsia="Calibri" w:hAnsiTheme="minorHAnsi" w:cstheme="minorHAnsi"/>
          <w:sz w:val="24"/>
        </w:rPr>
        <w:t>kromě</w:t>
      </w:r>
      <w:r>
        <w:rPr>
          <w:rFonts w:asciiTheme="minorHAnsi" w:eastAsia="Calibri" w:hAnsiTheme="minorHAnsi" w:cstheme="minorHAnsi"/>
          <w:sz w:val="24"/>
        </w:rPr>
        <w:t xml:space="preserve"> Česk</w:t>
      </w:r>
      <w:r w:rsidR="00375CEE">
        <w:rPr>
          <w:rFonts w:asciiTheme="minorHAnsi" w:eastAsia="Calibri" w:hAnsiTheme="minorHAnsi" w:cstheme="minorHAnsi"/>
          <w:sz w:val="24"/>
        </w:rPr>
        <w:t>ého a S</w:t>
      </w:r>
      <w:r>
        <w:rPr>
          <w:rFonts w:asciiTheme="minorHAnsi" w:eastAsia="Calibri" w:hAnsiTheme="minorHAnsi" w:cstheme="minorHAnsi"/>
          <w:sz w:val="24"/>
        </w:rPr>
        <w:t>lovenského pavilonu v Benátkách zajišťoval v kontrolovaném období jediný dodavatel</w:t>
      </w:r>
      <w:r w:rsidR="00CD3C5C">
        <w:rPr>
          <w:rFonts w:asciiTheme="minorHAnsi" w:eastAsia="Calibri" w:hAnsiTheme="minorHAnsi" w:cstheme="minorHAnsi"/>
          <w:sz w:val="24"/>
        </w:rPr>
        <w:t>, a to na základě celkem tří smluv. Smlouvy byly uzavřeny na určité období či do vyčerpání výše předpokládaného plnění.</w:t>
      </w:r>
    </w:p>
    <w:p w14:paraId="55243D22" w14:textId="7BCD78CE" w:rsidR="00122B6E" w:rsidRDefault="00122B6E" w:rsidP="005A4ECA">
      <w:pPr>
        <w:keepNext/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Tabulka č. </w:t>
      </w:r>
      <w:r w:rsidR="00C005BB">
        <w:rPr>
          <w:rFonts w:asciiTheme="minorHAnsi" w:eastAsia="Calibri" w:hAnsiTheme="minorHAnsi" w:cstheme="minorHAnsi"/>
          <w:sz w:val="24"/>
        </w:rPr>
        <w:t>5</w:t>
      </w:r>
      <w:r w:rsidR="00B343BF">
        <w:rPr>
          <w:rFonts w:asciiTheme="minorHAnsi" w:eastAsia="Calibri" w:hAnsiTheme="minorHAnsi" w:cstheme="minorHAnsi"/>
          <w:sz w:val="24"/>
        </w:rPr>
        <w:t>:</w:t>
      </w:r>
      <w:r w:rsidR="00923033">
        <w:rPr>
          <w:rFonts w:asciiTheme="minorHAnsi" w:eastAsia="Calibri" w:hAnsiTheme="minorHAnsi" w:cstheme="minorHAnsi"/>
          <w:sz w:val="24"/>
        </w:rPr>
        <w:t xml:space="preserve"> </w:t>
      </w:r>
      <w:r w:rsidR="005F7FCA">
        <w:rPr>
          <w:rFonts w:asciiTheme="minorHAnsi" w:eastAsia="Calibri" w:hAnsiTheme="minorHAnsi" w:cstheme="minorHAnsi"/>
          <w:sz w:val="24"/>
        </w:rPr>
        <w:t>Přehled smluv na zajišťování ú</w:t>
      </w:r>
      <w:r w:rsidR="00923033">
        <w:rPr>
          <w:rFonts w:asciiTheme="minorHAnsi" w:eastAsia="Calibri" w:hAnsiTheme="minorHAnsi" w:cstheme="minorHAnsi"/>
          <w:sz w:val="24"/>
        </w:rPr>
        <w:t>klidov</w:t>
      </w:r>
      <w:r w:rsidR="005F7FCA">
        <w:rPr>
          <w:rFonts w:asciiTheme="minorHAnsi" w:eastAsia="Calibri" w:hAnsiTheme="minorHAnsi" w:cstheme="minorHAnsi"/>
          <w:sz w:val="24"/>
        </w:rPr>
        <w:t>ých</w:t>
      </w:r>
      <w:r w:rsidR="00923033">
        <w:rPr>
          <w:rFonts w:asciiTheme="minorHAnsi" w:eastAsia="Calibri" w:hAnsiTheme="minorHAnsi" w:cstheme="minorHAnsi"/>
          <w:sz w:val="24"/>
        </w:rPr>
        <w:t xml:space="preserve"> služ</w:t>
      </w:r>
      <w:r w:rsidR="005F7FCA">
        <w:rPr>
          <w:rFonts w:asciiTheme="minorHAnsi" w:eastAsia="Calibri" w:hAnsiTheme="minorHAnsi" w:cstheme="minorHAnsi"/>
          <w:sz w:val="24"/>
        </w:rPr>
        <w:t>e</w:t>
      </w:r>
      <w:r w:rsidR="00923033">
        <w:rPr>
          <w:rFonts w:asciiTheme="minorHAnsi" w:eastAsia="Calibri" w:hAnsiTheme="minorHAnsi" w:cstheme="minorHAnsi"/>
          <w:sz w:val="24"/>
        </w:rPr>
        <w:t>b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417"/>
        <w:gridCol w:w="2693"/>
      </w:tblGrid>
      <w:tr w:rsidR="00A110D7" w:rsidRPr="00A110D7" w14:paraId="66D70808" w14:textId="77777777" w:rsidTr="00A110D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6A4A36B0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Smlouva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C20E903" w14:textId="14A068F4" w:rsidR="00A110D7" w:rsidRPr="00A110D7" w:rsidRDefault="00BF041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Smlouva u</w:t>
            </w:r>
            <w:r w:rsidR="00A110D7" w:rsidRPr="00A110D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zavřena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597E138" w14:textId="68E724B1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Soutěž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3EA805F9" w14:textId="06778228" w:rsidR="00A110D7" w:rsidRPr="00A110D7" w:rsidRDefault="00BF041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Smlouva uzavřena 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4EF9F91F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Hodnota plnění v Kč bez DPH</w:t>
            </w:r>
          </w:p>
        </w:tc>
      </w:tr>
      <w:tr w:rsidR="00A110D7" w:rsidRPr="00A110D7" w14:paraId="26C47BCE" w14:textId="77777777" w:rsidTr="00A110D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8B7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E33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8/2015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60C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639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 roky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4DEE" w14:textId="77777777" w:rsidR="00A110D7" w:rsidRPr="00A110D7" w:rsidRDefault="00A110D7" w:rsidP="00A110D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13 113 433,62</w:t>
            </w:r>
          </w:p>
        </w:tc>
      </w:tr>
      <w:tr w:rsidR="00A110D7" w:rsidRPr="00A110D7" w14:paraId="7233D1AC" w14:textId="77777777" w:rsidTr="00A110D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473B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dodatek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8185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10/2017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20D" w14:textId="77777777" w:rsidR="00A110D7" w:rsidRPr="00A110D7" w:rsidRDefault="00A110D7" w:rsidP="00A110D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C22E" w14:textId="77777777" w:rsidR="00A110D7" w:rsidRPr="00A110D7" w:rsidRDefault="00A110D7" w:rsidP="00A110D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472A" w14:textId="77777777" w:rsidR="00A110D7" w:rsidRPr="00A110D7" w:rsidRDefault="00A110D7" w:rsidP="00A110D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337 500,00</w:t>
            </w:r>
          </w:p>
        </w:tc>
      </w:tr>
      <w:tr w:rsidR="00A110D7" w:rsidRPr="00A110D7" w14:paraId="7C10EBD8" w14:textId="77777777" w:rsidTr="00A110D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B543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dodatek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5E5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8/2018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41C3" w14:textId="77777777" w:rsidR="00A110D7" w:rsidRPr="00A110D7" w:rsidRDefault="00A110D7" w:rsidP="00A110D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D24C" w14:textId="77777777" w:rsidR="00A110D7" w:rsidRPr="00A110D7" w:rsidRDefault="00A110D7" w:rsidP="00A110D7">
            <w:pPr>
              <w:suppressAutoHyphens w:val="0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C35" w14:textId="77777777" w:rsidR="00A110D7" w:rsidRPr="00A110D7" w:rsidRDefault="00A110D7" w:rsidP="00A110D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1 250 000,00</w:t>
            </w:r>
          </w:p>
        </w:tc>
      </w:tr>
      <w:tr w:rsidR="00A110D7" w:rsidRPr="00A110D7" w14:paraId="68551FAC" w14:textId="77777777" w:rsidTr="00A110D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C192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A81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8/2019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D71B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048A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B41" w14:textId="77777777" w:rsidR="00A110D7" w:rsidRPr="00A110D7" w:rsidRDefault="00A110D7" w:rsidP="00A110D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2 000 000,00</w:t>
            </w:r>
          </w:p>
        </w:tc>
      </w:tr>
      <w:tr w:rsidR="00A110D7" w:rsidRPr="00A110D7" w14:paraId="2A036A9F" w14:textId="77777777" w:rsidTr="00A110D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F921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3331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1/2020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E39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AF3B" w14:textId="77777777" w:rsidR="00A110D7" w:rsidRPr="00A110D7" w:rsidRDefault="00A110D7" w:rsidP="00A110D7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 roky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AD7" w14:textId="77777777" w:rsidR="00A110D7" w:rsidRPr="00A110D7" w:rsidRDefault="00A110D7" w:rsidP="00A110D7">
            <w:pPr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A110D7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33 481 314,21</w:t>
            </w:r>
          </w:p>
        </w:tc>
      </w:tr>
    </w:tbl>
    <w:p w14:paraId="601E184C" w14:textId="31C8E291" w:rsidR="00295A1B" w:rsidRPr="00CD3C5C" w:rsidRDefault="00CD3C5C" w:rsidP="00CD3C5C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CD3C5C">
        <w:rPr>
          <w:rFonts w:asciiTheme="minorHAnsi" w:eastAsia="Calibri" w:hAnsiTheme="minorHAnsi" w:cstheme="minorHAnsi"/>
          <w:sz w:val="20"/>
          <w:szCs w:val="20"/>
        </w:rPr>
        <w:t xml:space="preserve">Zdroj: </w:t>
      </w:r>
      <w:r w:rsidR="00BF0417">
        <w:rPr>
          <w:rFonts w:asciiTheme="minorHAnsi" w:eastAsia="Calibri" w:hAnsiTheme="minorHAnsi" w:cstheme="minorHAnsi"/>
          <w:sz w:val="20"/>
          <w:szCs w:val="20"/>
        </w:rPr>
        <w:t>p</w:t>
      </w:r>
      <w:r w:rsidRPr="00CD3C5C">
        <w:rPr>
          <w:rFonts w:asciiTheme="minorHAnsi" w:eastAsia="Calibri" w:hAnsiTheme="minorHAnsi" w:cstheme="minorHAnsi"/>
          <w:sz w:val="20"/>
          <w:szCs w:val="20"/>
        </w:rPr>
        <w:t>odklady NG</w:t>
      </w:r>
      <w:r w:rsidR="00BF0417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7D9700D6" w14:textId="0D645A08" w:rsidR="00293919" w:rsidRDefault="00583B16" w:rsidP="00583B16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94340C">
        <w:rPr>
          <w:rFonts w:asciiTheme="minorHAnsi" w:eastAsia="Calibri" w:hAnsiTheme="minorHAnsi" w:cstheme="minorHAnsi"/>
          <w:sz w:val="24"/>
        </w:rPr>
        <w:t xml:space="preserve">NG uzavřela </w:t>
      </w:r>
      <w:r>
        <w:rPr>
          <w:rFonts w:asciiTheme="minorHAnsi" w:eastAsia="Calibri" w:hAnsiTheme="minorHAnsi" w:cstheme="minorHAnsi"/>
          <w:sz w:val="24"/>
        </w:rPr>
        <w:t>s </w:t>
      </w:r>
      <w:r w:rsidR="007E672D">
        <w:rPr>
          <w:rFonts w:asciiTheme="minorHAnsi" w:eastAsia="Calibri" w:hAnsiTheme="minorHAnsi" w:cstheme="minorHAnsi"/>
          <w:sz w:val="24"/>
        </w:rPr>
        <w:t>poskyto</w:t>
      </w:r>
      <w:r>
        <w:rPr>
          <w:rFonts w:asciiTheme="minorHAnsi" w:eastAsia="Calibri" w:hAnsiTheme="minorHAnsi" w:cstheme="minorHAnsi"/>
          <w:sz w:val="24"/>
        </w:rPr>
        <w:t>vatelem v</w:t>
      </w:r>
      <w:r w:rsidR="00BF0417">
        <w:rPr>
          <w:rFonts w:asciiTheme="minorHAnsi" w:eastAsia="Calibri" w:hAnsiTheme="minorHAnsi" w:cstheme="minorHAnsi"/>
          <w:sz w:val="24"/>
        </w:rPr>
        <w:t> </w:t>
      </w:r>
      <w:r>
        <w:rPr>
          <w:rFonts w:asciiTheme="minorHAnsi" w:eastAsia="Calibri" w:hAnsiTheme="minorHAnsi" w:cstheme="minorHAnsi"/>
          <w:sz w:val="24"/>
        </w:rPr>
        <w:t>srpnu</w:t>
      </w:r>
      <w:r w:rsidR="00BF0417">
        <w:rPr>
          <w:rFonts w:asciiTheme="minorHAnsi" w:eastAsia="Calibri" w:hAnsiTheme="minorHAnsi" w:cstheme="minorHAnsi"/>
          <w:sz w:val="24"/>
        </w:rPr>
        <w:t xml:space="preserve"> </w:t>
      </w:r>
      <w:r w:rsidRPr="0094340C">
        <w:rPr>
          <w:rFonts w:asciiTheme="minorHAnsi" w:eastAsia="Calibri" w:hAnsiTheme="minorHAnsi" w:cstheme="minorHAnsi"/>
          <w:sz w:val="24"/>
        </w:rPr>
        <w:t xml:space="preserve">2015 smlouvu o dílo na základě nadlimitní </w:t>
      </w:r>
      <w:r w:rsidR="00BF0417">
        <w:rPr>
          <w:rFonts w:asciiTheme="minorHAnsi" w:eastAsia="Calibri" w:hAnsiTheme="minorHAnsi" w:cstheme="minorHAnsi"/>
          <w:sz w:val="24"/>
        </w:rPr>
        <w:t xml:space="preserve">veřejné zakázky, </w:t>
      </w:r>
      <w:r w:rsidRPr="0094340C">
        <w:rPr>
          <w:rFonts w:asciiTheme="minorHAnsi" w:eastAsia="Calibri" w:hAnsiTheme="minorHAnsi" w:cstheme="minorHAnsi"/>
          <w:sz w:val="24"/>
        </w:rPr>
        <w:t xml:space="preserve">předmětem </w:t>
      </w:r>
      <w:r w:rsidR="00BF0417">
        <w:rPr>
          <w:rFonts w:asciiTheme="minorHAnsi" w:eastAsia="Calibri" w:hAnsiTheme="minorHAnsi" w:cstheme="minorHAnsi"/>
          <w:sz w:val="24"/>
        </w:rPr>
        <w:t xml:space="preserve">tohoto smluvního vztahu </w:t>
      </w:r>
      <w:r w:rsidRPr="0094340C">
        <w:rPr>
          <w:rFonts w:asciiTheme="minorHAnsi" w:eastAsia="Calibri" w:hAnsiTheme="minorHAnsi" w:cstheme="minorHAnsi"/>
          <w:sz w:val="24"/>
        </w:rPr>
        <w:t>byly úklidové služby</w:t>
      </w:r>
      <w:r>
        <w:rPr>
          <w:rFonts w:asciiTheme="minorHAnsi" w:eastAsia="Calibri" w:hAnsiTheme="minorHAnsi" w:cstheme="minorHAnsi"/>
          <w:sz w:val="24"/>
        </w:rPr>
        <w:t xml:space="preserve"> v celkové hodnotě 13 113 433,62</w:t>
      </w:r>
      <w:r w:rsidR="00BF0417">
        <w:rPr>
          <w:rFonts w:asciiTheme="minorHAnsi" w:eastAsia="Calibri" w:hAnsiTheme="minorHAnsi" w:cstheme="minorHAnsi"/>
          <w:sz w:val="24"/>
        </w:rPr>
        <w:t> </w:t>
      </w:r>
      <w:r>
        <w:rPr>
          <w:rFonts w:asciiTheme="minorHAnsi" w:eastAsia="Calibri" w:hAnsiTheme="minorHAnsi" w:cstheme="minorHAnsi"/>
          <w:sz w:val="24"/>
        </w:rPr>
        <w:t xml:space="preserve">Kč. K uvedené smlouvě uzavřela </w:t>
      </w:r>
      <w:r w:rsidR="00BF0417">
        <w:rPr>
          <w:rFonts w:asciiTheme="minorHAnsi" w:eastAsia="Calibri" w:hAnsiTheme="minorHAnsi" w:cstheme="minorHAnsi"/>
          <w:sz w:val="24"/>
        </w:rPr>
        <w:t xml:space="preserve">NG </w:t>
      </w:r>
      <w:r>
        <w:rPr>
          <w:rFonts w:asciiTheme="minorHAnsi" w:eastAsia="Calibri" w:hAnsiTheme="minorHAnsi" w:cstheme="minorHAnsi"/>
          <w:sz w:val="24"/>
        </w:rPr>
        <w:t>dva dodatky</w:t>
      </w:r>
      <w:r w:rsidR="005F7FCA">
        <w:rPr>
          <w:rFonts w:asciiTheme="minorHAnsi" w:eastAsia="Calibri" w:hAnsiTheme="minorHAnsi" w:cstheme="minorHAnsi"/>
          <w:sz w:val="24"/>
        </w:rPr>
        <w:t>, kterými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Pr="00D83B27">
        <w:rPr>
          <w:rFonts w:asciiTheme="minorHAnsi" w:eastAsia="Calibri" w:hAnsiTheme="minorHAnsi" w:cstheme="minorHAnsi"/>
          <w:sz w:val="24"/>
        </w:rPr>
        <w:t xml:space="preserve">navýšila </w:t>
      </w:r>
      <w:r w:rsidR="00C511E9" w:rsidRPr="00D83B27">
        <w:rPr>
          <w:rFonts w:asciiTheme="minorHAnsi" w:eastAsia="Calibri" w:hAnsiTheme="minorHAnsi" w:cstheme="minorHAnsi"/>
          <w:sz w:val="24"/>
        </w:rPr>
        <w:t xml:space="preserve">hodnotu plnění </w:t>
      </w:r>
      <w:r w:rsidRPr="00D83B27">
        <w:rPr>
          <w:rFonts w:asciiTheme="minorHAnsi" w:eastAsia="Calibri" w:hAnsiTheme="minorHAnsi" w:cstheme="minorHAnsi"/>
          <w:sz w:val="24"/>
        </w:rPr>
        <w:t xml:space="preserve">o </w:t>
      </w:r>
      <w:r w:rsidR="005F7FCA">
        <w:rPr>
          <w:rFonts w:asciiTheme="minorHAnsi" w:eastAsia="Calibri" w:hAnsiTheme="minorHAnsi" w:cstheme="minorHAnsi"/>
          <w:sz w:val="24"/>
        </w:rPr>
        <w:t>částku</w:t>
      </w:r>
      <w:r w:rsidRPr="00D83B27">
        <w:rPr>
          <w:rFonts w:asciiTheme="minorHAnsi" w:eastAsia="Calibri" w:hAnsiTheme="minorHAnsi" w:cstheme="minorHAnsi"/>
          <w:sz w:val="24"/>
        </w:rPr>
        <w:t xml:space="preserve"> 1 587 500 Kč bez DPH. </w:t>
      </w:r>
      <w:r w:rsidR="00F8308C">
        <w:rPr>
          <w:rFonts w:asciiTheme="minorHAnsi" w:eastAsia="Calibri" w:hAnsiTheme="minorHAnsi" w:cstheme="minorHAnsi"/>
          <w:sz w:val="24"/>
        </w:rPr>
        <w:t>Podle zákona nesmí zadavatel umožnit podstatnou změnu závazku</w:t>
      </w:r>
      <w:r w:rsidR="000160CE">
        <w:rPr>
          <w:rStyle w:val="Znakapoznpodarou"/>
          <w:rFonts w:asciiTheme="minorHAnsi" w:eastAsia="Calibri" w:hAnsiTheme="minorHAnsi" w:cstheme="minorHAnsi"/>
          <w:sz w:val="24"/>
        </w:rPr>
        <w:footnoteReference w:id="26"/>
      </w:r>
      <w:r w:rsidR="00F8308C">
        <w:rPr>
          <w:rFonts w:asciiTheme="minorHAnsi" w:eastAsia="Calibri" w:hAnsiTheme="minorHAnsi" w:cstheme="minorHAnsi"/>
          <w:sz w:val="24"/>
        </w:rPr>
        <w:t xml:space="preserve"> ze smlouvy </w:t>
      </w:r>
      <w:r w:rsidR="00F8308C" w:rsidRPr="00F8308C">
        <w:rPr>
          <w:rFonts w:asciiTheme="minorHAnsi" w:eastAsia="Calibri" w:hAnsiTheme="minorHAnsi" w:cstheme="minorHAnsi"/>
          <w:sz w:val="24"/>
        </w:rPr>
        <w:t>na veřejnou zakázku po dobu jeho trvání bez provedení nového zadávacího řízení</w:t>
      </w:r>
      <w:r w:rsidR="00605391">
        <w:rPr>
          <w:rFonts w:asciiTheme="minorHAnsi" w:eastAsia="Calibri" w:hAnsiTheme="minorHAnsi" w:cstheme="minorHAnsi"/>
          <w:sz w:val="24"/>
        </w:rPr>
        <w:t>, přičemž</w:t>
      </w:r>
      <w:r w:rsidR="00F8308C" w:rsidRPr="00F8308C">
        <w:rPr>
          <w:rFonts w:asciiTheme="minorHAnsi" w:eastAsia="Calibri" w:hAnsiTheme="minorHAnsi" w:cstheme="minorHAnsi"/>
          <w:sz w:val="24"/>
        </w:rPr>
        <w:t xml:space="preserve"> za podstatnou změnu závazku </w:t>
      </w:r>
      <w:r w:rsidR="00605391">
        <w:rPr>
          <w:rFonts w:asciiTheme="minorHAnsi" w:eastAsia="Calibri" w:hAnsiTheme="minorHAnsi" w:cstheme="minorHAnsi"/>
          <w:sz w:val="24"/>
        </w:rPr>
        <w:t xml:space="preserve">se </w:t>
      </w:r>
      <w:r w:rsidR="00F8308C" w:rsidRPr="00F8308C">
        <w:rPr>
          <w:rFonts w:asciiTheme="minorHAnsi" w:eastAsia="Calibri" w:hAnsiTheme="minorHAnsi" w:cstheme="minorHAnsi"/>
          <w:sz w:val="24"/>
        </w:rPr>
        <w:t>nepovažuje změn</w:t>
      </w:r>
      <w:r w:rsidR="00605391">
        <w:rPr>
          <w:rFonts w:asciiTheme="minorHAnsi" w:eastAsia="Calibri" w:hAnsiTheme="minorHAnsi" w:cstheme="minorHAnsi"/>
          <w:sz w:val="24"/>
        </w:rPr>
        <w:t>a</w:t>
      </w:r>
      <w:r w:rsidR="00F8308C" w:rsidRPr="00F8308C">
        <w:rPr>
          <w:rFonts w:asciiTheme="minorHAnsi" w:eastAsia="Calibri" w:hAnsiTheme="minorHAnsi" w:cstheme="minorHAnsi"/>
          <w:sz w:val="24"/>
        </w:rPr>
        <w:t xml:space="preserve"> maximálně do výše 10</w:t>
      </w:r>
      <w:r w:rsidR="00BF0417">
        <w:rPr>
          <w:rFonts w:asciiTheme="minorHAnsi" w:eastAsia="Calibri" w:hAnsiTheme="minorHAnsi" w:cstheme="minorHAnsi"/>
          <w:sz w:val="24"/>
        </w:rPr>
        <w:t> </w:t>
      </w:r>
      <w:r w:rsidR="00F8308C" w:rsidRPr="00F8308C">
        <w:rPr>
          <w:rFonts w:asciiTheme="minorHAnsi" w:eastAsia="Calibri" w:hAnsiTheme="minorHAnsi" w:cstheme="minorHAnsi"/>
          <w:sz w:val="24"/>
        </w:rPr>
        <w:t>% původní hodnoty závazku.</w:t>
      </w:r>
      <w:r w:rsidR="00F8308C">
        <w:rPr>
          <w:rFonts w:asciiTheme="minorHAnsi" w:eastAsia="Calibri" w:hAnsiTheme="minorHAnsi" w:cstheme="minorHAnsi"/>
          <w:sz w:val="24"/>
        </w:rPr>
        <w:t xml:space="preserve"> NG navýšila původní hodnotu smlouvy o 12,1 %, což představovalo podstatnou změnu závazku ze smlouvy podle zákona o zadávání veřejných zakázek. Tím nedodržela uvedené ustanovení zákona.</w:t>
      </w:r>
    </w:p>
    <w:p w14:paraId="2507FACB" w14:textId="1815D037" w:rsidR="00037231" w:rsidRDefault="00037231" w:rsidP="00436468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V srpnu 2019</w:t>
      </w:r>
      <w:r w:rsidR="00583B16">
        <w:rPr>
          <w:rFonts w:asciiTheme="minorHAnsi" w:eastAsia="Calibri" w:hAnsiTheme="minorHAnsi" w:cstheme="minorHAnsi"/>
          <w:sz w:val="24"/>
        </w:rPr>
        <w:t xml:space="preserve"> 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uzavřela </w:t>
      </w:r>
      <w:r w:rsidRPr="00267D0A">
        <w:rPr>
          <w:rFonts w:asciiTheme="minorHAnsi" w:eastAsia="Calibri" w:hAnsiTheme="minorHAnsi" w:cstheme="minorHAnsi"/>
          <w:sz w:val="24"/>
        </w:rPr>
        <w:t>NG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583B16">
        <w:rPr>
          <w:rFonts w:asciiTheme="minorHAnsi" w:eastAsia="Calibri" w:hAnsiTheme="minorHAnsi" w:cstheme="minorHAnsi"/>
          <w:sz w:val="24"/>
        </w:rPr>
        <w:t xml:space="preserve">se stejným </w:t>
      </w:r>
      <w:r w:rsidR="007E672D">
        <w:rPr>
          <w:rFonts w:asciiTheme="minorHAnsi" w:eastAsia="Calibri" w:hAnsiTheme="minorHAnsi" w:cstheme="minorHAnsi"/>
          <w:sz w:val="24"/>
        </w:rPr>
        <w:t>poskyto</w:t>
      </w:r>
      <w:r w:rsidR="00583B16">
        <w:rPr>
          <w:rFonts w:asciiTheme="minorHAnsi" w:eastAsia="Calibri" w:hAnsiTheme="minorHAnsi" w:cstheme="minorHAnsi"/>
          <w:sz w:val="24"/>
        </w:rPr>
        <w:t xml:space="preserve">vatelem </w:t>
      </w:r>
      <w:r w:rsidR="00583B16" w:rsidRPr="00267D0A">
        <w:rPr>
          <w:rFonts w:asciiTheme="minorHAnsi" w:eastAsia="Calibri" w:hAnsiTheme="minorHAnsi" w:cstheme="minorHAnsi"/>
          <w:sz w:val="24"/>
        </w:rPr>
        <w:t>smlouvu</w:t>
      </w:r>
      <w:r w:rsidR="00583B16">
        <w:rPr>
          <w:rFonts w:asciiTheme="minorHAnsi" w:eastAsia="Calibri" w:hAnsiTheme="minorHAnsi" w:cstheme="minorHAnsi"/>
          <w:sz w:val="24"/>
        </w:rPr>
        <w:t xml:space="preserve"> </w:t>
      </w:r>
      <w:r w:rsidR="007E672D">
        <w:rPr>
          <w:rFonts w:asciiTheme="minorHAnsi" w:eastAsia="Calibri" w:hAnsiTheme="minorHAnsi" w:cstheme="minorHAnsi"/>
          <w:sz w:val="24"/>
        </w:rPr>
        <w:t>na úklidové služby</w:t>
      </w:r>
      <w:r>
        <w:rPr>
          <w:rFonts w:asciiTheme="minorHAnsi" w:eastAsia="Calibri" w:hAnsiTheme="minorHAnsi" w:cstheme="minorHAnsi"/>
          <w:sz w:val="24"/>
        </w:rPr>
        <w:t xml:space="preserve"> na dobu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 </w:t>
      </w:r>
      <w:r w:rsidR="00414F10">
        <w:rPr>
          <w:rFonts w:asciiTheme="minorHAnsi" w:eastAsia="Calibri" w:hAnsiTheme="minorHAnsi" w:cstheme="minorHAnsi"/>
          <w:sz w:val="24"/>
        </w:rPr>
        <w:t>tř</w:t>
      </w:r>
      <w:r>
        <w:rPr>
          <w:rFonts w:asciiTheme="minorHAnsi" w:eastAsia="Calibri" w:hAnsiTheme="minorHAnsi" w:cstheme="minorHAnsi"/>
          <w:sz w:val="24"/>
        </w:rPr>
        <w:t>í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 měsíc</w:t>
      </w:r>
      <w:r>
        <w:rPr>
          <w:rFonts w:asciiTheme="minorHAnsi" w:eastAsia="Calibri" w:hAnsiTheme="minorHAnsi" w:cstheme="minorHAnsi"/>
          <w:sz w:val="24"/>
        </w:rPr>
        <w:t>ů. V období od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 </w:t>
      </w:r>
      <w:r w:rsidR="00583B16">
        <w:rPr>
          <w:rFonts w:asciiTheme="minorHAnsi" w:eastAsia="Calibri" w:hAnsiTheme="minorHAnsi" w:cstheme="minorHAnsi"/>
          <w:sz w:val="24"/>
        </w:rPr>
        <w:t>listopadu 2019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 </w:t>
      </w:r>
      <w:r w:rsidR="00CD3C5C">
        <w:rPr>
          <w:rFonts w:asciiTheme="minorHAnsi" w:eastAsia="Calibri" w:hAnsiTheme="minorHAnsi" w:cstheme="minorHAnsi"/>
          <w:sz w:val="24"/>
        </w:rPr>
        <w:t>do ledna 2020</w:t>
      </w:r>
      <w:r>
        <w:rPr>
          <w:rFonts w:asciiTheme="minorHAnsi" w:eastAsia="Calibri" w:hAnsiTheme="minorHAnsi" w:cstheme="minorHAnsi"/>
          <w:sz w:val="24"/>
        </w:rPr>
        <w:t xml:space="preserve"> zadávala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 úklidové služby stejné společnosti </w:t>
      </w:r>
      <w:r>
        <w:rPr>
          <w:rFonts w:asciiTheme="minorHAnsi" w:eastAsia="Calibri" w:hAnsiTheme="minorHAnsi" w:cstheme="minorHAnsi"/>
          <w:sz w:val="24"/>
        </w:rPr>
        <w:t>jen formou pří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mých objednávek. NG uhradila za plnění na základě smlouvy ze </w:t>
      </w:r>
      <w:r w:rsidR="00583B16">
        <w:rPr>
          <w:rFonts w:asciiTheme="minorHAnsi" w:eastAsia="Calibri" w:hAnsiTheme="minorHAnsi" w:cstheme="minorHAnsi"/>
          <w:sz w:val="24"/>
        </w:rPr>
        <w:t>srpna</w:t>
      </w:r>
      <w:r w:rsidR="00583B16" w:rsidRPr="00267D0A">
        <w:rPr>
          <w:rFonts w:asciiTheme="minorHAnsi" w:eastAsia="Calibri" w:hAnsiTheme="minorHAnsi" w:cstheme="minorHAnsi"/>
          <w:sz w:val="24"/>
        </w:rPr>
        <w:t xml:space="preserve"> 2019 a dalších objednávek celkem 2 776 553,72 Kč</w:t>
      </w:r>
      <w:r w:rsidR="007A2CBA">
        <w:rPr>
          <w:rStyle w:val="Znakapoznpodarou"/>
          <w:rFonts w:asciiTheme="minorHAnsi" w:eastAsia="Calibri" w:hAnsiTheme="minorHAnsi" w:cstheme="minorHAnsi"/>
          <w:sz w:val="24"/>
        </w:rPr>
        <w:footnoteReference w:id="27"/>
      </w:r>
      <w:r w:rsidR="00436468">
        <w:rPr>
          <w:rFonts w:asciiTheme="minorHAnsi" w:eastAsia="Calibri" w:hAnsiTheme="minorHAnsi" w:cstheme="minorHAnsi"/>
          <w:sz w:val="24"/>
        </w:rPr>
        <w:t xml:space="preserve">. </w:t>
      </w:r>
    </w:p>
    <w:p w14:paraId="3E2D0AB3" w14:textId="406BCF0F" w:rsidR="00436468" w:rsidRDefault="004625D7" w:rsidP="00436468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04533D">
        <w:rPr>
          <w:rFonts w:asciiTheme="minorHAnsi" w:hAnsiTheme="minorHAnsi" w:cstheme="minorHAnsi"/>
          <w:sz w:val="24"/>
        </w:rPr>
        <w:t xml:space="preserve">NG </w:t>
      </w:r>
      <w:r w:rsidRPr="00034CE1">
        <w:rPr>
          <w:rFonts w:asciiTheme="minorHAnsi" w:eastAsia="Calibri" w:hAnsiTheme="minorHAnsi" w:cstheme="minorHAnsi"/>
          <w:sz w:val="24"/>
        </w:rPr>
        <w:t xml:space="preserve">jako veřejný zadavatel </w:t>
      </w:r>
      <w:r w:rsidRPr="0004533D">
        <w:rPr>
          <w:rFonts w:asciiTheme="minorHAnsi" w:hAnsiTheme="minorHAnsi" w:cstheme="minorHAnsi"/>
          <w:sz w:val="24"/>
        </w:rPr>
        <w:t xml:space="preserve">nepostupovala v souladu s právními předpisy, když </w:t>
      </w:r>
      <w:r w:rsidR="00904444">
        <w:rPr>
          <w:rFonts w:asciiTheme="minorHAnsi" w:hAnsiTheme="minorHAnsi" w:cstheme="minorHAnsi"/>
          <w:sz w:val="24"/>
        </w:rPr>
        <w:t>při</w:t>
      </w:r>
      <w:r w:rsidRPr="0004533D">
        <w:rPr>
          <w:rFonts w:asciiTheme="minorHAnsi" w:hAnsiTheme="minorHAnsi" w:cstheme="minorHAnsi"/>
          <w:sz w:val="24"/>
        </w:rPr>
        <w:t xml:space="preserve"> zadání veřejných zakázek spojených s pořizováním služeb nevyužila žádný z druhů zadávacího řízení.</w:t>
      </w:r>
      <w:r>
        <w:rPr>
          <w:rFonts w:asciiTheme="minorHAnsi" w:hAnsiTheme="minorHAnsi" w:cstheme="minorHAnsi"/>
          <w:sz w:val="24"/>
        </w:rPr>
        <w:t xml:space="preserve"> </w:t>
      </w:r>
      <w:r w:rsidR="00897D27" w:rsidRPr="001209C6">
        <w:rPr>
          <w:rFonts w:asciiTheme="minorHAnsi" w:eastAsia="Calibri" w:hAnsiTheme="minorHAnsi" w:cstheme="minorHAnsi"/>
          <w:sz w:val="24"/>
        </w:rPr>
        <w:t>Dle NKÚ se jedná o skutečnosti nasvědčující porušení rozpočtové kázně</w:t>
      </w:r>
      <w:r w:rsidR="00DF0479" w:rsidRPr="00DF0479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4</w:t>
      </w:r>
      <w:r w:rsidR="00605391" w:rsidRPr="0098279A">
        <w:rPr>
          <w:rFonts w:asciiTheme="minorHAnsi" w:eastAsia="Calibri" w:hAnsiTheme="minorHAnsi" w:cstheme="minorHAnsi"/>
          <w:sz w:val="24"/>
        </w:rPr>
        <w:t>.</w:t>
      </w:r>
    </w:p>
    <w:p w14:paraId="61003D68" w14:textId="77777777" w:rsidR="00314EC2" w:rsidRDefault="00314EC2" w:rsidP="00436468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314EC2">
        <w:rPr>
          <w:rFonts w:asciiTheme="minorHAnsi" w:eastAsia="Calibri" w:hAnsiTheme="minorHAnsi" w:cstheme="minorHAnsi"/>
          <w:b/>
          <w:sz w:val="24"/>
        </w:rPr>
        <w:t xml:space="preserve">NG nezaslala </w:t>
      </w:r>
      <w:r w:rsidR="00F84DD2">
        <w:rPr>
          <w:rFonts w:asciiTheme="minorHAnsi" w:eastAsia="Calibri" w:hAnsiTheme="minorHAnsi" w:cstheme="minorHAnsi"/>
          <w:b/>
          <w:sz w:val="24"/>
        </w:rPr>
        <w:t>smlouvu o poskytování bezpečnostních služeb</w:t>
      </w:r>
      <w:r w:rsidR="00F84DD2" w:rsidRPr="00314EC2">
        <w:rPr>
          <w:rFonts w:asciiTheme="minorHAnsi" w:eastAsia="Calibri" w:hAnsiTheme="minorHAnsi" w:cstheme="minorHAnsi"/>
          <w:b/>
          <w:sz w:val="24"/>
        </w:rPr>
        <w:t xml:space="preserve"> </w:t>
      </w:r>
      <w:r w:rsidRPr="00314EC2">
        <w:rPr>
          <w:rFonts w:asciiTheme="minorHAnsi" w:eastAsia="Calibri" w:hAnsiTheme="minorHAnsi" w:cstheme="minorHAnsi"/>
          <w:b/>
          <w:sz w:val="24"/>
        </w:rPr>
        <w:t>k</w:t>
      </w:r>
      <w:r w:rsidR="00F84DD2">
        <w:rPr>
          <w:rFonts w:asciiTheme="minorHAnsi" w:eastAsia="Calibri" w:hAnsiTheme="minorHAnsi" w:cstheme="minorHAnsi"/>
          <w:b/>
          <w:sz w:val="24"/>
        </w:rPr>
        <w:t> </w:t>
      </w:r>
      <w:r w:rsidRPr="00314EC2">
        <w:rPr>
          <w:rFonts w:asciiTheme="minorHAnsi" w:eastAsia="Calibri" w:hAnsiTheme="minorHAnsi" w:cstheme="minorHAnsi"/>
          <w:b/>
          <w:sz w:val="24"/>
        </w:rPr>
        <w:t>uveřejnění</w:t>
      </w:r>
      <w:r w:rsidR="00F84DD2">
        <w:rPr>
          <w:rFonts w:asciiTheme="minorHAnsi" w:eastAsia="Calibri" w:hAnsiTheme="minorHAnsi" w:cstheme="minorHAnsi"/>
          <w:b/>
          <w:sz w:val="24"/>
        </w:rPr>
        <w:t xml:space="preserve"> v registru smluv</w:t>
      </w:r>
      <w:r w:rsidRPr="00314EC2">
        <w:rPr>
          <w:rFonts w:asciiTheme="minorHAnsi" w:eastAsia="Calibri" w:hAnsiTheme="minorHAnsi" w:cstheme="minorHAnsi"/>
          <w:b/>
          <w:sz w:val="24"/>
        </w:rPr>
        <w:t xml:space="preserve"> </w:t>
      </w:r>
    </w:p>
    <w:p w14:paraId="6140AA74" w14:textId="74234E50" w:rsidR="00870783" w:rsidRDefault="004C3B77" w:rsidP="00461F21">
      <w:pPr>
        <w:spacing w:after="0" w:line="240" w:lineRule="auto"/>
        <w:rPr>
          <w:rFonts w:asciiTheme="minorHAnsi" w:eastAsia="Calibri" w:hAnsiTheme="minorHAnsi" w:cstheme="minorHAnsi"/>
          <w:sz w:val="24"/>
        </w:rPr>
      </w:pPr>
      <w:r w:rsidRPr="0094340C">
        <w:rPr>
          <w:rFonts w:asciiTheme="minorHAnsi" w:eastAsia="Calibri" w:hAnsiTheme="minorHAnsi" w:cstheme="minorHAnsi"/>
          <w:sz w:val="24"/>
        </w:rPr>
        <w:t xml:space="preserve">NG uzavřela </w:t>
      </w:r>
      <w:r>
        <w:rPr>
          <w:rFonts w:asciiTheme="minorHAnsi" w:eastAsia="Calibri" w:hAnsiTheme="minorHAnsi" w:cstheme="minorHAnsi"/>
          <w:sz w:val="24"/>
        </w:rPr>
        <w:t>s poskytovatelem v únoru</w:t>
      </w:r>
      <w:r w:rsidRPr="0094340C">
        <w:rPr>
          <w:rFonts w:asciiTheme="minorHAnsi" w:eastAsia="Calibri" w:hAnsiTheme="minorHAnsi" w:cstheme="minorHAnsi"/>
          <w:sz w:val="24"/>
        </w:rPr>
        <w:t> 201</w:t>
      </w:r>
      <w:r>
        <w:rPr>
          <w:rFonts w:asciiTheme="minorHAnsi" w:eastAsia="Calibri" w:hAnsiTheme="minorHAnsi" w:cstheme="minorHAnsi"/>
          <w:sz w:val="24"/>
        </w:rPr>
        <w:t>8</w:t>
      </w:r>
      <w:r w:rsidRPr="0094340C">
        <w:rPr>
          <w:rFonts w:asciiTheme="minorHAnsi" w:eastAsia="Calibri" w:hAnsiTheme="minorHAnsi" w:cstheme="minorHAnsi"/>
          <w:sz w:val="24"/>
        </w:rPr>
        <w:t xml:space="preserve"> smlouvu</w:t>
      </w:r>
      <w:r w:rsidR="00ED4AF4">
        <w:rPr>
          <w:rFonts w:asciiTheme="minorHAnsi" w:eastAsia="Calibri" w:hAnsiTheme="minorHAnsi" w:cstheme="minorHAnsi"/>
          <w:sz w:val="24"/>
        </w:rPr>
        <w:t xml:space="preserve"> o poskytování bezpečnostních služeb</w:t>
      </w:r>
      <w:r w:rsidRPr="0094340C">
        <w:rPr>
          <w:rFonts w:asciiTheme="minorHAnsi" w:eastAsia="Calibri" w:hAnsiTheme="minorHAnsi" w:cstheme="minorHAnsi"/>
          <w:sz w:val="24"/>
        </w:rPr>
        <w:t xml:space="preserve"> </w:t>
      </w:r>
      <w:r w:rsidR="00ED4AF4">
        <w:rPr>
          <w:rFonts w:asciiTheme="minorHAnsi" w:eastAsia="Calibri" w:hAnsiTheme="minorHAnsi" w:cstheme="minorHAnsi"/>
          <w:sz w:val="24"/>
        </w:rPr>
        <w:t xml:space="preserve">na dobu 4 let </w:t>
      </w:r>
      <w:r w:rsidRPr="0094340C">
        <w:rPr>
          <w:rFonts w:asciiTheme="minorHAnsi" w:eastAsia="Calibri" w:hAnsiTheme="minorHAnsi" w:cstheme="minorHAnsi"/>
          <w:sz w:val="24"/>
        </w:rPr>
        <w:t>na základě nadlimitní VZ</w:t>
      </w:r>
      <w:r>
        <w:rPr>
          <w:rFonts w:asciiTheme="minorHAnsi" w:eastAsia="Calibri" w:hAnsiTheme="minorHAnsi" w:cstheme="minorHAnsi"/>
          <w:sz w:val="24"/>
        </w:rPr>
        <w:t>.</w:t>
      </w:r>
      <w:r w:rsidR="00ED4AF4">
        <w:rPr>
          <w:rFonts w:asciiTheme="minorHAnsi" w:eastAsia="Calibri" w:hAnsiTheme="minorHAnsi" w:cstheme="minorHAnsi"/>
          <w:sz w:val="24"/>
        </w:rPr>
        <w:t xml:space="preserve"> </w:t>
      </w:r>
      <w:r w:rsidR="00ED4AF4" w:rsidRPr="00ED4AF4">
        <w:rPr>
          <w:rFonts w:asciiTheme="minorHAnsi" w:eastAsia="Calibri" w:hAnsiTheme="minorHAnsi" w:cstheme="minorHAnsi"/>
          <w:sz w:val="24"/>
        </w:rPr>
        <w:t xml:space="preserve">Národní galerie v Praze </w:t>
      </w:r>
      <w:r w:rsidR="007C18E2">
        <w:rPr>
          <w:rFonts w:asciiTheme="minorHAnsi" w:eastAsia="Calibri" w:hAnsiTheme="minorHAnsi" w:cstheme="minorHAnsi"/>
          <w:sz w:val="24"/>
        </w:rPr>
        <w:t>zaslala k</w:t>
      </w:r>
      <w:r w:rsidR="008644DA">
        <w:rPr>
          <w:rFonts w:asciiTheme="minorHAnsi" w:eastAsia="Calibri" w:hAnsiTheme="minorHAnsi" w:cstheme="minorHAnsi"/>
          <w:sz w:val="24"/>
        </w:rPr>
        <w:t> </w:t>
      </w:r>
      <w:r w:rsidR="00ED4AF4" w:rsidRPr="00ED4AF4">
        <w:rPr>
          <w:rFonts w:asciiTheme="minorHAnsi" w:eastAsia="Calibri" w:hAnsiTheme="minorHAnsi" w:cstheme="minorHAnsi"/>
          <w:sz w:val="24"/>
        </w:rPr>
        <w:t>uveřejn</w:t>
      </w:r>
      <w:r w:rsidR="007C18E2">
        <w:rPr>
          <w:rFonts w:asciiTheme="minorHAnsi" w:eastAsia="Calibri" w:hAnsiTheme="minorHAnsi" w:cstheme="minorHAnsi"/>
          <w:sz w:val="24"/>
        </w:rPr>
        <w:t>ění</w:t>
      </w:r>
      <w:r w:rsidR="008644DA">
        <w:rPr>
          <w:rFonts w:asciiTheme="minorHAnsi" w:eastAsia="Calibri" w:hAnsiTheme="minorHAnsi" w:cstheme="minorHAnsi"/>
          <w:sz w:val="24"/>
        </w:rPr>
        <w:t xml:space="preserve"> v registru smluv</w:t>
      </w:r>
      <w:r w:rsidR="00ED4AF4" w:rsidRPr="00ED4AF4">
        <w:rPr>
          <w:rFonts w:asciiTheme="minorHAnsi" w:eastAsia="Calibri" w:hAnsiTheme="minorHAnsi" w:cstheme="minorHAnsi"/>
          <w:sz w:val="24"/>
        </w:rPr>
        <w:t xml:space="preserve"> předmětnou smlouvu bez uvedení </w:t>
      </w:r>
      <w:r w:rsidR="009C515B">
        <w:rPr>
          <w:rFonts w:asciiTheme="minorHAnsi" w:eastAsia="Calibri" w:hAnsiTheme="minorHAnsi" w:cstheme="minorHAnsi"/>
          <w:sz w:val="24"/>
        </w:rPr>
        <w:t xml:space="preserve">její </w:t>
      </w:r>
      <w:r w:rsidR="00ED4AF4" w:rsidRPr="00ED4AF4">
        <w:rPr>
          <w:rFonts w:asciiTheme="minorHAnsi" w:eastAsia="Calibri" w:hAnsiTheme="minorHAnsi" w:cstheme="minorHAnsi"/>
          <w:sz w:val="24"/>
        </w:rPr>
        <w:t>hodnoty</w:t>
      </w:r>
      <w:r w:rsidR="00ED4AF4">
        <w:rPr>
          <w:rFonts w:asciiTheme="minorHAnsi" w:eastAsia="Calibri" w:hAnsiTheme="minorHAnsi" w:cstheme="minorHAnsi"/>
          <w:sz w:val="24"/>
        </w:rPr>
        <w:t>.</w:t>
      </w:r>
      <w:r w:rsidR="009C515B">
        <w:rPr>
          <w:rFonts w:asciiTheme="minorHAnsi" w:eastAsia="Calibri" w:hAnsiTheme="minorHAnsi" w:cstheme="minorHAnsi"/>
          <w:sz w:val="24"/>
        </w:rPr>
        <w:t xml:space="preserve"> Předmětná smlouva byla zveřejněna </w:t>
      </w:r>
      <w:r w:rsidR="009C515B" w:rsidRPr="00ED4AF4">
        <w:rPr>
          <w:rFonts w:asciiTheme="minorHAnsi" w:eastAsia="Calibri" w:hAnsiTheme="minorHAnsi" w:cstheme="minorHAnsi"/>
          <w:sz w:val="24"/>
        </w:rPr>
        <w:t>v</w:t>
      </w:r>
      <w:r w:rsidR="007A7663">
        <w:rPr>
          <w:rFonts w:asciiTheme="minorHAnsi" w:eastAsia="Calibri" w:hAnsiTheme="minorHAnsi" w:cstheme="minorHAnsi"/>
          <w:sz w:val="24"/>
        </w:rPr>
        <w:t> </w:t>
      </w:r>
      <w:r w:rsidR="009C515B" w:rsidRPr="00ED4AF4">
        <w:rPr>
          <w:rFonts w:asciiTheme="minorHAnsi" w:eastAsia="Calibri" w:hAnsiTheme="minorHAnsi" w:cstheme="minorHAnsi"/>
          <w:sz w:val="24"/>
        </w:rPr>
        <w:t>registru smluv dne 7. 3. 2018</w:t>
      </w:r>
      <w:r w:rsidR="009C515B">
        <w:rPr>
          <w:rFonts w:asciiTheme="minorHAnsi" w:eastAsia="Calibri" w:hAnsiTheme="minorHAnsi" w:cstheme="minorHAnsi"/>
          <w:sz w:val="24"/>
        </w:rPr>
        <w:t xml:space="preserve">. </w:t>
      </w:r>
      <w:r w:rsidR="00AF2B79" w:rsidRPr="008464F7">
        <w:rPr>
          <w:rFonts w:asciiTheme="minorHAnsi" w:eastAsia="Calibri" w:hAnsiTheme="minorHAnsi" w:cstheme="minorHAnsi"/>
          <w:sz w:val="24"/>
        </w:rPr>
        <w:t>Hodnota předmětu smlouvy patří mezi povinně zveřejňovaná metadata</w:t>
      </w:r>
      <w:r w:rsidR="006F5B4C">
        <w:rPr>
          <w:rFonts w:asciiTheme="minorHAnsi" w:eastAsia="Calibri" w:hAnsiTheme="minorHAnsi" w:cstheme="minorHAnsi"/>
          <w:sz w:val="24"/>
          <w:vertAlign w:val="superscript"/>
        </w:rPr>
        <w:t>1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7</w:t>
      </w:r>
      <w:r w:rsidR="00605391">
        <w:rPr>
          <w:rFonts w:asciiTheme="minorHAnsi" w:eastAsia="Calibri" w:hAnsiTheme="minorHAnsi" w:cstheme="minorHAnsi"/>
          <w:sz w:val="24"/>
        </w:rPr>
        <w:t>,</w:t>
      </w:r>
      <w:r w:rsidR="00AF2B79" w:rsidRPr="008464F7">
        <w:rPr>
          <w:rFonts w:asciiTheme="minorHAnsi" w:eastAsia="Calibri" w:hAnsiTheme="minorHAnsi" w:cstheme="minorHAnsi"/>
          <w:sz w:val="24"/>
        </w:rPr>
        <w:t xml:space="preserve"> bez jejich</w:t>
      </w:r>
      <w:r w:rsidR="00605391">
        <w:rPr>
          <w:rFonts w:asciiTheme="minorHAnsi" w:eastAsia="Calibri" w:hAnsiTheme="minorHAnsi" w:cstheme="minorHAnsi"/>
          <w:sz w:val="24"/>
        </w:rPr>
        <w:t>ž</w:t>
      </w:r>
      <w:r w:rsidR="00AF2B79" w:rsidRPr="008464F7">
        <w:rPr>
          <w:rFonts w:asciiTheme="minorHAnsi" w:eastAsia="Calibri" w:hAnsiTheme="minorHAnsi" w:cstheme="minorHAnsi"/>
          <w:sz w:val="24"/>
        </w:rPr>
        <w:t xml:space="preserve"> uveřejnění v registru smluv se smlouva považuje za neuveřejněnou </w:t>
      </w:r>
      <w:r w:rsidR="00605391">
        <w:rPr>
          <w:rFonts w:asciiTheme="minorHAnsi" w:eastAsia="Calibri" w:hAnsiTheme="minorHAnsi" w:cstheme="minorHAnsi"/>
          <w:sz w:val="24"/>
        </w:rPr>
        <w:br/>
      </w:r>
      <w:r w:rsidR="00AF2B79" w:rsidRPr="008464F7">
        <w:rPr>
          <w:rFonts w:asciiTheme="minorHAnsi" w:eastAsia="Calibri" w:hAnsiTheme="minorHAnsi" w:cstheme="minorHAnsi"/>
          <w:sz w:val="24"/>
        </w:rPr>
        <w:t>a</w:t>
      </w:r>
      <w:r w:rsidR="00605391">
        <w:rPr>
          <w:rFonts w:asciiTheme="minorHAnsi" w:eastAsia="Calibri" w:hAnsiTheme="minorHAnsi" w:cstheme="minorHAnsi"/>
          <w:sz w:val="24"/>
        </w:rPr>
        <w:t xml:space="preserve"> </w:t>
      </w:r>
      <w:r w:rsidR="00AF2B79" w:rsidRPr="008464F7">
        <w:rPr>
          <w:rFonts w:asciiTheme="minorHAnsi" w:eastAsia="Calibri" w:hAnsiTheme="minorHAnsi" w:cstheme="minorHAnsi"/>
          <w:sz w:val="24"/>
        </w:rPr>
        <w:t>je zrušena od počátku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18</w:t>
      </w:r>
      <w:r w:rsidR="00AF2B79" w:rsidRPr="008464F7">
        <w:rPr>
          <w:rFonts w:asciiTheme="minorHAnsi" w:eastAsia="Calibri" w:hAnsiTheme="minorHAnsi" w:cstheme="minorHAnsi"/>
          <w:sz w:val="24"/>
        </w:rPr>
        <w:t>.</w:t>
      </w:r>
      <w:r w:rsidR="00461F21">
        <w:rPr>
          <w:rFonts w:asciiTheme="minorHAnsi" w:eastAsia="Calibri" w:hAnsiTheme="minorHAnsi" w:cstheme="minorHAnsi"/>
          <w:sz w:val="24"/>
        </w:rPr>
        <w:t xml:space="preserve"> </w:t>
      </w:r>
      <w:r w:rsidR="00ED4AF4" w:rsidRPr="00ED4AF4">
        <w:rPr>
          <w:rFonts w:asciiTheme="minorHAnsi" w:eastAsia="Calibri" w:hAnsiTheme="minorHAnsi" w:cstheme="minorHAnsi"/>
          <w:sz w:val="24"/>
        </w:rPr>
        <w:t>Hodnota smlouvy byla zjistitelná na základě výsledku zadávacího řízení</w:t>
      </w:r>
      <w:r w:rsidR="00461F21">
        <w:rPr>
          <w:rFonts w:asciiTheme="minorHAnsi" w:eastAsia="Calibri" w:hAnsiTheme="minorHAnsi" w:cstheme="minorHAnsi"/>
          <w:sz w:val="24"/>
        </w:rPr>
        <w:t>, kde</w:t>
      </w:r>
      <w:r w:rsidR="00ED4AF4" w:rsidRPr="00ED4AF4">
        <w:rPr>
          <w:rFonts w:asciiTheme="minorHAnsi" w:eastAsia="Calibri" w:hAnsiTheme="minorHAnsi" w:cstheme="minorHAnsi"/>
          <w:sz w:val="24"/>
        </w:rPr>
        <w:t xml:space="preserve"> </w:t>
      </w:r>
      <w:r w:rsidR="00ED4AF4">
        <w:rPr>
          <w:rFonts w:asciiTheme="minorHAnsi" w:eastAsia="Calibri" w:hAnsiTheme="minorHAnsi" w:cstheme="minorHAnsi"/>
          <w:sz w:val="24"/>
        </w:rPr>
        <w:t xml:space="preserve">NG </w:t>
      </w:r>
      <w:r w:rsidR="00461F21">
        <w:rPr>
          <w:rFonts w:asciiTheme="minorHAnsi" w:eastAsia="Calibri" w:hAnsiTheme="minorHAnsi" w:cstheme="minorHAnsi"/>
          <w:sz w:val="24"/>
        </w:rPr>
        <w:t>uved</w:t>
      </w:r>
      <w:r w:rsidR="00605391">
        <w:rPr>
          <w:rFonts w:asciiTheme="minorHAnsi" w:eastAsia="Calibri" w:hAnsiTheme="minorHAnsi" w:cstheme="minorHAnsi"/>
          <w:sz w:val="24"/>
        </w:rPr>
        <w:t>la</w:t>
      </w:r>
      <w:r w:rsidR="00ED4AF4" w:rsidRPr="00ED4AF4">
        <w:rPr>
          <w:rFonts w:asciiTheme="minorHAnsi" w:eastAsia="Calibri" w:hAnsiTheme="minorHAnsi" w:cstheme="minorHAnsi"/>
          <w:sz w:val="24"/>
        </w:rPr>
        <w:t xml:space="preserve"> částk</w:t>
      </w:r>
      <w:r w:rsidR="00605391">
        <w:rPr>
          <w:rFonts w:asciiTheme="minorHAnsi" w:eastAsia="Calibri" w:hAnsiTheme="minorHAnsi" w:cstheme="minorHAnsi"/>
          <w:sz w:val="24"/>
        </w:rPr>
        <w:t>u</w:t>
      </w:r>
      <w:r w:rsidR="00461F21">
        <w:rPr>
          <w:rFonts w:asciiTheme="minorHAnsi" w:eastAsia="Calibri" w:hAnsiTheme="minorHAnsi" w:cstheme="minorHAnsi"/>
          <w:sz w:val="24"/>
        </w:rPr>
        <w:t xml:space="preserve"> ve výši</w:t>
      </w:r>
      <w:r w:rsidR="00ED4AF4" w:rsidRPr="00ED4AF4">
        <w:rPr>
          <w:rFonts w:asciiTheme="minorHAnsi" w:eastAsia="Calibri" w:hAnsiTheme="minorHAnsi" w:cstheme="minorHAnsi"/>
          <w:sz w:val="24"/>
        </w:rPr>
        <w:t xml:space="preserve"> 42 274 328 Kč bez DPH za 1 rok plnění služeb</w:t>
      </w:r>
      <w:r w:rsidR="00ED4AF4">
        <w:rPr>
          <w:rFonts w:asciiTheme="minorHAnsi" w:eastAsia="Calibri" w:hAnsiTheme="minorHAnsi" w:cstheme="minorHAnsi"/>
          <w:sz w:val="24"/>
        </w:rPr>
        <w:t>.</w:t>
      </w:r>
    </w:p>
    <w:p w14:paraId="08D7FEA8" w14:textId="73D91EC2" w:rsidR="008464F7" w:rsidRDefault="00461F21" w:rsidP="004C3B77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NG</w:t>
      </w:r>
      <w:r w:rsidRPr="00034CE1">
        <w:rPr>
          <w:rFonts w:asciiTheme="minorHAnsi" w:eastAsia="Calibri" w:hAnsiTheme="minorHAnsi" w:cstheme="minorHAnsi"/>
          <w:sz w:val="24"/>
        </w:rPr>
        <w:t xml:space="preserve"> vynaložila peněžní prostředky ve výši </w:t>
      </w:r>
      <w:r>
        <w:rPr>
          <w:rFonts w:asciiTheme="minorHAnsi" w:eastAsia="Calibri" w:hAnsiTheme="minorHAnsi" w:cstheme="minorHAnsi"/>
          <w:sz w:val="24"/>
        </w:rPr>
        <w:t>154 642 925,97</w:t>
      </w:r>
      <w:r w:rsidRPr="00034CE1">
        <w:rPr>
          <w:rFonts w:asciiTheme="minorHAnsi" w:eastAsia="Calibri" w:hAnsiTheme="minorHAnsi" w:cstheme="minorHAnsi"/>
          <w:sz w:val="24"/>
        </w:rPr>
        <w:t xml:space="preserve"> Kč s DPH za plnění na základě </w:t>
      </w:r>
      <w:r w:rsidR="00605391" w:rsidRPr="00034CE1">
        <w:rPr>
          <w:rFonts w:asciiTheme="minorHAnsi" w:eastAsia="Calibri" w:hAnsiTheme="minorHAnsi" w:cstheme="minorHAnsi"/>
          <w:sz w:val="24"/>
        </w:rPr>
        <w:t>sml</w:t>
      </w:r>
      <w:r w:rsidR="00605391">
        <w:rPr>
          <w:rFonts w:asciiTheme="minorHAnsi" w:eastAsia="Calibri" w:hAnsiTheme="minorHAnsi" w:cstheme="minorHAnsi"/>
          <w:sz w:val="24"/>
        </w:rPr>
        <w:t>o</w:t>
      </w:r>
      <w:r w:rsidR="00605391" w:rsidRPr="00034CE1">
        <w:rPr>
          <w:rFonts w:asciiTheme="minorHAnsi" w:eastAsia="Calibri" w:hAnsiTheme="minorHAnsi" w:cstheme="minorHAnsi"/>
          <w:sz w:val="24"/>
        </w:rPr>
        <w:t>uv</w:t>
      </w:r>
      <w:r w:rsidR="00605391">
        <w:rPr>
          <w:rFonts w:asciiTheme="minorHAnsi" w:eastAsia="Calibri" w:hAnsiTheme="minorHAnsi" w:cstheme="minorHAnsi"/>
          <w:sz w:val="24"/>
        </w:rPr>
        <w:t>y, která byla</w:t>
      </w:r>
      <w:r w:rsidR="00605391" w:rsidRPr="00034CE1">
        <w:rPr>
          <w:rFonts w:asciiTheme="minorHAnsi" w:eastAsia="Calibri" w:hAnsiTheme="minorHAnsi" w:cstheme="minorHAnsi"/>
          <w:sz w:val="24"/>
        </w:rPr>
        <w:t xml:space="preserve"> </w:t>
      </w:r>
      <w:r w:rsidRPr="00034CE1">
        <w:rPr>
          <w:rFonts w:asciiTheme="minorHAnsi" w:eastAsia="Calibri" w:hAnsiTheme="minorHAnsi" w:cstheme="minorHAnsi"/>
          <w:sz w:val="24"/>
        </w:rPr>
        <w:t>podle zákona registru smluv</w:t>
      </w:r>
      <w:r w:rsidR="006F5B4C">
        <w:rPr>
          <w:rFonts w:asciiTheme="minorHAnsi" w:eastAsia="Calibri" w:hAnsiTheme="minorHAnsi" w:cstheme="minorHAnsi"/>
          <w:sz w:val="24"/>
          <w:vertAlign w:val="superscript"/>
        </w:rPr>
        <w:t>1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8</w:t>
      </w:r>
      <w:r w:rsidR="00605391" w:rsidRPr="00605391">
        <w:rPr>
          <w:rFonts w:asciiTheme="minorHAnsi" w:eastAsia="Calibri" w:hAnsiTheme="minorHAnsi" w:cstheme="minorHAnsi"/>
          <w:sz w:val="24"/>
        </w:rPr>
        <w:t xml:space="preserve"> </w:t>
      </w:r>
      <w:r w:rsidR="00605391" w:rsidRPr="00034CE1">
        <w:rPr>
          <w:rFonts w:asciiTheme="minorHAnsi" w:eastAsia="Calibri" w:hAnsiTheme="minorHAnsi" w:cstheme="minorHAnsi"/>
          <w:sz w:val="24"/>
        </w:rPr>
        <w:t>zrušen</w:t>
      </w:r>
      <w:r w:rsidR="00605391">
        <w:rPr>
          <w:rFonts w:asciiTheme="minorHAnsi" w:eastAsia="Calibri" w:hAnsiTheme="minorHAnsi" w:cstheme="minorHAnsi"/>
          <w:sz w:val="24"/>
        </w:rPr>
        <w:t>a</w:t>
      </w:r>
      <w:r w:rsidR="00605391" w:rsidRPr="00034CE1">
        <w:rPr>
          <w:rFonts w:asciiTheme="minorHAnsi" w:eastAsia="Calibri" w:hAnsiTheme="minorHAnsi" w:cstheme="minorHAnsi"/>
          <w:sz w:val="24"/>
        </w:rPr>
        <w:t xml:space="preserve"> </w:t>
      </w:r>
      <w:r w:rsidR="00605391">
        <w:rPr>
          <w:rFonts w:asciiTheme="minorHAnsi" w:eastAsia="Calibri" w:hAnsiTheme="minorHAnsi" w:cstheme="minorHAnsi"/>
          <w:sz w:val="24"/>
        </w:rPr>
        <w:t>od počátku</w:t>
      </w:r>
      <w:r w:rsidRPr="00034CE1">
        <w:rPr>
          <w:rFonts w:asciiTheme="minorHAnsi" w:eastAsia="Calibri" w:hAnsiTheme="minorHAnsi" w:cstheme="minorHAnsi"/>
          <w:sz w:val="24"/>
        </w:rPr>
        <w:t xml:space="preserve">. </w:t>
      </w:r>
      <w:r w:rsidRPr="00E92A6E">
        <w:rPr>
          <w:rFonts w:asciiTheme="minorHAnsi" w:eastAsia="Calibri" w:hAnsiTheme="minorHAnsi" w:cstheme="minorHAnsi"/>
          <w:sz w:val="24"/>
        </w:rPr>
        <w:t>Dle NKÚ se jedná o</w:t>
      </w:r>
      <w:r w:rsidR="00605391">
        <w:rPr>
          <w:rFonts w:asciiTheme="minorHAnsi" w:eastAsia="Calibri" w:hAnsiTheme="minorHAnsi" w:cstheme="minorHAnsi"/>
          <w:sz w:val="24"/>
        </w:rPr>
        <w:t> </w:t>
      </w:r>
      <w:r w:rsidRPr="00E92A6E">
        <w:rPr>
          <w:rFonts w:asciiTheme="minorHAnsi" w:eastAsia="Calibri" w:hAnsiTheme="minorHAnsi" w:cstheme="minorHAnsi"/>
          <w:sz w:val="24"/>
        </w:rPr>
        <w:t>skutečnosti nasvědčující porušení rozpočtové kázně</w:t>
      </w:r>
      <w:r w:rsidR="006F5B4C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4</w:t>
      </w:r>
      <w:r w:rsidR="00605391" w:rsidRPr="00796B3B">
        <w:rPr>
          <w:rFonts w:asciiTheme="minorHAnsi" w:eastAsia="Calibri" w:hAnsiTheme="minorHAnsi" w:cstheme="minorHAnsi"/>
          <w:sz w:val="24"/>
        </w:rPr>
        <w:t>.</w:t>
      </w:r>
      <w:r w:rsidRPr="00E92A6E">
        <w:rPr>
          <w:rFonts w:asciiTheme="minorHAnsi" w:eastAsia="Calibri" w:hAnsiTheme="minorHAnsi" w:cstheme="minorHAnsi"/>
          <w:sz w:val="24"/>
        </w:rPr>
        <w:t xml:space="preserve"> </w:t>
      </w:r>
    </w:p>
    <w:p w14:paraId="615136B1" w14:textId="77777777" w:rsidR="00F84DD2" w:rsidRDefault="00F84DD2" w:rsidP="004C6D5D">
      <w:pPr>
        <w:keepNext/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lastRenderedPageBreak/>
        <w:t>NG uzavřela smlouvu o dílo s generálním ředitelem NG</w:t>
      </w:r>
    </w:p>
    <w:p w14:paraId="03ABFEF8" w14:textId="32B50C09" w:rsidR="00F84DD2" w:rsidRDefault="00F84DD2" w:rsidP="00F84DD2">
      <w:pPr>
        <w:shd w:val="clear" w:color="auto" w:fill="FFFFFF" w:themeFill="background1"/>
        <w:spacing w:before="120" w:after="0" w:line="240" w:lineRule="auto"/>
        <w:rPr>
          <w:rFonts w:asciiTheme="minorHAnsi" w:hAnsiTheme="minorHAnsi" w:cstheme="minorHAnsi"/>
          <w:bCs/>
          <w:sz w:val="24"/>
        </w:rPr>
      </w:pPr>
      <w:r w:rsidRPr="000C1A3D">
        <w:rPr>
          <w:rFonts w:asciiTheme="minorHAnsi" w:eastAsia="Calibri" w:hAnsiTheme="minorHAnsi" w:cstheme="minorHAnsi"/>
          <w:sz w:val="24"/>
        </w:rPr>
        <w:t>V roce 2018 NG uzavřela s generálním ředitelem NG smlouvu na vytvoření autorského díla bez výběrové</w:t>
      </w:r>
      <w:r w:rsidR="005065FA">
        <w:rPr>
          <w:rFonts w:asciiTheme="minorHAnsi" w:eastAsia="Calibri" w:hAnsiTheme="minorHAnsi" w:cstheme="minorHAnsi"/>
          <w:sz w:val="24"/>
        </w:rPr>
        <w:t>ho</w:t>
      </w:r>
      <w:r w:rsidRPr="000C1A3D">
        <w:rPr>
          <w:rFonts w:asciiTheme="minorHAnsi" w:eastAsia="Calibri" w:hAnsiTheme="minorHAnsi" w:cstheme="minorHAnsi"/>
          <w:sz w:val="24"/>
        </w:rPr>
        <w:t xml:space="preserve"> řízení v celkové hodnotě 1 120 000 Kč. </w:t>
      </w:r>
      <w:r w:rsidR="005065FA" w:rsidRPr="000C1A3D">
        <w:rPr>
          <w:rFonts w:asciiTheme="minorHAnsi" w:eastAsia="Calibri" w:hAnsiTheme="minorHAnsi" w:cstheme="minorHAnsi"/>
          <w:sz w:val="24"/>
        </w:rPr>
        <w:t xml:space="preserve">NG </w:t>
      </w:r>
      <w:r w:rsidRPr="000C1A3D">
        <w:rPr>
          <w:rFonts w:asciiTheme="minorHAnsi" w:eastAsia="Calibri" w:hAnsiTheme="minorHAnsi" w:cstheme="minorHAnsi"/>
          <w:sz w:val="24"/>
        </w:rPr>
        <w:t>sjednala u této smlouvy účinnost</w:t>
      </w:r>
      <w:r w:rsidR="006F5B4C">
        <w:rPr>
          <w:rFonts w:asciiTheme="minorHAnsi" w:eastAsia="Calibri" w:hAnsiTheme="minorHAnsi" w:cstheme="minorHAnsi"/>
          <w:sz w:val="24"/>
          <w:vertAlign w:val="superscript"/>
        </w:rPr>
        <w:t>1</w:t>
      </w:r>
      <w:r w:rsidR="007D3EE4">
        <w:rPr>
          <w:rFonts w:asciiTheme="minorHAnsi" w:eastAsia="Calibri" w:hAnsiTheme="minorHAnsi" w:cstheme="minorHAnsi"/>
          <w:sz w:val="24"/>
          <w:vertAlign w:val="superscript"/>
        </w:rPr>
        <w:t>6</w:t>
      </w:r>
      <w:r w:rsidRPr="000C1A3D">
        <w:rPr>
          <w:rFonts w:asciiTheme="minorHAnsi" w:eastAsia="Calibri" w:hAnsiTheme="minorHAnsi" w:cstheme="minorHAnsi"/>
          <w:sz w:val="24"/>
        </w:rPr>
        <w:t xml:space="preserve"> od září 2017, tedy zpětně, ačkoliv smlouva byla uzavřena až v prosinci 2018. Za NG ji v zastoupení podepsala neoprávněná osoba – kancléřka generálního ředitele. </w:t>
      </w:r>
      <w:r w:rsidRPr="000C1A3D">
        <w:rPr>
          <w:rFonts w:asciiTheme="minorHAnsi" w:hAnsiTheme="minorHAnsi" w:cstheme="minorHAnsi"/>
          <w:bCs/>
          <w:sz w:val="24"/>
        </w:rPr>
        <w:t>NG podepsala smlouvu s generálním ředitelem, aniž by předtím oslovila další možné dodavatele, čímž nepostupovala v souladu se zásadou transparentnosti</w:t>
      </w:r>
      <w:r w:rsidR="007D3EE4">
        <w:rPr>
          <w:rFonts w:asciiTheme="minorHAnsi" w:hAnsiTheme="minorHAnsi" w:cstheme="minorHAnsi"/>
          <w:bCs/>
          <w:sz w:val="24"/>
          <w:vertAlign w:val="superscript"/>
        </w:rPr>
        <w:t>20</w:t>
      </w:r>
      <w:r w:rsidRPr="000C1A3D">
        <w:rPr>
          <w:rFonts w:asciiTheme="minorHAnsi" w:hAnsiTheme="minorHAnsi" w:cstheme="minorHAnsi"/>
          <w:bCs/>
          <w:sz w:val="24"/>
        </w:rPr>
        <w:t xml:space="preserve"> podle zákona o zadávání veřejných zakázek.</w:t>
      </w:r>
    </w:p>
    <w:p w14:paraId="669B94CD" w14:textId="77777777" w:rsidR="00F7261D" w:rsidRDefault="00F7261D" w:rsidP="004C6D5D">
      <w:pPr>
        <w:shd w:val="clear" w:color="auto" w:fill="FFFFFF" w:themeFill="background1"/>
        <w:spacing w:after="0" w:line="240" w:lineRule="auto"/>
        <w:rPr>
          <w:rFonts w:asciiTheme="minorHAnsi" w:eastAsia="Calibri" w:hAnsiTheme="minorHAnsi" w:cstheme="minorHAnsi"/>
          <w:sz w:val="24"/>
        </w:rPr>
      </w:pPr>
    </w:p>
    <w:p w14:paraId="78611B53" w14:textId="77777777" w:rsidR="006B7262" w:rsidRPr="00A10BE1" w:rsidRDefault="005B15B1" w:rsidP="004C6D5D">
      <w:pPr>
        <w:pStyle w:val="Nadpis1"/>
        <w:numPr>
          <w:ilvl w:val="0"/>
          <w:numId w:val="12"/>
        </w:numPr>
        <w:spacing w:before="120" w:line="240" w:lineRule="auto"/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t xml:space="preserve">Nedostatky </w:t>
      </w:r>
      <w:r w:rsidR="00280E28" w:rsidRPr="00A10BE1">
        <w:rPr>
          <w:rFonts w:asciiTheme="minorHAnsi" w:hAnsiTheme="minorHAnsi" w:cstheme="minorHAnsi"/>
          <w:sz w:val="24"/>
          <w:u w:val="none"/>
        </w:rPr>
        <w:t>při</w:t>
      </w:r>
      <w:r w:rsidRPr="00A10BE1">
        <w:rPr>
          <w:rFonts w:asciiTheme="minorHAnsi" w:hAnsiTheme="minorHAnsi" w:cstheme="minorHAnsi"/>
          <w:sz w:val="24"/>
          <w:u w:val="none"/>
        </w:rPr>
        <w:t xml:space="preserve"> h</w:t>
      </w:r>
      <w:r w:rsidR="006B7262" w:rsidRPr="00A10BE1">
        <w:rPr>
          <w:rFonts w:asciiTheme="minorHAnsi" w:hAnsiTheme="minorHAnsi" w:cstheme="minorHAnsi"/>
          <w:sz w:val="24"/>
          <w:u w:val="none"/>
        </w:rPr>
        <w:t>ospodaření s</w:t>
      </w:r>
      <w:r w:rsidRPr="00A10BE1">
        <w:rPr>
          <w:rFonts w:asciiTheme="minorHAnsi" w:hAnsiTheme="minorHAnsi" w:cstheme="minorHAnsi"/>
          <w:sz w:val="24"/>
          <w:u w:val="none"/>
        </w:rPr>
        <w:t> </w:t>
      </w:r>
      <w:r w:rsidR="006B7262" w:rsidRPr="00A10BE1">
        <w:rPr>
          <w:rFonts w:asciiTheme="minorHAnsi" w:hAnsiTheme="minorHAnsi" w:cstheme="minorHAnsi"/>
          <w:sz w:val="24"/>
          <w:u w:val="none"/>
        </w:rPr>
        <w:t>majetkem</w:t>
      </w:r>
    </w:p>
    <w:p w14:paraId="406237F0" w14:textId="51FE0758" w:rsidR="00F23A7B" w:rsidRPr="00011C6C" w:rsidRDefault="00F23A7B" w:rsidP="00923973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011C6C">
        <w:rPr>
          <w:rFonts w:asciiTheme="minorHAnsi" w:eastAsia="Calibri" w:hAnsiTheme="minorHAnsi" w:cstheme="minorHAnsi"/>
          <w:b/>
          <w:sz w:val="24"/>
        </w:rPr>
        <w:t xml:space="preserve">Kontrolou bylo zjišťováno, zda </w:t>
      </w:r>
      <w:r w:rsidR="00BA2CB3">
        <w:rPr>
          <w:rFonts w:asciiTheme="minorHAnsi" w:eastAsia="Calibri" w:hAnsiTheme="minorHAnsi" w:cstheme="minorHAnsi"/>
          <w:b/>
          <w:sz w:val="24"/>
        </w:rPr>
        <w:t>NG a UPM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měly vytvořeny plány </w:t>
      </w:r>
      <w:r w:rsidR="00CA079C" w:rsidRPr="00011C6C">
        <w:rPr>
          <w:rFonts w:asciiTheme="minorHAnsi" w:eastAsia="Calibri" w:hAnsiTheme="minorHAnsi" w:cstheme="minorHAnsi"/>
          <w:b/>
          <w:sz w:val="24"/>
        </w:rPr>
        <w:t>oprav</w:t>
      </w:r>
      <w:r w:rsidR="00731517">
        <w:rPr>
          <w:rFonts w:asciiTheme="minorHAnsi" w:eastAsia="Calibri" w:hAnsiTheme="minorHAnsi" w:cstheme="minorHAnsi"/>
          <w:b/>
          <w:sz w:val="24"/>
        </w:rPr>
        <w:t>,</w:t>
      </w:r>
      <w:r w:rsidR="00CA079C"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="00731517" w:rsidRPr="00011C6C">
        <w:rPr>
          <w:rFonts w:asciiTheme="minorHAnsi" w:eastAsia="Calibri" w:hAnsiTheme="minorHAnsi" w:cstheme="minorHAnsi"/>
          <w:b/>
          <w:sz w:val="24"/>
        </w:rPr>
        <w:t xml:space="preserve">investiční plány </w:t>
      </w:r>
      <w:r w:rsidRPr="00011C6C">
        <w:rPr>
          <w:rFonts w:asciiTheme="minorHAnsi" w:eastAsia="Calibri" w:hAnsiTheme="minorHAnsi" w:cstheme="minorHAnsi"/>
          <w:b/>
          <w:sz w:val="24"/>
        </w:rPr>
        <w:t>a</w:t>
      </w:r>
      <w:r w:rsidR="00605391">
        <w:rPr>
          <w:rFonts w:asciiTheme="minorHAnsi" w:eastAsia="Calibri" w:hAnsiTheme="minorHAnsi" w:cstheme="minorHAnsi"/>
          <w:b/>
          <w:sz w:val="24"/>
        </w:rPr>
        <w:t> </w:t>
      </w:r>
      <w:r w:rsidRPr="00011C6C">
        <w:rPr>
          <w:rFonts w:asciiTheme="minorHAnsi" w:eastAsia="Calibri" w:hAnsiTheme="minorHAnsi" w:cstheme="minorHAnsi"/>
          <w:b/>
          <w:sz w:val="24"/>
        </w:rPr>
        <w:t>akviziční plány. Dále na kontrolním vzorku bylo prověřeno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 xml:space="preserve"> účelné a hospodárné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nabývání 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 xml:space="preserve">majetku, jeho </w:t>
      </w:r>
      <w:r w:rsidRPr="00011C6C">
        <w:rPr>
          <w:rFonts w:asciiTheme="minorHAnsi" w:eastAsia="Calibri" w:hAnsiTheme="minorHAnsi" w:cstheme="minorHAnsi"/>
          <w:b/>
          <w:sz w:val="24"/>
        </w:rPr>
        <w:t>pozbývání,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Pr="00011C6C">
        <w:rPr>
          <w:rFonts w:asciiTheme="minorHAnsi" w:eastAsia="Calibri" w:hAnsiTheme="minorHAnsi" w:cstheme="minorHAnsi"/>
          <w:b/>
          <w:sz w:val="24"/>
        </w:rPr>
        <w:t>evidence a inventarizace</w:t>
      </w:r>
      <w:r w:rsidR="005100B0" w:rsidRPr="00011C6C">
        <w:rPr>
          <w:rFonts w:asciiTheme="minorHAnsi" w:eastAsia="Calibri" w:hAnsiTheme="minorHAnsi" w:cstheme="minorHAnsi"/>
          <w:b/>
          <w:sz w:val="24"/>
        </w:rPr>
        <w:t>,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náklady na opravy a udržování majetku</w:t>
      </w:r>
      <w:r w:rsidR="00D526C0">
        <w:rPr>
          <w:rFonts w:asciiTheme="minorHAnsi" w:eastAsia="Calibri" w:hAnsiTheme="minorHAnsi" w:cstheme="minorHAnsi"/>
          <w:b/>
          <w:sz w:val="24"/>
        </w:rPr>
        <w:t>,</w:t>
      </w:r>
      <w:r w:rsidR="005100B0" w:rsidRPr="00011C6C">
        <w:rPr>
          <w:rFonts w:asciiTheme="minorHAnsi" w:eastAsia="Calibri" w:hAnsiTheme="minorHAnsi" w:cstheme="minorHAnsi"/>
          <w:b/>
          <w:sz w:val="24"/>
        </w:rPr>
        <w:t xml:space="preserve"> účtování</w:t>
      </w:r>
      <w:r w:rsidR="00BA2CB3">
        <w:rPr>
          <w:rFonts w:asciiTheme="minorHAnsi" w:eastAsia="Calibri" w:hAnsiTheme="minorHAnsi" w:cstheme="minorHAnsi"/>
          <w:b/>
          <w:sz w:val="24"/>
        </w:rPr>
        <w:t xml:space="preserve"> o majetku</w:t>
      </w:r>
      <w:r w:rsidR="00D526C0" w:rsidRPr="00D526C0">
        <w:rPr>
          <w:rFonts w:asciiTheme="minorHAnsi" w:eastAsia="Calibri" w:hAnsiTheme="minorHAnsi" w:cstheme="minorHAnsi"/>
          <w:b/>
          <w:sz w:val="24"/>
        </w:rPr>
        <w:t xml:space="preserve"> </w:t>
      </w:r>
      <w:r w:rsidR="00D526C0" w:rsidRPr="00011C6C">
        <w:rPr>
          <w:rFonts w:asciiTheme="minorHAnsi" w:eastAsia="Calibri" w:hAnsiTheme="minorHAnsi" w:cstheme="minorHAnsi"/>
          <w:b/>
          <w:sz w:val="24"/>
        </w:rPr>
        <w:t>a soulad s právními předpisy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>.</w:t>
      </w:r>
    </w:p>
    <w:p w14:paraId="1308C489" w14:textId="068D8786" w:rsidR="00F30EC6" w:rsidRDefault="005065FA" w:rsidP="00923973">
      <w:pPr>
        <w:spacing w:before="120" w:after="0" w:line="240" w:lineRule="auto"/>
        <w:rPr>
          <w:rFonts w:asciiTheme="minorHAnsi" w:hAnsiTheme="minorHAnsi" w:cstheme="minorHAnsi"/>
          <w:sz w:val="24"/>
        </w:rPr>
      </w:pPr>
      <w:r w:rsidRPr="005065FA">
        <w:rPr>
          <w:rFonts w:asciiTheme="minorHAnsi" w:hAnsiTheme="minorHAnsi" w:cstheme="minorHAnsi"/>
          <w:b/>
          <w:sz w:val="24"/>
        </w:rPr>
        <w:t>NG nedisponovala investičními plány</w:t>
      </w:r>
      <w:r w:rsidR="00605391">
        <w:rPr>
          <w:rFonts w:asciiTheme="minorHAnsi" w:hAnsiTheme="minorHAnsi" w:cstheme="minorHAnsi"/>
          <w:b/>
          <w:sz w:val="24"/>
        </w:rPr>
        <w:t>,</w:t>
      </w:r>
      <w:r w:rsidRPr="005065FA">
        <w:rPr>
          <w:rFonts w:asciiTheme="minorHAnsi" w:hAnsiTheme="minorHAnsi" w:cstheme="minorHAnsi"/>
          <w:b/>
          <w:sz w:val="24"/>
        </w:rPr>
        <w:t xml:space="preserve"> a neměla t</w:t>
      </w:r>
      <w:r w:rsidR="00605391">
        <w:rPr>
          <w:rFonts w:asciiTheme="minorHAnsi" w:hAnsiTheme="minorHAnsi" w:cstheme="minorHAnsi"/>
          <w:b/>
          <w:sz w:val="24"/>
        </w:rPr>
        <w:t>udíž</w:t>
      </w:r>
      <w:r w:rsidRPr="005065FA">
        <w:rPr>
          <w:rFonts w:asciiTheme="minorHAnsi" w:hAnsiTheme="minorHAnsi" w:cstheme="minorHAnsi"/>
          <w:b/>
          <w:sz w:val="24"/>
        </w:rPr>
        <w:t xml:space="preserve"> přehled o budoucích investičních potřebách</w:t>
      </w:r>
      <w:r w:rsidRPr="004C6D5D">
        <w:rPr>
          <w:rFonts w:asciiTheme="minorHAnsi" w:hAnsiTheme="minorHAnsi" w:cstheme="minorHAnsi"/>
          <w:b/>
          <w:sz w:val="24"/>
        </w:rPr>
        <w:t>.</w:t>
      </w:r>
      <w:r w:rsidRPr="003B3B87">
        <w:rPr>
          <w:rFonts w:asciiTheme="minorHAnsi" w:hAnsiTheme="minorHAnsi" w:cstheme="minorHAnsi"/>
          <w:sz w:val="24"/>
        </w:rPr>
        <w:t xml:space="preserve"> </w:t>
      </w:r>
      <w:r w:rsidR="003B3B87" w:rsidRPr="003B3B87">
        <w:rPr>
          <w:rFonts w:asciiTheme="minorHAnsi" w:hAnsiTheme="minorHAnsi" w:cstheme="minorHAnsi"/>
          <w:b/>
          <w:sz w:val="24"/>
        </w:rPr>
        <w:t>NG v </w:t>
      </w:r>
      <w:r w:rsidR="00605391">
        <w:rPr>
          <w:rFonts w:asciiTheme="minorHAnsi" w:hAnsiTheme="minorHAnsi" w:cstheme="minorHAnsi"/>
          <w:b/>
          <w:sz w:val="24"/>
        </w:rPr>
        <w:t>rozporu</w:t>
      </w:r>
      <w:r w:rsidR="003B3B87" w:rsidRPr="003B3B87">
        <w:rPr>
          <w:rFonts w:asciiTheme="minorHAnsi" w:hAnsiTheme="minorHAnsi" w:cstheme="minorHAnsi"/>
          <w:b/>
          <w:sz w:val="24"/>
        </w:rPr>
        <w:t xml:space="preserve"> se zákonem o finanční kontrole</w:t>
      </w:r>
      <w:r w:rsidR="00607B59">
        <w:rPr>
          <w:rFonts w:asciiTheme="minorHAnsi" w:hAnsiTheme="minorHAnsi" w:cstheme="minorHAnsi"/>
          <w:b/>
          <w:sz w:val="24"/>
          <w:vertAlign w:val="superscript"/>
        </w:rPr>
        <w:t>4</w:t>
      </w:r>
      <w:r w:rsidR="003B3B87" w:rsidRPr="003B3B87">
        <w:rPr>
          <w:rFonts w:asciiTheme="minorHAnsi" w:hAnsiTheme="minorHAnsi" w:cstheme="minorHAnsi"/>
          <w:b/>
          <w:sz w:val="24"/>
        </w:rPr>
        <w:t xml:space="preserve"> </w:t>
      </w:r>
      <w:r w:rsidR="00605391" w:rsidRPr="003B3B87">
        <w:rPr>
          <w:rFonts w:asciiTheme="minorHAnsi" w:hAnsiTheme="minorHAnsi" w:cstheme="minorHAnsi"/>
          <w:b/>
          <w:sz w:val="24"/>
        </w:rPr>
        <w:t xml:space="preserve">neprověřila </w:t>
      </w:r>
      <w:r w:rsidR="003B3B87" w:rsidRPr="003B3B87">
        <w:rPr>
          <w:rFonts w:asciiTheme="minorHAnsi" w:hAnsiTheme="minorHAnsi" w:cstheme="minorHAnsi"/>
          <w:b/>
          <w:sz w:val="24"/>
        </w:rPr>
        <w:t xml:space="preserve">schvalovacím postupem příkazce operace nezbytnost připravovaných operací k zajištění stanovených úkolů v oblasti nabývání majetku. </w:t>
      </w:r>
      <w:r w:rsidR="00FB44F8" w:rsidRPr="003B3B87">
        <w:rPr>
          <w:rFonts w:asciiTheme="minorHAnsi" w:eastAsia="Calibri" w:hAnsiTheme="minorHAnsi" w:cstheme="minorHAnsi"/>
          <w:b/>
          <w:sz w:val="24"/>
        </w:rPr>
        <w:t>NG</w:t>
      </w:r>
      <w:r w:rsidR="00FB44F8">
        <w:rPr>
          <w:rFonts w:asciiTheme="minorHAnsi" w:eastAsia="Calibri" w:hAnsiTheme="minorHAnsi" w:cstheme="minorHAnsi"/>
          <w:b/>
          <w:sz w:val="24"/>
        </w:rPr>
        <w:t xml:space="preserve"> 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>při poř</w:t>
      </w:r>
      <w:r w:rsidR="00FB44F8">
        <w:rPr>
          <w:rFonts w:asciiTheme="minorHAnsi" w:eastAsia="Calibri" w:hAnsiTheme="minorHAnsi" w:cstheme="minorHAnsi"/>
          <w:b/>
          <w:sz w:val="24"/>
        </w:rPr>
        <w:t>i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>z</w:t>
      </w:r>
      <w:r w:rsidR="00FB44F8">
        <w:rPr>
          <w:rFonts w:asciiTheme="minorHAnsi" w:eastAsia="Calibri" w:hAnsiTheme="minorHAnsi" w:cstheme="minorHAnsi"/>
          <w:b/>
          <w:sz w:val="24"/>
        </w:rPr>
        <w:t>ová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>ní</w:t>
      </w:r>
      <w:r w:rsidR="00FB44F8">
        <w:rPr>
          <w:rFonts w:asciiTheme="minorHAnsi" w:eastAsia="Calibri" w:hAnsiTheme="minorHAnsi" w:cstheme="minorHAnsi"/>
          <w:b/>
          <w:sz w:val="24"/>
        </w:rPr>
        <w:t xml:space="preserve"> 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>majetku</w:t>
      </w:r>
      <w:r w:rsidR="00FB44F8">
        <w:rPr>
          <w:rFonts w:asciiTheme="minorHAnsi" w:eastAsia="Calibri" w:hAnsiTheme="minorHAnsi" w:cstheme="minorHAnsi"/>
          <w:b/>
          <w:sz w:val="24"/>
        </w:rPr>
        <w:t xml:space="preserve"> nedodržela</w:t>
      </w:r>
      <w:r w:rsidR="00CD61F0" w:rsidRPr="00011C6C">
        <w:rPr>
          <w:rFonts w:asciiTheme="minorHAnsi" w:eastAsia="Calibri" w:hAnsiTheme="minorHAnsi" w:cstheme="minorHAnsi"/>
          <w:b/>
          <w:sz w:val="24"/>
        </w:rPr>
        <w:t xml:space="preserve"> zákon o zadávání veřejných zakázek. </w:t>
      </w:r>
      <w:r w:rsidR="00CA079C" w:rsidRPr="00011C6C">
        <w:rPr>
          <w:rFonts w:asciiTheme="minorHAnsi" w:eastAsia="Calibri" w:hAnsiTheme="minorHAnsi" w:cstheme="minorHAnsi"/>
          <w:b/>
          <w:sz w:val="24"/>
        </w:rPr>
        <w:t xml:space="preserve">Většina </w:t>
      </w:r>
      <w:r w:rsidR="00605391" w:rsidRPr="00011C6C">
        <w:rPr>
          <w:rFonts w:asciiTheme="minorHAnsi" w:eastAsia="Calibri" w:hAnsiTheme="minorHAnsi" w:cstheme="minorHAnsi"/>
          <w:b/>
          <w:sz w:val="24"/>
        </w:rPr>
        <w:t xml:space="preserve">oprav </w:t>
      </w:r>
      <w:r w:rsidR="00CA079C" w:rsidRPr="00011C6C">
        <w:rPr>
          <w:rFonts w:asciiTheme="minorHAnsi" w:eastAsia="Calibri" w:hAnsiTheme="minorHAnsi" w:cstheme="minorHAnsi"/>
          <w:b/>
          <w:sz w:val="24"/>
        </w:rPr>
        <w:t>provedených v kontrolovaném období nevy</w:t>
      </w:r>
      <w:r w:rsidR="00FF2C6C">
        <w:rPr>
          <w:rFonts w:asciiTheme="minorHAnsi" w:eastAsia="Calibri" w:hAnsiTheme="minorHAnsi" w:cstheme="minorHAnsi"/>
          <w:b/>
          <w:sz w:val="24"/>
        </w:rPr>
        <w:t>cházela</w:t>
      </w:r>
      <w:r w:rsidR="00CA079C" w:rsidRPr="00011C6C">
        <w:rPr>
          <w:rFonts w:asciiTheme="minorHAnsi" w:eastAsia="Calibri" w:hAnsiTheme="minorHAnsi" w:cstheme="minorHAnsi"/>
          <w:b/>
          <w:sz w:val="24"/>
        </w:rPr>
        <w:t xml:space="preserve"> z</w:t>
      </w:r>
      <w:r w:rsidR="00A252C6">
        <w:rPr>
          <w:rFonts w:asciiTheme="minorHAnsi" w:eastAsia="Calibri" w:hAnsiTheme="minorHAnsi" w:cstheme="minorHAnsi"/>
          <w:b/>
          <w:sz w:val="24"/>
        </w:rPr>
        <w:t> </w:t>
      </w:r>
      <w:r w:rsidR="00CA079C" w:rsidRPr="00011C6C">
        <w:rPr>
          <w:rFonts w:asciiTheme="minorHAnsi" w:eastAsia="Calibri" w:hAnsiTheme="minorHAnsi" w:cstheme="minorHAnsi"/>
          <w:b/>
          <w:sz w:val="24"/>
        </w:rPr>
        <w:t>plánu</w:t>
      </w:r>
      <w:r w:rsidR="00A252C6">
        <w:rPr>
          <w:rFonts w:asciiTheme="minorHAnsi" w:eastAsia="Calibri" w:hAnsiTheme="minorHAnsi" w:cstheme="minorHAnsi"/>
          <w:b/>
          <w:sz w:val="24"/>
        </w:rPr>
        <w:t xml:space="preserve"> oprav</w:t>
      </w:r>
      <w:r w:rsidR="00CA079C" w:rsidRPr="002E4129">
        <w:rPr>
          <w:rFonts w:asciiTheme="minorHAnsi" w:eastAsia="Calibri" w:hAnsiTheme="minorHAnsi" w:cstheme="minorHAnsi"/>
          <w:b/>
          <w:sz w:val="24"/>
        </w:rPr>
        <w:t xml:space="preserve">. </w:t>
      </w:r>
      <w:r w:rsidR="002E4129" w:rsidRPr="002E4129">
        <w:rPr>
          <w:rFonts w:asciiTheme="minorHAnsi" w:hAnsiTheme="minorHAnsi" w:cstheme="minorHAnsi"/>
          <w:b/>
          <w:sz w:val="24"/>
        </w:rPr>
        <w:t>NG vynaložila peněžní prostředky za vytvoření nového loga, jehož předmětem nebyl její zákonný název. Jelikož nebyla provedena změna názvu v zákoně, nemůže NG využívat toto logo a</w:t>
      </w:r>
      <w:r w:rsidR="00605391">
        <w:rPr>
          <w:rFonts w:asciiTheme="minorHAnsi" w:hAnsiTheme="minorHAnsi" w:cstheme="minorHAnsi"/>
          <w:b/>
          <w:sz w:val="24"/>
        </w:rPr>
        <w:t>ni</w:t>
      </w:r>
      <w:r w:rsidR="002E4129" w:rsidRPr="002E4129">
        <w:rPr>
          <w:rFonts w:asciiTheme="minorHAnsi" w:hAnsiTheme="minorHAnsi" w:cstheme="minorHAnsi"/>
          <w:b/>
          <w:sz w:val="24"/>
        </w:rPr>
        <w:t xml:space="preserve"> název na oficiálních dokumentech. Takové vynaložení peněžních prostředků nebylo v souladu se zákonem o rozpočtových pravidlech, který příspěvkovým organizacím povoluje </w:t>
      </w:r>
      <w:r w:rsidR="00C30359">
        <w:rPr>
          <w:rFonts w:asciiTheme="minorHAnsi" w:hAnsiTheme="minorHAnsi" w:cstheme="minorHAnsi"/>
          <w:b/>
          <w:sz w:val="24"/>
        </w:rPr>
        <w:t>používat pe</w:t>
      </w:r>
      <w:r w:rsidR="004C6D5D">
        <w:rPr>
          <w:rFonts w:asciiTheme="minorHAnsi" w:hAnsiTheme="minorHAnsi" w:cstheme="minorHAnsi"/>
          <w:b/>
          <w:sz w:val="24"/>
        </w:rPr>
        <w:t>něžní prostředky</w:t>
      </w:r>
      <w:r w:rsidR="002E4129" w:rsidRPr="002E4129">
        <w:rPr>
          <w:rFonts w:asciiTheme="minorHAnsi" w:hAnsiTheme="minorHAnsi" w:cstheme="minorHAnsi"/>
          <w:b/>
          <w:sz w:val="24"/>
        </w:rPr>
        <w:t xml:space="preserve"> jen k účelům, na které jsou určeny</w:t>
      </w:r>
      <w:r w:rsidR="0077381C">
        <w:rPr>
          <w:rFonts w:asciiTheme="minorHAnsi" w:hAnsiTheme="minorHAnsi" w:cstheme="minorHAnsi"/>
          <w:b/>
          <w:sz w:val="24"/>
        </w:rPr>
        <w:t>, a</w:t>
      </w:r>
      <w:r w:rsidR="00DB0638">
        <w:rPr>
          <w:rFonts w:asciiTheme="minorHAnsi" w:hAnsiTheme="minorHAnsi" w:cstheme="minorHAnsi"/>
          <w:b/>
          <w:sz w:val="24"/>
        </w:rPr>
        <w:t> </w:t>
      </w:r>
      <w:r w:rsidR="0077381C">
        <w:rPr>
          <w:rFonts w:asciiTheme="minorHAnsi" w:hAnsiTheme="minorHAnsi" w:cstheme="minorHAnsi"/>
          <w:b/>
          <w:sz w:val="24"/>
        </w:rPr>
        <w:t>to</w:t>
      </w:r>
      <w:r w:rsidR="002E4129" w:rsidRPr="002E4129">
        <w:rPr>
          <w:rFonts w:asciiTheme="minorHAnsi" w:hAnsiTheme="minorHAnsi" w:cstheme="minorHAnsi"/>
          <w:b/>
          <w:sz w:val="24"/>
        </w:rPr>
        <w:t xml:space="preserve"> na krytí nezbytných potřeb.</w:t>
      </w:r>
    </w:p>
    <w:p w14:paraId="52688726" w14:textId="7E94D2A1" w:rsidR="00180FF7" w:rsidRPr="00417856" w:rsidRDefault="00CD61F0" w:rsidP="00180FF7">
      <w:pPr>
        <w:spacing w:before="120" w:after="0" w:line="240" w:lineRule="auto"/>
      </w:pPr>
      <w:r w:rsidRPr="00011C6C">
        <w:rPr>
          <w:rFonts w:asciiTheme="minorHAnsi" w:eastAsia="Calibri" w:hAnsiTheme="minorHAnsi" w:cstheme="minorHAnsi"/>
          <w:b/>
          <w:sz w:val="24"/>
        </w:rPr>
        <w:t>UPM mělo vytvořený investiční plán</w:t>
      </w:r>
      <w:r w:rsidR="00175AFB" w:rsidRPr="00011C6C">
        <w:rPr>
          <w:rFonts w:asciiTheme="minorHAnsi" w:eastAsia="Calibri" w:hAnsiTheme="minorHAnsi" w:cstheme="minorHAnsi"/>
          <w:b/>
          <w:sz w:val="24"/>
        </w:rPr>
        <w:t xml:space="preserve"> a nebyly u něho zjištěny nedostatky v souvislosti s nabýváním a pozbýváním majetku</w:t>
      </w:r>
      <w:r w:rsidR="00175AFB" w:rsidRPr="00180FF7">
        <w:rPr>
          <w:rFonts w:asciiTheme="minorHAnsi" w:eastAsia="Calibri" w:hAnsiTheme="minorHAnsi" w:cstheme="minorHAnsi"/>
          <w:b/>
          <w:sz w:val="24"/>
        </w:rPr>
        <w:t xml:space="preserve">. </w:t>
      </w:r>
      <w:r w:rsidR="00180FF7" w:rsidRPr="00180FF7">
        <w:rPr>
          <w:rFonts w:asciiTheme="minorHAnsi" w:hAnsiTheme="minorHAnsi" w:cstheme="minorHAnsi"/>
          <w:b/>
          <w:sz w:val="24"/>
        </w:rPr>
        <w:t xml:space="preserve">U UPM byly zjištěny nedostatky v oblasti evidence majetku. Dále bylo zjištěno, že o nabytí pozemku neúčtovalo </w:t>
      </w:r>
      <w:r w:rsidR="00C30359" w:rsidRPr="00180FF7">
        <w:rPr>
          <w:rFonts w:asciiTheme="minorHAnsi" w:hAnsiTheme="minorHAnsi" w:cstheme="minorHAnsi"/>
          <w:b/>
          <w:sz w:val="24"/>
        </w:rPr>
        <w:t xml:space="preserve">UPM </w:t>
      </w:r>
      <w:r w:rsidR="00180FF7" w:rsidRPr="00180FF7">
        <w:rPr>
          <w:rFonts w:asciiTheme="minorHAnsi" w:hAnsiTheme="minorHAnsi" w:cstheme="minorHAnsi"/>
          <w:b/>
          <w:sz w:val="24"/>
        </w:rPr>
        <w:t xml:space="preserve">do období, se kterým </w:t>
      </w:r>
      <w:r w:rsidR="00C30359">
        <w:rPr>
          <w:rFonts w:asciiTheme="minorHAnsi" w:hAnsiTheme="minorHAnsi" w:cstheme="minorHAnsi"/>
          <w:b/>
          <w:sz w:val="24"/>
        </w:rPr>
        <w:t xml:space="preserve">toto </w:t>
      </w:r>
      <w:r w:rsidR="00180FF7" w:rsidRPr="00180FF7">
        <w:rPr>
          <w:rFonts w:asciiTheme="minorHAnsi" w:hAnsiTheme="minorHAnsi" w:cstheme="minorHAnsi"/>
          <w:b/>
          <w:sz w:val="24"/>
        </w:rPr>
        <w:t>nabytí pozemku časově a věcně souviselo.</w:t>
      </w:r>
    </w:p>
    <w:p w14:paraId="0F158C4F" w14:textId="66F149D5" w:rsidR="00ED66A0" w:rsidRPr="00011C6C" w:rsidRDefault="00C30359" w:rsidP="00923973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NG a UPM</w:t>
      </w:r>
      <w:r w:rsidR="001A0865" w:rsidRPr="00011C6C">
        <w:rPr>
          <w:rFonts w:asciiTheme="minorHAnsi" w:eastAsia="Calibri" w:hAnsiTheme="minorHAnsi" w:cstheme="minorHAnsi"/>
          <w:b/>
          <w:sz w:val="24"/>
        </w:rPr>
        <w:t xml:space="preserve"> nevedly</w:t>
      </w:r>
      <w:r w:rsidR="00280E28" w:rsidRPr="00011C6C">
        <w:rPr>
          <w:rFonts w:asciiTheme="minorHAnsi" w:eastAsia="Calibri" w:hAnsiTheme="minorHAnsi" w:cstheme="minorHAnsi"/>
          <w:b/>
          <w:sz w:val="24"/>
        </w:rPr>
        <w:t xml:space="preserve"> ve zjištěných případech</w:t>
      </w:r>
      <w:r w:rsidR="001A0865" w:rsidRPr="00011C6C">
        <w:rPr>
          <w:rFonts w:asciiTheme="minorHAnsi" w:eastAsia="Calibri" w:hAnsiTheme="minorHAnsi" w:cstheme="minorHAnsi"/>
          <w:b/>
          <w:sz w:val="24"/>
        </w:rPr>
        <w:t xml:space="preserve"> úplné</w:t>
      </w:r>
      <w:r w:rsidR="00514EBA" w:rsidRPr="00011C6C">
        <w:rPr>
          <w:rFonts w:asciiTheme="minorHAnsi" w:eastAsia="Calibri" w:hAnsiTheme="minorHAnsi" w:cstheme="minorHAnsi"/>
          <w:b/>
          <w:sz w:val="24"/>
        </w:rPr>
        <w:t>,</w:t>
      </w:r>
      <w:r w:rsidR="001A0865"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="00280E28" w:rsidRPr="00011C6C">
        <w:rPr>
          <w:rFonts w:asciiTheme="minorHAnsi" w:eastAsia="Calibri" w:hAnsiTheme="minorHAnsi" w:cstheme="minorHAnsi"/>
          <w:b/>
          <w:sz w:val="24"/>
        </w:rPr>
        <w:t>správné</w:t>
      </w:r>
      <w:r w:rsidR="00514EBA" w:rsidRPr="00011C6C">
        <w:rPr>
          <w:rFonts w:asciiTheme="minorHAnsi" w:eastAsia="Calibri" w:hAnsiTheme="minorHAnsi" w:cstheme="minorHAnsi"/>
          <w:b/>
          <w:sz w:val="24"/>
        </w:rPr>
        <w:t xml:space="preserve"> a průkazné </w:t>
      </w:r>
      <w:r w:rsidR="001A0865" w:rsidRPr="00011C6C">
        <w:rPr>
          <w:rFonts w:asciiTheme="minorHAnsi" w:eastAsia="Calibri" w:hAnsiTheme="minorHAnsi" w:cstheme="minorHAnsi"/>
          <w:b/>
          <w:sz w:val="24"/>
        </w:rPr>
        <w:t>účetnictví, neboť neúčtovaly o nabyt</w:t>
      </w:r>
      <w:r w:rsidR="00763AD6">
        <w:rPr>
          <w:rFonts w:asciiTheme="minorHAnsi" w:eastAsia="Calibri" w:hAnsiTheme="minorHAnsi" w:cstheme="minorHAnsi"/>
          <w:b/>
          <w:sz w:val="24"/>
        </w:rPr>
        <w:t>í</w:t>
      </w:r>
      <w:r w:rsidR="001A0865" w:rsidRPr="00011C6C">
        <w:rPr>
          <w:rFonts w:asciiTheme="minorHAnsi" w:eastAsia="Calibri" w:hAnsiTheme="minorHAnsi" w:cstheme="minorHAnsi"/>
          <w:b/>
          <w:sz w:val="24"/>
        </w:rPr>
        <w:t xml:space="preserve"> majetku</w:t>
      </w:r>
      <w:r w:rsidR="004A6153" w:rsidRPr="00011C6C">
        <w:rPr>
          <w:rFonts w:asciiTheme="minorHAnsi" w:eastAsia="Calibri" w:hAnsiTheme="minorHAnsi" w:cstheme="minorHAnsi"/>
          <w:b/>
          <w:sz w:val="24"/>
        </w:rPr>
        <w:t xml:space="preserve"> ve správném účetním obdob</w:t>
      </w:r>
      <w:r w:rsidR="004A6153" w:rsidRPr="0035316A">
        <w:rPr>
          <w:rFonts w:asciiTheme="minorHAnsi" w:eastAsia="Calibri" w:hAnsiTheme="minorHAnsi" w:cstheme="minorHAnsi"/>
          <w:b/>
          <w:sz w:val="24"/>
        </w:rPr>
        <w:t xml:space="preserve">í a </w:t>
      </w:r>
      <w:r w:rsidR="0035316A" w:rsidRPr="0035316A">
        <w:rPr>
          <w:rFonts w:asciiTheme="minorHAnsi" w:eastAsia="Calibri" w:hAnsiTheme="minorHAnsi" w:cstheme="minorHAnsi"/>
          <w:b/>
          <w:sz w:val="24"/>
        </w:rPr>
        <w:t xml:space="preserve">kontrolou byly zjištěny </w:t>
      </w:r>
      <w:r w:rsidR="007D19F1" w:rsidRPr="0035316A">
        <w:rPr>
          <w:rFonts w:asciiTheme="minorHAnsi" w:eastAsia="Calibri" w:hAnsiTheme="minorHAnsi" w:cstheme="minorHAnsi"/>
          <w:b/>
          <w:sz w:val="24"/>
        </w:rPr>
        <w:t>nedostatky v inventarizaci</w:t>
      </w:r>
      <w:r w:rsidR="001A0865" w:rsidRPr="0035316A">
        <w:rPr>
          <w:rFonts w:asciiTheme="minorHAnsi" w:eastAsia="Calibri" w:hAnsiTheme="minorHAnsi" w:cstheme="minorHAnsi"/>
          <w:b/>
          <w:sz w:val="24"/>
        </w:rPr>
        <w:t>.</w:t>
      </w:r>
    </w:p>
    <w:p w14:paraId="48B45B76" w14:textId="77777777" w:rsidR="008E31BC" w:rsidRDefault="007264AA" w:rsidP="008E31BC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Příspěvkové organizace chybovaly u n</w:t>
      </w:r>
      <w:r w:rsidR="00970343" w:rsidRPr="008E31BC">
        <w:rPr>
          <w:rFonts w:asciiTheme="minorHAnsi" w:eastAsia="Calibri" w:hAnsiTheme="minorHAnsi" w:cstheme="minorHAnsi"/>
          <w:b/>
          <w:sz w:val="24"/>
        </w:rPr>
        <w:t>abývání</w:t>
      </w:r>
      <w:r>
        <w:rPr>
          <w:rFonts w:asciiTheme="minorHAnsi" w:eastAsia="Calibri" w:hAnsiTheme="minorHAnsi" w:cstheme="minorHAnsi"/>
          <w:b/>
          <w:sz w:val="24"/>
        </w:rPr>
        <w:t xml:space="preserve"> majetku</w:t>
      </w:r>
      <w:r w:rsidR="0000137C">
        <w:rPr>
          <w:rFonts w:asciiTheme="minorHAnsi" w:eastAsia="Calibri" w:hAnsiTheme="minorHAnsi" w:cstheme="minorHAnsi"/>
          <w:b/>
          <w:sz w:val="24"/>
        </w:rPr>
        <w:t xml:space="preserve"> a jeho účtování</w:t>
      </w:r>
    </w:p>
    <w:p w14:paraId="4A259083" w14:textId="02EE44CE" w:rsidR="00ED66A0" w:rsidRPr="00B36531" w:rsidRDefault="0006381A" w:rsidP="004A5EE8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B36531">
        <w:rPr>
          <w:rFonts w:asciiTheme="minorHAnsi" w:hAnsiTheme="minorHAnsi" w:cstheme="minorHAnsi"/>
          <w:sz w:val="24"/>
          <w:lang w:eastAsia="cs-CZ"/>
        </w:rPr>
        <w:t>NG neměla vytvořen investiční plán k pořizování dlouhodobého majetku. V kontrolovaném období byl pořízen dlouhodobý majetek v hodnotě 174</w:t>
      </w:r>
      <w:r w:rsidR="00782442">
        <w:rPr>
          <w:rFonts w:asciiTheme="minorHAnsi" w:hAnsiTheme="minorHAnsi" w:cstheme="minorHAnsi"/>
          <w:sz w:val="24"/>
          <w:lang w:eastAsia="cs-CZ"/>
        </w:rPr>
        <w:t> </w:t>
      </w:r>
      <w:r w:rsidR="00DD710C" w:rsidRPr="00B36531">
        <w:rPr>
          <w:rFonts w:asciiTheme="minorHAnsi" w:hAnsiTheme="minorHAnsi" w:cstheme="minorHAnsi"/>
          <w:sz w:val="24"/>
          <w:lang w:eastAsia="cs-CZ"/>
        </w:rPr>
        <w:t>390</w:t>
      </w:r>
      <w:r w:rsidR="00782442">
        <w:rPr>
          <w:rFonts w:asciiTheme="minorHAnsi" w:hAnsiTheme="minorHAnsi" w:cstheme="minorHAnsi"/>
          <w:sz w:val="24"/>
          <w:lang w:eastAsia="cs-CZ"/>
        </w:rPr>
        <w:t> 137,94</w:t>
      </w:r>
      <w:r w:rsidRPr="00B36531">
        <w:rPr>
          <w:rFonts w:asciiTheme="minorHAnsi" w:hAnsiTheme="minorHAnsi" w:cstheme="minorHAnsi"/>
          <w:sz w:val="24"/>
          <w:lang w:eastAsia="cs-CZ"/>
        </w:rPr>
        <w:t xml:space="preserve"> Kč. </w:t>
      </w:r>
      <w:r w:rsidR="00ED66A0" w:rsidRPr="00B36531">
        <w:rPr>
          <w:rFonts w:asciiTheme="minorHAnsi" w:hAnsiTheme="minorHAnsi" w:cstheme="minorHAnsi"/>
          <w:sz w:val="24"/>
          <w:lang w:eastAsia="cs-CZ"/>
        </w:rPr>
        <w:t xml:space="preserve">Ke kontrole u NG bylo vybráno 15 </w:t>
      </w:r>
      <w:r w:rsidR="009E0C68">
        <w:rPr>
          <w:rFonts w:asciiTheme="minorHAnsi" w:hAnsiTheme="minorHAnsi" w:cstheme="minorHAnsi"/>
          <w:sz w:val="24"/>
          <w:lang w:eastAsia="cs-CZ"/>
        </w:rPr>
        <w:t>případů nabytí</w:t>
      </w:r>
      <w:r w:rsidR="00ED66A0" w:rsidRPr="00B36531">
        <w:rPr>
          <w:rFonts w:asciiTheme="minorHAnsi" w:hAnsiTheme="minorHAnsi" w:cstheme="minorHAnsi"/>
          <w:sz w:val="24"/>
          <w:lang w:eastAsia="cs-CZ"/>
        </w:rPr>
        <w:t xml:space="preserve"> dlouhodobého majetku </w:t>
      </w:r>
      <w:r w:rsidR="009E0C68">
        <w:rPr>
          <w:rFonts w:asciiTheme="minorHAnsi" w:hAnsiTheme="minorHAnsi" w:cstheme="minorHAnsi"/>
          <w:sz w:val="24"/>
          <w:lang w:eastAsia="cs-CZ"/>
        </w:rPr>
        <w:t xml:space="preserve">v pořizovací ceně </w:t>
      </w:r>
      <w:r w:rsidR="00ED66A0" w:rsidRPr="00B36531">
        <w:rPr>
          <w:rFonts w:asciiTheme="minorHAnsi" w:hAnsiTheme="minorHAnsi" w:cstheme="minorHAnsi"/>
          <w:sz w:val="24"/>
          <w:lang w:eastAsia="cs-CZ"/>
        </w:rPr>
        <w:t>81</w:t>
      </w:r>
      <w:r w:rsidR="007A7663">
        <w:rPr>
          <w:rFonts w:asciiTheme="minorHAnsi" w:hAnsiTheme="minorHAnsi" w:cstheme="minorHAnsi"/>
          <w:sz w:val="24"/>
          <w:lang w:eastAsia="cs-CZ"/>
        </w:rPr>
        <w:t> </w:t>
      </w:r>
      <w:r w:rsidR="00ED66A0" w:rsidRPr="00B36531">
        <w:rPr>
          <w:rFonts w:asciiTheme="minorHAnsi" w:hAnsiTheme="minorHAnsi" w:cstheme="minorHAnsi"/>
          <w:sz w:val="24"/>
          <w:lang w:eastAsia="cs-CZ"/>
        </w:rPr>
        <w:t>816</w:t>
      </w:r>
      <w:r w:rsidR="00782442">
        <w:rPr>
          <w:rFonts w:asciiTheme="minorHAnsi" w:hAnsiTheme="minorHAnsi" w:cstheme="minorHAnsi"/>
          <w:sz w:val="24"/>
          <w:lang w:eastAsia="cs-CZ"/>
        </w:rPr>
        <w:t> 095,44</w:t>
      </w:r>
      <w:r w:rsidR="00ED66A0" w:rsidRPr="00B36531">
        <w:rPr>
          <w:rFonts w:asciiTheme="minorHAnsi" w:hAnsiTheme="minorHAnsi" w:cstheme="minorHAnsi"/>
          <w:sz w:val="24"/>
          <w:lang w:eastAsia="cs-CZ"/>
        </w:rPr>
        <w:t xml:space="preserve"> Kč, což představovalo téměř 47 % hodnoty pořízeného dlouhodobého majetku.</w:t>
      </w:r>
    </w:p>
    <w:p w14:paraId="1E25D8D8" w14:textId="30453855" w:rsidR="00970343" w:rsidRPr="008E31BC" w:rsidRDefault="00970343" w:rsidP="004A5EE8">
      <w:pPr>
        <w:pStyle w:val="Odstavecseseznamem"/>
        <w:numPr>
          <w:ilvl w:val="0"/>
          <w:numId w:val="10"/>
        </w:numPr>
        <w:spacing w:before="120"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 w:rsidRPr="008E31BC">
        <w:rPr>
          <w:rFonts w:asciiTheme="minorHAnsi" w:eastAsia="Calibri" w:hAnsiTheme="minorHAnsi" w:cstheme="minorHAnsi"/>
          <w:sz w:val="24"/>
        </w:rPr>
        <w:t xml:space="preserve">NG uzavřela v roce 2018 na základě dvoukolové soutěže smlouvu na vytvoření nové vizuální identity NG – vytvoření loga </w:t>
      </w:r>
      <w:r w:rsidRPr="008E31BC">
        <w:rPr>
          <w:rFonts w:asciiTheme="minorHAnsi" w:eastAsia="Calibri" w:hAnsiTheme="minorHAnsi" w:cstheme="minorHAnsi"/>
          <w:i/>
          <w:sz w:val="24"/>
        </w:rPr>
        <w:t>Národní galerie Praha</w:t>
      </w:r>
      <w:r w:rsidRPr="008E31BC">
        <w:rPr>
          <w:rFonts w:asciiTheme="minorHAnsi" w:eastAsia="Calibri" w:hAnsiTheme="minorHAnsi" w:cstheme="minorHAnsi"/>
          <w:sz w:val="24"/>
        </w:rPr>
        <w:t xml:space="preserve"> </w:t>
      </w:r>
      <w:r w:rsidR="00C30359">
        <w:rPr>
          <w:rFonts w:asciiTheme="minorHAnsi" w:eastAsia="Calibri" w:hAnsiTheme="minorHAnsi" w:cstheme="minorHAnsi"/>
          <w:sz w:val="24"/>
        </w:rPr>
        <w:t xml:space="preserve">– </w:t>
      </w:r>
      <w:r w:rsidRPr="008E31BC">
        <w:rPr>
          <w:rFonts w:asciiTheme="minorHAnsi" w:eastAsia="Calibri" w:hAnsiTheme="minorHAnsi" w:cstheme="minorHAnsi"/>
          <w:sz w:val="24"/>
        </w:rPr>
        <w:t xml:space="preserve">v hodnotě 1 300 000 Kč bez DPH. Logo </w:t>
      </w:r>
      <w:r w:rsidR="002E2614">
        <w:rPr>
          <w:rFonts w:asciiTheme="minorHAnsi" w:eastAsia="Calibri" w:hAnsiTheme="minorHAnsi" w:cstheme="minorHAnsi"/>
          <w:sz w:val="24"/>
        </w:rPr>
        <w:t>neodpovídalo názvu</w:t>
      </w:r>
      <w:r w:rsidRPr="008E31BC">
        <w:rPr>
          <w:rFonts w:asciiTheme="minorHAnsi" w:eastAsia="Calibri" w:hAnsiTheme="minorHAnsi" w:cstheme="minorHAnsi"/>
          <w:sz w:val="24"/>
        </w:rPr>
        <w:t xml:space="preserve"> stanoven</w:t>
      </w:r>
      <w:r w:rsidR="002E2614">
        <w:rPr>
          <w:rFonts w:asciiTheme="minorHAnsi" w:eastAsia="Calibri" w:hAnsiTheme="minorHAnsi" w:cstheme="minorHAnsi"/>
          <w:sz w:val="24"/>
        </w:rPr>
        <w:t>ém</w:t>
      </w:r>
      <w:r w:rsidR="00C30359">
        <w:rPr>
          <w:rFonts w:asciiTheme="minorHAnsi" w:eastAsia="Calibri" w:hAnsiTheme="minorHAnsi" w:cstheme="minorHAnsi"/>
          <w:sz w:val="24"/>
        </w:rPr>
        <w:t>u</w:t>
      </w:r>
      <w:r w:rsidRPr="008E31BC">
        <w:rPr>
          <w:rFonts w:asciiTheme="minorHAnsi" w:eastAsia="Calibri" w:hAnsiTheme="minorHAnsi" w:cstheme="minorHAnsi"/>
          <w:sz w:val="24"/>
        </w:rPr>
        <w:t xml:space="preserve"> </w:t>
      </w:r>
      <w:r w:rsidR="0060101F">
        <w:rPr>
          <w:rFonts w:asciiTheme="minorHAnsi" w:eastAsia="Calibri" w:hAnsiTheme="minorHAnsi" w:cstheme="minorHAnsi"/>
          <w:sz w:val="24"/>
        </w:rPr>
        <w:t>zákonem</w:t>
      </w:r>
      <w:r w:rsidR="00B31BCE">
        <w:rPr>
          <w:rStyle w:val="Znakapoznpodarou"/>
          <w:rFonts w:asciiTheme="minorHAnsi" w:eastAsia="Calibri" w:hAnsiTheme="minorHAnsi" w:cstheme="minorHAnsi"/>
          <w:sz w:val="24"/>
        </w:rPr>
        <w:footnoteReference w:id="28"/>
      </w:r>
      <w:r w:rsidR="0060101F">
        <w:rPr>
          <w:rFonts w:asciiTheme="minorHAnsi" w:eastAsia="Calibri" w:hAnsiTheme="minorHAnsi" w:cstheme="minorHAnsi"/>
          <w:sz w:val="24"/>
        </w:rPr>
        <w:t xml:space="preserve"> o Národní galerii v Praze</w:t>
      </w:r>
      <w:r w:rsidRPr="008E31BC">
        <w:rPr>
          <w:rFonts w:asciiTheme="minorHAnsi" w:eastAsia="Calibri" w:hAnsiTheme="minorHAnsi" w:cstheme="minorHAnsi"/>
          <w:sz w:val="24"/>
        </w:rPr>
        <w:t xml:space="preserve">. </w:t>
      </w:r>
      <w:r w:rsidR="00BF7048" w:rsidRPr="00BF7048">
        <w:rPr>
          <w:rFonts w:asciiTheme="minorHAnsi" w:hAnsiTheme="minorHAnsi" w:cstheme="minorHAnsi"/>
          <w:sz w:val="24"/>
        </w:rPr>
        <w:t>Jelikož nebyla provedena změna názvu v zákoně, nemůže NG využívat toto logo a</w:t>
      </w:r>
      <w:r w:rsidR="00C30359">
        <w:rPr>
          <w:rFonts w:asciiTheme="minorHAnsi" w:hAnsiTheme="minorHAnsi" w:cstheme="minorHAnsi"/>
          <w:sz w:val="24"/>
        </w:rPr>
        <w:t>ni</w:t>
      </w:r>
      <w:r w:rsidR="00BF7048" w:rsidRPr="00BF7048">
        <w:rPr>
          <w:rFonts w:asciiTheme="minorHAnsi" w:hAnsiTheme="minorHAnsi" w:cstheme="minorHAnsi"/>
          <w:sz w:val="24"/>
        </w:rPr>
        <w:t xml:space="preserve"> název na oficiálních dokumentech. Takové vynaložení peněžních prostředků nebylo </w:t>
      </w:r>
      <w:r w:rsidR="00BF7048" w:rsidRPr="00BF7048">
        <w:rPr>
          <w:rFonts w:asciiTheme="minorHAnsi" w:hAnsiTheme="minorHAnsi" w:cstheme="minorHAnsi"/>
          <w:sz w:val="24"/>
        </w:rPr>
        <w:lastRenderedPageBreak/>
        <w:t xml:space="preserve">v souladu se zákonem o rozpočtových pravidlech, který příspěvkovým organizacím povoluje </w:t>
      </w:r>
      <w:r w:rsidR="00C30359">
        <w:rPr>
          <w:rFonts w:asciiTheme="minorHAnsi" w:hAnsiTheme="minorHAnsi" w:cstheme="minorHAnsi"/>
          <w:sz w:val="24"/>
        </w:rPr>
        <w:t>použít pe</w:t>
      </w:r>
      <w:r w:rsidR="005429D2">
        <w:rPr>
          <w:rFonts w:asciiTheme="minorHAnsi" w:hAnsiTheme="minorHAnsi" w:cstheme="minorHAnsi"/>
          <w:sz w:val="24"/>
        </w:rPr>
        <w:t>něžní prostředky</w:t>
      </w:r>
      <w:r w:rsidR="00C30359">
        <w:rPr>
          <w:rFonts w:asciiTheme="minorHAnsi" w:hAnsiTheme="minorHAnsi" w:cstheme="minorHAnsi"/>
          <w:sz w:val="24"/>
        </w:rPr>
        <w:t xml:space="preserve"> pouze</w:t>
      </w:r>
      <w:r w:rsidR="00BF7048" w:rsidRPr="00BF7048">
        <w:rPr>
          <w:rFonts w:asciiTheme="minorHAnsi" w:hAnsiTheme="minorHAnsi" w:cstheme="minorHAnsi"/>
          <w:sz w:val="24"/>
        </w:rPr>
        <w:t xml:space="preserve"> k účelům, na které jsou určeny</w:t>
      </w:r>
      <w:r w:rsidR="00A252C6" w:rsidRPr="00A252C6">
        <w:rPr>
          <w:rFonts w:asciiTheme="minorHAnsi" w:hAnsiTheme="minorHAnsi" w:cstheme="minorHAnsi"/>
          <w:sz w:val="24"/>
        </w:rPr>
        <w:t>, a to na krytí nezbytných potřeb</w:t>
      </w:r>
      <w:r w:rsidR="00BF7048" w:rsidRPr="00BF7048">
        <w:rPr>
          <w:rFonts w:asciiTheme="minorHAnsi" w:hAnsiTheme="minorHAnsi" w:cstheme="minorHAnsi"/>
          <w:sz w:val="24"/>
        </w:rPr>
        <w:t>.</w:t>
      </w:r>
    </w:p>
    <w:p w14:paraId="2CFC957C" w14:textId="1E63C2DE" w:rsidR="00435B54" w:rsidRPr="00AA59A0" w:rsidRDefault="00121B09" w:rsidP="00320712">
      <w:pPr>
        <w:pStyle w:val="Odstavecseseznamem"/>
        <w:numPr>
          <w:ilvl w:val="0"/>
          <w:numId w:val="10"/>
        </w:numPr>
        <w:spacing w:before="120"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 w:rsidRPr="00AA59A0">
        <w:rPr>
          <w:rFonts w:asciiTheme="minorHAnsi" w:eastAsia="Calibri" w:hAnsiTheme="minorHAnsi" w:cstheme="minorHAnsi"/>
          <w:sz w:val="24"/>
        </w:rPr>
        <w:t xml:space="preserve">Na základě výběrového řízení uzavřela </w:t>
      </w:r>
      <w:r w:rsidR="00C30359">
        <w:rPr>
          <w:rFonts w:asciiTheme="minorHAnsi" w:eastAsia="Calibri" w:hAnsiTheme="minorHAnsi" w:cstheme="minorHAnsi"/>
          <w:sz w:val="24"/>
        </w:rPr>
        <w:t xml:space="preserve">NG </w:t>
      </w:r>
      <w:r w:rsidRPr="00AA59A0">
        <w:rPr>
          <w:rFonts w:asciiTheme="minorHAnsi" w:eastAsia="Calibri" w:hAnsiTheme="minorHAnsi" w:cstheme="minorHAnsi"/>
          <w:sz w:val="24"/>
        </w:rPr>
        <w:t>smlouvu s</w:t>
      </w:r>
      <w:r w:rsidR="00C5730F">
        <w:rPr>
          <w:rFonts w:asciiTheme="minorHAnsi" w:eastAsia="Calibri" w:hAnsiTheme="minorHAnsi" w:cstheme="minorHAnsi"/>
          <w:sz w:val="24"/>
        </w:rPr>
        <w:t> vybraným dodavatelem</w:t>
      </w:r>
      <w:r w:rsidRPr="00AA59A0">
        <w:rPr>
          <w:rFonts w:asciiTheme="minorHAnsi" w:eastAsia="Calibri" w:hAnsiTheme="minorHAnsi" w:cstheme="minorHAnsi"/>
          <w:sz w:val="24"/>
        </w:rPr>
        <w:t>, který dodal a nainstaloval osvětlení k</w:t>
      </w:r>
      <w:r w:rsidR="001A27C6">
        <w:rPr>
          <w:rFonts w:asciiTheme="minorHAnsi" w:eastAsia="Calibri" w:hAnsiTheme="minorHAnsi" w:cstheme="minorHAnsi"/>
          <w:sz w:val="24"/>
        </w:rPr>
        <w:t> </w:t>
      </w:r>
      <w:r w:rsidRPr="00AA59A0">
        <w:rPr>
          <w:rFonts w:asciiTheme="minorHAnsi" w:eastAsia="Calibri" w:hAnsiTheme="minorHAnsi" w:cstheme="minorHAnsi"/>
          <w:sz w:val="24"/>
        </w:rPr>
        <w:t>expozici</w:t>
      </w:r>
      <w:r w:rsidR="001A27C6">
        <w:rPr>
          <w:rFonts w:asciiTheme="minorHAnsi" w:eastAsia="Calibri" w:hAnsiTheme="minorHAnsi" w:cstheme="minorHAnsi"/>
          <w:sz w:val="24"/>
        </w:rPr>
        <w:t xml:space="preserve"> </w:t>
      </w:r>
      <w:proofErr w:type="spellStart"/>
      <w:r w:rsidR="001A27C6" w:rsidRPr="00F50C80">
        <w:rPr>
          <w:rFonts w:asciiTheme="minorHAnsi" w:eastAsia="Calibri" w:hAnsiTheme="minorHAnsi" w:cstheme="minorHAnsi"/>
          <w:i/>
          <w:sz w:val="24"/>
        </w:rPr>
        <w:t>Old</w:t>
      </w:r>
      <w:proofErr w:type="spellEnd"/>
      <w:r w:rsidR="001A27C6" w:rsidRPr="00F50C80">
        <w:rPr>
          <w:rFonts w:asciiTheme="minorHAnsi" w:eastAsia="Calibri" w:hAnsiTheme="minorHAnsi" w:cstheme="minorHAnsi"/>
          <w:i/>
          <w:sz w:val="24"/>
        </w:rPr>
        <w:t xml:space="preserve"> </w:t>
      </w:r>
      <w:proofErr w:type="spellStart"/>
      <w:r w:rsidR="001A27C6" w:rsidRPr="00F50C80">
        <w:rPr>
          <w:rFonts w:asciiTheme="minorHAnsi" w:eastAsia="Calibri" w:hAnsiTheme="minorHAnsi" w:cstheme="minorHAnsi"/>
          <w:i/>
          <w:sz w:val="24"/>
        </w:rPr>
        <w:t>Masters</w:t>
      </w:r>
      <w:proofErr w:type="spellEnd"/>
      <w:r w:rsidRPr="00AA59A0">
        <w:rPr>
          <w:rFonts w:asciiTheme="minorHAnsi" w:eastAsia="Calibri" w:hAnsiTheme="minorHAnsi" w:cstheme="minorHAnsi"/>
          <w:sz w:val="24"/>
        </w:rPr>
        <w:t xml:space="preserve">. NG převzala dílo, které nebylo vyhotoveno tak, aby odpovídalo </w:t>
      </w:r>
      <w:r w:rsidR="00DA571A">
        <w:rPr>
          <w:rFonts w:asciiTheme="minorHAnsi" w:eastAsia="Calibri" w:hAnsiTheme="minorHAnsi" w:cstheme="minorHAnsi"/>
          <w:sz w:val="24"/>
        </w:rPr>
        <w:t>potřebám expozice</w:t>
      </w:r>
      <w:r w:rsidR="00AA59A0">
        <w:rPr>
          <w:rFonts w:asciiTheme="minorHAnsi" w:eastAsia="Calibri" w:hAnsiTheme="minorHAnsi" w:cstheme="minorHAnsi"/>
          <w:sz w:val="24"/>
        </w:rPr>
        <w:t>.</w:t>
      </w:r>
      <w:r w:rsidRPr="00AA59A0">
        <w:rPr>
          <w:rFonts w:asciiTheme="minorHAnsi" w:eastAsia="Calibri" w:hAnsiTheme="minorHAnsi" w:cstheme="minorHAnsi"/>
          <w:sz w:val="24"/>
        </w:rPr>
        <w:t xml:space="preserve"> </w:t>
      </w:r>
      <w:r w:rsidRPr="00AA59A0">
        <w:rPr>
          <w:rFonts w:asciiTheme="minorHAnsi" w:hAnsiTheme="minorHAnsi" w:cstheme="minorHAnsi"/>
          <w:sz w:val="24"/>
        </w:rPr>
        <w:t xml:space="preserve">NG jej </w:t>
      </w:r>
      <w:r w:rsidR="00DA571A">
        <w:rPr>
          <w:rFonts w:asciiTheme="minorHAnsi" w:hAnsiTheme="minorHAnsi" w:cstheme="minorHAnsi"/>
          <w:sz w:val="24"/>
        </w:rPr>
        <w:t>prostřednictvím</w:t>
      </w:r>
      <w:r w:rsidRPr="00AA59A0">
        <w:rPr>
          <w:rFonts w:asciiTheme="minorHAnsi" w:hAnsiTheme="minorHAnsi" w:cstheme="minorHAnsi"/>
          <w:sz w:val="24"/>
        </w:rPr>
        <w:t xml:space="preserve"> dv</w:t>
      </w:r>
      <w:r w:rsidR="00DA571A">
        <w:rPr>
          <w:rFonts w:asciiTheme="minorHAnsi" w:hAnsiTheme="minorHAnsi" w:cstheme="minorHAnsi"/>
          <w:sz w:val="24"/>
        </w:rPr>
        <w:t>ou</w:t>
      </w:r>
      <w:r w:rsidRPr="00AA59A0">
        <w:rPr>
          <w:rFonts w:asciiTheme="minorHAnsi" w:hAnsiTheme="minorHAnsi" w:cstheme="minorHAnsi"/>
          <w:sz w:val="24"/>
        </w:rPr>
        <w:t xml:space="preserve"> další</w:t>
      </w:r>
      <w:r w:rsidR="00DA571A">
        <w:rPr>
          <w:rFonts w:asciiTheme="minorHAnsi" w:hAnsiTheme="minorHAnsi" w:cstheme="minorHAnsi"/>
          <w:sz w:val="24"/>
        </w:rPr>
        <w:t>ch</w:t>
      </w:r>
      <w:r w:rsidRPr="00AA59A0">
        <w:rPr>
          <w:rFonts w:asciiTheme="minorHAnsi" w:hAnsiTheme="minorHAnsi" w:cstheme="minorHAnsi"/>
          <w:sz w:val="24"/>
        </w:rPr>
        <w:t xml:space="preserve"> objednáv</w:t>
      </w:r>
      <w:r w:rsidR="00DA571A">
        <w:rPr>
          <w:rFonts w:asciiTheme="minorHAnsi" w:hAnsiTheme="minorHAnsi" w:cstheme="minorHAnsi"/>
          <w:sz w:val="24"/>
        </w:rPr>
        <w:t>e</w:t>
      </w:r>
      <w:r w:rsidRPr="00AA59A0">
        <w:rPr>
          <w:rFonts w:asciiTheme="minorHAnsi" w:hAnsiTheme="minorHAnsi" w:cstheme="minorHAnsi"/>
          <w:sz w:val="24"/>
        </w:rPr>
        <w:t xml:space="preserve">k </w:t>
      </w:r>
      <w:r w:rsidR="003A1DAA">
        <w:rPr>
          <w:rFonts w:asciiTheme="minorHAnsi" w:hAnsiTheme="minorHAnsi" w:cstheme="minorHAnsi"/>
          <w:sz w:val="24"/>
        </w:rPr>
        <w:t>dala</w:t>
      </w:r>
      <w:r w:rsidRPr="00AA59A0">
        <w:rPr>
          <w:rFonts w:asciiTheme="minorHAnsi" w:hAnsiTheme="minorHAnsi" w:cstheme="minorHAnsi"/>
          <w:sz w:val="24"/>
        </w:rPr>
        <w:t xml:space="preserve"> upravit tak, aby splňovalo </w:t>
      </w:r>
      <w:r w:rsidR="00D01502">
        <w:rPr>
          <w:rFonts w:asciiTheme="minorHAnsi" w:hAnsiTheme="minorHAnsi" w:cstheme="minorHAnsi"/>
          <w:sz w:val="24"/>
        </w:rPr>
        <w:t xml:space="preserve">parametry </w:t>
      </w:r>
      <w:r w:rsidRPr="00AA59A0">
        <w:rPr>
          <w:rFonts w:asciiTheme="minorHAnsi" w:hAnsiTheme="minorHAnsi" w:cstheme="minorHAnsi"/>
          <w:sz w:val="24"/>
        </w:rPr>
        <w:t>plnohodnotné</w:t>
      </w:r>
      <w:r w:rsidR="00D01502">
        <w:rPr>
          <w:rFonts w:asciiTheme="minorHAnsi" w:hAnsiTheme="minorHAnsi" w:cstheme="minorHAnsi"/>
          <w:sz w:val="24"/>
        </w:rPr>
        <w:t>ho</w:t>
      </w:r>
      <w:r w:rsidRPr="00AA59A0">
        <w:rPr>
          <w:rFonts w:asciiTheme="minorHAnsi" w:hAnsiTheme="minorHAnsi" w:cstheme="minorHAnsi"/>
          <w:sz w:val="24"/>
        </w:rPr>
        <w:t xml:space="preserve"> </w:t>
      </w:r>
      <w:r w:rsidR="00D01502">
        <w:rPr>
          <w:rFonts w:asciiTheme="minorHAnsi" w:hAnsiTheme="minorHAnsi" w:cstheme="minorHAnsi"/>
          <w:sz w:val="24"/>
        </w:rPr>
        <w:t>na</w:t>
      </w:r>
      <w:r w:rsidRPr="00AA59A0">
        <w:rPr>
          <w:rFonts w:asciiTheme="minorHAnsi" w:hAnsiTheme="minorHAnsi" w:cstheme="minorHAnsi"/>
          <w:sz w:val="24"/>
        </w:rPr>
        <w:t>svícení expozice</w:t>
      </w:r>
      <w:r w:rsidR="00D01502">
        <w:rPr>
          <w:rFonts w:asciiTheme="minorHAnsi" w:hAnsiTheme="minorHAnsi" w:cstheme="minorHAnsi"/>
          <w:sz w:val="24"/>
        </w:rPr>
        <w:t>.</w:t>
      </w:r>
      <w:r w:rsidRPr="00AA59A0">
        <w:rPr>
          <w:rFonts w:asciiTheme="minorHAnsi" w:hAnsiTheme="minorHAnsi" w:cstheme="minorHAnsi"/>
          <w:sz w:val="24"/>
        </w:rPr>
        <w:t xml:space="preserve"> </w:t>
      </w:r>
      <w:r w:rsidR="00D01502">
        <w:rPr>
          <w:rFonts w:asciiTheme="minorHAnsi" w:hAnsiTheme="minorHAnsi" w:cstheme="minorHAnsi"/>
          <w:sz w:val="24"/>
        </w:rPr>
        <w:t xml:space="preserve">Celkově </w:t>
      </w:r>
      <w:r w:rsidRPr="00AA59A0">
        <w:rPr>
          <w:rFonts w:asciiTheme="minorHAnsi" w:hAnsiTheme="minorHAnsi" w:cstheme="minorHAnsi"/>
          <w:sz w:val="24"/>
        </w:rPr>
        <w:t xml:space="preserve">vydala peněžní prostředky ve výši </w:t>
      </w:r>
      <w:r w:rsidRPr="00AA59A0">
        <w:rPr>
          <w:rFonts w:asciiTheme="minorHAnsi" w:hAnsiTheme="minorHAnsi" w:cstheme="minorHAnsi"/>
          <w:bCs/>
          <w:color w:val="000000"/>
          <w:sz w:val="24"/>
        </w:rPr>
        <w:t xml:space="preserve">2 608 829 Kč bez DPH, čímž překročila </w:t>
      </w:r>
      <w:r w:rsidR="00DC21B8" w:rsidRPr="004F4ACC">
        <w:rPr>
          <w:rFonts w:asciiTheme="minorHAnsi" w:hAnsiTheme="minorHAnsi" w:cstheme="minorHAnsi"/>
          <w:bCs/>
          <w:sz w:val="24"/>
        </w:rPr>
        <w:t xml:space="preserve">nabídku vybraného </w:t>
      </w:r>
      <w:r w:rsidR="004F4ACC" w:rsidRPr="004F4ACC">
        <w:rPr>
          <w:rFonts w:asciiTheme="minorHAnsi" w:hAnsiTheme="minorHAnsi" w:cstheme="minorHAnsi"/>
          <w:bCs/>
          <w:sz w:val="24"/>
        </w:rPr>
        <w:t>dodavatele</w:t>
      </w:r>
      <w:r w:rsidR="00DC21B8" w:rsidRPr="004F4ACC">
        <w:rPr>
          <w:rFonts w:asciiTheme="minorHAnsi" w:hAnsiTheme="minorHAnsi" w:cstheme="minorHAnsi"/>
          <w:bCs/>
          <w:sz w:val="24"/>
        </w:rPr>
        <w:t xml:space="preserve"> </w:t>
      </w:r>
      <w:r w:rsidR="00DC21B8">
        <w:rPr>
          <w:rFonts w:asciiTheme="minorHAnsi" w:hAnsiTheme="minorHAnsi" w:cstheme="minorHAnsi"/>
          <w:bCs/>
          <w:color w:val="000000"/>
          <w:sz w:val="24"/>
        </w:rPr>
        <w:t>ve výši</w:t>
      </w:r>
      <w:r w:rsidRPr="00AA59A0">
        <w:rPr>
          <w:rFonts w:asciiTheme="minorHAnsi" w:hAnsiTheme="minorHAnsi" w:cstheme="minorHAnsi"/>
          <w:bCs/>
          <w:color w:val="000000"/>
          <w:sz w:val="24"/>
        </w:rPr>
        <w:t xml:space="preserve"> </w:t>
      </w:r>
      <w:r w:rsidRPr="00AA59A0">
        <w:rPr>
          <w:rFonts w:asciiTheme="minorHAnsi" w:hAnsiTheme="minorHAnsi" w:cstheme="minorHAnsi"/>
          <w:sz w:val="24"/>
        </w:rPr>
        <w:t xml:space="preserve">2 316 366 Kč bez DPH a také překročila nabídkovou cenu 2 485 856 Kč bez DPH neúspěšného uchazeče. Tím nedodržela zásadu rovného zacházení a </w:t>
      </w:r>
      <w:r w:rsidR="00DC21B8">
        <w:rPr>
          <w:rFonts w:asciiTheme="minorHAnsi" w:hAnsiTheme="minorHAnsi" w:cstheme="minorHAnsi"/>
          <w:sz w:val="24"/>
        </w:rPr>
        <w:t xml:space="preserve">zákazu </w:t>
      </w:r>
      <w:r w:rsidRPr="00AA59A0">
        <w:rPr>
          <w:rFonts w:asciiTheme="minorHAnsi" w:hAnsiTheme="minorHAnsi" w:cstheme="minorHAnsi"/>
          <w:sz w:val="24"/>
        </w:rPr>
        <w:t xml:space="preserve">diskriminace </w:t>
      </w:r>
      <w:r w:rsidR="00D01502">
        <w:rPr>
          <w:rFonts w:asciiTheme="minorHAnsi" w:hAnsiTheme="minorHAnsi" w:cstheme="minorHAnsi"/>
          <w:sz w:val="24"/>
        </w:rPr>
        <w:t>ve smyslu</w:t>
      </w:r>
      <w:r w:rsidR="00AA59A0">
        <w:rPr>
          <w:rFonts w:asciiTheme="minorHAnsi" w:hAnsiTheme="minorHAnsi" w:cstheme="minorHAnsi"/>
          <w:sz w:val="24"/>
        </w:rPr>
        <w:t xml:space="preserve"> ustanovení zákona o zadávání veřejných zakázek</w:t>
      </w:r>
      <w:r w:rsidR="008557E0">
        <w:rPr>
          <w:rFonts w:asciiTheme="minorHAnsi" w:hAnsiTheme="minorHAnsi" w:cstheme="minorHAnsi"/>
          <w:sz w:val="24"/>
          <w:vertAlign w:val="superscript"/>
        </w:rPr>
        <w:t>20</w:t>
      </w:r>
      <w:r w:rsidRPr="00AA59A0">
        <w:rPr>
          <w:rFonts w:asciiTheme="minorHAnsi" w:hAnsiTheme="minorHAnsi" w:cstheme="minorHAnsi"/>
          <w:sz w:val="24"/>
        </w:rPr>
        <w:t xml:space="preserve"> a zvýho</w:t>
      </w:r>
      <w:r w:rsidRPr="00AA59A0">
        <w:rPr>
          <w:rFonts w:asciiTheme="minorHAnsi" w:eastAsia="Calibri" w:hAnsiTheme="minorHAnsi" w:cstheme="minorHAnsi"/>
          <w:sz w:val="24"/>
        </w:rPr>
        <w:t xml:space="preserve">dnila vítězného uchazeče. </w:t>
      </w:r>
    </w:p>
    <w:p w14:paraId="70FF86AB" w14:textId="743777AA" w:rsidR="00121B09" w:rsidRPr="008E31BC" w:rsidRDefault="00121B09" w:rsidP="004A5EE8">
      <w:pPr>
        <w:pStyle w:val="Odstavecseseznamem"/>
        <w:spacing w:before="120"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 w:rsidRPr="008E31BC">
        <w:rPr>
          <w:rFonts w:asciiTheme="minorHAnsi" w:eastAsia="Calibri" w:hAnsiTheme="minorHAnsi" w:cstheme="minorHAnsi"/>
          <w:sz w:val="24"/>
        </w:rPr>
        <w:t xml:space="preserve">Uvedený majetek převzala </w:t>
      </w:r>
      <w:r w:rsidR="00D01502" w:rsidRPr="008E31BC">
        <w:rPr>
          <w:rFonts w:asciiTheme="minorHAnsi" w:eastAsia="Calibri" w:hAnsiTheme="minorHAnsi" w:cstheme="minorHAnsi"/>
          <w:sz w:val="24"/>
        </w:rPr>
        <w:t xml:space="preserve">NG </w:t>
      </w:r>
      <w:r w:rsidRPr="008E31BC">
        <w:rPr>
          <w:rFonts w:asciiTheme="minorHAnsi" w:eastAsia="Calibri" w:hAnsiTheme="minorHAnsi" w:cstheme="minorHAnsi"/>
          <w:sz w:val="24"/>
        </w:rPr>
        <w:t>v prosinci roku 2019, ale do účetnictví ho zařadila až v říjnu 2020</w:t>
      </w:r>
      <w:r w:rsidR="00A97F45">
        <w:rPr>
          <w:rStyle w:val="Znakapoznpodarou"/>
          <w:rFonts w:asciiTheme="minorHAnsi" w:eastAsia="Calibri" w:hAnsiTheme="minorHAnsi" w:cstheme="minorHAnsi"/>
          <w:sz w:val="24"/>
        </w:rPr>
        <w:footnoteReference w:id="29"/>
      </w:r>
      <w:r w:rsidRPr="008E31BC">
        <w:rPr>
          <w:rFonts w:asciiTheme="minorHAnsi" w:eastAsia="Calibri" w:hAnsiTheme="minorHAnsi" w:cstheme="minorHAnsi"/>
          <w:sz w:val="24"/>
        </w:rPr>
        <w:t xml:space="preserve">. </w:t>
      </w:r>
    </w:p>
    <w:p w14:paraId="15DE390C" w14:textId="442449BF" w:rsidR="00970343" w:rsidRPr="008E31BC" w:rsidRDefault="00121B09" w:rsidP="004A5EE8">
      <w:pPr>
        <w:pStyle w:val="Odstavecseseznamem"/>
        <w:numPr>
          <w:ilvl w:val="0"/>
          <w:numId w:val="10"/>
        </w:numPr>
        <w:spacing w:before="120"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 w:rsidRPr="008E31BC">
        <w:rPr>
          <w:rFonts w:asciiTheme="minorHAnsi" w:eastAsia="Calibri" w:hAnsiTheme="minorHAnsi" w:cstheme="minorHAnsi"/>
          <w:sz w:val="24"/>
        </w:rPr>
        <w:t xml:space="preserve">NG koupila </w:t>
      </w:r>
      <w:r w:rsidR="00A354BE">
        <w:rPr>
          <w:rFonts w:asciiTheme="minorHAnsi" w:eastAsia="Calibri" w:hAnsiTheme="minorHAnsi" w:cstheme="minorHAnsi"/>
          <w:sz w:val="24"/>
        </w:rPr>
        <w:t>a převzala</w:t>
      </w:r>
      <w:r w:rsidR="001F44F8">
        <w:rPr>
          <w:rFonts w:asciiTheme="minorHAnsi" w:eastAsia="Calibri" w:hAnsiTheme="minorHAnsi" w:cstheme="minorHAnsi"/>
          <w:sz w:val="24"/>
        </w:rPr>
        <w:t xml:space="preserve"> spolu s</w:t>
      </w:r>
      <w:r w:rsidR="00A354BE">
        <w:rPr>
          <w:rFonts w:asciiTheme="minorHAnsi" w:eastAsia="Calibri" w:hAnsiTheme="minorHAnsi" w:cstheme="minorHAnsi"/>
          <w:sz w:val="24"/>
        </w:rPr>
        <w:t xml:space="preserve"> </w:t>
      </w:r>
      <w:r w:rsidR="001F44F8">
        <w:rPr>
          <w:rFonts w:asciiTheme="minorHAnsi" w:eastAsia="Calibri" w:hAnsiTheme="minorHAnsi" w:cstheme="minorHAnsi"/>
          <w:sz w:val="24"/>
        </w:rPr>
        <w:t xml:space="preserve">předávacím protokolem </w:t>
      </w:r>
      <w:r w:rsidR="00B2124E" w:rsidRPr="008E31BC">
        <w:rPr>
          <w:rFonts w:asciiTheme="minorHAnsi" w:eastAsia="Calibri" w:hAnsiTheme="minorHAnsi" w:cstheme="minorHAnsi"/>
          <w:sz w:val="24"/>
        </w:rPr>
        <w:t>v</w:t>
      </w:r>
      <w:r w:rsidRPr="008E31BC">
        <w:rPr>
          <w:rFonts w:asciiTheme="minorHAnsi" w:eastAsia="Calibri" w:hAnsiTheme="minorHAnsi" w:cstheme="minorHAnsi"/>
          <w:sz w:val="24"/>
        </w:rPr>
        <w:t xml:space="preserve"> lednu </w:t>
      </w:r>
      <w:r w:rsidR="00B2124E" w:rsidRPr="008E31BC">
        <w:rPr>
          <w:rFonts w:asciiTheme="minorHAnsi" w:eastAsia="Calibri" w:hAnsiTheme="minorHAnsi" w:cstheme="minorHAnsi"/>
          <w:sz w:val="24"/>
        </w:rPr>
        <w:t xml:space="preserve">roku </w:t>
      </w:r>
      <w:r w:rsidRPr="008E31BC">
        <w:rPr>
          <w:rFonts w:asciiTheme="minorHAnsi" w:eastAsia="Calibri" w:hAnsiTheme="minorHAnsi" w:cstheme="minorHAnsi"/>
          <w:sz w:val="24"/>
        </w:rPr>
        <w:t>2020 umělecké dílo v hodnotě 8 000 000 Kč</w:t>
      </w:r>
      <w:r w:rsidR="00D01502">
        <w:rPr>
          <w:rFonts w:asciiTheme="minorHAnsi" w:eastAsia="Calibri" w:hAnsiTheme="minorHAnsi" w:cstheme="minorHAnsi"/>
          <w:sz w:val="24"/>
        </w:rPr>
        <w:t>,</w:t>
      </w:r>
      <w:r w:rsidR="001F44F8">
        <w:rPr>
          <w:rFonts w:asciiTheme="minorHAnsi" w:eastAsia="Calibri" w:hAnsiTheme="minorHAnsi" w:cstheme="minorHAnsi"/>
          <w:sz w:val="24"/>
        </w:rPr>
        <w:t xml:space="preserve"> a</w:t>
      </w:r>
      <w:r w:rsidR="00D01502">
        <w:rPr>
          <w:rFonts w:asciiTheme="minorHAnsi" w:eastAsia="Calibri" w:hAnsiTheme="minorHAnsi" w:cstheme="minorHAnsi"/>
          <w:sz w:val="24"/>
        </w:rPr>
        <w:t>le</w:t>
      </w:r>
      <w:r w:rsidR="001F44F8">
        <w:rPr>
          <w:rFonts w:asciiTheme="minorHAnsi" w:eastAsia="Calibri" w:hAnsiTheme="minorHAnsi" w:cstheme="minorHAnsi"/>
          <w:sz w:val="24"/>
        </w:rPr>
        <w:t xml:space="preserve"> o jeho pořízení účtovala až </w:t>
      </w:r>
      <w:r w:rsidRPr="008E31BC">
        <w:rPr>
          <w:rFonts w:asciiTheme="minorHAnsi" w:eastAsia="Calibri" w:hAnsiTheme="minorHAnsi" w:cstheme="minorHAnsi"/>
          <w:sz w:val="24"/>
        </w:rPr>
        <w:t>o více než 6 měsíců později.</w:t>
      </w:r>
    </w:p>
    <w:p w14:paraId="093F3CA2" w14:textId="2AD963E9" w:rsidR="000232CC" w:rsidRPr="008E31BC" w:rsidRDefault="000232CC" w:rsidP="004A5EE8">
      <w:pPr>
        <w:pStyle w:val="Odstavecseseznamem"/>
        <w:numPr>
          <w:ilvl w:val="0"/>
          <w:numId w:val="10"/>
        </w:numPr>
        <w:spacing w:before="120"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 w:rsidRPr="008E31BC">
        <w:rPr>
          <w:rFonts w:asciiTheme="minorHAnsi" w:eastAsia="Calibri" w:hAnsiTheme="minorHAnsi" w:cstheme="minorHAnsi"/>
          <w:sz w:val="24"/>
        </w:rPr>
        <w:t>NG v roce 2017 zajistila smlouvou o dílo modernizaci výtahu v hodnotě 759 331,84 Kč, kter</w:t>
      </w:r>
      <w:r w:rsidR="00D01502">
        <w:rPr>
          <w:rFonts w:asciiTheme="minorHAnsi" w:eastAsia="Calibri" w:hAnsiTheme="minorHAnsi" w:cstheme="minorHAnsi"/>
          <w:sz w:val="24"/>
        </w:rPr>
        <w:t>ou</w:t>
      </w:r>
      <w:r w:rsidRPr="008E31BC">
        <w:rPr>
          <w:rFonts w:asciiTheme="minorHAnsi" w:eastAsia="Calibri" w:hAnsiTheme="minorHAnsi" w:cstheme="minorHAnsi"/>
          <w:sz w:val="24"/>
        </w:rPr>
        <w:t xml:space="preserve"> správně v roce 2017 zaúčtovala do majetku jako technické zhodnocení. V roce 2018 ji </w:t>
      </w:r>
      <w:r w:rsidR="00D01502">
        <w:rPr>
          <w:rFonts w:asciiTheme="minorHAnsi" w:eastAsia="Calibri" w:hAnsiTheme="minorHAnsi" w:cstheme="minorHAnsi"/>
          <w:sz w:val="24"/>
        </w:rPr>
        <w:t xml:space="preserve">však </w:t>
      </w:r>
      <w:r w:rsidRPr="008E31BC">
        <w:rPr>
          <w:rFonts w:asciiTheme="minorHAnsi" w:eastAsia="Calibri" w:hAnsiTheme="minorHAnsi" w:cstheme="minorHAnsi"/>
          <w:sz w:val="24"/>
        </w:rPr>
        <w:t xml:space="preserve">navíc zaúčtovala </w:t>
      </w:r>
      <w:r w:rsidR="00D01502">
        <w:rPr>
          <w:rFonts w:asciiTheme="minorHAnsi" w:eastAsia="Calibri" w:hAnsiTheme="minorHAnsi" w:cstheme="minorHAnsi"/>
          <w:sz w:val="24"/>
        </w:rPr>
        <w:t xml:space="preserve">i </w:t>
      </w:r>
      <w:r w:rsidRPr="008E31BC">
        <w:rPr>
          <w:rFonts w:asciiTheme="minorHAnsi" w:eastAsia="Calibri" w:hAnsiTheme="minorHAnsi" w:cstheme="minorHAnsi"/>
          <w:sz w:val="24"/>
        </w:rPr>
        <w:t xml:space="preserve">do nákladů na účet 511 – </w:t>
      </w:r>
      <w:r w:rsidRPr="00F50C80">
        <w:rPr>
          <w:rFonts w:asciiTheme="minorHAnsi" w:eastAsia="Calibri" w:hAnsiTheme="minorHAnsi" w:cstheme="minorHAnsi"/>
          <w:i/>
          <w:sz w:val="24"/>
        </w:rPr>
        <w:t>Opravy a udržování</w:t>
      </w:r>
      <w:r w:rsidRPr="008E31BC">
        <w:rPr>
          <w:rFonts w:asciiTheme="minorHAnsi" w:eastAsia="Calibri" w:hAnsiTheme="minorHAnsi" w:cstheme="minorHAnsi"/>
          <w:sz w:val="24"/>
        </w:rPr>
        <w:t>.</w:t>
      </w:r>
      <w:r w:rsidR="00BF4DCB">
        <w:rPr>
          <w:rFonts w:asciiTheme="minorHAnsi" w:eastAsia="Calibri" w:hAnsiTheme="minorHAnsi" w:cstheme="minorHAnsi"/>
          <w:sz w:val="24"/>
        </w:rPr>
        <w:t xml:space="preserve"> Tím došlo k</w:t>
      </w:r>
      <w:r w:rsidR="00D01502">
        <w:rPr>
          <w:rFonts w:asciiTheme="minorHAnsi" w:eastAsia="Calibri" w:hAnsiTheme="minorHAnsi" w:cstheme="minorHAnsi"/>
          <w:sz w:val="24"/>
        </w:rPr>
        <w:t> </w:t>
      </w:r>
      <w:r w:rsidR="007327CD">
        <w:rPr>
          <w:rFonts w:asciiTheme="minorHAnsi" w:eastAsia="Calibri" w:hAnsiTheme="minorHAnsi" w:cstheme="minorHAnsi"/>
          <w:sz w:val="24"/>
        </w:rPr>
        <w:t>nesprávnému</w:t>
      </w:r>
      <w:r w:rsidR="00D01502">
        <w:rPr>
          <w:rFonts w:asciiTheme="minorHAnsi" w:eastAsia="Calibri" w:hAnsiTheme="minorHAnsi" w:cstheme="minorHAnsi"/>
          <w:sz w:val="24"/>
        </w:rPr>
        <w:t>,</w:t>
      </w:r>
      <w:r w:rsidR="007327CD">
        <w:rPr>
          <w:rFonts w:asciiTheme="minorHAnsi" w:eastAsia="Calibri" w:hAnsiTheme="minorHAnsi" w:cstheme="minorHAnsi"/>
          <w:sz w:val="24"/>
        </w:rPr>
        <w:t xml:space="preserve"> </w:t>
      </w:r>
      <w:r w:rsidR="00BF4DCB">
        <w:rPr>
          <w:rFonts w:asciiTheme="minorHAnsi" w:eastAsia="Calibri" w:hAnsiTheme="minorHAnsi" w:cstheme="minorHAnsi"/>
          <w:sz w:val="24"/>
        </w:rPr>
        <w:t>duplicitnímu zaúčtování</w:t>
      </w:r>
      <w:r w:rsidR="0059778F">
        <w:rPr>
          <w:rStyle w:val="Znakapoznpodarou"/>
          <w:rFonts w:asciiTheme="minorHAnsi" w:eastAsia="Calibri" w:hAnsiTheme="minorHAnsi" w:cstheme="minorHAnsi"/>
          <w:sz w:val="24"/>
        </w:rPr>
        <w:footnoteReference w:id="30"/>
      </w:r>
      <w:r w:rsidR="00BF4DCB">
        <w:rPr>
          <w:rFonts w:asciiTheme="minorHAnsi" w:eastAsia="Calibri" w:hAnsiTheme="minorHAnsi" w:cstheme="minorHAnsi"/>
          <w:sz w:val="24"/>
        </w:rPr>
        <w:t>.</w:t>
      </w:r>
    </w:p>
    <w:p w14:paraId="5A05B9F6" w14:textId="4F82D03B" w:rsidR="00ED66A0" w:rsidRPr="00ED66A0" w:rsidRDefault="00ED66A0" w:rsidP="004A5EE8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ED66A0">
        <w:rPr>
          <w:rFonts w:asciiTheme="minorHAnsi" w:hAnsiTheme="minorHAnsi" w:cstheme="minorHAnsi"/>
          <w:sz w:val="24"/>
          <w:lang w:eastAsia="cs-CZ"/>
        </w:rPr>
        <w:t xml:space="preserve">UPM </w:t>
      </w:r>
      <w:r w:rsidR="00D01502">
        <w:rPr>
          <w:rFonts w:asciiTheme="minorHAnsi" w:hAnsiTheme="minorHAnsi" w:cstheme="minorHAnsi"/>
          <w:sz w:val="24"/>
          <w:lang w:eastAsia="cs-CZ"/>
        </w:rPr>
        <w:t>disponovalo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investiční</w:t>
      </w:r>
      <w:r w:rsidR="00D01502">
        <w:rPr>
          <w:rFonts w:asciiTheme="minorHAnsi" w:hAnsiTheme="minorHAnsi" w:cstheme="minorHAnsi"/>
          <w:sz w:val="24"/>
          <w:lang w:eastAsia="cs-CZ"/>
        </w:rPr>
        <w:t>m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plán</w:t>
      </w:r>
      <w:r w:rsidR="00D01502">
        <w:rPr>
          <w:rFonts w:asciiTheme="minorHAnsi" w:hAnsiTheme="minorHAnsi" w:cstheme="minorHAnsi"/>
          <w:sz w:val="24"/>
          <w:lang w:eastAsia="cs-CZ"/>
        </w:rPr>
        <w:t>em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k pořizování dlouhodobého majetku. V kontrolovaném období byl pořízen dlouhodobý majetek v hodnotě </w:t>
      </w:r>
      <w:r w:rsidR="00314EC2" w:rsidRPr="00314EC2">
        <w:rPr>
          <w:rFonts w:asciiTheme="minorHAnsi" w:hAnsiTheme="minorHAnsi" w:cstheme="minorHAnsi"/>
          <w:sz w:val="24"/>
          <w:lang w:eastAsia="cs-CZ"/>
        </w:rPr>
        <w:t>29 142 529,40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Kč. Ke kontrole u UPM bylo vybráno </w:t>
      </w:r>
      <w:r w:rsidR="009D726C">
        <w:rPr>
          <w:rFonts w:asciiTheme="minorHAnsi" w:hAnsiTheme="minorHAnsi" w:cstheme="minorHAnsi"/>
          <w:sz w:val="24"/>
          <w:lang w:eastAsia="cs-CZ"/>
        </w:rPr>
        <w:t xml:space="preserve">27 </w:t>
      </w:r>
      <w:r w:rsidR="00B51962">
        <w:rPr>
          <w:rFonts w:asciiTheme="minorHAnsi" w:hAnsiTheme="minorHAnsi" w:cstheme="minorHAnsi"/>
          <w:sz w:val="24"/>
          <w:lang w:eastAsia="cs-CZ"/>
        </w:rPr>
        <w:t>případů pořízení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dlouhodobého majetku v hodnotě </w:t>
      </w:r>
      <w:r w:rsidR="00314EC2" w:rsidRPr="00314EC2">
        <w:rPr>
          <w:rFonts w:asciiTheme="minorHAnsi" w:hAnsiTheme="minorHAnsi" w:cstheme="minorHAnsi"/>
          <w:sz w:val="24"/>
          <w:lang w:eastAsia="cs-CZ"/>
        </w:rPr>
        <w:t>16 248 104,23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Kč, což představovalo </w:t>
      </w:r>
      <w:r w:rsidR="009D726C">
        <w:rPr>
          <w:rFonts w:asciiTheme="minorHAnsi" w:hAnsiTheme="minorHAnsi" w:cstheme="minorHAnsi"/>
          <w:sz w:val="24"/>
          <w:lang w:eastAsia="cs-CZ"/>
        </w:rPr>
        <w:t>55,8</w:t>
      </w:r>
      <w:r w:rsidRPr="00ED66A0">
        <w:rPr>
          <w:rFonts w:asciiTheme="minorHAnsi" w:hAnsiTheme="minorHAnsi" w:cstheme="minorHAnsi"/>
          <w:sz w:val="24"/>
          <w:lang w:eastAsia="cs-CZ"/>
        </w:rPr>
        <w:t xml:space="preserve"> % hodnoty pořízeného dlouhodobého majetku.</w:t>
      </w:r>
    </w:p>
    <w:p w14:paraId="28BC0B87" w14:textId="2221CA94" w:rsidR="00B638E2" w:rsidRPr="008E31BC" w:rsidRDefault="00B638E2" w:rsidP="004A5EE8">
      <w:pPr>
        <w:pStyle w:val="Odstavecseseznamem"/>
        <w:numPr>
          <w:ilvl w:val="0"/>
          <w:numId w:val="11"/>
        </w:numPr>
        <w:spacing w:before="120" w:after="0" w:line="240" w:lineRule="auto"/>
        <w:ind w:left="426"/>
        <w:contextualSpacing w:val="0"/>
        <w:rPr>
          <w:rFonts w:asciiTheme="minorHAnsi" w:eastAsia="Calibri" w:hAnsiTheme="minorHAnsi" w:cstheme="minorHAnsi"/>
          <w:sz w:val="24"/>
        </w:rPr>
      </w:pPr>
      <w:r w:rsidRPr="008E31BC">
        <w:rPr>
          <w:rFonts w:asciiTheme="minorHAnsi" w:eastAsia="Calibri" w:hAnsiTheme="minorHAnsi" w:cstheme="minorHAnsi"/>
          <w:sz w:val="24"/>
        </w:rPr>
        <w:t xml:space="preserve">UPM uzavřelo </w:t>
      </w:r>
      <w:r w:rsidR="00D01502">
        <w:rPr>
          <w:rFonts w:asciiTheme="minorHAnsi" w:eastAsia="Calibri" w:hAnsiTheme="minorHAnsi" w:cstheme="minorHAnsi"/>
          <w:sz w:val="24"/>
        </w:rPr>
        <w:t>„</w:t>
      </w:r>
      <w:r w:rsidRPr="008E31BC">
        <w:rPr>
          <w:rFonts w:asciiTheme="minorHAnsi" w:eastAsia="Calibri" w:hAnsiTheme="minorHAnsi" w:cstheme="minorHAnsi"/>
          <w:sz w:val="24"/>
        </w:rPr>
        <w:t>smlouvou o předání majetku a o změně příslušnosti hospodařit s majetkem státu</w:t>
      </w:r>
      <w:r w:rsidR="00D01502">
        <w:rPr>
          <w:rFonts w:asciiTheme="minorHAnsi" w:eastAsia="Calibri" w:hAnsiTheme="minorHAnsi" w:cstheme="minorHAnsi"/>
          <w:sz w:val="24"/>
        </w:rPr>
        <w:t>“</w:t>
      </w:r>
      <w:r w:rsidRPr="008E31BC">
        <w:rPr>
          <w:rFonts w:asciiTheme="minorHAnsi" w:eastAsia="Calibri" w:hAnsiTheme="minorHAnsi" w:cstheme="minorHAnsi"/>
          <w:sz w:val="24"/>
        </w:rPr>
        <w:t xml:space="preserve"> s Úřadem pro zastupování státu ve věcech majetkových v dubnu 2015 </w:t>
      </w:r>
      <w:r w:rsidR="008109DA">
        <w:rPr>
          <w:rFonts w:asciiTheme="minorHAnsi" w:eastAsia="Calibri" w:hAnsiTheme="minorHAnsi" w:cstheme="minorHAnsi"/>
          <w:sz w:val="24"/>
        </w:rPr>
        <w:t>a touto smlouvou</w:t>
      </w:r>
      <w:r w:rsidRPr="008E31BC">
        <w:rPr>
          <w:rFonts w:asciiTheme="minorHAnsi" w:eastAsia="Calibri" w:hAnsiTheme="minorHAnsi" w:cstheme="minorHAnsi"/>
          <w:sz w:val="24"/>
        </w:rPr>
        <w:t xml:space="preserve"> získalo právo hospodařit s pozemkem v hodnotě 1 810 Kč. UPM </w:t>
      </w:r>
      <w:r w:rsidR="008109DA">
        <w:rPr>
          <w:rFonts w:asciiTheme="minorHAnsi" w:eastAsia="Calibri" w:hAnsiTheme="minorHAnsi" w:cstheme="minorHAnsi"/>
          <w:sz w:val="24"/>
        </w:rPr>
        <w:t>zmíněný</w:t>
      </w:r>
      <w:r w:rsidRPr="008E31BC">
        <w:rPr>
          <w:rFonts w:asciiTheme="minorHAnsi" w:eastAsia="Calibri" w:hAnsiTheme="minorHAnsi" w:cstheme="minorHAnsi"/>
          <w:sz w:val="24"/>
        </w:rPr>
        <w:t xml:space="preserve"> pozemek zařadil</w:t>
      </w:r>
      <w:r w:rsidR="008109DA">
        <w:rPr>
          <w:rFonts w:asciiTheme="minorHAnsi" w:eastAsia="Calibri" w:hAnsiTheme="minorHAnsi" w:cstheme="minorHAnsi"/>
          <w:sz w:val="24"/>
        </w:rPr>
        <w:t>o</w:t>
      </w:r>
      <w:r w:rsidRPr="008E31BC">
        <w:rPr>
          <w:rFonts w:asciiTheme="minorHAnsi" w:eastAsia="Calibri" w:hAnsiTheme="minorHAnsi" w:cstheme="minorHAnsi"/>
          <w:sz w:val="24"/>
        </w:rPr>
        <w:t xml:space="preserve"> do svého účetnictví až v říjnu 2021</w:t>
      </w:r>
      <w:r w:rsidR="008109DA">
        <w:rPr>
          <w:rFonts w:asciiTheme="minorHAnsi" w:eastAsia="Calibri" w:hAnsiTheme="minorHAnsi" w:cstheme="minorHAnsi"/>
          <w:sz w:val="24"/>
        </w:rPr>
        <w:t>,</w:t>
      </w:r>
      <w:r w:rsidRPr="008E31BC">
        <w:rPr>
          <w:rFonts w:asciiTheme="minorHAnsi" w:eastAsia="Calibri" w:hAnsiTheme="minorHAnsi" w:cstheme="minorHAnsi"/>
          <w:sz w:val="24"/>
        </w:rPr>
        <w:t xml:space="preserve"> tedy o 6 let a 5 měsíců později</w:t>
      </w:r>
      <w:r w:rsidR="00C041BD">
        <w:rPr>
          <w:rFonts w:asciiTheme="minorHAnsi" w:eastAsia="Calibri" w:hAnsiTheme="minorHAnsi" w:cstheme="minorHAnsi"/>
          <w:sz w:val="24"/>
        </w:rPr>
        <w:t>, což není v souladu s</w:t>
      </w:r>
      <w:r w:rsidR="008109DA">
        <w:rPr>
          <w:rFonts w:asciiTheme="minorHAnsi" w:eastAsia="Calibri" w:hAnsiTheme="minorHAnsi" w:cstheme="minorHAnsi"/>
          <w:sz w:val="24"/>
        </w:rPr>
        <w:t xml:space="preserve">e </w:t>
      </w:r>
      <w:r w:rsidR="00C041BD">
        <w:rPr>
          <w:rFonts w:asciiTheme="minorHAnsi" w:eastAsia="Calibri" w:hAnsiTheme="minorHAnsi" w:cstheme="minorHAnsi"/>
          <w:sz w:val="24"/>
        </w:rPr>
        <w:t>zákon</w:t>
      </w:r>
      <w:r w:rsidR="008109DA">
        <w:rPr>
          <w:rFonts w:asciiTheme="minorHAnsi" w:eastAsia="Calibri" w:hAnsiTheme="minorHAnsi" w:cstheme="minorHAnsi"/>
          <w:sz w:val="24"/>
        </w:rPr>
        <w:t>em</w:t>
      </w:r>
      <w:r w:rsidR="00C041BD">
        <w:rPr>
          <w:rFonts w:asciiTheme="minorHAnsi" w:eastAsia="Calibri" w:hAnsiTheme="minorHAnsi" w:cstheme="minorHAnsi"/>
          <w:sz w:val="24"/>
        </w:rPr>
        <w:t xml:space="preserve"> o účetnictví</w:t>
      </w:r>
      <w:r w:rsidR="00A05696" w:rsidRPr="00A05696">
        <w:rPr>
          <w:rFonts w:asciiTheme="minorHAnsi" w:eastAsia="Calibri" w:hAnsiTheme="minorHAnsi" w:cstheme="minorHAnsi"/>
          <w:sz w:val="24"/>
          <w:vertAlign w:val="superscript"/>
        </w:rPr>
        <w:t>29</w:t>
      </w:r>
      <w:r w:rsidRPr="008E31BC">
        <w:rPr>
          <w:rFonts w:asciiTheme="minorHAnsi" w:eastAsia="Calibri" w:hAnsiTheme="minorHAnsi" w:cstheme="minorHAnsi"/>
          <w:sz w:val="24"/>
        </w:rPr>
        <w:t xml:space="preserve">. </w:t>
      </w:r>
    </w:p>
    <w:p w14:paraId="511308DE" w14:textId="2DE6DFA8" w:rsidR="000232CC" w:rsidRPr="00AB56D4" w:rsidRDefault="008109DA" w:rsidP="00923973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 xml:space="preserve">NG a UPM </w:t>
      </w:r>
      <w:r w:rsidR="007264AA">
        <w:rPr>
          <w:rFonts w:asciiTheme="minorHAnsi" w:eastAsia="Calibri" w:hAnsiTheme="minorHAnsi" w:cstheme="minorHAnsi"/>
          <w:b/>
          <w:sz w:val="24"/>
        </w:rPr>
        <w:t>e</w:t>
      </w:r>
      <w:r w:rsidR="00BD14B8">
        <w:rPr>
          <w:rFonts w:asciiTheme="minorHAnsi" w:eastAsia="Calibri" w:hAnsiTheme="minorHAnsi" w:cstheme="minorHAnsi"/>
          <w:b/>
          <w:sz w:val="24"/>
        </w:rPr>
        <w:t>vid</w:t>
      </w:r>
      <w:r w:rsidR="007264AA">
        <w:rPr>
          <w:rFonts w:asciiTheme="minorHAnsi" w:eastAsia="Calibri" w:hAnsiTheme="minorHAnsi" w:cstheme="minorHAnsi"/>
          <w:b/>
          <w:sz w:val="24"/>
        </w:rPr>
        <w:t>ovaly</w:t>
      </w:r>
      <w:r w:rsidR="00BD14B8">
        <w:rPr>
          <w:rFonts w:asciiTheme="minorHAnsi" w:eastAsia="Calibri" w:hAnsiTheme="minorHAnsi" w:cstheme="minorHAnsi"/>
          <w:b/>
          <w:sz w:val="24"/>
        </w:rPr>
        <w:t xml:space="preserve"> a i</w:t>
      </w:r>
      <w:r w:rsidR="00AB56D4" w:rsidRPr="00AB56D4">
        <w:rPr>
          <w:rFonts w:asciiTheme="minorHAnsi" w:eastAsia="Calibri" w:hAnsiTheme="minorHAnsi" w:cstheme="minorHAnsi"/>
          <w:b/>
          <w:sz w:val="24"/>
        </w:rPr>
        <w:t>nventariz</w:t>
      </w:r>
      <w:r w:rsidR="007264AA">
        <w:rPr>
          <w:rFonts w:asciiTheme="minorHAnsi" w:eastAsia="Calibri" w:hAnsiTheme="minorHAnsi" w:cstheme="minorHAnsi"/>
          <w:b/>
          <w:sz w:val="24"/>
        </w:rPr>
        <w:t>ovaly majetek</w:t>
      </w:r>
      <w:r w:rsidR="000503D0" w:rsidRPr="000503D0">
        <w:rPr>
          <w:rFonts w:asciiTheme="minorHAnsi" w:eastAsia="Calibri" w:hAnsiTheme="minorHAnsi" w:cstheme="minorHAnsi"/>
          <w:b/>
          <w:sz w:val="24"/>
        </w:rPr>
        <w:t xml:space="preserve"> </w:t>
      </w:r>
      <w:r w:rsidR="000503D0">
        <w:rPr>
          <w:rFonts w:asciiTheme="minorHAnsi" w:eastAsia="Calibri" w:hAnsiTheme="minorHAnsi" w:cstheme="minorHAnsi"/>
          <w:b/>
          <w:sz w:val="24"/>
        </w:rPr>
        <w:t>nesprávně</w:t>
      </w:r>
    </w:p>
    <w:p w14:paraId="624809C8" w14:textId="0D1F0DB2" w:rsidR="003B1165" w:rsidRPr="00F54659" w:rsidRDefault="003B1165" w:rsidP="003B1165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lang w:eastAsia="cs-CZ"/>
        </w:rPr>
        <w:t xml:space="preserve">NG provedla technické zhodnocení objektu zámku Zbraslav, ve kterém byla v nájmu. 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 xml:space="preserve">Na základě </w:t>
      </w:r>
      <w:r w:rsidR="008109DA">
        <w:rPr>
          <w:rFonts w:asciiTheme="minorHAnsi" w:hAnsiTheme="minorHAnsi" w:cstheme="minorHAnsi"/>
          <w:sz w:val="24"/>
          <w:lang w:eastAsia="cs-CZ"/>
        </w:rPr>
        <w:t>„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>dohody o skončení nájmu nebytových prostor</w:t>
      </w:r>
      <w:r w:rsidR="008109DA">
        <w:rPr>
          <w:rFonts w:asciiTheme="minorHAnsi" w:hAnsiTheme="minorHAnsi" w:cstheme="minorHAnsi"/>
          <w:sz w:val="24"/>
          <w:lang w:eastAsia="cs-CZ"/>
        </w:rPr>
        <w:t>“</w:t>
      </w:r>
      <w:r w:rsidR="006A741E">
        <w:rPr>
          <w:rFonts w:asciiTheme="minorHAnsi" w:hAnsiTheme="minorHAnsi" w:cstheme="minorHAnsi"/>
          <w:sz w:val="24"/>
          <w:lang w:eastAsia="cs-CZ"/>
        </w:rPr>
        <w:t xml:space="preserve"> 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 xml:space="preserve">byl nájemní vztah </w:t>
      </w:r>
      <w:r w:rsidR="006A741E">
        <w:rPr>
          <w:rFonts w:asciiTheme="minorHAnsi" w:hAnsiTheme="minorHAnsi" w:cstheme="minorHAnsi"/>
          <w:sz w:val="24"/>
          <w:lang w:eastAsia="cs-CZ"/>
        </w:rPr>
        <w:t xml:space="preserve">v roce 2009 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>ukončen</w:t>
      </w:r>
      <w:r w:rsidR="006A741E">
        <w:rPr>
          <w:rFonts w:asciiTheme="minorHAnsi" w:hAnsiTheme="minorHAnsi" w:cstheme="minorHAnsi"/>
          <w:sz w:val="24"/>
          <w:lang w:eastAsia="cs-CZ"/>
        </w:rPr>
        <w:t>.</w:t>
      </w:r>
      <w:r w:rsidR="00C268A0">
        <w:rPr>
          <w:rFonts w:asciiTheme="minorHAnsi" w:hAnsiTheme="minorHAnsi" w:cstheme="minorHAnsi"/>
          <w:sz w:val="24"/>
          <w:lang w:eastAsia="cs-CZ"/>
        </w:rPr>
        <w:t xml:space="preserve"> 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 xml:space="preserve">I po ukončení nájmu vedla </w:t>
      </w:r>
      <w:r w:rsidR="008109DA" w:rsidRPr="006A741E">
        <w:rPr>
          <w:rFonts w:asciiTheme="minorHAnsi" w:hAnsiTheme="minorHAnsi" w:cstheme="minorHAnsi"/>
          <w:sz w:val="24"/>
          <w:lang w:eastAsia="cs-CZ"/>
        </w:rPr>
        <w:t xml:space="preserve">NG 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 xml:space="preserve">tento majetek </w:t>
      </w:r>
      <w:r w:rsidR="00C268A0" w:rsidRPr="00F54659">
        <w:rPr>
          <w:rFonts w:asciiTheme="minorHAnsi" w:hAnsiTheme="minorHAnsi" w:cstheme="minorHAnsi"/>
          <w:sz w:val="24"/>
          <w:lang w:eastAsia="cs-CZ"/>
        </w:rPr>
        <w:t>v pořizovací hodnotě 12 965 067,99 Kč</w:t>
      </w:r>
      <w:r w:rsidR="00C268A0" w:rsidRPr="006A741E">
        <w:rPr>
          <w:rFonts w:asciiTheme="minorHAnsi" w:hAnsiTheme="minorHAnsi" w:cstheme="minorHAnsi"/>
          <w:sz w:val="24"/>
          <w:lang w:eastAsia="cs-CZ"/>
        </w:rPr>
        <w:t xml:space="preserve"> </w:t>
      </w:r>
      <w:r w:rsidR="006A741E" w:rsidRPr="006A741E">
        <w:rPr>
          <w:rFonts w:asciiTheme="minorHAnsi" w:hAnsiTheme="minorHAnsi" w:cstheme="minorHAnsi"/>
          <w:sz w:val="24"/>
          <w:lang w:eastAsia="cs-CZ"/>
        </w:rPr>
        <w:t>v</w:t>
      </w:r>
      <w:r w:rsidR="000F611C">
        <w:rPr>
          <w:rFonts w:asciiTheme="minorHAnsi" w:hAnsiTheme="minorHAnsi" w:cstheme="minorHAnsi"/>
          <w:sz w:val="24"/>
          <w:lang w:eastAsia="cs-CZ"/>
        </w:rPr>
        <w:t> </w:t>
      </w:r>
      <w:r w:rsidR="00C268A0">
        <w:rPr>
          <w:rFonts w:asciiTheme="minorHAnsi" w:hAnsiTheme="minorHAnsi" w:cstheme="minorHAnsi"/>
          <w:sz w:val="24"/>
          <w:lang w:eastAsia="cs-CZ"/>
        </w:rPr>
        <w:t>účetnictví</w:t>
      </w:r>
      <w:r w:rsidR="000F611C">
        <w:rPr>
          <w:rFonts w:asciiTheme="minorHAnsi" w:hAnsiTheme="minorHAnsi" w:cstheme="minorHAnsi"/>
          <w:sz w:val="24"/>
          <w:vertAlign w:val="superscript"/>
          <w:lang w:eastAsia="cs-CZ"/>
        </w:rPr>
        <w:t>2</w:t>
      </w:r>
      <w:r w:rsidR="008557E0">
        <w:rPr>
          <w:rFonts w:asciiTheme="minorHAnsi" w:hAnsiTheme="minorHAnsi" w:cstheme="minorHAnsi"/>
          <w:sz w:val="24"/>
          <w:vertAlign w:val="superscript"/>
          <w:lang w:eastAsia="cs-CZ"/>
        </w:rPr>
        <w:t>9</w:t>
      </w:r>
      <w:r w:rsidR="00C268A0">
        <w:rPr>
          <w:rFonts w:asciiTheme="minorHAnsi" w:hAnsiTheme="minorHAnsi" w:cstheme="minorHAnsi"/>
          <w:sz w:val="24"/>
          <w:lang w:eastAsia="cs-CZ"/>
        </w:rPr>
        <w:t xml:space="preserve"> </w:t>
      </w:r>
      <w:r>
        <w:rPr>
          <w:rFonts w:asciiTheme="minorHAnsi" w:hAnsiTheme="minorHAnsi" w:cstheme="minorHAnsi"/>
          <w:sz w:val="24"/>
          <w:lang w:eastAsia="cs-CZ"/>
        </w:rPr>
        <w:t>p</w:t>
      </w:r>
      <w:r w:rsidRPr="00F54659">
        <w:rPr>
          <w:rFonts w:asciiTheme="minorHAnsi" w:hAnsiTheme="minorHAnsi" w:cstheme="minorHAnsi"/>
          <w:sz w:val="24"/>
          <w:lang w:eastAsia="cs-CZ"/>
        </w:rPr>
        <w:t xml:space="preserve">o dobu téměř </w:t>
      </w:r>
      <w:r w:rsidR="006A741E">
        <w:rPr>
          <w:rFonts w:asciiTheme="minorHAnsi" w:hAnsiTheme="minorHAnsi" w:cstheme="minorHAnsi"/>
          <w:sz w:val="24"/>
          <w:lang w:eastAsia="cs-CZ"/>
        </w:rPr>
        <w:t xml:space="preserve">dalších </w:t>
      </w:r>
      <w:r w:rsidRPr="00F54659">
        <w:rPr>
          <w:rFonts w:asciiTheme="minorHAnsi" w:hAnsiTheme="minorHAnsi" w:cstheme="minorHAnsi"/>
          <w:sz w:val="24"/>
          <w:lang w:eastAsia="cs-CZ"/>
        </w:rPr>
        <w:t>deseti let.</w:t>
      </w:r>
    </w:p>
    <w:p w14:paraId="00AC3565" w14:textId="1573E93A" w:rsidR="0006381A" w:rsidRDefault="0006381A" w:rsidP="00532991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CF088B">
        <w:rPr>
          <w:rFonts w:asciiTheme="minorHAnsi" w:eastAsia="Calibri" w:hAnsiTheme="minorHAnsi" w:cstheme="minorHAnsi"/>
          <w:sz w:val="24"/>
        </w:rPr>
        <w:t xml:space="preserve">NG </w:t>
      </w:r>
      <w:r w:rsidR="008109DA">
        <w:rPr>
          <w:rFonts w:asciiTheme="minorHAnsi" w:eastAsia="Calibri" w:hAnsiTheme="minorHAnsi" w:cstheme="minorHAnsi"/>
          <w:sz w:val="24"/>
        </w:rPr>
        <w:t>v rozporu se zákonem</w:t>
      </w:r>
      <w:r w:rsidR="008109DA" w:rsidRPr="00CF088B">
        <w:rPr>
          <w:rFonts w:asciiTheme="minorHAnsi" w:eastAsia="Calibri" w:hAnsiTheme="minorHAnsi" w:cstheme="minorHAnsi"/>
          <w:sz w:val="24"/>
        </w:rPr>
        <w:t xml:space="preserve"> </w:t>
      </w:r>
      <w:r w:rsidRPr="00CF088B">
        <w:rPr>
          <w:rFonts w:asciiTheme="minorHAnsi" w:eastAsia="Calibri" w:hAnsiTheme="minorHAnsi" w:cstheme="minorHAnsi"/>
          <w:sz w:val="24"/>
        </w:rPr>
        <w:t>neprov</w:t>
      </w:r>
      <w:r>
        <w:rPr>
          <w:rFonts w:asciiTheme="minorHAnsi" w:eastAsia="Calibri" w:hAnsiTheme="minorHAnsi" w:cstheme="minorHAnsi"/>
          <w:sz w:val="24"/>
        </w:rPr>
        <w:t>áděl</w:t>
      </w:r>
      <w:r w:rsidRPr="00CF088B">
        <w:rPr>
          <w:rFonts w:asciiTheme="minorHAnsi" w:eastAsia="Calibri" w:hAnsiTheme="minorHAnsi" w:cstheme="minorHAnsi"/>
          <w:sz w:val="24"/>
        </w:rPr>
        <w:t xml:space="preserve">a </w:t>
      </w:r>
      <w:r w:rsidR="00F635C1">
        <w:rPr>
          <w:rFonts w:asciiTheme="minorHAnsi" w:eastAsia="Calibri" w:hAnsiTheme="minorHAnsi" w:cstheme="minorHAnsi"/>
          <w:sz w:val="24"/>
        </w:rPr>
        <w:t xml:space="preserve">úplnou </w:t>
      </w:r>
      <w:r w:rsidRPr="00CF088B">
        <w:rPr>
          <w:rFonts w:asciiTheme="minorHAnsi" w:eastAsia="Calibri" w:hAnsiTheme="minorHAnsi" w:cstheme="minorHAnsi"/>
          <w:sz w:val="24"/>
        </w:rPr>
        <w:t xml:space="preserve">inventarizaci </w:t>
      </w:r>
      <w:r w:rsidR="00F635C1">
        <w:rPr>
          <w:rFonts w:asciiTheme="minorHAnsi" w:eastAsia="Calibri" w:hAnsiTheme="minorHAnsi" w:cstheme="minorHAnsi"/>
          <w:sz w:val="24"/>
        </w:rPr>
        <w:t>majetku a závazk</w:t>
      </w:r>
      <w:r w:rsidRPr="00CF088B">
        <w:rPr>
          <w:rFonts w:asciiTheme="minorHAnsi" w:eastAsia="Calibri" w:hAnsiTheme="minorHAnsi" w:cstheme="minorHAnsi"/>
          <w:sz w:val="24"/>
        </w:rPr>
        <w:t xml:space="preserve">ů. </w:t>
      </w:r>
      <w:r w:rsidR="007C0D84">
        <w:rPr>
          <w:rFonts w:asciiTheme="minorHAnsi" w:eastAsia="Calibri" w:hAnsiTheme="minorHAnsi" w:cstheme="minorHAnsi"/>
          <w:sz w:val="24"/>
        </w:rPr>
        <w:t xml:space="preserve">U více než </w:t>
      </w:r>
      <w:r w:rsidR="00B52E01">
        <w:rPr>
          <w:rFonts w:asciiTheme="minorHAnsi" w:eastAsia="Calibri" w:hAnsiTheme="minorHAnsi" w:cstheme="minorHAnsi"/>
          <w:sz w:val="24"/>
        </w:rPr>
        <w:br/>
      </w:r>
      <w:r w:rsidR="007C0D84">
        <w:rPr>
          <w:rFonts w:asciiTheme="minorHAnsi" w:eastAsia="Calibri" w:hAnsiTheme="minorHAnsi" w:cstheme="minorHAnsi"/>
          <w:sz w:val="24"/>
        </w:rPr>
        <w:t>30</w:t>
      </w:r>
      <w:r w:rsidR="00F7261D">
        <w:rPr>
          <w:rFonts w:asciiTheme="minorHAnsi" w:eastAsia="Calibri" w:hAnsiTheme="minorHAnsi" w:cstheme="minorHAnsi"/>
          <w:sz w:val="24"/>
        </w:rPr>
        <w:t xml:space="preserve"> </w:t>
      </w:r>
      <w:r w:rsidRPr="00CF088B">
        <w:rPr>
          <w:rFonts w:asciiTheme="minorHAnsi" w:eastAsia="Calibri" w:hAnsiTheme="minorHAnsi" w:cstheme="minorHAnsi"/>
          <w:sz w:val="24"/>
        </w:rPr>
        <w:t>účtů</w:t>
      </w:r>
      <w:r w:rsidR="00F635C1">
        <w:rPr>
          <w:rFonts w:asciiTheme="minorHAnsi" w:eastAsia="Calibri" w:hAnsiTheme="minorHAnsi" w:cstheme="minorHAnsi"/>
          <w:sz w:val="24"/>
        </w:rPr>
        <w:t xml:space="preserve"> inventarizovaného majetku a závazků</w:t>
      </w:r>
      <w:r w:rsidRPr="00CF088B">
        <w:rPr>
          <w:rFonts w:asciiTheme="minorHAnsi" w:eastAsia="Calibri" w:hAnsiTheme="minorHAnsi" w:cstheme="minorHAnsi"/>
          <w:sz w:val="24"/>
        </w:rPr>
        <w:t xml:space="preserve"> nevyhotovila inventurní soupisy. Příkazy k inventarizaci stanovily odpovědnost za inventarizaci jednotlivých účtů zmatečně více </w:t>
      </w:r>
      <w:r>
        <w:rPr>
          <w:rFonts w:asciiTheme="minorHAnsi" w:eastAsia="Calibri" w:hAnsiTheme="minorHAnsi" w:cstheme="minorHAnsi"/>
          <w:sz w:val="24"/>
        </w:rPr>
        <w:t>dílčí</w:t>
      </w:r>
      <w:r w:rsidR="0043163D">
        <w:rPr>
          <w:rFonts w:asciiTheme="minorHAnsi" w:eastAsia="Calibri" w:hAnsiTheme="minorHAnsi" w:cstheme="minorHAnsi"/>
          <w:sz w:val="24"/>
        </w:rPr>
        <w:t>m</w:t>
      </w:r>
      <w:r>
        <w:rPr>
          <w:rFonts w:asciiTheme="minorHAnsi" w:eastAsia="Calibri" w:hAnsiTheme="minorHAnsi" w:cstheme="minorHAnsi"/>
          <w:sz w:val="24"/>
        </w:rPr>
        <w:t xml:space="preserve"> inventarizační</w:t>
      </w:r>
      <w:r w:rsidR="0043163D">
        <w:rPr>
          <w:rFonts w:asciiTheme="minorHAnsi" w:eastAsia="Calibri" w:hAnsiTheme="minorHAnsi" w:cstheme="minorHAnsi"/>
          <w:sz w:val="24"/>
        </w:rPr>
        <w:t>m</w:t>
      </w:r>
      <w:r>
        <w:rPr>
          <w:rFonts w:asciiTheme="minorHAnsi" w:eastAsia="Calibri" w:hAnsiTheme="minorHAnsi" w:cstheme="minorHAnsi"/>
          <w:sz w:val="24"/>
        </w:rPr>
        <w:t xml:space="preserve"> komisí</w:t>
      </w:r>
      <w:r w:rsidR="0043163D">
        <w:rPr>
          <w:rFonts w:asciiTheme="minorHAnsi" w:eastAsia="Calibri" w:hAnsiTheme="minorHAnsi" w:cstheme="minorHAnsi"/>
          <w:sz w:val="24"/>
        </w:rPr>
        <w:t>m</w:t>
      </w:r>
      <w:r w:rsidRPr="00CF088B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  <w:sz w:val="24"/>
        </w:rPr>
        <w:t xml:space="preserve">(dále také „DIK“) </w:t>
      </w:r>
      <w:r w:rsidRPr="00CF088B">
        <w:rPr>
          <w:rFonts w:asciiTheme="minorHAnsi" w:eastAsia="Calibri" w:hAnsiTheme="minorHAnsi" w:cstheme="minorHAnsi"/>
          <w:sz w:val="24"/>
        </w:rPr>
        <w:t>nebo naopak žádné</w:t>
      </w:r>
      <w:r w:rsidR="008109DA">
        <w:rPr>
          <w:rFonts w:asciiTheme="minorHAnsi" w:eastAsia="Calibri" w:hAnsiTheme="minorHAnsi" w:cstheme="minorHAnsi"/>
          <w:sz w:val="24"/>
        </w:rPr>
        <w:t xml:space="preserve"> komisi</w:t>
      </w:r>
      <w:r w:rsidRPr="00CF088B">
        <w:rPr>
          <w:rFonts w:asciiTheme="minorHAnsi" w:eastAsia="Calibri" w:hAnsiTheme="minorHAnsi" w:cstheme="minorHAnsi"/>
          <w:sz w:val="24"/>
        </w:rPr>
        <w:t xml:space="preserve">. Inventarizaci některých účtů provedla DIK, která k tomu nebyla oprávněna. Mnohé inventarizační zápisy nebyly podepsány alespoň dvěma členy příslušných DIK. Závěrečné zprávy o inventarizaci obsahovaly vzájemně si odporující informace. Zpráva o provedení inventarizace za rok 2018 </w:t>
      </w:r>
      <w:r w:rsidRPr="00CF088B">
        <w:rPr>
          <w:rFonts w:asciiTheme="minorHAnsi" w:eastAsia="Calibri" w:hAnsiTheme="minorHAnsi" w:cstheme="minorHAnsi"/>
          <w:sz w:val="24"/>
        </w:rPr>
        <w:lastRenderedPageBreak/>
        <w:t>nebyla nikým podeps</w:t>
      </w:r>
      <w:r w:rsidR="008109DA">
        <w:rPr>
          <w:rFonts w:asciiTheme="minorHAnsi" w:eastAsia="Calibri" w:hAnsiTheme="minorHAnsi" w:cstheme="minorHAnsi"/>
          <w:sz w:val="24"/>
        </w:rPr>
        <w:t>ána</w:t>
      </w:r>
      <w:r w:rsidRPr="00CF088B">
        <w:rPr>
          <w:rFonts w:asciiTheme="minorHAnsi" w:eastAsia="Calibri" w:hAnsiTheme="minorHAnsi" w:cstheme="minorHAnsi"/>
          <w:sz w:val="24"/>
        </w:rPr>
        <w:t xml:space="preserve">. Zjištěné inventarizační rozdíly </w:t>
      </w:r>
      <w:r w:rsidR="008109DA">
        <w:rPr>
          <w:rFonts w:asciiTheme="minorHAnsi" w:eastAsia="Calibri" w:hAnsiTheme="minorHAnsi" w:cstheme="minorHAnsi"/>
          <w:sz w:val="24"/>
        </w:rPr>
        <w:t>Národní galerie v Praze</w:t>
      </w:r>
      <w:r w:rsidRPr="00CF088B">
        <w:rPr>
          <w:rFonts w:asciiTheme="minorHAnsi" w:eastAsia="Calibri" w:hAnsiTheme="minorHAnsi" w:cstheme="minorHAnsi"/>
          <w:sz w:val="24"/>
        </w:rPr>
        <w:t xml:space="preserve"> nevyúčtovala a neřešila </w:t>
      </w:r>
      <w:r w:rsidR="008109DA">
        <w:rPr>
          <w:rFonts w:asciiTheme="minorHAnsi" w:eastAsia="Calibri" w:hAnsiTheme="minorHAnsi" w:cstheme="minorHAnsi"/>
          <w:sz w:val="24"/>
        </w:rPr>
        <w:t xml:space="preserve">je ani </w:t>
      </w:r>
      <w:r w:rsidRPr="00CF088B">
        <w:rPr>
          <w:rFonts w:asciiTheme="minorHAnsi" w:eastAsia="Calibri" w:hAnsiTheme="minorHAnsi" w:cstheme="minorHAnsi"/>
          <w:sz w:val="24"/>
        </w:rPr>
        <w:t>žádným jiným způsobem.</w:t>
      </w:r>
      <w:r w:rsidRPr="00AF63FE">
        <w:rPr>
          <w:rFonts w:asciiTheme="minorHAnsi" w:eastAsia="Calibri" w:hAnsiTheme="minorHAnsi" w:cstheme="minorHAnsi"/>
          <w:sz w:val="24"/>
        </w:rPr>
        <w:t xml:space="preserve"> NG při inventarizaci majetku a</w:t>
      </w:r>
      <w:r w:rsidR="003A1DAA">
        <w:rPr>
          <w:rFonts w:asciiTheme="minorHAnsi" w:eastAsia="Calibri" w:hAnsiTheme="minorHAnsi" w:cstheme="minorHAnsi"/>
          <w:sz w:val="24"/>
        </w:rPr>
        <w:t> </w:t>
      </w:r>
      <w:r w:rsidRPr="00AF63FE">
        <w:rPr>
          <w:rFonts w:asciiTheme="minorHAnsi" w:eastAsia="Calibri" w:hAnsiTheme="minorHAnsi" w:cstheme="minorHAnsi"/>
          <w:sz w:val="24"/>
        </w:rPr>
        <w:t>závazků k 31. 12. 2018, k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Pr="00AF63FE">
        <w:rPr>
          <w:rFonts w:asciiTheme="minorHAnsi" w:eastAsia="Calibri" w:hAnsiTheme="minorHAnsi" w:cstheme="minorHAnsi"/>
          <w:sz w:val="24"/>
        </w:rPr>
        <w:t>31.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Pr="00AF63FE">
        <w:rPr>
          <w:rFonts w:asciiTheme="minorHAnsi" w:eastAsia="Calibri" w:hAnsiTheme="minorHAnsi" w:cstheme="minorHAnsi"/>
          <w:sz w:val="24"/>
        </w:rPr>
        <w:t>12.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Pr="00AF63FE">
        <w:rPr>
          <w:rFonts w:asciiTheme="minorHAnsi" w:eastAsia="Calibri" w:hAnsiTheme="minorHAnsi" w:cstheme="minorHAnsi"/>
          <w:sz w:val="24"/>
        </w:rPr>
        <w:t>2019 a k 31. 12. 2020 nezjistila skutečný stav veškerého majetku a závazků</w:t>
      </w:r>
      <w:r w:rsidR="003A1DAA">
        <w:rPr>
          <w:rFonts w:asciiTheme="minorHAnsi" w:eastAsia="Calibri" w:hAnsiTheme="minorHAnsi" w:cstheme="minorHAnsi"/>
          <w:sz w:val="24"/>
        </w:rPr>
        <w:t>,</w:t>
      </w:r>
      <w:r w:rsidRPr="00AF63FE">
        <w:rPr>
          <w:rFonts w:asciiTheme="minorHAnsi" w:eastAsia="Calibri" w:hAnsiTheme="minorHAnsi" w:cstheme="minorHAnsi"/>
          <w:sz w:val="24"/>
        </w:rPr>
        <w:t xml:space="preserve"> neověřila, že zjištěný skutečný stav odpovídá stavu majetku a závazků v</w:t>
      </w:r>
      <w:r w:rsidR="003A1DAA">
        <w:rPr>
          <w:rFonts w:asciiTheme="minorHAnsi" w:eastAsia="Calibri" w:hAnsiTheme="minorHAnsi" w:cstheme="minorHAnsi"/>
          <w:sz w:val="24"/>
        </w:rPr>
        <w:t> </w:t>
      </w:r>
      <w:r w:rsidRPr="00AF63FE">
        <w:rPr>
          <w:rFonts w:asciiTheme="minorHAnsi" w:eastAsia="Calibri" w:hAnsiTheme="minorHAnsi" w:cstheme="minorHAnsi"/>
          <w:sz w:val="24"/>
        </w:rPr>
        <w:t>účetnictví</w:t>
      </w:r>
      <w:r w:rsidR="003A1DAA">
        <w:rPr>
          <w:rFonts w:asciiTheme="minorHAnsi" w:eastAsia="Calibri" w:hAnsiTheme="minorHAnsi" w:cstheme="minorHAnsi"/>
          <w:sz w:val="24"/>
        </w:rPr>
        <w:t>,</w:t>
      </w:r>
      <w:r w:rsidRPr="00AF63FE">
        <w:rPr>
          <w:rFonts w:asciiTheme="minorHAnsi" w:eastAsia="Calibri" w:hAnsiTheme="minorHAnsi" w:cstheme="minorHAnsi"/>
          <w:sz w:val="24"/>
        </w:rPr>
        <w:t xml:space="preserve"> a k velkému množství účtů nevyhotovila žádné inventurní soupisy, což je v rozporu se zákonem</w:t>
      </w:r>
      <w:r w:rsidR="007E481D">
        <w:rPr>
          <w:rFonts w:asciiTheme="minorHAnsi" w:eastAsia="Calibri" w:hAnsiTheme="minorHAnsi" w:cstheme="minorHAnsi"/>
          <w:sz w:val="24"/>
        </w:rPr>
        <w:t xml:space="preserve"> o účetnictví</w:t>
      </w:r>
      <w:r w:rsidR="007E481D">
        <w:rPr>
          <w:rStyle w:val="Znakapoznpodarou"/>
          <w:rFonts w:asciiTheme="minorHAnsi" w:eastAsia="Calibri" w:hAnsiTheme="minorHAnsi" w:cstheme="minorHAnsi"/>
          <w:sz w:val="24"/>
        </w:rPr>
        <w:footnoteReference w:id="31"/>
      </w:r>
      <w:r w:rsidRPr="00AF63FE">
        <w:rPr>
          <w:rFonts w:asciiTheme="minorHAnsi" w:eastAsia="Calibri" w:hAnsiTheme="minorHAnsi" w:cstheme="minorHAnsi"/>
          <w:sz w:val="24"/>
        </w:rPr>
        <w:t>.</w:t>
      </w:r>
      <w:r>
        <w:rPr>
          <w:rFonts w:asciiTheme="minorHAnsi" w:eastAsia="Calibri" w:hAnsiTheme="minorHAnsi" w:cstheme="minorHAnsi"/>
          <w:b/>
          <w:sz w:val="24"/>
        </w:rPr>
        <w:t xml:space="preserve"> </w:t>
      </w:r>
    </w:p>
    <w:p w14:paraId="69892135" w14:textId="5886DFD2" w:rsidR="00D65FAC" w:rsidRPr="008E4D75" w:rsidRDefault="00D65FAC" w:rsidP="00D65FAC">
      <w:pPr>
        <w:spacing w:before="120" w:after="0" w:line="20" w:lineRule="atLeast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>NG měla vytvořenu směrnici, která upravovala režim zacházení se sbírkou</w:t>
      </w:r>
      <w:r w:rsidR="00A05696">
        <w:rPr>
          <w:rStyle w:val="Znakapoznpodarou"/>
          <w:rFonts w:asciiTheme="minorHAnsi" w:eastAsia="Calibri" w:hAnsiTheme="minorHAnsi" w:cstheme="minorHAnsi"/>
          <w:sz w:val="24"/>
        </w:rPr>
        <w:footnoteReference w:id="32"/>
      </w:r>
      <w:r w:rsidRPr="008E4D75">
        <w:rPr>
          <w:rFonts w:asciiTheme="minorHAnsi" w:eastAsia="Calibri" w:hAnsiTheme="minorHAnsi" w:cstheme="minorHAnsi"/>
          <w:sz w:val="24"/>
        </w:rPr>
        <w:t xml:space="preserve">, jak jí ukládá zákon </w:t>
      </w:r>
      <w:r>
        <w:rPr>
          <w:rFonts w:asciiTheme="minorHAnsi" w:eastAsia="Calibri" w:hAnsiTheme="minorHAnsi" w:cstheme="minorHAnsi"/>
          <w:sz w:val="24"/>
        </w:rPr>
        <w:t xml:space="preserve">o ochraně sbírek muzejní povahy. </w:t>
      </w:r>
      <w:r w:rsidRPr="008E4D75">
        <w:rPr>
          <w:rFonts w:asciiTheme="minorHAnsi" w:eastAsia="Calibri" w:hAnsiTheme="minorHAnsi" w:cstheme="minorHAnsi"/>
          <w:sz w:val="24"/>
        </w:rPr>
        <w:t>Směrnice povolovala nakládání (předávání mezi vypůjčiteli) se sbírkovými předměty bez účasti zaměstnance NG, který by měl přehled o jejich stavu. V průběhu kontroly došlo k aktualizaci směrnice.</w:t>
      </w:r>
    </w:p>
    <w:p w14:paraId="4CCBCCF7" w14:textId="77777777" w:rsidR="00C665A2" w:rsidRDefault="00C665A2" w:rsidP="00C665A2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 xml:space="preserve">Kontrolou na místě u NG bylo zjištěno, že </w:t>
      </w:r>
      <w:r w:rsidR="00E6221D">
        <w:rPr>
          <w:rFonts w:asciiTheme="minorHAnsi" w:eastAsia="Calibri" w:hAnsiTheme="minorHAnsi" w:cstheme="minorHAnsi"/>
          <w:sz w:val="24"/>
        </w:rPr>
        <w:t>dva</w:t>
      </w:r>
      <w:r w:rsidRPr="008E4D75">
        <w:rPr>
          <w:rFonts w:asciiTheme="minorHAnsi" w:eastAsia="Calibri" w:hAnsiTheme="minorHAnsi" w:cstheme="minorHAnsi"/>
          <w:sz w:val="24"/>
        </w:rPr>
        <w:t xml:space="preserve"> sbírkové předměty ze 78 náhodně vybraných nebyly na místech</w:t>
      </w:r>
      <w:r w:rsidR="000F611C">
        <w:rPr>
          <w:rStyle w:val="Znakapoznpodarou"/>
          <w:rFonts w:asciiTheme="minorHAnsi" w:eastAsia="Calibri" w:hAnsiTheme="minorHAnsi" w:cstheme="minorHAnsi"/>
          <w:sz w:val="24"/>
        </w:rPr>
        <w:footnoteReference w:id="33"/>
      </w:r>
      <w:r w:rsidRPr="008E4D75">
        <w:rPr>
          <w:rFonts w:asciiTheme="minorHAnsi" w:eastAsia="Calibri" w:hAnsiTheme="minorHAnsi" w:cstheme="minorHAnsi"/>
          <w:sz w:val="24"/>
        </w:rPr>
        <w:t xml:space="preserve">, kde měly být podle systematické evidence. Oba sbírkové předměty byly dohledány. Dále jeden sbírkový předmět nebyl označen inventárním číslem a další dva měly inventární číslo zaměněno. </w:t>
      </w:r>
    </w:p>
    <w:p w14:paraId="4182F573" w14:textId="77777777" w:rsidR="000E7DDF" w:rsidRDefault="00A578BA" w:rsidP="00A578BA">
      <w:pPr>
        <w:spacing w:before="120" w:after="0" w:line="20" w:lineRule="atLeast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NG dlouhodobě zapůjčila část sbírky vypůjčiteli, který ji umístil v zámku ve Žďáru nad Sázavou. </w:t>
      </w:r>
      <w:r w:rsidR="000E7DDF">
        <w:rPr>
          <w:rFonts w:asciiTheme="minorHAnsi" w:eastAsia="Calibri" w:hAnsiTheme="minorHAnsi" w:cstheme="minorHAnsi"/>
          <w:sz w:val="24"/>
        </w:rPr>
        <w:t>NG nekontrolovala na místě, zda vypůjčitel zajistil klimatické podmínky pro vhodné vystavení zapůjčených předmětů</w:t>
      </w:r>
      <w:r w:rsidR="001C5441">
        <w:rPr>
          <w:rFonts w:asciiTheme="minorHAnsi" w:eastAsia="Calibri" w:hAnsiTheme="minorHAnsi" w:cstheme="minorHAnsi"/>
          <w:sz w:val="24"/>
        </w:rPr>
        <w:t xml:space="preserve"> v souladu se smlouvou. Smlouva zahrnovala podmínky vycházející z režimu zacházení se sbírkou</w:t>
      </w:r>
      <w:r w:rsidR="00A05696">
        <w:rPr>
          <w:rFonts w:asciiTheme="minorHAnsi" w:eastAsia="Calibri" w:hAnsiTheme="minorHAnsi" w:cstheme="minorHAnsi"/>
          <w:sz w:val="24"/>
          <w:vertAlign w:val="superscript"/>
        </w:rPr>
        <w:t>3</w:t>
      </w:r>
      <w:r w:rsidR="008557E0">
        <w:rPr>
          <w:rFonts w:asciiTheme="minorHAnsi" w:eastAsia="Calibri" w:hAnsiTheme="minorHAnsi" w:cstheme="minorHAnsi"/>
          <w:sz w:val="24"/>
          <w:vertAlign w:val="superscript"/>
        </w:rPr>
        <w:t>2</w:t>
      </w:r>
      <w:r w:rsidR="001C5441">
        <w:rPr>
          <w:rFonts w:asciiTheme="minorHAnsi" w:eastAsia="Calibri" w:hAnsiTheme="minorHAnsi" w:cstheme="minorHAnsi"/>
          <w:sz w:val="24"/>
        </w:rPr>
        <w:t xml:space="preserve">. NG tak neměla přehled o stavu sbírkových předmětů, což není v souladu se zákonem o ochraně sbírek muzejní povahy. </w:t>
      </w:r>
    </w:p>
    <w:p w14:paraId="580F0ED3" w14:textId="0574F26E" w:rsidR="00BE775C" w:rsidRPr="00BE775C" w:rsidRDefault="00BE775C" w:rsidP="00532991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BE775C">
        <w:rPr>
          <w:rFonts w:asciiTheme="minorHAnsi" w:eastAsia="Calibri" w:hAnsiTheme="minorHAnsi" w:cstheme="minorHAnsi"/>
          <w:sz w:val="24"/>
        </w:rPr>
        <w:t>UPM nepostupovalo v souladu s ustanoveními katastrálního zákona</w:t>
      </w:r>
      <w:r w:rsidR="006D13BC">
        <w:rPr>
          <w:rStyle w:val="Znakapoznpodarou"/>
          <w:rFonts w:asciiTheme="minorHAnsi" w:eastAsia="Calibri" w:hAnsiTheme="minorHAnsi" w:cstheme="minorHAnsi"/>
          <w:sz w:val="24"/>
        </w:rPr>
        <w:footnoteReference w:id="34"/>
      </w:r>
      <w:r w:rsidRPr="00BE775C">
        <w:rPr>
          <w:rFonts w:asciiTheme="minorHAnsi" w:eastAsia="Calibri" w:hAnsiTheme="minorHAnsi" w:cstheme="minorHAnsi"/>
          <w:sz w:val="24"/>
        </w:rPr>
        <w:t xml:space="preserve"> tím, že neohlásilo příslušnému katastrálnímu úřadu nově nabytou nemovitost „</w:t>
      </w:r>
      <w:r w:rsidR="003A1DAA">
        <w:rPr>
          <w:rFonts w:asciiTheme="minorHAnsi" w:eastAsia="Calibri" w:hAnsiTheme="minorHAnsi" w:cstheme="minorHAnsi"/>
          <w:sz w:val="24"/>
        </w:rPr>
        <w:t>d</w:t>
      </w:r>
      <w:r w:rsidRPr="00BE775C">
        <w:rPr>
          <w:rFonts w:asciiTheme="minorHAnsi" w:eastAsia="Calibri" w:hAnsiTheme="minorHAnsi" w:cstheme="minorHAnsi"/>
          <w:sz w:val="24"/>
        </w:rPr>
        <w:t>vorní dílny v Praze“ umístěn</w:t>
      </w:r>
      <w:r w:rsidR="002E176B">
        <w:rPr>
          <w:rFonts w:asciiTheme="minorHAnsi" w:eastAsia="Calibri" w:hAnsiTheme="minorHAnsi" w:cstheme="minorHAnsi"/>
          <w:sz w:val="24"/>
        </w:rPr>
        <w:t>ou</w:t>
      </w:r>
      <w:r w:rsidRPr="00BE775C">
        <w:rPr>
          <w:rFonts w:asciiTheme="minorHAnsi" w:eastAsia="Calibri" w:hAnsiTheme="minorHAnsi" w:cstheme="minorHAnsi"/>
          <w:sz w:val="24"/>
        </w:rPr>
        <w:t xml:space="preserve"> vedle hlavní budovy UPM v Praze a nepředložilo v tomto smyslu listinu, která tuto skutečnost dokládá</w:t>
      </w:r>
      <w:r w:rsidR="003A1DAA">
        <w:rPr>
          <w:rFonts w:asciiTheme="minorHAnsi" w:eastAsia="Calibri" w:hAnsiTheme="minorHAnsi" w:cstheme="minorHAnsi"/>
          <w:sz w:val="24"/>
        </w:rPr>
        <w:t>,</w:t>
      </w:r>
      <w:r w:rsidRPr="00BE775C">
        <w:rPr>
          <w:rFonts w:asciiTheme="minorHAnsi" w:eastAsia="Calibri" w:hAnsiTheme="minorHAnsi" w:cstheme="minorHAnsi"/>
          <w:sz w:val="24"/>
        </w:rPr>
        <w:t xml:space="preserve"> a </w:t>
      </w:r>
      <w:r w:rsidR="003A1DAA">
        <w:rPr>
          <w:rFonts w:asciiTheme="minorHAnsi" w:eastAsia="Calibri" w:hAnsiTheme="minorHAnsi" w:cstheme="minorHAnsi"/>
          <w:sz w:val="24"/>
        </w:rPr>
        <w:t>nedalo</w:t>
      </w:r>
      <w:r w:rsidRPr="00BE775C">
        <w:rPr>
          <w:rFonts w:asciiTheme="minorHAnsi" w:eastAsia="Calibri" w:hAnsiTheme="minorHAnsi" w:cstheme="minorHAnsi"/>
          <w:sz w:val="24"/>
        </w:rPr>
        <w:t xml:space="preserve"> tak v katastru nemovitostí zaevidovat</w:t>
      </w:r>
      <w:r w:rsidR="004C255E">
        <w:rPr>
          <w:rStyle w:val="Znakapoznpodarou"/>
          <w:rFonts w:asciiTheme="minorHAnsi" w:eastAsia="Calibri" w:hAnsiTheme="minorHAnsi" w:cstheme="minorHAnsi"/>
          <w:sz w:val="24"/>
        </w:rPr>
        <w:footnoteReference w:id="35"/>
      </w:r>
      <w:r w:rsidRPr="00BE775C">
        <w:rPr>
          <w:rFonts w:asciiTheme="minorHAnsi" w:eastAsia="Calibri" w:hAnsiTheme="minorHAnsi" w:cstheme="minorHAnsi"/>
          <w:sz w:val="24"/>
        </w:rPr>
        <w:t xml:space="preserve"> tuto změnu a zakreslit ji do katastrální mapy. Tuto nemovitost přitom UPM mělo od roku 1972 zařazenou v majetku. </w:t>
      </w:r>
      <w:r w:rsidR="00731356">
        <w:rPr>
          <w:rFonts w:asciiTheme="minorHAnsi" w:eastAsia="Calibri" w:hAnsiTheme="minorHAnsi" w:cstheme="minorHAnsi"/>
          <w:sz w:val="24"/>
        </w:rPr>
        <w:t>Na základě kontroly NKÚ</w:t>
      </w:r>
      <w:r w:rsidRPr="00BE775C">
        <w:rPr>
          <w:rFonts w:asciiTheme="minorHAnsi" w:eastAsia="Calibri" w:hAnsiTheme="minorHAnsi" w:cstheme="minorHAnsi"/>
          <w:sz w:val="24"/>
        </w:rPr>
        <w:t xml:space="preserve"> byla budova zaměřena a UPM podalo návrh na zanesení do katastrálních map.</w:t>
      </w:r>
      <w:r w:rsidR="00AF7721">
        <w:rPr>
          <w:rFonts w:asciiTheme="minorHAnsi" w:eastAsia="Calibri" w:hAnsiTheme="minorHAnsi" w:cstheme="minorHAnsi"/>
          <w:sz w:val="24"/>
        </w:rPr>
        <w:t xml:space="preserve"> Uvedenou skutečnost UPM neodhalilo ani v rámci provádění inventarizací</w:t>
      </w:r>
      <w:r w:rsidR="003D388A">
        <w:rPr>
          <w:rFonts w:asciiTheme="minorHAnsi" w:eastAsia="Calibri" w:hAnsiTheme="minorHAnsi" w:cstheme="minorHAnsi"/>
          <w:sz w:val="24"/>
          <w:vertAlign w:val="superscript"/>
        </w:rPr>
        <w:t>3</w:t>
      </w:r>
      <w:r w:rsidR="002A40B6">
        <w:rPr>
          <w:rFonts w:asciiTheme="minorHAnsi" w:eastAsia="Calibri" w:hAnsiTheme="minorHAnsi" w:cstheme="minorHAnsi"/>
          <w:sz w:val="24"/>
          <w:vertAlign w:val="superscript"/>
        </w:rPr>
        <w:t>1</w:t>
      </w:r>
      <w:r w:rsidR="00AF7721">
        <w:rPr>
          <w:rFonts w:asciiTheme="minorHAnsi" w:eastAsia="Calibri" w:hAnsiTheme="minorHAnsi" w:cstheme="minorHAnsi"/>
          <w:sz w:val="24"/>
        </w:rPr>
        <w:t xml:space="preserve">. </w:t>
      </w:r>
    </w:p>
    <w:p w14:paraId="54B88A85" w14:textId="7285135D" w:rsidR="0006381A" w:rsidRDefault="0006381A" w:rsidP="00532991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Při kontrole majetku bylo u UPM zjištěno, že v 14 případech ze 116 ks kontrolního vzorku nebyl majetek označen identifikačním číslem, což je v rozporu s ustanovením </w:t>
      </w:r>
      <w:r w:rsidR="00C665A2">
        <w:rPr>
          <w:rFonts w:asciiTheme="minorHAnsi" w:eastAsia="Calibri" w:hAnsiTheme="minorHAnsi" w:cstheme="minorHAnsi"/>
          <w:sz w:val="24"/>
        </w:rPr>
        <w:t xml:space="preserve">vyhlášky </w:t>
      </w:r>
      <w:r w:rsidR="003A1DAA">
        <w:rPr>
          <w:rFonts w:asciiTheme="minorHAnsi" w:eastAsia="Calibri" w:hAnsiTheme="minorHAnsi" w:cstheme="minorHAnsi"/>
          <w:sz w:val="24"/>
        </w:rPr>
        <w:br/>
      </w:r>
      <w:r w:rsidR="00C665A2">
        <w:rPr>
          <w:rFonts w:asciiTheme="minorHAnsi" w:eastAsia="Calibri" w:hAnsiTheme="minorHAnsi" w:cstheme="minorHAnsi"/>
          <w:sz w:val="24"/>
        </w:rPr>
        <w:t>o inventarizaci majetku a závazků</w:t>
      </w:r>
      <w:r w:rsidR="00C665A2">
        <w:rPr>
          <w:rStyle w:val="Znakapoznpodarou"/>
          <w:rFonts w:asciiTheme="minorHAnsi" w:eastAsia="Calibri" w:hAnsiTheme="minorHAnsi" w:cstheme="minorHAnsi"/>
          <w:sz w:val="24"/>
        </w:rPr>
        <w:footnoteReference w:id="36"/>
      </w:r>
      <w:r w:rsidR="003A1DAA">
        <w:rPr>
          <w:rFonts w:asciiTheme="minorHAnsi" w:eastAsia="Calibri" w:hAnsiTheme="minorHAnsi" w:cstheme="minorHAnsi"/>
          <w:sz w:val="24"/>
        </w:rPr>
        <w:t>,</w:t>
      </w:r>
      <w:r>
        <w:rPr>
          <w:rFonts w:asciiTheme="minorHAnsi" w:eastAsia="Calibri" w:hAnsiTheme="minorHAnsi" w:cstheme="minorHAnsi"/>
          <w:sz w:val="24"/>
        </w:rPr>
        <w:t xml:space="preserve"> a v </w:t>
      </w:r>
      <w:r w:rsidR="00E6221D">
        <w:rPr>
          <w:rFonts w:asciiTheme="minorHAnsi" w:eastAsia="Calibri" w:hAnsiTheme="minorHAnsi" w:cstheme="minorHAnsi"/>
          <w:sz w:val="24"/>
        </w:rPr>
        <w:t>sedmi</w:t>
      </w:r>
      <w:r>
        <w:rPr>
          <w:rFonts w:asciiTheme="minorHAnsi" w:eastAsia="Calibri" w:hAnsiTheme="minorHAnsi" w:cstheme="minorHAnsi"/>
          <w:sz w:val="24"/>
        </w:rPr>
        <w:t xml:space="preserve"> případech ze 116 ks se majetek nenacházel na místech uvedených v inventárních soupisech.</w:t>
      </w:r>
    </w:p>
    <w:p w14:paraId="6A4F2409" w14:textId="77777777" w:rsidR="00F7261D" w:rsidRDefault="00F7261D">
      <w:pPr>
        <w:suppressAutoHyphens w:val="0"/>
        <w:spacing w:before="120" w:after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br w:type="page"/>
      </w:r>
    </w:p>
    <w:p w14:paraId="00394CD9" w14:textId="77777777" w:rsidR="00DB0638" w:rsidRDefault="00DB0638" w:rsidP="00DD1C27">
      <w:pPr>
        <w:pStyle w:val="Nadpis1"/>
        <w:rPr>
          <w:rFonts w:asciiTheme="minorHAnsi" w:hAnsiTheme="minorHAnsi" w:cstheme="minorHAnsi"/>
          <w:sz w:val="24"/>
          <w:u w:val="none"/>
        </w:rPr>
      </w:pPr>
    </w:p>
    <w:p w14:paraId="0D5D879A" w14:textId="2EC2BF80" w:rsidR="003F363F" w:rsidRPr="00A10BE1" w:rsidRDefault="00E71328" w:rsidP="00C6373C">
      <w:pPr>
        <w:pStyle w:val="Nadpis1"/>
        <w:numPr>
          <w:ilvl w:val="0"/>
          <w:numId w:val="12"/>
        </w:numPr>
        <w:ind w:left="284" w:hanging="284"/>
        <w:rPr>
          <w:rFonts w:asciiTheme="minorHAnsi" w:hAnsiTheme="minorHAnsi" w:cstheme="minorHAnsi"/>
          <w:sz w:val="24"/>
          <w:u w:val="none"/>
        </w:rPr>
      </w:pPr>
      <w:r w:rsidRPr="00A10BE1">
        <w:rPr>
          <w:rFonts w:asciiTheme="minorHAnsi" w:hAnsiTheme="minorHAnsi" w:cstheme="minorHAnsi"/>
          <w:sz w:val="24"/>
          <w:u w:val="none"/>
        </w:rPr>
        <w:t>Ne</w:t>
      </w:r>
      <w:r w:rsidR="00533018" w:rsidRPr="00A10BE1">
        <w:rPr>
          <w:rFonts w:asciiTheme="minorHAnsi" w:hAnsiTheme="minorHAnsi" w:cstheme="minorHAnsi"/>
          <w:sz w:val="24"/>
          <w:u w:val="none"/>
        </w:rPr>
        <w:t>dostatky</w:t>
      </w:r>
      <w:r w:rsidR="00B80236" w:rsidRPr="00A10BE1">
        <w:rPr>
          <w:rFonts w:asciiTheme="minorHAnsi" w:hAnsiTheme="minorHAnsi" w:cstheme="minorHAnsi"/>
          <w:sz w:val="24"/>
          <w:u w:val="none"/>
        </w:rPr>
        <w:t xml:space="preserve"> v</w:t>
      </w:r>
      <w:r w:rsidR="003F363F" w:rsidRPr="00A10BE1">
        <w:rPr>
          <w:rFonts w:asciiTheme="minorHAnsi" w:hAnsiTheme="minorHAnsi" w:cstheme="minorHAnsi"/>
          <w:sz w:val="24"/>
          <w:u w:val="none"/>
        </w:rPr>
        <w:t>nitřní</w:t>
      </w:r>
      <w:r w:rsidR="00533018" w:rsidRPr="00A10BE1">
        <w:rPr>
          <w:rFonts w:asciiTheme="minorHAnsi" w:hAnsiTheme="minorHAnsi" w:cstheme="minorHAnsi"/>
          <w:sz w:val="24"/>
          <w:u w:val="none"/>
        </w:rPr>
        <w:t>ho</w:t>
      </w:r>
      <w:r w:rsidR="003F363F" w:rsidRPr="00A10BE1">
        <w:rPr>
          <w:rFonts w:asciiTheme="minorHAnsi" w:hAnsiTheme="minorHAnsi" w:cstheme="minorHAnsi"/>
          <w:sz w:val="24"/>
          <w:u w:val="none"/>
        </w:rPr>
        <w:t xml:space="preserve"> kontrolní</w:t>
      </w:r>
      <w:r w:rsidR="00533018" w:rsidRPr="00A10BE1">
        <w:rPr>
          <w:rFonts w:asciiTheme="minorHAnsi" w:hAnsiTheme="minorHAnsi" w:cstheme="minorHAnsi"/>
          <w:sz w:val="24"/>
          <w:u w:val="none"/>
        </w:rPr>
        <w:t>ho</w:t>
      </w:r>
      <w:r w:rsidR="003F363F" w:rsidRPr="00A10BE1">
        <w:rPr>
          <w:rFonts w:asciiTheme="minorHAnsi" w:hAnsiTheme="minorHAnsi" w:cstheme="minorHAnsi"/>
          <w:sz w:val="24"/>
          <w:u w:val="none"/>
        </w:rPr>
        <w:t xml:space="preserve"> systém</w:t>
      </w:r>
      <w:r w:rsidR="00533018" w:rsidRPr="00A10BE1">
        <w:rPr>
          <w:rFonts w:asciiTheme="minorHAnsi" w:hAnsiTheme="minorHAnsi" w:cstheme="minorHAnsi"/>
          <w:sz w:val="24"/>
          <w:u w:val="none"/>
        </w:rPr>
        <w:t>u</w:t>
      </w:r>
    </w:p>
    <w:p w14:paraId="5827D950" w14:textId="5E4BB5B2" w:rsidR="00011C6C" w:rsidRDefault="00011C6C" w:rsidP="003F125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 w:rsidRPr="00011C6C">
        <w:rPr>
          <w:rFonts w:asciiTheme="minorHAnsi" w:eastAsia="Calibri" w:hAnsiTheme="minorHAnsi" w:cstheme="minorHAnsi"/>
          <w:b/>
          <w:sz w:val="24"/>
        </w:rPr>
        <w:t>Kontrolou bylo ověř</w:t>
      </w:r>
      <w:r w:rsidR="00E6221D">
        <w:rPr>
          <w:rFonts w:asciiTheme="minorHAnsi" w:eastAsia="Calibri" w:hAnsiTheme="minorHAnsi" w:cstheme="minorHAnsi"/>
          <w:b/>
          <w:sz w:val="24"/>
        </w:rPr>
        <w:t>ová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no, </w:t>
      </w:r>
      <w:r w:rsidR="00E6221D">
        <w:rPr>
          <w:rFonts w:asciiTheme="minorHAnsi" w:eastAsia="Calibri" w:hAnsiTheme="minorHAnsi" w:cstheme="minorHAnsi"/>
          <w:b/>
          <w:sz w:val="24"/>
        </w:rPr>
        <w:t>zda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="003A1DAA">
        <w:rPr>
          <w:rFonts w:asciiTheme="minorHAnsi" w:eastAsia="Calibri" w:hAnsiTheme="minorHAnsi" w:cstheme="minorHAnsi"/>
          <w:b/>
          <w:sz w:val="24"/>
        </w:rPr>
        <w:t>NG a UPM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mají vytvořený vnitřní kontrolní systém, </w:t>
      </w:r>
      <w:r w:rsidR="00B52E01">
        <w:rPr>
          <w:rFonts w:asciiTheme="minorHAnsi" w:eastAsia="Calibri" w:hAnsiTheme="minorHAnsi" w:cstheme="minorHAnsi"/>
          <w:b/>
          <w:sz w:val="24"/>
        </w:rPr>
        <w:br/>
      </w:r>
      <w:r w:rsidRPr="00011C6C">
        <w:rPr>
          <w:rFonts w:asciiTheme="minorHAnsi" w:eastAsia="Calibri" w:hAnsiTheme="minorHAnsi" w:cstheme="minorHAnsi"/>
          <w:b/>
          <w:sz w:val="24"/>
        </w:rPr>
        <w:t>v</w:t>
      </w:r>
      <w:r w:rsidR="00B52E01">
        <w:rPr>
          <w:rFonts w:asciiTheme="minorHAnsi" w:eastAsia="Calibri" w:hAnsiTheme="minorHAnsi" w:cstheme="minorHAnsi"/>
          <w:b/>
          <w:sz w:val="24"/>
        </w:rPr>
        <w:t xml:space="preserve"> 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organizační struktuře začleněný útvar interního auditu a </w:t>
      </w:r>
      <w:r w:rsidR="003A1DAA">
        <w:rPr>
          <w:rFonts w:asciiTheme="minorHAnsi" w:eastAsia="Calibri" w:hAnsiTheme="minorHAnsi" w:cstheme="minorHAnsi"/>
          <w:b/>
          <w:sz w:val="24"/>
        </w:rPr>
        <w:t>jestli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při schvalovacích postupech postupovaly v souladu se zákonem o finanční kontrole a prováděcí vyhláškou. Dále bylo zjišťováno, zda </w:t>
      </w:r>
      <w:r w:rsidR="000B7357">
        <w:rPr>
          <w:rFonts w:asciiTheme="minorHAnsi" w:eastAsia="Calibri" w:hAnsiTheme="minorHAnsi" w:cstheme="minorHAnsi"/>
          <w:b/>
          <w:sz w:val="24"/>
        </w:rPr>
        <w:t>NG a UPM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přijímají nápravná opatření k</w:t>
      </w:r>
      <w:r w:rsidR="000B7357">
        <w:rPr>
          <w:rFonts w:asciiTheme="minorHAnsi" w:eastAsia="Calibri" w:hAnsiTheme="minorHAnsi" w:cstheme="minorHAnsi"/>
          <w:b/>
          <w:sz w:val="24"/>
        </w:rPr>
        <w:t> </w:t>
      </w:r>
      <w:r w:rsidR="003A1DAA" w:rsidRPr="00011C6C">
        <w:rPr>
          <w:rFonts w:asciiTheme="minorHAnsi" w:eastAsia="Calibri" w:hAnsiTheme="minorHAnsi" w:cstheme="minorHAnsi"/>
          <w:b/>
          <w:sz w:val="24"/>
        </w:rPr>
        <w:t xml:space="preserve">nedostatkům </w:t>
      </w:r>
      <w:r w:rsidRPr="00011C6C">
        <w:rPr>
          <w:rFonts w:asciiTheme="minorHAnsi" w:eastAsia="Calibri" w:hAnsiTheme="minorHAnsi" w:cstheme="minorHAnsi"/>
          <w:b/>
          <w:sz w:val="24"/>
        </w:rPr>
        <w:t>zjištěným veřejno</w:t>
      </w:r>
      <w:r w:rsidR="00442521">
        <w:rPr>
          <w:rFonts w:asciiTheme="minorHAnsi" w:eastAsia="Calibri" w:hAnsiTheme="minorHAnsi" w:cstheme="minorHAnsi"/>
          <w:b/>
          <w:sz w:val="24"/>
        </w:rPr>
        <w:t>s</w:t>
      </w:r>
      <w:r w:rsidRPr="00011C6C">
        <w:rPr>
          <w:rFonts w:asciiTheme="minorHAnsi" w:eastAsia="Calibri" w:hAnsiTheme="minorHAnsi" w:cstheme="minorHAnsi"/>
          <w:b/>
          <w:sz w:val="24"/>
        </w:rPr>
        <w:t>právní</w:t>
      </w:r>
      <w:r w:rsidR="000B7357">
        <w:rPr>
          <w:rFonts w:asciiTheme="minorHAnsi" w:eastAsia="Calibri" w:hAnsiTheme="minorHAnsi" w:cstheme="minorHAnsi"/>
          <w:b/>
          <w:sz w:val="24"/>
        </w:rPr>
        <w:t>mi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kontrol</w:t>
      </w:r>
      <w:r w:rsidR="000B7357">
        <w:rPr>
          <w:rFonts w:asciiTheme="minorHAnsi" w:eastAsia="Calibri" w:hAnsiTheme="minorHAnsi" w:cstheme="minorHAnsi"/>
          <w:b/>
          <w:sz w:val="24"/>
        </w:rPr>
        <w:t>ami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a kontrol</w:t>
      </w:r>
      <w:r w:rsidR="000B7357">
        <w:rPr>
          <w:rFonts w:asciiTheme="minorHAnsi" w:eastAsia="Calibri" w:hAnsiTheme="minorHAnsi" w:cstheme="minorHAnsi"/>
          <w:b/>
          <w:sz w:val="24"/>
        </w:rPr>
        <w:t>ami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provedený</w:t>
      </w:r>
      <w:r w:rsidR="000B7357">
        <w:rPr>
          <w:rFonts w:asciiTheme="minorHAnsi" w:eastAsia="Calibri" w:hAnsiTheme="minorHAnsi" w:cstheme="minorHAnsi"/>
          <w:b/>
          <w:sz w:val="24"/>
        </w:rPr>
        <w:t>mi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NKÚ.</w:t>
      </w:r>
    </w:p>
    <w:p w14:paraId="0BC8BF03" w14:textId="32923CEA" w:rsidR="00E6221D" w:rsidRPr="00011C6C" w:rsidRDefault="000B7357" w:rsidP="003F125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Kontrolované p</w:t>
      </w:r>
      <w:r w:rsidR="00E6221D">
        <w:rPr>
          <w:rFonts w:asciiTheme="minorHAnsi" w:eastAsia="Calibri" w:hAnsiTheme="minorHAnsi" w:cstheme="minorHAnsi"/>
          <w:b/>
          <w:sz w:val="24"/>
        </w:rPr>
        <w:t>říspěvkové organizace zaměstnávají jediného interního auditora, což se u</w:t>
      </w:r>
      <w:r>
        <w:rPr>
          <w:rFonts w:asciiTheme="minorHAnsi" w:eastAsia="Calibri" w:hAnsiTheme="minorHAnsi" w:cstheme="minorHAnsi"/>
          <w:b/>
          <w:sz w:val="24"/>
        </w:rPr>
        <w:t> </w:t>
      </w:r>
      <w:r w:rsidR="00E6221D">
        <w:rPr>
          <w:rFonts w:asciiTheme="minorHAnsi" w:eastAsia="Calibri" w:hAnsiTheme="minorHAnsi" w:cstheme="minorHAnsi"/>
          <w:b/>
          <w:sz w:val="24"/>
        </w:rPr>
        <w:t xml:space="preserve">NG jeví jako nedostatečné </w:t>
      </w:r>
      <w:r>
        <w:rPr>
          <w:rFonts w:asciiTheme="minorHAnsi" w:eastAsia="Calibri" w:hAnsiTheme="minorHAnsi" w:cstheme="minorHAnsi"/>
          <w:b/>
          <w:sz w:val="24"/>
        </w:rPr>
        <w:t xml:space="preserve">jak </w:t>
      </w:r>
      <w:r w:rsidR="00E6221D">
        <w:rPr>
          <w:rFonts w:asciiTheme="minorHAnsi" w:eastAsia="Calibri" w:hAnsiTheme="minorHAnsi" w:cstheme="minorHAnsi"/>
          <w:b/>
          <w:sz w:val="24"/>
        </w:rPr>
        <w:t>vzhledem k její velikosti</w:t>
      </w:r>
      <w:r w:rsidR="001C0A2D">
        <w:rPr>
          <w:rFonts w:asciiTheme="minorHAnsi" w:eastAsia="Calibri" w:hAnsiTheme="minorHAnsi" w:cstheme="minorHAnsi"/>
          <w:b/>
          <w:sz w:val="24"/>
        </w:rPr>
        <w:t xml:space="preserve"> a každoroční výši rozpočtu</w:t>
      </w:r>
      <w:r>
        <w:rPr>
          <w:rFonts w:asciiTheme="minorHAnsi" w:eastAsia="Calibri" w:hAnsiTheme="minorHAnsi" w:cstheme="minorHAnsi"/>
          <w:b/>
          <w:sz w:val="24"/>
        </w:rPr>
        <w:t>, tak vzhledem k</w:t>
      </w:r>
      <w:r w:rsidR="00D22468">
        <w:rPr>
          <w:rFonts w:asciiTheme="minorHAnsi" w:eastAsia="Calibri" w:hAnsiTheme="minorHAnsi" w:cstheme="minorHAnsi"/>
          <w:b/>
          <w:sz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</w:rPr>
        <w:t xml:space="preserve">nedostatkům zjištěným </w:t>
      </w:r>
      <w:r w:rsidR="00BC6D07">
        <w:rPr>
          <w:rFonts w:asciiTheme="minorHAnsi" w:eastAsia="Calibri" w:hAnsiTheme="minorHAnsi" w:cstheme="minorHAnsi"/>
          <w:b/>
          <w:sz w:val="24"/>
        </w:rPr>
        <w:t>kontrolou NKÚ</w:t>
      </w:r>
      <w:r w:rsidR="00D22468">
        <w:rPr>
          <w:rFonts w:asciiTheme="minorHAnsi" w:eastAsia="Calibri" w:hAnsiTheme="minorHAnsi" w:cstheme="minorHAnsi"/>
          <w:b/>
          <w:sz w:val="24"/>
        </w:rPr>
        <w:t>.</w:t>
      </w:r>
    </w:p>
    <w:p w14:paraId="2F548D9D" w14:textId="7EA343F4" w:rsidR="00B638E2" w:rsidRPr="00011C6C" w:rsidRDefault="000B7357" w:rsidP="003F125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NG a UPM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 nepostupovaly v souladu se zákonem o finanční kontrole, </w:t>
      </w:r>
      <w:r>
        <w:rPr>
          <w:rFonts w:asciiTheme="minorHAnsi" w:eastAsia="Calibri" w:hAnsiTheme="minorHAnsi" w:cstheme="minorHAnsi"/>
          <w:b/>
          <w:sz w:val="24"/>
        </w:rPr>
        <w:t>neboť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</w:rPr>
        <w:t>při vynakládání peněžních prostředků</w:t>
      </w:r>
      <w:r w:rsidRPr="00011C6C">
        <w:rPr>
          <w:rFonts w:asciiTheme="minorHAnsi" w:eastAsia="Calibri" w:hAnsiTheme="minorHAnsi" w:cstheme="minorHAnsi"/>
          <w:b/>
          <w:sz w:val="24"/>
        </w:rPr>
        <w:t xml:space="preserve"> 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nedodržovaly </w:t>
      </w:r>
      <w:r w:rsidR="00D22468">
        <w:rPr>
          <w:rFonts w:asciiTheme="minorHAnsi" w:eastAsia="Calibri" w:hAnsiTheme="minorHAnsi" w:cstheme="minorHAnsi"/>
          <w:b/>
          <w:sz w:val="24"/>
        </w:rPr>
        <w:t xml:space="preserve">kontrolní a schvalovací 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postupy </w:t>
      </w:r>
      <w:r w:rsidR="00D22468">
        <w:rPr>
          <w:rFonts w:asciiTheme="minorHAnsi" w:eastAsia="Calibri" w:hAnsiTheme="minorHAnsi" w:cstheme="minorHAnsi"/>
          <w:b/>
          <w:sz w:val="24"/>
        </w:rPr>
        <w:t xml:space="preserve">stanovené 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>vnitřní</w:t>
      </w:r>
      <w:r w:rsidR="00D22468">
        <w:rPr>
          <w:rFonts w:asciiTheme="minorHAnsi" w:eastAsia="Calibri" w:hAnsiTheme="minorHAnsi" w:cstheme="minorHAnsi"/>
          <w:b/>
          <w:sz w:val="24"/>
        </w:rPr>
        <w:t>m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 kontrolní</w:t>
      </w:r>
      <w:r w:rsidR="00D22468">
        <w:rPr>
          <w:rFonts w:asciiTheme="minorHAnsi" w:eastAsia="Calibri" w:hAnsiTheme="minorHAnsi" w:cstheme="minorHAnsi"/>
          <w:b/>
          <w:sz w:val="24"/>
        </w:rPr>
        <w:t>m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 systém</w:t>
      </w:r>
      <w:r w:rsidR="00D22468">
        <w:rPr>
          <w:rFonts w:asciiTheme="minorHAnsi" w:eastAsia="Calibri" w:hAnsiTheme="minorHAnsi" w:cstheme="minorHAnsi"/>
          <w:b/>
          <w:sz w:val="24"/>
        </w:rPr>
        <w:t>em</w:t>
      </w:r>
      <w:r w:rsidR="00320712" w:rsidRPr="00011C6C">
        <w:rPr>
          <w:rFonts w:asciiTheme="minorHAnsi" w:eastAsia="Calibri" w:hAnsiTheme="minorHAnsi" w:cstheme="minorHAnsi"/>
          <w:b/>
          <w:sz w:val="24"/>
        </w:rPr>
        <w:t xml:space="preserve">. </w:t>
      </w:r>
      <w:r w:rsidR="00C87F3F" w:rsidRPr="00C87F3F">
        <w:rPr>
          <w:rFonts w:asciiTheme="minorHAnsi" w:eastAsia="Calibri" w:hAnsiTheme="minorHAnsi" w:cstheme="minorHAnsi"/>
          <w:b/>
          <w:sz w:val="24"/>
        </w:rPr>
        <w:t>Neúčelné nakládání s majetkem a</w:t>
      </w:r>
      <w:r>
        <w:rPr>
          <w:rFonts w:asciiTheme="minorHAnsi" w:eastAsia="Calibri" w:hAnsiTheme="minorHAnsi" w:cstheme="minorHAnsi"/>
          <w:b/>
          <w:sz w:val="24"/>
        </w:rPr>
        <w:t xml:space="preserve"> </w:t>
      </w:r>
      <w:r w:rsidR="00C87F3F" w:rsidRPr="00C87F3F">
        <w:rPr>
          <w:rFonts w:asciiTheme="minorHAnsi" w:eastAsia="Calibri" w:hAnsiTheme="minorHAnsi" w:cstheme="minorHAnsi"/>
          <w:b/>
          <w:sz w:val="24"/>
        </w:rPr>
        <w:t xml:space="preserve">peněžními prostředky zjištěné kontrolou NKÚ bylo důsledkem nedostatečně fungujícího vnitřního </w:t>
      </w:r>
      <w:r w:rsidR="00733A28">
        <w:rPr>
          <w:rFonts w:asciiTheme="minorHAnsi" w:eastAsia="Calibri" w:hAnsiTheme="minorHAnsi" w:cstheme="minorHAnsi"/>
          <w:b/>
          <w:sz w:val="24"/>
        </w:rPr>
        <w:t xml:space="preserve">kontrolního </w:t>
      </w:r>
      <w:r w:rsidR="00C87F3F" w:rsidRPr="00C87F3F">
        <w:rPr>
          <w:rFonts w:asciiTheme="minorHAnsi" w:eastAsia="Calibri" w:hAnsiTheme="minorHAnsi" w:cstheme="minorHAnsi"/>
          <w:b/>
          <w:sz w:val="24"/>
        </w:rPr>
        <w:t>systému.</w:t>
      </w:r>
    </w:p>
    <w:p w14:paraId="59C98A5D" w14:textId="5872F015" w:rsidR="003F1259" w:rsidRPr="003F1259" w:rsidRDefault="007B648F" w:rsidP="003F125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Kontrolované příspěvkové organizace</w:t>
      </w:r>
      <w:r w:rsidR="003F1259" w:rsidRPr="003F1259">
        <w:rPr>
          <w:rFonts w:asciiTheme="minorHAnsi" w:eastAsia="Calibri" w:hAnsiTheme="minorHAnsi" w:cstheme="minorHAnsi"/>
          <w:b/>
          <w:sz w:val="24"/>
        </w:rPr>
        <w:t xml:space="preserve"> uzavíraly smlouvy a objednávaly služby bez provedení řádného schvalovacího postupu</w:t>
      </w:r>
    </w:p>
    <w:p w14:paraId="23CDF2D2" w14:textId="69F4003C" w:rsidR="003F1259" w:rsidRPr="003F1259" w:rsidRDefault="003F1259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3F1259">
        <w:rPr>
          <w:rFonts w:asciiTheme="minorHAnsi" w:eastAsia="Calibri" w:hAnsiTheme="minorHAnsi" w:cstheme="minorHAnsi"/>
          <w:sz w:val="24"/>
        </w:rPr>
        <w:t xml:space="preserve">NG v letech 2018–2020 nepostupovala v souladu se </w:t>
      </w:r>
      <w:r w:rsidRPr="00FA62CF">
        <w:rPr>
          <w:rFonts w:asciiTheme="minorHAnsi" w:eastAsia="Calibri" w:hAnsiTheme="minorHAnsi" w:cstheme="minorHAnsi"/>
          <w:sz w:val="24"/>
        </w:rPr>
        <w:t xml:space="preserve">zákonem o finanční kontrole </w:t>
      </w:r>
      <w:r w:rsidR="00DA4D51">
        <w:rPr>
          <w:rFonts w:asciiTheme="minorHAnsi" w:eastAsia="Calibri" w:hAnsiTheme="minorHAnsi" w:cstheme="minorHAnsi"/>
          <w:sz w:val="24"/>
        </w:rPr>
        <w:t>v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Pr="00FA62CF">
        <w:rPr>
          <w:rFonts w:asciiTheme="minorHAnsi" w:eastAsia="Calibri" w:hAnsiTheme="minorHAnsi" w:cstheme="minorHAnsi"/>
          <w:sz w:val="24"/>
        </w:rPr>
        <w:t>61</w:t>
      </w:r>
      <w:r w:rsidR="000C1E70">
        <w:rPr>
          <w:rFonts w:asciiTheme="minorHAnsi" w:eastAsia="Calibri" w:hAnsiTheme="minorHAnsi" w:cstheme="minorHAnsi"/>
          <w:sz w:val="24"/>
        </w:rPr>
        <w:t> </w:t>
      </w:r>
      <w:r w:rsidR="00DA4D51">
        <w:rPr>
          <w:rFonts w:asciiTheme="minorHAnsi" w:eastAsia="Calibri" w:hAnsiTheme="minorHAnsi" w:cstheme="minorHAnsi"/>
          <w:sz w:val="24"/>
        </w:rPr>
        <w:t>zjištěných případech</w:t>
      </w:r>
      <w:r w:rsidRPr="00FA62CF">
        <w:rPr>
          <w:rFonts w:asciiTheme="minorHAnsi" w:eastAsia="Calibri" w:hAnsiTheme="minorHAnsi" w:cstheme="minorHAnsi"/>
          <w:sz w:val="24"/>
        </w:rPr>
        <w:t xml:space="preserve"> v celkové výši </w:t>
      </w:r>
      <w:r w:rsidR="00FA62CF" w:rsidRPr="00FA62CF">
        <w:rPr>
          <w:rFonts w:asciiTheme="minorHAnsi" w:eastAsia="Calibri" w:hAnsiTheme="minorHAnsi" w:cstheme="minorHAnsi"/>
          <w:sz w:val="24"/>
        </w:rPr>
        <w:t>30 502 076,20</w:t>
      </w:r>
      <w:r w:rsidRPr="00FA62CF">
        <w:rPr>
          <w:rFonts w:asciiTheme="minorHAnsi" w:eastAsia="Calibri" w:hAnsiTheme="minorHAnsi" w:cstheme="minorHAnsi"/>
          <w:sz w:val="24"/>
        </w:rPr>
        <w:t xml:space="preserve"> Kč</w:t>
      </w:r>
      <w:r w:rsidR="007B648F">
        <w:rPr>
          <w:rFonts w:asciiTheme="minorHAnsi" w:eastAsia="Calibri" w:hAnsiTheme="minorHAnsi" w:cstheme="minorHAnsi"/>
          <w:sz w:val="24"/>
        </w:rPr>
        <w:t>, neboť</w:t>
      </w:r>
      <w:r w:rsidRPr="00FA62CF">
        <w:rPr>
          <w:rFonts w:asciiTheme="minorHAnsi" w:eastAsia="Calibri" w:hAnsiTheme="minorHAnsi" w:cstheme="minorHAnsi"/>
          <w:sz w:val="24"/>
        </w:rPr>
        <w:t xml:space="preserve"> před podepsáním smlouvy či odesláním objednávky </w:t>
      </w:r>
      <w:r w:rsidR="007B648F" w:rsidRPr="003F1259">
        <w:rPr>
          <w:rFonts w:asciiTheme="minorHAnsi" w:eastAsia="Calibri" w:hAnsiTheme="minorHAnsi" w:cstheme="minorHAnsi"/>
          <w:sz w:val="24"/>
        </w:rPr>
        <w:t xml:space="preserve">neprověřila </w:t>
      </w:r>
      <w:r w:rsidRPr="00FA62CF">
        <w:rPr>
          <w:rFonts w:asciiTheme="minorHAnsi" w:eastAsia="Calibri" w:hAnsiTheme="minorHAnsi" w:cstheme="minorHAnsi"/>
          <w:sz w:val="24"/>
        </w:rPr>
        <w:t>schvalovacím</w:t>
      </w:r>
      <w:r w:rsidRPr="003F1259">
        <w:rPr>
          <w:rFonts w:asciiTheme="minorHAnsi" w:eastAsia="Calibri" w:hAnsiTheme="minorHAnsi" w:cstheme="minorHAnsi"/>
          <w:sz w:val="24"/>
        </w:rPr>
        <w:t xml:space="preserve"> postupem</w:t>
      </w:r>
      <w:r w:rsidR="007B648F">
        <w:rPr>
          <w:rFonts w:asciiTheme="minorHAnsi" w:eastAsia="Calibri" w:hAnsiTheme="minorHAnsi" w:cstheme="minorHAnsi"/>
          <w:sz w:val="24"/>
        </w:rPr>
        <w:t>, zda je</w:t>
      </w:r>
      <w:r w:rsidRPr="003F1259">
        <w:rPr>
          <w:rFonts w:asciiTheme="minorHAnsi" w:eastAsia="Calibri" w:hAnsiTheme="minorHAnsi" w:cstheme="minorHAnsi"/>
          <w:sz w:val="24"/>
        </w:rPr>
        <w:t xml:space="preserve"> připravovan</w:t>
      </w:r>
      <w:r w:rsidR="007B648F">
        <w:rPr>
          <w:rFonts w:asciiTheme="minorHAnsi" w:eastAsia="Calibri" w:hAnsiTheme="minorHAnsi" w:cstheme="minorHAnsi"/>
          <w:sz w:val="24"/>
        </w:rPr>
        <w:t>á</w:t>
      </w:r>
      <w:r w:rsidRPr="003F1259">
        <w:rPr>
          <w:rFonts w:asciiTheme="minorHAnsi" w:eastAsia="Calibri" w:hAnsiTheme="minorHAnsi" w:cstheme="minorHAnsi"/>
          <w:sz w:val="24"/>
        </w:rPr>
        <w:t xml:space="preserve"> operace </w:t>
      </w:r>
      <w:r w:rsidR="007B648F" w:rsidRPr="003F1259">
        <w:rPr>
          <w:rFonts w:asciiTheme="minorHAnsi" w:eastAsia="Calibri" w:hAnsiTheme="minorHAnsi" w:cstheme="minorHAnsi"/>
          <w:sz w:val="24"/>
        </w:rPr>
        <w:t>nezbytn</w:t>
      </w:r>
      <w:r w:rsidR="007B648F">
        <w:rPr>
          <w:rFonts w:asciiTheme="minorHAnsi" w:eastAsia="Calibri" w:hAnsiTheme="minorHAnsi" w:cstheme="minorHAnsi"/>
          <w:sz w:val="24"/>
        </w:rPr>
        <w:t>á</w:t>
      </w:r>
      <w:r w:rsidR="007B648F" w:rsidRPr="003F1259">
        <w:rPr>
          <w:rFonts w:asciiTheme="minorHAnsi" w:eastAsia="Calibri" w:hAnsiTheme="minorHAnsi" w:cstheme="minorHAnsi"/>
          <w:sz w:val="24"/>
        </w:rPr>
        <w:t xml:space="preserve"> </w:t>
      </w:r>
      <w:r w:rsidRPr="003F1259">
        <w:rPr>
          <w:rFonts w:asciiTheme="minorHAnsi" w:eastAsia="Calibri" w:hAnsiTheme="minorHAnsi" w:cstheme="minorHAnsi"/>
          <w:sz w:val="24"/>
        </w:rPr>
        <w:t>k zajištění stanovených úkolů a schválených záměrů a cílů, tzn. neprovedla předběžnou říd</w:t>
      </w:r>
      <w:r w:rsidR="007B648F">
        <w:rPr>
          <w:rFonts w:asciiTheme="minorHAnsi" w:eastAsia="Calibri" w:hAnsiTheme="minorHAnsi" w:cstheme="minorHAnsi"/>
          <w:sz w:val="24"/>
        </w:rPr>
        <w:t>i</w:t>
      </w:r>
      <w:r w:rsidRPr="003F1259">
        <w:rPr>
          <w:rFonts w:asciiTheme="minorHAnsi" w:eastAsia="Calibri" w:hAnsiTheme="minorHAnsi" w:cstheme="minorHAnsi"/>
          <w:sz w:val="24"/>
        </w:rPr>
        <w:t>cí kontrolu před vznikem závazku</w:t>
      </w:r>
      <w:r w:rsidR="002A50F2">
        <w:rPr>
          <w:rStyle w:val="Znakapoznpodarou"/>
          <w:rFonts w:asciiTheme="minorHAnsi" w:eastAsia="Calibri" w:hAnsiTheme="minorHAnsi" w:cstheme="minorHAnsi"/>
          <w:sz w:val="24"/>
        </w:rPr>
        <w:footnoteReference w:id="37"/>
      </w:r>
      <w:r w:rsidRPr="003F1259">
        <w:rPr>
          <w:rFonts w:asciiTheme="minorHAnsi" w:eastAsia="Calibri" w:hAnsiTheme="minorHAnsi" w:cstheme="minorHAnsi"/>
          <w:sz w:val="24"/>
        </w:rPr>
        <w:t>.</w:t>
      </w:r>
    </w:p>
    <w:p w14:paraId="2EE91E62" w14:textId="06FF3DF5" w:rsidR="003F1259" w:rsidRPr="003F1259" w:rsidRDefault="00243483" w:rsidP="00243483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UPM v jednom případě </w:t>
      </w:r>
      <w:r w:rsidRPr="00243483">
        <w:rPr>
          <w:rFonts w:asciiTheme="minorHAnsi" w:eastAsia="Calibri" w:hAnsiTheme="minorHAnsi" w:cstheme="minorHAnsi"/>
          <w:sz w:val="24"/>
        </w:rPr>
        <w:t xml:space="preserve">přenechalo nebytové prostory k užívání externímu subjektu </w:t>
      </w:r>
      <w:r w:rsidR="007B648F">
        <w:rPr>
          <w:rFonts w:asciiTheme="minorHAnsi" w:eastAsia="Calibri" w:hAnsiTheme="minorHAnsi" w:cstheme="minorHAnsi"/>
          <w:sz w:val="24"/>
        </w:rPr>
        <w:br/>
      </w:r>
      <w:r w:rsidRPr="00243483">
        <w:rPr>
          <w:rFonts w:asciiTheme="minorHAnsi" w:eastAsia="Calibri" w:hAnsiTheme="minorHAnsi" w:cstheme="minorHAnsi"/>
          <w:sz w:val="24"/>
        </w:rPr>
        <w:t xml:space="preserve">a nájemní </w:t>
      </w:r>
      <w:r w:rsidR="00D22468">
        <w:rPr>
          <w:rFonts w:asciiTheme="minorHAnsi" w:eastAsia="Calibri" w:hAnsiTheme="minorHAnsi" w:cstheme="minorHAnsi"/>
          <w:sz w:val="24"/>
        </w:rPr>
        <w:t>smlouvu</w:t>
      </w:r>
      <w:r w:rsidRPr="00243483">
        <w:rPr>
          <w:rFonts w:asciiTheme="minorHAnsi" w:eastAsia="Calibri" w:hAnsiTheme="minorHAnsi" w:cstheme="minorHAnsi"/>
          <w:sz w:val="24"/>
        </w:rPr>
        <w:t xml:space="preserve"> uzavřelo až </w:t>
      </w:r>
      <w:r w:rsidR="0038380D">
        <w:rPr>
          <w:rFonts w:asciiTheme="minorHAnsi" w:eastAsia="Calibri" w:hAnsiTheme="minorHAnsi" w:cstheme="minorHAnsi"/>
          <w:sz w:val="24"/>
        </w:rPr>
        <w:t>šest</w:t>
      </w:r>
      <w:r w:rsidRPr="00243483">
        <w:rPr>
          <w:rFonts w:asciiTheme="minorHAnsi" w:eastAsia="Calibri" w:hAnsiTheme="minorHAnsi" w:cstheme="minorHAnsi"/>
          <w:sz w:val="24"/>
        </w:rPr>
        <w:t xml:space="preserve"> dní po datu ukončení užívání</w:t>
      </w:r>
      <w:r w:rsidR="00FE178B">
        <w:rPr>
          <w:rFonts w:asciiTheme="minorHAnsi" w:eastAsia="Calibri" w:hAnsiTheme="minorHAnsi" w:cstheme="minorHAnsi"/>
          <w:sz w:val="24"/>
        </w:rPr>
        <w:t>. V</w:t>
      </w:r>
      <w:r>
        <w:rPr>
          <w:rFonts w:asciiTheme="minorHAnsi" w:eastAsia="Calibri" w:hAnsiTheme="minorHAnsi" w:cstheme="minorHAnsi"/>
          <w:sz w:val="24"/>
        </w:rPr>
        <w:t xml:space="preserve"> dalším případě </w:t>
      </w:r>
      <w:r w:rsidRPr="00243483">
        <w:rPr>
          <w:rFonts w:asciiTheme="minorHAnsi" w:eastAsia="Calibri" w:hAnsiTheme="minorHAnsi" w:cstheme="minorHAnsi"/>
          <w:sz w:val="24"/>
        </w:rPr>
        <w:t xml:space="preserve">přenechalo nebytové prostory k užívání externímu subjektu a nájemní </w:t>
      </w:r>
      <w:r w:rsidR="0038380D">
        <w:rPr>
          <w:rFonts w:asciiTheme="minorHAnsi" w:eastAsia="Calibri" w:hAnsiTheme="minorHAnsi" w:cstheme="minorHAnsi"/>
          <w:sz w:val="24"/>
        </w:rPr>
        <w:t>smlouvu</w:t>
      </w:r>
      <w:r w:rsidRPr="00243483">
        <w:rPr>
          <w:rFonts w:asciiTheme="minorHAnsi" w:eastAsia="Calibri" w:hAnsiTheme="minorHAnsi" w:cstheme="minorHAnsi"/>
          <w:sz w:val="24"/>
        </w:rPr>
        <w:t xml:space="preserve"> uzavřelo až</w:t>
      </w:r>
      <w:r>
        <w:rPr>
          <w:rFonts w:asciiTheme="minorHAnsi" w:eastAsia="Calibri" w:hAnsiTheme="minorHAnsi" w:cstheme="minorHAnsi"/>
          <w:sz w:val="24"/>
        </w:rPr>
        <w:t xml:space="preserve"> v poslední den konání akce. 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UPM </w:t>
      </w:r>
      <w:r w:rsidR="0038380D">
        <w:rPr>
          <w:rFonts w:asciiTheme="minorHAnsi" w:eastAsia="Calibri" w:hAnsiTheme="minorHAnsi" w:cstheme="minorHAnsi"/>
          <w:sz w:val="24"/>
        </w:rPr>
        <w:t xml:space="preserve">tak 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nepostupovalo v souladu se zákonem o finanční kontrole tím, že </w:t>
      </w:r>
      <w:r w:rsidR="007B648F" w:rsidRPr="003F1259">
        <w:rPr>
          <w:rFonts w:asciiTheme="minorHAnsi" w:eastAsia="Calibri" w:hAnsiTheme="minorHAnsi" w:cstheme="minorHAnsi"/>
          <w:sz w:val="24"/>
        </w:rPr>
        <w:t xml:space="preserve">před vznikem závazku </w:t>
      </w:r>
      <w:r w:rsidR="003F1259" w:rsidRPr="003F1259">
        <w:rPr>
          <w:rFonts w:asciiTheme="minorHAnsi" w:eastAsia="Calibri" w:hAnsiTheme="minorHAnsi" w:cstheme="minorHAnsi"/>
          <w:sz w:val="24"/>
        </w:rPr>
        <w:t>neprovedlo předběžnou říd</w:t>
      </w:r>
      <w:r w:rsidR="007B648F">
        <w:rPr>
          <w:rFonts w:asciiTheme="minorHAnsi" w:eastAsia="Calibri" w:hAnsiTheme="minorHAnsi" w:cstheme="minorHAnsi"/>
          <w:sz w:val="24"/>
        </w:rPr>
        <w:t>i</w:t>
      </w:r>
      <w:r w:rsidR="003F1259" w:rsidRPr="003F1259">
        <w:rPr>
          <w:rFonts w:asciiTheme="minorHAnsi" w:eastAsia="Calibri" w:hAnsiTheme="minorHAnsi" w:cstheme="minorHAnsi"/>
          <w:sz w:val="24"/>
        </w:rPr>
        <w:t>cí kontrolu</w:t>
      </w:r>
      <w:r w:rsidR="00AF7721">
        <w:rPr>
          <w:rFonts w:asciiTheme="minorHAnsi" w:eastAsia="Calibri" w:hAnsiTheme="minorHAnsi" w:cstheme="minorHAnsi"/>
          <w:sz w:val="24"/>
        </w:rPr>
        <w:t>, která by výše uvedeným pochybením zabránila.</w:t>
      </w:r>
    </w:p>
    <w:p w14:paraId="403F6301" w14:textId="1DD6BEB3" w:rsidR="003F1259" w:rsidRPr="003F1259" w:rsidRDefault="00B32706" w:rsidP="00C54FDF">
      <w:pPr>
        <w:spacing w:before="24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S</w:t>
      </w:r>
      <w:r w:rsidR="003F1259" w:rsidRPr="003F1259">
        <w:rPr>
          <w:rFonts w:asciiTheme="minorHAnsi" w:eastAsia="Calibri" w:hAnsiTheme="minorHAnsi" w:cstheme="minorHAnsi"/>
          <w:b/>
          <w:sz w:val="24"/>
        </w:rPr>
        <w:t xml:space="preserve">chvalovací postupy </w:t>
      </w:r>
      <w:r w:rsidR="007B648F">
        <w:rPr>
          <w:rFonts w:asciiTheme="minorHAnsi" w:eastAsia="Calibri" w:hAnsiTheme="minorHAnsi" w:cstheme="minorHAnsi"/>
          <w:b/>
          <w:sz w:val="24"/>
        </w:rPr>
        <w:t>prováděla</w:t>
      </w:r>
      <w:r>
        <w:rPr>
          <w:rFonts w:asciiTheme="minorHAnsi" w:eastAsia="Calibri" w:hAnsiTheme="minorHAnsi" w:cstheme="minorHAnsi"/>
          <w:b/>
          <w:sz w:val="24"/>
        </w:rPr>
        <w:t xml:space="preserve"> NG </w:t>
      </w:r>
      <w:r w:rsidR="003F1259" w:rsidRPr="003F1259">
        <w:rPr>
          <w:rFonts w:asciiTheme="minorHAnsi" w:eastAsia="Calibri" w:hAnsiTheme="minorHAnsi" w:cstheme="minorHAnsi"/>
          <w:b/>
          <w:sz w:val="24"/>
        </w:rPr>
        <w:t>po termínu splatnosti faktur</w:t>
      </w:r>
      <w:r>
        <w:rPr>
          <w:rFonts w:asciiTheme="minorHAnsi" w:eastAsia="Calibri" w:hAnsiTheme="minorHAnsi" w:cstheme="minorHAnsi"/>
          <w:b/>
          <w:sz w:val="24"/>
        </w:rPr>
        <w:t xml:space="preserve"> a docházelo k pozdní</w:t>
      </w:r>
      <w:r w:rsidR="007B648F">
        <w:rPr>
          <w:rFonts w:asciiTheme="minorHAnsi" w:eastAsia="Calibri" w:hAnsiTheme="minorHAnsi" w:cstheme="minorHAnsi"/>
          <w:b/>
          <w:sz w:val="24"/>
        </w:rPr>
        <w:t>m</w:t>
      </w:r>
      <w:r>
        <w:rPr>
          <w:rFonts w:asciiTheme="minorHAnsi" w:eastAsia="Calibri" w:hAnsiTheme="minorHAnsi" w:cstheme="minorHAnsi"/>
          <w:b/>
          <w:sz w:val="24"/>
        </w:rPr>
        <w:t xml:space="preserve"> úhrad</w:t>
      </w:r>
      <w:r w:rsidR="007B648F">
        <w:rPr>
          <w:rFonts w:asciiTheme="minorHAnsi" w:eastAsia="Calibri" w:hAnsiTheme="minorHAnsi" w:cstheme="minorHAnsi"/>
          <w:b/>
          <w:sz w:val="24"/>
        </w:rPr>
        <w:t>ám</w:t>
      </w:r>
    </w:p>
    <w:p w14:paraId="5AC5E930" w14:textId="3C751F81" w:rsidR="003F1259" w:rsidRPr="001934A9" w:rsidRDefault="003F1259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3F1259">
        <w:rPr>
          <w:rFonts w:asciiTheme="minorHAnsi" w:eastAsia="Calibri" w:hAnsiTheme="minorHAnsi" w:cstheme="minorHAnsi"/>
          <w:sz w:val="24"/>
        </w:rPr>
        <w:t>NG v</w:t>
      </w:r>
      <w:r w:rsidR="007B648F">
        <w:rPr>
          <w:rFonts w:asciiTheme="minorHAnsi" w:eastAsia="Calibri" w:hAnsiTheme="minorHAnsi" w:cstheme="minorHAnsi"/>
          <w:sz w:val="24"/>
        </w:rPr>
        <w:t xml:space="preserve"> </w:t>
      </w:r>
      <w:r w:rsidRPr="003F1259">
        <w:rPr>
          <w:rFonts w:asciiTheme="minorHAnsi" w:eastAsia="Calibri" w:hAnsiTheme="minorHAnsi" w:cstheme="minorHAnsi"/>
          <w:sz w:val="24"/>
        </w:rPr>
        <w:t xml:space="preserve">letech 2018–2020 </w:t>
      </w:r>
      <w:r w:rsidR="007B648F">
        <w:rPr>
          <w:rFonts w:asciiTheme="minorHAnsi" w:eastAsia="Calibri" w:hAnsiTheme="minorHAnsi" w:cstheme="minorHAnsi"/>
          <w:sz w:val="24"/>
        </w:rPr>
        <w:t xml:space="preserve">v </w:t>
      </w:r>
      <w:r w:rsidR="007B648F" w:rsidRPr="003F1259">
        <w:rPr>
          <w:rFonts w:asciiTheme="minorHAnsi" w:eastAsia="Calibri" w:hAnsiTheme="minorHAnsi" w:cstheme="minorHAnsi"/>
          <w:sz w:val="24"/>
        </w:rPr>
        <w:t>60</w:t>
      </w:r>
      <w:r w:rsidR="007B648F">
        <w:rPr>
          <w:rFonts w:asciiTheme="minorHAnsi" w:eastAsia="Calibri" w:hAnsiTheme="minorHAnsi" w:cstheme="minorHAnsi"/>
          <w:sz w:val="24"/>
        </w:rPr>
        <w:t xml:space="preserve"> zjištěných případech</w:t>
      </w:r>
      <w:r w:rsidR="007B648F" w:rsidRPr="003F1259">
        <w:rPr>
          <w:rFonts w:asciiTheme="minorHAnsi" w:eastAsia="Calibri" w:hAnsiTheme="minorHAnsi" w:cstheme="minorHAnsi"/>
          <w:sz w:val="24"/>
        </w:rPr>
        <w:t xml:space="preserve"> v celkové výši</w:t>
      </w:r>
      <w:r w:rsidR="007B648F">
        <w:rPr>
          <w:rFonts w:asciiTheme="minorHAnsi" w:eastAsia="Calibri" w:hAnsiTheme="minorHAnsi" w:cstheme="minorHAnsi"/>
          <w:sz w:val="24"/>
        </w:rPr>
        <w:t xml:space="preserve"> 37 246 304,15</w:t>
      </w:r>
      <w:r w:rsidR="007B648F" w:rsidRPr="003F1259">
        <w:rPr>
          <w:rFonts w:asciiTheme="minorHAnsi" w:eastAsia="Calibri" w:hAnsiTheme="minorHAnsi" w:cstheme="minorHAnsi"/>
          <w:sz w:val="24"/>
        </w:rPr>
        <w:t xml:space="preserve"> Kč </w:t>
      </w:r>
      <w:r w:rsidRPr="003F1259">
        <w:rPr>
          <w:rFonts w:asciiTheme="minorHAnsi" w:eastAsia="Calibri" w:hAnsiTheme="minorHAnsi" w:cstheme="minorHAnsi"/>
          <w:sz w:val="24"/>
        </w:rPr>
        <w:t>nepostupovala v souladu se zákonem o finanční kontrole</w:t>
      </w:r>
      <w:r w:rsidR="007B648F">
        <w:rPr>
          <w:rFonts w:asciiTheme="minorHAnsi" w:eastAsia="Calibri" w:hAnsiTheme="minorHAnsi" w:cstheme="minorHAnsi"/>
          <w:sz w:val="24"/>
        </w:rPr>
        <w:t>, neboť</w:t>
      </w:r>
      <w:r w:rsidRPr="003F1259">
        <w:rPr>
          <w:rFonts w:asciiTheme="minorHAnsi" w:eastAsia="Calibri" w:hAnsiTheme="minorHAnsi" w:cstheme="minorHAnsi"/>
          <w:sz w:val="24"/>
        </w:rPr>
        <w:t xml:space="preserve"> v rámci schvalovacích postupů provedla schválení příkazcem operace, hlavním účetním či oběma až po termínu splatnosti faktur, tzn. </w:t>
      </w:r>
      <w:r w:rsidR="007B648F" w:rsidRPr="003F1259">
        <w:rPr>
          <w:rFonts w:asciiTheme="minorHAnsi" w:eastAsia="Calibri" w:hAnsiTheme="minorHAnsi" w:cstheme="minorHAnsi"/>
          <w:sz w:val="24"/>
        </w:rPr>
        <w:t xml:space="preserve">při řízení veřejných výdajů </w:t>
      </w:r>
      <w:r w:rsidRPr="003F1259">
        <w:rPr>
          <w:rFonts w:asciiTheme="minorHAnsi" w:eastAsia="Calibri" w:hAnsiTheme="minorHAnsi" w:cstheme="minorHAnsi"/>
          <w:sz w:val="24"/>
        </w:rPr>
        <w:t>neprovedla předběžnou kontrolu po vzniku závazku.</w:t>
      </w:r>
    </w:p>
    <w:p w14:paraId="758FCFBE" w14:textId="41A51B6E" w:rsidR="003F1259" w:rsidRPr="00410399" w:rsidRDefault="001934A9" w:rsidP="00C54FDF">
      <w:pPr>
        <w:spacing w:before="120" w:after="0" w:line="240" w:lineRule="auto"/>
        <w:rPr>
          <w:rFonts w:ascii="Calibri" w:hAnsi="Calibri"/>
          <w:sz w:val="24"/>
        </w:rPr>
      </w:pPr>
      <w:r w:rsidRPr="001934A9">
        <w:rPr>
          <w:rFonts w:asciiTheme="minorHAnsi" w:eastAsia="Calibri" w:hAnsiTheme="minorHAnsi" w:cstheme="minorHAnsi"/>
          <w:sz w:val="24"/>
        </w:rPr>
        <w:t>Proplácením faktur po datu jejich splatnosti se NG vystavovala riziku požadavků dodavatelů služeb na úhradu úroků z prodlení a v některých případech se vystavovala riziku uplatnění smluvních sankcí</w:t>
      </w:r>
      <w:r w:rsidR="002A50F2">
        <w:rPr>
          <w:rStyle w:val="Znakapoznpodarou"/>
          <w:rFonts w:asciiTheme="minorHAnsi" w:eastAsia="Calibri" w:hAnsiTheme="minorHAnsi" w:cstheme="minorHAnsi"/>
          <w:sz w:val="24"/>
        </w:rPr>
        <w:footnoteReference w:id="38"/>
      </w:r>
      <w:r w:rsidR="003F1259" w:rsidRPr="003F1259">
        <w:rPr>
          <w:rFonts w:asciiTheme="minorHAnsi" w:eastAsia="Calibri" w:hAnsiTheme="minorHAnsi" w:cstheme="minorHAnsi"/>
          <w:sz w:val="24"/>
        </w:rPr>
        <w:t>. Kontrol</w:t>
      </w:r>
      <w:r w:rsidR="00996BDB">
        <w:rPr>
          <w:rFonts w:asciiTheme="minorHAnsi" w:eastAsia="Calibri" w:hAnsiTheme="minorHAnsi" w:cstheme="minorHAnsi"/>
          <w:sz w:val="24"/>
        </w:rPr>
        <w:t>a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</w:t>
      </w:r>
      <w:r w:rsidR="00996BDB">
        <w:rPr>
          <w:rFonts w:asciiTheme="minorHAnsi" w:eastAsia="Calibri" w:hAnsiTheme="minorHAnsi" w:cstheme="minorHAnsi"/>
          <w:sz w:val="24"/>
        </w:rPr>
        <w:t xml:space="preserve">zjistila, že </w:t>
      </w:r>
      <w:r w:rsidR="00DA4D51">
        <w:rPr>
          <w:rFonts w:asciiTheme="minorHAnsi" w:eastAsia="Calibri" w:hAnsiTheme="minorHAnsi" w:cstheme="minorHAnsi"/>
          <w:sz w:val="24"/>
        </w:rPr>
        <w:t>v 50 případech</w:t>
      </w:r>
      <w:r w:rsidR="00DA4D51" w:rsidRPr="003F1259">
        <w:rPr>
          <w:rFonts w:asciiTheme="minorHAnsi" w:eastAsia="Calibri" w:hAnsiTheme="minorHAnsi" w:cstheme="minorHAnsi"/>
          <w:sz w:val="24"/>
        </w:rPr>
        <w:t xml:space="preserve"> v souhrnné výši </w:t>
      </w:r>
      <w:r w:rsidR="00DA4D51">
        <w:rPr>
          <w:rFonts w:asciiTheme="minorHAnsi" w:eastAsia="Calibri" w:hAnsiTheme="minorHAnsi" w:cstheme="minorHAnsi"/>
          <w:sz w:val="24"/>
        </w:rPr>
        <w:t xml:space="preserve">27 229 089,24 </w:t>
      </w:r>
      <w:r w:rsidR="00DA4D51" w:rsidRPr="003F1259">
        <w:rPr>
          <w:rFonts w:asciiTheme="minorHAnsi" w:eastAsia="Calibri" w:hAnsiTheme="minorHAnsi" w:cstheme="minorHAnsi"/>
          <w:sz w:val="24"/>
        </w:rPr>
        <w:t xml:space="preserve">Kč </w:t>
      </w:r>
      <w:r w:rsidR="003F1259" w:rsidRPr="003F1259">
        <w:rPr>
          <w:rFonts w:asciiTheme="minorHAnsi" w:eastAsia="Calibri" w:hAnsiTheme="minorHAnsi" w:cstheme="minorHAnsi"/>
          <w:sz w:val="24"/>
        </w:rPr>
        <w:lastRenderedPageBreak/>
        <w:t>došlo k</w:t>
      </w:r>
      <w:r w:rsidR="00996BDB">
        <w:rPr>
          <w:rFonts w:asciiTheme="minorHAnsi" w:eastAsia="Calibri" w:hAnsiTheme="minorHAnsi" w:cstheme="minorHAnsi"/>
          <w:sz w:val="24"/>
        </w:rPr>
        <w:t xml:space="preserve"> </w:t>
      </w:r>
      <w:r w:rsidR="003F1259" w:rsidRPr="003F1259">
        <w:rPr>
          <w:rFonts w:asciiTheme="minorHAnsi" w:eastAsia="Calibri" w:hAnsiTheme="minorHAnsi" w:cstheme="minorHAnsi"/>
          <w:sz w:val="24"/>
        </w:rPr>
        <w:t>úhradě faktur po jejich splatnosti</w:t>
      </w:r>
      <w:r w:rsidR="002A50F2">
        <w:rPr>
          <w:rStyle w:val="Znakapoznpodarou"/>
          <w:rFonts w:asciiTheme="minorHAnsi" w:eastAsia="Calibri" w:hAnsiTheme="minorHAnsi" w:cstheme="minorHAnsi"/>
          <w:sz w:val="24"/>
        </w:rPr>
        <w:footnoteReference w:id="39"/>
      </w:r>
      <w:r w:rsidR="003F1259" w:rsidRPr="003F1259">
        <w:rPr>
          <w:rFonts w:asciiTheme="minorHAnsi" w:eastAsia="Calibri" w:hAnsiTheme="minorHAnsi" w:cstheme="minorHAnsi"/>
          <w:sz w:val="24"/>
        </w:rPr>
        <w:t>. NG nepostupovala v</w:t>
      </w:r>
      <w:r w:rsidR="00996BDB">
        <w:rPr>
          <w:rFonts w:asciiTheme="minorHAnsi" w:eastAsia="Calibri" w:hAnsiTheme="minorHAnsi" w:cstheme="minorHAnsi"/>
          <w:sz w:val="24"/>
        </w:rPr>
        <w:t xml:space="preserve"> </w:t>
      </w:r>
      <w:r w:rsidR="003F1259" w:rsidRPr="003F1259">
        <w:rPr>
          <w:rFonts w:asciiTheme="minorHAnsi" w:eastAsia="Calibri" w:hAnsiTheme="minorHAnsi" w:cstheme="minorHAnsi"/>
          <w:sz w:val="24"/>
        </w:rPr>
        <w:t>souladu s</w:t>
      </w:r>
      <w:r w:rsidR="00996BDB">
        <w:rPr>
          <w:rFonts w:asciiTheme="minorHAnsi" w:eastAsia="Calibri" w:hAnsiTheme="minorHAnsi" w:cstheme="minorHAnsi"/>
          <w:sz w:val="24"/>
        </w:rPr>
        <w:t xml:space="preserve"> </w:t>
      </w:r>
      <w:r w:rsidR="003F1259" w:rsidRPr="003F1259">
        <w:rPr>
          <w:rFonts w:asciiTheme="minorHAnsi" w:eastAsia="Calibri" w:hAnsiTheme="minorHAnsi" w:cstheme="minorHAnsi"/>
          <w:sz w:val="24"/>
        </w:rPr>
        <w:t>ustanovením</w:t>
      </w:r>
      <w:r w:rsidR="00C35439">
        <w:rPr>
          <w:rFonts w:asciiTheme="minorHAnsi" w:eastAsia="Calibri" w:hAnsiTheme="minorHAnsi" w:cstheme="minorHAnsi"/>
          <w:sz w:val="24"/>
        </w:rPr>
        <w:t xml:space="preserve"> zákona o finanční kontrole</w:t>
      </w:r>
      <w:r w:rsidR="00C35439">
        <w:rPr>
          <w:rStyle w:val="Znakapoznpodarou"/>
          <w:rFonts w:asciiTheme="minorHAnsi" w:eastAsia="Calibri" w:hAnsiTheme="minorHAnsi" w:cstheme="minorHAnsi"/>
          <w:sz w:val="24"/>
        </w:rPr>
        <w:footnoteReference w:id="40"/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. </w:t>
      </w:r>
    </w:p>
    <w:p w14:paraId="2921AF26" w14:textId="761A234C" w:rsidR="003F1259" w:rsidRPr="003F1259" w:rsidRDefault="00996BDB" w:rsidP="003F125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Kontrolované p</w:t>
      </w:r>
      <w:r w:rsidR="00441907">
        <w:rPr>
          <w:rFonts w:asciiTheme="minorHAnsi" w:eastAsia="Calibri" w:hAnsiTheme="minorHAnsi" w:cstheme="minorHAnsi"/>
          <w:b/>
          <w:sz w:val="24"/>
        </w:rPr>
        <w:t>říspěvkov</w:t>
      </w:r>
      <w:r w:rsidR="00B32706">
        <w:rPr>
          <w:rFonts w:asciiTheme="minorHAnsi" w:eastAsia="Calibri" w:hAnsiTheme="minorHAnsi" w:cstheme="minorHAnsi"/>
          <w:b/>
          <w:sz w:val="24"/>
        </w:rPr>
        <w:t>é</w:t>
      </w:r>
      <w:r w:rsidR="00441907">
        <w:rPr>
          <w:rFonts w:asciiTheme="minorHAnsi" w:eastAsia="Calibri" w:hAnsiTheme="minorHAnsi" w:cstheme="minorHAnsi"/>
          <w:b/>
          <w:sz w:val="24"/>
        </w:rPr>
        <w:t xml:space="preserve"> organizac</w:t>
      </w:r>
      <w:r w:rsidR="00B32706">
        <w:rPr>
          <w:rFonts w:asciiTheme="minorHAnsi" w:eastAsia="Calibri" w:hAnsiTheme="minorHAnsi" w:cstheme="minorHAnsi"/>
          <w:b/>
          <w:sz w:val="24"/>
        </w:rPr>
        <w:t>e</w:t>
      </w:r>
      <w:r w:rsidR="00441907">
        <w:rPr>
          <w:rFonts w:asciiTheme="minorHAnsi" w:eastAsia="Calibri" w:hAnsiTheme="minorHAnsi" w:cstheme="minorHAnsi"/>
          <w:b/>
          <w:sz w:val="24"/>
        </w:rPr>
        <w:t xml:space="preserve"> </w:t>
      </w:r>
      <w:r w:rsidR="00B32706">
        <w:rPr>
          <w:rFonts w:asciiTheme="minorHAnsi" w:eastAsia="Calibri" w:hAnsiTheme="minorHAnsi" w:cstheme="minorHAnsi"/>
          <w:b/>
          <w:sz w:val="24"/>
        </w:rPr>
        <w:t xml:space="preserve">nezajistily </w:t>
      </w:r>
      <w:r w:rsidR="00441907">
        <w:rPr>
          <w:rFonts w:asciiTheme="minorHAnsi" w:eastAsia="Calibri" w:hAnsiTheme="minorHAnsi" w:cstheme="minorHAnsi"/>
          <w:b/>
          <w:sz w:val="24"/>
        </w:rPr>
        <w:t>správn</w:t>
      </w:r>
      <w:r w:rsidR="00B32706">
        <w:rPr>
          <w:rFonts w:asciiTheme="minorHAnsi" w:eastAsia="Calibri" w:hAnsiTheme="minorHAnsi" w:cstheme="minorHAnsi"/>
          <w:b/>
          <w:sz w:val="24"/>
        </w:rPr>
        <w:t>é fungování</w:t>
      </w:r>
      <w:r w:rsidR="00441907" w:rsidRPr="00441907">
        <w:rPr>
          <w:rFonts w:asciiTheme="minorHAnsi" w:eastAsia="Calibri" w:hAnsiTheme="minorHAnsi" w:cstheme="minorHAnsi"/>
          <w:b/>
          <w:sz w:val="24"/>
        </w:rPr>
        <w:t xml:space="preserve"> </w:t>
      </w:r>
      <w:r w:rsidR="00441907">
        <w:rPr>
          <w:rFonts w:asciiTheme="minorHAnsi" w:eastAsia="Calibri" w:hAnsiTheme="minorHAnsi" w:cstheme="minorHAnsi"/>
          <w:b/>
          <w:sz w:val="24"/>
        </w:rPr>
        <w:t>i</w:t>
      </w:r>
      <w:r w:rsidR="00441907" w:rsidRPr="003F1259">
        <w:rPr>
          <w:rFonts w:asciiTheme="minorHAnsi" w:eastAsia="Calibri" w:hAnsiTheme="minorHAnsi" w:cstheme="minorHAnsi"/>
          <w:b/>
          <w:sz w:val="24"/>
        </w:rPr>
        <w:t>nterní</w:t>
      </w:r>
      <w:r w:rsidR="00B32706">
        <w:rPr>
          <w:rFonts w:asciiTheme="minorHAnsi" w:eastAsia="Calibri" w:hAnsiTheme="minorHAnsi" w:cstheme="minorHAnsi"/>
          <w:b/>
          <w:sz w:val="24"/>
        </w:rPr>
        <w:t>ho</w:t>
      </w:r>
      <w:r w:rsidR="00441907" w:rsidRPr="003F1259">
        <w:rPr>
          <w:rFonts w:asciiTheme="minorHAnsi" w:eastAsia="Calibri" w:hAnsiTheme="minorHAnsi" w:cstheme="minorHAnsi"/>
          <w:b/>
          <w:sz w:val="24"/>
        </w:rPr>
        <w:t xml:space="preserve"> audit</w:t>
      </w:r>
      <w:r w:rsidR="00B32706">
        <w:rPr>
          <w:rFonts w:asciiTheme="minorHAnsi" w:eastAsia="Calibri" w:hAnsiTheme="minorHAnsi" w:cstheme="minorHAnsi"/>
          <w:b/>
          <w:sz w:val="24"/>
        </w:rPr>
        <w:t>u</w:t>
      </w:r>
    </w:p>
    <w:p w14:paraId="0C4919DA" w14:textId="42458D5C" w:rsidR="003F1259" w:rsidRPr="003F1259" w:rsidRDefault="003F1259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3F1259">
        <w:rPr>
          <w:rFonts w:asciiTheme="minorHAnsi" w:eastAsia="Calibri" w:hAnsiTheme="minorHAnsi" w:cstheme="minorHAnsi"/>
          <w:sz w:val="24"/>
        </w:rPr>
        <w:t xml:space="preserve">Kontrolou bylo zjištěno, že NG neevidovala žádné písemné doklady, </w:t>
      </w:r>
      <w:r w:rsidR="00996BDB">
        <w:rPr>
          <w:rFonts w:asciiTheme="minorHAnsi" w:eastAsia="Calibri" w:hAnsiTheme="minorHAnsi" w:cstheme="minorHAnsi"/>
          <w:sz w:val="24"/>
        </w:rPr>
        <w:t>kterými</w:t>
      </w:r>
      <w:r w:rsidRPr="003F1259">
        <w:rPr>
          <w:rFonts w:asciiTheme="minorHAnsi" w:eastAsia="Calibri" w:hAnsiTheme="minorHAnsi" w:cstheme="minorHAnsi"/>
          <w:sz w:val="24"/>
        </w:rPr>
        <w:t xml:space="preserve"> by mohla prokázat</w:t>
      </w:r>
      <w:r w:rsidR="00996BDB">
        <w:rPr>
          <w:rFonts w:asciiTheme="minorHAnsi" w:eastAsia="Calibri" w:hAnsiTheme="minorHAnsi" w:cstheme="minorHAnsi"/>
          <w:sz w:val="24"/>
        </w:rPr>
        <w:t>, že</w:t>
      </w:r>
      <w:r w:rsidRPr="003F1259">
        <w:rPr>
          <w:rFonts w:asciiTheme="minorHAnsi" w:eastAsia="Calibri" w:hAnsiTheme="minorHAnsi" w:cstheme="minorHAnsi"/>
          <w:sz w:val="24"/>
        </w:rPr>
        <w:t xml:space="preserve"> </w:t>
      </w:r>
      <w:r w:rsidR="00996BDB" w:rsidRPr="003F1259">
        <w:rPr>
          <w:rFonts w:asciiTheme="minorHAnsi" w:eastAsia="Calibri" w:hAnsiTheme="minorHAnsi" w:cstheme="minorHAnsi"/>
          <w:sz w:val="24"/>
        </w:rPr>
        <w:t xml:space="preserve">generální ředitel </w:t>
      </w:r>
      <w:r w:rsidRPr="003F1259">
        <w:rPr>
          <w:rFonts w:asciiTheme="minorHAnsi" w:eastAsia="Calibri" w:hAnsiTheme="minorHAnsi" w:cstheme="minorHAnsi"/>
          <w:sz w:val="24"/>
        </w:rPr>
        <w:t>projedn</w:t>
      </w:r>
      <w:r w:rsidR="00996BDB">
        <w:rPr>
          <w:rFonts w:asciiTheme="minorHAnsi" w:eastAsia="Calibri" w:hAnsiTheme="minorHAnsi" w:cstheme="minorHAnsi"/>
          <w:sz w:val="24"/>
        </w:rPr>
        <w:t>al</w:t>
      </w:r>
      <w:r w:rsidRPr="003F1259">
        <w:rPr>
          <w:rFonts w:asciiTheme="minorHAnsi" w:eastAsia="Calibri" w:hAnsiTheme="minorHAnsi" w:cstheme="minorHAnsi"/>
          <w:sz w:val="24"/>
        </w:rPr>
        <w:t xml:space="preserve"> a schvál</w:t>
      </w:r>
      <w:r w:rsidR="00996BDB">
        <w:rPr>
          <w:rFonts w:asciiTheme="minorHAnsi" w:eastAsia="Calibri" w:hAnsiTheme="minorHAnsi" w:cstheme="minorHAnsi"/>
          <w:sz w:val="24"/>
        </w:rPr>
        <w:t>il</w:t>
      </w:r>
      <w:r w:rsidRPr="003F1259">
        <w:rPr>
          <w:rFonts w:asciiTheme="minorHAnsi" w:eastAsia="Calibri" w:hAnsiTheme="minorHAnsi" w:cstheme="minorHAnsi"/>
          <w:sz w:val="24"/>
        </w:rPr>
        <w:t xml:space="preserve"> střednědob</w:t>
      </w:r>
      <w:r w:rsidR="00996BDB">
        <w:rPr>
          <w:rFonts w:asciiTheme="minorHAnsi" w:eastAsia="Calibri" w:hAnsiTheme="minorHAnsi" w:cstheme="minorHAnsi"/>
          <w:sz w:val="24"/>
        </w:rPr>
        <w:t>é</w:t>
      </w:r>
      <w:r w:rsidRPr="003F1259">
        <w:rPr>
          <w:rFonts w:asciiTheme="minorHAnsi" w:eastAsia="Calibri" w:hAnsiTheme="minorHAnsi" w:cstheme="minorHAnsi"/>
          <w:sz w:val="24"/>
        </w:rPr>
        <w:t xml:space="preserve"> plán</w:t>
      </w:r>
      <w:r w:rsidR="00996BDB">
        <w:rPr>
          <w:rFonts w:asciiTheme="minorHAnsi" w:eastAsia="Calibri" w:hAnsiTheme="minorHAnsi" w:cstheme="minorHAnsi"/>
          <w:sz w:val="24"/>
        </w:rPr>
        <w:t>y</w:t>
      </w:r>
      <w:r w:rsidRPr="003F1259">
        <w:rPr>
          <w:rFonts w:asciiTheme="minorHAnsi" w:eastAsia="Calibri" w:hAnsiTheme="minorHAnsi" w:cstheme="minorHAnsi"/>
          <w:sz w:val="24"/>
        </w:rPr>
        <w:t xml:space="preserve"> kontrol a schvál</w:t>
      </w:r>
      <w:r w:rsidR="00996BDB">
        <w:rPr>
          <w:rFonts w:asciiTheme="minorHAnsi" w:eastAsia="Calibri" w:hAnsiTheme="minorHAnsi" w:cstheme="minorHAnsi"/>
          <w:sz w:val="24"/>
        </w:rPr>
        <w:t>il</w:t>
      </w:r>
      <w:r w:rsidRPr="003F1259">
        <w:rPr>
          <w:rFonts w:asciiTheme="minorHAnsi" w:eastAsia="Calibri" w:hAnsiTheme="minorHAnsi" w:cstheme="minorHAnsi"/>
          <w:sz w:val="24"/>
        </w:rPr>
        <w:t xml:space="preserve"> roční plán akcí interního auditu pro rok 2018. Roční plány akcí interního auditu neobsahovaly</w:t>
      </w:r>
      <w:r w:rsidR="0077226C">
        <w:rPr>
          <w:rFonts w:asciiTheme="minorHAnsi" w:eastAsia="Calibri" w:hAnsiTheme="minorHAnsi" w:cstheme="minorHAnsi"/>
          <w:sz w:val="24"/>
        </w:rPr>
        <w:t xml:space="preserve"> upřesnění</w:t>
      </w:r>
      <w:r w:rsidRPr="003F1259">
        <w:rPr>
          <w:rFonts w:asciiTheme="minorHAnsi" w:eastAsia="Calibri" w:hAnsiTheme="minorHAnsi" w:cstheme="minorHAnsi"/>
          <w:sz w:val="24"/>
        </w:rPr>
        <w:t xml:space="preserve"> personální</w:t>
      </w:r>
      <w:r w:rsidR="0038380D">
        <w:rPr>
          <w:rFonts w:asciiTheme="minorHAnsi" w:eastAsia="Calibri" w:hAnsiTheme="minorHAnsi" w:cstheme="minorHAnsi"/>
          <w:sz w:val="24"/>
        </w:rPr>
        <w:t>ho</w:t>
      </w:r>
      <w:r w:rsidRPr="003F1259">
        <w:rPr>
          <w:rFonts w:asciiTheme="minorHAnsi" w:eastAsia="Calibri" w:hAnsiTheme="minorHAnsi" w:cstheme="minorHAnsi"/>
          <w:sz w:val="24"/>
        </w:rPr>
        <w:t xml:space="preserve"> zajištění, věcné zaměření </w:t>
      </w:r>
      <w:r w:rsidR="00996BDB">
        <w:rPr>
          <w:rFonts w:asciiTheme="minorHAnsi" w:eastAsia="Calibri" w:hAnsiTheme="minorHAnsi" w:cstheme="minorHAnsi"/>
          <w:sz w:val="24"/>
        </w:rPr>
        <w:t>ani</w:t>
      </w:r>
      <w:r w:rsidRPr="003F1259">
        <w:rPr>
          <w:rFonts w:asciiTheme="minorHAnsi" w:eastAsia="Calibri" w:hAnsiTheme="minorHAnsi" w:cstheme="minorHAnsi"/>
          <w:sz w:val="24"/>
        </w:rPr>
        <w:t xml:space="preserve"> úkoly v metodické a konzultační činnosti. </w:t>
      </w:r>
    </w:p>
    <w:p w14:paraId="6B7179E3" w14:textId="59E2420A" w:rsidR="003F1259" w:rsidRPr="003F1259" w:rsidRDefault="00875A4F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NG nedoložila</w:t>
      </w:r>
      <w:r w:rsidR="00857842">
        <w:rPr>
          <w:rFonts w:asciiTheme="minorHAnsi" w:eastAsia="Calibri" w:hAnsiTheme="minorHAnsi" w:cstheme="minorHAnsi"/>
          <w:sz w:val="24"/>
        </w:rPr>
        <w:t xml:space="preserve"> zprávy o </w:t>
      </w:r>
      <w:r>
        <w:rPr>
          <w:rFonts w:asciiTheme="minorHAnsi" w:eastAsia="Calibri" w:hAnsiTheme="minorHAnsi" w:cstheme="minorHAnsi"/>
          <w:sz w:val="24"/>
        </w:rPr>
        <w:t>provedení interních auditů v kontrolovaném období</w:t>
      </w:r>
      <w:r w:rsidR="00857842">
        <w:rPr>
          <w:rFonts w:asciiTheme="minorHAnsi" w:eastAsia="Calibri" w:hAnsiTheme="minorHAnsi" w:cstheme="minorHAnsi"/>
          <w:sz w:val="24"/>
        </w:rPr>
        <w:t>.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857842">
        <w:rPr>
          <w:rFonts w:asciiTheme="minorHAnsi" w:eastAsia="Calibri" w:hAnsiTheme="minorHAnsi" w:cstheme="minorHAnsi"/>
          <w:sz w:val="24"/>
        </w:rPr>
        <w:t>N</w:t>
      </w:r>
      <w:r>
        <w:rPr>
          <w:rFonts w:asciiTheme="minorHAnsi" w:eastAsia="Calibri" w:hAnsiTheme="minorHAnsi" w:cstheme="minorHAnsi"/>
          <w:sz w:val="24"/>
        </w:rPr>
        <w:t xml:space="preserve">ení tedy zřejmé, </w:t>
      </w:r>
      <w:r w:rsidR="00763AD6">
        <w:rPr>
          <w:rFonts w:asciiTheme="minorHAnsi" w:eastAsia="Calibri" w:hAnsiTheme="minorHAnsi" w:cstheme="minorHAnsi"/>
          <w:sz w:val="24"/>
        </w:rPr>
        <w:t>zda</w:t>
      </w:r>
      <w:r>
        <w:rPr>
          <w:rFonts w:asciiTheme="minorHAnsi" w:eastAsia="Calibri" w:hAnsiTheme="minorHAnsi" w:cstheme="minorHAnsi"/>
          <w:sz w:val="24"/>
        </w:rPr>
        <w:t xml:space="preserve"> NG interní audity prováděla. </w:t>
      </w:r>
      <w:r w:rsidR="003F1259" w:rsidRPr="003F1259">
        <w:rPr>
          <w:rFonts w:asciiTheme="minorHAnsi" w:eastAsia="Calibri" w:hAnsiTheme="minorHAnsi" w:cstheme="minorHAnsi"/>
          <w:sz w:val="24"/>
        </w:rPr>
        <w:t>NG</w:t>
      </w:r>
      <w:r>
        <w:rPr>
          <w:rFonts w:asciiTheme="minorHAnsi" w:eastAsia="Calibri" w:hAnsiTheme="minorHAnsi" w:cstheme="minorHAnsi"/>
          <w:sz w:val="24"/>
        </w:rPr>
        <w:t xml:space="preserve"> tak nemohla </w:t>
      </w:r>
      <w:r w:rsidR="003F1259" w:rsidRPr="003F1259">
        <w:rPr>
          <w:rFonts w:asciiTheme="minorHAnsi" w:eastAsia="Calibri" w:hAnsiTheme="minorHAnsi" w:cstheme="minorHAnsi"/>
          <w:sz w:val="24"/>
        </w:rPr>
        <w:t>přijí</w:t>
      </w:r>
      <w:r>
        <w:rPr>
          <w:rFonts w:asciiTheme="minorHAnsi" w:eastAsia="Calibri" w:hAnsiTheme="minorHAnsi" w:cstheme="minorHAnsi"/>
          <w:sz w:val="24"/>
        </w:rPr>
        <w:t>mat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opatření </w:t>
      </w:r>
      <w:r w:rsidR="00857842">
        <w:rPr>
          <w:rFonts w:asciiTheme="minorHAnsi" w:eastAsia="Calibri" w:hAnsiTheme="minorHAnsi" w:cstheme="minorHAnsi"/>
          <w:sz w:val="24"/>
        </w:rPr>
        <w:t xml:space="preserve">k zefektivnění vnitřního kontrolního systému a ke zkvalitnění </w:t>
      </w:r>
      <w:r w:rsidR="00595E2A">
        <w:rPr>
          <w:rFonts w:asciiTheme="minorHAnsi" w:eastAsia="Calibri" w:hAnsiTheme="minorHAnsi" w:cstheme="minorHAnsi"/>
          <w:sz w:val="24"/>
        </w:rPr>
        <w:t>procesů a postupů</w:t>
      </w:r>
      <w:r w:rsidR="002E310D">
        <w:rPr>
          <w:rFonts w:asciiTheme="minorHAnsi" w:eastAsia="Calibri" w:hAnsiTheme="minorHAnsi" w:cstheme="minorHAnsi"/>
          <w:sz w:val="24"/>
        </w:rPr>
        <w:t xml:space="preserve"> zde</w:t>
      </w:r>
      <w:r w:rsidR="00595E2A">
        <w:rPr>
          <w:rFonts w:asciiTheme="minorHAnsi" w:eastAsia="Calibri" w:hAnsiTheme="minorHAnsi" w:cstheme="minorHAnsi"/>
          <w:sz w:val="24"/>
        </w:rPr>
        <w:t xml:space="preserve"> probíhajících</w:t>
      </w:r>
      <w:r w:rsidR="00857842">
        <w:rPr>
          <w:rFonts w:asciiTheme="minorHAnsi" w:eastAsia="Calibri" w:hAnsiTheme="minorHAnsi" w:cstheme="minorHAnsi"/>
          <w:sz w:val="24"/>
        </w:rPr>
        <w:t>.</w:t>
      </w:r>
    </w:p>
    <w:p w14:paraId="7B5DF46B" w14:textId="77777777" w:rsidR="00A578BA" w:rsidRPr="008E4D75" w:rsidRDefault="00A578BA" w:rsidP="00A578BA">
      <w:pPr>
        <w:spacing w:before="120" w:line="20" w:lineRule="atLeast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>NG nevede elektronickou spisovou službu ani po 17 letech od účinnosti zákona o archivnictví a spisové službě</w:t>
      </w:r>
      <w:r>
        <w:rPr>
          <w:rStyle w:val="Znakapoznpodarou"/>
          <w:rFonts w:asciiTheme="minorHAnsi" w:eastAsia="Calibri" w:hAnsiTheme="minorHAnsi" w:cstheme="minorHAnsi"/>
          <w:sz w:val="24"/>
        </w:rPr>
        <w:footnoteReference w:id="41"/>
      </w:r>
      <w:r w:rsidRPr="008E4D75">
        <w:rPr>
          <w:rFonts w:asciiTheme="minorHAnsi" w:eastAsia="Calibri" w:hAnsiTheme="minorHAnsi" w:cstheme="minorHAnsi"/>
          <w:sz w:val="24"/>
        </w:rPr>
        <w:t>.</w:t>
      </w:r>
      <w:r>
        <w:rPr>
          <w:rFonts w:asciiTheme="minorHAnsi" w:eastAsia="Calibri" w:hAnsiTheme="minorHAnsi" w:cstheme="minorHAnsi"/>
          <w:sz w:val="24"/>
        </w:rPr>
        <w:t xml:space="preserve"> Tento zákon byl schválen</w:t>
      </w:r>
      <w:r w:rsidRPr="008E4D75">
        <w:rPr>
          <w:rFonts w:asciiTheme="minorHAnsi" w:eastAsia="Calibri" w:hAnsiTheme="minorHAnsi" w:cstheme="minorHAnsi"/>
          <w:sz w:val="24"/>
        </w:rPr>
        <w:t xml:space="preserve"> 30. 6. 2004</w:t>
      </w:r>
      <w:r>
        <w:rPr>
          <w:rFonts w:asciiTheme="minorHAnsi" w:eastAsia="Calibri" w:hAnsiTheme="minorHAnsi" w:cstheme="minorHAnsi"/>
          <w:sz w:val="24"/>
        </w:rPr>
        <w:t xml:space="preserve"> a </w:t>
      </w:r>
      <w:r w:rsidRPr="008E4D75">
        <w:rPr>
          <w:rFonts w:asciiTheme="minorHAnsi" w:eastAsia="Calibri" w:hAnsiTheme="minorHAnsi" w:cstheme="minorHAnsi"/>
          <w:sz w:val="24"/>
        </w:rPr>
        <w:t xml:space="preserve">nabyl účinnosti dne 1. 1. 2005. </w:t>
      </w:r>
    </w:p>
    <w:p w14:paraId="5E76AFEB" w14:textId="057012B5" w:rsidR="003F1259" w:rsidRPr="003F1259" w:rsidRDefault="003F1259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3F1259">
        <w:rPr>
          <w:rFonts w:asciiTheme="minorHAnsi" w:eastAsia="Calibri" w:hAnsiTheme="minorHAnsi" w:cstheme="minorHAnsi"/>
          <w:sz w:val="24"/>
        </w:rPr>
        <w:t>UPM nemělo v celém kontrolovaném období vnitřní dokument upravující podpisové vzory</w:t>
      </w:r>
      <w:r w:rsidR="00996BDB">
        <w:rPr>
          <w:rFonts w:asciiTheme="minorHAnsi" w:eastAsia="Calibri" w:hAnsiTheme="minorHAnsi" w:cstheme="minorHAnsi"/>
          <w:sz w:val="24"/>
        </w:rPr>
        <w:t>,</w:t>
      </w:r>
      <w:r w:rsidRPr="003F1259">
        <w:rPr>
          <w:rFonts w:asciiTheme="minorHAnsi" w:eastAsia="Calibri" w:hAnsiTheme="minorHAnsi" w:cstheme="minorHAnsi"/>
          <w:sz w:val="24"/>
        </w:rPr>
        <w:t xml:space="preserve"> přestože na něj odkazovaly jiné vnitřní předpisy. Vnitřní předpisy obsahují nepřesné názvy</w:t>
      </w:r>
      <w:r w:rsidR="00D766A0">
        <w:rPr>
          <w:rFonts w:asciiTheme="minorHAnsi" w:eastAsia="Calibri" w:hAnsiTheme="minorHAnsi" w:cstheme="minorHAnsi"/>
          <w:sz w:val="24"/>
        </w:rPr>
        <w:t xml:space="preserve"> </w:t>
      </w:r>
      <w:r w:rsidRPr="003F1259">
        <w:rPr>
          <w:rFonts w:asciiTheme="minorHAnsi" w:eastAsia="Calibri" w:hAnsiTheme="minorHAnsi" w:cstheme="minorHAnsi"/>
          <w:sz w:val="24"/>
        </w:rPr>
        <w:t xml:space="preserve">funkcí </w:t>
      </w:r>
      <w:r w:rsidR="00A9496E">
        <w:rPr>
          <w:rFonts w:asciiTheme="minorHAnsi" w:eastAsia="Calibri" w:hAnsiTheme="minorHAnsi" w:cstheme="minorHAnsi"/>
          <w:sz w:val="24"/>
        </w:rPr>
        <w:t xml:space="preserve">oproti těm, které </w:t>
      </w:r>
      <w:r w:rsidRPr="003F1259">
        <w:rPr>
          <w:rFonts w:asciiTheme="minorHAnsi" w:eastAsia="Calibri" w:hAnsiTheme="minorHAnsi" w:cstheme="minorHAnsi"/>
          <w:sz w:val="24"/>
        </w:rPr>
        <w:t xml:space="preserve">jsou oficiálně uváděny </w:t>
      </w:r>
      <w:r w:rsidR="00996BDB">
        <w:rPr>
          <w:rFonts w:asciiTheme="minorHAnsi" w:eastAsia="Calibri" w:hAnsiTheme="minorHAnsi" w:cstheme="minorHAnsi"/>
          <w:sz w:val="24"/>
        </w:rPr>
        <w:t>v</w:t>
      </w:r>
      <w:r w:rsidRPr="003F1259">
        <w:rPr>
          <w:rFonts w:asciiTheme="minorHAnsi" w:eastAsia="Calibri" w:hAnsiTheme="minorHAnsi" w:cstheme="minorHAnsi"/>
          <w:sz w:val="24"/>
        </w:rPr>
        <w:t xml:space="preserve"> seznamu funkcí</w:t>
      </w:r>
      <w:r w:rsidR="009A1588">
        <w:rPr>
          <w:rFonts w:asciiTheme="minorHAnsi" w:eastAsia="Calibri" w:hAnsiTheme="minorHAnsi" w:cstheme="minorHAnsi"/>
          <w:sz w:val="24"/>
        </w:rPr>
        <w:t>.</w:t>
      </w:r>
      <w:r w:rsidRPr="003F1259">
        <w:rPr>
          <w:rFonts w:asciiTheme="minorHAnsi" w:eastAsia="Calibri" w:hAnsiTheme="minorHAnsi" w:cstheme="minorHAnsi"/>
          <w:sz w:val="24"/>
        </w:rPr>
        <w:t xml:space="preserve"> </w:t>
      </w:r>
    </w:p>
    <w:p w14:paraId="0A47BEBD" w14:textId="22C61E4C" w:rsidR="003F1259" w:rsidRDefault="003F1259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3F1259">
        <w:rPr>
          <w:rFonts w:asciiTheme="minorHAnsi" w:eastAsia="Calibri" w:hAnsiTheme="minorHAnsi" w:cstheme="minorHAnsi"/>
          <w:sz w:val="24"/>
        </w:rPr>
        <w:t>UPM neuvedlo ve zprávách o výsledcích finančních kontrol za roky 2018 a 2020 zhodnocení přiměřenosti a účinnosti zavedeného systému finanční kontroly</w:t>
      </w:r>
      <w:r w:rsidR="000142A9">
        <w:rPr>
          <w:rStyle w:val="Znakapoznpodarou"/>
          <w:rFonts w:asciiTheme="minorHAnsi" w:eastAsia="Calibri" w:hAnsiTheme="minorHAnsi" w:cstheme="minorHAnsi"/>
          <w:sz w:val="24"/>
        </w:rPr>
        <w:footnoteReference w:id="42"/>
      </w:r>
      <w:r w:rsidRPr="003F1259">
        <w:rPr>
          <w:rFonts w:asciiTheme="minorHAnsi" w:eastAsia="Calibri" w:hAnsiTheme="minorHAnsi" w:cstheme="minorHAnsi"/>
          <w:sz w:val="24"/>
        </w:rPr>
        <w:t xml:space="preserve"> a </w:t>
      </w:r>
      <w:r w:rsidR="00996BDB" w:rsidRPr="003F1259">
        <w:rPr>
          <w:rFonts w:asciiTheme="minorHAnsi" w:eastAsia="Calibri" w:hAnsiTheme="minorHAnsi" w:cstheme="minorHAnsi"/>
          <w:sz w:val="24"/>
        </w:rPr>
        <w:t xml:space="preserve">zpráva </w:t>
      </w:r>
      <w:r w:rsidR="00996BDB">
        <w:rPr>
          <w:rFonts w:asciiTheme="minorHAnsi" w:eastAsia="Calibri" w:hAnsiTheme="minorHAnsi" w:cstheme="minorHAnsi"/>
          <w:sz w:val="24"/>
        </w:rPr>
        <w:t>za rok</w:t>
      </w:r>
      <w:r w:rsidRPr="003F1259">
        <w:rPr>
          <w:rFonts w:asciiTheme="minorHAnsi" w:eastAsia="Calibri" w:hAnsiTheme="minorHAnsi" w:cstheme="minorHAnsi"/>
          <w:sz w:val="24"/>
        </w:rPr>
        <w:t xml:space="preserve"> 2020 navíc neobsahovala ani informace o výsledcích veřejnosprávních kontrol vykonaných v tomto roce</w:t>
      </w:r>
      <w:r w:rsidR="00123576" w:rsidRPr="00123576">
        <w:rPr>
          <w:rFonts w:asciiTheme="minorHAnsi" w:eastAsia="Calibri" w:hAnsiTheme="minorHAnsi" w:cstheme="minorHAnsi"/>
          <w:sz w:val="24"/>
          <w:vertAlign w:val="superscript"/>
        </w:rPr>
        <w:t>40</w:t>
      </w:r>
      <w:r w:rsidRPr="003F1259">
        <w:rPr>
          <w:rFonts w:asciiTheme="minorHAnsi" w:eastAsia="Calibri" w:hAnsiTheme="minorHAnsi" w:cstheme="minorHAnsi"/>
          <w:sz w:val="24"/>
        </w:rPr>
        <w:t>.</w:t>
      </w:r>
    </w:p>
    <w:p w14:paraId="7D6D0F81" w14:textId="25851DAE" w:rsidR="00B638E2" w:rsidRPr="00B638E2" w:rsidRDefault="003003ED" w:rsidP="00B638E2">
      <w:pPr>
        <w:suppressAutoHyphens w:val="0"/>
        <w:autoSpaceDE w:val="0"/>
        <w:autoSpaceDN w:val="0"/>
        <w:adjustRightInd w:val="0"/>
        <w:spacing w:before="120" w:after="0" w:line="20" w:lineRule="atLeast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UPM</w:t>
      </w:r>
      <w:r w:rsidR="00B638E2" w:rsidRPr="00B638E2">
        <w:rPr>
          <w:rFonts w:asciiTheme="minorHAnsi" w:eastAsia="Calibri" w:hAnsiTheme="minorHAnsi" w:cstheme="minorHAnsi"/>
          <w:sz w:val="24"/>
        </w:rPr>
        <w:t xml:space="preserve"> minimálně od roku 2017 nezajistilo prověření účinnosti </w:t>
      </w:r>
      <w:r w:rsidR="000D5C3C">
        <w:rPr>
          <w:rFonts w:asciiTheme="minorHAnsi" w:eastAsia="Calibri" w:hAnsiTheme="minorHAnsi" w:cstheme="minorHAnsi"/>
          <w:sz w:val="24"/>
        </w:rPr>
        <w:t xml:space="preserve">svého </w:t>
      </w:r>
      <w:r w:rsidR="00B638E2" w:rsidRPr="00B638E2">
        <w:rPr>
          <w:rFonts w:asciiTheme="minorHAnsi" w:eastAsia="Calibri" w:hAnsiTheme="minorHAnsi" w:cstheme="minorHAnsi"/>
          <w:sz w:val="24"/>
        </w:rPr>
        <w:t>vnitřního kontrolního systému</w:t>
      </w:r>
      <w:r w:rsidR="000D5C3C">
        <w:rPr>
          <w:rFonts w:asciiTheme="minorHAnsi" w:eastAsia="Calibri" w:hAnsiTheme="minorHAnsi" w:cstheme="minorHAnsi"/>
          <w:sz w:val="24"/>
        </w:rPr>
        <w:t>,</w:t>
      </w:r>
      <w:r w:rsidR="00B638E2" w:rsidRPr="00B638E2">
        <w:rPr>
          <w:rFonts w:asciiTheme="minorHAnsi" w:eastAsia="Calibri" w:hAnsiTheme="minorHAnsi" w:cstheme="minorHAnsi"/>
          <w:sz w:val="24"/>
        </w:rPr>
        <w:t xml:space="preserve"> </w:t>
      </w:r>
      <w:r w:rsidR="00B638E2">
        <w:rPr>
          <w:rFonts w:asciiTheme="minorHAnsi" w:eastAsia="Calibri" w:hAnsiTheme="minorHAnsi" w:cstheme="minorHAnsi"/>
          <w:sz w:val="24"/>
        </w:rPr>
        <w:t>jak požaduje zákon o finanční kontrole</w:t>
      </w:r>
      <w:r w:rsidR="00B638E2">
        <w:rPr>
          <w:rStyle w:val="Znakapoznpodarou"/>
          <w:rFonts w:asciiTheme="minorHAnsi" w:eastAsia="Calibri" w:hAnsiTheme="minorHAnsi" w:cstheme="minorHAnsi"/>
          <w:sz w:val="24"/>
        </w:rPr>
        <w:footnoteReference w:id="43"/>
      </w:r>
      <w:r w:rsidR="00B638E2">
        <w:rPr>
          <w:rFonts w:asciiTheme="minorHAnsi" w:eastAsia="Calibri" w:hAnsiTheme="minorHAnsi" w:cstheme="minorHAnsi"/>
          <w:sz w:val="24"/>
        </w:rPr>
        <w:t>.</w:t>
      </w:r>
    </w:p>
    <w:p w14:paraId="71E68882" w14:textId="44C8BD2C" w:rsidR="003F1259" w:rsidRPr="003F1259" w:rsidRDefault="000D5C3C" w:rsidP="003F1259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Kontrolované p</w:t>
      </w:r>
      <w:r w:rsidR="00EF1052">
        <w:rPr>
          <w:rFonts w:asciiTheme="minorHAnsi" w:eastAsia="Calibri" w:hAnsiTheme="minorHAnsi" w:cstheme="minorHAnsi"/>
          <w:b/>
          <w:sz w:val="24"/>
        </w:rPr>
        <w:t>říspěvkové organizace nepřij</w:t>
      </w:r>
      <w:r>
        <w:rPr>
          <w:rFonts w:asciiTheme="minorHAnsi" w:eastAsia="Calibri" w:hAnsiTheme="minorHAnsi" w:cstheme="minorHAnsi"/>
          <w:b/>
          <w:sz w:val="24"/>
        </w:rPr>
        <w:t>aly</w:t>
      </w:r>
      <w:r w:rsidR="00EF1052">
        <w:rPr>
          <w:rFonts w:asciiTheme="minorHAnsi" w:eastAsia="Calibri" w:hAnsiTheme="minorHAnsi" w:cstheme="minorHAnsi"/>
          <w:b/>
          <w:sz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</w:rPr>
        <w:t xml:space="preserve">k některým zjištěným nedostatkům </w:t>
      </w:r>
      <w:r w:rsidR="00EF1052">
        <w:rPr>
          <w:rFonts w:asciiTheme="minorHAnsi" w:eastAsia="Calibri" w:hAnsiTheme="minorHAnsi" w:cstheme="minorHAnsi"/>
          <w:b/>
          <w:sz w:val="24"/>
        </w:rPr>
        <w:t>n</w:t>
      </w:r>
      <w:r w:rsidR="003F1259" w:rsidRPr="003F1259">
        <w:rPr>
          <w:rFonts w:asciiTheme="minorHAnsi" w:eastAsia="Calibri" w:hAnsiTheme="minorHAnsi" w:cstheme="minorHAnsi"/>
          <w:b/>
          <w:sz w:val="24"/>
        </w:rPr>
        <w:t>ápravná opatření</w:t>
      </w:r>
    </w:p>
    <w:p w14:paraId="340FC948" w14:textId="50A2A3D3" w:rsidR="00B816D4" w:rsidRDefault="003F1259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3F1259">
        <w:rPr>
          <w:rFonts w:asciiTheme="minorHAnsi" w:eastAsia="Calibri" w:hAnsiTheme="minorHAnsi" w:cstheme="minorHAnsi"/>
          <w:sz w:val="24"/>
        </w:rPr>
        <w:t>NG nepřijala v</w:t>
      </w:r>
      <w:r w:rsidR="00B52E01">
        <w:rPr>
          <w:rFonts w:asciiTheme="minorHAnsi" w:eastAsia="Calibri" w:hAnsiTheme="minorHAnsi" w:cstheme="minorHAnsi"/>
          <w:sz w:val="24"/>
        </w:rPr>
        <w:t xml:space="preserve"> </w:t>
      </w:r>
      <w:r w:rsidRPr="003F1259">
        <w:rPr>
          <w:rFonts w:asciiTheme="minorHAnsi" w:eastAsia="Calibri" w:hAnsiTheme="minorHAnsi" w:cstheme="minorHAnsi"/>
          <w:sz w:val="24"/>
        </w:rPr>
        <w:t>kontrolovaném období opatření k</w:t>
      </w:r>
      <w:r w:rsidR="000D5C3C">
        <w:rPr>
          <w:rFonts w:asciiTheme="minorHAnsi" w:eastAsia="Calibri" w:hAnsiTheme="minorHAnsi" w:cstheme="minorHAnsi"/>
          <w:sz w:val="24"/>
        </w:rPr>
        <w:t> </w:t>
      </w:r>
      <w:r w:rsidR="002E11AC">
        <w:rPr>
          <w:rFonts w:asciiTheme="minorHAnsi" w:eastAsia="Calibri" w:hAnsiTheme="minorHAnsi" w:cstheme="minorHAnsi"/>
          <w:sz w:val="24"/>
        </w:rPr>
        <w:t>odstranění</w:t>
      </w:r>
      <w:r w:rsidR="000D5C3C">
        <w:rPr>
          <w:rFonts w:asciiTheme="minorHAnsi" w:eastAsia="Calibri" w:hAnsiTheme="minorHAnsi" w:cstheme="minorHAnsi"/>
          <w:sz w:val="24"/>
        </w:rPr>
        <w:t xml:space="preserve"> </w:t>
      </w:r>
      <w:r w:rsidRPr="003F1259">
        <w:rPr>
          <w:rFonts w:asciiTheme="minorHAnsi" w:eastAsia="Calibri" w:hAnsiTheme="minorHAnsi" w:cstheme="minorHAnsi"/>
          <w:sz w:val="24"/>
        </w:rPr>
        <w:t>nedostatků zjištěný</w:t>
      </w:r>
      <w:r w:rsidR="002E11AC">
        <w:rPr>
          <w:rFonts w:asciiTheme="minorHAnsi" w:eastAsia="Calibri" w:hAnsiTheme="minorHAnsi" w:cstheme="minorHAnsi"/>
          <w:sz w:val="24"/>
        </w:rPr>
        <w:t>ch</w:t>
      </w:r>
      <w:r w:rsidRPr="003F1259">
        <w:rPr>
          <w:rFonts w:asciiTheme="minorHAnsi" w:eastAsia="Calibri" w:hAnsiTheme="minorHAnsi" w:cstheme="minorHAnsi"/>
          <w:sz w:val="24"/>
        </w:rPr>
        <w:t xml:space="preserve"> při veřejnosprávní kontrole a neinformovala o nich orgán, který tuto veřejnosprávní kontrolu provedl</w:t>
      </w:r>
      <w:r w:rsidR="00B816D4">
        <w:rPr>
          <w:rFonts w:asciiTheme="minorHAnsi" w:eastAsia="Calibri" w:hAnsiTheme="minorHAnsi" w:cstheme="minorHAnsi"/>
          <w:sz w:val="24"/>
        </w:rPr>
        <w:t>.</w:t>
      </w:r>
    </w:p>
    <w:p w14:paraId="5CA991EA" w14:textId="48B8F951" w:rsidR="003F1259" w:rsidRPr="003F1259" w:rsidRDefault="00B816D4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NG dále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nepřijala účinná opatření</w:t>
      </w:r>
      <w:r w:rsidR="002E11AC">
        <w:rPr>
          <w:rFonts w:asciiTheme="minorHAnsi" w:eastAsia="Calibri" w:hAnsiTheme="minorHAnsi" w:cstheme="minorHAnsi"/>
          <w:sz w:val="24"/>
        </w:rPr>
        <w:t xml:space="preserve"> k odstranění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</w:t>
      </w:r>
      <w:r w:rsidR="002E11AC">
        <w:rPr>
          <w:rFonts w:asciiTheme="minorHAnsi" w:eastAsia="Calibri" w:hAnsiTheme="minorHAnsi" w:cstheme="minorHAnsi"/>
          <w:sz w:val="24"/>
        </w:rPr>
        <w:t xml:space="preserve">všech </w:t>
      </w:r>
      <w:r w:rsidR="00BC6D07" w:rsidRPr="003F1259">
        <w:rPr>
          <w:rFonts w:asciiTheme="minorHAnsi" w:eastAsia="Calibri" w:hAnsiTheme="minorHAnsi" w:cstheme="minorHAnsi"/>
          <w:sz w:val="24"/>
        </w:rPr>
        <w:t>nedostatků</w:t>
      </w:r>
      <w:r w:rsidR="00BC6D07">
        <w:rPr>
          <w:rFonts w:asciiTheme="minorHAnsi" w:eastAsia="Calibri" w:hAnsiTheme="minorHAnsi" w:cstheme="minorHAnsi"/>
          <w:sz w:val="24"/>
        </w:rPr>
        <w:t xml:space="preserve"> </w:t>
      </w:r>
      <w:r w:rsidR="002E11AC">
        <w:rPr>
          <w:rFonts w:asciiTheme="minorHAnsi" w:eastAsia="Calibri" w:hAnsiTheme="minorHAnsi" w:cstheme="minorHAnsi"/>
          <w:sz w:val="24"/>
        </w:rPr>
        <w:t xml:space="preserve">zjištěných </w:t>
      </w:r>
      <w:r w:rsidR="003F1259" w:rsidRPr="003F1259">
        <w:rPr>
          <w:rFonts w:asciiTheme="minorHAnsi" w:eastAsia="Calibri" w:hAnsiTheme="minorHAnsi" w:cstheme="minorHAnsi"/>
          <w:sz w:val="24"/>
        </w:rPr>
        <w:t>kontrol</w:t>
      </w:r>
      <w:r w:rsidR="000D5C3C">
        <w:rPr>
          <w:rFonts w:asciiTheme="minorHAnsi" w:eastAsia="Calibri" w:hAnsiTheme="minorHAnsi" w:cstheme="minorHAnsi"/>
          <w:sz w:val="24"/>
        </w:rPr>
        <w:t>ní akcí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NKÚ </w:t>
      </w:r>
      <w:r w:rsidR="00716BFA">
        <w:rPr>
          <w:rFonts w:asciiTheme="minorHAnsi" w:eastAsia="Calibri" w:hAnsiTheme="minorHAnsi" w:cstheme="minorHAnsi"/>
          <w:sz w:val="24"/>
        </w:rPr>
        <w:t xml:space="preserve">č. </w:t>
      </w:r>
      <w:r w:rsidR="003F1259" w:rsidRPr="003F1259">
        <w:rPr>
          <w:rFonts w:asciiTheme="minorHAnsi" w:eastAsia="Calibri" w:hAnsiTheme="minorHAnsi" w:cstheme="minorHAnsi"/>
          <w:sz w:val="24"/>
        </w:rPr>
        <w:t>14/29</w:t>
      </w:r>
      <w:r w:rsidR="007F62C3">
        <w:rPr>
          <w:rStyle w:val="Znakapoznpodarou"/>
          <w:rFonts w:asciiTheme="minorHAnsi" w:eastAsia="Calibri" w:hAnsiTheme="minorHAnsi" w:cstheme="minorHAnsi"/>
          <w:sz w:val="24"/>
        </w:rPr>
        <w:footnoteReference w:id="44"/>
      </w:r>
      <w:r w:rsidR="003F1259" w:rsidRPr="003F1259">
        <w:rPr>
          <w:rFonts w:asciiTheme="minorHAnsi" w:eastAsia="Calibri" w:hAnsiTheme="minorHAnsi" w:cstheme="minorHAnsi"/>
          <w:sz w:val="24"/>
        </w:rPr>
        <w:t>.</w:t>
      </w:r>
    </w:p>
    <w:p w14:paraId="704FB823" w14:textId="4E226B31" w:rsidR="003F1259" w:rsidRDefault="00B816D4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Kontrolou bylo </w:t>
      </w:r>
      <w:r w:rsidR="000D5C3C">
        <w:rPr>
          <w:rFonts w:asciiTheme="minorHAnsi" w:eastAsia="Calibri" w:hAnsiTheme="minorHAnsi" w:cstheme="minorHAnsi"/>
          <w:sz w:val="24"/>
        </w:rPr>
        <w:t xml:space="preserve">rovněž </w:t>
      </w:r>
      <w:r>
        <w:rPr>
          <w:rFonts w:asciiTheme="minorHAnsi" w:eastAsia="Calibri" w:hAnsiTheme="minorHAnsi" w:cstheme="minorHAnsi"/>
          <w:sz w:val="24"/>
        </w:rPr>
        <w:t xml:space="preserve">zjištěno, že 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UPM </w:t>
      </w:r>
      <w:r w:rsidR="00BC6D07">
        <w:rPr>
          <w:rFonts w:asciiTheme="minorHAnsi" w:eastAsia="Calibri" w:hAnsiTheme="minorHAnsi" w:cstheme="minorHAnsi"/>
          <w:sz w:val="24"/>
        </w:rPr>
        <w:t xml:space="preserve">odstranilo pouze některé </w:t>
      </w:r>
      <w:r w:rsidR="000D5C3C" w:rsidRPr="003F1259">
        <w:rPr>
          <w:rFonts w:asciiTheme="minorHAnsi" w:eastAsia="Calibri" w:hAnsiTheme="minorHAnsi" w:cstheme="minorHAnsi"/>
          <w:sz w:val="24"/>
        </w:rPr>
        <w:t>nedostatk</w:t>
      </w:r>
      <w:r w:rsidR="000D5C3C">
        <w:rPr>
          <w:rFonts w:asciiTheme="minorHAnsi" w:eastAsia="Calibri" w:hAnsiTheme="minorHAnsi" w:cstheme="minorHAnsi"/>
          <w:sz w:val="24"/>
        </w:rPr>
        <w:t>y</w:t>
      </w:r>
      <w:r w:rsidR="000D5C3C" w:rsidRPr="003F1259">
        <w:rPr>
          <w:rFonts w:asciiTheme="minorHAnsi" w:eastAsia="Calibri" w:hAnsiTheme="minorHAnsi" w:cstheme="minorHAnsi"/>
          <w:sz w:val="24"/>
        </w:rPr>
        <w:t xml:space="preserve"> </w:t>
      </w:r>
      <w:r w:rsidR="003F1259" w:rsidRPr="003F1259">
        <w:rPr>
          <w:rFonts w:asciiTheme="minorHAnsi" w:eastAsia="Calibri" w:hAnsiTheme="minorHAnsi" w:cstheme="minorHAnsi"/>
          <w:sz w:val="24"/>
        </w:rPr>
        <w:t>zjištěn</w:t>
      </w:r>
      <w:r w:rsidR="000D5C3C">
        <w:rPr>
          <w:rFonts w:asciiTheme="minorHAnsi" w:eastAsia="Calibri" w:hAnsiTheme="minorHAnsi" w:cstheme="minorHAnsi"/>
          <w:sz w:val="24"/>
        </w:rPr>
        <w:t>é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kontrolní akc</w:t>
      </w:r>
      <w:r w:rsidR="000D5C3C">
        <w:rPr>
          <w:rFonts w:asciiTheme="minorHAnsi" w:eastAsia="Calibri" w:hAnsiTheme="minorHAnsi" w:cstheme="minorHAnsi"/>
          <w:sz w:val="24"/>
        </w:rPr>
        <w:t>í</w:t>
      </w:r>
      <w:r w:rsidR="003F1259" w:rsidRPr="003F1259">
        <w:rPr>
          <w:rFonts w:asciiTheme="minorHAnsi" w:eastAsia="Calibri" w:hAnsiTheme="minorHAnsi" w:cstheme="minorHAnsi"/>
          <w:sz w:val="24"/>
        </w:rPr>
        <w:t xml:space="preserve"> </w:t>
      </w:r>
      <w:r w:rsidR="002E11AC" w:rsidRPr="003F1259">
        <w:rPr>
          <w:rFonts w:asciiTheme="minorHAnsi" w:eastAsia="Calibri" w:hAnsiTheme="minorHAnsi" w:cstheme="minorHAnsi"/>
          <w:sz w:val="24"/>
        </w:rPr>
        <w:t>NKÚ</w:t>
      </w:r>
      <w:r w:rsidR="002E11AC">
        <w:rPr>
          <w:rFonts w:asciiTheme="minorHAnsi" w:eastAsia="Calibri" w:hAnsiTheme="minorHAnsi" w:cstheme="minorHAnsi"/>
          <w:sz w:val="24"/>
        </w:rPr>
        <w:t xml:space="preserve"> </w:t>
      </w:r>
      <w:r w:rsidR="00716BFA">
        <w:rPr>
          <w:rFonts w:asciiTheme="minorHAnsi" w:eastAsia="Calibri" w:hAnsiTheme="minorHAnsi" w:cstheme="minorHAnsi"/>
          <w:sz w:val="24"/>
        </w:rPr>
        <w:t xml:space="preserve">č. </w:t>
      </w:r>
      <w:r w:rsidR="003F1259" w:rsidRPr="003F1259">
        <w:rPr>
          <w:rFonts w:asciiTheme="minorHAnsi" w:eastAsia="Calibri" w:hAnsiTheme="minorHAnsi" w:cstheme="minorHAnsi"/>
          <w:sz w:val="24"/>
        </w:rPr>
        <w:t>19/09</w:t>
      </w:r>
      <w:r w:rsidR="00EC139D">
        <w:rPr>
          <w:rStyle w:val="Znakapoznpodarou"/>
          <w:rFonts w:asciiTheme="minorHAnsi" w:eastAsia="Calibri" w:hAnsiTheme="minorHAnsi" w:cstheme="minorHAnsi"/>
          <w:sz w:val="24"/>
        </w:rPr>
        <w:footnoteReference w:id="45"/>
      </w:r>
      <w:r w:rsidR="002E11AC">
        <w:rPr>
          <w:rFonts w:asciiTheme="minorHAnsi" w:eastAsia="Calibri" w:hAnsiTheme="minorHAnsi" w:cstheme="minorHAnsi"/>
          <w:sz w:val="24"/>
        </w:rPr>
        <w:t>.</w:t>
      </w:r>
    </w:p>
    <w:p w14:paraId="14D45C50" w14:textId="77777777" w:rsidR="00DE2A3E" w:rsidRPr="003F1259" w:rsidRDefault="00DE2A3E" w:rsidP="003F1259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</w:p>
    <w:p w14:paraId="3D5819C4" w14:textId="43DE0F06" w:rsidR="00AC4E89" w:rsidRPr="001E244A" w:rsidRDefault="00AC4E89" w:rsidP="008D2BBF">
      <w:pPr>
        <w:pStyle w:val="Nadpis1"/>
        <w:numPr>
          <w:ilvl w:val="0"/>
          <w:numId w:val="12"/>
        </w:numPr>
        <w:spacing w:before="120" w:after="0"/>
        <w:ind w:left="284" w:hanging="284"/>
        <w:rPr>
          <w:rFonts w:asciiTheme="minorHAnsi" w:hAnsiTheme="minorHAnsi" w:cstheme="minorHAnsi"/>
          <w:sz w:val="24"/>
          <w:u w:val="none"/>
        </w:rPr>
      </w:pPr>
      <w:r w:rsidRPr="001E244A">
        <w:rPr>
          <w:rFonts w:asciiTheme="minorHAnsi" w:hAnsiTheme="minorHAnsi" w:cstheme="minorHAnsi"/>
          <w:sz w:val="24"/>
          <w:u w:val="none"/>
        </w:rPr>
        <w:lastRenderedPageBreak/>
        <w:t xml:space="preserve">Neodůvodněné snižování výnosů </w:t>
      </w:r>
      <w:r w:rsidR="00BC7CCA" w:rsidRPr="001E244A">
        <w:rPr>
          <w:rFonts w:asciiTheme="minorHAnsi" w:hAnsiTheme="minorHAnsi" w:cstheme="minorHAnsi"/>
          <w:sz w:val="24"/>
          <w:u w:val="none"/>
        </w:rPr>
        <w:t>z majetku</w:t>
      </w:r>
    </w:p>
    <w:p w14:paraId="77E14233" w14:textId="08A773F3" w:rsidR="00B2782A" w:rsidRDefault="00B2782A" w:rsidP="0075220A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 xml:space="preserve">Kontrolou bylo ověřováno, zda </w:t>
      </w:r>
      <w:r w:rsidR="000D5C3C">
        <w:rPr>
          <w:rFonts w:asciiTheme="minorHAnsi" w:eastAsia="Calibri" w:hAnsiTheme="minorHAnsi" w:cstheme="minorHAnsi"/>
          <w:b/>
          <w:sz w:val="24"/>
        </w:rPr>
        <w:t>NG a UPM</w:t>
      </w:r>
      <w:r>
        <w:rPr>
          <w:rFonts w:asciiTheme="minorHAnsi" w:eastAsia="Calibri" w:hAnsiTheme="minorHAnsi" w:cstheme="minorHAnsi"/>
          <w:b/>
          <w:sz w:val="24"/>
        </w:rPr>
        <w:t xml:space="preserve"> neodůvodněně nesnižovaly své výnosy</w:t>
      </w:r>
      <w:r w:rsidR="00F147E6">
        <w:rPr>
          <w:rFonts w:asciiTheme="minorHAnsi" w:eastAsia="Calibri" w:hAnsiTheme="minorHAnsi" w:cstheme="minorHAnsi"/>
          <w:b/>
          <w:sz w:val="24"/>
        </w:rPr>
        <w:t>, např.</w:t>
      </w:r>
      <w:r w:rsidR="000D5C3C">
        <w:rPr>
          <w:rFonts w:asciiTheme="minorHAnsi" w:eastAsia="Calibri" w:hAnsiTheme="minorHAnsi" w:cstheme="minorHAnsi"/>
          <w:b/>
          <w:sz w:val="24"/>
        </w:rPr>
        <w:t> </w:t>
      </w:r>
      <w:r w:rsidR="00F147E6">
        <w:rPr>
          <w:rFonts w:asciiTheme="minorHAnsi" w:eastAsia="Calibri" w:hAnsiTheme="minorHAnsi" w:cstheme="minorHAnsi"/>
          <w:b/>
          <w:sz w:val="24"/>
        </w:rPr>
        <w:t>tím, že u nájemních smluv nesjednávaly tzv. inflační doložky na výši nájemného</w:t>
      </w:r>
      <w:r w:rsidR="000D5C3C">
        <w:rPr>
          <w:rFonts w:asciiTheme="minorHAnsi" w:eastAsia="Calibri" w:hAnsiTheme="minorHAnsi" w:cstheme="minorHAnsi"/>
          <w:b/>
          <w:sz w:val="24"/>
        </w:rPr>
        <w:t>,</w:t>
      </w:r>
      <w:r w:rsidR="00F147E6">
        <w:rPr>
          <w:rFonts w:asciiTheme="minorHAnsi" w:eastAsia="Calibri" w:hAnsiTheme="minorHAnsi" w:cstheme="minorHAnsi"/>
          <w:b/>
          <w:sz w:val="24"/>
        </w:rPr>
        <w:t xml:space="preserve"> či zda neuzavíraly jinak nevýhodné smlouvy vztahující se k</w:t>
      </w:r>
      <w:r w:rsidR="000D5C3C">
        <w:rPr>
          <w:rFonts w:asciiTheme="minorHAnsi" w:eastAsia="Calibri" w:hAnsiTheme="minorHAnsi" w:cstheme="minorHAnsi"/>
          <w:b/>
          <w:sz w:val="24"/>
        </w:rPr>
        <w:t xml:space="preserve"> majetku, </w:t>
      </w:r>
      <w:r w:rsidR="00437A49">
        <w:rPr>
          <w:rFonts w:asciiTheme="minorHAnsi" w:eastAsia="Calibri" w:hAnsiTheme="minorHAnsi" w:cstheme="minorHAnsi"/>
          <w:b/>
          <w:sz w:val="24"/>
        </w:rPr>
        <w:t>který</w:t>
      </w:r>
      <w:r w:rsidR="000D5C3C">
        <w:rPr>
          <w:rFonts w:asciiTheme="minorHAnsi" w:eastAsia="Calibri" w:hAnsiTheme="minorHAnsi" w:cstheme="minorHAnsi"/>
          <w:b/>
          <w:sz w:val="24"/>
        </w:rPr>
        <w:t xml:space="preserve"> spravují. </w:t>
      </w:r>
    </w:p>
    <w:p w14:paraId="17B5A21B" w14:textId="72578AC9" w:rsidR="00C33260" w:rsidRDefault="00C33260" w:rsidP="00C33260">
      <w:pPr>
        <w:suppressAutoHyphens w:val="0"/>
        <w:spacing w:before="120" w:after="0" w:line="240" w:lineRule="auto"/>
        <w:rPr>
          <w:b/>
          <w:spacing w:val="20"/>
        </w:rPr>
      </w:pPr>
      <w:r>
        <w:rPr>
          <w:rFonts w:asciiTheme="minorHAnsi" w:eastAsia="Calibri" w:hAnsiTheme="minorHAnsi" w:cstheme="minorHAnsi"/>
          <w:b/>
          <w:sz w:val="24"/>
        </w:rPr>
        <w:t xml:space="preserve">Obě </w:t>
      </w:r>
      <w:r w:rsidR="00437A49">
        <w:rPr>
          <w:rFonts w:asciiTheme="minorHAnsi" w:eastAsia="Calibri" w:hAnsiTheme="minorHAnsi" w:cstheme="minorHAnsi"/>
          <w:b/>
          <w:sz w:val="24"/>
        </w:rPr>
        <w:t xml:space="preserve">kontrolované </w:t>
      </w:r>
      <w:r>
        <w:rPr>
          <w:rFonts w:asciiTheme="minorHAnsi" w:eastAsia="Calibri" w:hAnsiTheme="minorHAnsi" w:cstheme="minorHAnsi"/>
          <w:b/>
          <w:sz w:val="24"/>
        </w:rPr>
        <w:t xml:space="preserve">příspěvkové organizace uzavřely dohodu o spolupráci s MK, na </w:t>
      </w:r>
      <w:proofErr w:type="gramStart"/>
      <w:r>
        <w:rPr>
          <w:rFonts w:asciiTheme="minorHAnsi" w:eastAsia="Calibri" w:hAnsiTheme="minorHAnsi" w:cstheme="minorHAnsi"/>
          <w:b/>
          <w:sz w:val="24"/>
        </w:rPr>
        <w:t>základě</w:t>
      </w:r>
      <w:proofErr w:type="gramEnd"/>
      <w:r>
        <w:rPr>
          <w:rFonts w:asciiTheme="minorHAnsi" w:eastAsia="Calibri" w:hAnsiTheme="minorHAnsi" w:cstheme="minorHAnsi"/>
          <w:b/>
          <w:sz w:val="24"/>
        </w:rPr>
        <w:t xml:space="preserve"> které neodůvodněně snižovaly výnosy ze vstupného.</w:t>
      </w:r>
    </w:p>
    <w:p w14:paraId="2E1897CA" w14:textId="68B39DD7" w:rsidR="00B2782A" w:rsidRDefault="00B2782A" w:rsidP="0075220A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 xml:space="preserve">NG </w:t>
      </w:r>
      <w:r w:rsidR="00437A49">
        <w:rPr>
          <w:rFonts w:asciiTheme="minorHAnsi" w:eastAsia="Calibri" w:hAnsiTheme="minorHAnsi" w:cstheme="minorHAnsi"/>
          <w:b/>
          <w:sz w:val="24"/>
        </w:rPr>
        <w:t xml:space="preserve">v roli pronajímatele </w:t>
      </w:r>
      <w:r>
        <w:rPr>
          <w:rFonts w:asciiTheme="minorHAnsi" w:eastAsia="Calibri" w:hAnsiTheme="minorHAnsi" w:cstheme="minorHAnsi"/>
          <w:b/>
          <w:sz w:val="24"/>
        </w:rPr>
        <w:t xml:space="preserve">uzavřela smlouvy, </w:t>
      </w:r>
      <w:r w:rsidR="00437A49">
        <w:rPr>
          <w:rFonts w:asciiTheme="minorHAnsi" w:eastAsia="Calibri" w:hAnsiTheme="minorHAnsi" w:cstheme="minorHAnsi"/>
          <w:b/>
          <w:sz w:val="24"/>
        </w:rPr>
        <w:t>v nichž výše</w:t>
      </w:r>
      <w:r>
        <w:rPr>
          <w:rFonts w:asciiTheme="minorHAnsi" w:eastAsia="Calibri" w:hAnsiTheme="minorHAnsi" w:cstheme="minorHAnsi"/>
          <w:b/>
          <w:sz w:val="24"/>
        </w:rPr>
        <w:t xml:space="preserve"> nájemné</w:t>
      </w:r>
      <w:r w:rsidR="00437A49">
        <w:rPr>
          <w:rFonts w:asciiTheme="minorHAnsi" w:eastAsia="Calibri" w:hAnsiTheme="minorHAnsi" w:cstheme="minorHAnsi"/>
          <w:b/>
          <w:sz w:val="24"/>
        </w:rPr>
        <w:t>ho</w:t>
      </w:r>
      <w:r>
        <w:rPr>
          <w:rFonts w:asciiTheme="minorHAnsi" w:eastAsia="Calibri" w:hAnsiTheme="minorHAnsi" w:cstheme="minorHAnsi"/>
          <w:b/>
          <w:sz w:val="24"/>
        </w:rPr>
        <w:t xml:space="preserve"> neodpovídal</w:t>
      </w:r>
      <w:r w:rsidR="00437A49">
        <w:rPr>
          <w:rFonts w:asciiTheme="minorHAnsi" w:eastAsia="Calibri" w:hAnsiTheme="minorHAnsi" w:cstheme="minorHAnsi"/>
          <w:b/>
          <w:sz w:val="24"/>
        </w:rPr>
        <w:t>a</w:t>
      </w:r>
      <w:r>
        <w:rPr>
          <w:rFonts w:asciiTheme="minorHAnsi" w:eastAsia="Calibri" w:hAnsiTheme="minorHAnsi" w:cstheme="minorHAnsi"/>
          <w:b/>
          <w:sz w:val="24"/>
        </w:rPr>
        <w:t xml:space="preserve"> </w:t>
      </w:r>
      <w:r w:rsidR="00437A49">
        <w:rPr>
          <w:rFonts w:asciiTheme="minorHAnsi" w:eastAsia="Calibri" w:hAnsiTheme="minorHAnsi" w:cstheme="minorHAnsi"/>
          <w:b/>
          <w:sz w:val="24"/>
        </w:rPr>
        <w:t xml:space="preserve">nájemnému obvyklému </w:t>
      </w:r>
      <w:r>
        <w:rPr>
          <w:rFonts w:asciiTheme="minorHAnsi" w:eastAsia="Calibri" w:hAnsiTheme="minorHAnsi" w:cstheme="minorHAnsi"/>
          <w:b/>
          <w:sz w:val="24"/>
        </w:rPr>
        <w:t>v</w:t>
      </w:r>
      <w:r w:rsidR="00437A49">
        <w:rPr>
          <w:rFonts w:asciiTheme="minorHAnsi" w:eastAsia="Calibri" w:hAnsiTheme="minorHAnsi" w:cstheme="minorHAnsi"/>
          <w:b/>
          <w:sz w:val="24"/>
        </w:rPr>
        <w:t xml:space="preserve"> daném místě a </w:t>
      </w:r>
      <w:r>
        <w:rPr>
          <w:rFonts w:asciiTheme="minorHAnsi" w:eastAsia="Calibri" w:hAnsiTheme="minorHAnsi" w:cstheme="minorHAnsi"/>
          <w:b/>
          <w:sz w:val="24"/>
        </w:rPr>
        <w:t>čase</w:t>
      </w:r>
      <w:r w:rsidR="00437A49">
        <w:rPr>
          <w:rFonts w:asciiTheme="minorHAnsi" w:eastAsia="Calibri" w:hAnsiTheme="minorHAnsi" w:cstheme="minorHAnsi"/>
          <w:b/>
          <w:sz w:val="24"/>
        </w:rPr>
        <w:t>,</w:t>
      </w:r>
      <w:r>
        <w:rPr>
          <w:rFonts w:asciiTheme="minorHAnsi" w:eastAsia="Calibri" w:hAnsiTheme="minorHAnsi" w:cstheme="minorHAnsi"/>
          <w:b/>
          <w:sz w:val="24"/>
        </w:rPr>
        <w:t xml:space="preserve"> </w:t>
      </w:r>
      <w:r w:rsidR="00D94648">
        <w:rPr>
          <w:rFonts w:asciiTheme="minorHAnsi" w:eastAsia="Calibri" w:hAnsiTheme="minorHAnsi" w:cstheme="minorHAnsi"/>
          <w:b/>
          <w:sz w:val="24"/>
        </w:rPr>
        <w:t>a obdobně si počínal</w:t>
      </w:r>
      <w:r w:rsidR="00437A49">
        <w:rPr>
          <w:rFonts w:asciiTheme="minorHAnsi" w:eastAsia="Calibri" w:hAnsiTheme="minorHAnsi" w:cstheme="minorHAnsi"/>
          <w:b/>
          <w:sz w:val="24"/>
        </w:rPr>
        <w:t>a</w:t>
      </w:r>
      <w:r w:rsidR="00D94648">
        <w:rPr>
          <w:rFonts w:asciiTheme="minorHAnsi" w:eastAsia="Calibri" w:hAnsiTheme="minorHAnsi" w:cstheme="minorHAnsi"/>
          <w:b/>
          <w:sz w:val="24"/>
        </w:rPr>
        <w:t xml:space="preserve"> i v roli nájemce.</w:t>
      </w:r>
      <w:r>
        <w:rPr>
          <w:rFonts w:asciiTheme="minorHAnsi" w:eastAsia="Calibri" w:hAnsiTheme="minorHAnsi" w:cstheme="minorHAnsi"/>
          <w:b/>
          <w:sz w:val="24"/>
        </w:rPr>
        <w:t xml:space="preserve"> UPM uzavřelo smlouvy, které neobsahovaly </w:t>
      </w:r>
      <w:r w:rsidR="00D94648">
        <w:rPr>
          <w:rFonts w:asciiTheme="minorHAnsi" w:eastAsia="Calibri" w:hAnsiTheme="minorHAnsi" w:cstheme="minorHAnsi"/>
          <w:b/>
          <w:sz w:val="24"/>
        </w:rPr>
        <w:t>zvyšování nájemného (</w:t>
      </w:r>
      <w:r>
        <w:rPr>
          <w:rFonts w:asciiTheme="minorHAnsi" w:eastAsia="Calibri" w:hAnsiTheme="minorHAnsi" w:cstheme="minorHAnsi"/>
          <w:b/>
          <w:sz w:val="24"/>
        </w:rPr>
        <w:t>inflační doložk</w:t>
      </w:r>
      <w:r w:rsidR="00437A49">
        <w:rPr>
          <w:rFonts w:asciiTheme="minorHAnsi" w:eastAsia="Calibri" w:hAnsiTheme="minorHAnsi" w:cstheme="minorHAnsi"/>
          <w:b/>
          <w:sz w:val="24"/>
        </w:rPr>
        <w:t>u</w:t>
      </w:r>
      <w:r w:rsidR="00D94648">
        <w:rPr>
          <w:rFonts w:asciiTheme="minorHAnsi" w:eastAsia="Calibri" w:hAnsiTheme="minorHAnsi" w:cstheme="minorHAnsi"/>
          <w:b/>
          <w:sz w:val="24"/>
        </w:rPr>
        <w:t>)</w:t>
      </w:r>
      <w:r w:rsidR="00C646E0">
        <w:rPr>
          <w:rFonts w:asciiTheme="minorHAnsi" w:eastAsia="Calibri" w:hAnsiTheme="minorHAnsi" w:cstheme="minorHAnsi"/>
          <w:b/>
          <w:sz w:val="24"/>
        </w:rPr>
        <w:t xml:space="preserve">, což nebylo v souladu se zákonem o majetku státu. </w:t>
      </w:r>
    </w:p>
    <w:p w14:paraId="0083D9C8" w14:textId="4DBB1F71" w:rsidR="001610C2" w:rsidRPr="001610C2" w:rsidRDefault="00FB3129" w:rsidP="008D2BBF">
      <w:pPr>
        <w:keepNext/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Kontrolované p</w:t>
      </w:r>
      <w:r w:rsidR="00AD4371">
        <w:rPr>
          <w:rFonts w:asciiTheme="minorHAnsi" w:eastAsia="Calibri" w:hAnsiTheme="minorHAnsi" w:cstheme="minorHAnsi"/>
          <w:b/>
          <w:sz w:val="24"/>
        </w:rPr>
        <w:t>říspěvkové organizace uzavřely s MK nevýhodnou d</w:t>
      </w:r>
      <w:r w:rsidR="001610C2">
        <w:rPr>
          <w:rFonts w:asciiTheme="minorHAnsi" w:eastAsia="Calibri" w:hAnsiTheme="minorHAnsi" w:cstheme="minorHAnsi"/>
          <w:b/>
          <w:sz w:val="24"/>
        </w:rPr>
        <w:t>ohod</w:t>
      </w:r>
      <w:r w:rsidR="00AD4371">
        <w:rPr>
          <w:rFonts w:asciiTheme="minorHAnsi" w:eastAsia="Calibri" w:hAnsiTheme="minorHAnsi" w:cstheme="minorHAnsi"/>
          <w:b/>
          <w:sz w:val="24"/>
        </w:rPr>
        <w:t>u</w:t>
      </w:r>
      <w:r w:rsidR="001610C2">
        <w:rPr>
          <w:rFonts w:asciiTheme="minorHAnsi" w:eastAsia="Calibri" w:hAnsiTheme="minorHAnsi" w:cstheme="minorHAnsi"/>
          <w:b/>
          <w:sz w:val="24"/>
        </w:rPr>
        <w:t xml:space="preserve"> o spolupráci</w:t>
      </w:r>
    </w:p>
    <w:p w14:paraId="5D468660" w14:textId="5674670F" w:rsidR="00AC4E89" w:rsidRDefault="00FB3129" w:rsidP="0075220A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NG a UPM</w:t>
      </w:r>
      <w:r w:rsidR="00212ACF">
        <w:rPr>
          <w:rFonts w:asciiTheme="minorHAnsi" w:eastAsia="Calibri" w:hAnsiTheme="minorHAnsi" w:cstheme="minorHAnsi"/>
          <w:sz w:val="24"/>
        </w:rPr>
        <w:t xml:space="preserve"> uzavřely s MK</w:t>
      </w:r>
      <w:r w:rsidR="00AC4E89">
        <w:rPr>
          <w:rFonts w:asciiTheme="minorHAnsi" w:eastAsia="Calibri" w:hAnsiTheme="minorHAnsi" w:cstheme="minorHAnsi"/>
          <w:sz w:val="24"/>
        </w:rPr>
        <w:t xml:space="preserve"> </w:t>
      </w:r>
      <w:r w:rsidR="00B6429D">
        <w:rPr>
          <w:rFonts w:asciiTheme="minorHAnsi" w:eastAsia="Calibri" w:hAnsiTheme="minorHAnsi" w:cstheme="minorHAnsi"/>
          <w:sz w:val="24"/>
        </w:rPr>
        <w:t>a dalšími</w:t>
      </w:r>
      <w:r w:rsidR="00486FB6">
        <w:rPr>
          <w:rFonts w:asciiTheme="minorHAnsi" w:eastAsia="Calibri" w:hAnsiTheme="minorHAnsi" w:cstheme="minorHAnsi"/>
          <w:sz w:val="24"/>
        </w:rPr>
        <w:t xml:space="preserve"> </w:t>
      </w:r>
      <w:r w:rsidR="00AC4E89">
        <w:rPr>
          <w:rFonts w:asciiTheme="minorHAnsi" w:eastAsia="Calibri" w:hAnsiTheme="minorHAnsi" w:cstheme="minorHAnsi"/>
          <w:sz w:val="24"/>
        </w:rPr>
        <w:t>20 příspěvkovými organizacemi</w:t>
      </w:r>
      <w:r w:rsidR="00590240">
        <w:rPr>
          <w:rFonts w:asciiTheme="minorHAnsi" w:eastAsia="Calibri" w:hAnsiTheme="minorHAnsi" w:cstheme="minorHAnsi"/>
          <w:sz w:val="24"/>
        </w:rPr>
        <w:t xml:space="preserve"> paměťového typu</w:t>
      </w:r>
      <w:r w:rsidR="00FC5C52">
        <w:rPr>
          <w:rStyle w:val="Znakapoznpodarou"/>
          <w:rFonts w:asciiTheme="minorHAnsi" w:eastAsia="Calibri" w:hAnsiTheme="minorHAnsi" w:cstheme="minorHAnsi"/>
          <w:sz w:val="24"/>
        </w:rPr>
        <w:footnoteReference w:id="46"/>
      </w:r>
      <w:r w:rsidR="00AC4E89">
        <w:rPr>
          <w:rFonts w:asciiTheme="minorHAnsi" w:eastAsia="Calibri" w:hAnsiTheme="minorHAnsi" w:cstheme="minorHAnsi"/>
          <w:sz w:val="24"/>
        </w:rPr>
        <w:t xml:space="preserve"> zřizovanými </w:t>
      </w:r>
      <w:r>
        <w:rPr>
          <w:rFonts w:asciiTheme="minorHAnsi" w:eastAsia="Calibri" w:hAnsiTheme="minorHAnsi" w:cstheme="minorHAnsi"/>
          <w:sz w:val="24"/>
        </w:rPr>
        <w:t>Ministerstvem kultury</w:t>
      </w:r>
      <w:r w:rsidR="00B6429D" w:rsidRPr="00B6429D">
        <w:rPr>
          <w:rFonts w:asciiTheme="minorHAnsi" w:eastAsia="Calibri" w:hAnsiTheme="minorHAnsi" w:cstheme="minorHAnsi"/>
          <w:sz w:val="24"/>
        </w:rPr>
        <w:t xml:space="preserve"> </w:t>
      </w:r>
      <w:r w:rsidR="00B6429D">
        <w:rPr>
          <w:rFonts w:asciiTheme="minorHAnsi" w:eastAsia="Calibri" w:hAnsiTheme="minorHAnsi" w:cstheme="minorHAnsi"/>
          <w:sz w:val="24"/>
        </w:rPr>
        <w:t>dohodu o spolupráci</w:t>
      </w:r>
      <w:r>
        <w:rPr>
          <w:rFonts w:asciiTheme="minorHAnsi" w:eastAsia="Calibri" w:hAnsiTheme="minorHAnsi" w:cstheme="minorHAnsi"/>
          <w:sz w:val="24"/>
        </w:rPr>
        <w:t>, do níž se zapojilo</w:t>
      </w:r>
      <w:r w:rsidR="00AC4E89">
        <w:rPr>
          <w:rFonts w:asciiTheme="minorHAnsi" w:eastAsia="Calibri" w:hAnsiTheme="minorHAnsi" w:cstheme="minorHAnsi"/>
          <w:sz w:val="24"/>
        </w:rPr>
        <w:t xml:space="preserve"> dalších dev</w:t>
      </w:r>
      <w:r>
        <w:rPr>
          <w:rFonts w:asciiTheme="minorHAnsi" w:eastAsia="Calibri" w:hAnsiTheme="minorHAnsi" w:cstheme="minorHAnsi"/>
          <w:sz w:val="24"/>
        </w:rPr>
        <w:t>ět</w:t>
      </w:r>
      <w:r w:rsidR="00AC4E89">
        <w:rPr>
          <w:rFonts w:asciiTheme="minorHAnsi" w:eastAsia="Calibri" w:hAnsiTheme="minorHAnsi" w:cstheme="minorHAnsi"/>
          <w:sz w:val="24"/>
        </w:rPr>
        <w:t xml:space="preserve"> PO</w:t>
      </w:r>
      <w:r>
        <w:rPr>
          <w:rFonts w:asciiTheme="minorHAnsi" w:eastAsia="Calibri" w:hAnsiTheme="minorHAnsi" w:cstheme="minorHAnsi"/>
          <w:sz w:val="24"/>
        </w:rPr>
        <w:t> </w:t>
      </w:r>
      <w:r w:rsidR="00AC4E89">
        <w:rPr>
          <w:rFonts w:asciiTheme="minorHAnsi" w:eastAsia="Calibri" w:hAnsiTheme="minorHAnsi" w:cstheme="minorHAnsi"/>
          <w:sz w:val="24"/>
        </w:rPr>
        <w:t>MK. Účelem bylo dle dohody zefektivnění přístup</w:t>
      </w:r>
      <w:r w:rsidR="00EA3791">
        <w:rPr>
          <w:rFonts w:asciiTheme="minorHAnsi" w:eastAsia="Calibri" w:hAnsiTheme="minorHAnsi" w:cstheme="minorHAnsi"/>
          <w:sz w:val="24"/>
        </w:rPr>
        <w:t>u</w:t>
      </w:r>
      <w:r w:rsidR="00AC4E89">
        <w:rPr>
          <w:rFonts w:asciiTheme="minorHAnsi" w:eastAsia="Calibri" w:hAnsiTheme="minorHAnsi" w:cstheme="minorHAnsi"/>
          <w:sz w:val="24"/>
        </w:rPr>
        <w:t xml:space="preserve"> zaměstnanců ke vzdělávání. Podle dohody se přitom vztahovala participace na zaměstnaneckých benefitech nejen na zaměstnance příslušných organizací, ale i na další </w:t>
      </w:r>
      <w:r w:rsidR="00E6221D">
        <w:rPr>
          <w:rFonts w:asciiTheme="minorHAnsi" w:eastAsia="Calibri" w:hAnsiTheme="minorHAnsi" w:cstheme="minorHAnsi"/>
          <w:sz w:val="24"/>
        </w:rPr>
        <w:t>tři</w:t>
      </w:r>
      <w:r w:rsidR="00AC4E89">
        <w:rPr>
          <w:rFonts w:asciiTheme="minorHAnsi" w:eastAsia="Calibri" w:hAnsiTheme="minorHAnsi" w:cstheme="minorHAnsi"/>
          <w:sz w:val="24"/>
        </w:rPr>
        <w:t xml:space="preserve"> osoby doprovodu. Takto široce pojatá participace nemá oporu v deklarovaném účelu</w:t>
      </w:r>
      <w:r w:rsidR="00B6429D">
        <w:rPr>
          <w:rFonts w:asciiTheme="minorHAnsi" w:eastAsia="Calibri" w:hAnsiTheme="minorHAnsi" w:cstheme="minorHAnsi"/>
          <w:sz w:val="24"/>
        </w:rPr>
        <w:t xml:space="preserve">, neboť zaměstnanecký benefit v podobě zefektivnění přístupu ke vzdělávání se nedá vztáhnout </w:t>
      </w:r>
      <w:r>
        <w:rPr>
          <w:rFonts w:asciiTheme="minorHAnsi" w:eastAsia="Calibri" w:hAnsiTheme="minorHAnsi" w:cstheme="minorHAnsi"/>
          <w:sz w:val="24"/>
        </w:rPr>
        <w:t xml:space="preserve">na </w:t>
      </w:r>
      <w:r w:rsidR="00B6429D">
        <w:rPr>
          <w:rFonts w:asciiTheme="minorHAnsi" w:eastAsia="Calibri" w:hAnsiTheme="minorHAnsi" w:cstheme="minorHAnsi"/>
          <w:sz w:val="24"/>
        </w:rPr>
        <w:t>další osob</w:t>
      </w:r>
      <w:r>
        <w:rPr>
          <w:rFonts w:asciiTheme="minorHAnsi" w:eastAsia="Calibri" w:hAnsiTheme="minorHAnsi" w:cstheme="minorHAnsi"/>
          <w:sz w:val="24"/>
        </w:rPr>
        <w:t>y</w:t>
      </w:r>
      <w:r w:rsidR="00AC4E89">
        <w:rPr>
          <w:rFonts w:asciiTheme="minorHAnsi" w:eastAsia="Calibri" w:hAnsiTheme="minorHAnsi" w:cstheme="minorHAnsi"/>
          <w:sz w:val="24"/>
        </w:rPr>
        <w:t xml:space="preserve">. Volné vstupy na základě uvedené dohody </w:t>
      </w:r>
      <w:r w:rsidR="001610C2">
        <w:rPr>
          <w:rFonts w:asciiTheme="minorHAnsi" w:eastAsia="Calibri" w:hAnsiTheme="minorHAnsi" w:cstheme="minorHAnsi"/>
          <w:sz w:val="24"/>
        </w:rPr>
        <w:t>začaly obě příspěvkové organizace poskytovat od ledna 2019</w:t>
      </w:r>
      <w:r w:rsidR="00AC4E89" w:rsidRPr="006E3775">
        <w:rPr>
          <w:rFonts w:asciiTheme="minorHAnsi" w:eastAsia="Calibri" w:hAnsiTheme="minorHAnsi" w:cstheme="minorHAnsi"/>
          <w:sz w:val="24"/>
        </w:rPr>
        <w:t xml:space="preserve">. </w:t>
      </w:r>
      <w:r w:rsidR="001610C2">
        <w:rPr>
          <w:rFonts w:asciiTheme="minorHAnsi" w:eastAsia="Calibri" w:hAnsiTheme="minorHAnsi" w:cstheme="minorHAnsi"/>
          <w:sz w:val="24"/>
        </w:rPr>
        <w:t xml:space="preserve">NG v prosinci roku 2020 zaslala </w:t>
      </w:r>
      <w:r>
        <w:rPr>
          <w:rFonts w:asciiTheme="minorHAnsi" w:eastAsia="Calibri" w:hAnsiTheme="minorHAnsi" w:cstheme="minorHAnsi"/>
          <w:sz w:val="24"/>
        </w:rPr>
        <w:t>Ministerstvu kultury</w:t>
      </w:r>
      <w:r w:rsidR="001610C2">
        <w:rPr>
          <w:rFonts w:asciiTheme="minorHAnsi" w:eastAsia="Calibri" w:hAnsiTheme="minorHAnsi" w:cstheme="minorHAnsi"/>
          <w:sz w:val="24"/>
        </w:rPr>
        <w:t xml:space="preserve"> výpověď uvedené dohody s platností od počátku roku 2021. V srpnu 2021 NG zrušila odstoupení od dohody a začala opět poskytovat vstup</w:t>
      </w:r>
      <w:r>
        <w:rPr>
          <w:rFonts w:asciiTheme="minorHAnsi" w:eastAsia="Calibri" w:hAnsiTheme="minorHAnsi" w:cstheme="minorHAnsi"/>
          <w:sz w:val="24"/>
        </w:rPr>
        <w:t>y</w:t>
      </w:r>
      <w:r w:rsidR="001610C2">
        <w:rPr>
          <w:rFonts w:asciiTheme="minorHAnsi" w:eastAsia="Calibri" w:hAnsiTheme="minorHAnsi" w:cstheme="minorHAnsi"/>
          <w:sz w:val="24"/>
        </w:rPr>
        <w:t xml:space="preserve"> zdarma na základě dohody</w:t>
      </w:r>
      <w:r w:rsidR="00316E93">
        <w:rPr>
          <w:rFonts w:asciiTheme="minorHAnsi" w:eastAsia="Calibri" w:hAnsiTheme="minorHAnsi" w:cstheme="minorHAnsi"/>
          <w:sz w:val="24"/>
        </w:rPr>
        <w:t xml:space="preserve"> o spolupráci</w:t>
      </w:r>
      <w:r w:rsidR="001610C2">
        <w:rPr>
          <w:rFonts w:asciiTheme="minorHAnsi" w:eastAsia="Calibri" w:hAnsiTheme="minorHAnsi" w:cstheme="minorHAnsi"/>
          <w:sz w:val="24"/>
        </w:rPr>
        <w:t xml:space="preserve">. </w:t>
      </w:r>
      <w:r>
        <w:rPr>
          <w:rFonts w:asciiTheme="minorHAnsi" w:eastAsia="Calibri" w:hAnsiTheme="minorHAnsi" w:cstheme="minorHAnsi"/>
          <w:sz w:val="24"/>
        </w:rPr>
        <w:t xml:space="preserve">NG a UPM </w:t>
      </w:r>
      <w:r w:rsidR="00AC4E89" w:rsidRPr="005A56EA">
        <w:rPr>
          <w:rFonts w:asciiTheme="minorHAnsi" w:eastAsia="Calibri" w:hAnsiTheme="minorHAnsi" w:cstheme="minorHAnsi"/>
          <w:sz w:val="24"/>
        </w:rPr>
        <w:t>nepostupovaly v souladu s</w:t>
      </w:r>
      <w:r w:rsidR="00CF55F6">
        <w:rPr>
          <w:rFonts w:asciiTheme="minorHAnsi" w:eastAsia="Calibri" w:hAnsiTheme="minorHAnsi" w:cstheme="minorHAnsi"/>
          <w:sz w:val="24"/>
        </w:rPr>
        <w:t> </w:t>
      </w:r>
      <w:r w:rsidR="00AC4E89" w:rsidRPr="005A56EA">
        <w:rPr>
          <w:rFonts w:asciiTheme="minorHAnsi" w:eastAsia="Calibri" w:hAnsiTheme="minorHAnsi" w:cstheme="minorHAnsi"/>
          <w:sz w:val="24"/>
        </w:rPr>
        <w:t>ustanovením</w:t>
      </w:r>
      <w:r w:rsidR="00CF55F6">
        <w:rPr>
          <w:rFonts w:asciiTheme="minorHAnsi" w:eastAsia="Calibri" w:hAnsiTheme="minorHAnsi" w:cstheme="minorHAnsi"/>
          <w:sz w:val="24"/>
        </w:rPr>
        <w:t xml:space="preserve"> zákona</w:t>
      </w:r>
      <w:r w:rsidR="006315D4">
        <w:rPr>
          <w:rFonts w:asciiTheme="minorHAnsi" w:eastAsia="Calibri" w:hAnsiTheme="minorHAnsi" w:cstheme="minorHAnsi"/>
          <w:sz w:val="24"/>
        </w:rPr>
        <w:t xml:space="preserve"> o majetku státu</w:t>
      </w:r>
      <w:r w:rsidR="006315D4">
        <w:rPr>
          <w:rStyle w:val="Znakapoznpodarou"/>
          <w:rFonts w:asciiTheme="minorHAnsi" w:eastAsia="Calibri" w:hAnsiTheme="minorHAnsi" w:cstheme="minorHAnsi"/>
          <w:sz w:val="24"/>
        </w:rPr>
        <w:footnoteReference w:id="47"/>
      </w:r>
      <w:r w:rsidR="00AC4E89" w:rsidRPr="005A56EA">
        <w:rPr>
          <w:rFonts w:asciiTheme="minorHAnsi" w:eastAsia="Calibri" w:hAnsiTheme="minorHAnsi" w:cstheme="minorHAnsi"/>
          <w:sz w:val="24"/>
        </w:rPr>
        <w:t>, neboť poskytováním volných vstupů zdarma do svých výstavních prostor v uvedených případech neodůvodněně snižoval</w:t>
      </w:r>
      <w:r>
        <w:rPr>
          <w:rFonts w:asciiTheme="minorHAnsi" w:eastAsia="Calibri" w:hAnsiTheme="minorHAnsi" w:cstheme="minorHAnsi"/>
          <w:sz w:val="24"/>
        </w:rPr>
        <w:t>y</w:t>
      </w:r>
      <w:r w:rsidR="00AC4E89" w:rsidRPr="005A56EA">
        <w:rPr>
          <w:rFonts w:asciiTheme="minorHAnsi" w:eastAsia="Calibri" w:hAnsiTheme="minorHAnsi" w:cstheme="minorHAnsi"/>
          <w:sz w:val="24"/>
        </w:rPr>
        <w:t xml:space="preserve"> výnosy z majetku státu.</w:t>
      </w:r>
    </w:p>
    <w:p w14:paraId="759DFDF8" w14:textId="375C6D33" w:rsidR="007C1F19" w:rsidRDefault="007C1F19" w:rsidP="00150853">
      <w:pPr>
        <w:keepNext/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Tabulka č. </w:t>
      </w:r>
      <w:r w:rsidR="00C005BB">
        <w:rPr>
          <w:rFonts w:asciiTheme="minorHAnsi" w:eastAsia="Calibri" w:hAnsiTheme="minorHAnsi" w:cstheme="minorHAnsi"/>
          <w:sz w:val="24"/>
        </w:rPr>
        <w:t>6</w:t>
      </w:r>
      <w:r w:rsidR="00B343BF">
        <w:rPr>
          <w:rFonts w:asciiTheme="minorHAnsi" w:eastAsia="Calibri" w:hAnsiTheme="minorHAnsi" w:cstheme="minorHAnsi"/>
          <w:sz w:val="24"/>
        </w:rPr>
        <w:t>: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FB3129">
        <w:rPr>
          <w:rFonts w:asciiTheme="minorHAnsi" w:eastAsia="Calibri" w:hAnsiTheme="minorHAnsi" w:cstheme="minorHAnsi"/>
          <w:sz w:val="24"/>
        </w:rPr>
        <w:t>Celkové p</w:t>
      </w:r>
      <w:r w:rsidR="00CA6750">
        <w:rPr>
          <w:rFonts w:asciiTheme="minorHAnsi" w:eastAsia="Calibri" w:hAnsiTheme="minorHAnsi" w:cstheme="minorHAnsi"/>
          <w:sz w:val="24"/>
        </w:rPr>
        <w:t>oč</w:t>
      </w:r>
      <w:r w:rsidR="00FB3129">
        <w:rPr>
          <w:rFonts w:asciiTheme="minorHAnsi" w:eastAsia="Calibri" w:hAnsiTheme="minorHAnsi" w:cstheme="minorHAnsi"/>
          <w:sz w:val="24"/>
        </w:rPr>
        <w:t>ty</w:t>
      </w:r>
      <w:r w:rsidR="00CA6750">
        <w:rPr>
          <w:rFonts w:asciiTheme="minorHAnsi" w:eastAsia="Calibri" w:hAnsiTheme="minorHAnsi" w:cstheme="minorHAnsi"/>
          <w:sz w:val="24"/>
        </w:rPr>
        <w:t xml:space="preserve"> v</w:t>
      </w:r>
      <w:r>
        <w:rPr>
          <w:rFonts w:asciiTheme="minorHAnsi" w:eastAsia="Calibri" w:hAnsiTheme="minorHAnsi" w:cstheme="minorHAnsi"/>
          <w:sz w:val="24"/>
        </w:rPr>
        <w:t>oln</w:t>
      </w:r>
      <w:r w:rsidR="00CA6750">
        <w:rPr>
          <w:rFonts w:asciiTheme="minorHAnsi" w:eastAsia="Calibri" w:hAnsiTheme="minorHAnsi" w:cstheme="minorHAnsi"/>
          <w:sz w:val="24"/>
        </w:rPr>
        <w:t>ých</w:t>
      </w:r>
      <w:r>
        <w:rPr>
          <w:rFonts w:asciiTheme="minorHAnsi" w:eastAsia="Calibri" w:hAnsiTheme="minorHAnsi" w:cstheme="minorHAnsi"/>
          <w:sz w:val="24"/>
        </w:rPr>
        <w:t xml:space="preserve"> vstup</w:t>
      </w:r>
      <w:r w:rsidR="00CA6750">
        <w:rPr>
          <w:rFonts w:asciiTheme="minorHAnsi" w:eastAsia="Calibri" w:hAnsiTheme="minorHAnsi" w:cstheme="minorHAnsi"/>
          <w:sz w:val="24"/>
        </w:rPr>
        <w:t>ů</w:t>
      </w:r>
      <w:r>
        <w:rPr>
          <w:rFonts w:asciiTheme="minorHAnsi" w:eastAsia="Calibri" w:hAnsiTheme="minorHAnsi" w:cstheme="minorHAnsi"/>
          <w:sz w:val="24"/>
        </w:rPr>
        <w:t xml:space="preserve"> u NG a UPM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701"/>
        <w:gridCol w:w="1701"/>
      </w:tblGrid>
      <w:tr w:rsidR="00650CDA" w:rsidRPr="00650CDA" w14:paraId="10F98880" w14:textId="77777777" w:rsidTr="008D2BB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49250A61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0C0BAC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28968F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24B3F5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1886D5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650CDA" w:rsidRPr="00650CDA" w14:paraId="08E9F4BC" w14:textId="77777777" w:rsidTr="00F7261D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849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4CB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276 053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547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166 495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435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157 288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F948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599 836</w:t>
            </w:r>
          </w:p>
        </w:tc>
      </w:tr>
      <w:tr w:rsidR="00650CDA" w:rsidRPr="00650CDA" w14:paraId="3C3E5E64" w14:textId="77777777" w:rsidTr="00F7261D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7EE8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UPM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3D02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13 738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E71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11 882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14A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2 687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E5C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28 307</w:t>
            </w:r>
          </w:p>
        </w:tc>
      </w:tr>
      <w:tr w:rsidR="00650CDA" w:rsidRPr="00650CDA" w14:paraId="32194B59" w14:textId="77777777" w:rsidTr="00F7261D">
        <w:trPr>
          <w:trHeight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3FB7FC8B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10602EA6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289 791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54EA5B17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178 377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3DB55174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159 975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noWrap/>
            <w:vAlign w:val="bottom"/>
            <w:hideMark/>
          </w:tcPr>
          <w:p w14:paraId="7002AFA5" w14:textId="77777777" w:rsidR="00650CDA" w:rsidRPr="00650CDA" w:rsidRDefault="00650CDA" w:rsidP="00150853">
            <w:pPr>
              <w:keepNext/>
              <w:suppressAutoHyphens w:val="0"/>
              <w:spacing w:after="0" w:line="240" w:lineRule="auto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0CDA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628 143</w:t>
            </w:r>
          </w:p>
        </w:tc>
      </w:tr>
    </w:tbl>
    <w:p w14:paraId="0F6C594C" w14:textId="6FD610B2" w:rsidR="007C1F19" w:rsidRPr="00AB66D3" w:rsidRDefault="00AB66D3" w:rsidP="00150853">
      <w:pPr>
        <w:keepNext/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AB66D3">
        <w:rPr>
          <w:rFonts w:asciiTheme="minorHAnsi" w:eastAsia="Calibri" w:hAnsiTheme="minorHAnsi" w:cstheme="minorHAnsi"/>
          <w:sz w:val="20"/>
          <w:szCs w:val="20"/>
        </w:rPr>
        <w:t xml:space="preserve">Zdroj: </w:t>
      </w:r>
      <w:r w:rsidR="00FB3129">
        <w:rPr>
          <w:rFonts w:asciiTheme="minorHAnsi" w:eastAsia="Calibri" w:hAnsiTheme="minorHAnsi" w:cstheme="minorHAnsi"/>
          <w:sz w:val="20"/>
          <w:szCs w:val="20"/>
        </w:rPr>
        <w:t>v</w:t>
      </w:r>
      <w:r w:rsidRPr="00AB66D3">
        <w:rPr>
          <w:rFonts w:asciiTheme="minorHAnsi" w:eastAsia="Calibri" w:hAnsiTheme="minorHAnsi" w:cstheme="minorHAnsi"/>
          <w:sz w:val="20"/>
          <w:szCs w:val="20"/>
        </w:rPr>
        <w:t>lastní zpracování dle podkladů NG a UPM</w:t>
      </w:r>
      <w:r w:rsidR="00FB3129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4AAA626B" w14:textId="1C9FD57F" w:rsidR="00001C68" w:rsidRDefault="00FB3129" w:rsidP="0075220A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NKÚ zjistil,</w:t>
      </w:r>
      <w:r w:rsidR="00001C68">
        <w:rPr>
          <w:rFonts w:asciiTheme="minorHAnsi" w:eastAsia="Calibri" w:hAnsiTheme="minorHAnsi" w:cstheme="minorHAnsi"/>
          <w:sz w:val="24"/>
        </w:rPr>
        <w:t xml:space="preserve"> že ani jedna </w:t>
      </w:r>
      <w:r>
        <w:rPr>
          <w:rFonts w:asciiTheme="minorHAnsi" w:eastAsia="Calibri" w:hAnsiTheme="minorHAnsi" w:cstheme="minorHAnsi"/>
          <w:sz w:val="24"/>
        </w:rPr>
        <w:t xml:space="preserve">z kontrolovaných </w:t>
      </w:r>
      <w:r w:rsidR="00001C68">
        <w:rPr>
          <w:rFonts w:asciiTheme="minorHAnsi" w:eastAsia="Calibri" w:hAnsiTheme="minorHAnsi" w:cstheme="minorHAnsi"/>
          <w:sz w:val="24"/>
        </w:rPr>
        <w:t>příspěvkov</w:t>
      </w:r>
      <w:r>
        <w:rPr>
          <w:rFonts w:asciiTheme="minorHAnsi" w:eastAsia="Calibri" w:hAnsiTheme="minorHAnsi" w:cstheme="minorHAnsi"/>
          <w:sz w:val="24"/>
        </w:rPr>
        <w:t>ých</w:t>
      </w:r>
      <w:r w:rsidR="00001C68">
        <w:rPr>
          <w:rFonts w:asciiTheme="minorHAnsi" w:eastAsia="Calibri" w:hAnsiTheme="minorHAnsi" w:cstheme="minorHAnsi"/>
          <w:sz w:val="24"/>
        </w:rPr>
        <w:t xml:space="preserve"> organizac</w:t>
      </w:r>
      <w:r>
        <w:rPr>
          <w:rFonts w:asciiTheme="minorHAnsi" w:eastAsia="Calibri" w:hAnsiTheme="minorHAnsi" w:cstheme="minorHAnsi"/>
          <w:sz w:val="24"/>
        </w:rPr>
        <w:t>í</w:t>
      </w:r>
      <w:r w:rsidR="00001C68">
        <w:rPr>
          <w:rFonts w:asciiTheme="minorHAnsi" w:eastAsia="Calibri" w:hAnsiTheme="minorHAnsi" w:cstheme="minorHAnsi"/>
          <w:sz w:val="24"/>
        </w:rPr>
        <w:t xml:space="preserve"> nemá přehled o rozsahu poskytovaných volných vstupů vyplývajících z</w:t>
      </w:r>
      <w:r w:rsidR="009806AF">
        <w:rPr>
          <w:rFonts w:asciiTheme="minorHAnsi" w:eastAsia="Calibri" w:hAnsiTheme="minorHAnsi" w:cstheme="minorHAnsi"/>
          <w:sz w:val="24"/>
        </w:rPr>
        <w:t xml:space="preserve"> uzavřené </w:t>
      </w:r>
      <w:r w:rsidR="00001C68">
        <w:rPr>
          <w:rFonts w:asciiTheme="minorHAnsi" w:eastAsia="Calibri" w:hAnsiTheme="minorHAnsi" w:cstheme="minorHAnsi"/>
          <w:sz w:val="24"/>
        </w:rPr>
        <w:t>dohody o spolupráci s MK.</w:t>
      </w:r>
    </w:p>
    <w:p w14:paraId="058E8A5A" w14:textId="3ACE24DB" w:rsidR="00913BFD" w:rsidRPr="00913BFD" w:rsidRDefault="00913BFD" w:rsidP="0075220A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 w:rsidRPr="00913BFD">
        <w:rPr>
          <w:rFonts w:asciiTheme="minorHAnsi" w:eastAsia="Calibri" w:hAnsiTheme="minorHAnsi" w:cstheme="minorHAnsi"/>
          <w:sz w:val="24"/>
        </w:rPr>
        <w:t>Z</w:t>
      </w:r>
      <w:r w:rsidR="00001C68">
        <w:rPr>
          <w:rFonts w:asciiTheme="minorHAnsi" w:eastAsia="Calibri" w:hAnsiTheme="minorHAnsi" w:cstheme="minorHAnsi"/>
          <w:sz w:val="24"/>
        </w:rPr>
        <w:t> </w:t>
      </w:r>
      <w:r>
        <w:rPr>
          <w:rFonts w:asciiTheme="minorHAnsi" w:eastAsia="Calibri" w:hAnsiTheme="minorHAnsi" w:cstheme="minorHAnsi"/>
          <w:sz w:val="24"/>
        </w:rPr>
        <w:t>tabulky</w:t>
      </w:r>
      <w:r w:rsidR="00001C68">
        <w:rPr>
          <w:rFonts w:asciiTheme="minorHAnsi" w:eastAsia="Calibri" w:hAnsiTheme="minorHAnsi" w:cstheme="minorHAnsi"/>
          <w:sz w:val="24"/>
        </w:rPr>
        <w:t xml:space="preserve"> č. </w:t>
      </w:r>
      <w:r w:rsidR="00C343DF">
        <w:rPr>
          <w:rFonts w:asciiTheme="minorHAnsi" w:eastAsia="Calibri" w:hAnsiTheme="minorHAnsi" w:cstheme="minorHAnsi"/>
          <w:sz w:val="24"/>
        </w:rPr>
        <w:t>6</w:t>
      </w:r>
      <w:r>
        <w:rPr>
          <w:rFonts w:asciiTheme="minorHAnsi" w:eastAsia="Calibri" w:hAnsiTheme="minorHAnsi" w:cstheme="minorHAnsi"/>
          <w:sz w:val="24"/>
        </w:rPr>
        <w:t xml:space="preserve"> je patrné, že v kontrolovaném období docházelo k poklesu </w:t>
      </w:r>
      <w:r w:rsidR="00FB3129">
        <w:rPr>
          <w:rFonts w:asciiTheme="minorHAnsi" w:eastAsia="Calibri" w:hAnsiTheme="minorHAnsi" w:cstheme="minorHAnsi"/>
          <w:sz w:val="24"/>
        </w:rPr>
        <w:t xml:space="preserve">počtu </w:t>
      </w:r>
      <w:r>
        <w:rPr>
          <w:rFonts w:asciiTheme="minorHAnsi" w:eastAsia="Calibri" w:hAnsiTheme="minorHAnsi" w:cstheme="minorHAnsi"/>
          <w:sz w:val="24"/>
        </w:rPr>
        <w:t xml:space="preserve">volných vstupů do výstavních objektů obou příspěvkových organizací. Rok 2020 byl značně ovlivněn uzavřením objektů kvůli pandemii </w:t>
      </w:r>
      <w:r w:rsidR="00F3012E">
        <w:rPr>
          <w:rFonts w:asciiTheme="minorHAnsi" w:eastAsia="Calibri" w:hAnsiTheme="minorHAnsi" w:cstheme="minorHAnsi"/>
          <w:sz w:val="24"/>
        </w:rPr>
        <w:t xml:space="preserve">onemocnění </w:t>
      </w:r>
      <w:r w:rsidR="00FB3129">
        <w:rPr>
          <w:rFonts w:asciiTheme="minorHAnsi" w:eastAsia="Calibri" w:hAnsiTheme="minorHAnsi" w:cstheme="minorHAnsi"/>
          <w:sz w:val="24"/>
        </w:rPr>
        <w:t>covid</w:t>
      </w:r>
      <w:r>
        <w:rPr>
          <w:rFonts w:asciiTheme="minorHAnsi" w:eastAsia="Calibri" w:hAnsiTheme="minorHAnsi" w:cstheme="minorHAnsi"/>
          <w:sz w:val="24"/>
        </w:rPr>
        <w:t xml:space="preserve">-19. </w:t>
      </w:r>
    </w:p>
    <w:p w14:paraId="485E4C40" w14:textId="1826BAFB" w:rsidR="001610C2" w:rsidRPr="001610C2" w:rsidRDefault="00500E8B" w:rsidP="0075220A">
      <w:pPr>
        <w:spacing w:before="120" w:after="0" w:line="240" w:lineRule="auto"/>
        <w:rPr>
          <w:rFonts w:asciiTheme="minorHAnsi" w:eastAsia="Calibri" w:hAnsiTheme="minorHAnsi" w:cstheme="minorHAnsi"/>
          <w:b/>
          <w:sz w:val="24"/>
        </w:rPr>
      </w:pPr>
      <w:r>
        <w:rPr>
          <w:rFonts w:asciiTheme="minorHAnsi" w:eastAsia="Calibri" w:hAnsiTheme="minorHAnsi" w:cstheme="minorHAnsi"/>
          <w:b/>
          <w:sz w:val="24"/>
        </w:rPr>
        <w:t>UPM</w:t>
      </w:r>
      <w:r w:rsidR="00575937">
        <w:rPr>
          <w:rFonts w:asciiTheme="minorHAnsi" w:eastAsia="Calibri" w:hAnsiTheme="minorHAnsi" w:cstheme="minorHAnsi"/>
          <w:b/>
          <w:sz w:val="24"/>
        </w:rPr>
        <w:t xml:space="preserve"> uzavíral</w:t>
      </w:r>
      <w:r>
        <w:rPr>
          <w:rFonts w:asciiTheme="minorHAnsi" w:eastAsia="Calibri" w:hAnsiTheme="minorHAnsi" w:cstheme="minorHAnsi"/>
          <w:b/>
          <w:sz w:val="24"/>
        </w:rPr>
        <w:t>o</w:t>
      </w:r>
      <w:r w:rsidR="00575937">
        <w:rPr>
          <w:rFonts w:asciiTheme="minorHAnsi" w:eastAsia="Calibri" w:hAnsiTheme="minorHAnsi" w:cstheme="minorHAnsi"/>
          <w:b/>
          <w:sz w:val="24"/>
        </w:rPr>
        <w:t xml:space="preserve"> nájemní smlouvy</w:t>
      </w:r>
      <w:r w:rsidR="00CF55F6">
        <w:rPr>
          <w:rFonts w:asciiTheme="minorHAnsi" w:eastAsia="Calibri" w:hAnsiTheme="minorHAnsi" w:cstheme="minorHAnsi"/>
          <w:b/>
          <w:sz w:val="24"/>
        </w:rPr>
        <w:t>, které obsahovaly</w:t>
      </w:r>
      <w:r w:rsidR="00575937">
        <w:rPr>
          <w:rFonts w:asciiTheme="minorHAnsi" w:eastAsia="Calibri" w:hAnsiTheme="minorHAnsi" w:cstheme="minorHAnsi"/>
          <w:b/>
          <w:sz w:val="24"/>
        </w:rPr>
        <w:t xml:space="preserve"> nedostatky</w:t>
      </w:r>
    </w:p>
    <w:p w14:paraId="6DA6E00E" w14:textId="0281E73C" w:rsidR="00AC4E89" w:rsidRDefault="00AC4E89" w:rsidP="0075220A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UPM ve dvou případech přenechalo prostory sloužící k podnikání nájemci a spolu s prostory </w:t>
      </w:r>
      <w:r w:rsidR="00EC0015">
        <w:rPr>
          <w:rFonts w:asciiTheme="minorHAnsi" w:eastAsia="Calibri" w:hAnsiTheme="minorHAnsi" w:cstheme="minorHAnsi"/>
          <w:sz w:val="24"/>
        </w:rPr>
        <w:t xml:space="preserve">přenechalo </w:t>
      </w:r>
      <w:r>
        <w:rPr>
          <w:rFonts w:asciiTheme="minorHAnsi" w:eastAsia="Calibri" w:hAnsiTheme="minorHAnsi" w:cstheme="minorHAnsi"/>
          <w:sz w:val="24"/>
        </w:rPr>
        <w:t>bezúplatně do užívání</w:t>
      </w:r>
      <w:r w:rsidR="00CC70CA">
        <w:rPr>
          <w:rFonts w:asciiTheme="minorHAnsi" w:eastAsia="Calibri" w:hAnsiTheme="minorHAnsi" w:cstheme="minorHAnsi"/>
          <w:sz w:val="24"/>
        </w:rPr>
        <w:t xml:space="preserve"> </w:t>
      </w:r>
      <w:r w:rsidR="00EC0015">
        <w:rPr>
          <w:rFonts w:asciiTheme="minorHAnsi" w:eastAsia="Calibri" w:hAnsiTheme="minorHAnsi" w:cstheme="minorHAnsi"/>
          <w:sz w:val="24"/>
        </w:rPr>
        <w:t xml:space="preserve">i </w:t>
      </w:r>
      <w:r>
        <w:rPr>
          <w:rFonts w:asciiTheme="minorHAnsi" w:eastAsia="Calibri" w:hAnsiTheme="minorHAnsi" w:cstheme="minorHAnsi"/>
          <w:sz w:val="24"/>
        </w:rPr>
        <w:t>movité věci</w:t>
      </w:r>
      <w:r w:rsidR="00EC0015">
        <w:rPr>
          <w:rFonts w:asciiTheme="minorHAnsi" w:eastAsia="Calibri" w:hAnsiTheme="minorHAnsi" w:cstheme="minorHAnsi"/>
          <w:sz w:val="24"/>
        </w:rPr>
        <w:t>, což bylo</w:t>
      </w:r>
      <w:r w:rsidR="00CC70CA">
        <w:rPr>
          <w:rFonts w:asciiTheme="minorHAnsi" w:eastAsia="Calibri" w:hAnsiTheme="minorHAnsi" w:cstheme="minorHAnsi"/>
          <w:sz w:val="24"/>
        </w:rPr>
        <w:t xml:space="preserve"> v rozporu se zákonem o majetku</w:t>
      </w:r>
      <w:r w:rsidR="00EC0015">
        <w:rPr>
          <w:rFonts w:asciiTheme="minorHAnsi" w:eastAsia="Calibri" w:hAnsiTheme="minorHAnsi" w:cstheme="minorHAnsi"/>
          <w:sz w:val="24"/>
        </w:rPr>
        <w:t xml:space="preserve"> </w:t>
      </w:r>
      <w:r w:rsidR="00EC0015">
        <w:rPr>
          <w:rFonts w:asciiTheme="minorHAnsi" w:eastAsia="Calibri" w:hAnsiTheme="minorHAnsi" w:cstheme="minorHAnsi"/>
          <w:sz w:val="24"/>
        </w:rPr>
        <w:lastRenderedPageBreak/>
        <w:t>státu</w:t>
      </w:r>
      <w:r w:rsidR="00CC70CA">
        <w:rPr>
          <w:rStyle w:val="Znakapoznpodarou"/>
          <w:rFonts w:asciiTheme="minorHAnsi" w:eastAsia="Calibri" w:hAnsiTheme="minorHAnsi" w:cstheme="minorHAnsi"/>
          <w:sz w:val="24"/>
        </w:rPr>
        <w:footnoteReference w:id="48"/>
      </w:r>
      <w:r>
        <w:rPr>
          <w:rFonts w:asciiTheme="minorHAnsi" w:eastAsia="Calibri" w:hAnsiTheme="minorHAnsi" w:cstheme="minorHAnsi"/>
          <w:sz w:val="24"/>
        </w:rPr>
        <w:t xml:space="preserve">. V prvním případě UPM v červenci 2016 uzavřelo smlouvu o nájmu prostoru sloužícího k podnikání a spolu s prostory přenechalo nájemci i movitý majetek, a to </w:t>
      </w:r>
      <w:r w:rsidR="00EC0015">
        <w:rPr>
          <w:rFonts w:asciiTheme="minorHAnsi" w:eastAsia="Calibri" w:hAnsiTheme="minorHAnsi" w:cstheme="minorHAnsi"/>
          <w:sz w:val="24"/>
        </w:rPr>
        <w:t xml:space="preserve">i </w:t>
      </w:r>
      <w:r>
        <w:rPr>
          <w:rFonts w:asciiTheme="minorHAnsi" w:eastAsia="Calibri" w:hAnsiTheme="minorHAnsi" w:cstheme="minorHAnsi"/>
          <w:sz w:val="24"/>
        </w:rPr>
        <w:t>přes</w:t>
      </w:r>
      <w:r w:rsidR="00EC0015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  <w:sz w:val="24"/>
        </w:rPr>
        <w:t>t</w:t>
      </w:r>
      <w:r w:rsidR="00EC0015">
        <w:rPr>
          <w:rFonts w:asciiTheme="minorHAnsi" w:eastAsia="Calibri" w:hAnsiTheme="minorHAnsi" w:cstheme="minorHAnsi"/>
          <w:sz w:val="24"/>
        </w:rPr>
        <w:t>u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EC0015">
        <w:rPr>
          <w:rFonts w:asciiTheme="minorHAnsi" w:eastAsia="Calibri" w:hAnsiTheme="minorHAnsi" w:cstheme="minorHAnsi"/>
          <w:sz w:val="24"/>
        </w:rPr>
        <w:t xml:space="preserve">skutečnost, </w:t>
      </w:r>
      <w:r>
        <w:rPr>
          <w:rFonts w:asciiTheme="minorHAnsi" w:eastAsia="Calibri" w:hAnsiTheme="minorHAnsi" w:cstheme="minorHAnsi"/>
          <w:sz w:val="24"/>
        </w:rPr>
        <w:t>že se jednalo o věci v</w:t>
      </w:r>
      <w:r w:rsidR="007A7663">
        <w:rPr>
          <w:rFonts w:asciiTheme="minorHAnsi" w:eastAsia="Calibri" w:hAnsiTheme="minorHAnsi" w:cstheme="minorHAnsi"/>
          <w:sz w:val="24"/>
        </w:rPr>
        <w:t> </w:t>
      </w:r>
      <w:r>
        <w:rPr>
          <w:rFonts w:asciiTheme="minorHAnsi" w:eastAsia="Calibri" w:hAnsiTheme="minorHAnsi" w:cstheme="minorHAnsi"/>
          <w:sz w:val="24"/>
        </w:rPr>
        <w:t xml:space="preserve">hodnotě více než 1 mil. Kč. Nájemné </w:t>
      </w:r>
      <w:r w:rsidR="00127069">
        <w:rPr>
          <w:rFonts w:asciiTheme="minorHAnsi" w:eastAsia="Calibri" w:hAnsiTheme="minorHAnsi" w:cstheme="minorHAnsi"/>
          <w:sz w:val="24"/>
        </w:rPr>
        <w:t xml:space="preserve">za užívání prostor </w:t>
      </w:r>
      <w:r>
        <w:rPr>
          <w:rFonts w:asciiTheme="minorHAnsi" w:eastAsia="Calibri" w:hAnsiTheme="minorHAnsi" w:cstheme="minorHAnsi"/>
          <w:sz w:val="24"/>
        </w:rPr>
        <w:t>bylo stanoveno na základě veřejné nabídky ve výši 5 000 Kč měsíčně.</w:t>
      </w:r>
    </w:p>
    <w:p w14:paraId="35EE7671" w14:textId="32289249" w:rsidR="003F363F" w:rsidRDefault="00AC4E89" w:rsidP="0075220A">
      <w:pPr>
        <w:spacing w:before="120" w:after="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>V druhém případě UPM v</w:t>
      </w:r>
      <w:r w:rsidR="00EC0015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  <w:sz w:val="24"/>
        </w:rPr>
        <w:t xml:space="preserve">září 2017 </w:t>
      </w:r>
      <w:r w:rsidR="00EC0015">
        <w:rPr>
          <w:rFonts w:asciiTheme="minorHAnsi" w:eastAsia="Calibri" w:hAnsiTheme="minorHAnsi" w:cstheme="minorHAnsi"/>
          <w:sz w:val="24"/>
        </w:rPr>
        <w:t xml:space="preserve">uzavřelo </w:t>
      </w:r>
      <w:r>
        <w:rPr>
          <w:rFonts w:asciiTheme="minorHAnsi" w:eastAsia="Calibri" w:hAnsiTheme="minorHAnsi" w:cstheme="minorHAnsi"/>
          <w:sz w:val="24"/>
        </w:rPr>
        <w:t>s</w:t>
      </w:r>
      <w:r w:rsidR="00EC0015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  <w:sz w:val="24"/>
        </w:rPr>
        <w:t xml:space="preserve">nájemcem smlouvu o nájmu prostoru sloužícího k podnikání </w:t>
      </w:r>
      <w:r w:rsidR="00EC0015">
        <w:rPr>
          <w:rFonts w:asciiTheme="minorHAnsi" w:eastAsia="Calibri" w:hAnsiTheme="minorHAnsi" w:cstheme="minorHAnsi"/>
          <w:sz w:val="24"/>
        </w:rPr>
        <w:t xml:space="preserve">a na základě této smlouvy </w:t>
      </w:r>
      <w:r>
        <w:rPr>
          <w:rFonts w:asciiTheme="minorHAnsi" w:eastAsia="Calibri" w:hAnsiTheme="minorHAnsi" w:cstheme="minorHAnsi"/>
          <w:sz w:val="24"/>
        </w:rPr>
        <w:t>krom</w:t>
      </w:r>
      <w:r w:rsidR="00EC0015">
        <w:rPr>
          <w:rFonts w:asciiTheme="minorHAnsi" w:eastAsia="Calibri" w:hAnsiTheme="minorHAnsi" w:cstheme="minorHAnsi"/>
          <w:sz w:val="24"/>
        </w:rPr>
        <w:t>ě</w:t>
      </w:r>
      <w:r>
        <w:rPr>
          <w:rFonts w:asciiTheme="minorHAnsi" w:eastAsia="Calibri" w:hAnsiTheme="minorHAnsi" w:cstheme="minorHAnsi"/>
          <w:sz w:val="24"/>
        </w:rPr>
        <w:t xml:space="preserve"> určeného prostoru přenechalo nájemci navíc do bezplatného užívání </w:t>
      </w:r>
      <w:r w:rsidR="00EC0015">
        <w:rPr>
          <w:rFonts w:asciiTheme="minorHAnsi" w:eastAsia="Calibri" w:hAnsiTheme="minorHAnsi" w:cstheme="minorHAnsi"/>
          <w:sz w:val="24"/>
        </w:rPr>
        <w:t xml:space="preserve">i </w:t>
      </w:r>
      <w:r>
        <w:rPr>
          <w:rFonts w:asciiTheme="minorHAnsi" w:eastAsia="Calibri" w:hAnsiTheme="minorHAnsi" w:cstheme="minorHAnsi"/>
          <w:sz w:val="24"/>
        </w:rPr>
        <w:t>movité věci</w:t>
      </w:r>
      <w:r w:rsidR="00EC0015">
        <w:rPr>
          <w:rFonts w:asciiTheme="minorHAnsi" w:eastAsia="Calibri" w:hAnsiTheme="minorHAnsi" w:cstheme="minorHAnsi"/>
          <w:sz w:val="24"/>
        </w:rPr>
        <w:t>, což bylo</w:t>
      </w:r>
      <w:r w:rsidR="00BB70C4">
        <w:rPr>
          <w:rFonts w:asciiTheme="minorHAnsi" w:eastAsia="Calibri" w:hAnsiTheme="minorHAnsi" w:cstheme="minorHAnsi"/>
          <w:sz w:val="24"/>
        </w:rPr>
        <w:t xml:space="preserve"> v rozporu se zákonem o</w:t>
      </w:r>
      <w:r w:rsidR="00EC0015">
        <w:rPr>
          <w:rFonts w:asciiTheme="minorHAnsi" w:eastAsia="Calibri" w:hAnsiTheme="minorHAnsi" w:cstheme="minorHAnsi"/>
          <w:sz w:val="24"/>
        </w:rPr>
        <w:t> </w:t>
      </w:r>
      <w:r w:rsidR="00BB70C4">
        <w:rPr>
          <w:rFonts w:asciiTheme="minorHAnsi" w:eastAsia="Calibri" w:hAnsiTheme="minorHAnsi" w:cstheme="minorHAnsi"/>
          <w:sz w:val="24"/>
        </w:rPr>
        <w:t>majetku</w:t>
      </w:r>
      <w:r w:rsidR="00EC0015">
        <w:rPr>
          <w:rFonts w:asciiTheme="minorHAnsi" w:eastAsia="Calibri" w:hAnsiTheme="minorHAnsi" w:cstheme="minorHAnsi"/>
          <w:sz w:val="24"/>
        </w:rPr>
        <w:t xml:space="preserve"> státu</w:t>
      </w:r>
      <w:r w:rsidR="001D5559">
        <w:rPr>
          <w:rFonts w:asciiTheme="minorHAnsi" w:eastAsia="Calibri" w:hAnsiTheme="minorHAnsi" w:cstheme="minorHAnsi"/>
          <w:sz w:val="24"/>
          <w:vertAlign w:val="superscript"/>
        </w:rPr>
        <w:t>4</w:t>
      </w:r>
      <w:r w:rsidR="00123576">
        <w:rPr>
          <w:rFonts w:asciiTheme="minorHAnsi" w:eastAsia="Calibri" w:hAnsiTheme="minorHAnsi" w:cstheme="minorHAnsi"/>
          <w:sz w:val="24"/>
          <w:vertAlign w:val="superscript"/>
        </w:rPr>
        <w:t>8</w:t>
      </w:r>
      <w:r>
        <w:rPr>
          <w:rFonts w:asciiTheme="minorHAnsi" w:eastAsia="Calibri" w:hAnsiTheme="minorHAnsi" w:cstheme="minorHAnsi"/>
          <w:sz w:val="24"/>
        </w:rPr>
        <w:t>. Uzavřená smlouva se od návrhu smlouvy uvedené</w:t>
      </w:r>
      <w:r w:rsidR="00EC0015">
        <w:rPr>
          <w:rFonts w:asciiTheme="minorHAnsi" w:eastAsia="Calibri" w:hAnsiTheme="minorHAnsi" w:cstheme="minorHAnsi"/>
          <w:sz w:val="24"/>
        </w:rPr>
        <w:t>ho</w:t>
      </w:r>
      <w:r>
        <w:rPr>
          <w:rFonts w:asciiTheme="minorHAnsi" w:eastAsia="Calibri" w:hAnsiTheme="minorHAnsi" w:cstheme="minorHAnsi"/>
          <w:sz w:val="24"/>
        </w:rPr>
        <w:t xml:space="preserve"> ve výzvě, na kterou uchazeči reagovali</w:t>
      </w:r>
      <w:r w:rsidR="00EC0015">
        <w:rPr>
          <w:rFonts w:asciiTheme="minorHAnsi" w:eastAsia="Calibri" w:hAnsiTheme="minorHAnsi" w:cstheme="minorHAnsi"/>
          <w:sz w:val="24"/>
        </w:rPr>
        <w:t>,</w:t>
      </w:r>
      <w:r>
        <w:rPr>
          <w:rFonts w:asciiTheme="minorHAnsi" w:eastAsia="Calibri" w:hAnsiTheme="minorHAnsi" w:cstheme="minorHAnsi"/>
          <w:sz w:val="24"/>
        </w:rPr>
        <w:t xml:space="preserve"> lišila v části </w:t>
      </w:r>
      <w:r w:rsidR="00F7261D">
        <w:rPr>
          <w:rFonts w:asciiTheme="minorHAnsi" w:eastAsia="Calibri" w:hAnsiTheme="minorHAnsi" w:cstheme="minorHAnsi"/>
          <w:sz w:val="24"/>
        </w:rPr>
        <w:t xml:space="preserve">pojednávající o </w:t>
      </w:r>
      <w:r>
        <w:rPr>
          <w:rFonts w:asciiTheme="minorHAnsi" w:eastAsia="Calibri" w:hAnsiTheme="minorHAnsi" w:cstheme="minorHAnsi"/>
          <w:sz w:val="24"/>
        </w:rPr>
        <w:t xml:space="preserve">přenechání movitých věcí, kde u podepsané smlouvy </w:t>
      </w:r>
      <w:r w:rsidR="00EC0015">
        <w:rPr>
          <w:rFonts w:asciiTheme="minorHAnsi" w:eastAsia="Calibri" w:hAnsiTheme="minorHAnsi" w:cstheme="minorHAnsi"/>
          <w:sz w:val="24"/>
        </w:rPr>
        <w:t xml:space="preserve">bylo sjednáno </w:t>
      </w:r>
      <w:r>
        <w:rPr>
          <w:rFonts w:asciiTheme="minorHAnsi" w:eastAsia="Calibri" w:hAnsiTheme="minorHAnsi" w:cstheme="minorHAnsi"/>
          <w:sz w:val="24"/>
        </w:rPr>
        <w:t>jejich bezúplatné užívání</w:t>
      </w:r>
      <w:r w:rsidR="00EC0015">
        <w:rPr>
          <w:rFonts w:asciiTheme="minorHAnsi" w:eastAsia="Calibri" w:hAnsiTheme="minorHAnsi" w:cstheme="minorHAnsi"/>
          <w:sz w:val="24"/>
        </w:rPr>
        <w:t>, zatímco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="00141F5A">
        <w:rPr>
          <w:rFonts w:asciiTheme="minorHAnsi" w:eastAsia="Calibri" w:hAnsiTheme="minorHAnsi" w:cstheme="minorHAnsi"/>
          <w:sz w:val="24"/>
        </w:rPr>
        <w:t xml:space="preserve">výzva </w:t>
      </w:r>
      <w:r w:rsidR="00393DE6">
        <w:rPr>
          <w:rFonts w:asciiTheme="minorHAnsi" w:eastAsia="Calibri" w:hAnsiTheme="minorHAnsi" w:cstheme="minorHAnsi"/>
          <w:sz w:val="24"/>
        </w:rPr>
        <w:t>bezúplatné přenechání movitých věcí neobsahovala</w:t>
      </w:r>
      <w:r>
        <w:rPr>
          <w:rFonts w:asciiTheme="minorHAnsi" w:eastAsia="Calibri" w:hAnsiTheme="minorHAnsi" w:cstheme="minorHAnsi"/>
          <w:sz w:val="24"/>
        </w:rPr>
        <w:t xml:space="preserve">. </w:t>
      </w:r>
      <w:r w:rsidR="00EC0015">
        <w:rPr>
          <w:rFonts w:asciiTheme="minorHAnsi" w:eastAsia="Calibri" w:hAnsiTheme="minorHAnsi" w:cstheme="minorHAnsi"/>
          <w:sz w:val="24"/>
        </w:rPr>
        <w:t xml:space="preserve">Ani jeden z uvedených dokumentů (smlouva a návrh smlouvy) </w:t>
      </w:r>
      <w:r>
        <w:rPr>
          <w:rFonts w:asciiTheme="minorHAnsi" w:eastAsia="Calibri" w:hAnsiTheme="minorHAnsi" w:cstheme="minorHAnsi"/>
          <w:sz w:val="24"/>
        </w:rPr>
        <w:t>navíc neobsahoval</w:t>
      </w:r>
      <w:r w:rsidR="00673DF0">
        <w:rPr>
          <w:rFonts w:asciiTheme="minorHAnsi" w:eastAsia="Calibri" w:hAnsiTheme="minorHAnsi" w:cstheme="minorHAnsi"/>
          <w:sz w:val="24"/>
        </w:rPr>
        <w:t xml:space="preserve"> </w:t>
      </w:r>
      <w:r>
        <w:rPr>
          <w:rFonts w:asciiTheme="minorHAnsi" w:eastAsia="Calibri" w:hAnsiTheme="minorHAnsi" w:cstheme="minorHAnsi"/>
          <w:sz w:val="24"/>
        </w:rPr>
        <w:t>inflační doložku, která by reagovala na vývoj situace</w:t>
      </w:r>
      <w:r w:rsidR="00673DF0">
        <w:rPr>
          <w:rFonts w:asciiTheme="minorHAnsi" w:eastAsia="Calibri" w:hAnsiTheme="minorHAnsi" w:cstheme="minorHAnsi"/>
          <w:sz w:val="24"/>
        </w:rPr>
        <w:t>, jak požaduje zákon o</w:t>
      </w:r>
      <w:r w:rsidR="00F7261D">
        <w:rPr>
          <w:rFonts w:asciiTheme="minorHAnsi" w:eastAsia="Calibri" w:hAnsiTheme="minorHAnsi" w:cstheme="minorHAnsi"/>
          <w:sz w:val="24"/>
        </w:rPr>
        <w:t> </w:t>
      </w:r>
      <w:r w:rsidR="00673DF0">
        <w:rPr>
          <w:rFonts w:asciiTheme="minorHAnsi" w:eastAsia="Calibri" w:hAnsiTheme="minorHAnsi" w:cstheme="minorHAnsi"/>
          <w:sz w:val="24"/>
        </w:rPr>
        <w:t>majetku státu</w:t>
      </w:r>
      <w:r w:rsidR="00673DF0">
        <w:rPr>
          <w:rFonts w:asciiTheme="minorHAnsi" w:eastAsia="Calibri" w:hAnsiTheme="minorHAnsi" w:cstheme="minorHAnsi"/>
          <w:sz w:val="24"/>
          <w:vertAlign w:val="superscript"/>
        </w:rPr>
        <w:t>4</w:t>
      </w:r>
      <w:r w:rsidR="00123576">
        <w:rPr>
          <w:rFonts w:asciiTheme="minorHAnsi" w:eastAsia="Calibri" w:hAnsiTheme="minorHAnsi" w:cstheme="minorHAnsi"/>
          <w:sz w:val="24"/>
          <w:vertAlign w:val="superscript"/>
        </w:rPr>
        <w:t>8</w:t>
      </w:r>
      <w:r w:rsidR="00673DF0">
        <w:rPr>
          <w:rFonts w:asciiTheme="minorHAnsi" w:eastAsia="Calibri" w:hAnsiTheme="minorHAnsi" w:cstheme="minorHAnsi"/>
          <w:sz w:val="24"/>
        </w:rPr>
        <w:t xml:space="preserve">. </w:t>
      </w:r>
    </w:p>
    <w:p w14:paraId="7B0837E0" w14:textId="77777777" w:rsidR="00EC0015" w:rsidRDefault="00EC0015" w:rsidP="007E144E">
      <w:pPr>
        <w:suppressAutoHyphens w:val="0"/>
        <w:spacing w:before="240" w:after="0"/>
        <w:rPr>
          <w:rFonts w:asciiTheme="minorHAnsi" w:hAnsiTheme="minorHAnsi" w:cstheme="minorHAnsi"/>
          <w:b/>
          <w:sz w:val="24"/>
        </w:rPr>
      </w:pPr>
    </w:p>
    <w:p w14:paraId="52598B98" w14:textId="77777777" w:rsidR="00F7261D" w:rsidRDefault="00F7261D">
      <w:pPr>
        <w:suppressAutoHyphens w:val="0"/>
        <w:spacing w:before="120" w:after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4F629200" w14:textId="79266E11" w:rsidR="00584CF9" w:rsidRPr="00584CF9" w:rsidRDefault="00584CF9" w:rsidP="007E144E">
      <w:pPr>
        <w:suppressAutoHyphens w:val="0"/>
        <w:spacing w:before="240" w:after="0"/>
        <w:rPr>
          <w:rFonts w:asciiTheme="minorHAnsi" w:hAnsiTheme="minorHAnsi" w:cstheme="minorHAnsi"/>
          <w:b/>
          <w:sz w:val="24"/>
        </w:rPr>
      </w:pPr>
      <w:r w:rsidRPr="00584CF9">
        <w:rPr>
          <w:rFonts w:asciiTheme="minorHAnsi" w:hAnsiTheme="minorHAnsi" w:cstheme="minorHAnsi"/>
          <w:b/>
          <w:sz w:val="24"/>
        </w:rPr>
        <w:lastRenderedPageBreak/>
        <w:t>Seznam zkratek</w:t>
      </w:r>
    </w:p>
    <w:p w14:paraId="1387EC3C" w14:textId="3B9DB3AA" w:rsidR="00B5033E" w:rsidRDefault="00B5033E" w:rsidP="005A4ECA">
      <w:pPr>
        <w:suppressAutoHyphens w:val="0"/>
        <w:spacing w:before="120"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DIK</w:t>
      </w:r>
      <w:r>
        <w:rPr>
          <w:rFonts w:asciiTheme="minorHAnsi" w:hAnsiTheme="minorHAnsi" w:cstheme="minorHAnsi"/>
          <w:sz w:val="24"/>
        </w:rPr>
        <w:tab/>
      </w:r>
      <w:r w:rsidR="00A12D92">
        <w:rPr>
          <w:rFonts w:asciiTheme="minorHAnsi" w:hAnsiTheme="minorHAnsi" w:cstheme="minorHAnsi"/>
          <w:sz w:val="24"/>
        </w:rPr>
        <w:t>d</w:t>
      </w:r>
      <w:r>
        <w:rPr>
          <w:rFonts w:asciiTheme="minorHAnsi" w:hAnsiTheme="minorHAnsi" w:cstheme="minorHAnsi"/>
          <w:sz w:val="24"/>
        </w:rPr>
        <w:t>ílčí inventarizační komise</w:t>
      </w:r>
    </w:p>
    <w:p w14:paraId="607E724B" w14:textId="2C0243BF" w:rsidR="00A12D92" w:rsidRDefault="00A12D92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DPH</w:t>
      </w:r>
      <w:r>
        <w:rPr>
          <w:rFonts w:asciiTheme="minorHAnsi" w:hAnsiTheme="minorHAnsi" w:cstheme="minorHAnsi"/>
          <w:sz w:val="24"/>
        </w:rPr>
        <w:tab/>
        <w:t>daň z přidané hodnoty</w:t>
      </w:r>
    </w:p>
    <w:p w14:paraId="6DF37F6F" w14:textId="6DEDB8B2" w:rsidR="00C343DF" w:rsidRDefault="00C343DF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MK</w:t>
      </w:r>
      <w:r>
        <w:rPr>
          <w:rFonts w:asciiTheme="minorHAnsi" w:hAnsiTheme="minorHAnsi" w:cstheme="minorHAnsi"/>
          <w:sz w:val="24"/>
        </w:rPr>
        <w:tab/>
        <w:t>Ministerstvo kultury</w:t>
      </w:r>
    </w:p>
    <w:p w14:paraId="316CBD83" w14:textId="53D37B59" w:rsidR="00584CF9" w:rsidRDefault="00C343DF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NG</w:t>
      </w:r>
      <w:r>
        <w:rPr>
          <w:rFonts w:asciiTheme="minorHAnsi" w:hAnsiTheme="minorHAnsi" w:cstheme="minorHAnsi"/>
          <w:sz w:val="24"/>
        </w:rPr>
        <w:tab/>
        <w:t>Národní galerie v Praze</w:t>
      </w:r>
    </w:p>
    <w:p w14:paraId="33AF0B8E" w14:textId="732FFABE" w:rsidR="00C343DF" w:rsidRDefault="00C343DF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NKÚ</w:t>
      </w:r>
      <w:r>
        <w:rPr>
          <w:rFonts w:asciiTheme="minorHAnsi" w:hAnsiTheme="minorHAnsi" w:cstheme="minorHAnsi"/>
          <w:sz w:val="24"/>
        </w:rPr>
        <w:tab/>
        <w:t>Nejvyšší kontrolní úřad</w:t>
      </w:r>
    </w:p>
    <w:p w14:paraId="5D5B0C91" w14:textId="12B33D11" w:rsidR="00C343DF" w:rsidRDefault="00C343DF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</w:t>
      </w:r>
      <w:r>
        <w:rPr>
          <w:rFonts w:asciiTheme="minorHAnsi" w:hAnsiTheme="minorHAnsi" w:cstheme="minorHAnsi"/>
          <w:sz w:val="24"/>
        </w:rPr>
        <w:tab/>
      </w:r>
      <w:r w:rsidR="00A12D92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říspěvkové organizace</w:t>
      </w:r>
    </w:p>
    <w:p w14:paraId="08FE098B" w14:textId="58C1D673" w:rsidR="00C343DF" w:rsidRDefault="00C343DF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UPM</w:t>
      </w:r>
      <w:r>
        <w:rPr>
          <w:rFonts w:asciiTheme="minorHAnsi" w:hAnsiTheme="minorHAnsi" w:cstheme="minorHAnsi"/>
          <w:sz w:val="24"/>
        </w:rPr>
        <w:tab/>
        <w:t>Uměleckoprůmyslové museum v</w:t>
      </w:r>
      <w:r w:rsidR="00D5454E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Praze</w:t>
      </w:r>
    </w:p>
    <w:p w14:paraId="21893EFE" w14:textId="4F3FC711" w:rsidR="00D5454E" w:rsidRPr="00584CF9" w:rsidRDefault="00D5454E" w:rsidP="005A4ECA">
      <w:pPr>
        <w:suppressAutoHyphens w:val="0"/>
        <w:spacing w:line="240" w:lineRule="auto"/>
        <w:ind w:left="1418" w:hanging="14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VZ</w:t>
      </w:r>
      <w:r>
        <w:rPr>
          <w:rFonts w:asciiTheme="minorHAnsi" w:hAnsiTheme="minorHAnsi" w:cstheme="minorHAnsi"/>
          <w:sz w:val="24"/>
        </w:rPr>
        <w:tab/>
        <w:t>veřejná zakázka</w:t>
      </w:r>
    </w:p>
    <w:p w14:paraId="0AD553A3" w14:textId="77777777" w:rsidR="00DE2A3E" w:rsidRDefault="00DE2A3E" w:rsidP="00DE2A3E">
      <w:pPr>
        <w:pStyle w:val="TextKP"/>
        <w:tabs>
          <w:tab w:val="left" w:pos="2410"/>
        </w:tabs>
        <w:spacing w:before="240"/>
        <w:ind w:left="2410" w:hanging="2410"/>
        <w:jc w:val="left"/>
        <w:rPr>
          <w:b/>
          <w:sz w:val="24"/>
          <w:szCs w:val="24"/>
        </w:rPr>
      </w:pPr>
    </w:p>
    <w:p w14:paraId="2C9C0839" w14:textId="389A199C" w:rsidR="00D5454E" w:rsidRPr="005A4ECA" w:rsidRDefault="00D5454E" w:rsidP="005A4ECA">
      <w:pPr>
        <w:pStyle w:val="TextKP"/>
        <w:tabs>
          <w:tab w:val="left" w:pos="2410"/>
        </w:tabs>
        <w:ind w:left="2410" w:hanging="2410"/>
        <w:jc w:val="left"/>
        <w:rPr>
          <w:b/>
          <w:sz w:val="24"/>
          <w:szCs w:val="24"/>
        </w:rPr>
      </w:pPr>
      <w:r w:rsidRPr="005A4ECA">
        <w:rPr>
          <w:b/>
          <w:sz w:val="24"/>
          <w:szCs w:val="24"/>
        </w:rPr>
        <w:t>Zkrácené názvy právních předpisů</w:t>
      </w:r>
    </w:p>
    <w:p w14:paraId="75D336DD" w14:textId="785438E3" w:rsidR="00940E3D" w:rsidRDefault="00940E3D" w:rsidP="005A4ECA">
      <w:pPr>
        <w:spacing w:before="120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katastrální zákon</w:t>
      </w:r>
      <w:r>
        <w:rPr>
          <w:rFonts w:asciiTheme="minorHAnsi" w:hAnsiTheme="minorHAnsi" w:cstheme="minorHAnsi"/>
          <w:sz w:val="24"/>
        </w:rPr>
        <w:t xml:space="preserve"> – z</w:t>
      </w:r>
      <w:r w:rsidRPr="002A3CCD">
        <w:rPr>
          <w:rFonts w:asciiTheme="minorHAnsi" w:hAnsiTheme="minorHAnsi" w:cstheme="minorHAnsi"/>
          <w:sz w:val="24"/>
        </w:rPr>
        <w:t>ákon č. 256/2013 Sb., o katastru nemovitostí (katastrální zákon)</w:t>
      </w:r>
    </w:p>
    <w:p w14:paraId="42ECA45C" w14:textId="60E4162C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finanční kontrole</w:t>
      </w:r>
      <w:r>
        <w:rPr>
          <w:rFonts w:asciiTheme="minorHAnsi" w:hAnsiTheme="minorHAnsi" w:cstheme="minorHAnsi"/>
          <w:sz w:val="24"/>
        </w:rPr>
        <w:t xml:space="preserve"> – z</w:t>
      </w:r>
      <w:r w:rsidRPr="002A3CCD">
        <w:rPr>
          <w:rStyle w:val="Znakapoznpodarou"/>
          <w:rFonts w:asciiTheme="minorHAnsi" w:hAnsiTheme="minorHAnsi" w:cstheme="minorHAnsi"/>
          <w:sz w:val="24"/>
          <w:vertAlign w:val="baseline"/>
        </w:rPr>
        <w:t>ákon č. 320</w:t>
      </w:r>
      <w:r w:rsidRPr="002A3CCD">
        <w:rPr>
          <w:rFonts w:asciiTheme="minorHAnsi" w:hAnsiTheme="minorHAnsi" w:cstheme="minorHAnsi"/>
          <w:sz w:val="24"/>
        </w:rPr>
        <w:t>/2001 Sb., o finanční kontrole ve veřejné správě a</w:t>
      </w:r>
      <w:r>
        <w:rPr>
          <w:rFonts w:asciiTheme="minorHAnsi" w:hAnsiTheme="minorHAnsi" w:cstheme="minorHAnsi"/>
          <w:sz w:val="24"/>
        </w:rPr>
        <w:t> </w:t>
      </w:r>
      <w:r w:rsidRPr="002A3CCD">
        <w:rPr>
          <w:rFonts w:asciiTheme="minorHAnsi" w:hAnsiTheme="minorHAnsi" w:cstheme="minorHAnsi"/>
          <w:sz w:val="24"/>
        </w:rPr>
        <w:t>o</w:t>
      </w:r>
      <w:r>
        <w:rPr>
          <w:rFonts w:asciiTheme="minorHAnsi" w:hAnsiTheme="minorHAnsi" w:cstheme="minorHAnsi"/>
          <w:sz w:val="24"/>
        </w:rPr>
        <w:t> </w:t>
      </w:r>
      <w:r w:rsidRPr="002A3CCD">
        <w:rPr>
          <w:rFonts w:asciiTheme="minorHAnsi" w:hAnsiTheme="minorHAnsi" w:cstheme="minorHAnsi"/>
          <w:sz w:val="24"/>
        </w:rPr>
        <w:t>změně některých zákonů (zákon o finanční kontrole</w:t>
      </w:r>
      <w:r w:rsidRPr="002A3CCD">
        <w:rPr>
          <w:rFonts w:cstheme="minorHAnsi"/>
          <w:sz w:val="24"/>
        </w:rPr>
        <w:t>)</w:t>
      </w:r>
    </w:p>
    <w:p w14:paraId="0B6A42CE" w14:textId="278C3AF1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majetku státu</w:t>
      </w:r>
      <w:r>
        <w:rPr>
          <w:rFonts w:asciiTheme="minorHAnsi" w:hAnsiTheme="minorHAnsi" w:cstheme="minorHAnsi"/>
          <w:sz w:val="24"/>
        </w:rPr>
        <w:t xml:space="preserve"> – z</w:t>
      </w:r>
      <w:r w:rsidRPr="002A3CCD">
        <w:rPr>
          <w:rStyle w:val="Znakapoznpodarou"/>
          <w:rFonts w:asciiTheme="minorHAnsi" w:hAnsiTheme="minorHAnsi" w:cstheme="minorHAnsi"/>
          <w:sz w:val="24"/>
          <w:vertAlign w:val="baseline"/>
        </w:rPr>
        <w:t>ákon č. 219/2000 Sb., o majetku České republiky a jejím vystupování v právních vztazích</w:t>
      </w:r>
    </w:p>
    <w:p w14:paraId="06918319" w14:textId="59F55EBF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Národní galerii v Praze</w:t>
      </w:r>
      <w:r>
        <w:rPr>
          <w:rFonts w:asciiTheme="minorHAnsi" w:hAnsiTheme="minorHAnsi" w:cstheme="minorHAnsi"/>
          <w:sz w:val="24"/>
        </w:rPr>
        <w:t xml:space="preserve"> – </w:t>
      </w:r>
      <w:r w:rsidRPr="002A3CCD">
        <w:rPr>
          <w:rStyle w:val="eop"/>
          <w:rFonts w:asciiTheme="minorHAnsi" w:hAnsiTheme="minorHAnsi" w:cstheme="minorHAnsi"/>
          <w:sz w:val="24"/>
        </w:rPr>
        <w:t>zákon č. 148/1949 Sb., o Národní galerii v</w:t>
      </w:r>
      <w:r>
        <w:rPr>
          <w:rStyle w:val="eop"/>
          <w:rFonts w:cstheme="minorHAnsi"/>
          <w:sz w:val="24"/>
        </w:rPr>
        <w:t> </w:t>
      </w:r>
      <w:r w:rsidRPr="002A3CCD">
        <w:rPr>
          <w:rStyle w:val="eop"/>
          <w:rFonts w:asciiTheme="minorHAnsi" w:hAnsiTheme="minorHAnsi" w:cstheme="minorHAnsi"/>
          <w:sz w:val="24"/>
        </w:rPr>
        <w:t>Praze</w:t>
      </w:r>
    </w:p>
    <w:p w14:paraId="175F1AA5" w14:textId="6F766736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ochraně sbírek muzejní povahy</w:t>
      </w:r>
      <w:r>
        <w:rPr>
          <w:rFonts w:asciiTheme="minorHAnsi" w:hAnsiTheme="minorHAnsi" w:cstheme="minorHAnsi"/>
          <w:sz w:val="24"/>
        </w:rPr>
        <w:t xml:space="preserve"> – z</w:t>
      </w:r>
      <w:r w:rsidRPr="002A3CCD">
        <w:rPr>
          <w:rFonts w:asciiTheme="minorHAnsi" w:hAnsiTheme="minorHAnsi" w:cstheme="minorHAnsi"/>
          <w:sz w:val="24"/>
        </w:rPr>
        <w:t xml:space="preserve">ákon </w:t>
      </w:r>
      <w:r w:rsidRPr="002A3CCD">
        <w:rPr>
          <w:rFonts w:asciiTheme="minorHAnsi" w:eastAsia="Calibri" w:hAnsiTheme="minorHAnsi" w:cstheme="minorHAnsi"/>
          <w:sz w:val="24"/>
        </w:rPr>
        <w:t>č. 122</w:t>
      </w:r>
      <w:r w:rsidRPr="002A3CCD">
        <w:rPr>
          <w:rFonts w:asciiTheme="minorHAnsi" w:hAnsiTheme="minorHAnsi" w:cstheme="minorHAnsi"/>
          <w:sz w:val="24"/>
        </w:rPr>
        <w:t>/2000 Sb., o ochraně sbírek muzejní povahy a o změně některých dalších zákonů</w:t>
      </w:r>
    </w:p>
    <w:p w14:paraId="368DE723" w14:textId="0E77C065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registru smluv</w:t>
      </w:r>
      <w:r>
        <w:rPr>
          <w:rFonts w:asciiTheme="minorHAnsi" w:hAnsiTheme="minorHAnsi" w:cstheme="minorHAnsi"/>
          <w:sz w:val="24"/>
        </w:rPr>
        <w:t xml:space="preserve"> – z</w:t>
      </w:r>
      <w:r w:rsidRPr="002A3CCD">
        <w:rPr>
          <w:rFonts w:asciiTheme="minorHAnsi" w:hAnsiTheme="minorHAnsi" w:cstheme="minorHAnsi"/>
          <w:sz w:val="24"/>
        </w:rPr>
        <w:t>ákon č. 340/2015 Sb., o zvláštních podmínkách účinnosti některých smluv, uveřejňování těchto smluv a o registru smluv (zákon o registru smluv</w:t>
      </w:r>
      <w:r>
        <w:rPr>
          <w:rFonts w:asciiTheme="minorHAnsi" w:hAnsiTheme="minorHAnsi" w:cstheme="minorHAnsi"/>
          <w:sz w:val="24"/>
        </w:rPr>
        <w:t>)</w:t>
      </w:r>
    </w:p>
    <w:p w14:paraId="7CE8F038" w14:textId="5A54B28E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rozpočtových pravidlech</w:t>
      </w:r>
      <w:r>
        <w:rPr>
          <w:rFonts w:asciiTheme="minorHAnsi" w:hAnsiTheme="minorHAnsi" w:cstheme="minorHAnsi"/>
          <w:sz w:val="24"/>
        </w:rPr>
        <w:t xml:space="preserve"> – </w:t>
      </w:r>
      <w:r w:rsidR="00D63891" w:rsidRPr="002A3CCD">
        <w:rPr>
          <w:rStyle w:val="PoznmkapodarouChar"/>
          <w:rFonts w:asciiTheme="minorHAnsi" w:eastAsiaTheme="minorHAnsi" w:hAnsiTheme="minorHAnsi" w:cstheme="minorHAnsi"/>
          <w:sz w:val="24"/>
          <w:szCs w:val="24"/>
          <w:lang w:val="cs-CZ"/>
        </w:rPr>
        <w:t>z</w:t>
      </w:r>
      <w:r w:rsidR="00D63891" w:rsidRPr="002A3CCD">
        <w:rPr>
          <w:rStyle w:val="PoznmkapodarouChar"/>
          <w:rFonts w:asciiTheme="minorHAnsi" w:hAnsiTheme="minorHAnsi" w:cstheme="minorHAnsi"/>
          <w:sz w:val="24"/>
          <w:szCs w:val="24"/>
          <w:lang w:val="cs-CZ"/>
        </w:rPr>
        <w:t>ákon č. 218/2000 Sb., o rozpočtových pravidlech a</w:t>
      </w:r>
      <w:r w:rsidR="00D63891">
        <w:rPr>
          <w:rStyle w:val="PoznmkapodarouChar"/>
          <w:rFonts w:asciiTheme="minorHAnsi" w:hAnsiTheme="minorHAnsi" w:cstheme="minorHAnsi"/>
          <w:sz w:val="24"/>
          <w:szCs w:val="24"/>
          <w:lang w:val="cs-CZ"/>
        </w:rPr>
        <w:t> </w:t>
      </w:r>
      <w:r w:rsidR="00D63891" w:rsidRPr="002A3CCD">
        <w:rPr>
          <w:rStyle w:val="PoznmkapodarouChar"/>
          <w:rFonts w:asciiTheme="minorHAnsi" w:hAnsiTheme="minorHAnsi" w:cstheme="minorHAnsi"/>
          <w:sz w:val="24"/>
          <w:szCs w:val="24"/>
          <w:lang w:val="cs-CZ"/>
        </w:rPr>
        <w:t>o</w:t>
      </w:r>
      <w:r w:rsidR="00D63891">
        <w:rPr>
          <w:rStyle w:val="PoznmkapodarouChar"/>
          <w:rFonts w:asciiTheme="minorHAnsi" w:hAnsiTheme="minorHAnsi" w:cstheme="minorHAnsi"/>
          <w:sz w:val="24"/>
          <w:szCs w:val="24"/>
          <w:lang w:val="cs-CZ"/>
        </w:rPr>
        <w:t> </w:t>
      </w:r>
      <w:r w:rsidR="00D63891" w:rsidRPr="002A3CCD">
        <w:rPr>
          <w:rStyle w:val="PoznmkapodarouChar"/>
          <w:rFonts w:asciiTheme="minorHAnsi" w:hAnsiTheme="minorHAnsi" w:cstheme="minorHAnsi"/>
          <w:sz w:val="24"/>
          <w:szCs w:val="24"/>
          <w:lang w:val="cs-CZ"/>
        </w:rPr>
        <w:t>změně některých souvisejících zákonů (rozpočtová pravidla)</w:t>
      </w:r>
    </w:p>
    <w:p w14:paraId="0F5491A1" w14:textId="1795DE28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účetnictví</w:t>
      </w:r>
      <w:r>
        <w:rPr>
          <w:rFonts w:asciiTheme="minorHAnsi" w:hAnsiTheme="minorHAnsi" w:cstheme="minorHAnsi"/>
          <w:sz w:val="24"/>
        </w:rPr>
        <w:t xml:space="preserve"> – </w:t>
      </w:r>
      <w:r w:rsidR="00D63891">
        <w:rPr>
          <w:rFonts w:asciiTheme="minorHAnsi" w:hAnsiTheme="minorHAnsi" w:cstheme="minorHAnsi"/>
          <w:sz w:val="24"/>
        </w:rPr>
        <w:t>z</w:t>
      </w:r>
      <w:r w:rsidR="00D63891" w:rsidRPr="002A3CCD">
        <w:rPr>
          <w:rFonts w:asciiTheme="minorHAnsi" w:hAnsiTheme="minorHAnsi" w:cstheme="minorHAnsi"/>
          <w:sz w:val="24"/>
        </w:rPr>
        <w:t>ákon č. 563/1991 Sb., o účetnictví</w:t>
      </w:r>
    </w:p>
    <w:p w14:paraId="3A637593" w14:textId="38FF17BB" w:rsidR="00940E3D" w:rsidRDefault="00940E3D" w:rsidP="005A4ECA">
      <w:pPr>
        <w:suppressAutoHyphens w:val="0"/>
        <w:spacing w:line="240" w:lineRule="auto"/>
        <w:jc w:val="left"/>
        <w:rPr>
          <w:rFonts w:asciiTheme="minorHAnsi" w:hAnsiTheme="minorHAnsi" w:cstheme="minorHAnsi"/>
          <w:sz w:val="24"/>
        </w:rPr>
      </w:pPr>
      <w:r w:rsidRPr="005A4ECA">
        <w:rPr>
          <w:rFonts w:asciiTheme="minorHAnsi" w:hAnsiTheme="minorHAnsi" w:cstheme="minorHAnsi"/>
          <w:b/>
          <w:sz w:val="24"/>
        </w:rPr>
        <w:t>zákon o zadávání veřejných zakázek</w:t>
      </w:r>
      <w:r>
        <w:rPr>
          <w:rFonts w:asciiTheme="minorHAnsi" w:hAnsiTheme="minorHAnsi" w:cstheme="minorHAnsi"/>
          <w:sz w:val="24"/>
        </w:rPr>
        <w:t xml:space="preserve"> – </w:t>
      </w:r>
      <w:r w:rsidR="00D63891">
        <w:rPr>
          <w:rFonts w:asciiTheme="minorHAnsi" w:hAnsiTheme="minorHAnsi" w:cstheme="minorHAnsi"/>
          <w:sz w:val="24"/>
        </w:rPr>
        <w:t>z</w:t>
      </w:r>
      <w:r w:rsidR="00D63891" w:rsidRPr="002A3CCD">
        <w:rPr>
          <w:rFonts w:asciiTheme="minorHAnsi" w:hAnsiTheme="minorHAnsi" w:cstheme="minorHAnsi"/>
          <w:sz w:val="24"/>
        </w:rPr>
        <w:t>ákon č. 134/2016 Sb., o zadávání veřejných zakázek</w:t>
      </w:r>
    </w:p>
    <w:p w14:paraId="2AAF9035" w14:textId="77777777" w:rsidR="00D5454E" w:rsidRPr="00584CF9" w:rsidRDefault="00D5454E" w:rsidP="00D5454E">
      <w:pPr>
        <w:suppressAutoHyphens w:val="0"/>
        <w:spacing w:before="120" w:after="0"/>
        <w:rPr>
          <w:rFonts w:asciiTheme="minorHAnsi" w:hAnsiTheme="minorHAnsi" w:cstheme="minorHAnsi"/>
          <w:sz w:val="24"/>
        </w:rPr>
      </w:pPr>
    </w:p>
    <w:p w14:paraId="4621FFFF" w14:textId="77777777" w:rsidR="00584CF9" w:rsidRPr="00584CF9" w:rsidRDefault="00584CF9" w:rsidP="005A4ECA">
      <w:pPr>
        <w:suppressAutoHyphens w:val="0"/>
        <w:spacing w:before="240" w:after="0"/>
        <w:rPr>
          <w:rFonts w:asciiTheme="minorHAnsi" w:hAnsiTheme="minorHAnsi" w:cstheme="minorHAnsi"/>
          <w:b/>
          <w:sz w:val="24"/>
        </w:rPr>
      </w:pPr>
      <w:r w:rsidRPr="00584CF9">
        <w:rPr>
          <w:rFonts w:asciiTheme="minorHAnsi" w:hAnsiTheme="minorHAnsi" w:cstheme="minorHAnsi"/>
          <w:b/>
          <w:sz w:val="24"/>
        </w:rPr>
        <w:t>Seznam příloh:</w:t>
      </w:r>
    </w:p>
    <w:p w14:paraId="2166B1E8" w14:textId="24242592" w:rsidR="00D34BA0" w:rsidRDefault="00584CF9" w:rsidP="005A4ECA">
      <w:pPr>
        <w:spacing w:before="120" w:after="0" w:line="240" w:lineRule="auto"/>
        <w:ind w:left="1276" w:hanging="1276"/>
        <w:jc w:val="left"/>
        <w:rPr>
          <w:rFonts w:asciiTheme="minorHAnsi" w:hAnsiTheme="minorHAnsi" w:cstheme="minorHAnsi"/>
          <w:sz w:val="24"/>
        </w:rPr>
      </w:pPr>
      <w:r w:rsidRPr="00584CF9">
        <w:rPr>
          <w:rFonts w:asciiTheme="minorHAnsi" w:hAnsiTheme="minorHAnsi" w:cstheme="minorHAnsi"/>
          <w:sz w:val="24"/>
        </w:rPr>
        <w:t>Příloha č.</w:t>
      </w:r>
      <w:r w:rsidR="00D34BA0">
        <w:rPr>
          <w:rFonts w:asciiTheme="minorHAnsi" w:hAnsiTheme="minorHAnsi" w:cstheme="minorHAnsi"/>
          <w:sz w:val="24"/>
        </w:rPr>
        <w:t xml:space="preserve"> 1:</w:t>
      </w:r>
      <w:r w:rsidR="00D34BA0">
        <w:rPr>
          <w:rFonts w:asciiTheme="minorHAnsi" w:hAnsiTheme="minorHAnsi" w:cstheme="minorHAnsi"/>
          <w:sz w:val="24"/>
        </w:rPr>
        <w:tab/>
      </w:r>
      <w:r w:rsidR="00D34BA0" w:rsidRPr="00866E21">
        <w:rPr>
          <w:rFonts w:asciiTheme="minorHAnsi" w:hAnsiTheme="minorHAnsi" w:cstheme="minorHAnsi"/>
          <w:sz w:val="24"/>
        </w:rPr>
        <w:t xml:space="preserve">Přehled budov kontrolovaných </w:t>
      </w:r>
      <w:r w:rsidR="00DE2A3E">
        <w:rPr>
          <w:rFonts w:asciiTheme="minorHAnsi" w:hAnsiTheme="minorHAnsi" w:cstheme="minorHAnsi"/>
          <w:sz w:val="24"/>
        </w:rPr>
        <w:t>příspěvkových organizací</w:t>
      </w:r>
      <w:r w:rsidR="00D34BA0" w:rsidRPr="00866E21">
        <w:rPr>
          <w:rFonts w:asciiTheme="minorHAnsi" w:hAnsiTheme="minorHAnsi" w:cstheme="minorHAnsi"/>
          <w:sz w:val="24"/>
        </w:rPr>
        <w:t xml:space="preserve"> na území ČR, Prahy a</w:t>
      </w:r>
      <w:r w:rsidR="00DE2A3E">
        <w:rPr>
          <w:rFonts w:asciiTheme="minorHAnsi" w:hAnsiTheme="minorHAnsi" w:cstheme="minorHAnsi"/>
          <w:sz w:val="24"/>
        </w:rPr>
        <w:t> </w:t>
      </w:r>
      <w:r w:rsidR="00D34BA0" w:rsidRPr="00866E21">
        <w:rPr>
          <w:rFonts w:asciiTheme="minorHAnsi" w:hAnsiTheme="minorHAnsi" w:cstheme="minorHAnsi"/>
          <w:sz w:val="24"/>
        </w:rPr>
        <w:t>Itálie</w:t>
      </w:r>
    </w:p>
    <w:p w14:paraId="7BC3C3B4" w14:textId="19C21AA6" w:rsidR="00584CF9" w:rsidRPr="00584CF9" w:rsidRDefault="00D34BA0" w:rsidP="005A4ECA">
      <w:pPr>
        <w:spacing w:before="120" w:after="0" w:line="240" w:lineRule="auto"/>
        <w:ind w:left="1276" w:hanging="1276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Příloha č. 2</w:t>
      </w:r>
      <w:r w:rsidR="00584CF9">
        <w:rPr>
          <w:rFonts w:asciiTheme="minorHAnsi" w:hAnsiTheme="minorHAnsi" w:cstheme="minorHAnsi"/>
          <w:sz w:val="24"/>
        </w:rPr>
        <w:t>:</w:t>
      </w:r>
      <w:r w:rsidR="00584CF9">
        <w:rPr>
          <w:rFonts w:asciiTheme="minorHAnsi" w:hAnsiTheme="minorHAnsi" w:cstheme="minorHAnsi"/>
          <w:sz w:val="24"/>
        </w:rPr>
        <w:tab/>
      </w:r>
      <w:r w:rsidR="00584CF9" w:rsidRPr="00584CF9">
        <w:rPr>
          <w:rFonts w:asciiTheme="minorHAnsi" w:hAnsiTheme="minorHAnsi" w:cstheme="minorHAnsi"/>
          <w:sz w:val="24"/>
        </w:rPr>
        <w:t xml:space="preserve">Dopad pandemie onemocnění </w:t>
      </w:r>
      <w:r w:rsidR="00DE2A3E">
        <w:rPr>
          <w:rFonts w:asciiTheme="minorHAnsi" w:hAnsiTheme="minorHAnsi" w:cstheme="minorHAnsi"/>
          <w:sz w:val="24"/>
        </w:rPr>
        <w:t>covid</w:t>
      </w:r>
      <w:r w:rsidR="00584CF9" w:rsidRPr="00584CF9">
        <w:rPr>
          <w:rFonts w:asciiTheme="minorHAnsi" w:hAnsiTheme="minorHAnsi" w:cstheme="minorHAnsi"/>
          <w:sz w:val="24"/>
        </w:rPr>
        <w:t>-19 na příspěvkové organizace</w:t>
      </w:r>
    </w:p>
    <w:p w14:paraId="2037D9F6" w14:textId="6FC0CAB1" w:rsidR="00E4035D" w:rsidRDefault="00584CF9" w:rsidP="005A4ECA">
      <w:pPr>
        <w:suppressAutoHyphens w:val="0"/>
        <w:spacing w:before="120" w:after="0"/>
        <w:ind w:left="1276" w:hanging="1276"/>
        <w:jc w:val="left"/>
        <w:rPr>
          <w:rFonts w:asciiTheme="minorHAnsi" w:hAnsiTheme="minorHAnsi" w:cstheme="minorHAnsi"/>
          <w:sz w:val="24"/>
        </w:rPr>
      </w:pPr>
      <w:r w:rsidRPr="0011310D">
        <w:rPr>
          <w:rFonts w:asciiTheme="minorHAnsi" w:hAnsiTheme="minorHAnsi" w:cstheme="minorHAnsi"/>
          <w:sz w:val="24"/>
        </w:rPr>
        <w:t xml:space="preserve">Příloha č. </w:t>
      </w:r>
      <w:r w:rsidR="00D34BA0" w:rsidRPr="0011310D">
        <w:rPr>
          <w:rFonts w:asciiTheme="minorHAnsi" w:hAnsiTheme="minorHAnsi" w:cstheme="minorHAnsi"/>
          <w:sz w:val="24"/>
        </w:rPr>
        <w:t>3</w:t>
      </w:r>
      <w:r w:rsidRPr="0011310D">
        <w:rPr>
          <w:rFonts w:asciiTheme="minorHAnsi" w:hAnsiTheme="minorHAnsi" w:cstheme="minorHAnsi"/>
          <w:sz w:val="24"/>
        </w:rPr>
        <w:t>:</w:t>
      </w:r>
      <w:r>
        <w:rPr>
          <w:rFonts w:asciiTheme="minorHAnsi" w:hAnsiTheme="minorHAnsi" w:cstheme="minorHAnsi"/>
          <w:sz w:val="24"/>
        </w:rPr>
        <w:tab/>
      </w:r>
      <w:hyperlink r:id="rId11" w:history="1">
        <w:r w:rsidR="00DE2A3E" w:rsidRPr="00DE2A3E">
          <w:rPr>
            <w:rStyle w:val="Hypertextovodkaz"/>
            <w:rFonts w:asciiTheme="minorHAnsi" w:hAnsiTheme="minorHAnsi" w:cstheme="minorHAnsi"/>
            <w:sz w:val="24"/>
          </w:rPr>
          <w:t>https://infogram.com/1p32xdwnnw7rygu0q971z7153wud33lnqjj?live</w:t>
        </w:r>
      </w:hyperlink>
    </w:p>
    <w:p w14:paraId="19B178BA" w14:textId="77777777" w:rsidR="00945840" w:rsidRDefault="00945840">
      <w:pPr>
        <w:suppressAutoHyphens w:val="0"/>
        <w:spacing w:before="120" w:after="0"/>
      </w:pPr>
    </w:p>
    <w:p w14:paraId="4871408D" w14:textId="77777777" w:rsidR="00945840" w:rsidRDefault="00945840">
      <w:pPr>
        <w:suppressAutoHyphens w:val="0"/>
        <w:spacing w:before="120" w:after="0"/>
      </w:pPr>
      <w:r>
        <w:br w:type="page"/>
      </w:r>
    </w:p>
    <w:p w14:paraId="3BC637EA" w14:textId="04F2C322" w:rsidR="00D34BA0" w:rsidRDefault="00D34BA0" w:rsidP="00B52E01">
      <w:pPr>
        <w:pStyle w:val="Nadpis1"/>
        <w:spacing w:before="120" w:after="0" w:line="20" w:lineRule="atLeast"/>
        <w:ind w:left="1276" w:hanging="1276"/>
        <w:jc w:val="left"/>
        <w:rPr>
          <w:rFonts w:asciiTheme="minorHAnsi" w:hAnsiTheme="minorHAnsi" w:cstheme="minorHAnsi"/>
          <w:sz w:val="24"/>
          <w:u w:val="none"/>
        </w:rPr>
      </w:pPr>
      <w:r w:rsidRPr="005A4ECA">
        <w:rPr>
          <w:rFonts w:asciiTheme="minorHAnsi" w:hAnsiTheme="minorHAnsi" w:cstheme="minorHAnsi"/>
          <w:sz w:val="24"/>
          <w:u w:val="none"/>
        </w:rPr>
        <w:lastRenderedPageBreak/>
        <w:t>Příloha č. 1:</w:t>
      </w:r>
      <w:r w:rsidRPr="005A4ECA">
        <w:rPr>
          <w:rFonts w:asciiTheme="minorHAnsi" w:hAnsiTheme="minorHAnsi" w:cstheme="minorHAnsi"/>
          <w:sz w:val="24"/>
          <w:u w:val="none"/>
        </w:rPr>
        <w:tab/>
        <w:t xml:space="preserve">Přehled budov kontrolovaných </w:t>
      </w:r>
      <w:r w:rsidR="00DE2A3E" w:rsidRPr="005A4ECA">
        <w:rPr>
          <w:rFonts w:asciiTheme="minorHAnsi" w:hAnsiTheme="minorHAnsi" w:cstheme="minorHAnsi"/>
          <w:sz w:val="24"/>
          <w:u w:val="none"/>
        </w:rPr>
        <w:t xml:space="preserve">příspěvkových organizací </w:t>
      </w:r>
      <w:r w:rsidRPr="005A4ECA">
        <w:rPr>
          <w:rFonts w:asciiTheme="minorHAnsi" w:hAnsiTheme="minorHAnsi" w:cstheme="minorHAnsi"/>
          <w:sz w:val="24"/>
          <w:u w:val="none"/>
        </w:rPr>
        <w:t>na území ČR, Prahy a</w:t>
      </w:r>
      <w:r w:rsidR="00DE2A3E" w:rsidRPr="005A4ECA">
        <w:rPr>
          <w:rFonts w:asciiTheme="minorHAnsi" w:hAnsiTheme="minorHAnsi" w:cstheme="minorHAnsi"/>
          <w:sz w:val="24"/>
          <w:u w:val="none"/>
        </w:rPr>
        <w:t> </w:t>
      </w:r>
      <w:r w:rsidRPr="005A4ECA">
        <w:rPr>
          <w:rFonts w:asciiTheme="minorHAnsi" w:hAnsiTheme="minorHAnsi" w:cstheme="minorHAnsi"/>
          <w:sz w:val="24"/>
          <w:u w:val="none"/>
        </w:rPr>
        <w:t>Itálie</w:t>
      </w:r>
    </w:p>
    <w:p w14:paraId="70349783" w14:textId="77777777" w:rsidR="00B52E01" w:rsidRPr="00B52E01" w:rsidRDefault="00B52E01" w:rsidP="00B52E01">
      <w:pPr>
        <w:spacing w:after="0"/>
      </w:pPr>
    </w:p>
    <w:p w14:paraId="3E5BEBEB" w14:textId="1AAFAD7B" w:rsidR="00D34BA0" w:rsidRDefault="00F754E4" w:rsidP="00EE4787">
      <w:pPr>
        <w:rPr>
          <w:rFonts w:asciiTheme="minorHAnsi" w:hAnsiTheme="minorHAnsi" w:cstheme="minorHAnsi"/>
          <w:sz w:val="24"/>
        </w:rPr>
      </w:pPr>
      <w:r>
        <w:rPr>
          <w:noProof/>
        </w:rPr>
        <w:drawing>
          <wp:inline distT="0" distB="0" distL="0" distR="0" wp14:anchorId="609F0679" wp14:editId="33ABE2E4">
            <wp:extent cx="5760720" cy="6419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B289" w14:textId="706DC957" w:rsidR="00DE2A3E" w:rsidRPr="00EE1622" w:rsidRDefault="00DE2A3E" w:rsidP="00DE2A3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Zdroj: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v</w:t>
      </w: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ypracoval NKÚ dle webových stránek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kontrolovaných </w:t>
      </w: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>příspěvkových organizací.</w:t>
      </w:r>
    </w:p>
    <w:p w14:paraId="67765D07" w14:textId="533D5179" w:rsidR="00D34BA0" w:rsidRPr="00EE1622" w:rsidRDefault="00D34BA0" w:rsidP="00D34BA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>Pozn</w:t>
      </w:r>
      <w:r w:rsidR="007A7663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  <w:r w:rsidR="00DE2A3E">
        <w:rPr>
          <w:rFonts w:asciiTheme="minorHAnsi" w:eastAsiaTheme="minorHAnsi" w:hAnsiTheme="minorHAnsi" w:cstheme="minorHAnsi"/>
          <w:sz w:val="18"/>
          <w:szCs w:val="18"/>
          <w:lang w:eastAsia="en-US"/>
        </w:rPr>
        <w:t>Budovy v</w:t>
      </w: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>e vlastnictví státu</w:t>
      </w:r>
      <w:r w:rsidR="00DE2A3E">
        <w:rPr>
          <w:rFonts w:asciiTheme="minorHAnsi" w:eastAsiaTheme="minorHAnsi" w:hAnsiTheme="minorHAnsi" w:cstheme="minorHAnsi"/>
          <w:sz w:val="18"/>
          <w:szCs w:val="18"/>
          <w:lang w:eastAsia="en-US"/>
        </w:rPr>
        <w:t>, s nimiž jsou příslušné</w:t>
      </w: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hospodařit </w:t>
      </w:r>
      <w:r w:rsidR="00DE2A3E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kontrolované </w:t>
      </w:r>
      <w:r w:rsidR="00DE2A3E"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>příspěvkov</w:t>
      </w:r>
      <w:r w:rsidR="00DE2A3E">
        <w:rPr>
          <w:rFonts w:asciiTheme="minorHAnsi" w:eastAsiaTheme="minorHAnsi" w:hAnsiTheme="minorHAnsi" w:cstheme="minorHAnsi"/>
          <w:sz w:val="18"/>
          <w:szCs w:val="18"/>
          <w:lang w:eastAsia="en-US"/>
        </w:rPr>
        <w:t>é</w:t>
      </w:r>
      <w:r w:rsidR="00DE2A3E"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organizac</w:t>
      </w:r>
      <w:r w:rsidR="00DE2A3E">
        <w:rPr>
          <w:rFonts w:asciiTheme="minorHAnsi" w:eastAsiaTheme="minorHAnsi" w:hAnsiTheme="minorHAnsi" w:cstheme="minorHAnsi"/>
          <w:sz w:val="18"/>
          <w:szCs w:val="18"/>
          <w:lang w:eastAsia="en-US"/>
        </w:rPr>
        <w:t>e</w:t>
      </w:r>
      <w:r w:rsidRPr="00EE1622">
        <w:rPr>
          <w:rFonts w:asciiTheme="minorHAnsi" w:eastAsiaTheme="minorHAnsi" w:hAnsiTheme="minorHAnsi" w:cstheme="minorHAnsi"/>
          <w:sz w:val="18"/>
          <w:szCs w:val="18"/>
          <w:lang w:eastAsia="en-US"/>
        </w:rPr>
        <w:t>.</w:t>
      </w:r>
    </w:p>
    <w:p w14:paraId="028AA144" w14:textId="77777777" w:rsidR="00D34BA0" w:rsidRDefault="00D34BA0" w:rsidP="00D34BA0">
      <w:pPr>
        <w:suppressAutoHyphens w:val="0"/>
        <w:spacing w:before="120" w:after="0"/>
        <w:rPr>
          <w:rFonts w:ascii="CIDFont+F1" w:eastAsiaTheme="minorHAnsi" w:hAnsi="CIDFont+F1" w:cs="CIDFont+F1"/>
          <w:sz w:val="24"/>
          <w:lang w:eastAsia="en-US"/>
        </w:rPr>
      </w:pPr>
      <w:r>
        <w:rPr>
          <w:rFonts w:ascii="CIDFont+F1" w:eastAsiaTheme="minorHAnsi" w:hAnsi="CIDFont+F1" w:cs="CIDFont+F1"/>
          <w:lang w:eastAsia="en-US"/>
        </w:rPr>
        <w:br w:type="page"/>
      </w:r>
    </w:p>
    <w:p w14:paraId="1B5968C0" w14:textId="0A73C693" w:rsidR="00497949" w:rsidRDefault="00497949" w:rsidP="00B52E01">
      <w:pPr>
        <w:pStyle w:val="Nadpis1"/>
        <w:spacing w:before="120" w:after="0" w:line="20" w:lineRule="atLeast"/>
        <w:rPr>
          <w:rFonts w:asciiTheme="minorHAnsi" w:hAnsiTheme="minorHAnsi" w:cstheme="minorHAnsi"/>
          <w:sz w:val="24"/>
          <w:u w:val="none"/>
        </w:rPr>
      </w:pPr>
      <w:r w:rsidRPr="00B52E01">
        <w:rPr>
          <w:rFonts w:asciiTheme="minorHAnsi" w:hAnsiTheme="minorHAnsi" w:cstheme="minorHAnsi"/>
          <w:sz w:val="24"/>
          <w:u w:val="none"/>
        </w:rPr>
        <w:lastRenderedPageBreak/>
        <w:t xml:space="preserve">Příloha č. </w:t>
      </w:r>
      <w:r w:rsidR="00F6666D" w:rsidRPr="00B52E01">
        <w:rPr>
          <w:rFonts w:asciiTheme="minorHAnsi" w:hAnsiTheme="minorHAnsi" w:cstheme="minorHAnsi"/>
          <w:sz w:val="24"/>
          <w:u w:val="none"/>
        </w:rPr>
        <w:t>2</w:t>
      </w:r>
      <w:r w:rsidR="00FC3E23" w:rsidRPr="00B52E01">
        <w:rPr>
          <w:rFonts w:asciiTheme="minorHAnsi" w:hAnsiTheme="minorHAnsi" w:cstheme="minorHAnsi"/>
          <w:sz w:val="24"/>
          <w:u w:val="none"/>
        </w:rPr>
        <w:t xml:space="preserve">: </w:t>
      </w:r>
      <w:r w:rsidRPr="00B52E01">
        <w:rPr>
          <w:rFonts w:asciiTheme="minorHAnsi" w:hAnsiTheme="minorHAnsi" w:cstheme="minorHAnsi"/>
          <w:sz w:val="24"/>
          <w:u w:val="none"/>
        </w:rPr>
        <w:t xml:space="preserve">Dopad pandemie onemocnění </w:t>
      </w:r>
      <w:r w:rsidR="005779F5" w:rsidRPr="00B52E01">
        <w:rPr>
          <w:rFonts w:asciiTheme="minorHAnsi" w:hAnsiTheme="minorHAnsi" w:cstheme="minorHAnsi"/>
          <w:sz w:val="24"/>
          <w:u w:val="none"/>
        </w:rPr>
        <w:t>covid</w:t>
      </w:r>
      <w:r w:rsidRPr="00B52E01">
        <w:rPr>
          <w:rFonts w:asciiTheme="minorHAnsi" w:hAnsiTheme="minorHAnsi" w:cstheme="minorHAnsi"/>
          <w:sz w:val="24"/>
          <w:u w:val="none"/>
        </w:rPr>
        <w:t>-19 na příspěvkové organizace</w:t>
      </w:r>
    </w:p>
    <w:p w14:paraId="16959E9E" w14:textId="77777777" w:rsidR="00B52E01" w:rsidRPr="00B52E01" w:rsidRDefault="00B52E01" w:rsidP="00B52E01">
      <w:pPr>
        <w:spacing w:after="0"/>
      </w:pPr>
    </w:p>
    <w:p w14:paraId="50144653" w14:textId="6E3ED570" w:rsidR="00497949" w:rsidRDefault="00497949" w:rsidP="00B52E01">
      <w:pPr>
        <w:spacing w:line="20" w:lineRule="atLeast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 xml:space="preserve">V březnu roku 2020 </w:t>
      </w:r>
      <w:r w:rsidR="005779F5" w:rsidRPr="008E4D75">
        <w:rPr>
          <w:rFonts w:asciiTheme="minorHAnsi" w:eastAsia="Calibri" w:hAnsiTheme="minorHAnsi" w:cstheme="minorHAnsi"/>
          <w:sz w:val="24"/>
        </w:rPr>
        <w:t xml:space="preserve">propukla </w:t>
      </w:r>
      <w:r w:rsidRPr="008E4D75">
        <w:rPr>
          <w:rFonts w:asciiTheme="minorHAnsi" w:eastAsia="Calibri" w:hAnsiTheme="minorHAnsi" w:cstheme="minorHAnsi"/>
          <w:sz w:val="24"/>
        </w:rPr>
        <w:t xml:space="preserve">na území České republiky pandemie </w:t>
      </w:r>
      <w:r>
        <w:rPr>
          <w:rFonts w:asciiTheme="minorHAnsi" w:eastAsia="Calibri" w:hAnsiTheme="minorHAnsi" w:cstheme="minorHAnsi"/>
          <w:sz w:val="24"/>
        </w:rPr>
        <w:t>onemocnění</w:t>
      </w:r>
      <w:r w:rsidRPr="008E4D75">
        <w:rPr>
          <w:rFonts w:asciiTheme="minorHAnsi" w:eastAsia="Calibri" w:hAnsiTheme="minorHAnsi" w:cstheme="minorHAnsi"/>
          <w:sz w:val="24"/>
        </w:rPr>
        <w:t xml:space="preserve"> </w:t>
      </w:r>
      <w:r w:rsidR="005779F5">
        <w:rPr>
          <w:rFonts w:asciiTheme="minorHAnsi" w:eastAsia="Calibri" w:hAnsiTheme="minorHAnsi" w:cstheme="minorHAnsi"/>
          <w:sz w:val="24"/>
        </w:rPr>
        <w:t>covid</w:t>
      </w:r>
      <w:r w:rsidRPr="008E4D75">
        <w:rPr>
          <w:rFonts w:asciiTheme="minorHAnsi" w:eastAsia="Calibri" w:hAnsiTheme="minorHAnsi" w:cstheme="minorHAnsi"/>
          <w:sz w:val="24"/>
        </w:rPr>
        <w:t xml:space="preserve">-19. Důsledkem této pandemie bylo výrazné omezení a v některém období i úplné uzavření výstavních prostor Národní galerie v Praze a Uměleckoprůmyslového musea v Praze a došlo k omezení činnosti obou institucí i v ostatních oblastech jejich činnosti. Tyto skutečnosti měly zásadní vliv na snížení výnosů především z prodeje služeb, zejména ze vstupného, z prodeje vlastních výrobků (zboží) a z pronájmů. </w:t>
      </w:r>
    </w:p>
    <w:p w14:paraId="34DAADF4" w14:textId="7B8F1A4D" w:rsidR="00497949" w:rsidRPr="00AF0146" w:rsidRDefault="00B52E01" w:rsidP="00497949">
      <w:pPr>
        <w:spacing w:before="120" w:line="20" w:lineRule="atLeast"/>
        <w:rPr>
          <w:rFonts w:asciiTheme="minorHAnsi" w:eastAsia="Calibri" w:hAnsiTheme="minorHAnsi"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19B5D0D" wp14:editId="21F5D8F5">
            <wp:simplePos x="0" y="0"/>
            <wp:positionH relativeFrom="margin">
              <wp:posOffset>0</wp:posOffset>
            </wp:positionH>
            <wp:positionV relativeFrom="margin">
              <wp:posOffset>1922469</wp:posOffset>
            </wp:positionV>
            <wp:extent cx="5760720" cy="3538855"/>
            <wp:effectExtent l="0" t="0" r="0" b="4445"/>
            <wp:wrapSquare wrapText="bothSides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6F1F4691-99C3-4BC0-AB15-B2255B657B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497949" w:rsidRPr="00AF0146">
        <w:rPr>
          <w:rFonts w:asciiTheme="minorHAnsi" w:eastAsia="Calibri" w:hAnsiTheme="minorHAnsi" w:cstheme="minorHAnsi"/>
          <w:sz w:val="24"/>
        </w:rPr>
        <w:t>Graf č. 1</w:t>
      </w:r>
      <w:r w:rsidR="00B343BF">
        <w:rPr>
          <w:rFonts w:asciiTheme="minorHAnsi" w:eastAsia="Calibri" w:hAnsiTheme="minorHAnsi" w:cstheme="minorHAnsi"/>
          <w:sz w:val="24"/>
        </w:rPr>
        <w:t xml:space="preserve">: </w:t>
      </w:r>
      <w:r w:rsidR="00497949">
        <w:rPr>
          <w:rFonts w:asciiTheme="minorHAnsi" w:hAnsiTheme="minorHAnsi" w:cstheme="minorHAnsi"/>
          <w:noProof/>
          <w:sz w:val="24"/>
        </w:rPr>
        <w:t xml:space="preserve">Výnosy </w:t>
      </w:r>
      <w:r w:rsidR="005779F5">
        <w:rPr>
          <w:rFonts w:asciiTheme="minorHAnsi" w:hAnsiTheme="minorHAnsi" w:cstheme="minorHAnsi"/>
          <w:noProof/>
          <w:sz w:val="24"/>
        </w:rPr>
        <w:t>NG a UPM</w:t>
      </w:r>
      <w:r w:rsidR="00497949" w:rsidRPr="00AF0146">
        <w:rPr>
          <w:rFonts w:asciiTheme="minorHAnsi" w:hAnsiTheme="minorHAnsi" w:cstheme="minorHAnsi"/>
          <w:noProof/>
          <w:sz w:val="24"/>
        </w:rPr>
        <w:t xml:space="preserve"> za roky 2018</w:t>
      </w:r>
      <w:r w:rsidR="005779F5">
        <w:rPr>
          <w:rFonts w:asciiTheme="minorHAnsi" w:hAnsiTheme="minorHAnsi" w:cstheme="minorHAnsi"/>
          <w:noProof/>
          <w:sz w:val="24"/>
        </w:rPr>
        <w:t>–</w:t>
      </w:r>
      <w:r w:rsidR="00497949" w:rsidRPr="00AF0146">
        <w:rPr>
          <w:rFonts w:asciiTheme="minorHAnsi" w:hAnsiTheme="minorHAnsi" w:cstheme="minorHAnsi"/>
          <w:noProof/>
          <w:sz w:val="24"/>
        </w:rPr>
        <w:t>2020</w:t>
      </w:r>
      <w:r w:rsidR="005779F5">
        <w:rPr>
          <w:rFonts w:asciiTheme="minorHAnsi" w:hAnsiTheme="minorHAnsi" w:cstheme="minorHAnsi"/>
          <w:noProof/>
          <w:sz w:val="24"/>
        </w:rPr>
        <w:t xml:space="preserve"> (v tis. Kč)</w:t>
      </w:r>
    </w:p>
    <w:p w14:paraId="44502E46" w14:textId="6182AC83" w:rsidR="00497949" w:rsidRPr="001C7E55" w:rsidRDefault="00497949" w:rsidP="00497949">
      <w:pPr>
        <w:spacing w:line="20" w:lineRule="atLeast"/>
        <w:rPr>
          <w:rFonts w:asciiTheme="minorHAnsi" w:eastAsia="Calibri" w:hAnsiTheme="minorHAnsi" w:cstheme="minorHAnsi"/>
          <w:sz w:val="20"/>
          <w:szCs w:val="20"/>
        </w:rPr>
      </w:pPr>
      <w:r w:rsidRPr="001C7E55">
        <w:rPr>
          <w:rFonts w:asciiTheme="minorHAnsi" w:eastAsia="Calibri" w:hAnsiTheme="minorHAnsi" w:cstheme="minorHAnsi"/>
          <w:sz w:val="20"/>
          <w:szCs w:val="20"/>
        </w:rPr>
        <w:t xml:space="preserve">Zdroj: </w:t>
      </w:r>
      <w:r w:rsidR="005779F5">
        <w:rPr>
          <w:rFonts w:asciiTheme="minorHAnsi" w:eastAsia="Calibri" w:hAnsiTheme="minorHAnsi" w:cstheme="minorHAnsi"/>
          <w:sz w:val="20"/>
          <w:szCs w:val="20"/>
        </w:rPr>
        <w:t>v</w:t>
      </w:r>
      <w:r w:rsidR="00496E2A">
        <w:rPr>
          <w:rFonts w:asciiTheme="minorHAnsi" w:eastAsia="Calibri" w:hAnsiTheme="minorHAnsi" w:cstheme="minorHAnsi"/>
          <w:sz w:val="20"/>
          <w:szCs w:val="20"/>
        </w:rPr>
        <w:t xml:space="preserve">ypracoval NKÚ dle </w:t>
      </w:r>
      <w:r w:rsidRPr="001C7E55">
        <w:rPr>
          <w:rFonts w:asciiTheme="minorHAnsi" w:eastAsia="Calibri" w:hAnsiTheme="minorHAnsi" w:cstheme="minorHAnsi"/>
          <w:sz w:val="20"/>
          <w:szCs w:val="20"/>
        </w:rPr>
        <w:t>účetní</w:t>
      </w:r>
      <w:r w:rsidR="00496E2A">
        <w:rPr>
          <w:rFonts w:asciiTheme="minorHAnsi" w:eastAsia="Calibri" w:hAnsiTheme="minorHAnsi" w:cstheme="minorHAnsi"/>
          <w:sz w:val="20"/>
          <w:szCs w:val="20"/>
        </w:rPr>
        <w:t>ch</w:t>
      </w:r>
      <w:r w:rsidRPr="001C7E55">
        <w:rPr>
          <w:rFonts w:asciiTheme="minorHAnsi" w:eastAsia="Calibri" w:hAnsiTheme="minorHAnsi" w:cstheme="minorHAnsi"/>
          <w:sz w:val="20"/>
          <w:szCs w:val="20"/>
        </w:rPr>
        <w:t xml:space="preserve"> závěr</w:t>
      </w:r>
      <w:r w:rsidR="00496E2A">
        <w:rPr>
          <w:rFonts w:asciiTheme="minorHAnsi" w:eastAsia="Calibri" w:hAnsiTheme="minorHAnsi" w:cstheme="minorHAnsi"/>
          <w:sz w:val="20"/>
          <w:szCs w:val="20"/>
        </w:rPr>
        <w:t>ek</w:t>
      </w:r>
      <w:r w:rsidRPr="001C7E55">
        <w:rPr>
          <w:rFonts w:asciiTheme="minorHAnsi" w:eastAsia="Calibri" w:hAnsiTheme="minorHAnsi" w:cstheme="minorHAnsi"/>
          <w:sz w:val="20"/>
          <w:szCs w:val="20"/>
        </w:rPr>
        <w:t xml:space="preserve"> NG a UPM za roky 2018, 2019 a 2020</w:t>
      </w:r>
      <w:r w:rsidR="005779F5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530C1BF4" w14:textId="6D20FC72" w:rsidR="00497949" w:rsidRPr="008E4D75" w:rsidRDefault="00497949" w:rsidP="00497949">
      <w:pPr>
        <w:spacing w:before="120" w:after="0" w:line="20" w:lineRule="atLeast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t xml:space="preserve">Celkové výnosy u obou příspěvkových organizací do roku 2019 rostly. V roce </w:t>
      </w:r>
      <w:r w:rsidRPr="008E4D75">
        <w:rPr>
          <w:rFonts w:asciiTheme="minorHAnsi" w:eastAsia="Calibri" w:hAnsiTheme="minorHAnsi" w:cstheme="minorHAnsi"/>
          <w:sz w:val="24"/>
        </w:rPr>
        <w:t>2019</w:t>
      </w:r>
      <w:r>
        <w:rPr>
          <w:rFonts w:asciiTheme="minorHAnsi" w:eastAsia="Calibri" w:hAnsiTheme="minorHAnsi" w:cstheme="minorHAnsi"/>
          <w:sz w:val="24"/>
        </w:rPr>
        <w:t xml:space="preserve"> </w:t>
      </w:r>
      <w:r w:rsidRPr="008E4D75">
        <w:rPr>
          <w:rFonts w:asciiTheme="minorHAnsi" w:eastAsia="Calibri" w:hAnsiTheme="minorHAnsi" w:cstheme="minorHAnsi"/>
          <w:sz w:val="24"/>
        </w:rPr>
        <w:t>činily u NG celkem 474 409 tis. Kč a v roce 2020 v důsledku pandemie poklesly na částku 426 259 tis. Kč, z toho výnosy z</w:t>
      </w:r>
      <w:r w:rsidR="005779F5">
        <w:rPr>
          <w:rFonts w:asciiTheme="minorHAnsi" w:eastAsia="Calibri" w:hAnsiTheme="minorHAnsi" w:cstheme="minorHAnsi"/>
          <w:sz w:val="24"/>
        </w:rPr>
        <w:t xml:space="preserve"> vlastní </w:t>
      </w:r>
      <w:r w:rsidRPr="008E4D75">
        <w:rPr>
          <w:rFonts w:asciiTheme="minorHAnsi" w:eastAsia="Calibri" w:hAnsiTheme="minorHAnsi" w:cstheme="minorHAnsi"/>
          <w:sz w:val="24"/>
        </w:rPr>
        <w:t>činnosti v roce 2019 činily 152 238 tis. Kč a v roce 2020 poklesly na 46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>230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 xml:space="preserve">tis. Kč. </w:t>
      </w:r>
    </w:p>
    <w:p w14:paraId="12994865" w14:textId="25819FF8" w:rsidR="00497949" w:rsidRPr="008E4D75" w:rsidRDefault="00497949" w:rsidP="00497949">
      <w:pPr>
        <w:spacing w:before="120" w:line="20" w:lineRule="atLeast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 xml:space="preserve">V roce 2019 činily </w:t>
      </w:r>
      <w:r w:rsidR="005779F5">
        <w:rPr>
          <w:rFonts w:asciiTheme="minorHAnsi" w:eastAsia="Calibri" w:hAnsiTheme="minorHAnsi" w:cstheme="minorHAnsi"/>
          <w:sz w:val="24"/>
        </w:rPr>
        <w:t xml:space="preserve">celkové </w:t>
      </w:r>
      <w:r w:rsidRPr="008E4D75">
        <w:rPr>
          <w:rFonts w:asciiTheme="minorHAnsi" w:eastAsia="Calibri" w:hAnsiTheme="minorHAnsi" w:cstheme="minorHAnsi"/>
          <w:sz w:val="24"/>
        </w:rPr>
        <w:t>výnosy u UPM celkem 126 142 tis. Kč a v roce 2020 v důsledku pandemie poklesly na částku 112 983 tis. Kč, z toho výnosy z vlastní činnosti v roce 2019 činily 26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>172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>tis. Kč a v roce 2020 činily 9 617 tis. Kč.</w:t>
      </w:r>
    </w:p>
    <w:p w14:paraId="1D7AFB9F" w14:textId="2B69A0C7" w:rsidR="00497949" w:rsidRPr="008E4D75" w:rsidRDefault="00497949" w:rsidP="00497949">
      <w:pPr>
        <w:spacing w:before="120" w:line="20" w:lineRule="atLeast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 xml:space="preserve">Naproti tomu došlo vlivem omezení provozu i k poklesu provozních nákladů. Provozní náklady se v posledních letech rovněž každoročně </w:t>
      </w:r>
      <w:r w:rsidR="005779F5">
        <w:rPr>
          <w:rFonts w:asciiTheme="minorHAnsi" w:eastAsia="Calibri" w:hAnsiTheme="minorHAnsi" w:cstheme="minorHAnsi"/>
          <w:sz w:val="24"/>
        </w:rPr>
        <w:t>z</w:t>
      </w:r>
      <w:r w:rsidRPr="008E4D75">
        <w:rPr>
          <w:rFonts w:asciiTheme="minorHAnsi" w:eastAsia="Calibri" w:hAnsiTheme="minorHAnsi" w:cstheme="minorHAnsi"/>
          <w:sz w:val="24"/>
        </w:rPr>
        <w:t>vyšovaly, ale v roce 2020 došlo vlivem pandemie k</w:t>
      </w:r>
      <w:r w:rsidR="005779F5">
        <w:rPr>
          <w:rFonts w:asciiTheme="minorHAnsi" w:eastAsia="Calibri" w:hAnsiTheme="minorHAnsi" w:cstheme="minorHAnsi"/>
          <w:sz w:val="24"/>
        </w:rPr>
        <w:t xml:space="preserve"> jejich </w:t>
      </w:r>
      <w:r w:rsidRPr="008E4D75">
        <w:rPr>
          <w:rFonts w:asciiTheme="minorHAnsi" w:eastAsia="Calibri" w:hAnsiTheme="minorHAnsi" w:cstheme="minorHAnsi"/>
          <w:sz w:val="24"/>
        </w:rPr>
        <w:t>poklesu. Celkové provozní náklady u NG v roce 2019 činily 474 357 tis. Kč a</w:t>
      </w:r>
      <w:r w:rsidR="005779F5"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>v roce 2020 činily 426 258 tis. Kč. U UPM celkové provozní náklady v roce 2019 činily 126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>142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>tis. Kč a v roce 2020 došlo k</w:t>
      </w:r>
      <w:r w:rsidR="005779F5">
        <w:rPr>
          <w:rFonts w:asciiTheme="minorHAnsi" w:eastAsia="Calibri" w:hAnsiTheme="minorHAnsi" w:cstheme="minorHAnsi"/>
          <w:sz w:val="24"/>
        </w:rPr>
        <w:t xml:space="preserve"> jejich </w:t>
      </w:r>
      <w:r w:rsidRPr="008E4D75">
        <w:rPr>
          <w:rFonts w:asciiTheme="minorHAnsi" w:eastAsia="Calibri" w:hAnsiTheme="minorHAnsi" w:cstheme="minorHAnsi"/>
          <w:sz w:val="24"/>
        </w:rPr>
        <w:t xml:space="preserve">snížení na částku 112 983 tis. Kč. </w:t>
      </w:r>
    </w:p>
    <w:p w14:paraId="266CA1EA" w14:textId="77777777" w:rsidR="00B52E01" w:rsidRDefault="00B52E01">
      <w:pPr>
        <w:suppressAutoHyphens w:val="0"/>
        <w:spacing w:before="120" w:after="0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br w:type="page"/>
      </w:r>
    </w:p>
    <w:p w14:paraId="1213CDB1" w14:textId="6F90F0A3" w:rsidR="00497949" w:rsidRPr="0033701C" w:rsidRDefault="00497949" w:rsidP="00497949">
      <w:pPr>
        <w:spacing w:before="120" w:line="240" w:lineRule="auto"/>
        <w:rPr>
          <w:rFonts w:asciiTheme="minorHAnsi" w:eastAsia="Calibri" w:hAnsiTheme="minorHAnsi" w:cstheme="minorHAnsi"/>
          <w:sz w:val="24"/>
        </w:rPr>
      </w:pPr>
      <w:r>
        <w:rPr>
          <w:rFonts w:asciiTheme="minorHAnsi" w:eastAsia="Calibri" w:hAnsiTheme="minorHAnsi" w:cstheme="minorHAnsi"/>
          <w:sz w:val="24"/>
        </w:rPr>
        <w:lastRenderedPageBreak/>
        <w:t>K vyrovnání propadu výnosů poskytl zřizovatel (MK) jak NG, tak i UPM v letech 2019 i 2020 příspěvek na provoz ve výši, která pokryla tyto výpadky příjmů a znamenala, že obě instituce v uvedených letech měly vyrovnané hospodaření.</w:t>
      </w:r>
    </w:p>
    <w:p w14:paraId="1CC6CB5B" w14:textId="30F3D469" w:rsidR="00497949" w:rsidRPr="008E4D75" w:rsidRDefault="00497949" w:rsidP="00497949">
      <w:pPr>
        <w:spacing w:before="120" w:after="0" w:line="20" w:lineRule="atLeast"/>
        <w:rPr>
          <w:rFonts w:asciiTheme="minorHAnsi" w:eastAsia="Calibri" w:hAnsiTheme="minorHAnsi" w:cstheme="minorHAnsi"/>
          <w:sz w:val="24"/>
        </w:rPr>
      </w:pPr>
      <w:r w:rsidRPr="008E4D75">
        <w:rPr>
          <w:rFonts w:asciiTheme="minorHAnsi" w:eastAsia="Calibri" w:hAnsiTheme="minorHAnsi" w:cstheme="minorHAnsi"/>
          <w:sz w:val="24"/>
        </w:rPr>
        <w:t xml:space="preserve">Pandemie </w:t>
      </w:r>
      <w:r>
        <w:rPr>
          <w:rFonts w:asciiTheme="minorHAnsi" w:eastAsia="Calibri" w:hAnsiTheme="minorHAnsi" w:cstheme="minorHAnsi"/>
          <w:sz w:val="24"/>
        </w:rPr>
        <w:t>onemocnění</w:t>
      </w:r>
      <w:r w:rsidRPr="008E4D75">
        <w:rPr>
          <w:rFonts w:asciiTheme="minorHAnsi" w:eastAsia="Calibri" w:hAnsiTheme="minorHAnsi" w:cstheme="minorHAnsi"/>
          <w:sz w:val="24"/>
        </w:rPr>
        <w:t xml:space="preserve"> </w:t>
      </w:r>
      <w:r w:rsidR="005779F5">
        <w:rPr>
          <w:rFonts w:asciiTheme="minorHAnsi" w:eastAsia="Calibri" w:hAnsiTheme="minorHAnsi" w:cstheme="minorHAnsi"/>
          <w:sz w:val="24"/>
        </w:rPr>
        <w:t>covid</w:t>
      </w:r>
      <w:r w:rsidRPr="008E4D75">
        <w:rPr>
          <w:rFonts w:asciiTheme="minorHAnsi" w:eastAsia="Calibri" w:hAnsiTheme="minorHAnsi" w:cstheme="minorHAnsi"/>
          <w:sz w:val="24"/>
        </w:rPr>
        <w:t xml:space="preserve">-19 měla zásadní vliv i na vývoj návštěvnosti výstavních prostor. V roce 2019 </w:t>
      </w:r>
      <w:r w:rsidR="005779F5">
        <w:rPr>
          <w:rFonts w:asciiTheme="minorHAnsi" w:eastAsia="Calibri" w:hAnsiTheme="minorHAnsi" w:cstheme="minorHAnsi"/>
          <w:sz w:val="24"/>
        </w:rPr>
        <w:t xml:space="preserve">navštívilo Národní galerii v Praze </w:t>
      </w:r>
      <w:r w:rsidRPr="008E4D75">
        <w:rPr>
          <w:rFonts w:asciiTheme="minorHAnsi" w:eastAsia="Calibri" w:hAnsiTheme="minorHAnsi" w:cstheme="minorHAnsi"/>
          <w:sz w:val="24"/>
        </w:rPr>
        <w:t xml:space="preserve">556 409 </w:t>
      </w:r>
      <w:r w:rsidR="005779F5">
        <w:rPr>
          <w:rFonts w:asciiTheme="minorHAnsi" w:eastAsia="Calibri" w:hAnsiTheme="minorHAnsi" w:cstheme="minorHAnsi"/>
          <w:sz w:val="24"/>
        </w:rPr>
        <w:t>osob, zatímco</w:t>
      </w:r>
      <w:r w:rsidRPr="008E4D75">
        <w:rPr>
          <w:rFonts w:asciiTheme="minorHAnsi" w:eastAsia="Calibri" w:hAnsiTheme="minorHAnsi" w:cstheme="minorHAnsi"/>
          <w:sz w:val="24"/>
        </w:rPr>
        <w:t xml:space="preserve"> v roce 2020 </w:t>
      </w:r>
      <w:r w:rsidR="005779F5">
        <w:rPr>
          <w:rFonts w:asciiTheme="minorHAnsi" w:eastAsia="Calibri" w:hAnsiTheme="minorHAnsi" w:cstheme="minorHAnsi"/>
          <w:sz w:val="24"/>
        </w:rPr>
        <w:t>pouze</w:t>
      </w:r>
      <w:r w:rsidRPr="008E4D75">
        <w:rPr>
          <w:rFonts w:asciiTheme="minorHAnsi" w:eastAsia="Calibri" w:hAnsiTheme="minorHAnsi" w:cstheme="minorHAnsi"/>
          <w:sz w:val="24"/>
        </w:rPr>
        <w:t xml:space="preserve"> 282</w:t>
      </w:r>
      <w:r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 xml:space="preserve">563. </w:t>
      </w:r>
      <w:r w:rsidR="005779F5">
        <w:rPr>
          <w:rFonts w:asciiTheme="minorHAnsi" w:eastAsia="Calibri" w:hAnsiTheme="minorHAnsi" w:cstheme="minorHAnsi"/>
          <w:sz w:val="24"/>
        </w:rPr>
        <w:t>Obdobný vývoj zaznamenalo i Uměleckoprůmyslové museum v Praze, v</w:t>
      </w:r>
      <w:r w:rsidRPr="008E4D75">
        <w:rPr>
          <w:rFonts w:asciiTheme="minorHAnsi" w:eastAsia="Calibri" w:hAnsiTheme="minorHAnsi" w:cstheme="minorHAnsi"/>
          <w:sz w:val="24"/>
        </w:rPr>
        <w:t xml:space="preserve"> roce 2019 </w:t>
      </w:r>
      <w:r w:rsidR="005779F5">
        <w:rPr>
          <w:rFonts w:asciiTheme="minorHAnsi" w:eastAsia="Calibri" w:hAnsiTheme="minorHAnsi" w:cstheme="minorHAnsi"/>
          <w:sz w:val="24"/>
        </w:rPr>
        <w:t xml:space="preserve">jej navštívilo </w:t>
      </w:r>
      <w:r w:rsidRPr="008E4D75">
        <w:rPr>
          <w:rFonts w:asciiTheme="minorHAnsi" w:eastAsia="Calibri" w:hAnsiTheme="minorHAnsi" w:cstheme="minorHAnsi"/>
          <w:sz w:val="24"/>
        </w:rPr>
        <w:t>90</w:t>
      </w:r>
      <w:r w:rsidR="005779F5">
        <w:rPr>
          <w:rFonts w:asciiTheme="minorHAnsi" w:eastAsia="Calibri" w:hAnsiTheme="minorHAnsi" w:cstheme="minorHAnsi"/>
          <w:sz w:val="24"/>
        </w:rPr>
        <w:t> </w:t>
      </w:r>
      <w:r w:rsidRPr="008E4D75">
        <w:rPr>
          <w:rFonts w:asciiTheme="minorHAnsi" w:eastAsia="Calibri" w:hAnsiTheme="minorHAnsi" w:cstheme="minorHAnsi"/>
          <w:sz w:val="24"/>
        </w:rPr>
        <w:t xml:space="preserve">392 </w:t>
      </w:r>
      <w:r w:rsidR="005779F5" w:rsidRPr="008E4D75">
        <w:rPr>
          <w:rFonts w:asciiTheme="minorHAnsi" w:eastAsia="Calibri" w:hAnsiTheme="minorHAnsi" w:cstheme="minorHAnsi"/>
          <w:sz w:val="24"/>
        </w:rPr>
        <w:t>návštěvníků</w:t>
      </w:r>
      <w:r w:rsidR="005779F5">
        <w:rPr>
          <w:rFonts w:asciiTheme="minorHAnsi" w:eastAsia="Calibri" w:hAnsiTheme="minorHAnsi" w:cstheme="minorHAnsi"/>
          <w:sz w:val="24"/>
        </w:rPr>
        <w:t xml:space="preserve">, zatímco </w:t>
      </w:r>
      <w:r w:rsidRPr="008E4D75">
        <w:rPr>
          <w:rFonts w:asciiTheme="minorHAnsi" w:eastAsia="Calibri" w:hAnsiTheme="minorHAnsi" w:cstheme="minorHAnsi"/>
          <w:sz w:val="24"/>
        </w:rPr>
        <w:t xml:space="preserve">v roce 2020 </w:t>
      </w:r>
      <w:r w:rsidR="005779F5">
        <w:rPr>
          <w:rFonts w:asciiTheme="minorHAnsi" w:eastAsia="Calibri" w:hAnsiTheme="minorHAnsi" w:cstheme="minorHAnsi"/>
          <w:sz w:val="24"/>
        </w:rPr>
        <w:t>jen</w:t>
      </w:r>
      <w:r w:rsidR="005779F5" w:rsidRPr="008E4D75">
        <w:rPr>
          <w:rFonts w:asciiTheme="minorHAnsi" w:eastAsia="Calibri" w:hAnsiTheme="minorHAnsi" w:cstheme="minorHAnsi"/>
          <w:sz w:val="24"/>
        </w:rPr>
        <w:t xml:space="preserve"> </w:t>
      </w:r>
      <w:r w:rsidRPr="008E4D75">
        <w:rPr>
          <w:rFonts w:asciiTheme="minorHAnsi" w:eastAsia="Calibri" w:hAnsiTheme="minorHAnsi" w:cstheme="minorHAnsi"/>
          <w:sz w:val="24"/>
        </w:rPr>
        <w:t>18 874.</w:t>
      </w:r>
    </w:p>
    <w:p w14:paraId="0985F3FF" w14:textId="77777777" w:rsidR="00AE7FB9" w:rsidRPr="00913D67" w:rsidRDefault="00AE7FB9" w:rsidP="00923973">
      <w:pPr>
        <w:spacing w:before="120" w:after="0" w:line="240" w:lineRule="auto"/>
        <w:rPr>
          <w:rFonts w:asciiTheme="minorHAnsi" w:hAnsiTheme="minorHAnsi" w:cstheme="minorHAnsi"/>
          <w:sz w:val="24"/>
        </w:rPr>
      </w:pPr>
    </w:p>
    <w:sectPr w:rsidR="00AE7FB9" w:rsidRPr="00913D67" w:rsidSect="00B807C0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588FD" w14:textId="77777777" w:rsidR="00E03B0C" w:rsidRDefault="00E03B0C" w:rsidP="00FE5796">
      <w:pPr>
        <w:spacing w:after="0" w:line="240" w:lineRule="auto"/>
      </w:pPr>
      <w:r>
        <w:separator/>
      </w:r>
    </w:p>
  </w:endnote>
  <w:endnote w:type="continuationSeparator" w:id="0">
    <w:p w14:paraId="0AB2C991" w14:textId="77777777" w:rsidR="00E03B0C" w:rsidRDefault="00E03B0C" w:rsidP="00FE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440607"/>
      <w:docPartObj>
        <w:docPartGallery w:val="Page Numbers (Bottom of Page)"/>
        <w:docPartUnique/>
      </w:docPartObj>
    </w:sdtPr>
    <w:sdtEndPr/>
    <w:sdtContent>
      <w:p w14:paraId="37D45123" w14:textId="77777777" w:rsidR="00E03B0C" w:rsidRDefault="00E03B0C">
        <w:pPr>
          <w:pStyle w:val="Zpat"/>
          <w:jc w:val="center"/>
        </w:pPr>
        <w:r w:rsidRPr="0091259D">
          <w:rPr>
            <w:rFonts w:asciiTheme="minorHAnsi" w:hAnsiTheme="minorHAnsi" w:cstheme="minorHAnsi"/>
            <w:sz w:val="24"/>
          </w:rPr>
          <w:fldChar w:fldCharType="begin"/>
        </w:r>
        <w:r w:rsidRPr="005A4ECA">
          <w:rPr>
            <w:rFonts w:asciiTheme="minorHAnsi" w:hAnsiTheme="minorHAnsi" w:cstheme="minorHAnsi"/>
            <w:sz w:val="24"/>
          </w:rPr>
          <w:instrText>PAGE   \* MERGEFORMAT</w:instrText>
        </w:r>
        <w:r w:rsidRPr="0091259D">
          <w:rPr>
            <w:rFonts w:asciiTheme="minorHAnsi" w:hAnsiTheme="minorHAnsi" w:cstheme="minorHAnsi"/>
            <w:sz w:val="24"/>
          </w:rPr>
          <w:fldChar w:fldCharType="separate"/>
        </w:r>
        <w:r w:rsidRPr="005A4ECA">
          <w:rPr>
            <w:rFonts w:asciiTheme="minorHAnsi" w:hAnsiTheme="minorHAnsi" w:cstheme="minorHAnsi"/>
            <w:noProof/>
            <w:sz w:val="24"/>
          </w:rPr>
          <w:t>11</w:t>
        </w:r>
        <w:r w:rsidRPr="0091259D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14:paraId="67398840" w14:textId="77777777" w:rsidR="00E03B0C" w:rsidRDefault="00E03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D4C37" w14:textId="77777777" w:rsidR="00E03B0C" w:rsidRDefault="00E03B0C" w:rsidP="00FE5796">
      <w:pPr>
        <w:spacing w:after="0" w:line="240" w:lineRule="auto"/>
      </w:pPr>
      <w:r>
        <w:separator/>
      </w:r>
    </w:p>
  </w:footnote>
  <w:footnote w:type="continuationSeparator" w:id="0">
    <w:p w14:paraId="3185A904" w14:textId="77777777" w:rsidR="00E03B0C" w:rsidRDefault="00E03B0C" w:rsidP="00FE5796">
      <w:pPr>
        <w:spacing w:after="0" w:line="240" w:lineRule="auto"/>
      </w:pPr>
      <w:r>
        <w:continuationSeparator/>
      </w:r>
    </w:p>
  </w:footnote>
  <w:footnote w:id="1">
    <w:p w14:paraId="7D690EAB" w14:textId="0D96CE74" w:rsidR="00E03B0C" w:rsidRPr="00155C0A" w:rsidRDefault="00E03B0C" w:rsidP="00315685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55C0A">
        <w:rPr>
          <w:rStyle w:val="Znakapoznpodarou"/>
          <w:rFonts w:asciiTheme="minorHAnsi" w:hAnsiTheme="minorHAnsi" w:cstheme="minorHAnsi"/>
        </w:rPr>
        <w:footnoteRef/>
      </w:r>
      <w:r w:rsidRPr="00155C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bookmarkStart w:id="3" w:name="_Hlk105148613"/>
      <w:r w:rsidRPr="00155C0A">
        <w:rPr>
          <w:rStyle w:val="Znakapoznpodarou"/>
          <w:rFonts w:asciiTheme="minorHAnsi" w:hAnsiTheme="minorHAnsi" w:cstheme="minorHAnsi"/>
          <w:vertAlign w:val="baseline"/>
        </w:rPr>
        <w:t>Zákon č. 320</w:t>
      </w:r>
      <w:r w:rsidRPr="00155C0A">
        <w:rPr>
          <w:rFonts w:asciiTheme="minorHAnsi" w:hAnsiTheme="minorHAnsi" w:cstheme="minorHAnsi"/>
        </w:rPr>
        <w:t>/2001 Sb., o finanční kontrole ve veřejné správě a o změně některých zákonů (zákon o finanční kontrole</w:t>
      </w:r>
      <w:bookmarkEnd w:id="3"/>
      <w:r w:rsidRPr="00155C0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</w:footnote>
  <w:footnote w:id="2">
    <w:p w14:paraId="4264C2E9" w14:textId="1E891FD4" w:rsidR="00E03B0C" w:rsidRPr="00155C0A" w:rsidRDefault="00E03B0C" w:rsidP="00155C0A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155C0A">
        <w:rPr>
          <w:rStyle w:val="Znakapoznpodarou"/>
          <w:rFonts w:asciiTheme="minorHAnsi" w:hAnsiTheme="minorHAnsi" w:cstheme="minorHAnsi"/>
        </w:rPr>
        <w:footnoteRef/>
      </w:r>
      <w:r w:rsidRPr="00155C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55C0A">
        <w:rPr>
          <w:rFonts w:asciiTheme="minorHAnsi" w:hAnsiTheme="minorHAnsi" w:cstheme="minorHAnsi"/>
        </w:rPr>
        <w:t>Zákon č. 134/2016 Sb., o zadávání veřejných zakázek</w:t>
      </w:r>
      <w:r>
        <w:rPr>
          <w:rFonts w:asciiTheme="minorHAnsi" w:hAnsiTheme="minorHAnsi" w:cstheme="minorHAnsi"/>
        </w:rPr>
        <w:t>.</w:t>
      </w:r>
    </w:p>
  </w:footnote>
  <w:footnote w:id="3">
    <w:p w14:paraId="2E964A2C" w14:textId="65F617EB" w:rsidR="00E03B0C" w:rsidRPr="007A7663" w:rsidRDefault="00E03B0C" w:rsidP="00155C0A">
      <w:pPr>
        <w:pStyle w:val="Textpoznpodarou"/>
        <w:spacing w:after="0" w:line="240" w:lineRule="auto"/>
        <w:ind w:left="284" w:hanging="284"/>
      </w:pPr>
      <w:r w:rsidRPr="00155C0A">
        <w:rPr>
          <w:rStyle w:val="Znakapoznpodarou"/>
          <w:rFonts w:asciiTheme="minorHAnsi" w:hAnsiTheme="minorHAnsi" w:cstheme="minorHAnsi"/>
        </w:rPr>
        <w:footnoteRef/>
      </w:r>
      <w:r w:rsidRPr="00155C0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55C0A">
        <w:rPr>
          <w:rFonts w:asciiTheme="minorHAnsi" w:hAnsiTheme="minorHAnsi" w:cstheme="minorHAnsi"/>
        </w:rPr>
        <w:t>Zákon č. 340/2015 Sb., o zvláštních podmínkách účinnosti některých smluv, uveřejňování těchto smluv a</w:t>
      </w:r>
      <w:r>
        <w:rPr>
          <w:rFonts w:asciiTheme="minorHAnsi" w:hAnsiTheme="minorHAnsi" w:cstheme="minorHAnsi"/>
        </w:rPr>
        <w:t> </w:t>
      </w:r>
      <w:r w:rsidRPr="00155C0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155C0A">
        <w:rPr>
          <w:rFonts w:asciiTheme="minorHAnsi" w:hAnsiTheme="minorHAnsi" w:cstheme="minorHAnsi"/>
        </w:rPr>
        <w:t>registru smluv (zákon o registru smluv)</w:t>
      </w:r>
      <w:r>
        <w:rPr>
          <w:rFonts w:asciiTheme="minorHAnsi" w:hAnsiTheme="minorHAnsi" w:cstheme="minorHAnsi"/>
        </w:rPr>
        <w:t>.</w:t>
      </w:r>
    </w:p>
  </w:footnote>
  <w:footnote w:id="4">
    <w:p w14:paraId="56A8588B" w14:textId="57240BC8" w:rsidR="00E03B0C" w:rsidRPr="0089567F" w:rsidRDefault="00E03B0C" w:rsidP="0089567F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9567F">
        <w:rPr>
          <w:rStyle w:val="Znakapoznpodarou"/>
          <w:rFonts w:asciiTheme="minorHAnsi" w:hAnsiTheme="minorHAnsi" w:cstheme="minorHAnsi"/>
        </w:rPr>
        <w:footnoteRef/>
      </w:r>
      <w:r w:rsidRPr="008956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9567F">
        <w:rPr>
          <w:rFonts w:asciiTheme="minorHAnsi" w:hAnsiTheme="minorHAnsi" w:cstheme="minorHAnsi"/>
        </w:rPr>
        <w:t xml:space="preserve">Ustanovení § 26 odst. 1 zákona č. 320/2001 Sb. a ustanovení § 10 a § 13 </w:t>
      </w:r>
      <w:r>
        <w:rPr>
          <w:rFonts w:asciiTheme="minorHAnsi" w:hAnsiTheme="minorHAnsi" w:cstheme="minorHAnsi"/>
        </w:rPr>
        <w:t>v</w:t>
      </w:r>
      <w:r w:rsidRPr="0089567F">
        <w:rPr>
          <w:rFonts w:asciiTheme="minorHAnsi" w:hAnsiTheme="minorHAnsi" w:cstheme="minorHAnsi"/>
        </w:rPr>
        <w:t>yhlášky č. 416/2004 Sb., kterou se provádí zákon č. 320/2001 Sb.</w:t>
      </w:r>
      <w:r w:rsidRPr="0089567F">
        <w:rPr>
          <w:rFonts w:asciiTheme="minorHAnsi" w:hAnsiTheme="minorHAnsi" w:cstheme="minorHAnsi"/>
          <w:color w:val="000000"/>
          <w:shd w:val="clear" w:color="auto" w:fill="FFFFFF"/>
        </w:rPr>
        <w:t>, o finanční kontrole ve veřejné správě a o změně některých zákonů (zákon o</w:t>
      </w:r>
      <w:r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89567F">
        <w:rPr>
          <w:rFonts w:asciiTheme="minorHAnsi" w:hAnsiTheme="minorHAnsi" w:cstheme="minorHAnsi"/>
          <w:color w:val="000000"/>
          <w:shd w:val="clear" w:color="auto" w:fill="FFFFFF"/>
        </w:rPr>
        <w:t>finanční kontrole), ve znění zákona č. 309/2002 Sb., zákona č. 320/2002 Sb. a zákona č. 123/2003 Sb.</w:t>
      </w:r>
    </w:p>
  </w:footnote>
  <w:footnote w:id="5">
    <w:p w14:paraId="1359AF2E" w14:textId="1CF28D4D" w:rsidR="00E03B0C" w:rsidRPr="0089567F" w:rsidRDefault="00E03B0C" w:rsidP="0089567F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9567F">
        <w:rPr>
          <w:rStyle w:val="Znakapoznpodarou"/>
          <w:rFonts w:asciiTheme="minorHAnsi" w:hAnsiTheme="minorHAnsi" w:cstheme="minorHAnsi"/>
        </w:rPr>
        <w:footnoteRef/>
      </w:r>
      <w:r w:rsidRPr="008956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bookmarkStart w:id="4" w:name="_Hlk105148428"/>
      <w:r w:rsidRPr="0089567F">
        <w:rPr>
          <w:rStyle w:val="PoznmkapodarouChar"/>
          <w:rFonts w:asciiTheme="minorHAnsi" w:hAnsiTheme="minorHAnsi" w:cstheme="minorHAnsi"/>
          <w:lang w:val="cs-CZ"/>
        </w:rPr>
        <w:t>Zákon č. 218/2000 Sb., o rozpočtových pravidlech a o změně některých souvisejících zákonů (rozpočtová pravidla)</w:t>
      </w:r>
      <w:bookmarkEnd w:id="4"/>
      <w:r>
        <w:rPr>
          <w:rStyle w:val="PoznmkapodarouChar"/>
          <w:rFonts w:asciiTheme="minorHAnsi" w:hAnsiTheme="minorHAnsi" w:cstheme="minorHAnsi"/>
          <w:lang w:val="cs-CZ"/>
        </w:rPr>
        <w:t>, (dále také „zákon o rozpočtových pravidlech“).</w:t>
      </w:r>
    </w:p>
  </w:footnote>
  <w:footnote w:id="6">
    <w:p w14:paraId="72A233A7" w14:textId="039C32B6" w:rsidR="00E03B0C" w:rsidRPr="0089567F" w:rsidRDefault="00E03B0C" w:rsidP="0089567F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9567F">
        <w:rPr>
          <w:rStyle w:val="Znakapoznpodarou"/>
          <w:rFonts w:asciiTheme="minorHAnsi" w:hAnsiTheme="minorHAnsi" w:cstheme="minorHAnsi"/>
        </w:rPr>
        <w:footnoteRef/>
      </w:r>
      <w:r w:rsidRPr="008956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9567F">
        <w:rPr>
          <w:rFonts w:asciiTheme="minorHAnsi" w:hAnsiTheme="minorHAnsi" w:cstheme="minorHAnsi"/>
        </w:rPr>
        <w:t>Zákon č. 499/2004 Sb., o archivnictví a spisové službě a o změně některých zákonů</w:t>
      </w:r>
      <w:r>
        <w:rPr>
          <w:rFonts w:asciiTheme="minorHAnsi" w:hAnsiTheme="minorHAnsi" w:cstheme="minorHAnsi"/>
        </w:rPr>
        <w:t>.</w:t>
      </w:r>
    </w:p>
  </w:footnote>
  <w:footnote w:id="7">
    <w:p w14:paraId="53A4737F" w14:textId="2439138A" w:rsidR="00E03B0C" w:rsidRPr="007A7663" w:rsidRDefault="00E03B0C" w:rsidP="00475416">
      <w:pPr>
        <w:pStyle w:val="Textpoznpodarou"/>
        <w:spacing w:after="0" w:line="240" w:lineRule="auto"/>
        <w:ind w:left="284" w:hanging="284"/>
      </w:pPr>
      <w:r w:rsidRPr="00475416">
        <w:rPr>
          <w:rStyle w:val="Znakapoznpodarou"/>
          <w:rFonts w:asciiTheme="minorHAnsi" w:hAnsiTheme="minorHAnsi" w:cstheme="minorHAnsi"/>
        </w:rPr>
        <w:footnoteRef/>
      </w:r>
      <w:r w:rsidRPr="00475416"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</w:rPr>
        <w:tab/>
      </w:r>
      <w:bookmarkStart w:id="5" w:name="_Hlk105148514"/>
      <w:r w:rsidRPr="00475416">
        <w:rPr>
          <w:rStyle w:val="Znakapoznpodarou"/>
          <w:rFonts w:asciiTheme="minorHAnsi" w:hAnsiTheme="minorHAnsi" w:cstheme="minorHAnsi"/>
          <w:vertAlign w:val="baseline"/>
        </w:rPr>
        <w:t>Zákon č. 219/2000 Sb., o majetku České republiky a jejím vystupování v právních vztazích</w:t>
      </w:r>
      <w:r>
        <w:rPr>
          <w:rFonts w:asciiTheme="minorHAnsi" w:hAnsiTheme="minorHAnsi" w:cstheme="minorHAnsi"/>
        </w:rPr>
        <w:t xml:space="preserve"> </w:t>
      </w:r>
      <w:bookmarkEnd w:id="5"/>
      <w:r>
        <w:rPr>
          <w:rFonts w:asciiTheme="minorHAnsi" w:hAnsiTheme="minorHAnsi" w:cstheme="minorHAnsi"/>
        </w:rPr>
        <w:t>(dále také „zákon o majetku státu“).</w:t>
      </w:r>
    </w:p>
  </w:footnote>
  <w:footnote w:id="8">
    <w:p w14:paraId="66EFA347" w14:textId="6CE9D223" w:rsidR="00E03B0C" w:rsidRPr="00475416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475416">
        <w:rPr>
          <w:rStyle w:val="Znakapoznpodarou"/>
          <w:rFonts w:asciiTheme="minorHAnsi" w:hAnsiTheme="minorHAnsi" w:cstheme="minorHAnsi"/>
        </w:rPr>
        <w:footnoteRef/>
      </w:r>
      <w:r w:rsidRPr="0047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75416">
        <w:rPr>
          <w:rFonts w:asciiTheme="minorHAnsi" w:hAnsiTheme="minorHAnsi" w:cstheme="minorHAnsi"/>
        </w:rPr>
        <w:t xml:space="preserve">Národní galerie v Praze </w:t>
      </w:r>
      <w:r w:rsidRPr="00475416">
        <w:rPr>
          <w:rStyle w:val="eop"/>
          <w:rFonts w:asciiTheme="minorHAnsi" w:hAnsiTheme="minorHAnsi" w:cstheme="minorHAnsi"/>
        </w:rPr>
        <w:t xml:space="preserve">byla zřízena </w:t>
      </w:r>
      <w:bookmarkStart w:id="6" w:name="_Hlk105148558"/>
      <w:r w:rsidRPr="00475416">
        <w:rPr>
          <w:rStyle w:val="eop"/>
          <w:rFonts w:asciiTheme="minorHAnsi" w:hAnsiTheme="minorHAnsi" w:cstheme="minorHAnsi"/>
        </w:rPr>
        <w:t>zákonem č. 148/1949 Sb., o Národní galerii v</w:t>
      </w:r>
      <w:r>
        <w:rPr>
          <w:rStyle w:val="eop"/>
          <w:rFonts w:asciiTheme="minorHAnsi" w:hAnsiTheme="minorHAnsi" w:cstheme="minorHAnsi"/>
        </w:rPr>
        <w:t> </w:t>
      </w:r>
      <w:r w:rsidRPr="00475416">
        <w:rPr>
          <w:rStyle w:val="eop"/>
          <w:rFonts w:asciiTheme="minorHAnsi" w:hAnsiTheme="minorHAnsi" w:cstheme="minorHAnsi"/>
        </w:rPr>
        <w:t>Praze</w:t>
      </w:r>
      <w:bookmarkEnd w:id="6"/>
      <w:r>
        <w:rPr>
          <w:rStyle w:val="eop"/>
          <w:rFonts w:asciiTheme="minorHAnsi" w:hAnsiTheme="minorHAnsi" w:cstheme="minorHAnsi"/>
        </w:rPr>
        <w:t>.</w:t>
      </w:r>
    </w:p>
  </w:footnote>
  <w:footnote w:id="9">
    <w:p w14:paraId="1257DA53" w14:textId="35011986" w:rsidR="00E03B0C" w:rsidRPr="00475416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475416">
        <w:rPr>
          <w:rStyle w:val="Znakapoznpodarou"/>
          <w:rFonts w:asciiTheme="minorHAnsi" w:hAnsiTheme="minorHAnsi" w:cstheme="minorHAnsi"/>
        </w:rPr>
        <w:footnoteRef/>
      </w:r>
      <w:r w:rsidRPr="0047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75416">
        <w:rPr>
          <w:rFonts w:asciiTheme="minorHAnsi" w:hAnsiTheme="minorHAnsi" w:cstheme="minorHAnsi"/>
        </w:rPr>
        <w:t xml:space="preserve">Článek II </w:t>
      </w:r>
      <w:r>
        <w:rPr>
          <w:rFonts w:asciiTheme="minorHAnsi" w:hAnsiTheme="minorHAnsi" w:cstheme="minorHAnsi"/>
        </w:rPr>
        <w:t>s</w:t>
      </w:r>
      <w:r w:rsidRPr="00475416">
        <w:rPr>
          <w:rFonts w:asciiTheme="minorHAnsi" w:hAnsiTheme="minorHAnsi" w:cstheme="minorHAnsi"/>
        </w:rPr>
        <w:t>tatutu Národní galerie v</w:t>
      </w:r>
      <w:r>
        <w:rPr>
          <w:rFonts w:asciiTheme="minorHAnsi" w:hAnsiTheme="minorHAnsi" w:cstheme="minorHAnsi"/>
        </w:rPr>
        <w:t> </w:t>
      </w:r>
      <w:r w:rsidRPr="00475416">
        <w:rPr>
          <w:rFonts w:asciiTheme="minorHAnsi" w:hAnsiTheme="minorHAnsi" w:cstheme="minorHAnsi"/>
        </w:rPr>
        <w:t>Praze</w:t>
      </w:r>
      <w:r>
        <w:rPr>
          <w:rFonts w:asciiTheme="minorHAnsi" w:hAnsiTheme="minorHAnsi" w:cstheme="minorHAnsi"/>
        </w:rPr>
        <w:t>.</w:t>
      </w:r>
    </w:p>
  </w:footnote>
  <w:footnote w:id="10">
    <w:p w14:paraId="4F5F5B79" w14:textId="2DDDCBE3" w:rsidR="00E03B0C" w:rsidRPr="00475416" w:rsidRDefault="00E03B0C" w:rsidP="00475416">
      <w:pPr>
        <w:pStyle w:val="Textpoznpodarou"/>
        <w:ind w:left="284" w:hanging="284"/>
        <w:rPr>
          <w:rFonts w:asciiTheme="minorHAnsi" w:hAnsiTheme="minorHAnsi" w:cstheme="minorHAnsi"/>
        </w:rPr>
      </w:pPr>
      <w:r w:rsidRPr="00475416">
        <w:rPr>
          <w:rStyle w:val="Znakapoznpodarou"/>
          <w:rFonts w:asciiTheme="minorHAnsi" w:hAnsiTheme="minorHAnsi" w:cstheme="minorHAnsi"/>
        </w:rPr>
        <w:footnoteRef/>
      </w:r>
      <w:r w:rsidRPr="0047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bookmarkStart w:id="7" w:name="_Hlk105148914"/>
      <w:r w:rsidRPr="00475416">
        <w:rPr>
          <w:rFonts w:asciiTheme="minorHAnsi" w:hAnsiTheme="minorHAnsi" w:cstheme="minorHAnsi"/>
        </w:rPr>
        <w:t xml:space="preserve">Zákon </w:t>
      </w:r>
      <w:r w:rsidRPr="00475416">
        <w:rPr>
          <w:rFonts w:asciiTheme="minorHAnsi" w:eastAsia="Calibri" w:hAnsiTheme="minorHAnsi" w:cstheme="minorHAnsi"/>
        </w:rPr>
        <w:t>č. 122</w:t>
      </w:r>
      <w:r w:rsidRPr="00475416">
        <w:rPr>
          <w:rFonts w:asciiTheme="minorHAnsi" w:hAnsiTheme="minorHAnsi" w:cstheme="minorHAnsi"/>
        </w:rPr>
        <w:t>/2000 Sb., o ochraně sbírek muzejní povahy a o změně některých dalších zákonů</w:t>
      </w:r>
      <w:bookmarkEnd w:id="7"/>
      <w:r>
        <w:rPr>
          <w:rFonts w:asciiTheme="minorHAnsi" w:hAnsiTheme="minorHAnsi" w:cstheme="minorHAnsi"/>
        </w:rPr>
        <w:t>.</w:t>
      </w:r>
    </w:p>
  </w:footnote>
  <w:footnote w:id="11">
    <w:p w14:paraId="18450913" w14:textId="322C6CCB" w:rsidR="00E03B0C" w:rsidRPr="0079135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79135D">
        <w:rPr>
          <w:rStyle w:val="Znakapoznpodarou"/>
          <w:rFonts w:asciiTheme="minorHAnsi" w:hAnsiTheme="minorHAnsi" w:cstheme="minorHAnsi"/>
        </w:rPr>
        <w:footnoteRef/>
      </w:r>
      <w:r w:rsidRPr="007913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bookmarkStart w:id="8" w:name="_Hlk105148743"/>
      <w:r w:rsidRPr="0079135D">
        <w:rPr>
          <w:rFonts w:asciiTheme="minorHAnsi" w:hAnsiTheme="minorHAnsi" w:cstheme="minorHAnsi"/>
        </w:rPr>
        <w:t>Zákon č. 563/1991 Sb., o účetnictví</w:t>
      </w:r>
      <w:bookmarkEnd w:id="8"/>
      <w:r>
        <w:rPr>
          <w:rFonts w:asciiTheme="minorHAnsi" w:hAnsiTheme="minorHAnsi" w:cstheme="minorHAnsi"/>
        </w:rPr>
        <w:t>.</w:t>
      </w:r>
    </w:p>
  </w:footnote>
  <w:footnote w:id="12">
    <w:p w14:paraId="2B79E8C2" w14:textId="734DA896" w:rsidR="00E03B0C" w:rsidRPr="0079135D" w:rsidRDefault="00E03B0C" w:rsidP="00475416">
      <w:pPr>
        <w:pStyle w:val="Textpoznpodarou"/>
        <w:spacing w:after="0" w:line="240" w:lineRule="auto"/>
        <w:ind w:left="284" w:hanging="284"/>
      </w:pPr>
      <w:r w:rsidRPr="0079135D">
        <w:rPr>
          <w:rStyle w:val="Znakapoznpodarou"/>
          <w:rFonts w:asciiTheme="minorHAnsi" w:hAnsiTheme="minorHAnsi" w:cstheme="minorHAnsi"/>
        </w:rPr>
        <w:footnoteRef/>
      </w:r>
      <w:r w:rsidRPr="007913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9135D">
        <w:rPr>
          <w:rFonts w:asciiTheme="minorHAnsi" w:hAnsiTheme="minorHAnsi" w:cstheme="minorHAnsi"/>
        </w:rPr>
        <w:t>Vyhláška č. 410/2009 Sb., kterou se provádějí některá ustanovení zákona č. 563/1991 Sb., o účetnictví, ve znění pozdějších předpisů, pro některé vybrané účetní jednotky.</w:t>
      </w:r>
    </w:p>
  </w:footnote>
  <w:footnote w:id="13">
    <w:p w14:paraId="7EE31F8F" w14:textId="6D5670A6" w:rsidR="00E03B0C" w:rsidRPr="007A7663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79135D">
        <w:rPr>
          <w:rStyle w:val="Znakapoznpodarou"/>
          <w:rFonts w:asciiTheme="minorHAnsi" w:hAnsiTheme="minorHAnsi" w:cstheme="minorHAnsi"/>
        </w:rPr>
        <w:footnoteRef/>
      </w:r>
      <w:r w:rsidRPr="007913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9135D">
        <w:rPr>
          <w:rFonts w:asciiTheme="minorHAnsi" w:hAnsiTheme="minorHAnsi" w:cstheme="minorHAnsi"/>
        </w:rPr>
        <w:t>Vyhláška č. 270/2010 Sb., o inventarizaci majetku a závazků</w:t>
      </w:r>
      <w:r>
        <w:rPr>
          <w:rFonts w:asciiTheme="minorHAnsi" w:hAnsiTheme="minorHAnsi" w:cstheme="minorHAnsi"/>
        </w:rPr>
        <w:t>.</w:t>
      </w:r>
    </w:p>
  </w:footnote>
  <w:footnote w:id="14">
    <w:p w14:paraId="6A3E9CEB" w14:textId="57D4AEC7" w:rsidR="00E03B0C" w:rsidRPr="0079135D" w:rsidRDefault="00E03B0C" w:rsidP="00475416">
      <w:pPr>
        <w:pStyle w:val="Textpoznpodarou"/>
        <w:spacing w:after="0" w:line="20" w:lineRule="atLeast"/>
        <w:ind w:left="284" w:hanging="284"/>
        <w:rPr>
          <w:rFonts w:asciiTheme="minorHAnsi" w:hAnsiTheme="minorHAnsi" w:cstheme="minorHAnsi"/>
        </w:rPr>
      </w:pPr>
      <w:r w:rsidRPr="0079135D">
        <w:rPr>
          <w:rStyle w:val="Znakapoznpodarou"/>
          <w:rFonts w:asciiTheme="minorHAnsi" w:hAnsiTheme="minorHAnsi" w:cstheme="minorHAnsi"/>
        </w:rPr>
        <w:footnoteRef/>
      </w:r>
      <w:r w:rsidRPr="007913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9135D">
        <w:rPr>
          <w:rFonts w:asciiTheme="minorHAnsi" w:hAnsiTheme="minorHAnsi" w:cstheme="minorHAnsi"/>
        </w:rPr>
        <w:t>Vyhláška č. 416/2004 Sb.,</w:t>
      </w:r>
      <w:r w:rsidRPr="0079135D">
        <w:rPr>
          <w:rFonts w:asciiTheme="minorHAnsi" w:hAnsiTheme="minorHAnsi" w:cstheme="minorHAnsi"/>
          <w:color w:val="000000"/>
          <w:shd w:val="clear" w:color="auto" w:fill="FFFFFF"/>
        </w:rPr>
        <w:t xml:space="preserve"> kterou se provádí zákon č. 320/2001 Sb.</w:t>
      </w:r>
    </w:p>
  </w:footnote>
  <w:footnote w:id="15">
    <w:p w14:paraId="7F16D9D4" w14:textId="1541F7CA" w:rsidR="00E03B0C" w:rsidRPr="0079135D" w:rsidRDefault="00E03B0C" w:rsidP="00475416">
      <w:pPr>
        <w:pStyle w:val="Textpoznpodarou"/>
        <w:spacing w:after="0" w:line="20" w:lineRule="atLeast"/>
        <w:ind w:left="284" w:hanging="284"/>
        <w:rPr>
          <w:rFonts w:asciiTheme="minorHAnsi" w:hAnsiTheme="minorHAnsi" w:cstheme="minorHAnsi"/>
        </w:rPr>
      </w:pPr>
      <w:r w:rsidRPr="0079135D">
        <w:rPr>
          <w:rStyle w:val="Znakapoznpodarou"/>
          <w:rFonts w:asciiTheme="minorHAnsi" w:hAnsiTheme="minorHAnsi" w:cstheme="minorHAnsi"/>
        </w:rPr>
        <w:footnoteRef/>
      </w:r>
      <w:r w:rsidRPr="007913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9135D">
        <w:rPr>
          <w:rFonts w:asciiTheme="minorHAnsi" w:hAnsiTheme="minorHAnsi" w:cstheme="minorHAnsi"/>
        </w:rPr>
        <w:t>Služby, na které se nevztahuje výjimka § 29 písm. k) zákona č. 134/2016 Sb.</w:t>
      </w:r>
    </w:p>
  </w:footnote>
  <w:footnote w:id="16">
    <w:p w14:paraId="2AAFA0E3" w14:textId="2ED05BF9" w:rsidR="00E03B0C" w:rsidRPr="002F658B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2F658B">
        <w:rPr>
          <w:rStyle w:val="Znakapoznpodarou"/>
          <w:rFonts w:asciiTheme="minorHAnsi" w:hAnsiTheme="minorHAnsi"/>
        </w:rPr>
        <w:footnoteRef/>
      </w:r>
      <w:r w:rsidRPr="002F65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2F658B">
        <w:rPr>
          <w:rFonts w:asciiTheme="minorHAnsi" w:hAnsiTheme="minorHAnsi"/>
        </w:rPr>
        <w:t>Ustanovení § 6 zákona č. 340/2015 Sb.</w:t>
      </w:r>
    </w:p>
  </w:footnote>
  <w:footnote w:id="17">
    <w:p w14:paraId="2EBBFC82" w14:textId="0A6521EC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932AED">
        <w:rPr>
          <w:rStyle w:val="Znakapoznpodarou"/>
          <w:rFonts w:asciiTheme="minorHAnsi" w:hAnsiTheme="minorHAnsi"/>
        </w:rPr>
        <w:footnoteRef/>
      </w:r>
      <w:r w:rsidRPr="00932A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932AED">
        <w:rPr>
          <w:rFonts w:asciiTheme="minorHAnsi" w:hAnsiTheme="minorHAnsi"/>
        </w:rPr>
        <w:t>Ustanovení § 5 zákona č. 340/2015 Sb.</w:t>
      </w:r>
    </w:p>
  </w:footnote>
  <w:footnote w:id="18">
    <w:p w14:paraId="7CD2CB1C" w14:textId="64D312A1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932AED">
        <w:rPr>
          <w:rStyle w:val="Znakapoznpodarou"/>
          <w:rFonts w:asciiTheme="minorHAnsi" w:hAnsiTheme="minorHAnsi"/>
        </w:rPr>
        <w:footnoteRef/>
      </w:r>
      <w:r w:rsidRPr="00932A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932AED">
        <w:rPr>
          <w:rFonts w:asciiTheme="minorHAnsi" w:hAnsiTheme="minorHAnsi"/>
        </w:rPr>
        <w:t>Ustanovení § 7 zákona č. 340/2015 Sb.</w:t>
      </w:r>
    </w:p>
  </w:footnote>
  <w:footnote w:id="19">
    <w:p w14:paraId="3DC6E0BE" w14:textId="1CAFF7C7" w:rsidR="00E03B0C" w:rsidRPr="007A7663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932AED">
        <w:rPr>
          <w:rStyle w:val="Znakapoznpodarou"/>
          <w:rFonts w:asciiTheme="minorHAnsi" w:hAnsiTheme="minorHAnsi" w:cstheme="minorHAnsi"/>
        </w:rPr>
        <w:footnoteRef/>
      </w:r>
      <w:r w:rsidRPr="00932AED">
        <w:rPr>
          <w:rFonts w:asciiTheme="minorHAnsi" w:hAnsiTheme="minorHAnsi" w:cstheme="minorHAnsi"/>
        </w:rPr>
        <w:t xml:space="preserve"> </w:t>
      </w:r>
      <w:r w:rsidRPr="00932AED">
        <w:rPr>
          <w:rFonts w:asciiTheme="minorHAnsi" w:hAnsiTheme="minorHAnsi" w:cstheme="minorHAnsi"/>
        </w:rPr>
        <w:tab/>
        <w:t>Dodavatel nebyl plátce</w:t>
      </w:r>
      <w:r>
        <w:rPr>
          <w:rFonts w:asciiTheme="minorHAnsi" w:hAnsiTheme="minorHAnsi" w:cstheme="minorHAnsi"/>
        </w:rPr>
        <w:t>m</w:t>
      </w:r>
      <w:r w:rsidRPr="00932AED">
        <w:rPr>
          <w:rFonts w:asciiTheme="minorHAnsi" w:hAnsiTheme="minorHAnsi" w:cstheme="minorHAnsi"/>
        </w:rPr>
        <w:t xml:space="preserve"> DPH.</w:t>
      </w:r>
    </w:p>
  </w:footnote>
  <w:footnote w:id="20">
    <w:p w14:paraId="11A89E56" w14:textId="68FA0AFB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932AED">
        <w:rPr>
          <w:rStyle w:val="Znakapoznpodarou"/>
          <w:rFonts w:asciiTheme="minorHAnsi" w:hAnsiTheme="minorHAnsi" w:cstheme="minorHAnsi"/>
        </w:rPr>
        <w:footnoteRef/>
      </w:r>
      <w:r w:rsidRPr="00932AED">
        <w:rPr>
          <w:rFonts w:asciiTheme="minorHAnsi" w:hAnsiTheme="minorHAnsi" w:cstheme="minorHAnsi"/>
        </w:rPr>
        <w:t xml:space="preserve"> </w:t>
      </w:r>
      <w:r w:rsidRPr="00932AED">
        <w:rPr>
          <w:rFonts w:asciiTheme="minorHAnsi" w:hAnsiTheme="minorHAnsi" w:cstheme="minorHAnsi"/>
        </w:rPr>
        <w:tab/>
        <w:t>Ustanovení § 6 zákona č. 134/2016 Sb.</w:t>
      </w:r>
    </w:p>
  </w:footnote>
  <w:footnote w:id="21">
    <w:p w14:paraId="0CCEFD65" w14:textId="5B84356B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932AED">
        <w:rPr>
          <w:rStyle w:val="Znakapoznpodarou"/>
          <w:rFonts w:asciiTheme="minorHAnsi" w:hAnsiTheme="minorHAnsi" w:cstheme="minorHAnsi"/>
        </w:rPr>
        <w:footnoteRef/>
      </w:r>
      <w:r w:rsidRPr="00932AED">
        <w:rPr>
          <w:rFonts w:asciiTheme="minorHAnsi" w:hAnsiTheme="minorHAnsi" w:cstheme="minorHAnsi"/>
        </w:rPr>
        <w:t xml:space="preserve"> </w:t>
      </w:r>
      <w:r w:rsidRPr="00932AED">
        <w:rPr>
          <w:rFonts w:asciiTheme="minorHAnsi" w:hAnsiTheme="minorHAnsi" w:cstheme="minorHAnsi"/>
        </w:rPr>
        <w:tab/>
        <w:t>Ustanovení § 2 zákona č. 134/2016 Sb.</w:t>
      </w:r>
    </w:p>
  </w:footnote>
  <w:footnote w:id="22">
    <w:p w14:paraId="7BDBCF59" w14:textId="7A023BD5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932AED">
        <w:rPr>
          <w:rStyle w:val="Znakapoznpodarou"/>
          <w:rFonts w:asciiTheme="minorHAnsi" w:hAnsiTheme="minorHAnsi" w:cstheme="minorHAnsi"/>
        </w:rPr>
        <w:footnoteRef/>
      </w:r>
      <w:r w:rsidRPr="00932AED">
        <w:rPr>
          <w:rFonts w:asciiTheme="minorHAnsi" w:hAnsiTheme="minorHAnsi" w:cstheme="minorHAnsi"/>
        </w:rPr>
        <w:t xml:space="preserve"> </w:t>
      </w:r>
      <w:r w:rsidRPr="00932AED">
        <w:rPr>
          <w:rFonts w:asciiTheme="minorHAnsi" w:hAnsiTheme="minorHAnsi" w:cstheme="minorHAnsi"/>
        </w:rPr>
        <w:tab/>
        <w:t>Ustanovení § 3 zákona č. 134/2016 Sb.</w:t>
      </w:r>
    </w:p>
  </w:footnote>
  <w:footnote w:id="23">
    <w:p w14:paraId="3AAE8A5C" w14:textId="645E7747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932AED">
        <w:rPr>
          <w:rStyle w:val="Znakapoznpodarou"/>
          <w:rFonts w:asciiTheme="minorHAnsi" w:hAnsiTheme="minorHAnsi" w:cstheme="minorHAnsi"/>
        </w:rPr>
        <w:footnoteRef/>
      </w:r>
      <w:r w:rsidRPr="00932AED">
        <w:rPr>
          <w:rFonts w:asciiTheme="minorHAnsi" w:hAnsiTheme="minorHAnsi" w:cstheme="minorHAnsi"/>
        </w:rPr>
        <w:t xml:space="preserve"> </w:t>
      </w:r>
      <w:r w:rsidRPr="00932AED">
        <w:rPr>
          <w:rFonts w:asciiTheme="minorHAnsi" w:hAnsiTheme="minorHAnsi" w:cstheme="minorHAnsi"/>
        </w:rPr>
        <w:tab/>
        <w:t xml:space="preserve">Součet </w:t>
      </w:r>
      <w:r w:rsidRPr="00377D09">
        <w:rPr>
          <w:rFonts w:asciiTheme="minorHAnsi" w:hAnsiTheme="minorHAnsi" w:cstheme="minorHAnsi"/>
        </w:rPr>
        <w:t xml:space="preserve">prostředků </w:t>
      </w:r>
      <w:r w:rsidRPr="00932AED">
        <w:rPr>
          <w:rFonts w:asciiTheme="minorHAnsi" w:hAnsiTheme="minorHAnsi" w:cstheme="minorHAnsi"/>
        </w:rPr>
        <w:t xml:space="preserve">uhrazených </w:t>
      </w:r>
      <w:r>
        <w:rPr>
          <w:rFonts w:asciiTheme="minorHAnsi" w:hAnsiTheme="minorHAnsi" w:cstheme="minorHAnsi"/>
        </w:rPr>
        <w:t xml:space="preserve">na základě </w:t>
      </w:r>
      <w:r w:rsidRPr="00932AED">
        <w:rPr>
          <w:rFonts w:asciiTheme="minorHAnsi" w:hAnsiTheme="minorHAnsi" w:cstheme="minorHAnsi"/>
        </w:rPr>
        <w:t xml:space="preserve">druhých smluv </w:t>
      </w:r>
      <w:r>
        <w:rPr>
          <w:rFonts w:asciiTheme="minorHAnsi" w:hAnsiTheme="minorHAnsi" w:cstheme="minorHAnsi"/>
        </w:rPr>
        <w:t xml:space="preserve">s </w:t>
      </w:r>
      <w:r w:rsidRPr="00932AED">
        <w:rPr>
          <w:rFonts w:asciiTheme="minorHAnsi" w:hAnsiTheme="minorHAnsi" w:cstheme="minorHAnsi"/>
        </w:rPr>
        <w:t>dodavatel</w:t>
      </w:r>
      <w:r>
        <w:rPr>
          <w:rFonts w:asciiTheme="minorHAnsi" w:hAnsiTheme="minorHAnsi" w:cstheme="minorHAnsi"/>
        </w:rPr>
        <w:t>i</w:t>
      </w:r>
      <w:r w:rsidRPr="00932AED">
        <w:rPr>
          <w:rFonts w:asciiTheme="minorHAnsi" w:hAnsiTheme="minorHAnsi" w:cstheme="minorHAnsi"/>
        </w:rPr>
        <w:t xml:space="preserve"> č. 1 a 3.</w:t>
      </w:r>
    </w:p>
  </w:footnote>
  <w:footnote w:id="24">
    <w:p w14:paraId="54FEBD2B" w14:textId="1D3B2591" w:rsidR="00E03B0C" w:rsidRPr="00932AED" w:rsidRDefault="00E03B0C" w:rsidP="00475416">
      <w:pPr>
        <w:pStyle w:val="Textpoznpodarou"/>
        <w:spacing w:after="0" w:line="240" w:lineRule="auto"/>
        <w:ind w:left="284" w:hanging="284"/>
        <w:rPr>
          <w:rStyle w:val="Znakapoznpodarou"/>
          <w:rFonts w:asciiTheme="minorHAnsi" w:hAnsiTheme="minorHAnsi" w:cstheme="minorHAnsi"/>
          <w:vertAlign w:val="baseline"/>
        </w:rPr>
      </w:pPr>
      <w:r w:rsidRPr="00932AED">
        <w:rPr>
          <w:rStyle w:val="Znakapoznpodarou"/>
          <w:rFonts w:asciiTheme="minorHAnsi" w:hAnsiTheme="minorHAnsi"/>
        </w:rPr>
        <w:footnoteRef/>
      </w:r>
      <w:r w:rsidRPr="00932AED">
        <w:rPr>
          <w:rStyle w:val="Znakapoznpodarou"/>
        </w:rPr>
        <w:t xml:space="preserve"> </w:t>
      </w:r>
      <w:r w:rsidRPr="00932AED">
        <w:tab/>
      </w:r>
      <w:r w:rsidRPr="00932AED">
        <w:rPr>
          <w:rStyle w:val="Znakapoznpodarou"/>
          <w:rFonts w:asciiTheme="minorHAnsi" w:hAnsiTheme="minorHAnsi" w:cstheme="minorHAnsi"/>
          <w:vertAlign w:val="baseline"/>
        </w:rPr>
        <w:t xml:space="preserve">Ustanovení § </w:t>
      </w:r>
      <w:r w:rsidRPr="00932AED">
        <w:rPr>
          <w:rFonts w:asciiTheme="minorHAnsi" w:hAnsiTheme="minorHAnsi" w:cstheme="minorHAnsi"/>
        </w:rPr>
        <w:t>3 písm. e)</w:t>
      </w:r>
      <w:r w:rsidRPr="00932AED">
        <w:rPr>
          <w:rStyle w:val="Znakapoznpodarou"/>
          <w:rFonts w:asciiTheme="minorHAnsi" w:hAnsiTheme="minorHAnsi" w:cstheme="minorHAnsi"/>
          <w:vertAlign w:val="baseline"/>
        </w:rPr>
        <w:t xml:space="preserve"> a ustanovení § 44</w:t>
      </w:r>
      <w:r w:rsidRPr="00932AED">
        <w:rPr>
          <w:rFonts w:asciiTheme="minorHAnsi" w:hAnsiTheme="minorHAnsi" w:cstheme="minorHAnsi"/>
        </w:rPr>
        <w:t xml:space="preserve"> odst. 1 písm. a)</w:t>
      </w:r>
      <w:r w:rsidRPr="00932AED">
        <w:rPr>
          <w:rStyle w:val="Znakapoznpodarou"/>
          <w:rFonts w:asciiTheme="minorHAnsi" w:hAnsiTheme="minorHAnsi" w:cstheme="minorHAnsi"/>
          <w:vertAlign w:val="baseline"/>
        </w:rPr>
        <w:t xml:space="preserve"> zákona č. 218/2000 Sb.</w:t>
      </w:r>
    </w:p>
  </w:footnote>
  <w:footnote w:id="25">
    <w:p w14:paraId="4BABFAFA" w14:textId="4B8D65F4" w:rsidR="00E03B0C" w:rsidRPr="007B7F5F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7B7F5F">
        <w:rPr>
          <w:rStyle w:val="Znakapoznpodarou"/>
          <w:rFonts w:asciiTheme="minorHAnsi" w:hAnsiTheme="minorHAnsi"/>
        </w:rPr>
        <w:footnoteRef/>
      </w:r>
      <w:r w:rsidRPr="007B7F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7B7F5F">
        <w:rPr>
          <w:rFonts w:asciiTheme="minorHAnsi" w:hAnsiTheme="minorHAnsi"/>
        </w:rPr>
        <w:t>Ustanovení § 2 a § 3 zákona č. 340/2015 Sb.</w:t>
      </w:r>
    </w:p>
  </w:footnote>
  <w:footnote w:id="26">
    <w:p w14:paraId="1FC8394A" w14:textId="0A8D10B2" w:rsidR="00E03B0C" w:rsidRPr="00796B3B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796B3B">
        <w:rPr>
          <w:rStyle w:val="Znakapoznpodarou"/>
          <w:rFonts w:asciiTheme="minorHAnsi" w:hAnsiTheme="minorHAnsi" w:cstheme="minorHAnsi"/>
        </w:rPr>
        <w:footnoteRef/>
      </w:r>
      <w:r w:rsidRPr="00796B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96B3B">
        <w:rPr>
          <w:rFonts w:asciiTheme="minorHAnsi" w:hAnsiTheme="minorHAnsi" w:cstheme="minorHAnsi"/>
        </w:rPr>
        <w:t>Ustanovení § 222 zákona č. 134/2016 Sb.</w:t>
      </w:r>
    </w:p>
  </w:footnote>
  <w:footnote w:id="27">
    <w:p w14:paraId="5F4A9802" w14:textId="6B7DDDB4" w:rsidR="00E03B0C" w:rsidRPr="00796B3B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796B3B">
        <w:rPr>
          <w:rStyle w:val="Znakapoznpodarou"/>
          <w:rFonts w:asciiTheme="minorHAnsi" w:hAnsiTheme="minorHAnsi" w:cstheme="minorHAnsi"/>
        </w:rPr>
        <w:footnoteRef/>
      </w:r>
      <w:r w:rsidRPr="00796B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96B3B">
        <w:rPr>
          <w:rFonts w:asciiTheme="minorHAnsi" w:hAnsiTheme="minorHAnsi" w:cstheme="minorHAnsi"/>
        </w:rPr>
        <w:t xml:space="preserve">Novou smlouvu o poskytování úklidových služeb uzavřela NG dne 13. 1. 2020 na základě výsledků nadlimitní veřejné zakázky na dobu 4 let s předpokládanou hodnotou plnění ve výši 33 481 314,21 Kč bez DPH. </w:t>
      </w:r>
    </w:p>
  </w:footnote>
  <w:footnote w:id="28">
    <w:p w14:paraId="4BB6738C" w14:textId="431803E0" w:rsidR="00E03B0C" w:rsidRPr="00CD0AB9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CD0AB9">
        <w:rPr>
          <w:rStyle w:val="Znakapoznpodarou"/>
          <w:rFonts w:asciiTheme="minorHAnsi" w:hAnsiTheme="minorHAnsi"/>
        </w:rPr>
        <w:footnoteRef/>
      </w:r>
      <w:r w:rsidRPr="00CD0AB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CD0AB9">
        <w:rPr>
          <w:rFonts w:asciiTheme="minorHAnsi" w:hAnsiTheme="minorHAnsi"/>
        </w:rPr>
        <w:t>Čl. I zákona č. 148/1949 Sb.</w:t>
      </w:r>
    </w:p>
  </w:footnote>
  <w:footnote w:id="29">
    <w:p w14:paraId="317B8E23" w14:textId="0B597DDF" w:rsidR="00E03B0C" w:rsidRPr="00F50C80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F50C80">
        <w:rPr>
          <w:rStyle w:val="Znakapoznpodarou"/>
          <w:rFonts w:asciiTheme="minorHAnsi" w:hAnsiTheme="minorHAnsi"/>
        </w:rPr>
        <w:footnoteRef/>
      </w:r>
      <w:r w:rsidRPr="00F50C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F50C80">
        <w:rPr>
          <w:rFonts w:asciiTheme="minorHAnsi" w:hAnsiTheme="minorHAnsi"/>
        </w:rPr>
        <w:t>Ustanovení § 3, 8 a 28 zákona č. 563/1991 Sb.</w:t>
      </w:r>
    </w:p>
  </w:footnote>
  <w:footnote w:id="30">
    <w:p w14:paraId="6C08AB1B" w14:textId="7E3C0C3C" w:rsidR="00E03B0C" w:rsidRPr="00F50C80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F50C80">
        <w:rPr>
          <w:rStyle w:val="Znakapoznpodarou"/>
          <w:rFonts w:asciiTheme="minorHAnsi" w:hAnsiTheme="minorHAnsi"/>
        </w:rPr>
        <w:footnoteRef/>
      </w:r>
      <w:r w:rsidRPr="00F50C8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F50C80">
        <w:rPr>
          <w:rFonts w:asciiTheme="minorHAnsi" w:hAnsiTheme="minorHAnsi"/>
        </w:rPr>
        <w:t>Ustanovení § 8 zákona č. 563/1991 Sb.</w:t>
      </w:r>
    </w:p>
  </w:footnote>
  <w:footnote w:id="31">
    <w:p w14:paraId="23991535" w14:textId="070DD5CA" w:rsidR="00E03B0C" w:rsidRPr="00DD1C27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D1C27">
        <w:rPr>
          <w:rStyle w:val="Znakapoznpodarou"/>
          <w:rFonts w:asciiTheme="minorHAnsi" w:hAnsiTheme="minorHAnsi" w:cstheme="minorHAnsi"/>
        </w:rPr>
        <w:footnoteRef/>
      </w:r>
      <w:r w:rsidRPr="00DD1C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D1C27">
        <w:rPr>
          <w:rFonts w:asciiTheme="minorHAnsi" w:hAnsiTheme="minorHAnsi" w:cstheme="minorHAnsi"/>
        </w:rPr>
        <w:t xml:space="preserve">Ustanovení § 8, 29 a 30 </w:t>
      </w:r>
      <w:r>
        <w:rPr>
          <w:rFonts w:asciiTheme="minorHAnsi" w:hAnsiTheme="minorHAnsi" w:cstheme="minorHAnsi"/>
        </w:rPr>
        <w:t xml:space="preserve">zákona </w:t>
      </w:r>
      <w:r w:rsidRPr="00DD1C27">
        <w:rPr>
          <w:rFonts w:asciiTheme="minorHAnsi" w:eastAsia="Calibri" w:hAnsiTheme="minorHAnsi" w:cstheme="minorHAnsi"/>
        </w:rPr>
        <w:t>č. 563/1991 Sb.</w:t>
      </w:r>
    </w:p>
  </w:footnote>
  <w:footnote w:id="32">
    <w:p w14:paraId="42CF6965" w14:textId="1B244ABC" w:rsidR="00E03B0C" w:rsidRPr="00DD1C27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D1C27">
        <w:rPr>
          <w:rStyle w:val="Znakapoznpodarou"/>
          <w:rFonts w:asciiTheme="minorHAnsi" w:hAnsiTheme="minorHAnsi"/>
        </w:rPr>
        <w:footnoteRef/>
      </w:r>
      <w:r w:rsidRPr="00DD1C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D1C27">
        <w:rPr>
          <w:rFonts w:asciiTheme="minorHAnsi" w:hAnsiTheme="minorHAnsi" w:cstheme="minorHAnsi"/>
        </w:rPr>
        <w:t xml:space="preserve">Ustanovení § 9 zákona č. 122/2000 Sb. </w:t>
      </w:r>
    </w:p>
  </w:footnote>
  <w:footnote w:id="33">
    <w:p w14:paraId="2A0B2B0C" w14:textId="5A53C0A6" w:rsidR="00E03B0C" w:rsidRPr="00DD1C27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D1C27">
        <w:rPr>
          <w:rStyle w:val="Znakapoznpodarou"/>
          <w:rFonts w:asciiTheme="minorHAnsi" w:hAnsiTheme="minorHAnsi" w:cstheme="minorHAnsi"/>
        </w:rPr>
        <w:footnoteRef/>
      </w:r>
      <w:r w:rsidRPr="00DD1C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D1C27">
        <w:rPr>
          <w:rFonts w:asciiTheme="minorHAnsi" w:hAnsiTheme="minorHAnsi" w:cstheme="minorHAnsi"/>
        </w:rPr>
        <w:t>Ustanovení § 9 a § 12 zákona č. 122/2000 Sb.</w:t>
      </w:r>
    </w:p>
  </w:footnote>
  <w:footnote w:id="34">
    <w:p w14:paraId="097F3FA8" w14:textId="5F2E5F9D" w:rsidR="00E03B0C" w:rsidRPr="00DD1C27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D1C27">
        <w:rPr>
          <w:rFonts w:asciiTheme="minorHAnsi" w:hAnsiTheme="minorHAnsi" w:cstheme="minorHAnsi"/>
          <w:vertAlign w:val="superscript"/>
        </w:rPr>
        <w:footnoteRef/>
      </w:r>
      <w:r w:rsidRPr="00DD1C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bookmarkStart w:id="10" w:name="_Hlk105148823"/>
      <w:r w:rsidRPr="00DD1C27">
        <w:rPr>
          <w:rFonts w:asciiTheme="minorHAnsi" w:hAnsiTheme="minorHAnsi" w:cstheme="minorHAnsi"/>
        </w:rPr>
        <w:t>Zákon č. 256/2013 Sb., o katastru nemovitostí (katastrální zákon)</w:t>
      </w:r>
      <w:r>
        <w:rPr>
          <w:rFonts w:asciiTheme="minorHAnsi" w:hAnsiTheme="minorHAnsi" w:cstheme="minorHAnsi"/>
        </w:rPr>
        <w:t>.</w:t>
      </w:r>
      <w:bookmarkEnd w:id="10"/>
    </w:p>
  </w:footnote>
  <w:footnote w:id="35">
    <w:p w14:paraId="71B9D0C4" w14:textId="1B4212F4" w:rsidR="00E03B0C" w:rsidRPr="00DD1C27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D1C27">
        <w:rPr>
          <w:rFonts w:asciiTheme="minorHAnsi" w:hAnsiTheme="minorHAnsi" w:cstheme="minorHAnsi"/>
          <w:vertAlign w:val="superscript"/>
        </w:rPr>
        <w:footnoteRef/>
      </w:r>
      <w:r w:rsidRPr="00DD1C27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ab/>
      </w:r>
      <w:r w:rsidRPr="00DD1C27">
        <w:rPr>
          <w:rFonts w:asciiTheme="minorHAnsi" w:hAnsiTheme="minorHAnsi" w:cstheme="minorHAnsi"/>
        </w:rPr>
        <w:t>Ustanovení § 3 a § 37 zákona č. 256/2013 Sb.</w:t>
      </w:r>
    </w:p>
  </w:footnote>
  <w:footnote w:id="36">
    <w:p w14:paraId="008AED03" w14:textId="50DDE8B7" w:rsidR="00E03B0C" w:rsidRPr="00DD1C27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DD1C27">
        <w:rPr>
          <w:rStyle w:val="Znakapoznpodarou"/>
          <w:rFonts w:asciiTheme="minorHAnsi" w:hAnsiTheme="minorHAnsi" w:cstheme="minorHAnsi"/>
        </w:rPr>
        <w:footnoteRef/>
      </w:r>
      <w:r w:rsidRPr="00DD1C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D1C27">
        <w:rPr>
          <w:rFonts w:asciiTheme="minorHAnsi" w:hAnsiTheme="minorHAnsi" w:cstheme="minorHAnsi"/>
        </w:rPr>
        <w:t xml:space="preserve">Ustanovení </w:t>
      </w:r>
      <w:r w:rsidRPr="00DD1C27">
        <w:rPr>
          <w:rFonts w:asciiTheme="minorHAnsi" w:eastAsia="Calibri" w:hAnsiTheme="minorHAnsi" w:cstheme="minorHAnsi"/>
        </w:rPr>
        <w:t>§ 9 vyhlášky č. 270/2010 Sb.</w:t>
      </w:r>
    </w:p>
  </w:footnote>
  <w:footnote w:id="37">
    <w:p w14:paraId="6CB33EAA" w14:textId="6C3598A8" w:rsidR="00E03B0C" w:rsidRPr="00C54FDF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/>
        </w:rPr>
      </w:pPr>
      <w:r w:rsidRPr="00C54FDF">
        <w:rPr>
          <w:rStyle w:val="Znakapoznpodarou"/>
          <w:rFonts w:asciiTheme="minorHAnsi" w:hAnsiTheme="minorHAnsi"/>
        </w:rPr>
        <w:footnoteRef/>
      </w:r>
      <w:r w:rsidRPr="00C54F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C54FDF">
        <w:rPr>
          <w:rFonts w:asciiTheme="minorHAnsi" w:hAnsiTheme="minorHAnsi"/>
        </w:rPr>
        <w:t xml:space="preserve">Ustanovení § 26 zákona č. 320/2001 Sb. a </w:t>
      </w:r>
      <w:r w:rsidRPr="00C54FDF">
        <w:rPr>
          <w:rFonts w:asciiTheme="minorHAnsi" w:hAnsiTheme="minorHAnsi" w:cstheme="minorHAnsi"/>
        </w:rPr>
        <w:t>§ 10 vyhlášky č. 416/2004 Sb.</w:t>
      </w:r>
    </w:p>
  </w:footnote>
  <w:footnote w:id="38">
    <w:p w14:paraId="3377F0E7" w14:textId="29721EE9" w:rsidR="00E03B0C" w:rsidRPr="007A7663" w:rsidRDefault="00E03B0C" w:rsidP="00475416">
      <w:pPr>
        <w:pStyle w:val="Textpoznpodarou"/>
        <w:spacing w:after="0" w:line="240" w:lineRule="auto"/>
        <w:ind w:left="284" w:hanging="284"/>
      </w:pPr>
      <w:r w:rsidRPr="00C54FDF">
        <w:rPr>
          <w:rStyle w:val="Znakapoznpodarou"/>
          <w:rFonts w:asciiTheme="minorHAnsi" w:hAnsiTheme="minorHAnsi"/>
        </w:rPr>
        <w:footnoteRef/>
      </w:r>
      <w:r w:rsidRPr="007A7663">
        <w:t xml:space="preserve"> </w:t>
      </w:r>
      <w:r>
        <w:tab/>
      </w:r>
      <w:r w:rsidRPr="00C54FDF">
        <w:rPr>
          <w:rFonts w:asciiTheme="minorHAnsi" w:hAnsiTheme="minorHAnsi" w:cstheme="minorHAnsi"/>
        </w:rPr>
        <w:t>Zákon č. 89/2012 Sb., občanský zákoník</w:t>
      </w:r>
      <w:r>
        <w:rPr>
          <w:rFonts w:asciiTheme="minorHAnsi" w:hAnsiTheme="minorHAnsi" w:cstheme="minorHAnsi"/>
        </w:rPr>
        <w:t>.</w:t>
      </w:r>
    </w:p>
  </w:footnote>
  <w:footnote w:id="39">
    <w:p w14:paraId="1B619793" w14:textId="78C518ED" w:rsidR="00E03B0C" w:rsidRPr="007A7663" w:rsidRDefault="00E03B0C" w:rsidP="00475416">
      <w:pPr>
        <w:pStyle w:val="Textpoznpodarou"/>
        <w:spacing w:after="0" w:line="240" w:lineRule="auto"/>
        <w:ind w:left="284" w:hanging="284"/>
      </w:pPr>
      <w:r w:rsidRPr="007407C0">
        <w:rPr>
          <w:rFonts w:asciiTheme="minorHAnsi" w:hAnsiTheme="minorHAnsi"/>
          <w:vertAlign w:val="superscript"/>
        </w:rPr>
        <w:footnoteRef/>
      </w:r>
      <w:r w:rsidRPr="007407C0"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vertAlign w:val="superscript"/>
        </w:rPr>
        <w:tab/>
      </w:r>
      <w:r w:rsidRPr="007407C0">
        <w:rPr>
          <w:rFonts w:asciiTheme="minorHAnsi" w:hAnsiTheme="minorHAnsi"/>
        </w:rPr>
        <w:t xml:space="preserve">Ustanovení § 1970 zákona č. 89/2012 Sb. a </w:t>
      </w:r>
      <w:r>
        <w:rPr>
          <w:rFonts w:asciiTheme="minorHAnsi" w:hAnsiTheme="minorHAnsi"/>
        </w:rPr>
        <w:t>n</w:t>
      </w:r>
      <w:r w:rsidRPr="007407C0">
        <w:rPr>
          <w:rFonts w:asciiTheme="minorHAnsi" w:hAnsiTheme="minorHAnsi"/>
        </w:rPr>
        <w:t>ařízení vlády č. 351/2013 Sb., kterým se určuje výše úroků z</w:t>
      </w:r>
      <w:r>
        <w:rPr>
          <w:rFonts w:asciiTheme="minorHAnsi" w:hAnsiTheme="minorHAnsi"/>
        </w:rPr>
        <w:t> </w:t>
      </w:r>
      <w:r w:rsidRPr="007407C0">
        <w:rPr>
          <w:rFonts w:asciiTheme="minorHAnsi" w:hAnsiTheme="minorHAnsi"/>
        </w:rPr>
        <w:t>prodlení a nákladů spojených s uplatněním pohledávky, určuje odměna likvidátora, likvidačního správce a</w:t>
      </w:r>
      <w:r>
        <w:rPr>
          <w:rFonts w:asciiTheme="minorHAnsi" w:hAnsiTheme="minorHAnsi"/>
        </w:rPr>
        <w:t> </w:t>
      </w:r>
      <w:r w:rsidRPr="007407C0">
        <w:rPr>
          <w:rFonts w:asciiTheme="minorHAnsi" w:hAnsiTheme="minorHAnsi"/>
        </w:rPr>
        <w:t xml:space="preserve">člena orgánu právnické osoby jmenovaného soudem a upravují některé otázky Obchodního věstníku, veřejných rejstříků právnických a fyzických osob a evidence </w:t>
      </w:r>
      <w:proofErr w:type="spellStart"/>
      <w:r w:rsidRPr="007407C0">
        <w:rPr>
          <w:rFonts w:asciiTheme="minorHAnsi" w:hAnsiTheme="minorHAnsi"/>
        </w:rPr>
        <w:t>svěřen</w:t>
      </w:r>
      <w:r>
        <w:rPr>
          <w:rFonts w:asciiTheme="minorHAnsi" w:hAnsiTheme="minorHAnsi"/>
        </w:rPr>
        <w:t>ských</w:t>
      </w:r>
      <w:proofErr w:type="spellEnd"/>
      <w:r w:rsidRPr="007407C0">
        <w:rPr>
          <w:rFonts w:asciiTheme="minorHAnsi" w:hAnsiTheme="minorHAnsi"/>
        </w:rPr>
        <w:t xml:space="preserve"> fondů a evidence údajů o</w:t>
      </w:r>
      <w:r>
        <w:rPr>
          <w:rFonts w:asciiTheme="minorHAnsi" w:hAnsiTheme="minorHAnsi"/>
        </w:rPr>
        <w:t> </w:t>
      </w:r>
      <w:r w:rsidRPr="007407C0">
        <w:rPr>
          <w:rFonts w:asciiTheme="minorHAnsi" w:hAnsiTheme="minorHAnsi"/>
        </w:rPr>
        <w:t>skutečných majitelích</w:t>
      </w:r>
      <w:r>
        <w:rPr>
          <w:rFonts w:asciiTheme="minorHAnsi" w:hAnsiTheme="minorHAnsi"/>
        </w:rPr>
        <w:t>.</w:t>
      </w:r>
    </w:p>
  </w:footnote>
  <w:footnote w:id="40">
    <w:p w14:paraId="0A00AB16" w14:textId="585CE286" w:rsidR="00E03B0C" w:rsidRPr="007407C0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7407C0">
        <w:rPr>
          <w:rStyle w:val="Znakapoznpodarou"/>
          <w:rFonts w:asciiTheme="minorHAnsi" w:hAnsiTheme="minorHAnsi" w:cstheme="minorHAnsi"/>
        </w:rPr>
        <w:footnoteRef/>
      </w:r>
      <w:r w:rsidRPr="007407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407C0">
        <w:rPr>
          <w:rFonts w:asciiTheme="minorHAnsi" w:hAnsiTheme="minorHAnsi" w:cstheme="minorHAnsi"/>
        </w:rPr>
        <w:t xml:space="preserve">Ustanovení </w:t>
      </w:r>
      <w:r w:rsidRPr="007407C0">
        <w:rPr>
          <w:rFonts w:asciiTheme="minorHAnsi" w:eastAsia="Calibri" w:hAnsiTheme="minorHAnsi" w:cstheme="minorHAnsi"/>
        </w:rPr>
        <w:t>§ 4 zákona č. 320/2001 Sb.</w:t>
      </w:r>
    </w:p>
  </w:footnote>
  <w:footnote w:id="41">
    <w:p w14:paraId="56B025CF" w14:textId="7E6B00A6" w:rsidR="00E03B0C" w:rsidRPr="007407C0" w:rsidRDefault="00E03B0C" w:rsidP="00475416">
      <w:pPr>
        <w:pStyle w:val="Textpoznpodarou"/>
        <w:spacing w:after="0" w:line="20" w:lineRule="atLeast"/>
        <w:ind w:left="284" w:hanging="284"/>
        <w:rPr>
          <w:rFonts w:asciiTheme="minorHAnsi" w:hAnsiTheme="minorHAnsi" w:cstheme="minorHAnsi"/>
        </w:rPr>
      </w:pPr>
      <w:r w:rsidRPr="007407C0">
        <w:rPr>
          <w:rStyle w:val="Znakapoznpodarou"/>
          <w:rFonts w:asciiTheme="minorHAnsi" w:hAnsiTheme="minorHAnsi" w:cstheme="minorHAnsi"/>
        </w:rPr>
        <w:footnoteRef/>
      </w:r>
      <w:r w:rsidRPr="007407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407C0">
        <w:rPr>
          <w:rFonts w:asciiTheme="minorHAnsi" w:hAnsiTheme="minorHAnsi" w:cstheme="minorHAnsi"/>
        </w:rPr>
        <w:t xml:space="preserve">Ustanovení § 63 </w:t>
      </w:r>
      <w:r w:rsidRPr="007407C0">
        <w:rPr>
          <w:rFonts w:asciiTheme="minorHAnsi" w:eastAsia="Calibri" w:hAnsiTheme="minorHAnsi" w:cstheme="minorHAnsi"/>
        </w:rPr>
        <w:t>zákona č. 499/2004 Sb.</w:t>
      </w:r>
    </w:p>
  </w:footnote>
  <w:footnote w:id="42">
    <w:p w14:paraId="3EA76698" w14:textId="6A04D591" w:rsidR="00E03B0C" w:rsidRPr="007407C0" w:rsidRDefault="00E03B0C" w:rsidP="00475416">
      <w:pPr>
        <w:pStyle w:val="Textpoznpodarou"/>
        <w:spacing w:after="0" w:line="20" w:lineRule="atLeast"/>
        <w:ind w:left="284" w:hanging="284"/>
        <w:rPr>
          <w:rFonts w:asciiTheme="minorHAnsi" w:hAnsiTheme="minorHAnsi"/>
        </w:rPr>
      </w:pPr>
      <w:r w:rsidRPr="007407C0">
        <w:rPr>
          <w:rStyle w:val="Znakapoznpodarou"/>
          <w:rFonts w:asciiTheme="minorHAnsi" w:hAnsiTheme="minorHAnsi"/>
        </w:rPr>
        <w:footnoteRef/>
      </w:r>
      <w:r w:rsidRPr="007407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7407C0">
        <w:rPr>
          <w:rFonts w:asciiTheme="minorHAnsi" w:hAnsiTheme="minorHAnsi"/>
        </w:rPr>
        <w:t>Ustanovení § 32 vyhlášky č. 416/2004 Sb.</w:t>
      </w:r>
    </w:p>
  </w:footnote>
  <w:footnote w:id="43">
    <w:p w14:paraId="37179A61" w14:textId="2D412DC3" w:rsidR="00E03B0C" w:rsidRPr="007407C0" w:rsidRDefault="00E03B0C" w:rsidP="00475416">
      <w:pPr>
        <w:pStyle w:val="Textpoznpodarou"/>
        <w:spacing w:after="0" w:line="20" w:lineRule="atLeast"/>
        <w:ind w:left="284" w:hanging="284"/>
        <w:rPr>
          <w:rFonts w:asciiTheme="minorHAnsi" w:hAnsiTheme="minorHAnsi" w:cstheme="minorHAnsi"/>
        </w:rPr>
      </w:pPr>
      <w:r w:rsidRPr="007407C0">
        <w:rPr>
          <w:rStyle w:val="Znakapoznpodarou"/>
          <w:rFonts w:asciiTheme="minorHAnsi" w:hAnsiTheme="minorHAnsi" w:cstheme="minorHAnsi"/>
        </w:rPr>
        <w:footnoteRef/>
      </w:r>
      <w:r w:rsidRPr="007407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407C0">
        <w:rPr>
          <w:rFonts w:asciiTheme="minorHAnsi" w:hAnsiTheme="minorHAnsi" w:cstheme="minorHAnsi"/>
        </w:rPr>
        <w:t>Ustanovení § 30 zákona č. 320/2001 Sb.</w:t>
      </w:r>
    </w:p>
  </w:footnote>
  <w:footnote w:id="44">
    <w:p w14:paraId="1F8A47D1" w14:textId="073AAD4C" w:rsidR="00E03B0C" w:rsidRPr="007A7663" w:rsidRDefault="00E03B0C" w:rsidP="00475416">
      <w:pPr>
        <w:pStyle w:val="Textpoznpodarou"/>
        <w:spacing w:after="0" w:line="20" w:lineRule="atLeast"/>
        <w:ind w:left="284" w:hanging="284"/>
      </w:pPr>
      <w:r w:rsidRPr="007407C0">
        <w:rPr>
          <w:rStyle w:val="Znakapoznpodarou"/>
          <w:rFonts w:asciiTheme="minorHAnsi" w:hAnsiTheme="minorHAnsi" w:cstheme="minorHAnsi"/>
        </w:rPr>
        <w:footnoteRef/>
      </w:r>
      <w:r w:rsidRPr="007A7663">
        <w:t xml:space="preserve"> </w:t>
      </w:r>
      <w:r>
        <w:tab/>
      </w:r>
      <w:r w:rsidRPr="007407C0">
        <w:rPr>
          <w:rFonts w:asciiTheme="minorHAnsi" w:hAnsiTheme="minorHAnsi" w:cstheme="minorHAnsi"/>
        </w:rPr>
        <w:t>Kontrolní akce č.</w:t>
      </w:r>
      <w:r>
        <w:rPr>
          <w:rFonts w:asciiTheme="minorHAnsi" w:hAnsiTheme="minorHAnsi" w:cstheme="minorHAnsi"/>
        </w:rPr>
        <w:t xml:space="preserve"> </w:t>
      </w:r>
      <w:r w:rsidRPr="007407C0">
        <w:rPr>
          <w:rFonts w:asciiTheme="minorHAnsi" w:hAnsiTheme="minorHAnsi" w:cstheme="minorHAnsi"/>
        </w:rPr>
        <w:t>14/29</w:t>
      </w:r>
      <w:r>
        <w:rPr>
          <w:rFonts w:asciiTheme="minorHAnsi" w:hAnsiTheme="minorHAnsi" w:cstheme="minorHAnsi"/>
        </w:rPr>
        <w:t xml:space="preserve"> –</w:t>
      </w:r>
      <w:r w:rsidRPr="007407C0">
        <w:rPr>
          <w:rFonts w:asciiTheme="minorHAnsi" w:hAnsiTheme="minorHAnsi" w:cstheme="minorHAnsi"/>
        </w:rPr>
        <w:t xml:space="preserve"> </w:t>
      </w:r>
      <w:r w:rsidRPr="007407C0">
        <w:rPr>
          <w:rFonts w:asciiTheme="minorHAnsi" w:hAnsiTheme="minorHAnsi" w:cstheme="minorHAnsi"/>
          <w:i/>
        </w:rPr>
        <w:t>Peněžní prostředky vynakládané na úhradu nákladů z činnosti a hospodaření s majetkem státu u vybraných příspěvkových organizací</w:t>
      </w:r>
      <w:r>
        <w:rPr>
          <w:rFonts w:asciiTheme="minorHAnsi" w:hAnsiTheme="minorHAnsi" w:cstheme="minorHAnsi"/>
        </w:rPr>
        <w:t>.</w:t>
      </w:r>
    </w:p>
  </w:footnote>
  <w:footnote w:id="45">
    <w:p w14:paraId="16F1E8D5" w14:textId="156D4B8B" w:rsidR="00E03B0C" w:rsidRPr="007A7663" w:rsidRDefault="00E03B0C" w:rsidP="00475416">
      <w:pPr>
        <w:pStyle w:val="Textpoznpodarou"/>
        <w:spacing w:after="0" w:line="240" w:lineRule="auto"/>
        <w:ind w:left="284" w:hanging="284"/>
      </w:pPr>
      <w:r w:rsidRPr="007407C0">
        <w:rPr>
          <w:rStyle w:val="Znakapoznpodarou"/>
          <w:rFonts w:asciiTheme="minorHAnsi" w:hAnsiTheme="minorHAnsi" w:cstheme="minorHAnsi"/>
        </w:rPr>
        <w:footnoteRef/>
      </w:r>
      <w:r w:rsidRPr="007A7663">
        <w:t xml:space="preserve"> </w:t>
      </w:r>
      <w:r>
        <w:tab/>
      </w:r>
      <w:r w:rsidRPr="007407C0">
        <w:rPr>
          <w:rFonts w:asciiTheme="minorHAnsi" w:hAnsiTheme="minorHAnsi" w:cstheme="minorHAnsi"/>
        </w:rPr>
        <w:t>Kontrolní akce č.</w:t>
      </w:r>
      <w:r>
        <w:rPr>
          <w:rFonts w:asciiTheme="minorHAnsi" w:hAnsiTheme="minorHAnsi" w:cstheme="minorHAnsi"/>
        </w:rPr>
        <w:t xml:space="preserve"> </w:t>
      </w:r>
      <w:r w:rsidRPr="007407C0">
        <w:rPr>
          <w:rFonts w:asciiTheme="minorHAnsi" w:hAnsiTheme="minorHAnsi" w:cstheme="minorHAnsi"/>
        </w:rPr>
        <w:t xml:space="preserve">19/09 </w:t>
      </w:r>
      <w:r>
        <w:rPr>
          <w:rFonts w:asciiTheme="minorHAnsi" w:hAnsiTheme="minorHAnsi" w:cstheme="minorHAnsi"/>
        </w:rPr>
        <w:t xml:space="preserve">– </w:t>
      </w:r>
      <w:r w:rsidRPr="007407C0">
        <w:rPr>
          <w:rFonts w:asciiTheme="minorHAnsi" w:hAnsiTheme="minorHAnsi" w:cstheme="minorHAnsi"/>
          <w:i/>
        </w:rPr>
        <w:t>Ochrana sbírek muzejní povahy ve vlastnictví České republiky</w:t>
      </w:r>
      <w:r>
        <w:rPr>
          <w:rFonts w:asciiTheme="minorHAnsi" w:hAnsiTheme="minorHAnsi" w:cstheme="minorHAnsi"/>
        </w:rPr>
        <w:t>.</w:t>
      </w:r>
    </w:p>
  </w:footnote>
  <w:footnote w:id="46">
    <w:p w14:paraId="597DE6EE" w14:textId="792D6D1D" w:rsidR="00E03B0C" w:rsidRPr="008D2BBF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D2BBF">
        <w:rPr>
          <w:rStyle w:val="Znakapoznpodarou"/>
          <w:rFonts w:asciiTheme="minorHAnsi" w:hAnsiTheme="minorHAnsi" w:cstheme="minorHAnsi"/>
        </w:rPr>
        <w:footnoteRef/>
      </w:r>
      <w:r w:rsidRPr="008D2B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D2BBF">
        <w:rPr>
          <w:rFonts w:asciiTheme="minorHAnsi" w:hAnsiTheme="minorHAnsi" w:cstheme="minorHAnsi"/>
        </w:rPr>
        <w:t>Jedná se o PO MK, které umož</w:t>
      </w:r>
      <w:r>
        <w:rPr>
          <w:rFonts w:asciiTheme="minorHAnsi" w:hAnsiTheme="minorHAnsi" w:cstheme="minorHAnsi"/>
        </w:rPr>
        <w:t>ň</w:t>
      </w:r>
      <w:r w:rsidRPr="008D2BBF">
        <w:rPr>
          <w:rFonts w:asciiTheme="minorHAnsi" w:hAnsiTheme="minorHAnsi" w:cstheme="minorHAnsi"/>
        </w:rPr>
        <w:t>ují přístupy ke kulturnímu dědictví</w:t>
      </w:r>
      <w:r>
        <w:rPr>
          <w:rFonts w:asciiTheme="minorHAnsi" w:hAnsiTheme="minorHAnsi" w:cstheme="minorHAnsi"/>
        </w:rPr>
        <w:t>.</w:t>
      </w:r>
    </w:p>
  </w:footnote>
  <w:footnote w:id="47">
    <w:p w14:paraId="4E11111A" w14:textId="5CF54040" w:rsidR="00E03B0C" w:rsidRPr="008D2BBF" w:rsidRDefault="00E03B0C" w:rsidP="00475416">
      <w:pPr>
        <w:pStyle w:val="Textpoznpodarou"/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8D2BBF">
        <w:rPr>
          <w:rStyle w:val="Znakapoznpodarou"/>
          <w:rFonts w:asciiTheme="minorHAnsi" w:hAnsiTheme="minorHAnsi" w:cstheme="minorHAnsi"/>
        </w:rPr>
        <w:footnoteRef/>
      </w:r>
      <w:r w:rsidRPr="008D2B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D2BBF">
        <w:rPr>
          <w:rFonts w:asciiTheme="minorHAnsi" w:hAnsiTheme="minorHAnsi" w:cstheme="minorHAnsi"/>
        </w:rPr>
        <w:t xml:space="preserve">Ustanovení </w:t>
      </w:r>
      <w:r w:rsidRPr="008D2BBF">
        <w:rPr>
          <w:rFonts w:asciiTheme="minorHAnsi" w:eastAsia="Calibri" w:hAnsiTheme="minorHAnsi" w:cstheme="minorHAnsi"/>
        </w:rPr>
        <w:t>§ 14 zákona č. 219/2000 Sb.</w:t>
      </w:r>
    </w:p>
  </w:footnote>
  <w:footnote w:id="48">
    <w:p w14:paraId="7FC9E7B6" w14:textId="71DF3370" w:rsidR="00E03B0C" w:rsidRPr="00DC1A3B" w:rsidRDefault="00E03B0C" w:rsidP="00475416">
      <w:pPr>
        <w:pStyle w:val="Textpoznpodarou"/>
        <w:ind w:left="284" w:hanging="284"/>
        <w:rPr>
          <w:rFonts w:asciiTheme="minorHAnsi" w:hAnsiTheme="minorHAnsi"/>
        </w:rPr>
      </w:pPr>
      <w:r w:rsidRPr="00DC1A3B">
        <w:rPr>
          <w:rStyle w:val="Znakapoznpodarou"/>
          <w:rFonts w:asciiTheme="minorHAnsi" w:hAnsiTheme="minorHAnsi"/>
        </w:rPr>
        <w:footnoteRef/>
      </w:r>
      <w:r w:rsidRPr="00DC1A3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DC1A3B">
        <w:rPr>
          <w:rFonts w:asciiTheme="minorHAnsi" w:hAnsiTheme="minorHAnsi"/>
        </w:rPr>
        <w:t xml:space="preserve">Ustanovení § 14 a </w:t>
      </w:r>
      <w:r>
        <w:rPr>
          <w:rFonts w:asciiTheme="minorHAnsi" w:hAnsiTheme="minorHAnsi"/>
        </w:rPr>
        <w:t xml:space="preserve">§ </w:t>
      </w:r>
      <w:r w:rsidRPr="00DC1A3B">
        <w:rPr>
          <w:rFonts w:asciiTheme="minorHAnsi" w:hAnsiTheme="minorHAnsi"/>
        </w:rPr>
        <w:t>27 zákona č. 219/2000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AB9"/>
    <w:multiLevelType w:val="hybridMultilevel"/>
    <w:tmpl w:val="177A0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09CE"/>
    <w:multiLevelType w:val="hybridMultilevel"/>
    <w:tmpl w:val="177A0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11A9"/>
    <w:multiLevelType w:val="hybridMultilevel"/>
    <w:tmpl w:val="875A3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433B"/>
    <w:multiLevelType w:val="hybridMultilevel"/>
    <w:tmpl w:val="CA6AB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6197"/>
    <w:multiLevelType w:val="hybridMultilevel"/>
    <w:tmpl w:val="AFF49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757FA"/>
    <w:multiLevelType w:val="hybridMultilevel"/>
    <w:tmpl w:val="BEB6E910"/>
    <w:lvl w:ilvl="0" w:tplc="1FC090FC">
      <w:start w:val="3"/>
      <w:numFmt w:val="bullet"/>
      <w:lvlText w:val="-"/>
      <w:lvlJc w:val="left"/>
      <w:pPr>
        <w:ind w:left="720" w:hanging="360"/>
      </w:pPr>
      <w:rPr>
        <w:rFonts w:ascii="CIDFont+F5" w:eastAsia="CIDFont+F5" w:hAnsiTheme="minorHAnsi" w:cs="CIDFont+F5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ECE"/>
    <w:multiLevelType w:val="hybridMultilevel"/>
    <w:tmpl w:val="2C4836D8"/>
    <w:lvl w:ilvl="0" w:tplc="C9CAC3CE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7E50632"/>
    <w:multiLevelType w:val="hybridMultilevel"/>
    <w:tmpl w:val="9B14C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E19F0"/>
    <w:multiLevelType w:val="hybridMultilevel"/>
    <w:tmpl w:val="97844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66CEA"/>
    <w:multiLevelType w:val="hybridMultilevel"/>
    <w:tmpl w:val="B59A4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C0905"/>
    <w:multiLevelType w:val="multilevel"/>
    <w:tmpl w:val="C5B2BFFA"/>
    <w:styleLink w:val="Styl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5436C3"/>
    <w:multiLevelType w:val="hybridMultilevel"/>
    <w:tmpl w:val="A1001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96"/>
    <w:rsid w:val="00000DEA"/>
    <w:rsid w:val="00000E60"/>
    <w:rsid w:val="0000137C"/>
    <w:rsid w:val="00001C68"/>
    <w:rsid w:val="00001CF6"/>
    <w:rsid w:val="000042C6"/>
    <w:rsid w:val="00006225"/>
    <w:rsid w:val="00006F09"/>
    <w:rsid w:val="00010103"/>
    <w:rsid w:val="00010E07"/>
    <w:rsid w:val="00011C6C"/>
    <w:rsid w:val="000123B9"/>
    <w:rsid w:val="00012539"/>
    <w:rsid w:val="000130B3"/>
    <w:rsid w:val="0001329A"/>
    <w:rsid w:val="00013E73"/>
    <w:rsid w:val="000142A9"/>
    <w:rsid w:val="000160CE"/>
    <w:rsid w:val="00020EE3"/>
    <w:rsid w:val="00022B08"/>
    <w:rsid w:val="00022B8F"/>
    <w:rsid w:val="000232CC"/>
    <w:rsid w:val="00027ACD"/>
    <w:rsid w:val="00030BFC"/>
    <w:rsid w:val="00031AD9"/>
    <w:rsid w:val="000349C5"/>
    <w:rsid w:val="00034CE1"/>
    <w:rsid w:val="00037231"/>
    <w:rsid w:val="00040FEA"/>
    <w:rsid w:val="00041095"/>
    <w:rsid w:val="00044163"/>
    <w:rsid w:val="00045054"/>
    <w:rsid w:val="0004533D"/>
    <w:rsid w:val="00045B81"/>
    <w:rsid w:val="000502DB"/>
    <w:rsid w:val="000503D0"/>
    <w:rsid w:val="000505F5"/>
    <w:rsid w:val="000509FF"/>
    <w:rsid w:val="00050E4D"/>
    <w:rsid w:val="00051F1D"/>
    <w:rsid w:val="000529F2"/>
    <w:rsid w:val="00053C7B"/>
    <w:rsid w:val="0005510F"/>
    <w:rsid w:val="00056631"/>
    <w:rsid w:val="00060071"/>
    <w:rsid w:val="000603FF"/>
    <w:rsid w:val="00061EF1"/>
    <w:rsid w:val="0006381A"/>
    <w:rsid w:val="0006390C"/>
    <w:rsid w:val="0007419E"/>
    <w:rsid w:val="00074A39"/>
    <w:rsid w:val="00075B4A"/>
    <w:rsid w:val="000774E0"/>
    <w:rsid w:val="0007769E"/>
    <w:rsid w:val="0008093F"/>
    <w:rsid w:val="000813AC"/>
    <w:rsid w:val="0008413D"/>
    <w:rsid w:val="000843EE"/>
    <w:rsid w:val="00087B16"/>
    <w:rsid w:val="00087B85"/>
    <w:rsid w:val="00097A13"/>
    <w:rsid w:val="000A5CFB"/>
    <w:rsid w:val="000A62CC"/>
    <w:rsid w:val="000B05E7"/>
    <w:rsid w:val="000B1A81"/>
    <w:rsid w:val="000B1F7F"/>
    <w:rsid w:val="000B213D"/>
    <w:rsid w:val="000B2EF1"/>
    <w:rsid w:val="000B44B0"/>
    <w:rsid w:val="000B4883"/>
    <w:rsid w:val="000B5F4C"/>
    <w:rsid w:val="000B7357"/>
    <w:rsid w:val="000B7A21"/>
    <w:rsid w:val="000C126A"/>
    <w:rsid w:val="000C1A3D"/>
    <w:rsid w:val="000C1E70"/>
    <w:rsid w:val="000C2B10"/>
    <w:rsid w:val="000C4394"/>
    <w:rsid w:val="000C4E91"/>
    <w:rsid w:val="000C55F4"/>
    <w:rsid w:val="000C609F"/>
    <w:rsid w:val="000C611E"/>
    <w:rsid w:val="000C65EA"/>
    <w:rsid w:val="000D0CB2"/>
    <w:rsid w:val="000D10BA"/>
    <w:rsid w:val="000D21FA"/>
    <w:rsid w:val="000D236D"/>
    <w:rsid w:val="000D37D7"/>
    <w:rsid w:val="000D5C3C"/>
    <w:rsid w:val="000E2065"/>
    <w:rsid w:val="000E427E"/>
    <w:rsid w:val="000E7DDF"/>
    <w:rsid w:val="000F0C79"/>
    <w:rsid w:val="000F3EB0"/>
    <w:rsid w:val="000F51F1"/>
    <w:rsid w:val="000F53A6"/>
    <w:rsid w:val="000F611C"/>
    <w:rsid w:val="00102046"/>
    <w:rsid w:val="0010424B"/>
    <w:rsid w:val="00111926"/>
    <w:rsid w:val="00112D00"/>
    <w:rsid w:val="0011310D"/>
    <w:rsid w:val="00114941"/>
    <w:rsid w:val="0011624B"/>
    <w:rsid w:val="001209C6"/>
    <w:rsid w:val="00121B09"/>
    <w:rsid w:val="00122B6E"/>
    <w:rsid w:val="00123576"/>
    <w:rsid w:val="001250F1"/>
    <w:rsid w:val="00125AFA"/>
    <w:rsid w:val="00127069"/>
    <w:rsid w:val="00132D03"/>
    <w:rsid w:val="00136CDC"/>
    <w:rsid w:val="00137051"/>
    <w:rsid w:val="00137E0B"/>
    <w:rsid w:val="00141B7B"/>
    <w:rsid w:val="00141F5A"/>
    <w:rsid w:val="00142EFF"/>
    <w:rsid w:val="00145F9E"/>
    <w:rsid w:val="00146F56"/>
    <w:rsid w:val="00150853"/>
    <w:rsid w:val="00151B33"/>
    <w:rsid w:val="001525F4"/>
    <w:rsid w:val="00154B91"/>
    <w:rsid w:val="00155C0A"/>
    <w:rsid w:val="00156322"/>
    <w:rsid w:val="00156330"/>
    <w:rsid w:val="00157AC1"/>
    <w:rsid w:val="001610C2"/>
    <w:rsid w:val="00163D90"/>
    <w:rsid w:val="00171B46"/>
    <w:rsid w:val="00171B56"/>
    <w:rsid w:val="00174175"/>
    <w:rsid w:val="001751B6"/>
    <w:rsid w:val="00175AFB"/>
    <w:rsid w:val="00177036"/>
    <w:rsid w:val="001778BD"/>
    <w:rsid w:val="00180E11"/>
    <w:rsid w:val="00180FF7"/>
    <w:rsid w:val="0018160D"/>
    <w:rsid w:val="00182B6D"/>
    <w:rsid w:val="00186FC1"/>
    <w:rsid w:val="001876F4"/>
    <w:rsid w:val="0019080F"/>
    <w:rsid w:val="001934A9"/>
    <w:rsid w:val="00193DBF"/>
    <w:rsid w:val="00195200"/>
    <w:rsid w:val="001A0865"/>
    <w:rsid w:val="001A27C6"/>
    <w:rsid w:val="001A3DD7"/>
    <w:rsid w:val="001A5625"/>
    <w:rsid w:val="001A6836"/>
    <w:rsid w:val="001A7B52"/>
    <w:rsid w:val="001B2F8D"/>
    <w:rsid w:val="001B6995"/>
    <w:rsid w:val="001B768A"/>
    <w:rsid w:val="001C0A2D"/>
    <w:rsid w:val="001C0BE9"/>
    <w:rsid w:val="001C2549"/>
    <w:rsid w:val="001C32A7"/>
    <w:rsid w:val="001C4B6A"/>
    <w:rsid w:val="001C5441"/>
    <w:rsid w:val="001C590C"/>
    <w:rsid w:val="001C5B0B"/>
    <w:rsid w:val="001C7E55"/>
    <w:rsid w:val="001D1079"/>
    <w:rsid w:val="001D2650"/>
    <w:rsid w:val="001D2C69"/>
    <w:rsid w:val="001D3380"/>
    <w:rsid w:val="001D352B"/>
    <w:rsid w:val="001D4998"/>
    <w:rsid w:val="001D5559"/>
    <w:rsid w:val="001D5A89"/>
    <w:rsid w:val="001D5AD8"/>
    <w:rsid w:val="001E244A"/>
    <w:rsid w:val="001E2B9D"/>
    <w:rsid w:val="001E500A"/>
    <w:rsid w:val="001F1E53"/>
    <w:rsid w:val="001F44F8"/>
    <w:rsid w:val="001F49FF"/>
    <w:rsid w:val="00200F6B"/>
    <w:rsid w:val="00201C31"/>
    <w:rsid w:val="002108F1"/>
    <w:rsid w:val="00212060"/>
    <w:rsid w:val="002121AA"/>
    <w:rsid w:val="00212ACF"/>
    <w:rsid w:val="00214AAB"/>
    <w:rsid w:val="00222AC6"/>
    <w:rsid w:val="00222D89"/>
    <w:rsid w:val="002251C3"/>
    <w:rsid w:val="00227EE3"/>
    <w:rsid w:val="00230E5B"/>
    <w:rsid w:val="00233912"/>
    <w:rsid w:val="002430D4"/>
    <w:rsid w:val="00243483"/>
    <w:rsid w:val="00244F24"/>
    <w:rsid w:val="00251380"/>
    <w:rsid w:val="00251596"/>
    <w:rsid w:val="00251F7F"/>
    <w:rsid w:val="00253835"/>
    <w:rsid w:val="00257037"/>
    <w:rsid w:val="0026007F"/>
    <w:rsid w:val="002625C1"/>
    <w:rsid w:val="00267D0A"/>
    <w:rsid w:val="00270244"/>
    <w:rsid w:val="00273006"/>
    <w:rsid w:val="0028039D"/>
    <w:rsid w:val="00280E28"/>
    <w:rsid w:val="00284562"/>
    <w:rsid w:val="0028673A"/>
    <w:rsid w:val="00291886"/>
    <w:rsid w:val="002931C3"/>
    <w:rsid w:val="0029342B"/>
    <w:rsid w:val="00293919"/>
    <w:rsid w:val="00293A5F"/>
    <w:rsid w:val="00294E77"/>
    <w:rsid w:val="002958E0"/>
    <w:rsid w:val="00295A1B"/>
    <w:rsid w:val="00295FEB"/>
    <w:rsid w:val="002A0178"/>
    <w:rsid w:val="002A04C3"/>
    <w:rsid w:val="002A0CEC"/>
    <w:rsid w:val="002A1DA3"/>
    <w:rsid w:val="002A3D46"/>
    <w:rsid w:val="002A40B6"/>
    <w:rsid w:val="002A50F2"/>
    <w:rsid w:val="002B18F4"/>
    <w:rsid w:val="002B4B44"/>
    <w:rsid w:val="002B5B2D"/>
    <w:rsid w:val="002C1AE1"/>
    <w:rsid w:val="002C5C96"/>
    <w:rsid w:val="002D0B5B"/>
    <w:rsid w:val="002D0CD2"/>
    <w:rsid w:val="002D1BBA"/>
    <w:rsid w:val="002D3096"/>
    <w:rsid w:val="002D3B41"/>
    <w:rsid w:val="002D6DDF"/>
    <w:rsid w:val="002D7631"/>
    <w:rsid w:val="002E11AC"/>
    <w:rsid w:val="002E176B"/>
    <w:rsid w:val="002E2614"/>
    <w:rsid w:val="002E2FE6"/>
    <w:rsid w:val="002E310D"/>
    <w:rsid w:val="002E4129"/>
    <w:rsid w:val="002E4586"/>
    <w:rsid w:val="002E556E"/>
    <w:rsid w:val="002F01DD"/>
    <w:rsid w:val="002F658B"/>
    <w:rsid w:val="002F66F7"/>
    <w:rsid w:val="002F77CF"/>
    <w:rsid w:val="003003ED"/>
    <w:rsid w:val="00300A0B"/>
    <w:rsid w:val="00301620"/>
    <w:rsid w:val="003059E2"/>
    <w:rsid w:val="00314EC2"/>
    <w:rsid w:val="00315685"/>
    <w:rsid w:val="003168B3"/>
    <w:rsid w:val="00316E93"/>
    <w:rsid w:val="00320712"/>
    <w:rsid w:val="00320DE4"/>
    <w:rsid w:val="003210B5"/>
    <w:rsid w:val="00327AAD"/>
    <w:rsid w:val="003309A1"/>
    <w:rsid w:val="003354AA"/>
    <w:rsid w:val="00341084"/>
    <w:rsid w:val="00345FC6"/>
    <w:rsid w:val="003510B8"/>
    <w:rsid w:val="0035316A"/>
    <w:rsid w:val="00354C01"/>
    <w:rsid w:val="0035580B"/>
    <w:rsid w:val="00355AAA"/>
    <w:rsid w:val="00362796"/>
    <w:rsid w:val="00370827"/>
    <w:rsid w:val="00372119"/>
    <w:rsid w:val="003737F6"/>
    <w:rsid w:val="003756C5"/>
    <w:rsid w:val="00375CEE"/>
    <w:rsid w:val="00380C46"/>
    <w:rsid w:val="00380CC9"/>
    <w:rsid w:val="0038380D"/>
    <w:rsid w:val="00384482"/>
    <w:rsid w:val="0038451C"/>
    <w:rsid w:val="003907E6"/>
    <w:rsid w:val="00392852"/>
    <w:rsid w:val="00393DE6"/>
    <w:rsid w:val="003945C5"/>
    <w:rsid w:val="003A1DAA"/>
    <w:rsid w:val="003A23B3"/>
    <w:rsid w:val="003A4109"/>
    <w:rsid w:val="003A6C90"/>
    <w:rsid w:val="003A71D5"/>
    <w:rsid w:val="003B1120"/>
    <w:rsid w:val="003B1165"/>
    <w:rsid w:val="003B2668"/>
    <w:rsid w:val="003B3B87"/>
    <w:rsid w:val="003B5293"/>
    <w:rsid w:val="003B5CD0"/>
    <w:rsid w:val="003B5CDB"/>
    <w:rsid w:val="003B5E95"/>
    <w:rsid w:val="003B6DF1"/>
    <w:rsid w:val="003C25A9"/>
    <w:rsid w:val="003C25C7"/>
    <w:rsid w:val="003C4359"/>
    <w:rsid w:val="003C7E07"/>
    <w:rsid w:val="003D08D7"/>
    <w:rsid w:val="003D0E7A"/>
    <w:rsid w:val="003D1CFB"/>
    <w:rsid w:val="003D388A"/>
    <w:rsid w:val="003D4C8F"/>
    <w:rsid w:val="003D5C51"/>
    <w:rsid w:val="003D715C"/>
    <w:rsid w:val="003E1611"/>
    <w:rsid w:val="003E25BB"/>
    <w:rsid w:val="003E2F79"/>
    <w:rsid w:val="003E3334"/>
    <w:rsid w:val="003E510D"/>
    <w:rsid w:val="003E7E48"/>
    <w:rsid w:val="003F06D6"/>
    <w:rsid w:val="003F0D3E"/>
    <w:rsid w:val="003F1259"/>
    <w:rsid w:val="003F18F5"/>
    <w:rsid w:val="003F35B6"/>
    <w:rsid w:val="003F363F"/>
    <w:rsid w:val="003F3C6F"/>
    <w:rsid w:val="00400493"/>
    <w:rsid w:val="00400A88"/>
    <w:rsid w:val="0040114F"/>
    <w:rsid w:val="00402D91"/>
    <w:rsid w:val="004037B4"/>
    <w:rsid w:val="00406BC4"/>
    <w:rsid w:val="0041033B"/>
    <w:rsid w:val="00410399"/>
    <w:rsid w:val="00411F93"/>
    <w:rsid w:val="00412A64"/>
    <w:rsid w:val="00413356"/>
    <w:rsid w:val="00413AE4"/>
    <w:rsid w:val="00414F10"/>
    <w:rsid w:val="00416E94"/>
    <w:rsid w:val="00417856"/>
    <w:rsid w:val="00417ABF"/>
    <w:rsid w:val="00422637"/>
    <w:rsid w:val="00423DE8"/>
    <w:rsid w:val="00423F36"/>
    <w:rsid w:val="004307F6"/>
    <w:rsid w:val="0043163D"/>
    <w:rsid w:val="0043196D"/>
    <w:rsid w:val="00435B54"/>
    <w:rsid w:val="00436468"/>
    <w:rsid w:val="00437A49"/>
    <w:rsid w:val="00441907"/>
    <w:rsid w:val="00442030"/>
    <w:rsid w:val="00442521"/>
    <w:rsid w:val="00451BBB"/>
    <w:rsid w:val="00455B22"/>
    <w:rsid w:val="00461792"/>
    <w:rsid w:val="00461F21"/>
    <w:rsid w:val="004625D7"/>
    <w:rsid w:val="004648D8"/>
    <w:rsid w:val="004658D7"/>
    <w:rsid w:val="00466413"/>
    <w:rsid w:val="00466AAE"/>
    <w:rsid w:val="00467CFC"/>
    <w:rsid w:val="004711AB"/>
    <w:rsid w:val="0047278B"/>
    <w:rsid w:val="00474234"/>
    <w:rsid w:val="00475416"/>
    <w:rsid w:val="00475F75"/>
    <w:rsid w:val="0047780D"/>
    <w:rsid w:val="004801C4"/>
    <w:rsid w:val="00481E04"/>
    <w:rsid w:val="0048265D"/>
    <w:rsid w:val="00486BED"/>
    <w:rsid w:val="00486FB6"/>
    <w:rsid w:val="00496E2A"/>
    <w:rsid w:val="00497949"/>
    <w:rsid w:val="004A0AD1"/>
    <w:rsid w:val="004A2AE8"/>
    <w:rsid w:val="004A3FF7"/>
    <w:rsid w:val="004A4DA4"/>
    <w:rsid w:val="004A5EE8"/>
    <w:rsid w:val="004A6153"/>
    <w:rsid w:val="004B3EC2"/>
    <w:rsid w:val="004B5878"/>
    <w:rsid w:val="004B6158"/>
    <w:rsid w:val="004B61DA"/>
    <w:rsid w:val="004C1C80"/>
    <w:rsid w:val="004C255E"/>
    <w:rsid w:val="004C3B77"/>
    <w:rsid w:val="004C6B81"/>
    <w:rsid w:val="004C6D5D"/>
    <w:rsid w:val="004C7A73"/>
    <w:rsid w:val="004D6453"/>
    <w:rsid w:val="004D6C37"/>
    <w:rsid w:val="004E0671"/>
    <w:rsid w:val="004E2952"/>
    <w:rsid w:val="004E2E6F"/>
    <w:rsid w:val="004E50A3"/>
    <w:rsid w:val="004E7191"/>
    <w:rsid w:val="004F0611"/>
    <w:rsid w:val="004F2FDE"/>
    <w:rsid w:val="004F4ACC"/>
    <w:rsid w:val="004F623C"/>
    <w:rsid w:val="0050091E"/>
    <w:rsid w:val="00500E8B"/>
    <w:rsid w:val="00501675"/>
    <w:rsid w:val="00501D5D"/>
    <w:rsid w:val="005028B8"/>
    <w:rsid w:val="00503D67"/>
    <w:rsid w:val="005065FA"/>
    <w:rsid w:val="005067AC"/>
    <w:rsid w:val="005100B0"/>
    <w:rsid w:val="00510369"/>
    <w:rsid w:val="00510629"/>
    <w:rsid w:val="00511658"/>
    <w:rsid w:val="00511F58"/>
    <w:rsid w:val="00512508"/>
    <w:rsid w:val="00513DE0"/>
    <w:rsid w:val="00514CE0"/>
    <w:rsid w:val="00514EBA"/>
    <w:rsid w:val="00521AEF"/>
    <w:rsid w:val="00530BC4"/>
    <w:rsid w:val="00531149"/>
    <w:rsid w:val="0053150D"/>
    <w:rsid w:val="00532991"/>
    <w:rsid w:val="00533018"/>
    <w:rsid w:val="00534454"/>
    <w:rsid w:val="00534EFC"/>
    <w:rsid w:val="00535DB2"/>
    <w:rsid w:val="0053763B"/>
    <w:rsid w:val="005400C8"/>
    <w:rsid w:val="00541658"/>
    <w:rsid w:val="005429D2"/>
    <w:rsid w:val="00543D48"/>
    <w:rsid w:val="0054554F"/>
    <w:rsid w:val="00551164"/>
    <w:rsid w:val="005518F8"/>
    <w:rsid w:val="005519B6"/>
    <w:rsid w:val="005533B6"/>
    <w:rsid w:val="005541DC"/>
    <w:rsid w:val="005546AC"/>
    <w:rsid w:val="00557327"/>
    <w:rsid w:val="00563EED"/>
    <w:rsid w:val="00565973"/>
    <w:rsid w:val="00565E6B"/>
    <w:rsid w:val="00567080"/>
    <w:rsid w:val="0057158B"/>
    <w:rsid w:val="00572DC3"/>
    <w:rsid w:val="00573726"/>
    <w:rsid w:val="00575937"/>
    <w:rsid w:val="005779F5"/>
    <w:rsid w:val="00580D5A"/>
    <w:rsid w:val="005814DE"/>
    <w:rsid w:val="00581A20"/>
    <w:rsid w:val="005833BA"/>
    <w:rsid w:val="00583B16"/>
    <w:rsid w:val="005846C5"/>
    <w:rsid w:val="00584CF9"/>
    <w:rsid w:val="0059011C"/>
    <w:rsid w:val="00590240"/>
    <w:rsid w:val="00592EE1"/>
    <w:rsid w:val="00592EFF"/>
    <w:rsid w:val="00593E83"/>
    <w:rsid w:val="005947B9"/>
    <w:rsid w:val="00595170"/>
    <w:rsid w:val="00595E2A"/>
    <w:rsid w:val="00595F99"/>
    <w:rsid w:val="005969EB"/>
    <w:rsid w:val="0059778F"/>
    <w:rsid w:val="005A0D65"/>
    <w:rsid w:val="005A16B4"/>
    <w:rsid w:val="005A4B82"/>
    <w:rsid w:val="005A4ECA"/>
    <w:rsid w:val="005A56EA"/>
    <w:rsid w:val="005A5FB5"/>
    <w:rsid w:val="005B0396"/>
    <w:rsid w:val="005B06EE"/>
    <w:rsid w:val="005B15B1"/>
    <w:rsid w:val="005B2D6D"/>
    <w:rsid w:val="005B6D3F"/>
    <w:rsid w:val="005B7D3C"/>
    <w:rsid w:val="005C1B2B"/>
    <w:rsid w:val="005C3886"/>
    <w:rsid w:val="005D7BD5"/>
    <w:rsid w:val="005E517F"/>
    <w:rsid w:val="005F385B"/>
    <w:rsid w:val="005F7FCA"/>
    <w:rsid w:val="0060101F"/>
    <w:rsid w:val="00605391"/>
    <w:rsid w:val="0060553D"/>
    <w:rsid w:val="006078C6"/>
    <w:rsid w:val="00607B59"/>
    <w:rsid w:val="00607C69"/>
    <w:rsid w:val="0061526F"/>
    <w:rsid w:val="00615372"/>
    <w:rsid w:val="00615AF2"/>
    <w:rsid w:val="0061677B"/>
    <w:rsid w:val="00616DAD"/>
    <w:rsid w:val="00620ED0"/>
    <w:rsid w:val="006240D4"/>
    <w:rsid w:val="00626746"/>
    <w:rsid w:val="006267FD"/>
    <w:rsid w:val="006315D4"/>
    <w:rsid w:val="006344EA"/>
    <w:rsid w:val="00635A6D"/>
    <w:rsid w:val="00636BF2"/>
    <w:rsid w:val="00641FED"/>
    <w:rsid w:val="00642634"/>
    <w:rsid w:val="006475E5"/>
    <w:rsid w:val="00650CDA"/>
    <w:rsid w:val="0065496F"/>
    <w:rsid w:val="0066039F"/>
    <w:rsid w:val="00660411"/>
    <w:rsid w:val="0066154A"/>
    <w:rsid w:val="00661E81"/>
    <w:rsid w:val="006635BF"/>
    <w:rsid w:val="00664724"/>
    <w:rsid w:val="006654C0"/>
    <w:rsid w:val="0066581F"/>
    <w:rsid w:val="00666296"/>
    <w:rsid w:val="00667682"/>
    <w:rsid w:val="00671B5D"/>
    <w:rsid w:val="00673DF0"/>
    <w:rsid w:val="006757E2"/>
    <w:rsid w:val="00675A4A"/>
    <w:rsid w:val="006763F0"/>
    <w:rsid w:val="0067724A"/>
    <w:rsid w:val="00681AB1"/>
    <w:rsid w:val="006836E4"/>
    <w:rsid w:val="00684C69"/>
    <w:rsid w:val="006866AC"/>
    <w:rsid w:val="006901E1"/>
    <w:rsid w:val="0069531D"/>
    <w:rsid w:val="006959BC"/>
    <w:rsid w:val="00697052"/>
    <w:rsid w:val="006970EC"/>
    <w:rsid w:val="006A138D"/>
    <w:rsid w:val="006A2602"/>
    <w:rsid w:val="006A420D"/>
    <w:rsid w:val="006A6749"/>
    <w:rsid w:val="006A741E"/>
    <w:rsid w:val="006B1A22"/>
    <w:rsid w:val="006B4732"/>
    <w:rsid w:val="006B7262"/>
    <w:rsid w:val="006C1106"/>
    <w:rsid w:val="006C2593"/>
    <w:rsid w:val="006C3A09"/>
    <w:rsid w:val="006C3CA0"/>
    <w:rsid w:val="006C4C6E"/>
    <w:rsid w:val="006C529D"/>
    <w:rsid w:val="006C6B5F"/>
    <w:rsid w:val="006D01A8"/>
    <w:rsid w:val="006D13BC"/>
    <w:rsid w:val="006D56B5"/>
    <w:rsid w:val="006D5F20"/>
    <w:rsid w:val="006E3775"/>
    <w:rsid w:val="006E5B24"/>
    <w:rsid w:val="006E6878"/>
    <w:rsid w:val="006F18F3"/>
    <w:rsid w:val="006F218C"/>
    <w:rsid w:val="006F32C9"/>
    <w:rsid w:val="006F4E97"/>
    <w:rsid w:val="006F5B4C"/>
    <w:rsid w:val="0070060B"/>
    <w:rsid w:val="00702E2B"/>
    <w:rsid w:val="00703748"/>
    <w:rsid w:val="00705375"/>
    <w:rsid w:val="00705A7A"/>
    <w:rsid w:val="00705FCA"/>
    <w:rsid w:val="007105A8"/>
    <w:rsid w:val="00711EF6"/>
    <w:rsid w:val="00712AA6"/>
    <w:rsid w:val="00716322"/>
    <w:rsid w:val="00716BFA"/>
    <w:rsid w:val="00724DFE"/>
    <w:rsid w:val="007264AA"/>
    <w:rsid w:val="00726E44"/>
    <w:rsid w:val="00730FE0"/>
    <w:rsid w:val="00731356"/>
    <w:rsid w:val="00731517"/>
    <w:rsid w:val="007327CD"/>
    <w:rsid w:val="00733A28"/>
    <w:rsid w:val="00735819"/>
    <w:rsid w:val="007371B1"/>
    <w:rsid w:val="007407C0"/>
    <w:rsid w:val="0074101C"/>
    <w:rsid w:val="007414AF"/>
    <w:rsid w:val="00741798"/>
    <w:rsid w:val="007431F6"/>
    <w:rsid w:val="00743736"/>
    <w:rsid w:val="00744A8D"/>
    <w:rsid w:val="00746424"/>
    <w:rsid w:val="00752028"/>
    <w:rsid w:val="0075220A"/>
    <w:rsid w:val="00753D07"/>
    <w:rsid w:val="00754E6A"/>
    <w:rsid w:val="00757EF5"/>
    <w:rsid w:val="007600F7"/>
    <w:rsid w:val="00761C34"/>
    <w:rsid w:val="0076342A"/>
    <w:rsid w:val="00763AD6"/>
    <w:rsid w:val="00766063"/>
    <w:rsid w:val="00767143"/>
    <w:rsid w:val="00767AF3"/>
    <w:rsid w:val="007703B8"/>
    <w:rsid w:val="00770418"/>
    <w:rsid w:val="0077099B"/>
    <w:rsid w:val="0077226C"/>
    <w:rsid w:val="0077381C"/>
    <w:rsid w:val="0077693D"/>
    <w:rsid w:val="00781157"/>
    <w:rsid w:val="00782442"/>
    <w:rsid w:val="0078312A"/>
    <w:rsid w:val="00783CAA"/>
    <w:rsid w:val="00784684"/>
    <w:rsid w:val="00786923"/>
    <w:rsid w:val="007870B5"/>
    <w:rsid w:val="0079135D"/>
    <w:rsid w:val="007924E3"/>
    <w:rsid w:val="007943C3"/>
    <w:rsid w:val="00796AAB"/>
    <w:rsid w:val="00796B3B"/>
    <w:rsid w:val="007A12F9"/>
    <w:rsid w:val="007A2102"/>
    <w:rsid w:val="007A22BE"/>
    <w:rsid w:val="007A282A"/>
    <w:rsid w:val="007A28EB"/>
    <w:rsid w:val="007A2CBA"/>
    <w:rsid w:val="007A3C05"/>
    <w:rsid w:val="007A7663"/>
    <w:rsid w:val="007B5B83"/>
    <w:rsid w:val="007B648F"/>
    <w:rsid w:val="007B79C8"/>
    <w:rsid w:val="007B7F5F"/>
    <w:rsid w:val="007C0D84"/>
    <w:rsid w:val="007C1801"/>
    <w:rsid w:val="007C18E2"/>
    <w:rsid w:val="007C1F19"/>
    <w:rsid w:val="007C56F5"/>
    <w:rsid w:val="007C71C0"/>
    <w:rsid w:val="007D19F1"/>
    <w:rsid w:val="007D3603"/>
    <w:rsid w:val="007D3EE4"/>
    <w:rsid w:val="007D4559"/>
    <w:rsid w:val="007D60A4"/>
    <w:rsid w:val="007D7C65"/>
    <w:rsid w:val="007E137B"/>
    <w:rsid w:val="007E144E"/>
    <w:rsid w:val="007E1DEE"/>
    <w:rsid w:val="007E481D"/>
    <w:rsid w:val="007E672D"/>
    <w:rsid w:val="007F3D45"/>
    <w:rsid w:val="007F5AC1"/>
    <w:rsid w:val="007F62C3"/>
    <w:rsid w:val="008028D3"/>
    <w:rsid w:val="00802F7F"/>
    <w:rsid w:val="008033DF"/>
    <w:rsid w:val="008102DE"/>
    <w:rsid w:val="008109DA"/>
    <w:rsid w:val="00810CD0"/>
    <w:rsid w:val="00812626"/>
    <w:rsid w:val="00815948"/>
    <w:rsid w:val="0081722E"/>
    <w:rsid w:val="008214A5"/>
    <w:rsid w:val="0082292B"/>
    <w:rsid w:val="008236DF"/>
    <w:rsid w:val="00823834"/>
    <w:rsid w:val="0083103F"/>
    <w:rsid w:val="00831750"/>
    <w:rsid w:val="0083260D"/>
    <w:rsid w:val="00833081"/>
    <w:rsid w:val="008339DE"/>
    <w:rsid w:val="00836954"/>
    <w:rsid w:val="00836F9C"/>
    <w:rsid w:val="00842129"/>
    <w:rsid w:val="008426A9"/>
    <w:rsid w:val="00842F24"/>
    <w:rsid w:val="008464F7"/>
    <w:rsid w:val="00846B03"/>
    <w:rsid w:val="00851F00"/>
    <w:rsid w:val="008522A0"/>
    <w:rsid w:val="00853E69"/>
    <w:rsid w:val="008547E7"/>
    <w:rsid w:val="00854ECE"/>
    <w:rsid w:val="008557E0"/>
    <w:rsid w:val="008558C7"/>
    <w:rsid w:val="00857842"/>
    <w:rsid w:val="008601F0"/>
    <w:rsid w:val="00861FA0"/>
    <w:rsid w:val="00863F51"/>
    <w:rsid w:val="008643B0"/>
    <w:rsid w:val="008644DA"/>
    <w:rsid w:val="00864651"/>
    <w:rsid w:val="0086592E"/>
    <w:rsid w:val="00866ACC"/>
    <w:rsid w:val="00866E21"/>
    <w:rsid w:val="00870783"/>
    <w:rsid w:val="008717FA"/>
    <w:rsid w:val="008728C6"/>
    <w:rsid w:val="008751C0"/>
    <w:rsid w:val="00875A4F"/>
    <w:rsid w:val="00880C42"/>
    <w:rsid w:val="008842B2"/>
    <w:rsid w:val="00884451"/>
    <w:rsid w:val="008861E0"/>
    <w:rsid w:val="008865F9"/>
    <w:rsid w:val="00892E56"/>
    <w:rsid w:val="0089567F"/>
    <w:rsid w:val="00897D27"/>
    <w:rsid w:val="008A34A4"/>
    <w:rsid w:val="008A34EF"/>
    <w:rsid w:val="008A41EE"/>
    <w:rsid w:val="008A5341"/>
    <w:rsid w:val="008A57FB"/>
    <w:rsid w:val="008A7843"/>
    <w:rsid w:val="008A7D9F"/>
    <w:rsid w:val="008B2CB4"/>
    <w:rsid w:val="008B4D81"/>
    <w:rsid w:val="008B5D0F"/>
    <w:rsid w:val="008B776A"/>
    <w:rsid w:val="008C2B65"/>
    <w:rsid w:val="008C2FEB"/>
    <w:rsid w:val="008C333B"/>
    <w:rsid w:val="008C4716"/>
    <w:rsid w:val="008C48FB"/>
    <w:rsid w:val="008C5376"/>
    <w:rsid w:val="008C563A"/>
    <w:rsid w:val="008C699D"/>
    <w:rsid w:val="008C6C0D"/>
    <w:rsid w:val="008C6C24"/>
    <w:rsid w:val="008D2BBF"/>
    <w:rsid w:val="008D59F3"/>
    <w:rsid w:val="008D79BD"/>
    <w:rsid w:val="008E00FA"/>
    <w:rsid w:val="008E172D"/>
    <w:rsid w:val="008E1E90"/>
    <w:rsid w:val="008E2D78"/>
    <w:rsid w:val="008E31BC"/>
    <w:rsid w:val="008E34DB"/>
    <w:rsid w:val="008E4D5C"/>
    <w:rsid w:val="008E4D75"/>
    <w:rsid w:val="008F061F"/>
    <w:rsid w:val="008F0838"/>
    <w:rsid w:val="008F19C1"/>
    <w:rsid w:val="008F31A3"/>
    <w:rsid w:val="008F5910"/>
    <w:rsid w:val="008F686F"/>
    <w:rsid w:val="008F7A94"/>
    <w:rsid w:val="0090028B"/>
    <w:rsid w:val="0090147E"/>
    <w:rsid w:val="00902A98"/>
    <w:rsid w:val="00902C92"/>
    <w:rsid w:val="00904444"/>
    <w:rsid w:val="00904B94"/>
    <w:rsid w:val="009054AC"/>
    <w:rsid w:val="00910625"/>
    <w:rsid w:val="00911923"/>
    <w:rsid w:val="0091259D"/>
    <w:rsid w:val="00913970"/>
    <w:rsid w:val="00913BFD"/>
    <w:rsid w:val="00913D67"/>
    <w:rsid w:val="0092097F"/>
    <w:rsid w:val="0092101A"/>
    <w:rsid w:val="009217A8"/>
    <w:rsid w:val="00923033"/>
    <w:rsid w:val="00923973"/>
    <w:rsid w:val="00925411"/>
    <w:rsid w:val="009258AF"/>
    <w:rsid w:val="00927D9E"/>
    <w:rsid w:val="009302FF"/>
    <w:rsid w:val="0093282F"/>
    <w:rsid w:val="00932AED"/>
    <w:rsid w:val="009346F7"/>
    <w:rsid w:val="0093502A"/>
    <w:rsid w:val="00935578"/>
    <w:rsid w:val="00940E3D"/>
    <w:rsid w:val="00941C8B"/>
    <w:rsid w:val="009423A3"/>
    <w:rsid w:val="0094340C"/>
    <w:rsid w:val="00945840"/>
    <w:rsid w:val="00950293"/>
    <w:rsid w:val="009514AD"/>
    <w:rsid w:val="00951E4E"/>
    <w:rsid w:val="00953239"/>
    <w:rsid w:val="00953444"/>
    <w:rsid w:val="00956396"/>
    <w:rsid w:val="009601C1"/>
    <w:rsid w:val="00960430"/>
    <w:rsid w:val="00960486"/>
    <w:rsid w:val="00964E1E"/>
    <w:rsid w:val="00970343"/>
    <w:rsid w:val="009743DF"/>
    <w:rsid w:val="00976C8D"/>
    <w:rsid w:val="009806AF"/>
    <w:rsid w:val="00981BB0"/>
    <w:rsid w:val="0098279A"/>
    <w:rsid w:val="0098579C"/>
    <w:rsid w:val="00993362"/>
    <w:rsid w:val="0099380B"/>
    <w:rsid w:val="009954EE"/>
    <w:rsid w:val="00996BDB"/>
    <w:rsid w:val="009A1588"/>
    <w:rsid w:val="009A2248"/>
    <w:rsid w:val="009A2685"/>
    <w:rsid w:val="009A2E19"/>
    <w:rsid w:val="009A779B"/>
    <w:rsid w:val="009B0C8C"/>
    <w:rsid w:val="009B1F2D"/>
    <w:rsid w:val="009B3AAC"/>
    <w:rsid w:val="009B73C8"/>
    <w:rsid w:val="009C0335"/>
    <w:rsid w:val="009C1E51"/>
    <w:rsid w:val="009C1F5F"/>
    <w:rsid w:val="009C4E2D"/>
    <w:rsid w:val="009C515B"/>
    <w:rsid w:val="009D11C2"/>
    <w:rsid w:val="009D42F1"/>
    <w:rsid w:val="009D5BBA"/>
    <w:rsid w:val="009D726C"/>
    <w:rsid w:val="009E0700"/>
    <w:rsid w:val="009E07C0"/>
    <w:rsid w:val="009E0C68"/>
    <w:rsid w:val="009E19CF"/>
    <w:rsid w:val="009E234F"/>
    <w:rsid w:val="009E56C9"/>
    <w:rsid w:val="009E75E8"/>
    <w:rsid w:val="009F0D3E"/>
    <w:rsid w:val="009F2086"/>
    <w:rsid w:val="009F3EEA"/>
    <w:rsid w:val="009F4CD2"/>
    <w:rsid w:val="009F684B"/>
    <w:rsid w:val="009F75CA"/>
    <w:rsid w:val="00A00886"/>
    <w:rsid w:val="00A027D8"/>
    <w:rsid w:val="00A05696"/>
    <w:rsid w:val="00A101AB"/>
    <w:rsid w:val="00A10BE1"/>
    <w:rsid w:val="00A110D7"/>
    <w:rsid w:val="00A1178F"/>
    <w:rsid w:val="00A11D27"/>
    <w:rsid w:val="00A12D92"/>
    <w:rsid w:val="00A131D4"/>
    <w:rsid w:val="00A154CC"/>
    <w:rsid w:val="00A20FF4"/>
    <w:rsid w:val="00A2158A"/>
    <w:rsid w:val="00A2353C"/>
    <w:rsid w:val="00A247D8"/>
    <w:rsid w:val="00A250D5"/>
    <w:rsid w:val="00A252C6"/>
    <w:rsid w:val="00A26F0C"/>
    <w:rsid w:val="00A27C0D"/>
    <w:rsid w:val="00A354BE"/>
    <w:rsid w:val="00A37755"/>
    <w:rsid w:val="00A42B71"/>
    <w:rsid w:val="00A44D77"/>
    <w:rsid w:val="00A5077C"/>
    <w:rsid w:val="00A541F1"/>
    <w:rsid w:val="00A54CCC"/>
    <w:rsid w:val="00A55403"/>
    <w:rsid w:val="00A56C58"/>
    <w:rsid w:val="00A578BA"/>
    <w:rsid w:val="00A57A64"/>
    <w:rsid w:val="00A62A2E"/>
    <w:rsid w:val="00A63758"/>
    <w:rsid w:val="00A64F83"/>
    <w:rsid w:val="00A71B65"/>
    <w:rsid w:val="00A75EDB"/>
    <w:rsid w:val="00A77BDF"/>
    <w:rsid w:val="00A80488"/>
    <w:rsid w:val="00A849CA"/>
    <w:rsid w:val="00A9496E"/>
    <w:rsid w:val="00A97ED8"/>
    <w:rsid w:val="00A97EE4"/>
    <w:rsid w:val="00A97F45"/>
    <w:rsid w:val="00AA15ED"/>
    <w:rsid w:val="00AA384B"/>
    <w:rsid w:val="00AA59A0"/>
    <w:rsid w:val="00AB24DA"/>
    <w:rsid w:val="00AB4C2C"/>
    <w:rsid w:val="00AB56D4"/>
    <w:rsid w:val="00AB66D3"/>
    <w:rsid w:val="00AB69A2"/>
    <w:rsid w:val="00AB7DBE"/>
    <w:rsid w:val="00AC177C"/>
    <w:rsid w:val="00AC1EBD"/>
    <w:rsid w:val="00AC4E89"/>
    <w:rsid w:val="00AC56BB"/>
    <w:rsid w:val="00AC7038"/>
    <w:rsid w:val="00AD16FB"/>
    <w:rsid w:val="00AD1884"/>
    <w:rsid w:val="00AD30EC"/>
    <w:rsid w:val="00AD4371"/>
    <w:rsid w:val="00AD53E1"/>
    <w:rsid w:val="00AD54AA"/>
    <w:rsid w:val="00AE35EA"/>
    <w:rsid w:val="00AE4D28"/>
    <w:rsid w:val="00AE7D8A"/>
    <w:rsid w:val="00AE7FB9"/>
    <w:rsid w:val="00AF0146"/>
    <w:rsid w:val="00AF0382"/>
    <w:rsid w:val="00AF0C1B"/>
    <w:rsid w:val="00AF28D0"/>
    <w:rsid w:val="00AF2B79"/>
    <w:rsid w:val="00AF4329"/>
    <w:rsid w:val="00AF451A"/>
    <w:rsid w:val="00AF588A"/>
    <w:rsid w:val="00AF6204"/>
    <w:rsid w:val="00AF63FE"/>
    <w:rsid w:val="00AF7721"/>
    <w:rsid w:val="00AF7C8A"/>
    <w:rsid w:val="00B00170"/>
    <w:rsid w:val="00B00CB2"/>
    <w:rsid w:val="00B03694"/>
    <w:rsid w:val="00B05D26"/>
    <w:rsid w:val="00B05D9D"/>
    <w:rsid w:val="00B102D5"/>
    <w:rsid w:val="00B14704"/>
    <w:rsid w:val="00B149DF"/>
    <w:rsid w:val="00B200D5"/>
    <w:rsid w:val="00B2124E"/>
    <w:rsid w:val="00B22D2D"/>
    <w:rsid w:val="00B2550C"/>
    <w:rsid w:val="00B2782A"/>
    <w:rsid w:val="00B31BCE"/>
    <w:rsid w:val="00B32706"/>
    <w:rsid w:val="00B33E76"/>
    <w:rsid w:val="00B343BF"/>
    <w:rsid w:val="00B36531"/>
    <w:rsid w:val="00B40179"/>
    <w:rsid w:val="00B4139B"/>
    <w:rsid w:val="00B42963"/>
    <w:rsid w:val="00B439C4"/>
    <w:rsid w:val="00B50172"/>
    <w:rsid w:val="00B5033E"/>
    <w:rsid w:val="00B50704"/>
    <w:rsid w:val="00B513A3"/>
    <w:rsid w:val="00B51962"/>
    <w:rsid w:val="00B52E01"/>
    <w:rsid w:val="00B54299"/>
    <w:rsid w:val="00B557C9"/>
    <w:rsid w:val="00B57EB2"/>
    <w:rsid w:val="00B60E75"/>
    <w:rsid w:val="00B634F8"/>
    <w:rsid w:val="00B638E2"/>
    <w:rsid w:val="00B6429D"/>
    <w:rsid w:val="00B71F6B"/>
    <w:rsid w:val="00B73E96"/>
    <w:rsid w:val="00B748B4"/>
    <w:rsid w:val="00B74A84"/>
    <w:rsid w:val="00B80236"/>
    <w:rsid w:val="00B807C0"/>
    <w:rsid w:val="00B8088D"/>
    <w:rsid w:val="00B80F88"/>
    <w:rsid w:val="00B816D4"/>
    <w:rsid w:val="00B81C31"/>
    <w:rsid w:val="00B87E19"/>
    <w:rsid w:val="00B934E0"/>
    <w:rsid w:val="00BA0388"/>
    <w:rsid w:val="00BA1C61"/>
    <w:rsid w:val="00BA21B0"/>
    <w:rsid w:val="00BA2B15"/>
    <w:rsid w:val="00BA2CB3"/>
    <w:rsid w:val="00BA2F01"/>
    <w:rsid w:val="00BA53AE"/>
    <w:rsid w:val="00BA698A"/>
    <w:rsid w:val="00BA6C3F"/>
    <w:rsid w:val="00BA6DC7"/>
    <w:rsid w:val="00BA701B"/>
    <w:rsid w:val="00BA7E30"/>
    <w:rsid w:val="00BB02F2"/>
    <w:rsid w:val="00BB1D38"/>
    <w:rsid w:val="00BB1DBE"/>
    <w:rsid w:val="00BB2F53"/>
    <w:rsid w:val="00BB3C6B"/>
    <w:rsid w:val="00BB4114"/>
    <w:rsid w:val="00BB70C4"/>
    <w:rsid w:val="00BB7905"/>
    <w:rsid w:val="00BB7A07"/>
    <w:rsid w:val="00BB7E26"/>
    <w:rsid w:val="00BC1D16"/>
    <w:rsid w:val="00BC4978"/>
    <w:rsid w:val="00BC6D01"/>
    <w:rsid w:val="00BC6D07"/>
    <w:rsid w:val="00BC6DDD"/>
    <w:rsid w:val="00BC7B23"/>
    <w:rsid w:val="00BC7CCA"/>
    <w:rsid w:val="00BD14B8"/>
    <w:rsid w:val="00BD21A9"/>
    <w:rsid w:val="00BD5863"/>
    <w:rsid w:val="00BD6A5F"/>
    <w:rsid w:val="00BD7698"/>
    <w:rsid w:val="00BE03A9"/>
    <w:rsid w:val="00BE2CC8"/>
    <w:rsid w:val="00BE2DA5"/>
    <w:rsid w:val="00BE4892"/>
    <w:rsid w:val="00BE4B8D"/>
    <w:rsid w:val="00BE775C"/>
    <w:rsid w:val="00BF0417"/>
    <w:rsid w:val="00BF4DCB"/>
    <w:rsid w:val="00BF7048"/>
    <w:rsid w:val="00C005BB"/>
    <w:rsid w:val="00C02E9A"/>
    <w:rsid w:val="00C03D6F"/>
    <w:rsid w:val="00C041BD"/>
    <w:rsid w:val="00C06131"/>
    <w:rsid w:val="00C069EB"/>
    <w:rsid w:val="00C11745"/>
    <w:rsid w:val="00C119F7"/>
    <w:rsid w:val="00C142FD"/>
    <w:rsid w:val="00C15017"/>
    <w:rsid w:val="00C15D51"/>
    <w:rsid w:val="00C16AB5"/>
    <w:rsid w:val="00C1760E"/>
    <w:rsid w:val="00C21FB1"/>
    <w:rsid w:val="00C22937"/>
    <w:rsid w:val="00C25F84"/>
    <w:rsid w:val="00C268A0"/>
    <w:rsid w:val="00C30359"/>
    <w:rsid w:val="00C31D93"/>
    <w:rsid w:val="00C32E1C"/>
    <w:rsid w:val="00C33260"/>
    <w:rsid w:val="00C343DF"/>
    <w:rsid w:val="00C35439"/>
    <w:rsid w:val="00C40CC3"/>
    <w:rsid w:val="00C449A4"/>
    <w:rsid w:val="00C44C05"/>
    <w:rsid w:val="00C474A0"/>
    <w:rsid w:val="00C501FD"/>
    <w:rsid w:val="00C50B19"/>
    <w:rsid w:val="00C511E9"/>
    <w:rsid w:val="00C54561"/>
    <w:rsid w:val="00C54B65"/>
    <w:rsid w:val="00C54FDF"/>
    <w:rsid w:val="00C5730F"/>
    <w:rsid w:val="00C573AF"/>
    <w:rsid w:val="00C574C2"/>
    <w:rsid w:val="00C6034B"/>
    <w:rsid w:val="00C6373C"/>
    <w:rsid w:val="00C646E0"/>
    <w:rsid w:val="00C65F08"/>
    <w:rsid w:val="00C665A2"/>
    <w:rsid w:val="00C67DD1"/>
    <w:rsid w:val="00C70DE8"/>
    <w:rsid w:val="00C73A96"/>
    <w:rsid w:val="00C73D57"/>
    <w:rsid w:val="00C751AF"/>
    <w:rsid w:val="00C751DE"/>
    <w:rsid w:val="00C75288"/>
    <w:rsid w:val="00C7588D"/>
    <w:rsid w:val="00C7770E"/>
    <w:rsid w:val="00C81A71"/>
    <w:rsid w:val="00C83F3C"/>
    <w:rsid w:val="00C84974"/>
    <w:rsid w:val="00C863E2"/>
    <w:rsid w:val="00C87F3F"/>
    <w:rsid w:val="00C942F3"/>
    <w:rsid w:val="00C948F3"/>
    <w:rsid w:val="00CA079C"/>
    <w:rsid w:val="00CA3628"/>
    <w:rsid w:val="00CA4446"/>
    <w:rsid w:val="00CA4F10"/>
    <w:rsid w:val="00CA6750"/>
    <w:rsid w:val="00CA6BFC"/>
    <w:rsid w:val="00CA6F43"/>
    <w:rsid w:val="00CA7CDF"/>
    <w:rsid w:val="00CB0381"/>
    <w:rsid w:val="00CB2874"/>
    <w:rsid w:val="00CB4080"/>
    <w:rsid w:val="00CB5A84"/>
    <w:rsid w:val="00CB5F3C"/>
    <w:rsid w:val="00CC22E1"/>
    <w:rsid w:val="00CC3927"/>
    <w:rsid w:val="00CC45D4"/>
    <w:rsid w:val="00CC70CA"/>
    <w:rsid w:val="00CC7C46"/>
    <w:rsid w:val="00CD0AB9"/>
    <w:rsid w:val="00CD0E6C"/>
    <w:rsid w:val="00CD27EC"/>
    <w:rsid w:val="00CD33F8"/>
    <w:rsid w:val="00CD3C5C"/>
    <w:rsid w:val="00CD557C"/>
    <w:rsid w:val="00CD5B81"/>
    <w:rsid w:val="00CD61F0"/>
    <w:rsid w:val="00CE2673"/>
    <w:rsid w:val="00CE27BE"/>
    <w:rsid w:val="00CE57FB"/>
    <w:rsid w:val="00CE60F2"/>
    <w:rsid w:val="00CE6591"/>
    <w:rsid w:val="00CE6C62"/>
    <w:rsid w:val="00CE7E04"/>
    <w:rsid w:val="00CF017B"/>
    <w:rsid w:val="00CF0250"/>
    <w:rsid w:val="00CF088B"/>
    <w:rsid w:val="00CF55F6"/>
    <w:rsid w:val="00CF7CFD"/>
    <w:rsid w:val="00D0003A"/>
    <w:rsid w:val="00D01446"/>
    <w:rsid w:val="00D01502"/>
    <w:rsid w:val="00D03D10"/>
    <w:rsid w:val="00D13048"/>
    <w:rsid w:val="00D14B78"/>
    <w:rsid w:val="00D15386"/>
    <w:rsid w:val="00D217B8"/>
    <w:rsid w:val="00D22468"/>
    <w:rsid w:val="00D224D2"/>
    <w:rsid w:val="00D23224"/>
    <w:rsid w:val="00D26F51"/>
    <w:rsid w:val="00D303A5"/>
    <w:rsid w:val="00D30BC4"/>
    <w:rsid w:val="00D31F7D"/>
    <w:rsid w:val="00D3329A"/>
    <w:rsid w:val="00D34BA0"/>
    <w:rsid w:val="00D35DA4"/>
    <w:rsid w:val="00D41E65"/>
    <w:rsid w:val="00D44567"/>
    <w:rsid w:val="00D44D14"/>
    <w:rsid w:val="00D4553F"/>
    <w:rsid w:val="00D46419"/>
    <w:rsid w:val="00D472CA"/>
    <w:rsid w:val="00D50B68"/>
    <w:rsid w:val="00D526C0"/>
    <w:rsid w:val="00D5454E"/>
    <w:rsid w:val="00D55052"/>
    <w:rsid w:val="00D55A36"/>
    <w:rsid w:val="00D56FE3"/>
    <w:rsid w:val="00D615BF"/>
    <w:rsid w:val="00D61630"/>
    <w:rsid w:val="00D63891"/>
    <w:rsid w:val="00D63B52"/>
    <w:rsid w:val="00D63E82"/>
    <w:rsid w:val="00D64D83"/>
    <w:rsid w:val="00D65FAC"/>
    <w:rsid w:val="00D66F2B"/>
    <w:rsid w:val="00D670D2"/>
    <w:rsid w:val="00D678DA"/>
    <w:rsid w:val="00D7012F"/>
    <w:rsid w:val="00D723F2"/>
    <w:rsid w:val="00D72947"/>
    <w:rsid w:val="00D766A0"/>
    <w:rsid w:val="00D76EFB"/>
    <w:rsid w:val="00D76F24"/>
    <w:rsid w:val="00D83B27"/>
    <w:rsid w:val="00D84242"/>
    <w:rsid w:val="00D8622E"/>
    <w:rsid w:val="00D86D99"/>
    <w:rsid w:val="00D8722A"/>
    <w:rsid w:val="00D87DFB"/>
    <w:rsid w:val="00D91B09"/>
    <w:rsid w:val="00D9336E"/>
    <w:rsid w:val="00D9414B"/>
    <w:rsid w:val="00D94195"/>
    <w:rsid w:val="00D94648"/>
    <w:rsid w:val="00D94AAD"/>
    <w:rsid w:val="00D94C35"/>
    <w:rsid w:val="00DA0B8F"/>
    <w:rsid w:val="00DA2B5C"/>
    <w:rsid w:val="00DA4D51"/>
    <w:rsid w:val="00DA5703"/>
    <w:rsid w:val="00DA571A"/>
    <w:rsid w:val="00DA5C6D"/>
    <w:rsid w:val="00DA6090"/>
    <w:rsid w:val="00DA6410"/>
    <w:rsid w:val="00DA6726"/>
    <w:rsid w:val="00DB0638"/>
    <w:rsid w:val="00DB34F9"/>
    <w:rsid w:val="00DB3F7E"/>
    <w:rsid w:val="00DB7B55"/>
    <w:rsid w:val="00DC144D"/>
    <w:rsid w:val="00DC1A3B"/>
    <w:rsid w:val="00DC1EBD"/>
    <w:rsid w:val="00DC21B8"/>
    <w:rsid w:val="00DC65CA"/>
    <w:rsid w:val="00DC6987"/>
    <w:rsid w:val="00DD1C27"/>
    <w:rsid w:val="00DD5723"/>
    <w:rsid w:val="00DD710C"/>
    <w:rsid w:val="00DE2A3E"/>
    <w:rsid w:val="00DE3870"/>
    <w:rsid w:val="00DE5B03"/>
    <w:rsid w:val="00DE6221"/>
    <w:rsid w:val="00DE6D5F"/>
    <w:rsid w:val="00DF0479"/>
    <w:rsid w:val="00DF1EB3"/>
    <w:rsid w:val="00DF5218"/>
    <w:rsid w:val="00DF5A7E"/>
    <w:rsid w:val="00DF5DB2"/>
    <w:rsid w:val="00E00BE4"/>
    <w:rsid w:val="00E0126E"/>
    <w:rsid w:val="00E02067"/>
    <w:rsid w:val="00E02458"/>
    <w:rsid w:val="00E03B0C"/>
    <w:rsid w:val="00E042DC"/>
    <w:rsid w:val="00E1207B"/>
    <w:rsid w:val="00E148D7"/>
    <w:rsid w:val="00E152F0"/>
    <w:rsid w:val="00E15E61"/>
    <w:rsid w:val="00E177DA"/>
    <w:rsid w:val="00E22BEC"/>
    <w:rsid w:val="00E24499"/>
    <w:rsid w:val="00E24673"/>
    <w:rsid w:val="00E2494E"/>
    <w:rsid w:val="00E25FEA"/>
    <w:rsid w:val="00E27614"/>
    <w:rsid w:val="00E30E39"/>
    <w:rsid w:val="00E33F9B"/>
    <w:rsid w:val="00E35779"/>
    <w:rsid w:val="00E3742D"/>
    <w:rsid w:val="00E4035D"/>
    <w:rsid w:val="00E411F3"/>
    <w:rsid w:val="00E4245D"/>
    <w:rsid w:val="00E50C6A"/>
    <w:rsid w:val="00E513D3"/>
    <w:rsid w:val="00E52AD3"/>
    <w:rsid w:val="00E545C6"/>
    <w:rsid w:val="00E54F14"/>
    <w:rsid w:val="00E5672E"/>
    <w:rsid w:val="00E6221D"/>
    <w:rsid w:val="00E66A10"/>
    <w:rsid w:val="00E6740B"/>
    <w:rsid w:val="00E71328"/>
    <w:rsid w:val="00E71D46"/>
    <w:rsid w:val="00E72532"/>
    <w:rsid w:val="00E7558A"/>
    <w:rsid w:val="00E77CE9"/>
    <w:rsid w:val="00E808A8"/>
    <w:rsid w:val="00E80C84"/>
    <w:rsid w:val="00E8425F"/>
    <w:rsid w:val="00E8468F"/>
    <w:rsid w:val="00E85326"/>
    <w:rsid w:val="00E928EC"/>
    <w:rsid w:val="00E92A6E"/>
    <w:rsid w:val="00E95135"/>
    <w:rsid w:val="00E95591"/>
    <w:rsid w:val="00E96501"/>
    <w:rsid w:val="00EA243E"/>
    <w:rsid w:val="00EA2C5E"/>
    <w:rsid w:val="00EA3791"/>
    <w:rsid w:val="00EA5ACE"/>
    <w:rsid w:val="00EB1A8D"/>
    <w:rsid w:val="00EB385B"/>
    <w:rsid w:val="00EB5005"/>
    <w:rsid w:val="00EB53B4"/>
    <w:rsid w:val="00EB6FA8"/>
    <w:rsid w:val="00EB71EB"/>
    <w:rsid w:val="00EC0015"/>
    <w:rsid w:val="00EC0C57"/>
    <w:rsid w:val="00EC139D"/>
    <w:rsid w:val="00EC1E70"/>
    <w:rsid w:val="00EC2FB2"/>
    <w:rsid w:val="00EC4C19"/>
    <w:rsid w:val="00EC56DC"/>
    <w:rsid w:val="00EC72AB"/>
    <w:rsid w:val="00EC7D10"/>
    <w:rsid w:val="00ED0CD3"/>
    <w:rsid w:val="00ED127D"/>
    <w:rsid w:val="00ED1631"/>
    <w:rsid w:val="00ED342F"/>
    <w:rsid w:val="00ED3DA7"/>
    <w:rsid w:val="00ED484E"/>
    <w:rsid w:val="00ED4AF4"/>
    <w:rsid w:val="00ED57EB"/>
    <w:rsid w:val="00ED66A0"/>
    <w:rsid w:val="00ED7166"/>
    <w:rsid w:val="00EE1622"/>
    <w:rsid w:val="00EE4787"/>
    <w:rsid w:val="00EE693C"/>
    <w:rsid w:val="00EF1052"/>
    <w:rsid w:val="00EF2B74"/>
    <w:rsid w:val="00EF6974"/>
    <w:rsid w:val="00F0221A"/>
    <w:rsid w:val="00F025EC"/>
    <w:rsid w:val="00F03284"/>
    <w:rsid w:val="00F03417"/>
    <w:rsid w:val="00F07408"/>
    <w:rsid w:val="00F10229"/>
    <w:rsid w:val="00F13363"/>
    <w:rsid w:val="00F13388"/>
    <w:rsid w:val="00F13EFE"/>
    <w:rsid w:val="00F147E6"/>
    <w:rsid w:val="00F15632"/>
    <w:rsid w:val="00F2045B"/>
    <w:rsid w:val="00F23A7B"/>
    <w:rsid w:val="00F24BCE"/>
    <w:rsid w:val="00F257C8"/>
    <w:rsid w:val="00F257DF"/>
    <w:rsid w:val="00F3012E"/>
    <w:rsid w:val="00F30EC6"/>
    <w:rsid w:val="00F337A5"/>
    <w:rsid w:val="00F41EA2"/>
    <w:rsid w:val="00F4442E"/>
    <w:rsid w:val="00F444D0"/>
    <w:rsid w:val="00F45FEC"/>
    <w:rsid w:val="00F466EF"/>
    <w:rsid w:val="00F47C6F"/>
    <w:rsid w:val="00F50C80"/>
    <w:rsid w:val="00F53E5D"/>
    <w:rsid w:val="00F54659"/>
    <w:rsid w:val="00F55890"/>
    <w:rsid w:val="00F57879"/>
    <w:rsid w:val="00F6192A"/>
    <w:rsid w:val="00F62F72"/>
    <w:rsid w:val="00F635C1"/>
    <w:rsid w:val="00F665D2"/>
    <w:rsid w:val="00F6666D"/>
    <w:rsid w:val="00F705A5"/>
    <w:rsid w:val="00F7211E"/>
    <w:rsid w:val="00F7261D"/>
    <w:rsid w:val="00F72918"/>
    <w:rsid w:val="00F74E79"/>
    <w:rsid w:val="00F754E4"/>
    <w:rsid w:val="00F75EC1"/>
    <w:rsid w:val="00F76043"/>
    <w:rsid w:val="00F7622B"/>
    <w:rsid w:val="00F76A9C"/>
    <w:rsid w:val="00F820A8"/>
    <w:rsid w:val="00F8308C"/>
    <w:rsid w:val="00F84DD2"/>
    <w:rsid w:val="00F85764"/>
    <w:rsid w:val="00F86BEB"/>
    <w:rsid w:val="00F8721E"/>
    <w:rsid w:val="00F917EC"/>
    <w:rsid w:val="00F956D1"/>
    <w:rsid w:val="00FA4B41"/>
    <w:rsid w:val="00FA546A"/>
    <w:rsid w:val="00FA62CF"/>
    <w:rsid w:val="00FA652D"/>
    <w:rsid w:val="00FA6FF6"/>
    <w:rsid w:val="00FB2D0F"/>
    <w:rsid w:val="00FB2F84"/>
    <w:rsid w:val="00FB3129"/>
    <w:rsid w:val="00FB42DF"/>
    <w:rsid w:val="00FB44F8"/>
    <w:rsid w:val="00FB5E1B"/>
    <w:rsid w:val="00FC2197"/>
    <w:rsid w:val="00FC21BB"/>
    <w:rsid w:val="00FC3E23"/>
    <w:rsid w:val="00FC5BD0"/>
    <w:rsid w:val="00FC5C52"/>
    <w:rsid w:val="00FC7327"/>
    <w:rsid w:val="00FC7E71"/>
    <w:rsid w:val="00FD05AA"/>
    <w:rsid w:val="00FD308C"/>
    <w:rsid w:val="00FD62B3"/>
    <w:rsid w:val="00FD6799"/>
    <w:rsid w:val="00FD6E9D"/>
    <w:rsid w:val="00FE02F1"/>
    <w:rsid w:val="00FE0BF4"/>
    <w:rsid w:val="00FE178B"/>
    <w:rsid w:val="00FE33C5"/>
    <w:rsid w:val="00FE35F5"/>
    <w:rsid w:val="00FE5350"/>
    <w:rsid w:val="00FE5796"/>
    <w:rsid w:val="00FE6C18"/>
    <w:rsid w:val="00FF06D8"/>
    <w:rsid w:val="00FF1611"/>
    <w:rsid w:val="00FF1DFF"/>
    <w:rsid w:val="00FF2C6C"/>
    <w:rsid w:val="00FF3AD1"/>
    <w:rsid w:val="00FF3BD3"/>
    <w:rsid w:val="00FF3F90"/>
    <w:rsid w:val="00FF4CB2"/>
    <w:rsid w:val="00FF5441"/>
    <w:rsid w:val="00FF631F"/>
    <w:rsid w:val="00FF6D4B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1963"/>
  <w15:docId w15:val="{B664CBE8-9983-40D6-9AA9-346D2BE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0388"/>
    <w:pPr>
      <w:suppressAutoHyphens/>
      <w:spacing w:before="0" w:after="12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5796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5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56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0B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796"/>
    <w:rPr>
      <w:rFonts w:ascii="Arial" w:eastAsia="Times New Roman" w:hAnsi="Arial" w:cs="Calibri"/>
      <w:b/>
      <w:bCs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E5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Znakapoznpodarou">
    <w:name w:val="footnote reference"/>
    <w:aliases w:val="12 b.,PGI Fußnote Ziffer,PGI Fußnote Ziffer + Times New Roman,Zúžené o ...,number"/>
    <w:uiPriority w:val="99"/>
    <w:rsid w:val="00FE5796"/>
    <w:rPr>
      <w:vertAlign w:val="superscript"/>
    </w:rPr>
  </w:style>
  <w:style w:type="paragraph" w:styleId="Zkladntext">
    <w:name w:val="Body Text"/>
    <w:basedOn w:val="Normln"/>
    <w:link w:val="ZkladntextChar"/>
    <w:semiHidden/>
    <w:rsid w:val="00FE5796"/>
    <w:pPr>
      <w:spacing w:line="36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FE5796"/>
    <w:rPr>
      <w:rFonts w:ascii="Arial" w:eastAsia="Times New Roman" w:hAnsi="Arial" w:cs="Calibri"/>
      <w:szCs w:val="24"/>
      <w:lang w:eastAsia="ar-SA"/>
    </w:rPr>
  </w:style>
  <w:style w:type="paragraph" w:styleId="Textpoznpodarou">
    <w:name w:val="footnote text"/>
    <w:aliases w:val="fn,Footnote,Podrozdzia3,Podrozdział,Schriftart: 10 pt,Schriftart: 8 pt,Schriftart: 9 pt,pozn. pod čarou"/>
    <w:basedOn w:val="Normln"/>
    <w:link w:val="TextpoznpodarouChar"/>
    <w:uiPriority w:val="99"/>
    <w:rsid w:val="00FE5796"/>
    <w:rPr>
      <w:sz w:val="20"/>
      <w:szCs w:val="20"/>
    </w:rPr>
  </w:style>
  <w:style w:type="character" w:customStyle="1" w:styleId="TextpoznpodarouChar">
    <w:name w:val="Text pozn. pod čarou Char"/>
    <w:aliases w:val="fn Char,Footnote Char,Podrozdzia3 Char,Podrozdział Char,Schriftart: 10 pt Char,Schriftart: 8 pt Char,Schriftart: 9 pt Char,pozn. pod čarou Char"/>
    <w:basedOn w:val="Standardnpsmoodstavce"/>
    <w:link w:val="Textpoznpodarou"/>
    <w:uiPriority w:val="99"/>
    <w:rsid w:val="00FE5796"/>
    <w:rPr>
      <w:rFonts w:ascii="Arial" w:eastAsia="Times New Roman" w:hAnsi="Arial" w:cs="Calibri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796"/>
    <w:rPr>
      <w:rFonts w:ascii="Arial" w:eastAsia="Times New Roman" w:hAnsi="Arial" w:cs="Calibri"/>
      <w:szCs w:val="24"/>
      <w:lang w:eastAsia="ar-SA"/>
    </w:rPr>
  </w:style>
  <w:style w:type="paragraph" w:styleId="Odstavecseseznamem">
    <w:name w:val="List Paragraph"/>
    <w:aliases w:val="List Paragraph (Czech Tourism),List Paragraph1,List Paragraph_0,List Paragraph_0_0,Nad,Nad1,Nad2,Nadpis pro KZ,Odstavec cíl se seznamem,Odstavec se seznamem5,Odstavec_muj,Odstavec_muj1,Odstavec_muj2,Odstavec_muj3,můj Nadpis 2"/>
    <w:basedOn w:val="Normln"/>
    <w:link w:val="OdstavecseseznamemChar"/>
    <w:uiPriority w:val="34"/>
    <w:qFormat/>
    <w:rsid w:val="00FE579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FD62B3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641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6419"/>
    <w:rPr>
      <w:rFonts w:ascii="Arial" w:eastAsia="Times New Roman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D46419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B7B55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B7B55"/>
    <w:rPr>
      <w:rFonts w:ascii="Arial" w:eastAsia="Times New Roman" w:hAnsi="Arial" w:cs="Calibri"/>
      <w:sz w:val="16"/>
      <w:szCs w:val="1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9E56C9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3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F9B"/>
    <w:rPr>
      <w:rFonts w:ascii="Arial" w:eastAsia="Times New Roman" w:hAnsi="Arial" w:cs="Calibri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0B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DA0B8F"/>
    <w:pPr>
      <w:spacing w:before="0" w:line="240" w:lineRule="auto"/>
      <w:jc w:val="left"/>
    </w:pPr>
    <w:rPr>
      <w:rFonts w:ascii="Arial" w:eastAsia="Calibri" w:hAnsi="Arial" w:cs="Times New Roman"/>
    </w:rPr>
  </w:style>
  <w:style w:type="character" w:customStyle="1" w:styleId="BezmezerChar">
    <w:name w:val="Bez mezer Char"/>
    <w:link w:val="Bezmezer"/>
    <w:uiPriority w:val="1"/>
    <w:rsid w:val="00DA0B8F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dstavecseseznamemChar">
    <w:name w:val="Odstavec se seznamem Char"/>
    <w:aliases w:val="List Paragraph (Czech Tourism) Char,List Paragraph1 Char,List Paragraph_0 Char,List Paragraph_0_0 Char,Nad Char,Nad1 Char,Nad2 Char,Nadpis pro KZ Char,Odstavec cíl se seznamem Char,Odstavec se seznamem5 Char,Odstavec_muj Char"/>
    <w:link w:val="Odstavecseseznamem"/>
    <w:uiPriority w:val="34"/>
    <w:locked/>
    <w:rsid w:val="00BA701B"/>
    <w:rPr>
      <w:rFonts w:ascii="Arial" w:eastAsia="Times New Roman" w:hAnsi="Arial" w:cs="Calibri"/>
      <w:szCs w:val="24"/>
      <w:lang w:eastAsia="ar-SA"/>
    </w:rPr>
  </w:style>
  <w:style w:type="character" w:styleId="Hypertextovodkaz">
    <w:name w:val="Hyperlink"/>
    <w:uiPriority w:val="99"/>
    <w:rsid w:val="00227EE3"/>
    <w:rPr>
      <w:color w:val="0000FF"/>
      <w:u w:val="single"/>
    </w:rPr>
  </w:style>
  <w:style w:type="numbering" w:customStyle="1" w:styleId="Styl5">
    <w:name w:val="Styl5"/>
    <w:uiPriority w:val="99"/>
    <w:rsid w:val="00010103"/>
    <w:pPr>
      <w:numPr>
        <w:numId w:val="1"/>
      </w:numPr>
    </w:pPr>
  </w:style>
  <w:style w:type="paragraph" w:styleId="Normlnweb">
    <w:name w:val="Normal (Web)"/>
    <w:basedOn w:val="Normln"/>
    <w:uiPriority w:val="99"/>
    <w:rsid w:val="00A20FF4"/>
    <w:pPr>
      <w:suppressAutoHyphens w:val="0"/>
      <w:spacing w:after="0" w:line="240" w:lineRule="auto"/>
      <w:jc w:val="left"/>
    </w:pPr>
    <w:rPr>
      <w:rFonts w:cs="Times New Roman"/>
      <w:szCs w:val="20"/>
      <w:lang w:eastAsia="cs-CZ"/>
    </w:rPr>
  </w:style>
  <w:style w:type="character" w:customStyle="1" w:styleId="eop">
    <w:name w:val="eop"/>
    <w:basedOn w:val="Standardnpsmoodstavce"/>
    <w:rsid w:val="00A54CCC"/>
  </w:style>
  <w:style w:type="paragraph" w:customStyle="1" w:styleId="Poznmkapodarou">
    <w:name w:val="Poznámka pod čarou"/>
    <w:basedOn w:val="Textpoznpodarou"/>
    <w:link w:val="PoznmkapodarouChar"/>
    <w:qFormat/>
    <w:rsid w:val="00A54CCC"/>
    <w:pPr>
      <w:suppressAutoHyphens w:val="0"/>
      <w:spacing w:after="0" w:line="240" w:lineRule="auto"/>
    </w:pPr>
    <w:rPr>
      <w:lang w:val="en-GB"/>
    </w:rPr>
  </w:style>
  <w:style w:type="character" w:customStyle="1" w:styleId="PoznmkapodarouChar">
    <w:name w:val="Poznámka pod čarou Char"/>
    <w:basedOn w:val="TextpoznpodarouChar"/>
    <w:link w:val="Poznmkapodarou"/>
    <w:rsid w:val="00A54CCC"/>
    <w:rPr>
      <w:rFonts w:ascii="Arial" w:eastAsia="Times New Roman" w:hAnsi="Arial" w:cs="Calibri"/>
      <w:sz w:val="20"/>
      <w:szCs w:val="20"/>
      <w:lang w:val="en-GB" w:eastAsia="ar-SA"/>
    </w:rPr>
  </w:style>
  <w:style w:type="paragraph" w:customStyle="1" w:styleId="paragraph">
    <w:name w:val="paragraph"/>
    <w:basedOn w:val="Normln"/>
    <w:rsid w:val="00A54CCC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A54CCC"/>
  </w:style>
  <w:style w:type="table" w:styleId="Mkatabulky">
    <w:name w:val="Table Grid"/>
    <w:basedOn w:val="Normlntabulka"/>
    <w:uiPriority w:val="39"/>
    <w:rsid w:val="004307F6"/>
    <w:pPr>
      <w:autoSpaceDN w:val="0"/>
      <w:spacing w:before="0" w:line="240" w:lineRule="auto"/>
      <w:jc w:val="left"/>
      <w:textAlignment w:val="baseline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0A0B"/>
    <w:pPr>
      <w:autoSpaceDE w:val="0"/>
      <w:autoSpaceDN w:val="0"/>
      <w:adjustRightInd w:val="0"/>
      <w:spacing w:before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Tmavtabulkaseznamu5zvraznn1">
    <w:name w:val="List Table 5 Dark Accent 1"/>
    <w:basedOn w:val="Normlntabulka"/>
    <w:uiPriority w:val="50"/>
    <w:rsid w:val="004A0AD1"/>
    <w:pPr>
      <w:spacing w:before="0"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nil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7F5AC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14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47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47E6"/>
    <w:rPr>
      <w:rFonts w:ascii="Arial" w:eastAsia="Times New Roman" w:hAnsi="Arial" w:cs="Calibri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10B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10BE1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FE6"/>
    <w:rPr>
      <w:rFonts w:ascii="Arial" w:eastAsia="Times New Roman" w:hAnsi="Arial" w:cs="Calibri"/>
      <w:b/>
      <w:bCs/>
      <w:sz w:val="20"/>
      <w:szCs w:val="20"/>
      <w:lang w:eastAsia="ar-SA"/>
    </w:rPr>
  </w:style>
  <w:style w:type="paragraph" w:customStyle="1" w:styleId="l3">
    <w:name w:val="l3"/>
    <w:basedOn w:val="Normln"/>
    <w:rsid w:val="00F8308C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l4">
    <w:name w:val="l4"/>
    <w:basedOn w:val="Normln"/>
    <w:rsid w:val="00F8308C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8308C"/>
    <w:rPr>
      <w:i/>
      <w:iCs/>
    </w:rPr>
  </w:style>
  <w:style w:type="paragraph" w:customStyle="1" w:styleId="l5">
    <w:name w:val="l5"/>
    <w:basedOn w:val="Normln"/>
    <w:rsid w:val="00F8308C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cs-CZ"/>
    </w:rPr>
  </w:style>
  <w:style w:type="character" w:customStyle="1" w:styleId="TextKPChar">
    <w:name w:val="Text KP Char"/>
    <w:basedOn w:val="Standardnpsmoodstavce"/>
    <w:link w:val="TextKP"/>
    <w:locked/>
    <w:rsid w:val="00D5454E"/>
    <w:rPr>
      <w:rFonts w:cstheme="minorHAnsi"/>
    </w:rPr>
  </w:style>
  <w:style w:type="paragraph" w:customStyle="1" w:styleId="TextKP">
    <w:name w:val="Text KP"/>
    <w:basedOn w:val="Normln"/>
    <w:link w:val="TextKPChar"/>
    <w:qFormat/>
    <w:rsid w:val="00D5454E"/>
    <w:pPr>
      <w:suppressAutoHyphens w:val="0"/>
      <w:spacing w:before="120" w:after="0" w:line="240" w:lineRule="auto"/>
    </w:pPr>
    <w:rPr>
      <w:rFonts w:asciiTheme="minorHAnsi" w:eastAsiaTheme="minorHAnsi" w:hAnsiTheme="minorHAnsi" w:cs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gram.com/1p32xdwnnw7rygu0q971z7153wud33lnqjj?liv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gram.com/1p32xdwnnw7rygu0q971z7153wud33lnqjj?li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cal_HAMPLOVA\INetCache\Content.Outlook\GMSCGQRO\Se&#353;i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Výnosy z vlastní činnosti</c:v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List1!$A$15:$B$20</c:f>
              <c:multiLvlStrCache>
                <c:ptCount val="6"/>
                <c:lvl>
                  <c:pt idx="0">
                    <c:v>2020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2020</c:v>
                  </c:pt>
                  <c:pt idx="4">
                    <c:v>2019</c:v>
                  </c:pt>
                  <c:pt idx="5">
                    <c:v>2018</c:v>
                  </c:pt>
                </c:lvl>
                <c:lvl>
                  <c:pt idx="0">
                    <c:v>UPM</c:v>
                  </c:pt>
                  <c:pt idx="3">
                    <c:v>NG</c:v>
                  </c:pt>
                </c:lvl>
              </c:multiLvlStrCache>
            </c:multiLvlStrRef>
          </c:cat>
          <c:val>
            <c:numRef>
              <c:f>List1!$C$15:$C$20</c:f>
              <c:numCache>
                <c:formatCode>#,##0</c:formatCode>
                <c:ptCount val="6"/>
                <c:pt idx="0">
                  <c:v>9617</c:v>
                </c:pt>
                <c:pt idx="1">
                  <c:v>26172</c:v>
                </c:pt>
                <c:pt idx="2">
                  <c:v>24877</c:v>
                </c:pt>
                <c:pt idx="3">
                  <c:v>46230</c:v>
                </c:pt>
                <c:pt idx="4">
                  <c:v>152238</c:v>
                </c:pt>
                <c:pt idx="5">
                  <c:v>106690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4-4C72-814A-1D8D16C0B94D}"/>
            </c:ext>
          </c:extLst>
        </c:ser>
        <c:ser>
          <c:idx val="1"/>
          <c:order val="1"/>
          <c:tx>
            <c:v>Celkové výnosy</c:v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List1!$A$15:$B$20</c:f>
              <c:multiLvlStrCache>
                <c:ptCount val="6"/>
                <c:lvl>
                  <c:pt idx="0">
                    <c:v>2020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2020</c:v>
                  </c:pt>
                  <c:pt idx="4">
                    <c:v>2019</c:v>
                  </c:pt>
                  <c:pt idx="5">
                    <c:v>2018</c:v>
                  </c:pt>
                </c:lvl>
                <c:lvl>
                  <c:pt idx="0">
                    <c:v>UPM</c:v>
                  </c:pt>
                  <c:pt idx="3">
                    <c:v>NG</c:v>
                  </c:pt>
                </c:lvl>
              </c:multiLvlStrCache>
            </c:multiLvlStrRef>
          </c:cat>
          <c:val>
            <c:numRef>
              <c:f>List1!$D$15:$D$20</c:f>
              <c:numCache>
                <c:formatCode>#,##0</c:formatCode>
                <c:ptCount val="6"/>
                <c:pt idx="0">
                  <c:v>112983</c:v>
                </c:pt>
                <c:pt idx="1">
                  <c:v>126142</c:v>
                </c:pt>
                <c:pt idx="2">
                  <c:v>120661</c:v>
                </c:pt>
                <c:pt idx="3">
                  <c:v>426259</c:v>
                </c:pt>
                <c:pt idx="4">
                  <c:v>474409</c:v>
                </c:pt>
                <c:pt idx="5">
                  <c:v>444168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34-4C72-814A-1D8D16C0B9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51028543"/>
        <c:axId val="1155175087"/>
      </c:barChart>
      <c:catAx>
        <c:axId val="1151028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55175087"/>
        <c:crosses val="autoZero"/>
        <c:auto val="1"/>
        <c:lblAlgn val="ctr"/>
        <c:lblOffset val="100"/>
        <c:noMultiLvlLbl val="0"/>
      </c:catAx>
      <c:valAx>
        <c:axId val="11551750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51028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8FD8-E540-4175-918D-3117AE4D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7193</Words>
  <Characters>42442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21/10 - Majetek a peněžní prostředky státu, se kterými jsou příslušné hospodařit vybrané příspěvkové organizace Ministerstva kultury</vt:lpstr>
    </vt:vector>
  </TitlesOfParts>
  <Company>NKU</Company>
  <LinksUpToDate>false</LinksUpToDate>
  <CharactersWithSpaces>49536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21/10 - Majetek a peněžní prostředky státu, se kterými jsou příslušné hospodařit vybrané příspěvkové organizace Ministerstva kultury</dc:title>
  <dc:subject>Kontrolní závěr z kontrolní akce NKÚ č. 21/10 - Majetek a peněžní prostředky státu, se kterými jsou příslušné hospodařit vybrané příspěvkové organizace Ministerstva kultury</dc:subject>
  <dc:creator>Nejvyšší kontrolní úřad</dc:creator>
  <cp:lastModifiedBy>KOKRDA Daniel</cp:lastModifiedBy>
  <cp:revision>4</cp:revision>
  <cp:lastPrinted>2022-06-09T07:15:00Z</cp:lastPrinted>
  <dcterms:created xsi:type="dcterms:W3CDTF">2022-06-09T07:14:00Z</dcterms:created>
  <dcterms:modified xsi:type="dcterms:W3CDTF">2022-06-09T07:31:00Z</dcterms:modified>
</cp:coreProperties>
</file>