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842" w14:textId="77777777" w:rsidR="00AB3724" w:rsidRPr="009E560F" w:rsidRDefault="00AB3724" w:rsidP="003639C6">
      <w:pPr>
        <w:jc w:val="center"/>
      </w:pPr>
      <w:bookmarkStart w:id="0" w:name="_GoBack"/>
      <w:bookmarkEnd w:id="0"/>
      <w:r w:rsidRPr="009E560F">
        <w:rPr>
          <w:noProof/>
          <w:lang w:eastAsia="cs-CZ"/>
        </w:rPr>
        <w:drawing>
          <wp:anchor distT="0" distB="0" distL="114300" distR="114300" simplePos="0" relativeHeight="251658240" behindDoc="0" locked="0" layoutInCell="1" allowOverlap="1" wp14:anchorId="396DB1D3" wp14:editId="404BC1BF">
            <wp:simplePos x="0" y="0"/>
            <wp:positionH relativeFrom="margin">
              <wp:posOffset>2520315</wp:posOffset>
            </wp:positionH>
            <wp:positionV relativeFrom="paragraph">
              <wp:posOffset>0</wp:posOffset>
            </wp:positionV>
            <wp:extent cx="763905" cy="53975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3905" cy="539750"/>
                    </a:xfrm>
                    <a:prstGeom prst="rect">
                      <a:avLst/>
                    </a:prstGeom>
                    <a:noFill/>
                  </pic:spPr>
                </pic:pic>
              </a:graphicData>
            </a:graphic>
          </wp:anchor>
        </w:drawing>
      </w:r>
    </w:p>
    <w:p w14:paraId="196289FB" w14:textId="77777777" w:rsidR="00AB3724" w:rsidRPr="009E560F" w:rsidRDefault="00AB3724" w:rsidP="003639C6">
      <w:pPr>
        <w:jc w:val="center"/>
      </w:pPr>
    </w:p>
    <w:p w14:paraId="74541907" w14:textId="77777777" w:rsidR="00AB3724" w:rsidRPr="0010177B" w:rsidRDefault="00AB3724" w:rsidP="003639C6">
      <w:pPr>
        <w:jc w:val="center"/>
        <w:rPr>
          <w:b/>
          <w:sz w:val="28"/>
          <w:szCs w:val="28"/>
        </w:rPr>
      </w:pPr>
      <w:r w:rsidRPr="0010177B">
        <w:rPr>
          <w:b/>
          <w:sz w:val="28"/>
          <w:szCs w:val="28"/>
        </w:rPr>
        <w:t>Kontrolní závěr z kontrolní akce</w:t>
      </w:r>
    </w:p>
    <w:p w14:paraId="5951203F" w14:textId="77777777" w:rsidR="00AB3724" w:rsidRPr="009E560F" w:rsidRDefault="00AB3724" w:rsidP="003639C6">
      <w:pPr>
        <w:jc w:val="center"/>
      </w:pPr>
    </w:p>
    <w:p w14:paraId="184EF0B9" w14:textId="128F7F86" w:rsidR="00AB3724" w:rsidRDefault="00E729C2" w:rsidP="003639C6">
      <w:pPr>
        <w:jc w:val="center"/>
        <w:rPr>
          <w:b/>
          <w:sz w:val="28"/>
          <w:szCs w:val="28"/>
        </w:rPr>
      </w:pPr>
      <w:r>
        <w:rPr>
          <w:b/>
          <w:sz w:val="28"/>
          <w:szCs w:val="28"/>
        </w:rPr>
        <w:t>22/21</w:t>
      </w:r>
    </w:p>
    <w:p w14:paraId="2775A8E6" w14:textId="77777777" w:rsidR="00AB3724" w:rsidRPr="009E560F" w:rsidRDefault="00AB3724" w:rsidP="003639C6">
      <w:pPr>
        <w:jc w:val="center"/>
      </w:pPr>
    </w:p>
    <w:p w14:paraId="172BF666" w14:textId="00B9D8B4" w:rsidR="00E729C2" w:rsidRDefault="00E729C2" w:rsidP="00E729C2">
      <w:pPr>
        <w:jc w:val="center"/>
        <w:rPr>
          <w:b/>
          <w:sz w:val="28"/>
          <w:szCs w:val="28"/>
        </w:rPr>
      </w:pPr>
      <w:r w:rsidRPr="00E729C2">
        <w:rPr>
          <w:b/>
          <w:sz w:val="28"/>
          <w:szCs w:val="28"/>
        </w:rPr>
        <w:t>Peněžní prostředky státního rozpočtu</w:t>
      </w:r>
    </w:p>
    <w:p w14:paraId="4FA1795E" w14:textId="74BB24CA" w:rsidR="00E729C2" w:rsidRDefault="00E729C2" w:rsidP="00E729C2">
      <w:pPr>
        <w:jc w:val="center"/>
        <w:rPr>
          <w:b/>
          <w:sz w:val="28"/>
          <w:szCs w:val="28"/>
        </w:rPr>
      </w:pPr>
      <w:r w:rsidRPr="00E729C2">
        <w:rPr>
          <w:b/>
          <w:sz w:val="28"/>
          <w:szCs w:val="28"/>
        </w:rPr>
        <w:t>poskytované Ministerstvem průmyslu a obchodu</w:t>
      </w:r>
    </w:p>
    <w:p w14:paraId="6FB61411" w14:textId="0C9873DC" w:rsidR="00BC5A0B" w:rsidRPr="00E729C2" w:rsidRDefault="00E729C2" w:rsidP="00E729C2">
      <w:pPr>
        <w:jc w:val="center"/>
        <w:rPr>
          <w:b/>
          <w:sz w:val="28"/>
          <w:szCs w:val="28"/>
        </w:rPr>
      </w:pPr>
      <w:r w:rsidRPr="00E729C2">
        <w:rPr>
          <w:b/>
          <w:sz w:val="28"/>
          <w:szCs w:val="28"/>
        </w:rPr>
        <w:t>na institucionální podporu výzkumných organizací</w:t>
      </w:r>
    </w:p>
    <w:p w14:paraId="372CC3B7" w14:textId="77777777" w:rsidR="00B43AE3" w:rsidRPr="009E560F" w:rsidRDefault="00B43AE3" w:rsidP="003639C6"/>
    <w:p w14:paraId="4B5D20EA" w14:textId="4C4FE545" w:rsidR="00AB3724" w:rsidRPr="00876251" w:rsidRDefault="00AB3724" w:rsidP="003639C6">
      <w:pPr>
        <w:rPr>
          <w:color w:val="000000" w:themeColor="text1"/>
        </w:rPr>
      </w:pPr>
      <w:r w:rsidRPr="00876251">
        <w:rPr>
          <w:color w:val="000000" w:themeColor="text1"/>
        </w:rPr>
        <w:t>Kontrolní akce byla zařazena do plánu kontrolní činnosti Nej</w:t>
      </w:r>
      <w:r w:rsidR="00BB2F43">
        <w:rPr>
          <w:color w:val="000000" w:themeColor="text1"/>
        </w:rPr>
        <w:t xml:space="preserve">vyššího kontrolního úřadu </w:t>
      </w:r>
      <w:r w:rsidR="00432A4D">
        <w:rPr>
          <w:color w:val="000000" w:themeColor="text1"/>
        </w:rPr>
        <w:br/>
      </w:r>
      <w:r w:rsidR="00BB2F43">
        <w:rPr>
          <w:color w:val="000000" w:themeColor="text1"/>
        </w:rPr>
        <w:t>(dále</w:t>
      </w:r>
      <w:r w:rsidR="00432A4D">
        <w:rPr>
          <w:color w:val="000000" w:themeColor="text1"/>
        </w:rPr>
        <w:t xml:space="preserve"> </w:t>
      </w:r>
      <w:r w:rsidR="00A214E4">
        <w:rPr>
          <w:color w:val="000000" w:themeColor="text1"/>
        </w:rPr>
        <w:t>také</w:t>
      </w:r>
      <w:r w:rsidRPr="00876251">
        <w:rPr>
          <w:color w:val="000000" w:themeColor="text1"/>
        </w:rPr>
        <w:t xml:space="preserve"> „NKÚ“) na rok </w:t>
      </w:r>
      <w:r w:rsidR="00B43AE3">
        <w:rPr>
          <w:color w:val="000000" w:themeColor="text1"/>
        </w:rPr>
        <w:t>202</w:t>
      </w:r>
      <w:r w:rsidR="00E729C2">
        <w:rPr>
          <w:color w:val="000000" w:themeColor="text1"/>
        </w:rPr>
        <w:t>2</w:t>
      </w:r>
      <w:r w:rsidRPr="00876251">
        <w:rPr>
          <w:color w:val="000000" w:themeColor="text1"/>
        </w:rPr>
        <w:t xml:space="preserve"> pod číslem </w:t>
      </w:r>
      <w:r w:rsidR="00E729C2">
        <w:rPr>
          <w:color w:val="000000" w:themeColor="text1"/>
        </w:rPr>
        <w:t>22/21</w:t>
      </w:r>
      <w:r w:rsidRPr="00876251">
        <w:rPr>
          <w:color w:val="000000" w:themeColor="text1"/>
        </w:rPr>
        <w:t xml:space="preserve">. Kontrolní akci řídil a kontrolní závěr vypracoval člen NKÚ Ing. </w:t>
      </w:r>
      <w:r w:rsidR="00D54CD1">
        <w:rPr>
          <w:color w:val="000000" w:themeColor="text1"/>
        </w:rPr>
        <w:t>Adolf Beznoska</w:t>
      </w:r>
      <w:r w:rsidRPr="00876251">
        <w:rPr>
          <w:color w:val="000000" w:themeColor="text1"/>
        </w:rPr>
        <w:t>.</w:t>
      </w:r>
    </w:p>
    <w:p w14:paraId="4EC49E41" w14:textId="77777777" w:rsidR="00AB3724" w:rsidRDefault="00AB3724" w:rsidP="003639C6">
      <w:pPr>
        <w:rPr>
          <w:color w:val="000000" w:themeColor="text1"/>
        </w:rPr>
      </w:pPr>
    </w:p>
    <w:p w14:paraId="67F7F702" w14:textId="25854434" w:rsidR="0050448E" w:rsidRDefault="00AB3724" w:rsidP="0050448E">
      <w:pPr>
        <w:autoSpaceDE w:val="0"/>
        <w:autoSpaceDN w:val="0"/>
        <w:adjustRightInd w:val="0"/>
        <w:rPr>
          <w:rFonts w:asciiTheme="minorHAnsi" w:hAnsiTheme="minorHAnsi" w:cstheme="minorHAnsi"/>
        </w:rPr>
      </w:pPr>
      <w:r w:rsidRPr="00876251">
        <w:rPr>
          <w:color w:val="000000" w:themeColor="text1"/>
        </w:rPr>
        <w:t>Cílem kontroly bylo</w:t>
      </w:r>
      <w:r w:rsidR="007163A7">
        <w:rPr>
          <w:rFonts w:asciiTheme="minorHAnsi" w:hAnsiTheme="minorHAnsi" w:cstheme="minorHAnsi"/>
        </w:rPr>
        <w:t xml:space="preserve"> </w:t>
      </w:r>
      <w:r w:rsidR="00D54CD1">
        <w:rPr>
          <w:rFonts w:asciiTheme="minorHAnsi" w:hAnsiTheme="minorHAnsi" w:cstheme="minorHAnsi"/>
        </w:rPr>
        <w:t>p</w:t>
      </w:r>
      <w:r w:rsidR="00D54CD1" w:rsidRPr="00746DF8">
        <w:rPr>
          <w:rFonts w:asciiTheme="minorHAnsi" w:hAnsiTheme="minorHAnsi" w:cstheme="minorHAnsi"/>
        </w:rPr>
        <w:t>rověřit, zda</w:t>
      </w:r>
      <w:r w:rsidR="00520509">
        <w:rPr>
          <w:rFonts w:asciiTheme="minorHAnsi" w:hAnsiTheme="minorHAnsi" w:cstheme="minorHAnsi"/>
        </w:rPr>
        <w:t xml:space="preserve"> </w:t>
      </w:r>
      <w:r w:rsidR="00520509" w:rsidRPr="004E5927">
        <w:rPr>
          <w:rFonts w:asciiTheme="minorHAnsi" w:hAnsiTheme="minorHAnsi" w:cstheme="minorHAnsi"/>
        </w:rPr>
        <w:t>byly peněžní prostředky poskytované Ministerstvem průmyslu a obchodu na</w:t>
      </w:r>
      <w:r w:rsidR="00002176">
        <w:rPr>
          <w:rFonts w:asciiTheme="minorHAnsi" w:hAnsiTheme="minorHAnsi" w:cstheme="minorHAnsi"/>
        </w:rPr>
        <w:t xml:space="preserve"> </w:t>
      </w:r>
      <w:r w:rsidR="00520509" w:rsidRPr="004E5927">
        <w:rPr>
          <w:rFonts w:asciiTheme="minorHAnsi" w:hAnsiTheme="minorHAnsi" w:cstheme="minorHAnsi"/>
        </w:rPr>
        <w:t>institucionální podporu výzkumných organizací poskytnuty a čerpány účelně, hospodárně a v souladu s právními předpisy</w:t>
      </w:r>
      <w:r w:rsidR="00520509">
        <w:rPr>
          <w:rFonts w:asciiTheme="minorHAnsi" w:hAnsiTheme="minorHAnsi" w:cstheme="minorHAnsi"/>
        </w:rPr>
        <w:t>.</w:t>
      </w:r>
    </w:p>
    <w:p w14:paraId="2ECBE7F0" w14:textId="77777777" w:rsidR="00B43AE3" w:rsidRDefault="00B43AE3" w:rsidP="003639C6">
      <w:pPr>
        <w:rPr>
          <w:rFonts w:asciiTheme="minorHAnsi" w:hAnsiTheme="minorHAnsi" w:cstheme="minorHAnsi"/>
        </w:rPr>
      </w:pPr>
    </w:p>
    <w:p w14:paraId="5F8D9E5A" w14:textId="16503BB4" w:rsidR="00AB3724" w:rsidRPr="0050448E" w:rsidRDefault="00AB3724" w:rsidP="003639C6">
      <w:pPr>
        <w:rPr>
          <w:rFonts w:asciiTheme="minorHAnsi" w:hAnsiTheme="minorHAnsi" w:cstheme="minorHAnsi"/>
        </w:rPr>
      </w:pPr>
      <w:r w:rsidRPr="00876251">
        <w:rPr>
          <w:color w:val="000000" w:themeColor="text1"/>
        </w:rPr>
        <w:t>Kontrola</w:t>
      </w:r>
      <w:r w:rsidR="00B43AE3">
        <w:rPr>
          <w:color w:val="000000" w:themeColor="text1"/>
        </w:rPr>
        <w:t xml:space="preserve"> byla prováděna u kontrolovan</w:t>
      </w:r>
      <w:r w:rsidR="005549D4">
        <w:rPr>
          <w:color w:val="000000" w:themeColor="text1"/>
        </w:rPr>
        <w:t>ých</w:t>
      </w:r>
      <w:r w:rsidRPr="00876251">
        <w:rPr>
          <w:color w:val="000000" w:themeColor="text1"/>
        </w:rPr>
        <w:t xml:space="preserve"> osob v období </w:t>
      </w:r>
      <w:r w:rsidR="00E729C2">
        <w:rPr>
          <w:color w:val="000000" w:themeColor="text1"/>
        </w:rPr>
        <w:t>od září 2022</w:t>
      </w:r>
      <w:r w:rsidR="00B43AE3" w:rsidRPr="00134731">
        <w:rPr>
          <w:color w:val="000000" w:themeColor="text1"/>
        </w:rPr>
        <w:t xml:space="preserve"> </w:t>
      </w:r>
      <w:r w:rsidR="00D54CD1" w:rsidRPr="00134731">
        <w:rPr>
          <w:color w:val="000000" w:themeColor="text1"/>
        </w:rPr>
        <w:t xml:space="preserve">do </w:t>
      </w:r>
      <w:r w:rsidR="00E729C2">
        <w:rPr>
          <w:color w:val="000000" w:themeColor="text1"/>
        </w:rPr>
        <w:t>března</w:t>
      </w:r>
      <w:r w:rsidR="00B43AE3" w:rsidRPr="00134731">
        <w:rPr>
          <w:color w:val="000000" w:themeColor="text1"/>
        </w:rPr>
        <w:t xml:space="preserve"> 202</w:t>
      </w:r>
      <w:r w:rsidR="00E729C2">
        <w:rPr>
          <w:color w:val="000000" w:themeColor="text1"/>
        </w:rPr>
        <w:t>3</w:t>
      </w:r>
      <w:r w:rsidRPr="00876251">
        <w:rPr>
          <w:color w:val="000000" w:themeColor="text1"/>
        </w:rPr>
        <w:t xml:space="preserve">. </w:t>
      </w:r>
    </w:p>
    <w:p w14:paraId="5700DD6D" w14:textId="77777777" w:rsidR="00AB3724" w:rsidRPr="00876251" w:rsidRDefault="00AB3724" w:rsidP="003639C6">
      <w:pPr>
        <w:rPr>
          <w:color w:val="000000" w:themeColor="text1"/>
        </w:rPr>
      </w:pPr>
    </w:p>
    <w:p w14:paraId="4DE295A7" w14:textId="14F3F0D6" w:rsidR="00E729C2" w:rsidRDefault="00AB3724" w:rsidP="00E729C2">
      <w:pPr>
        <w:autoSpaceDE w:val="0"/>
        <w:autoSpaceDN w:val="0"/>
        <w:adjustRightInd w:val="0"/>
        <w:rPr>
          <w:rFonts w:asciiTheme="minorHAnsi" w:hAnsiTheme="minorHAnsi" w:cstheme="minorHAnsi"/>
        </w:rPr>
      </w:pPr>
      <w:r w:rsidRPr="00876251">
        <w:rPr>
          <w:color w:val="000000" w:themeColor="text1"/>
        </w:rPr>
        <w:t xml:space="preserve">Kontrolovaným obdobím </w:t>
      </w:r>
      <w:r w:rsidRPr="00134731">
        <w:rPr>
          <w:color w:val="000000" w:themeColor="text1"/>
        </w:rPr>
        <w:t xml:space="preserve">byly roky </w:t>
      </w:r>
      <w:r w:rsidR="00E729C2" w:rsidRPr="004E5927">
        <w:rPr>
          <w:rFonts w:asciiTheme="minorHAnsi" w:hAnsiTheme="minorHAnsi" w:cstheme="minorHAnsi"/>
        </w:rPr>
        <w:t xml:space="preserve">2018 </w:t>
      </w:r>
      <w:r w:rsidR="00E729C2">
        <w:rPr>
          <w:rFonts w:asciiTheme="minorHAnsi" w:hAnsiTheme="minorHAnsi" w:cstheme="minorHAnsi"/>
        </w:rPr>
        <w:t>až</w:t>
      </w:r>
      <w:r w:rsidR="00E729C2" w:rsidRPr="004E5927">
        <w:rPr>
          <w:rFonts w:asciiTheme="minorHAnsi" w:hAnsiTheme="minorHAnsi" w:cstheme="minorHAnsi"/>
        </w:rPr>
        <w:t xml:space="preserve"> 202</w:t>
      </w:r>
      <w:r w:rsidR="00E729C2">
        <w:rPr>
          <w:rFonts w:asciiTheme="minorHAnsi" w:hAnsiTheme="minorHAnsi" w:cstheme="minorHAnsi"/>
        </w:rPr>
        <w:t>2</w:t>
      </w:r>
      <w:r w:rsidR="00A214E4">
        <w:rPr>
          <w:rFonts w:asciiTheme="minorHAnsi" w:hAnsiTheme="minorHAnsi" w:cstheme="minorHAnsi"/>
        </w:rPr>
        <w:t>,</w:t>
      </w:r>
      <w:r w:rsidR="00E729C2" w:rsidRPr="004E5927">
        <w:rPr>
          <w:rFonts w:asciiTheme="minorHAnsi" w:hAnsiTheme="minorHAnsi" w:cstheme="minorHAnsi"/>
        </w:rPr>
        <w:t xml:space="preserve"> </w:t>
      </w:r>
      <w:r w:rsidR="00A214E4">
        <w:rPr>
          <w:rFonts w:asciiTheme="minorHAnsi" w:hAnsiTheme="minorHAnsi" w:cstheme="minorHAnsi"/>
        </w:rPr>
        <w:t>v</w:t>
      </w:r>
      <w:r w:rsidR="00E729C2" w:rsidRPr="004E5927">
        <w:rPr>
          <w:rFonts w:asciiTheme="minorHAnsi" w:hAnsiTheme="minorHAnsi" w:cstheme="minorHAnsi"/>
        </w:rPr>
        <w:t xml:space="preserve"> případě věcných souvislostí i</w:t>
      </w:r>
      <w:r w:rsidR="00002176">
        <w:rPr>
          <w:rFonts w:asciiTheme="minorHAnsi" w:hAnsiTheme="minorHAnsi" w:cstheme="minorHAnsi"/>
        </w:rPr>
        <w:t xml:space="preserve"> </w:t>
      </w:r>
      <w:r w:rsidR="00E729C2" w:rsidRPr="004E5927">
        <w:rPr>
          <w:rFonts w:asciiTheme="minorHAnsi" w:hAnsiTheme="minorHAnsi" w:cstheme="minorHAnsi"/>
        </w:rPr>
        <w:t>období</w:t>
      </w:r>
      <w:r w:rsidR="00E729C2">
        <w:rPr>
          <w:rFonts w:asciiTheme="minorHAnsi" w:hAnsiTheme="minorHAnsi" w:cstheme="minorHAnsi"/>
        </w:rPr>
        <w:t xml:space="preserve"> předcházející a období </w:t>
      </w:r>
      <w:r w:rsidR="00E729C2" w:rsidRPr="004E5927">
        <w:rPr>
          <w:rFonts w:asciiTheme="minorHAnsi" w:hAnsiTheme="minorHAnsi" w:cstheme="minorHAnsi"/>
        </w:rPr>
        <w:t>následující</w:t>
      </w:r>
      <w:r w:rsidR="00E729C2">
        <w:rPr>
          <w:rFonts w:asciiTheme="minorHAnsi" w:hAnsiTheme="minorHAnsi" w:cstheme="minorHAnsi"/>
        </w:rPr>
        <w:t>.</w:t>
      </w:r>
    </w:p>
    <w:p w14:paraId="22904F72" w14:textId="701AC41E" w:rsidR="00AB3724" w:rsidRPr="00876251" w:rsidRDefault="00AB3724" w:rsidP="003639C6">
      <w:pPr>
        <w:rPr>
          <w:color w:val="000000" w:themeColor="text1"/>
        </w:rPr>
      </w:pPr>
    </w:p>
    <w:p w14:paraId="148EE46E" w14:textId="49347E2D" w:rsidR="00E729C2" w:rsidRDefault="00B43AE3" w:rsidP="00E729C2">
      <w:pPr>
        <w:rPr>
          <w:rFonts w:asciiTheme="minorHAnsi" w:hAnsiTheme="minorHAnsi" w:cstheme="minorHAnsi"/>
        </w:rPr>
      </w:pPr>
      <w:r>
        <w:rPr>
          <w:b/>
          <w:color w:val="000000" w:themeColor="text1"/>
        </w:rPr>
        <w:t>Kontrolovan</w:t>
      </w:r>
      <w:r w:rsidR="00E42111">
        <w:rPr>
          <w:b/>
          <w:color w:val="000000" w:themeColor="text1"/>
        </w:rPr>
        <w:t xml:space="preserve">é </w:t>
      </w:r>
      <w:r>
        <w:rPr>
          <w:b/>
          <w:color w:val="000000" w:themeColor="text1"/>
        </w:rPr>
        <w:t>osob</w:t>
      </w:r>
      <w:r w:rsidR="00E42111">
        <w:rPr>
          <w:b/>
          <w:color w:val="000000" w:themeColor="text1"/>
        </w:rPr>
        <w:t>y</w:t>
      </w:r>
      <w:r w:rsidR="00AB3724" w:rsidRPr="00876251">
        <w:rPr>
          <w:b/>
          <w:color w:val="000000" w:themeColor="text1"/>
        </w:rPr>
        <w:t>:</w:t>
      </w:r>
      <w:r w:rsidR="00AB3724" w:rsidRPr="00876251">
        <w:rPr>
          <w:b/>
          <w:color w:val="000000" w:themeColor="text1"/>
        </w:rPr>
        <w:cr/>
      </w:r>
      <w:r w:rsidR="00E729C2" w:rsidRPr="004E5927">
        <w:rPr>
          <w:rFonts w:asciiTheme="minorHAnsi" w:hAnsiTheme="minorHAnsi" w:cstheme="minorHAnsi"/>
        </w:rPr>
        <w:t>Ministerstvo průmyslu a obchodu</w:t>
      </w:r>
      <w:r w:rsidR="00A214E4">
        <w:rPr>
          <w:rFonts w:asciiTheme="minorHAnsi" w:hAnsiTheme="minorHAnsi" w:cstheme="minorHAnsi"/>
        </w:rPr>
        <w:t>;</w:t>
      </w:r>
    </w:p>
    <w:p w14:paraId="48DE1438" w14:textId="7DD967D9" w:rsidR="00E729C2" w:rsidRPr="00DD29D5" w:rsidRDefault="00E729C2" w:rsidP="00E729C2">
      <w:pPr>
        <w:rPr>
          <w:rFonts w:asciiTheme="minorHAnsi" w:hAnsiTheme="minorHAnsi" w:cstheme="minorHAnsi"/>
        </w:rPr>
      </w:pPr>
      <w:r w:rsidRPr="00DD29D5">
        <w:rPr>
          <w:rFonts w:asciiTheme="minorHAnsi" w:hAnsiTheme="minorHAnsi" w:cstheme="minorHAnsi"/>
        </w:rPr>
        <w:t>ORLEN UniCRE a.s., Ústí nad Labem</w:t>
      </w:r>
      <w:r w:rsidR="00A214E4">
        <w:rPr>
          <w:rFonts w:asciiTheme="minorHAnsi" w:hAnsiTheme="minorHAnsi" w:cstheme="minorHAnsi"/>
        </w:rPr>
        <w:t>;</w:t>
      </w:r>
    </w:p>
    <w:p w14:paraId="0ABA9465" w14:textId="1871F86E" w:rsidR="00E729C2" w:rsidRPr="00DD29D5" w:rsidRDefault="00E729C2" w:rsidP="00E729C2">
      <w:pPr>
        <w:rPr>
          <w:rFonts w:asciiTheme="minorHAnsi" w:hAnsiTheme="minorHAnsi" w:cstheme="minorHAnsi"/>
        </w:rPr>
      </w:pPr>
      <w:r w:rsidRPr="00DD29D5">
        <w:rPr>
          <w:rFonts w:asciiTheme="minorHAnsi" w:hAnsiTheme="minorHAnsi" w:cstheme="minorHAnsi"/>
        </w:rPr>
        <w:t>Centrum výzkumu Řež s.r.o., Husinec</w:t>
      </w:r>
      <w:r w:rsidR="00A214E4">
        <w:rPr>
          <w:rFonts w:asciiTheme="minorHAnsi" w:hAnsiTheme="minorHAnsi" w:cstheme="minorHAnsi"/>
        </w:rPr>
        <w:t>;</w:t>
      </w:r>
    </w:p>
    <w:p w14:paraId="32DB9752" w14:textId="67544C88" w:rsidR="00E729C2" w:rsidRPr="00DD29D5" w:rsidRDefault="00E729C2" w:rsidP="00E729C2">
      <w:pPr>
        <w:rPr>
          <w:rFonts w:asciiTheme="minorHAnsi" w:hAnsiTheme="minorHAnsi" w:cstheme="minorHAnsi"/>
        </w:rPr>
      </w:pPr>
      <w:r w:rsidRPr="00DD29D5">
        <w:rPr>
          <w:rFonts w:asciiTheme="minorHAnsi" w:hAnsiTheme="minorHAnsi" w:cstheme="minorHAnsi"/>
        </w:rPr>
        <w:t>VÚTS, a.s., Liberec</w:t>
      </w:r>
      <w:r w:rsidR="00A214E4">
        <w:rPr>
          <w:rFonts w:asciiTheme="minorHAnsi" w:hAnsiTheme="minorHAnsi" w:cstheme="minorHAnsi"/>
        </w:rPr>
        <w:t>;</w:t>
      </w:r>
    </w:p>
    <w:p w14:paraId="2D48FA35" w14:textId="2808DC91" w:rsidR="00E729C2" w:rsidRPr="00DD29D5" w:rsidRDefault="00E729C2" w:rsidP="00E729C2">
      <w:pPr>
        <w:rPr>
          <w:rFonts w:asciiTheme="minorHAnsi" w:hAnsiTheme="minorHAnsi" w:cstheme="minorHAnsi"/>
        </w:rPr>
      </w:pPr>
      <w:r w:rsidRPr="00DD29D5">
        <w:rPr>
          <w:rFonts w:asciiTheme="minorHAnsi" w:hAnsiTheme="minorHAnsi" w:cstheme="minorHAnsi"/>
        </w:rPr>
        <w:t>MemBrain s.r.o., Stráž pod Ralskem</w:t>
      </w:r>
      <w:r w:rsidR="00A214E4">
        <w:rPr>
          <w:rFonts w:asciiTheme="minorHAnsi" w:hAnsiTheme="minorHAnsi" w:cstheme="minorHAnsi"/>
        </w:rPr>
        <w:t>;</w:t>
      </w:r>
    </w:p>
    <w:p w14:paraId="63B39FCA" w14:textId="77027460" w:rsidR="00E729C2" w:rsidRPr="00DD29D5" w:rsidRDefault="00E729C2" w:rsidP="00E729C2">
      <w:pPr>
        <w:rPr>
          <w:rFonts w:asciiTheme="minorHAnsi" w:hAnsiTheme="minorHAnsi" w:cstheme="minorHAnsi"/>
        </w:rPr>
      </w:pPr>
      <w:r w:rsidRPr="00DD29D5">
        <w:rPr>
          <w:rFonts w:asciiTheme="minorHAnsi" w:hAnsiTheme="minorHAnsi" w:cstheme="minorHAnsi"/>
        </w:rPr>
        <w:t>SVÚOM s.r.o., Praha</w:t>
      </w:r>
      <w:r w:rsidR="00A214E4">
        <w:rPr>
          <w:rFonts w:asciiTheme="minorHAnsi" w:hAnsiTheme="minorHAnsi" w:cstheme="minorHAnsi"/>
        </w:rPr>
        <w:t>;</w:t>
      </w:r>
      <w:r w:rsidRPr="00DD29D5">
        <w:rPr>
          <w:rFonts w:asciiTheme="minorHAnsi" w:hAnsiTheme="minorHAnsi" w:cstheme="minorHAnsi"/>
        </w:rPr>
        <w:t xml:space="preserve"> </w:t>
      </w:r>
    </w:p>
    <w:p w14:paraId="7D05EEBB" w14:textId="34376E94" w:rsidR="00E729C2" w:rsidRDefault="00E729C2" w:rsidP="00E729C2">
      <w:pPr>
        <w:rPr>
          <w:rFonts w:asciiTheme="minorHAnsi" w:hAnsiTheme="minorHAnsi" w:cstheme="minorHAnsi"/>
        </w:rPr>
      </w:pPr>
      <w:r w:rsidRPr="00DD29D5">
        <w:rPr>
          <w:rFonts w:asciiTheme="minorHAnsi" w:hAnsiTheme="minorHAnsi" w:cstheme="minorHAnsi"/>
        </w:rPr>
        <w:t>Výzkumný a zkušební letecký ústav, a.s., Praha</w:t>
      </w:r>
      <w:r w:rsidR="00A214E4">
        <w:rPr>
          <w:rFonts w:asciiTheme="minorHAnsi" w:hAnsiTheme="minorHAnsi" w:cstheme="minorHAnsi"/>
        </w:rPr>
        <w:t>.</w:t>
      </w:r>
      <w:r w:rsidRPr="00DD29D5">
        <w:rPr>
          <w:rFonts w:asciiTheme="minorHAnsi" w:hAnsiTheme="minorHAnsi" w:cstheme="minorHAnsi"/>
        </w:rPr>
        <w:t xml:space="preserve"> </w:t>
      </w:r>
    </w:p>
    <w:p w14:paraId="15447B4B" w14:textId="39FC066A" w:rsidR="00AB3724" w:rsidRPr="00B43AE3" w:rsidRDefault="00AB3724" w:rsidP="00B43AE3">
      <w:pPr>
        <w:rPr>
          <w:color w:val="000000" w:themeColor="text1"/>
        </w:rPr>
      </w:pPr>
    </w:p>
    <w:p w14:paraId="7F3AAC88" w14:textId="77777777" w:rsidR="00AB3724" w:rsidRDefault="00AB3724" w:rsidP="003639C6">
      <w:pPr>
        <w:rPr>
          <w:color w:val="000000" w:themeColor="text1"/>
        </w:rPr>
      </w:pPr>
    </w:p>
    <w:p w14:paraId="08F9D7C5" w14:textId="59232226" w:rsidR="00AB3724" w:rsidRPr="00D15BBF" w:rsidRDefault="00AB3724" w:rsidP="003639C6">
      <w:pPr>
        <w:rPr>
          <w:color w:val="000000" w:themeColor="text1"/>
        </w:rPr>
      </w:pPr>
      <w:r w:rsidRPr="00876251">
        <w:rPr>
          <w:b/>
          <w:i/>
          <w:color w:val="000000" w:themeColor="text1"/>
          <w:spacing w:val="40"/>
        </w:rPr>
        <w:t>Kolegium</w:t>
      </w:r>
      <w:r w:rsidRPr="00876251">
        <w:rPr>
          <w:b/>
          <w:i/>
          <w:color w:val="000000" w:themeColor="text1"/>
        </w:rPr>
        <w:t xml:space="preserve">   </w:t>
      </w:r>
      <w:r w:rsidRPr="00876251">
        <w:rPr>
          <w:b/>
          <w:i/>
          <w:color w:val="000000" w:themeColor="text1"/>
          <w:spacing w:val="40"/>
        </w:rPr>
        <w:t>NKÚ</w:t>
      </w:r>
      <w:r w:rsidRPr="00876251">
        <w:rPr>
          <w:b/>
          <w:i/>
          <w:color w:val="000000" w:themeColor="text1"/>
        </w:rPr>
        <w:t xml:space="preserve">   </w:t>
      </w:r>
      <w:r w:rsidR="006E0CFA">
        <w:rPr>
          <w:color w:val="000000" w:themeColor="text1"/>
        </w:rPr>
        <w:t>na svém</w:t>
      </w:r>
      <w:r w:rsidR="00D15BBF">
        <w:rPr>
          <w:color w:val="000000" w:themeColor="text1"/>
        </w:rPr>
        <w:t xml:space="preserve"> </w:t>
      </w:r>
      <w:r w:rsidR="006E6169">
        <w:rPr>
          <w:color w:val="000000" w:themeColor="text1"/>
        </w:rPr>
        <w:t>VIII</w:t>
      </w:r>
      <w:r w:rsidR="00A154DE">
        <w:rPr>
          <w:color w:val="000000" w:themeColor="text1"/>
        </w:rPr>
        <w:t>.</w:t>
      </w:r>
      <w:r w:rsidR="00B43AE3" w:rsidRPr="00D15BBF">
        <w:rPr>
          <w:color w:val="000000" w:themeColor="text1"/>
        </w:rPr>
        <w:t xml:space="preserve"> </w:t>
      </w:r>
      <w:r w:rsidR="006E0CFA" w:rsidRPr="00D15BBF">
        <w:rPr>
          <w:color w:val="000000" w:themeColor="text1"/>
        </w:rPr>
        <w:t xml:space="preserve">jednání, které se konalo dne </w:t>
      </w:r>
      <w:r w:rsidR="006E6169">
        <w:rPr>
          <w:color w:val="000000" w:themeColor="text1"/>
        </w:rPr>
        <w:t>22. května 2023</w:t>
      </w:r>
      <w:r w:rsidRPr="00D15BBF">
        <w:rPr>
          <w:color w:val="000000" w:themeColor="text1"/>
        </w:rPr>
        <w:t>,</w:t>
      </w:r>
    </w:p>
    <w:p w14:paraId="73D74581" w14:textId="637C229F" w:rsidR="00575078" w:rsidRPr="00D15BBF" w:rsidRDefault="00AB3724" w:rsidP="003639C6">
      <w:pPr>
        <w:rPr>
          <w:color w:val="000000" w:themeColor="text1"/>
        </w:rPr>
      </w:pPr>
      <w:r w:rsidRPr="00D15BBF">
        <w:rPr>
          <w:b/>
          <w:i/>
          <w:color w:val="000000" w:themeColor="text1"/>
          <w:spacing w:val="40"/>
        </w:rPr>
        <w:t>schválilo</w:t>
      </w:r>
      <w:r w:rsidRPr="00D15BBF">
        <w:rPr>
          <w:b/>
          <w:i/>
          <w:color w:val="000000" w:themeColor="text1"/>
        </w:rPr>
        <w:t xml:space="preserve">   </w:t>
      </w:r>
      <w:r w:rsidRPr="00D15BBF">
        <w:rPr>
          <w:color w:val="000000" w:themeColor="text1"/>
        </w:rPr>
        <w:t>usnesením č</w:t>
      </w:r>
      <w:r w:rsidR="00A154DE">
        <w:rPr>
          <w:color w:val="000000" w:themeColor="text1"/>
        </w:rPr>
        <w:t>.</w:t>
      </w:r>
      <w:r w:rsidR="00B9360C">
        <w:rPr>
          <w:color w:val="000000" w:themeColor="text1"/>
        </w:rPr>
        <w:t xml:space="preserve"> </w:t>
      </w:r>
      <w:r w:rsidR="00375D95">
        <w:rPr>
          <w:color w:val="000000" w:themeColor="text1"/>
        </w:rPr>
        <w:t>9</w:t>
      </w:r>
      <w:r w:rsidR="006E6169">
        <w:rPr>
          <w:color w:val="000000" w:themeColor="text1"/>
        </w:rPr>
        <w:t>/VIII/2023</w:t>
      </w:r>
    </w:p>
    <w:p w14:paraId="249254C2" w14:textId="77777777" w:rsidR="00AB3724" w:rsidRPr="00876251" w:rsidRDefault="00AB3724" w:rsidP="003639C6">
      <w:pPr>
        <w:rPr>
          <w:color w:val="000000" w:themeColor="text1"/>
        </w:rPr>
      </w:pPr>
      <w:r w:rsidRPr="00D15BBF">
        <w:rPr>
          <w:b/>
          <w:i/>
          <w:color w:val="000000" w:themeColor="text1"/>
          <w:spacing w:val="40"/>
        </w:rPr>
        <w:t>kontrolní</w:t>
      </w:r>
      <w:r w:rsidRPr="00D15BBF">
        <w:rPr>
          <w:b/>
          <w:i/>
          <w:color w:val="000000" w:themeColor="text1"/>
        </w:rPr>
        <w:t xml:space="preserve">   </w:t>
      </w:r>
      <w:r w:rsidRPr="00D15BBF">
        <w:rPr>
          <w:b/>
          <w:i/>
          <w:color w:val="000000" w:themeColor="text1"/>
          <w:spacing w:val="40"/>
        </w:rPr>
        <w:t>závěr</w:t>
      </w:r>
      <w:r w:rsidRPr="00D15BBF">
        <w:rPr>
          <w:color w:val="000000" w:themeColor="text1"/>
        </w:rPr>
        <w:t xml:space="preserve">   v tomto znění:</w:t>
      </w:r>
    </w:p>
    <w:p w14:paraId="1CCA69B9" w14:textId="77777777" w:rsidR="00AB3724" w:rsidRDefault="00AB3724" w:rsidP="003639C6"/>
    <w:p w14:paraId="1C46B07B" w14:textId="77777777" w:rsidR="00AB3724" w:rsidRDefault="00AB3724" w:rsidP="003639C6"/>
    <w:p w14:paraId="5EED2317" w14:textId="77777777" w:rsidR="00C81C4A" w:rsidRDefault="00C81C4A" w:rsidP="003639C6">
      <w:pPr>
        <w:jc w:val="left"/>
        <w:rPr>
          <w:b/>
        </w:rPr>
      </w:pPr>
    </w:p>
    <w:p w14:paraId="4A682357" w14:textId="77777777" w:rsidR="00C81C4A" w:rsidRDefault="00C81C4A" w:rsidP="003639C6">
      <w:pPr>
        <w:jc w:val="left"/>
        <w:rPr>
          <w:b/>
        </w:rPr>
      </w:pPr>
    </w:p>
    <w:p w14:paraId="18208F5C" w14:textId="77777777" w:rsidR="00C81C4A" w:rsidRDefault="00C81C4A" w:rsidP="003639C6">
      <w:pPr>
        <w:jc w:val="left"/>
        <w:rPr>
          <w:b/>
        </w:rPr>
      </w:pPr>
    </w:p>
    <w:p w14:paraId="34286C3A" w14:textId="77777777" w:rsidR="00C81C4A" w:rsidRDefault="00C81C4A" w:rsidP="003639C6">
      <w:pPr>
        <w:jc w:val="left"/>
        <w:rPr>
          <w:b/>
        </w:rPr>
      </w:pPr>
    </w:p>
    <w:p w14:paraId="0DCCC291" w14:textId="77777777" w:rsidR="00C81C4A" w:rsidRDefault="00C81C4A" w:rsidP="003639C6">
      <w:pPr>
        <w:jc w:val="left"/>
        <w:rPr>
          <w:b/>
        </w:rPr>
      </w:pPr>
    </w:p>
    <w:p w14:paraId="0ECEF0C4" w14:textId="6762827A" w:rsidR="00E729C2" w:rsidRPr="003E1ADA" w:rsidRDefault="00E729C2" w:rsidP="00CE11DE">
      <w:pPr>
        <w:jc w:val="center"/>
        <w:rPr>
          <w:rStyle w:val="A4"/>
          <w:b/>
          <w:color w:val="0070C0"/>
          <w:sz w:val="40"/>
          <w:szCs w:val="40"/>
        </w:rPr>
      </w:pPr>
      <w:r w:rsidRPr="003E1ADA">
        <w:rPr>
          <w:rStyle w:val="A4"/>
          <w:b/>
          <w:color w:val="0070C0"/>
          <w:sz w:val="40"/>
          <w:szCs w:val="40"/>
        </w:rPr>
        <w:lastRenderedPageBreak/>
        <w:t>Institucionální podpora</w:t>
      </w:r>
      <w:r w:rsidR="00A214E4">
        <w:rPr>
          <w:rStyle w:val="A4"/>
          <w:b/>
          <w:color w:val="0070C0"/>
          <w:sz w:val="40"/>
          <w:szCs w:val="40"/>
        </w:rPr>
        <w:t xml:space="preserve"> </w:t>
      </w:r>
    </w:p>
    <w:p w14:paraId="349B8610" w14:textId="33117E72" w:rsidR="00CE18B3" w:rsidRPr="003E1ADA" w:rsidRDefault="00E729C2" w:rsidP="000125BA">
      <w:pPr>
        <w:jc w:val="center"/>
        <w:rPr>
          <w:rStyle w:val="A4"/>
          <w:b/>
          <w:color w:val="0070C0"/>
          <w:sz w:val="40"/>
          <w:szCs w:val="40"/>
        </w:rPr>
      </w:pPr>
      <w:r w:rsidRPr="003E1ADA">
        <w:rPr>
          <w:rStyle w:val="A4"/>
          <w:b/>
          <w:color w:val="0070C0"/>
          <w:sz w:val="40"/>
          <w:szCs w:val="40"/>
        </w:rPr>
        <w:t>poskyt</w:t>
      </w:r>
      <w:r w:rsidR="000125BA" w:rsidRPr="003E1ADA">
        <w:rPr>
          <w:rStyle w:val="A4"/>
          <w:b/>
          <w:color w:val="0070C0"/>
          <w:sz w:val="40"/>
          <w:szCs w:val="40"/>
        </w:rPr>
        <w:t xml:space="preserve">nutá </w:t>
      </w:r>
      <w:bookmarkStart w:id="1" w:name="_Hlk136249963"/>
      <w:r w:rsidRPr="003E1ADA">
        <w:rPr>
          <w:rStyle w:val="A4"/>
          <w:b/>
          <w:color w:val="0070C0"/>
          <w:sz w:val="40"/>
          <w:szCs w:val="40"/>
        </w:rPr>
        <w:t>Ministerstvem průmyslu a obchodu</w:t>
      </w:r>
      <w:r w:rsidR="00CE18B3" w:rsidRPr="003E1ADA">
        <w:rPr>
          <w:rStyle w:val="A4"/>
          <w:b/>
          <w:color w:val="0070C0"/>
          <w:sz w:val="40"/>
          <w:szCs w:val="40"/>
        </w:rPr>
        <w:t xml:space="preserve"> </w:t>
      </w:r>
      <w:bookmarkEnd w:id="1"/>
    </w:p>
    <w:p w14:paraId="41616F3E" w14:textId="01528666" w:rsidR="00134731" w:rsidRDefault="000125BA" w:rsidP="00CE11DE">
      <w:pPr>
        <w:jc w:val="center"/>
        <w:rPr>
          <w:rStyle w:val="A4"/>
          <w:b/>
          <w:color w:val="5B9BD5" w:themeColor="accent1"/>
          <w:sz w:val="40"/>
          <w:szCs w:val="40"/>
        </w:rPr>
      </w:pPr>
      <w:r w:rsidRPr="003E1ADA">
        <w:rPr>
          <w:rStyle w:val="A4"/>
          <w:b/>
          <w:color w:val="0070C0"/>
          <w:sz w:val="40"/>
          <w:szCs w:val="40"/>
        </w:rPr>
        <w:t>výzkumný</w:t>
      </w:r>
      <w:r w:rsidR="0018613A" w:rsidRPr="003E1ADA">
        <w:rPr>
          <w:rStyle w:val="A4"/>
          <w:b/>
          <w:color w:val="0070C0"/>
          <w:sz w:val="40"/>
          <w:szCs w:val="40"/>
        </w:rPr>
        <w:t>m</w:t>
      </w:r>
      <w:r w:rsidRPr="003E1ADA">
        <w:rPr>
          <w:rStyle w:val="A4"/>
          <w:b/>
          <w:color w:val="0070C0"/>
          <w:sz w:val="40"/>
          <w:szCs w:val="40"/>
        </w:rPr>
        <w:t xml:space="preserve"> organizacím</w:t>
      </w:r>
    </w:p>
    <w:p w14:paraId="51F57809" w14:textId="4A53F3C7" w:rsidR="00900023" w:rsidRDefault="00900023" w:rsidP="00CE11DE">
      <w:pPr>
        <w:jc w:val="center"/>
        <w:rPr>
          <w:b/>
          <w:bCs/>
          <w:highlight w:val="yellow"/>
          <w:lang w:eastAsia="cs-CZ"/>
        </w:rPr>
      </w:pPr>
    </w:p>
    <w:p w14:paraId="11BBEF8A" w14:textId="77777777" w:rsidR="0084757B" w:rsidRDefault="0084757B" w:rsidP="00CE11DE">
      <w:pPr>
        <w:jc w:val="center"/>
        <w:rPr>
          <w:b/>
          <w:bCs/>
          <w:highlight w:val="yellow"/>
          <w:lang w:eastAsia="cs-CZ"/>
        </w:rPr>
      </w:pPr>
    </w:p>
    <w:tbl>
      <w:tblPr>
        <w:tblStyle w:val="Mkatabulky"/>
        <w:tblW w:w="8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4330"/>
        <w:gridCol w:w="4330"/>
      </w:tblGrid>
      <w:tr w:rsidR="0021088E" w:rsidRPr="00055D3A" w14:paraId="77BE2AF1" w14:textId="77777777" w:rsidTr="008A02AA">
        <w:trPr>
          <w:trHeight w:val="1384"/>
          <w:jc w:val="center"/>
        </w:trPr>
        <w:tc>
          <w:tcPr>
            <w:tcW w:w="4330" w:type="dxa"/>
          </w:tcPr>
          <w:p w14:paraId="7FD8570E" w14:textId="73F4285A" w:rsidR="0021088E" w:rsidRDefault="0021088E" w:rsidP="0021088E">
            <w:pPr>
              <w:jc w:val="center"/>
              <w:rPr>
                <w:rStyle w:val="A5"/>
              </w:rPr>
            </w:pPr>
            <w:r>
              <w:rPr>
                <w:rStyle w:val="A5"/>
              </w:rPr>
              <w:t xml:space="preserve">2 </w:t>
            </w:r>
            <w:r w:rsidR="008C4BD2">
              <w:rPr>
                <w:rStyle w:val="A5"/>
              </w:rPr>
              <w:t>266</w:t>
            </w:r>
            <w:r>
              <w:rPr>
                <w:rStyle w:val="A5"/>
              </w:rPr>
              <w:t xml:space="preserve"> mil. Kč</w:t>
            </w:r>
          </w:p>
          <w:p w14:paraId="373792FD" w14:textId="412CB494" w:rsidR="0021088E" w:rsidRDefault="0021088E" w:rsidP="0021088E">
            <w:pPr>
              <w:jc w:val="center"/>
              <w:rPr>
                <w:sz w:val="20"/>
                <w:szCs w:val="20"/>
              </w:rPr>
            </w:pPr>
            <w:r>
              <w:rPr>
                <w:sz w:val="20"/>
                <w:szCs w:val="20"/>
              </w:rPr>
              <w:t>institucionální podpora</w:t>
            </w:r>
            <w:r w:rsidR="00A862D7">
              <w:rPr>
                <w:sz w:val="20"/>
                <w:szCs w:val="20"/>
              </w:rPr>
              <w:t xml:space="preserve"> </w:t>
            </w:r>
            <w:r w:rsidR="00920A46">
              <w:rPr>
                <w:sz w:val="20"/>
                <w:szCs w:val="20"/>
              </w:rPr>
              <w:t>poskytnutá</w:t>
            </w:r>
            <w:r>
              <w:rPr>
                <w:sz w:val="20"/>
                <w:szCs w:val="20"/>
              </w:rPr>
              <w:t xml:space="preserve"> </w:t>
            </w:r>
            <w:r w:rsidR="00A862D7" w:rsidRPr="00E1222A">
              <w:rPr>
                <w:color w:val="auto"/>
                <w:sz w:val="20"/>
                <w:szCs w:val="20"/>
              </w:rPr>
              <w:t>Ministerstvem průmyslu a obchodu</w:t>
            </w:r>
            <w:r w:rsidR="00A862D7">
              <w:rPr>
                <w:sz w:val="20"/>
                <w:szCs w:val="20"/>
              </w:rPr>
              <w:t xml:space="preserve"> </w:t>
            </w:r>
          </w:p>
          <w:p w14:paraId="0DF9454C" w14:textId="6A0ED624" w:rsidR="0021088E" w:rsidRPr="00B43AE3" w:rsidRDefault="0021088E" w:rsidP="0021088E">
            <w:pPr>
              <w:jc w:val="center"/>
              <w:rPr>
                <w:sz w:val="20"/>
                <w:szCs w:val="20"/>
              </w:rPr>
            </w:pPr>
            <w:r>
              <w:rPr>
                <w:sz w:val="20"/>
                <w:szCs w:val="20"/>
              </w:rPr>
              <w:t>v letech 2018 až 2022</w:t>
            </w:r>
          </w:p>
        </w:tc>
        <w:tc>
          <w:tcPr>
            <w:tcW w:w="4330" w:type="dxa"/>
          </w:tcPr>
          <w:p w14:paraId="5F205457" w14:textId="77777777" w:rsidR="0021088E" w:rsidRDefault="0021088E" w:rsidP="0021088E">
            <w:pPr>
              <w:jc w:val="center"/>
              <w:rPr>
                <w:rStyle w:val="A5"/>
              </w:rPr>
            </w:pPr>
            <w:r>
              <w:rPr>
                <w:rStyle w:val="A5"/>
              </w:rPr>
              <w:t>14</w:t>
            </w:r>
          </w:p>
          <w:p w14:paraId="0A5A5B84" w14:textId="23C520E5" w:rsidR="0021088E" w:rsidRDefault="0021088E" w:rsidP="0021088E">
            <w:pPr>
              <w:jc w:val="center"/>
              <w:rPr>
                <w:sz w:val="20"/>
                <w:szCs w:val="20"/>
              </w:rPr>
            </w:pPr>
            <w:r>
              <w:rPr>
                <w:sz w:val="20"/>
                <w:szCs w:val="20"/>
              </w:rPr>
              <w:t xml:space="preserve">výzkumných organizací podpořených </w:t>
            </w:r>
            <w:r w:rsidR="00A862D7" w:rsidRPr="00E1222A">
              <w:rPr>
                <w:color w:val="auto"/>
                <w:sz w:val="20"/>
                <w:szCs w:val="20"/>
              </w:rPr>
              <w:t>Ministerstvem průmyslu a obchodu</w:t>
            </w:r>
            <w:r w:rsidR="00A862D7">
              <w:rPr>
                <w:sz w:val="20"/>
                <w:szCs w:val="20"/>
              </w:rPr>
              <w:t xml:space="preserve"> </w:t>
            </w:r>
          </w:p>
          <w:p w14:paraId="47757D3E" w14:textId="77777777" w:rsidR="0021088E" w:rsidRPr="00B43AE3" w:rsidRDefault="0021088E" w:rsidP="0021088E">
            <w:pPr>
              <w:jc w:val="center"/>
              <w:rPr>
                <w:sz w:val="20"/>
                <w:szCs w:val="20"/>
              </w:rPr>
            </w:pPr>
            <w:r>
              <w:rPr>
                <w:sz w:val="20"/>
                <w:szCs w:val="20"/>
              </w:rPr>
              <w:t>v letech 2018 až 2022</w:t>
            </w:r>
          </w:p>
          <w:p w14:paraId="253EDD57" w14:textId="6EB98B42" w:rsidR="0021088E" w:rsidRPr="00055D3A" w:rsidRDefault="0021088E" w:rsidP="0021088E">
            <w:pPr>
              <w:jc w:val="center"/>
              <w:rPr>
                <w:rStyle w:val="A1"/>
                <w:color w:val="auto"/>
                <w:sz w:val="20"/>
                <w:szCs w:val="20"/>
              </w:rPr>
            </w:pPr>
          </w:p>
        </w:tc>
      </w:tr>
    </w:tbl>
    <w:p w14:paraId="288BA6E9" w14:textId="77777777" w:rsidR="002835F3" w:rsidRDefault="002835F3" w:rsidP="00721570">
      <w:pPr>
        <w:rPr>
          <w:b/>
          <w:bCs/>
          <w:highlight w:val="yellow"/>
          <w:lang w:eastAsia="cs-CZ"/>
        </w:rPr>
      </w:pPr>
    </w:p>
    <w:tbl>
      <w:tblPr>
        <w:tblStyle w:val="Mkatabulky"/>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2722"/>
        <w:gridCol w:w="3374"/>
        <w:gridCol w:w="3430"/>
      </w:tblGrid>
      <w:tr w:rsidR="002835F3" w:rsidRPr="00055D3A" w14:paraId="3B6D5505" w14:textId="77777777" w:rsidTr="008C4BD2">
        <w:trPr>
          <w:trHeight w:val="715"/>
        </w:trPr>
        <w:tc>
          <w:tcPr>
            <w:tcW w:w="2722" w:type="dxa"/>
          </w:tcPr>
          <w:p w14:paraId="7DF34628" w14:textId="77777777" w:rsidR="0021088E" w:rsidRDefault="0021088E" w:rsidP="00A862D7">
            <w:pPr>
              <w:ind w:left="-142"/>
              <w:jc w:val="center"/>
              <w:rPr>
                <w:rStyle w:val="A5"/>
              </w:rPr>
            </w:pPr>
            <w:r>
              <w:rPr>
                <w:rStyle w:val="A5"/>
              </w:rPr>
              <w:t>6</w:t>
            </w:r>
          </w:p>
          <w:p w14:paraId="78D76F81" w14:textId="77777777" w:rsidR="0021088E" w:rsidRDefault="0021088E" w:rsidP="00A862D7">
            <w:pPr>
              <w:ind w:left="-142"/>
              <w:jc w:val="center"/>
              <w:rPr>
                <w:sz w:val="20"/>
                <w:szCs w:val="20"/>
              </w:rPr>
            </w:pPr>
            <w:r>
              <w:rPr>
                <w:sz w:val="20"/>
                <w:szCs w:val="20"/>
              </w:rPr>
              <w:t xml:space="preserve">výzkumných organizací </w:t>
            </w:r>
          </w:p>
          <w:p w14:paraId="7BDD952E" w14:textId="77777777" w:rsidR="0021088E" w:rsidRDefault="0021088E" w:rsidP="00A862D7">
            <w:pPr>
              <w:ind w:left="-142"/>
              <w:jc w:val="center"/>
              <w:rPr>
                <w:sz w:val="20"/>
                <w:szCs w:val="20"/>
              </w:rPr>
            </w:pPr>
            <w:r>
              <w:rPr>
                <w:sz w:val="20"/>
                <w:szCs w:val="20"/>
              </w:rPr>
              <w:t xml:space="preserve">vybraných </w:t>
            </w:r>
          </w:p>
          <w:p w14:paraId="4B121C43" w14:textId="7EB10682" w:rsidR="0096746B" w:rsidRDefault="0021088E" w:rsidP="00A862D7">
            <w:pPr>
              <w:ind w:left="-142"/>
              <w:jc w:val="center"/>
              <w:rPr>
                <w:rStyle w:val="A5"/>
              </w:rPr>
            </w:pPr>
            <w:r>
              <w:rPr>
                <w:sz w:val="20"/>
                <w:szCs w:val="20"/>
              </w:rPr>
              <w:t>ke kontrole NKÚ</w:t>
            </w:r>
          </w:p>
        </w:tc>
        <w:tc>
          <w:tcPr>
            <w:tcW w:w="3374" w:type="dxa"/>
          </w:tcPr>
          <w:p w14:paraId="40618AE6" w14:textId="72734550" w:rsidR="0021088E" w:rsidRDefault="008C4BD2" w:rsidP="0021088E">
            <w:pPr>
              <w:jc w:val="center"/>
              <w:rPr>
                <w:rStyle w:val="A5"/>
              </w:rPr>
            </w:pPr>
            <w:r>
              <w:rPr>
                <w:rStyle w:val="A5"/>
              </w:rPr>
              <w:t>1 456 mil.</w:t>
            </w:r>
            <w:r w:rsidR="0021088E">
              <w:rPr>
                <w:rStyle w:val="A5"/>
              </w:rPr>
              <w:t xml:space="preserve"> Kč</w:t>
            </w:r>
          </w:p>
          <w:p w14:paraId="49B2B450" w14:textId="5C8BBC0B" w:rsidR="00920A46" w:rsidRDefault="008C4BD2" w:rsidP="0021088E">
            <w:pPr>
              <w:jc w:val="center"/>
              <w:rPr>
                <w:sz w:val="20"/>
                <w:szCs w:val="20"/>
              </w:rPr>
            </w:pPr>
            <w:r>
              <w:rPr>
                <w:sz w:val="20"/>
                <w:szCs w:val="20"/>
              </w:rPr>
              <w:t>institucionální podpora</w:t>
            </w:r>
            <w:r w:rsidR="00A862D7">
              <w:rPr>
                <w:sz w:val="20"/>
                <w:szCs w:val="20"/>
              </w:rPr>
              <w:t xml:space="preserve"> </w:t>
            </w:r>
            <w:r>
              <w:rPr>
                <w:sz w:val="20"/>
                <w:szCs w:val="20"/>
              </w:rPr>
              <w:t>poskytnutá</w:t>
            </w:r>
            <w:r w:rsidR="00920A46">
              <w:rPr>
                <w:sz w:val="20"/>
                <w:szCs w:val="20"/>
              </w:rPr>
              <w:t xml:space="preserve"> </w:t>
            </w:r>
            <w:r w:rsidR="00A862D7" w:rsidRPr="00E1222A">
              <w:rPr>
                <w:color w:val="auto"/>
                <w:sz w:val="20"/>
                <w:szCs w:val="20"/>
              </w:rPr>
              <w:t>Ministerstvem průmyslu a obchodu</w:t>
            </w:r>
            <w:r w:rsidR="00A862D7">
              <w:rPr>
                <w:sz w:val="20"/>
                <w:szCs w:val="20"/>
              </w:rPr>
              <w:t xml:space="preserve"> </w:t>
            </w:r>
          </w:p>
          <w:p w14:paraId="2CAFFE8B" w14:textId="77B9DD71" w:rsidR="008C4BD2" w:rsidRDefault="008C4BD2" w:rsidP="0021088E">
            <w:pPr>
              <w:jc w:val="center"/>
              <w:rPr>
                <w:sz w:val="20"/>
                <w:szCs w:val="20"/>
              </w:rPr>
            </w:pPr>
            <w:r>
              <w:rPr>
                <w:sz w:val="20"/>
                <w:szCs w:val="20"/>
              </w:rPr>
              <w:t xml:space="preserve">v letech 2018 až 2022 </w:t>
            </w:r>
          </w:p>
          <w:p w14:paraId="79C21CBC" w14:textId="34F354B9" w:rsidR="008C4BD2" w:rsidRDefault="008C4BD2" w:rsidP="0021088E">
            <w:pPr>
              <w:jc w:val="center"/>
              <w:rPr>
                <w:sz w:val="20"/>
                <w:szCs w:val="20"/>
              </w:rPr>
            </w:pPr>
            <w:r>
              <w:rPr>
                <w:sz w:val="20"/>
                <w:szCs w:val="20"/>
              </w:rPr>
              <w:t>výzkumný</w:t>
            </w:r>
            <w:r w:rsidR="00A856B9">
              <w:rPr>
                <w:sz w:val="20"/>
                <w:szCs w:val="20"/>
              </w:rPr>
              <w:t>m</w:t>
            </w:r>
            <w:r>
              <w:rPr>
                <w:sz w:val="20"/>
                <w:szCs w:val="20"/>
              </w:rPr>
              <w:t xml:space="preserve"> organizacím </w:t>
            </w:r>
          </w:p>
          <w:p w14:paraId="0C0BD9BA" w14:textId="76C4DF94" w:rsidR="00296828" w:rsidRPr="00B43AE3" w:rsidRDefault="008C4BD2" w:rsidP="0021088E">
            <w:pPr>
              <w:jc w:val="center"/>
              <w:rPr>
                <w:sz w:val="20"/>
                <w:szCs w:val="20"/>
              </w:rPr>
            </w:pPr>
            <w:r>
              <w:rPr>
                <w:sz w:val="20"/>
                <w:szCs w:val="20"/>
              </w:rPr>
              <w:t>vybraným ke kontrole NKÚ</w:t>
            </w:r>
          </w:p>
          <w:p w14:paraId="33BA6218" w14:textId="63EDC0F4" w:rsidR="002835F3" w:rsidRPr="00B43AE3" w:rsidRDefault="002835F3" w:rsidP="00296828">
            <w:pPr>
              <w:jc w:val="center"/>
              <w:rPr>
                <w:sz w:val="20"/>
                <w:szCs w:val="20"/>
              </w:rPr>
            </w:pPr>
          </w:p>
        </w:tc>
        <w:tc>
          <w:tcPr>
            <w:tcW w:w="3430" w:type="dxa"/>
          </w:tcPr>
          <w:p w14:paraId="0B1CC4DE" w14:textId="17F0C9C8" w:rsidR="00296828" w:rsidRPr="0040083D" w:rsidRDefault="0021088E" w:rsidP="00A862D7">
            <w:pPr>
              <w:ind w:right="-165"/>
              <w:jc w:val="center"/>
              <w:rPr>
                <w:rStyle w:val="A5"/>
                <w:color w:val="FF0000"/>
              </w:rPr>
            </w:pPr>
            <w:r w:rsidRPr="0040083D">
              <w:rPr>
                <w:rStyle w:val="A5"/>
                <w:color w:val="FF0000"/>
              </w:rPr>
              <w:t>2,1 mil. Kč</w:t>
            </w:r>
          </w:p>
          <w:p w14:paraId="12D61EEE" w14:textId="754C3819" w:rsidR="0040083D" w:rsidRPr="00055D3A" w:rsidRDefault="00A450E3" w:rsidP="00A862D7">
            <w:pPr>
              <w:ind w:left="139" w:right="-165"/>
              <w:jc w:val="center"/>
              <w:rPr>
                <w:rStyle w:val="A1"/>
                <w:color w:val="auto"/>
                <w:sz w:val="20"/>
                <w:szCs w:val="20"/>
              </w:rPr>
            </w:pPr>
            <w:r w:rsidRPr="00A450E3">
              <w:rPr>
                <w:sz w:val="20"/>
                <w:szCs w:val="20"/>
              </w:rPr>
              <w:t>výše neoprávněně použitých peněžních prostředků poskytnutých ze státního rozpočtu</w:t>
            </w:r>
          </w:p>
        </w:tc>
      </w:tr>
    </w:tbl>
    <w:p w14:paraId="026B0A56" w14:textId="77777777" w:rsidR="00691E40" w:rsidRDefault="00691E40" w:rsidP="004731E6">
      <w:pPr>
        <w:spacing w:after="120" w:line="259" w:lineRule="auto"/>
        <w:jc w:val="center"/>
        <w:rPr>
          <w:sz w:val="20"/>
          <w:szCs w:val="20"/>
          <w:highlight w:val="green"/>
          <w:lang w:eastAsia="cs-CZ"/>
        </w:rPr>
      </w:pPr>
    </w:p>
    <w:p w14:paraId="0638DAA4" w14:textId="0FDF3E70" w:rsidR="00721570" w:rsidRPr="003D75BD" w:rsidRDefault="001A12F3" w:rsidP="00721570">
      <w:pPr>
        <w:spacing w:after="240" w:line="259" w:lineRule="auto"/>
        <w:jc w:val="center"/>
        <w:rPr>
          <w:b/>
          <w:color w:val="0070C0"/>
          <w:sz w:val="28"/>
          <w:szCs w:val="28"/>
        </w:rPr>
      </w:pPr>
      <w:r w:rsidRPr="003D75BD">
        <w:rPr>
          <w:b/>
          <w:color w:val="0070C0"/>
          <w:sz w:val="28"/>
          <w:szCs w:val="28"/>
        </w:rPr>
        <w:t>Výzkumné organizace, kterým MPO poskytlo v letech 2018 až 2022 institucionáln</w:t>
      </w:r>
      <w:r w:rsidR="00721570">
        <w:rPr>
          <w:b/>
          <w:color w:val="0070C0"/>
          <w:sz w:val="28"/>
          <w:szCs w:val="28"/>
        </w:rPr>
        <w:t xml:space="preserve">í </w:t>
      </w:r>
      <w:r w:rsidR="00721570" w:rsidRPr="003D75BD">
        <w:rPr>
          <w:b/>
          <w:color w:val="0070C0"/>
          <w:sz w:val="28"/>
          <w:szCs w:val="28"/>
        </w:rPr>
        <w:t>podporu</w:t>
      </w:r>
    </w:p>
    <w:p w14:paraId="66A31161" w14:textId="602E1A94" w:rsidR="00932AB9" w:rsidRPr="00920A46" w:rsidRDefault="00721570" w:rsidP="004731E6">
      <w:pPr>
        <w:spacing w:line="259" w:lineRule="auto"/>
        <w:jc w:val="center"/>
        <w:rPr>
          <w:noProof/>
        </w:rPr>
      </w:pPr>
      <w:r>
        <w:rPr>
          <w:noProof/>
        </w:rPr>
        <w:drawing>
          <wp:inline distT="0" distB="0" distL="0" distR="0" wp14:anchorId="534C9C4E" wp14:editId="4BC51C45">
            <wp:extent cx="6253773" cy="377571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053" t="7335" r="-6" b="10294"/>
                    <a:stretch/>
                  </pic:blipFill>
                  <pic:spPr bwMode="auto">
                    <a:xfrm>
                      <a:off x="0" y="0"/>
                      <a:ext cx="6274039" cy="3787946"/>
                    </a:xfrm>
                    <a:prstGeom prst="rect">
                      <a:avLst/>
                    </a:prstGeom>
                    <a:noFill/>
                    <a:ln>
                      <a:noFill/>
                    </a:ln>
                    <a:extLst>
                      <a:ext uri="{53640926-AAD7-44D8-BBD7-CCE9431645EC}">
                        <a14:shadowObscured xmlns:a14="http://schemas.microsoft.com/office/drawing/2010/main"/>
                      </a:ext>
                    </a:extLst>
                  </pic:spPr>
                </pic:pic>
              </a:graphicData>
            </a:graphic>
          </wp:inline>
        </w:drawing>
      </w:r>
      <w:r w:rsidR="00932AB9">
        <w:rPr>
          <w:sz w:val="28"/>
        </w:rPr>
        <w:br w:type="page"/>
      </w:r>
    </w:p>
    <w:p w14:paraId="418C9628" w14:textId="01E91A50" w:rsidR="00AB3724" w:rsidRDefault="00AB3724" w:rsidP="000C215A">
      <w:pPr>
        <w:pStyle w:val="Nadpis1"/>
        <w:rPr>
          <w:sz w:val="28"/>
          <w:szCs w:val="24"/>
        </w:rPr>
      </w:pPr>
      <w:r w:rsidRPr="004F1E9C">
        <w:rPr>
          <w:sz w:val="28"/>
          <w:szCs w:val="24"/>
        </w:rPr>
        <w:lastRenderedPageBreak/>
        <w:t>I. Shrnutí a vyhodnocení</w:t>
      </w:r>
    </w:p>
    <w:p w14:paraId="49694BE1" w14:textId="77777777" w:rsidR="005C6D42" w:rsidRDefault="005C6D42" w:rsidP="005C6D42">
      <w:pPr>
        <w:rPr>
          <w:b/>
        </w:rPr>
      </w:pPr>
    </w:p>
    <w:p w14:paraId="1FA25986" w14:textId="43710BCF" w:rsidR="00520509" w:rsidRDefault="00C66621" w:rsidP="00E729C2">
      <w:pPr>
        <w:autoSpaceDE w:val="0"/>
        <w:autoSpaceDN w:val="0"/>
        <w:adjustRightInd w:val="0"/>
        <w:rPr>
          <w:rFonts w:asciiTheme="minorHAnsi" w:hAnsiTheme="minorHAnsi" w:cstheme="minorHAnsi"/>
        </w:rPr>
      </w:pPr>
      <w:r w:rsidRPr="00C66621">
        <w:t>NKÚ provedl kontrolu peněžních prostředků poskytovaných M</w:t>
      </w:r>
      <w:r w:rsidR="005B06DA">
        <w:t>inisterstvem průmyslu a</w:t>
      </w:r>
      <w:r w:rsidR="00801608">
        <w:t> </w:t>
      </w:r>
      <w:r w:rsidR="005B06DA">
        <w:t xml:space="preserve">obchodu </w:t>
      </w:r>
      <w:r w:rsidR="005B06DA">
        <w:rPr>
          <w:rFonts w:asciiTheme="minorHAnsi" w:hAnsiTheme="minorHAnsi" w:cstheme="minorHAnsi"/>
        </w:rPr>
        <w:t xml:space="preserve">(dále také „MPO“) </w:t>
      </w:r>
      <w:r w:rsidRPr="00C66621">
        <w:t>na institucionální podporu</w:t>
      </w:r>
      <w:r w:rsidR="00801608">
        <w:t xml:space="preserve"> </w:t>
      </w:r>
      <w:r w:rsidR="00801608">
        <w:rPr>
          <w:rFonts w:asciiTheme="minorHAnsi" w:hAnsiTheme="minorHAnsi" w:cstheme="minorHAnsi"/>
        </w:rPr>
        <w:t xml:space="preserve">na </w:t>
      </w:r>
      <w:r w:rsidR="00801608" w:rsidRPr="00C15CEE">
        <w:rPr>
          <w:rFonts w:asciiTheme="minorHAnsi" w:hAnsiTheme="minorHAnsi" w:cstheme="minorHAnsi"/>
        </w:rPr>
        <w:t xml:space="preserve">dlouhodobý koncepční rozvoj </w:t>
      </w:r>
      <w:r w:rsidRPr="00C66621">
        <w:t xml:space="preserve">výzkumných </w:t>
      </w:r>
      <w:r>
        <w:t xml:space="preserve">organizací. </w:t>
      </w:r>
      <w:r w:rsidR="005B06DA" w:rsidRPr="00876251">
        <w:rPr>
          <w:color w:val="000000" w:themeColor="text1"/>
        </w:rPr>
        <w:t>Cílem kontroly bylo</w:t>
      </w:r>
      <w:r w:rsidR="005B06DA">
        <w:rPr>
          <w:rFonts w:asciiTheme="minorHAnsi" w:hAnsiTheme="minorHAnsi" w:cstheme="minorHAnsi"/>
        </w:rPr>
        <w:t xml:space="preserve"> p</w:t>
      </w:r>
      <w:r w:rsidR="005B06DA" w:rsidRPr="00746DF8">
        <w:rPr>
          <w:rFonts w:asciiTheme="minorHAnsi" w:hAnsiTheme="minorHAnsi" w:cstheme="minorHAnsi"/>
        </w:rPr>
        <w:t>rověřit, zda</w:t>
      </w:r>
      <w:r w:rsidR="005B06DA">
        <w:rPr>
          <w:rFonts w:asciiTheme="minorHAnsi" w:hAnsiTheme="minorHAnsi" w:cstheme="minorHAnsi"/>
        </w:rPr>
        <w:t xml:space="preserve"> </w:t>
      </w:r>
      <w:r w:rsidR="005B06DA" w:rsidRPr="004E5927">
        <w:rPr>
          <w:rFonts w:asciiTheme="minorHAnsi" w:hAnsiTheme="minorHAnsi" w:cstheme="minorHAnsi"/>
        </w:rPr>
        <w:t>byl</w:t>
      </w:r>
      <w:r w:rsidR="00FC05D2">
        <w:rPr>
          <w:rFonts w:asciiTheme="minorHAnsi" w:hAnsiTheme="minorHAnsi" w:cstheme="minorHAnsi"/>
        </w:rPr>
        <w:t>a</w:t>
      </w:r>
      <w:r w:rsidR="005B06DA" w:rsidRPr="004E5927">
        <w:rPr>
          <w:rFonts w:asciiTheme="minorHAnsi" w:hAnsiTheme="minorHAnsi" w:cstheme="minorHAnsi"/>
        </w:rPr>
        <w:t xml:space="preserve"> </w:t>
      </w:r>
      <w:r w:rsidR="00FC05D2">
        <w:rPr>
          <w:rFonts w:asciiTheme="minorHAnsi" w:hAnsiTheme="minorHAnsi" w:cstheme="minorHAnsi"/>
        </w:rPr>
        <w:t xml:space="preserve">tato podpora poskytována a čerpána </w:t>
      </w:r>
      <w:r w:rsidR="005B06DA" w:rsidRPr="004E5927">
        <w:rPr>
          <w:rFonts w:asciiTheme="minorHAnsi" w:hAnsiTheme="minorHAnsi" w:cstheme="minorHAnsi"/>
        </w:rPr>
        <w:t>účelně, hospodárně a v souladu s právními předpisy</w:t>
      </w:r>
      <w:r w:rsidR="005B06DA">
        <w:rPr>
          <w:rFonts w:asciiTheme="minorHAnsi" w:hAnsiTheme="minorHAnsi" w:cstheme="minorHAnsi"/>
        </w:rPr>
        <w:t xml:space="preserve">. </w:t>
      </w:r>
      <w:r w:rsidR="008859D7">
        <w:rPr>
          <w:rFonts w:asciiTheme="minorHAnsi" w:hAnsiTheme="minorHAnsi" w:cstheme="minorHAnsi"/>
        </w:rPr>
        <w:t>NKÚ kontrolu p</w:t>
      </w:r>
      <w:r w:rsidR="00103864">
        <w:rPr>
          <w:rFonts w:asciiTheme="minorHAnsi" w:hAnsiTheme="minorHAnsi" w:cstheme="minorHAnsi"/>
        </w:rPr>
        <w:t>r</w:t>
      </w:r>
      <w:r w:rsidR="008859D7">
        <w:rPr>
          <w:rFonts w:asciiTheme="minorHAnsi" w:hAnsiTheme="minorHAnsi" w:cstheme="minorHAnsi"/>
        </w:rPr>
        <w:t xml:space="preserve">ovedl u </w:t>
      </w:r>
      <w:r w:rsidR="005B06DA">
        <w:rPr>
          <w:rFonts w:asciiTheme="minorHAnsi" w:hAnsiTheme="minorHAnsi" w:cstheme="minorHAnsi"/>
        </w:rPr>
        <w:t>MPO</w:t>
      </w:r>
      <w:r w:rsidR="008859D7">
        <w:rPr>
          <w:rFonts w:asciiTheme="minorHAnsi" w:hAnsiTheme="minorHAnsi" w:cstheme="minorHAnsi"/>
        </w:rPr>
        <w:t xml:space="preserve"> </w:t>
      </w:r>
      <w:r w:rsidR="00A81897">
        <w:rPr>
          <w:rFonts w:asciiTheme="minorHAnsi" w:hAnsiTheme="minorHAnsi" w:cstheme="minorHAnsi"/>
        </w:rPr>
        <w:t>jako poskytovatele institucionální podpory</w:t>
      </w:r>
      <w:r w:rsidR="008859D7">
        <w:rPr>
          <w:rFonts w:asciiTheme="minorHAnsi" w:hAnsiTheme="minorHAnsi" w:cstheme="minorHAnsi"/>
        </w:rPr>
        <w:t xml:space="preserve"> a šesti vybraných výzkumných organizací jako příjemců institucionální podpory</w:t>
      </w:r>
      <w:r w:rsidR="00C15CEE">
        <w:rPr>
          <w:rFonts w:asciiTheme="minorHAnsi" w:hAnsiTheme="minorHAnsi" w:cstheme="minorHAnsi"/>
        </w:rPr>
        <w:t>.</w:t>
      </w:r>
      <w:r w:rsidR="00801608">
        <w:rPr>
          <w:rFonts w:asciiTheme="minorHAnsi" w:hAnsiTheme="minorHAnsi" w:cstheme="minorHAnsi"/>
        </w:rPr>
        <w:t xml:space="preserve"> </w:t>
      </w:r>
      <w:r w:rsidR="00801608">
        <w:rPr>
          <w:color w:val="auto"/>
          <w:lang w:eastAsia="cs-CZ"/>
        </w:rPr>
        <w:t>MPO</w:t>
      </w:r>
      <w:r w:rsidR="00801608" w:rsidRPr="00C7299B">
        <w:rPr>
          <w:color w:val="auto"/>
          <w:lang w:eastAsia="cs-CZ"/>
        </w:rPr>
        <w:t xml:space="preserve"> v letech 2018 až 2022 poskytlo institucionální podporu ve výši 2 266 mil. Kč celkem 14 výzkumným organizacím.</w:t>
      </w:r>
    </w:p>
    <w:p w14:paraId="6790DE49" w14:textId="45CF5705" w:rsidR="005C6D42" w:rsidRDefault="005C6D42" w:rsidP="003A0DBE">
      <w:pPr>
        <w:rPr>
          <w:rFonts w:asciiTheme="minorHAnsi" w:hAnsiTheme="minorHAnsi" w:cstheme="minorHAnsi"/>
        </w:rPr>
      </w:pPr>
    </w:p>
    <w:p w14:paraId="1F5FA30A" w14:textId="3DD7206A" w:rsidR="00B34E41" w:rsidRDefault="00C40232" w:rsidP="004731E6">
      <w:pPr>
        <w:rPr>
          <w:b/>
          <w:color w:val="auto"/>
        </w:rPr>
      </w:pPr>
      <w:bookmarkStart w:id="2" w:name="_Hlk82688633"/>
      <w:r w:rsidRPr="00D1200E">
        <w:rPr>
          <w:b/>
          <w:color w:val="auto"/>
        </w:rPr>
        <w:t>NKÚ zjistil, že</w:t>
      </w:r>
      <w:r w:rsidR="00D5226D" w:rsidRPr="00D1200E">
        <w:rPr>
          <w:b/>
          <w:color w:val="auto"/>
        </w:rPr>
        <w:t xml:space="preserve"> MPO poskytovalo v letech 2018 až 2022 institucionální podporu výzkumným organizacím, aniž </w:t>
      </w:r>
      <w:r w:rsidR="00D5226D" w:rsidRPr="00801608">
        <w:rPr>
          <w:b/>
          <w:color w:val="auto"/>
        </w:rPr>
        <w:t>by mělo stanovené cíle</w:t>
      </w:r>
      <w:r w:rsidR="00F6337D">
        <w:rPr>
          <w:b/>
          <w:color w:val="auto"/>
        </w:rPr>
        <w:t xml:space="preserve"> a přínosy</w:t>
      </w:r>
      <w:r w:rsidR="00D5226D" w:rsidRPr="00801608">
        <w:rPr>
          <w:b/>
          <w:color w:val="auto"/>
        </w:rPr>
        <w:t>, kterých chce poskytování</w:t>
      </w:r>
      <w:r w:rsidR="00801608" w:rsidRPr="00801608">
        <w:rPr>
          <w:b/>
          <w:color w:val="auto"/>
        </w:rPr>
        <w:t>m</w:t>
      </w:r>
      <w:r w:rsidR="00D5226D" w:rsidRPr="00801608">
        <w:rPr>
          <w:b/>
          <w:color w:val="auto"/>
        </w:rPr>
        <w:t xml:space="preserve"> této podpory dosáhnout. </w:t>
      </w:r>
      <w:r w:rsidR="00193E1B" w:rsidRPr="00801608">
        <w:rPr>
          <w:b/>
          <w:color w:val="auto"/>
        </w:rPr>
        <w:t>Vzhledem k</w:t>
      </w:r>
      <w:r w:rsidR="00BD7F4D">
        <w:rPr>
          <w:b/>
          <w:color w:val="auto"/>
        </w:rPr>
        <w:t xml:space="preserve"> </w:t>
      </w:r>
      <w:r w:rsidR="00193E1B" w:rsidRPr="00801608">
        <w:rPr>
          <w:b/>
          <w:color w:val="auto"/>
        </w:rPr>
        <w:t>absenci</w:t>
      </w:r>
      <w:r w:rsidR="00193E1B" w:rsidRPr="00D1200E">
        <w:rPr>
          <w:b/>
          <w:color w:val="auto"/>
        </w:rPr>
        <w:t xml:space="preserve"> cílů nelze vyhodnotit, zda byla </w:t>
      </w:r>
      <w:r w:rsidR="00D97793">
        <w:rPr>
          <w:b/>
          <w:color w:val="auto"/>
        </w:rPr>
        <w:t xml:space="preserve">institucionální </w:t>
      </w:r>
      <w:r w:rsidR="00193E1B" w:rsidRPr="00D1200E">
        <w:rPr>
          <w:b/>
          <w:color w:val="auto"/>
        </w:rPr>
        <w:t xml:space="preserve">podpora </w:t>
      </w:r>
      <w:r w:rsidR="00C60A11" w:rsidRPr="00D1200E">
        <w:rPr>
          <w:b/>
          <w:color w:val="auto"/>
        </w:rPr>
        <w:t xml:space="preserve">v působnosti MPO </w:t>
      </w:r>
      <w:r w:rsidR="00716090" w:rsidRPr="00D1200E">
        <w:rPr>
          <w:b/>
          <w:color w:val="auto"/>
        </w:rPr>
        <w:t xml:space="preserve">v letech 2018 až 2022 </w:t>
      </w:r>
      <w:r w:rsidR="00193E1B" w:rsidRPr="00D1200E">
        <w:rPr>
          <w:b/>
          <w:color w:val="auto"/>
        </w:rPr>
        <w:t xml:space="preserve">poskytnuta a </w:t>
      </w:r>
      <w:r w:rsidR="00BE2D59" w:rsidRPr="00D1200E">
        <w:rPr>
          <w:b/>
          <w:color w:val="auto"/>
        </w:rPr>
        <w:t>čerpána</w:t>
      </w:r>
      <w:r w:rsidR="00164A80" w:rsidRPr="00D1200E">
        <w:rPr>
          <w:b/>
          <w:color w:val="auto"/>
        </w:rPr>
        <w:t xml:space="preserve"> </w:t>
      </w:r>
      <w:r w:rsidR="00193E1B" w:rsidRPr="00D1200E">
        <w:rPr>
          <w:b/>
          <w:color w:val="auto"/>
        </w:rPr>
        <w:t>účelně</w:t>
      </w:r>
      <w:r w:rsidR="007D0602">
        <w:rPr>
          <w:b/>
          <w:color w:val="auto"/>
        </w:rPr>
        <w:t>.</w:t>
      </w:r>
    </w:p>
    <w:p w14:paraId="55711B25" w14:textId="77777777" w:rsidR="00821DFC" w:rsidRPr="00D1200E" w:rsidRDefault="00821DFC" w:rsidP="004731E6">
      <w:pPr>
        <w:rPr>
          <w:rFonts w:asciiTheme="minorHAnsi" w:hAnsiTheme="minorHAnsi" w:cstheme="minorHAnsi"/>
          <w:b/>
        </w:rPr>
      </w:pPr>
    </w:p>
    <w:p w14:paraId="4A547B3D" w14:textId="66E07FBE" w:rsidR="00C40232" w:rsidRDefault="00801608" w:rsidP="004731E6">
      <w:pPr>
        <w:rPr>
          <w:b/>
          <w:color w:val="auto"/>
        </w:rPr>
      </w:pPr>
      <w:r w:rsidRPr="008101D1">
        <w:rPr>
          <w:b/>
          <w:color w:val="auto"/>
        </w:rPr>
        <w:t>NKÚ</w:t>
      </w:r>
      <w:r>
        <w:rPr>
          <w:b/>
          <w:color w:val="auto"/>
        </w:rPr>
        <w:t xml:space="preserve"> </w:t>
      </w:r>
      <w:r w:rsidR="00D97793">
        <w:rPr>
          <w:b/>
          <w:color w:val="auto"/>
        </w:rPr>
        <w:t>u MPO ani u šesti kontrolovaných</w:t>
      </w:r>
      <w:r w:rsidR="00D97793" w:rsidRPr="00D97793">
        <w:rPr>
          <w:b/>
          <w:color w:val="auto"/>
        </w:rPr>
        <w:t xml:space="preserve"> </w:t>
      </w:r>
      <w:r w:rsidR="00D97793" w:rsidRPr="008101D1">
        <w:rPr>
          <w:b/>
          <w:color w:val="auto"/>
        </w:rPr>
        <w:t>výzkumných organizací</w:t>
      </w:r>
      <w:r w:rsidR="00D97793">
        <w:rPr>
          <w:b/>
          <w:color w:val="auto"/>
        </w:rPr>
        <w:t xml:space="preserve"> nezjistil </w:t>
      </w:r>
      <w:r w:rsidRPr="008101D1">
        <w:rPr>
          <w:b/>
          <w:color w:val="auto"/>
        </w:rPr>
        <w:t xml:space="preserve">nehospodárné </w:t>
      </w:r>
      <w:r w:rsidR="00D97793">
        <w:rPr>
          <w:b/>
          <w:color w:val="auto"/>
        </w:rPr>
        <w:t xml:space="preserve">použití </w:t>
      </w:r>
      <w:r w:rsidR="004B7602">
        <w:rPr>
          <w:b/>
          <w:color w:val="auto"/>
        </w:rPr>
        <w:t>poskytnuté podpory</w:t>
      </w:r>
      <w:r w:rsidR="00D97793">
        <w:rPr>
          <w:b/>
          <w:color w:val="auto"/>
        </w:rPr>
        <w:t xml:space="preserve">. </w:t>
      </w:r>
      <w:r w:rsidR="00D1200E">
        <w:rPr>
          <w:b/>
          <w:color w:val="auto"/>
        </w:rPr>
        <w:t xml:space="preserve">NKÚ </w:t>
      </w:r>
      <w:r>
        <w:rPr>
          <w:b/>
          <w:color w:val="auto"/>
        </w:rPr>
        <w:t xml:space="preserve">u </w:t>
      </w:r>
      <w:r w:rsidR="00193E1B" w:rsidRPr="008101D1">
        <w:rPr>
          <w:b/>
          <w:color w:val="auto"/>
        </w:rPr>
        <w:t>jedné podpořené výzkumné organizace zjistil porušení</w:t>
      </w:r>
      <w:r>
        <w:rPr>
          <w:b/>
          <w:color w:val="auto"/>
        </w:rPr>
        <w:t xml:space="preserve"> právního předpisu, a to</w:t>
      </w:r>
      <w:r w:rsidR="00193E1B" w:rsidRPr="008101D1">
        <w:rPr>
          <w:b/>
          <w:color w:val="auto"/>
        </w:rPr>
        <w:t xml:space="preserve"> zákona o zadávání veřejných zakázek</w:t>
      </w:r>
      <w:r w:rsidR="00BE2D59">
        <w:rPr>
          <w:rStyle w:val="Znakapoznpodarou"/>
          <w:b/>
          <w:color w:val="auto"/>
        </w:rPr>
        <w:footnoteReference w:id="1"/>
      </w:r>
      <w:r w:rsidR="00193E1B" w:rsidRPr="008101D1">
        <w:rPr>
          <w:b/>
          <w:color w:val="auto"/>
        </w:rPr>
        <w:t xml:space="preserve">. </w:t>
      </w:r>
    </w:p>
    <w:bookmarkEnd w:id="2"/>
    <w:p w14:paraId="73E0E39D" w14:textId="77777777" w:rsidR="00B43549" w:rsidRDefault="00B43549" w:rsidP="003639C6">
      <w:pPr>
        <w:rPr>
          <w:rFonts w:asciiTheme="minorHAnsi" w:hAnsiTheme="minorHAnsi" w:cstheme="minorHAnsi"/>
          <w:b/>
          <w:color w:val="000000" w:themeColor="text1"/>
          <w:lang w:eastAsia="cs-CZ"/>
        </w:rPr>
      </w:pPr>
    </w:p>
    <w:p w14:paraId="538BD8B5" w14:textId="77777777" w:rsidR="00C068B5" w:rsidRPr="007E0958" w:rsidRDefault="0044728A" w:rsidP="003169A2">
      <w:pPr>
        <w:spacing w:after="120"/>
        <w:rPr>
          <w:b/>
          <w:color w:val="auto"/>
        </w:rPr>
      </w:pPr>
      <w:r w:rsidRPr="007E0958">
        <w:rPr>
          <w:b/>
          <w:color w:val="auto"/>
        </w:rPr>
        <w:t>Celkové vyhodnocení vyplývá z následujících skutečností zjištěných kontrolou</w:t>
      </w:r>
      <w:r w:rsidR="008454D2" w:rsidRPr="007E0958">
        <w:rPr>
          <w:b/>
          <w:color w:val="auto"/>
        </w:rPr>
        <w:t>:</w:t>
      </w:r>
    </w:p>
    <w:p w14:paraId="6B6D8A8A" w14:textId="3A5ABD8A" w:rsidR="00FB21B3" w:rsidRPr="0021145B" w:rsidRDefault="00ED3DCB" w:rsidP="008E5A0D">
      <w:pPr>
        <w:pStyle w:val="Odstavecseseznamem"/>
        <w:numPr>
          <w:ilvl w:val="0"/>
          <w:numId w:val="17"/>
        </w:numPr>
        <w:ind w:left="284" w:hanging="284"/>
        <w:rPr>
          <w:color w:val="auto"/>
          <w:lang w:eastAsia="cs-CZ"/>
        </w:rPr>
      </w:pPr>
      <w:r w:rsidRPr="007E1953">
        <w:rPr>
          <w:color w:val="auto"/>
          <w:lang w:eastAsia="cs-CZ"/>
        </w:rPr>
        <w:t>Přestože MPO mělo zákonem</w:t>
      </w:r>
      <w:r w:rsidR="00D97793" w:rsidRPr="004731E6">
        <w:rPr>
          <w:rStyle w:val="Znakapoznpodarou"/>
          <w:color w:val="auto"/>
          <w:lang w:eastAsia="cs-CZ"/>
        </w:rPr>
        <w:footnoteReference w:id="2"/>
      </w:r>
      <w:r w:rsidR="00830AB2" w:rsidRPr="007E1953">
        <w:rPr>
          <w:color w:val="auto"/>
          <w:lang w:eastAsia="cs-CZ"/>
        </w:rPr>
        <w:t xml:space="preserve"> </w:t>
      </w:r>
      <w:r w:rsidRPr="007E1953">
        <w:rPr>
          <w:color w:val="auto"/>
          <w:lang w:eastAsia="cs-CZ"/>
        </w:rPr>
        <w:t>stanovenu povinnost připravit a realizovat koncepci výzkumu, vývoje a inovací</w:t>
      </w:r>
      <w:r w:rsidR="00B02B2F">
        <w:rPr>
          <w:color w:val="auto"/>
          <w:lang w:eastAsia="cs-CZ"/>
        </w:rPr>
        <w:t xml:space="preserve"> v</w:t>
      </w:r>
      <w:r w:rsidR="00412615">
        <w:rPr>
          <w:color w:val="auto"/>
          <w:lang w:eastAsia="cs-CZ"/>
        </w:rPr>
        <w:t xml:space="preserve"> </w:t>
      </w:r>
      <w:r w:rsidR="00B02B2F">
        <w:rPr>
          <w:color w:val="auto"/>
          <w:lang w:eastAsia="cs-CZ"/>
        </w:rPr>
        <w:t>oblasti</w:t>
      </w:r>
      <w:r w:rsidR="00F6337D">
        <w:rPr>
          <w:color w:val="auto"/>
          <w:lang w:eastAsia="cs-CZ"/>
        </w:rPr>
        <w:t xml:space="preserve"> </w:t>
      </w:r>
      <w:r w:rsidR="00B02B2F">
        <w:rPr>
          <w:color w:val="auto"/>
          <w:lang w:eastAsia="cs-CZ"/>
        </w:rPr>
        <w:t>své působnosti</w:t>
      </w:r>
      <w:r w:rsidRPr="007E1953">
        <w:rPr>
          <w:color w:val="auto"/>
          <w:lang w:eastAsia="cs-CZ"/>
        </w:rPr>
        <w:t xml:space="preserve">, </w:t>
      </w:r>
      <w:r w:rsidR="00B02B2F">
        <w:rPr>
          <w:color w:val="auto"/>
          <w:lang w:eastAsia="cs-CZ"/>
        </w:rPr>
        <w:t>do doby ukončení kontroly NKÚ koncepci</w:t>
      </w:r>
      <w:r w:rsidRPr="007E1953">
        <w:rPr>
          <w:color w:val="auto"/>
          <w:lang w:eastAsia="cs-CZ"/>
        </w:rPr>
        <w:t xml:space="preserve"> </w:t>
      </w:r>
      <w:r w:rsidR="00E92663" w:rsidRPr="007E1953">
        <w:rPr>
          <w:color w:val="auto"/>
          <w:lang w:eastAsia="cs-CZ"/>
        </w:rPr>
        <w:t>ne</w:t>
      </w:r>
      <w:r w:rsidR="00FC05D2">
        <w:rPr>
          <w:color w:val="auto"/>
          <w:lang w:eastAsia="cs-CZ"/>
        </w:rPr>
        <w:t>vy</w:t>
      </w:r>
      <w:r w:rsidR="00E92663" w:rsidRPr="007E1953">
        <w:rPr>
          <w:color w:val="auto"/>
          <w:lang w:eastAsia="cs-CZ"/>
        </w:rPr>
        <w:t>pracovalo</w:t>
      </w:r>
      <w:r w:rsidRPr="007E1953">
        <w:rPr>
          <w:color w:val="auto"/>
          <w:lang w:eastAsia="cs-CZ"/>
        </w:rPr>
        <w:t>. Na</w:t>
      </w:r>
      <w:r w:rsidR="00FC05D2">
        <w:rPr>
          <w:color w:val="auto"/>
          <w:lang w:eastAsia="cs-CZ"/>
        </w:rPr>
        <w:t xml:space="preserve"> </w:t>
      </w:r>
      <w:r w:rsidRPr="007E1953">
        <w:rPr>
          <w:color w:val="auto"/>
          <w:lang w:eastAsia="cs-CZ"/>
        </w:rPr>
        <w:t xml:space="preserve">tento nedostatek upozornil NKÚ </w:t>
      </w:r>
      <w:r w:rsidR="001D332B" w:rsidRPr="007E1953">
        <w:rPr>
          <w:color w:val="auto"/>
          <w:lang w:eastAsia="cs-CZ"/>
        </w:rPr>
        <w:t xml:space="preserve">již </w:t>
      </w:r>
      <w:r w:rsidRPr="007E1953">
        <w:rPr>
          <w:color w:val="auto"/>
          <w:lang w:eastAsia="cs-CZ"/>
        </w:rPr>
        <w:t>v</w:t>
      </w:r>
      <w:r w:rsidR="00FC05D2">
        <w:rPr>
          <w:color w:val="auto"/>
          <w:lang w:eastAsia="cs-CZ"/>
        </w:rPr>
        <w:t xml:space="preserve"> </w:t>
      </w:r>
      <w:r w:rsidRPr="007E1953">
        <w:rPr>
          <w:color w:val="auto"/>
          <w:lang w:eastAsia="cs-CZ"/>
        </w:rPr>
        <w:t>roce 2018</w:t>
      </w:r>
      <w:r w:rsidR="00C15CEE">
        <w:rPr>
          <w:rStyle w:val="Znakapoznpodarou"/>
          <w:color w:val="auto"/>
          <w:lang w:eastAsia="cs-CZ"/>
        </w:rPr>
        <w:footnoteReference w:id="3"/>
      </w:r>
      <w:r w:rsidRPr="007E1953">
        <w:rPr>
          <w:color w:val="auto"/>
          <w:lang w:eastAsia="cs-CZ"/>
        </w:rPr>
        <w:t>. MPO</w:t>
      </w:r>
      <w:r w:rsidR="004212E1">
        <w:rPr>
          <w:color w:val="auto"/>
          <w:lang w:eastAsia="cs-CZ"/>
        </w:rPr>
        <w:t xml:space="preserve"> </w:t>
      </w:r>
      <w:r w:rsidR="00412615">
        <w:rPr>
          <w:color w:val="auto"/>
          <w:lang w:eastAsia="cs-CZ"/>
        </w:rPr>
        <w:br/>
      </w:r>
      <w:r w:rsidR="004212E1">
        <w:rPr>
          <w:color w:val="auto"/>
          <w:lang w:eastAsia="cs-CZ"/>
        </w:rPr>
        <w:t>u</w:t>
      </w:r>
      <w:r w:rsidR="00412615">
        <w:rPr>
          <w:color w:val="auto"/>
          <w:lang w:eastAsia="cs-CZ"/>
        </w:rPr>
        <w:t xml:space="preserve"> </w:t>
      </w:r>
      <w:r w:rsidRPr="007E1953">
        <w:rPr>
          <w:color w:val="auto"/>
          <w:lang w:eastAsia="cs-CZ"/>
        </w:rPr>
        <w:t>institucionální podpor</w:t>
      </w:r>
      <w:r w:rsidR="004212E1">
        <w:rPr>
          <w:color w:val="auto"/>
          <w:lang w:eastAsia="cs-CZ"/>
        </w:rPr>
        <w:t>y</w:t>
      </w:r>
      <w:r w:rsidR="00FC05D2">
        <w:rPr>
          <w:color w:val="auto"/>
          <w:lang w:eastAsia="cs-CZ"/>
        </w:rPr>
        <w:t>, kterou</w:t>
      </w:r>
      <w:r w:rsidR="004212E1">
        <w:rPr>
          <w:color w:val="auto"/>
          <w:lang w:eastAsia="cs-CZ"/>
        </w:rPr>
        <w:t xml:space="preserve"> </w:t>
      </w:r>
      <w:r w:rsidRPr="007E1953">
        <w:rPr>
          <w:color w:val="auto"/>
          <w:lang w:eastAsia="cs-CZ"/>
        </w:rPr>
        <w:t>poskyt</w:t>
      </w:r>
      <w:r w:rsidR="00FC05D2">
        <w:rPr>
          <w:color w:val="auto"/>
          <w:lang w:eastAsia="cs-CZ"/>
        </w:rPr>
        <w:t>uje</w:t>
      </w:r>
      <w:r w:rsidR="009335B0">
        <w:rPr>
          <w:color w:val="auto"/>
          <w:lang w:eastAsia="cs-CZ"/>
        </w:rPr>
        <w:t xml:space="preserve"> ze své </w:t>
      </w:r>
      <w:r w:rsidRPr="007E1953">
        <w:rPr>
          <w:color w:val="auto"/>
          <w:lang w:eastAsia="cs-CZ"/>
        </w:rPr>
        <w:t>rozpočtové kapitoly</w:t>
      </w:r>
      <w:r w:rsidR="00FC05D2">
        <w:rPr>
          <w:color w:val="auto"/>
          <w:lang w:eastAsia="cs-CZ"/>
        </w:rPr>
        <w:t>,</w:t>
      </w:r>
      <w:r w:rsidR="004212E1">
        <w:rPr>
          <w:color w:val="auto"/>
          <w:lang w:eastAsia="cs-CZ"/>
        </w:rPr>
        <w:t xml:space="preserve"> </w:t>
      </w:r>
      <w:r w:rsidR="004212E1" w:rsidRPr="004212E1">
        <w:rPr>
          <w:color w:val="auto"/>
          <w:lang w:eastAsia="cs-CZ"/>
        </w:rPr>
        <w:t xml:space="preserve">nestanovilo cíle </w:t>
      </w:r>
      <w:r w:rsidR="00002176">
        <w:rPr>
          <w:color w:val="auto"/>
          <w:lang w:eastAsia="cs-CZ"/>
        </w:rPr>
        <w:br/>
      </w:r>
      <w:r w:rsidR="004212E1" w:rsidRPr="004212E1">
        <w:rPr>
          <w:color w:val="auto"/>
          <w:lang w:eastAsia="cs-CZ"/>
        </w:rPr>
        <w:t>a</w:t>
      </w:r>
      <w:r w:rsidR="00002176">
        <w:rPr>
          <w:color w:val="auto"/>
          <w:lang w:eastAsia="cs-CZ"/>
        </w:rPr>
        <w:t xml:space="preserve"> </w:t>
      </w:r>
      <w:r w:rsidR="004212E1" w:rsidRPr="004212E1">
        <w:rPr>
          <w:color w:val="auto"/>
          <w:lang w:eastAsia="cs-CZ"/>
        </w:rPr>
        <w:t>očekávané přínosy pro stát ani</w:t>
      </w:r>
      <w:r w:rsidRPr="007E1953">
        <w:rPr>
          <w:color w:val="auto"/>
          <w:lang w:eastAsia="cs-CZ"/>
        </w:rPr>
        <w:t xml:space="preserve"> v</w:t>
      </w:r>
      <w:r w:rsidR="00FC05D2">
        <w:rPr>
          <w:color w:val="auto"/>
          <w:lang w:eastAsia="cs-CZ"/>
        </w:rPr>
        <w:t xml:space="preserve"> </w:t>
      </w:r>
      <w:r w:rsidRPr="007E1953">
        <w:rPr>
          <w:color w:val="auto"/>
          <w:lang w:eastAsia="cs-CZ"/>
        </w:rPr>
        <w:t xml:space="preserve">žádném jiném </w:t>
      </w:r>
      <w:r w:rsidRPr="0016119A">
        <w:rPr>
          <w:color w:val="auto"/>
          <w:lang w:eastAsia="cs-CZ"/>
        </w:rPr>
        <w:t>dokument</w:t>
      </w:r>
      <w:r w:rsidR="004E34EB" w:rsidRPr="0016119A">
        <w:rPr>
          <w:color w:val="auto"/>
          <w:lang w:eastAsia="cs-CZ"/>
        </w:rPr>
        <w:t>u</w:t>
      </w:r>
      <w:r w:rsidRPr="0016119A">
        <w:rPr>
          <w:color w:val="auto"/>
          <w:lang w:eastAsia="cs-CZ"/>
        </w:rPr>
        <w:t xml:space="preserve">. </w:t>
      </w:r>
      <w:r w:rsidR="00E92663" w:rsidRPr="007E1953">
        <w:rPr>
          <w:color w:val="auto"/>
          <w:lang w:eastAsia="cs-CZ"/>
        </w:rPr>
        <w:t>Vzhledem</w:t>
      </w:r>
      <w:r w:rsidR="00B02B2F">
        <w:rPr>
          <w:color w:val="auto"/>
          <w:lang w:eastAsia="cs-CZ"/>
        </w:rPr>
        <w:t xml:space="preserve"> </w:t>
      </w:r>
      <w:r w:rsidR="00F6337D">
        <w:rPr>
          <w:color w:val="auto"/>
          <w:lang w:eastAsia="cs-CZ"/>
        </w:rPr>
        <w:t>k</w:t>
      </w:r>
      <w:r w:rsidR="00412615">
        <w:rPr>
          <w:color w:val="auto"/>
          <w:lang w:eastAsia="cs-CZ"/>
        </w:rPr>
        <w:t xml:space="preserve"> </w:t>
      </w:r>
      <w:r w:rsidR="00F6337D">
        <w:rPr>
          <w:color w:val="auto"/>
          <w:lang w:eastAsia="cs-CZ"/>
        </w:rPr>
        <w:t>absenci cílů</w:t>
      </w:r>
      <w:r w:rsidR="00E92663" w:rsidRPr="007E1953">
        <w:rPr>
          <w:color w:val="auto"/>
          <w:lang w:eastAsia="cs-CZ"/>
        </w:rPr>
        <w:t xml:space="preserve"> </w:t>
      </w:r>
      <w:r w:rsidR="00B02B2F">
        <w:rPr>
          <w:color w:val="auto"/>
          <w:lang w:eastAsia="cs-CZ"/>
        </w:rPr>
        <w:t>nelze vyhodnotit</w:t>
      </w:r>
      <w:r w:rsidR="00E92663" w:rsidRPr="007E1953">
        <w:rPr>
          <w:color w:val="auto"/>
          <w:lang w:eastAsia="cs-CZ"/>
        </w:rPr>
        <w:t xml:space="preserve"> účelnost institucionální podpory, kterou MPO poskytlo v</w:t>
      </w:r>
      <w:r w:rsidR="00412615">
        <w:rPr>
          <w:color w:val="auto"/>
          <w:lang w:eastAsia="cs-CZ"/>
        </w:rPr>
        <w:t xml:space="preserve"> </w:t>
      </w:r>
      <w:r w:rsidR="00E92663" w:rsidRPr="007E1953">
        <w:rPr>
          <w:color w:val="auto"/>
          <w:lang w:eastAsia="cs-CZ"/>
        </w:rPr>
        <w:t>letech 2018 až</w:t>
      </w:r>
      <w:r w:rsidR="00B43549">
        <w:rPr>
          <w:color w:val="auto"/>
          <w:lang w:eastAsia="cs-CZ"/>
        </w:rPr>
        <w:t> </w:t>
      </w:r>
      <w:r w:rsidR="00E92663" w:rsidRPr="007E1953">
        <w:rPr>
          <w:color w:val="auto"/>
          <w:lang w:eastAsia="cs-CZ"/>
        </w:rPr>
        <w:t>2022</w:t>
      </w:r>
      <w:r w:rsidR="00313CE1">
        <w:rPr>
          <w:color w:val="auto"/>
          <w:lang w:eastAsia="cs-CZ"/>
        </w:rPr>
        <w:t>.</w:t>
      </w:r>
    </w:p>
    <w:p w14:paraId="0FEF3D9A" w14:textId="77777777" w:rsidR="00E729C2" w:rsidRPr="00F55D43" w:rsidRDefault="00E729C2" w:rsidP="000402A6">
      <w:pPr>
        <w:rPr>
          <w:color w:val="auto"/>
          <w:lang w:eastAsia="cs-CZ"/>
        </w:rPr>
      </w:pPr>
    </w:p>
    <w:p w14:paraId="08148F56" w14:textId="50244B12" w:rsidR="00E729C2" w:rsidRPr="00F6337D" w:rsidRDefault="00352C02" w:rsidP="00F6337D">
      <w:pPr>
        <w:pStyle w:val="Odstavecseseznamem"/>
        <w:numPr>
          <w:ilvl w:val="0"/>
          <w:numId w:val="17"/>
        </w:numPr>
        <w:ind w:left="284" w:hanging="284"/>
        <w:rPr>
          <w:color w:val="auto"/>
          <w:lang w:eastAsia="cs-CZ"/>
        </w:rPr>
      </w:pPr>
      <w:r>
        <w:rPr>
          <w:color w:val="auto"/>
          <w:lang w:eastAsia="cs-CZ"/>
        </w:rPr>
        <w:t>V</w:t>
      </w:r>
      <w:r w:rsidR="00033308">
        <w:rPr>
          <w:color w:val="auto"/>
          <w:lang w:eastAsia="cs-CZ"/>
        </w:rPr>
        <w:t>stupní a průběžné</w:t>
      </w:r>
      <w:r>
        <w:rPr>
          <w:color w:val="auto"/>
          <w:lang w:eastAsia="cs-CZ"/>
        </w:rPr>
        <w:t xml:space="preserve"> hodnocení</w:t>
      </w:r>
      <w:r w:rsidR="00EF37EE">
        <w:rPr>
          <w:color w:val="auto"/>
          <w:lang w:eastAsia="cs-CZ"/>
        </w:rPr>
        <w:t xml:space="preserve"> podpořených výzkumných organizací</w:t>
      </w:r>
      <w:r>
        <w:rPr>
          <w:color w:val="auto"/>
          <w:lang w:eastAsia="cs-CZ"/>
        </w:rPr>
        <w:t xml:space="preserve"> provedlo MPO </w:t>
      </w:r>
      <w:r w:rsidR="00F6337D">
        <w:rPr>
          <w:color w:val="auto"/>
          <w:lang w:eastAsia="cs-CZ"/>
        </w:rPr>
        <w:t xml:space="preserve">dle NKÚ </w:t>
      </w:r>
      <w:r>
        <w:rPr>
          <w:color w:val="auto"/>
          <w:lang w:eastAsia="cs-CZ"/>
        </w:rPr>
        <w:t xml:space="preserve">transparentně a </w:t>
      </w:r>
      <w:r w:rsidR="00033308">
        <w:rPr>
          <w:color w:val="auto"/>
          <w:lang w:eastAsia="cs-CZ"/>
        </w:rPr>
        <w:t xml:space="preserve">podle </w:t>
      </w:r>
      <w:r w:rsidR="009A1E7B">
        <w:rPr>
          <w:color w:val="auto"/>
          <w:lang w:eastAsia="cs-CZ"/>
        </w:rPr>
        <w:t>principů</w:t>
      </w:r>
      <w:r w:rsidR="00716090">
        <w:rPr>
          <w:rStyle w:val="Znakapoznpodarou"/>
          <w:color w:val="auto"/>
          <w:lang w:eastAsia="cs-CZ"/>
        </w:rPr>
        <w:footnoteReference w:id="4"/>
      </w:r>
      <w:r w:rsidR="009A1E7B">
        <w:rPr>
          <w:color w:val="auto"/>
          <w:lang w:eastAsia="cs-CZ"/>
        </w:rPr>
        <w:t xml:space="preserve"> </w:t>
      </w:r>
      <w:r w:rsidR="001B4895">
        <w:rPr>
          <w:color w:val="auto"/>
          <w:lang w:eastAsia="cs-CZ"/>
        </w:rPr>
        <w:t>schválených</w:t>
      </w:r>
      <w:r w:rsidR="00033308">
        <w:rPr>
          <w:color w:val="auto"/>
          <w:lang w:eastAsia="cs-CZ"/>
        </w:rPr>
        <w:t xml:space="preserve"> </w:t>
      </w:r>
      <w:r w:rsidR="009A1E7B">
        <w:rPr>
          <w:color w:val="auto"/>
          <w:lang w:eastAsia="cs-CZ"/>
        </w:rPr>
        <w:t>vládou</w:t>
      </w:r>
      <w:r w:rsidR="00716090">
        <w:rPr>
          <w:color w:val="auto"/>
          <w:lang w:eastAsia="cs-CZ"/>
        </w:rPr>
        <w:t xml:space="preserve"> ČR</w:t>
      </w:r>
      <w:r>
        <w:rPr>
          <w:color w:val="auto"/>
          <w:lang w:eastAsia="cs-CZ"/>
        </w:rPr>
        <w:t xml:space="preserve">. </w:t>
      </w:r>
      <w:r w:rsidR="0032524C">
        <w:rPr>
          <w:color w:val="auto"/>
          <w:lang w:eastAsia="cs-CZ"/>
        </w:rPr>
        <w:t>NKÚ však zjistil, že ve</w:t>
      </w:r>
      <w:r w:rsidR="00FC05D2">
        <w:rPr>
          <w:color w:val="auto"/>
          <w:lang w:eastAsia="cs-CZ"/>
        </w:rPr>
        <w:t xml:space="preserve"> </w:t>
      </w:r>
      <w:r w:rsidR="0032524C">
        <w:rPr>
          <w:color w:val="auto"/>
          <w:lang w:eastAsia="cs-CZ"/>
        </w:rPr>
        <w:t>čtyřech případech v</w:t>
      </w:r>
      <w:r>
        <w:rPr>
          <w:color w:val="auto"/>
          <w:lang w:eastAsia="cs-CZ"/>
        </w:rPr>
        <w:t xml:space="preserve">ýzkumné organizace </w:t>
      </w:r>
      <w:r w:rsidR="0032524C">
        <w:rPr>
          <w:color w:val="auto"/>
          <w:lang w:eastAsia="cs-CZ"/>
        </w:rPr>
        <w:t xml:space="preserve">uvedly </w:t>
      </w:r>
      <w:r w:rsidR="00655311">
        <w:rPr>
          <w:color w:val="auto"/>
          <w:lang w:eastAsia="cs-CZ"/>
        </w:rPr>
        <w:t>chybné údaje</w:t>
      </w:r>
      <w:r w:rsidR="00EE109D">
        <w:rPr>
          <w:color w:val="auto"/>
          <w:lang w:eastAsia="cs-CZ"/>
        </w:rPr>
        <w:t>,</w:t>
      </w:r>
      <w:r w:rsidR="0032524C">
        <w:rPr>
          <w:color w:val="auto"/>
          <w:lang w:eastAsia="cs-CZ"/>
        </w:rPr>
        <w:t xml:space="preserve"> </w:t>
      </w:r>
      <w:r w:rsidR="00F6337D">
        <w:rPr>
          <w:color w:val="auto"/>
          <w:lang w:eastAsia="cs-CZ"/>
        </w:rPr>
        <w:t>přičemž</w:t>
      </w:r>
      <w:r w:rsidR="00655311">
        <w:rPr>
          <w:color w:val="auto"/>
          <w:lang w:eastAsia="cs-CZ"/>
        </w:rPr>
        <w:t xml:space="preserve"> MPO</w:t>
      </w:r>
      <w:r>
        <w:rPr>
          <w:color w:val="auto"/>
          <w:lang w:eastAsia="cs-CZ"/>
        </w:rPr>
        <w:t xml:space="preserve"> </w:t>
      </w:r>
      <w:r w:rsidR="00B02B2F">
        <w:rPr>
          <w:color w:val="auto"/>
          <w:lang w:eastAsia="cs-CZ"/>
        </w:rPr>
        <w:t>tyto nesrovnalosti</w:t>
      </w:r>
      <w:r w:rsidR="00885CFA">
        <w:rPr>
          <w:color w:val="auto"/>
          <w:lang w:eastAsia="cs-CZ"/>
        </w:rPr>
        <w:t xml:space="preserve"> </w:t>
      </w:r>
      <w:r w:rsidR="004212E1">
        <w:rPr>
          <w:color w:val="auto"/>
          <w:lang w:eastAsia="cs-CZ"/>
        </w:rPr>
        <w:t>nezjistilo</w:t>
      </w:r>
      <w:r w:rsidR="009A2FD4">
        <w:rPr>
          <w:color w:val="auto"/>
          <w:lang w:eastAsia="cs-CZ"/>
        </w:rPr>
        <w:t>, což svědčí o nedostatečně účinné kontrole údajů ze</w:t>
      </w:r>
      <w:r w:rsidR="00412615">
        <w:rPr>
          <w:color w:val="auto"/>
          <w:lang w:eastAsia="cs-CZ"/>
        </w:rPr>
        <w:t xml:space="preserve"> </w:t>
      </w:r>
      <w:r w:rsidR="009A2FD4">
        <w:rPr>
          <w:color w:val="auto"/>
          <w:lang w:eastAsia="cs-CZ"/>
        </w:rPr>
        <w:t xml:space="preserve">strany </w:t>
      </w:r>
      <w:r w:rsidR="00412615">
        <w:rPr>
          <w:color w:val="auto"/>
          <w:lang w:eastAsia="cs-CZ"/>
        </w:rPr>
        <w:br/>
      </w:r>
      <w:r w:rsidR="009A2FD4">
        <w:rPr>
          <w:color w:val="auto"/>
          <w:lang w:eastAsia="cs-CZ"/>
        </w:rPr>
        <w:t>MPO.</w:t>
      </w:r>
      <w:r w:rsidR="009A1E7B">
        <w:rPr>
          <w:rFonts w:eastAsiaTheme="minorHAnsi"/>
          <w:b/>
        </w:rPr>
        <w:t xml:space="preserve"> </w:t>
      </w:r>
      <w:r w:rsidR="003A3D0C">
        <w:rPr>
          <w:color w:val="auto"/>
          <w:lang w:eastAsia="cs-CZ"/>
        </w:rPr>
        <w:t>Dle zákon</w:t>
      </w:r>
      <w:r w:rsidR="00EF37EE">
        <w:rPr>
          <w:color w:val="auto"/>
          <w:lang w:eastAsia="cs-CZ"/>
        </w:rPr>
        <w:t>a</w:t>
      </w:r>
      <w:r w:rsidR="000D14BA">
        <w:rPr>
          <w:color w:val="auto"/>
          <w:vertAlign w:val="superscript"/>
          <w:lang w:eastAsia="cs-CZ"/>
        </w:rPr>
        <w:t>2</w:t>
      </w:r>
      <w:r w:rsidR="0077696E" w:rsidRPr="004731E6">
        <w:rPr>
          <w:color w:val="auto"/>
          <w:lang w:eastAsia="cs-CZ"/>
        </w:rPr>
        <w:t xml:space="preserve"> </w:t>
      </w:r>
      <w:r w:rsidR="003A3D0C">
        <w:rPr>
          <w:color w:val="auto"/>
          <w:lang w:eastAsia="cs-CZ"/>
        </w:rPr>
        <w:t xml:space="preserve">poskytuje MPO institucionální podporu na </w:t>
      </w:r>
      <w:r w:rsidR="003A3D0C" w:rsidRPr="003A3D0C">
        <w:rPr>
          <w:color w:val="auto"/>
          <w:lang w:eastAsia="cs-CZ"/>
        </w:rPr>
        <w:t>dlouhodobý koncepční rozvoj výzkumné organizace</w:t>
      </w:r>
      <w:r w:rsidR="003A3D0C">
        <w:rPr>
          <w:color w:val="auto"/>
          <w:lang w:eastAsia="cs-CZ"/>
        </w:rPr>
        <w:t xml:space="preserve">. </w:t>
      </w:r>
      <w:r>
        <w:rPr>
          <w:color w:val="auto"/>
          <w:lang w:eastAsia="cs-CZ"/>
        </w:rPr>
        <w:t>V</w:t>
      </w:r>
      <w:r w:rsidR="00412615">
        <w:rPr>
          <w:color w:val="auto"/>
          <w:lang w:eastAsia="cs-CZ"/>
        </w:rPr>
        <w:t xml:space="preserve"> </w:t>
      </w:r>
      <w:r>
        <w:rPr>
          <w:color w:val="auto"/>
          <w:lang w:eastAsia="cs-CZ"/>
        </w:rPr>
        <w:t>letech 2018 až 2021 poskyt</w:t>
      </w:r>
      <w:r w:rsidR="00F6337D">
        <w:rPr>
          <w:color w:val="auto"/>
          <w:lang w:eastAsia="cs-CZ"/>
        </w:rPr>
        <w:t>lo</w:t>
      </w:r>
      <w:r>
        <w:rPr>
          <w:color w:val="auto"/>
          <w:lang w:eastAsia="cs-CZ"/>
        </w:rPr>
        <w:t xml:space="preserve"> MPO institucionální </w:t>
      </w:r>
      <w:r w:rsidR="00412615">
        <w:rPr>
          <w:color w:val="auto"/>
          <w:lang w:eastAsia="cs-CZ"/>
        </w:rPr>
        <w:br/>
      </w:r>
      <w:r>
        <w:rPr>
          <w:color w:val="auto"/>
          <w:lang w:eastAsia="cs-CZ"/>
        </w:rPr>
        <w:t xml:space="preserve">podporu </w:t>
      </w:r>
      <w:r w:rsidR="00F6337D">
        <w:rPr>
          <w:color w:val="auto"/>
          <w:lang w:eastAsia="cs-CZ"/>
        </w:rPr>
        <w:t>ve</w:t>
      </w:r>
      <w:r w:rsidR="00FC05D2">
        <w:rPr>
          <w:color w:val="auto"/>
          <w:lang w:eastAsia="cs-CZ"/>
        </w:rPr>
        <w:t xml:space="preserve"> </w:t>
      </w:r>
      <w:r w:rsidR="00F6337D">
        <w:rPr>
          <w:color w:val="auto"/>
          <w:lang w:eastAsia="cs-CZ"/>
        </w:rPr>
        <w:t xml:space="preserve">výši </w:t>
      </w:r>
      <w:r w:rsidR="00F6337D" w:rsidRPr="00F6337D">
        <w:rPr>
          <w:color w:val="auto"/>
          <w:lang w:eastAsia="cs-CZ"/>
        </w:rPr>
        <w:t>39</w:t>
      </w:r>
      <w:r w:rsidR="00FC05D2">
        <w:rPr>
          <w:color w:val="auto"/>
          <w:lang w:eastAsia="cs-CZ"/>
        </w:rPr>
        <w:t> </w:t>
      </w:r>
      <w:r w:rsidR="00F6337D" w:rsidRPr="00F6337D">
        <w:rPr>
          <w:color w:val="auto"/>
          <w:lang w:eastAsia="cs-CZ"/>
        </w:rPr>
        <w:t>289</w:t>
      </w:r>
      <w:r w:rsidR="00F6337D">
        <w:rPr>
          <w:color w:val="auto"/>
          <w:lang w:eastAsia="cs-CZ"/>
        </w:rPr>
        <w:t> </w:t>
      </w:r>
      <w:r w:rsidR="00F6337D" w:rsidRPr="00F6337D">
        <w:rPr>
          <w:color w:val="auto"/>
          <w:lang w:eastAsia="cs-CZ"/>
        </w:rPr>
        <w:t>894</w:t>
      </w:r>
      <w:r w:rsidR="00F6337D">
        <w:rPr>
          <w:color w:val="auto"/>
          <w:lang w:eastAsia="cs-CZ"/>
        </w:rPr>
        <w:t xml:space="preserve"> Kč </w:t>
      </w:r>
      <w:r w:rsidRPr="00F6337D">
        <w:rPr>
          <w:color w:val="auto"/>
          <w:lang w:eastAsia="cs-CZ"/>
        </w:rPr>
        <w:t>výzkumné organizaci</w:t>
      </w:r>
      <w:r w:rsidR="00E1044D" w:rsidRPr="00F6337D">
        <w:rPr>
          <w:color w:val="auto"/>
          <w:lang w:eastAsia="cs-CZ"/>
        </w:rPr>
        <w:t>, kterou opakovaně hodnotilo jako</w:t>
      </w:r>
      <w:r w:rsidR="00453684" w:rsidRPr="00F6337D">
        <w:rPr>
          <w:color w:val="auto"/>
          <w:lang w:eastAsia="cs-CZ"/>
        </w:rPr>
        <w:t xml:space="preserve"> podprůměrnou</w:t>
      </w:r>
      <w:r w:rsidRPr="00F6337D">
        <w:rPr>
          <w:color w:val="auto"/>
          <w:lang w:eastAsia="cs-CZ"/>
        </w:rPr>
        <w:t xml:space="preserve">. MPO </w:t>
      </w:r>
      <w:r w:rsidR="00533433" w:rsidRPr="00F6337D">
        <w:rPr>
          <w:color w:val="auto"/>
          <w:lang w:eastAsia="cs-CZ"/>
        </w:rPr>
        <w:t xml:space="preserve">sice </w:t>
      </w:r>
      <w:r w:rsidRPr="00F6337D">
        <w:rPr>
          <w:color w:val="auto"/>
          <w:lang w:eastAsia="cs-CZ"/>
        </w:rPr>
        <w:t xml:space="preserve">postupovalo podle stanovených principů, ale dle NKÚ </w:t>
      </w:r>
      <w:r w:rsidR="009A2FD4" w:rsidRPr="00F6337D">
        <w:rPr>
          <w:color w:val="auto"/>
          <w:lang w:eastAsia="cs-CZ"/>
        </w:rPr>
        <w:t>poskytování podpory výzkumné organizaci, u níž MPO hodnotilo opakovaně naplňování koncepce</w:t>
      </w:r>
      <w:r w:rsidR="00CD212B">
        <w:rPr>
          <w:color w:val="auto"/>
          <w:lang w:eastAsia="cs-CZ"/>
        </w:rPr>
        <w:t xml:space="preserve"> dlouhodobého</w:t>
      </w:r>
      <w:r w:rsidR="009A2FD4" w:rsidRPr="00F6337D">
        <w:rPr>
          <w:color w:val="auto"/>
          <w:lang w:eastAsia="cs-CZ"/>
        </w:rPr>
        <w:t xml:space="preserve"> rozvoje jako podprůměrné, snižuje efektivnost </w:t>
      </w:r>
      <w:r w:rsidR="00F6337D">
        <w:rPr>
          <w:color w:val="auto"/>
          <w:lang w:eastAsia="cs-CZ"/>
        </w:rPr>
        <w:t xml:space="preserve">poskytované </w:t>
      </w:r>
      <w:r w:rsidR="009A2FD4" w:rsidRPr="00F6337D">
        <w:rPr>
          <w:color w:val="auto"/>
          <w:lang w:eastAsia="cs-CZ"/>
        </w:rPr>
        <w:t>podpory.</w:t>
      </w:r>
    </w:p>
    <w:p w14:paraId="2DDB6825" w14:textId="77777777" w:rsidR="009A2FD4" w:rsidRPr="00033308" w:rsidRDefault="009A2FD4" w:rsidP="00033308">
      <w:pPr>
        <w:rPr>
          <w:color w:val="auto"/>
          <w:lang w:eastAsia="cs-CZ"/>
        </w:rPr>
      </w:pPr>
    </w:p>
    <w:p w14:paraId="3D4738CE" w14:textId="3C5EC9F4" w:rsidR="004B7602" w:rsidRPr="004B7602" w:rsidRDefault="007B6061" w:rsidP="004B7602">
      <w:pPr>
        <w:pStyle w:val="Odstavecseseznamem"/>
        <w:numPr>
          <w:ilvl w:val="0"/>
          <w:numId w:val="17"/>
        </w:numPr>
        <w:ind w:left="284" w:hanging="284"/>
        <w:rPr>
          <w:color w:val="auto"/>
          <w:lang w:eastAsia="cs-CZ"/>
        </w:rPr>
      </w:pPr>
      <w:r w:rsidRPr="007123B1">
        <w:rPr>
          <w:rFonts w:asciiTheme="minorHAnsi" w:eastAsiaTheme="minorHAnsi" w:hAnsiTheme="minorHAnsi" w:cstheme="minorHAnsi"/>
        </w:rPr>
        <w:lastRenderedPageBreak/>
        <w:t xml:space="preserve">MPO </w:t>
      </w:r>
      <w:r w:rsidR="00453684" w:rsidRPr="007123B1">
        <w:rPr>
          <w:rFonts w:asciiTheme="minorHAnsi" w:eastAsiaTheme="minorHAnsi" w:hAnsiTheme="minorHAnsi" w:cstheme="minorHAnsi"/>
        </w:rPr>
        <w:t xml:space="preserve">převzalo definici způsobilých nákladů ze zákona o podpoře výzkumu, experimentálního vývoje a inovací. </w:t>
      </w:r>
      <w:r w:rsidR="003D6933" w:rsidRPr="007123B1">
        <w:rPr>
          <w:rFonts w:asciiTheme="minorHAnsi" w:eastAsiaTheme="minorHAnsi" w:hAnsiTheme="minorHAnsi" w:cstheme="minorHAnsi"/>
        </w:rPr>
        <w:t>D</w:t>
      </w:r>
      <w:r w:rsidR="00453684" w:rsidRPr="007123B1">
        <w:rPr>
          <w:rFonts w:asciiTheme="minorHAnsi" w:eastAsiaTheme="minorHAnsi" w:hAnsiTheme="minorHAnsi" w:cstheme="minorHAnsi"/>
        </w:rPr>
        <w:t>ále</w:t>
      </w:r>
      <w:r w:rsidR="003D6933" w:rsidRPr="007123B1">
        <w:rPr>
          <w:rFonts w:asciiTheme="minorHAnsi" w:eastAsiaTheme="minorHAnsi" w:hAnsiTheme="minorHAnsi" w:cstheme="minorHAnsi"/>
        </w:rPr>
        <w:t xml:space="preserve"> </w:t>
      </w:r>
      <w:r w:rsidR="00655311">
        <w:rPr>
          <w:rFonts w:asciiTheme="minorHAnsi" w:eastAsiaTheme="minorHAnsi" w:hAnsiTheme="minorHAnsi" w:cstheme="minorHAnsi"/>
        </w:rPr>
        <w:t>však</w:t>
      </w:r>
      <w:r w:rsidR="00453684" w:rsidRPr="007123B1">
        <w:rPr>
          <w:rFonts w:asciiTheme="minorHAnsi" w:eastAsiaTheme="minorHAnsi" w:hAnsiTheme="minorHAnsi" w:cstheme="minorHAnsi"/>
        </w:rPr>
        <w:t xml:space="preserve"> pro způsobilé náklady </w:t>
      </w:r>
      <w:r w:rsidRPr="007123B1">
        <w:rPr>
          <w:rFonts w:asciiTheme="minorHAnsi" w:eastAsiaTheme="minorHAnsi" w:hAnsiTheme="minorHAnsi" w:cstheme="minorHAnsi"/>
        </w:rPr>
        <w:t xml:space="preserve">nestanovilo </w:t>
      </w:r>
      <w:r w:rsidR="00E1044D" w:rsidRPr="007123B1">
        <w:rPr>
          <w:rFonts w:asciiTheme="minorHAnsi" w:eastAsiaTheme="minorHAnsi" w:hAnsiTheme="minorHAnsi" w:cstheme="minorHAnsi"/>
        </w:rPr>
        <w:t>žádná konkrétní pravidla</w:t>
      </w:r>
      <w:r w:rsidRPr="007123B1">
        <w:rPr>
          <w:rFonts w:asciiTheme="minorHAnsi" w:eastAsiaTheme="minorHAnsi" w:hAnsiTheme="minorHAnsi" w:cstheme="minorHAnsi"/>
        </w:rPr>
        <w:t xml:space="preserve">. Jediným limitem byla výše schválené institucionální podpory uvedená </w:t>
      </w:r>
      <w:r w:rsidR="00412615">
        <w:rPr>
          <w:rFonts w:asciiTheme="minorHAnsi" w:eastAsiaTheme="minorHAnsi" w:hAnsiTheme="minorHAnsi" w:cstheme="minorHAnsi"/>
        </w:rPr>
        <w:br/>
      </w:r>
      <w:r w:rsidRPr="007123B1">
        <w:rPr>
          <w:rFonts w:asciiTheme="minorHAnsi" w:eastAsiaTheme="minorHAnsi" w:hAnsiTheme="minorHAnsi" w:cstheme="minorHAnsi"/>
        </w:rPr>
        <w:t>v</w:t>
      </w:r>
      <w:r w:rsidR="00412615">
        <w:rPr>
          <w:rFonts w:asciiTheme="minorHAnsi" w:eastAsiaTheme="minorHAnsi" w:hAnsiTheme="minorHAnsi" w:cstheme="minorHAnsi"/>
        </w:rPr>
        <w:t xml:space="preserve"> </w:t>
      </w:r>
      <w:r w:rsidR="00FC05D2">
        <w:rPr>
          <w:rFonts w:asciiTheme="minorHAnsi" w:eastAsiaTheme="minorHAnsi" w:hAnsiTheme="minorHAnsi" w:cstheme="minorHAnsi"/>
        </w:rPr>
        <w:t>„</w:t>
      </w:r>
      <w:r w:rsidR="00FC05D2" w:rsidRPr="004731E6">
        <w:rPr>
          <w:rFonts w:asciiTheme="minorHAnsi" w:eastAsiaTheme="minorHAnsi" w:hAnsiTheme="minorHAnsi" w:cstheme="minorHAnsi"/>
          <w:i/>
        </w:rPr>
        <w:t>r</w:t>
      </w:r>
      <w:r w:rsidRPr="004731E6">
        <w:rPr>
          <w:rFonts w:asciiTheme="minorHAnsi" w:eastAsiaTheme="minorHAnsi" w:hAnsiTheme="minorHAnsi" w:cstheme="minorHAnsi"/>
          <w:i/>
        </w:rPr>
        <w:t>ozhodnutí o poskytnutí institucionální podpory</w:t>
      </w:r>
      <w:r w:rsidR="00FC05D2">
        <w:rPr>
          <w:rFonts w:asciiTheme="minorHAnsi" w:eastAsiaTheme="minorHAnsi" w:hAnsiTheme="minorHAnsi" w:cstheme="minorHAnsi"/>
        </w:rPr>
        <w:t>“</w:t>
      </w:r>
      <w:r w:rsidRPr="007123B1">
        <w:rPr>
          <w:rFonts w:asciiTheme="minorHAnsi" w:eastAsiaTheme="minorHAnsi" w:hAnsiTheme="minorHAnsi" w:cstheme="minorHAnsi"/>
        </w:rPr>
        <w:t>.</w:t>
      </w:r>
      <w:r w:rsidR="00600246" w:rsidRPr="007123B1">
        <w:rPr>
          <w:rFonts w:asciiTheme="minorHAnsi" w:eastAsiaTheme="minorHAnsi" w:hAnsiTheme="minorHAnsi" w:cstheme="minorHAnsi"/>
        </w:rPr>
        <w:t xml:space="preserve"> </w:t>
      </w:r>
      <w:r w:rsidR="0077696E" w:rsidRPr="007123B1">
        <w:rPr>
          <w:rFonts w:asciiTheme="minorHAnsi" w:eastAsiaTheme="minorHAnsi" w:hAnsiTheme="minorHAnsi" w:cstheme="minorHAnsi"/>
        </w:rPr>
        <w:t>Většinu (65 %) z</w:t>
      </w:r>
      <w:r w:rsidR="00FC05D2">
        <w:rPr>
          <w:rFonts w:asciiTheme="minorHAnsi" w:eastAsiaTheme="minorHAnsi" w:hAnsiTheme="minorHAnsi" w:cstheme="minorHAnsi"/>
        </w:rPr>
        <w:t xml:space="preserve"> </w:t>
      </w:r>
      <w:r w:rsidR="0077696E" w:rsidRPr="007123B1">
        <w:rPr>
          <w:rFonts w:asciiTheme="minorHAnsi" w:eastAsiaTheme="minorHAnsi" w:hAnsiTheme="minorHAnsi" w:cstheme="minorHAnsi"/>
        </w:rPr>
        <w:t>podpory proplacených nákladů činily osobní a doplňkové náklady</w:t>
      </w:r>
      <w:r w:rsidR="0077696E">
        <w:rPr>
          <w:rStyle w:val="Znakapoznpodarou"/>
          <w:rFonts w:asciiTheme="minorHAnsi" w:eastAsiaTheme="minorHAnsi" w:hAnsiTheme="minorHAnsi" w:cstheme="minorHAnsi"/>
        </w:rPr>
        <w:footnoteReference w:id="5"/>
      </w:r>
      <w:r w:rsidR="0077696E" w:rsidRPr="007123B1">
        <w:rPr>
          <w:rFonts w:asciiTheme="minorHAnsi" w:eastAsiaTheme="minorHAnsi" w:hAnsiTheme="minorHAnsi" w:cstheme="minorHAnsi"/>
        </w:rPr>
        <w:t xml:space="preserve">. </w:t>
      </w:r>
      <w:r w:rsidRPr="007123B1">
        <w:rPr>
          <w:rFonts w:asciiTheme="minorHAnsi" w:eastAsiaTheme="minorHAnsi" w:hAnsiTheme="minorHAnsi" w:cstheme="minorHAnsi"/>
        </w:rPr>
        <w:t>Výzkumné</w:t>
      </w:r>
      <w:r w:rsidR="00600246" w:rsidRPr="007123B1">
        <w:rPr>
          <w:rFonts w:asciiTheme="minorHAnsi" w:eastAsiaTheme="minorHAnsi" w:hAnsiTheme="minorHAnsi" w:cstheme="minorHAnsi"/>
        </w:rPr>
        <w:t xml:space="preserve"> </w:t>
      </w:r>
      <w:r w:rsidRPr="007123B1">
        <w:rPr>
          <w:rFonts w:asciiTheme="minorHAnsi" w:eastAsiaTheme="minorHAnsi" w:hAnsiTheme="minorHAnsi" w:cstheme="minorHAnsi"/>
        </w:rPr>
        <w:t xml:space="preserve">organizace v naprosté většině vykázaly </w:t>
      </w:r>
      <w:r w:rsidR="009335B0">
        <w:rPr>
          <w:rFonts w:asciiTheme="minorHAnsi" w:eastAsiaTheme="minorHAnsi" w:hAnsiTheme="minorHAnsi" w:cstheme="minorHAnsi"/>
        </w:rPr>
        <w:t xml:space="preserve">celkové </w:t>
      </w:r>
      <w:r w:rsidRPr="007123B1">
        <w:rPr>
          <w:rFonts w:asciiTheme="minorHAnsi" w:eastAsiaTheme="minorHAnsi" w:hAnsiTheme="minorHAnsi" w:cstheme="minorHAnsi"/>
        </w:rPr>
        <w:t>způsobilé náklady ve výši schválené institucionální podpory</w:t>
      </w:r>
      <w:r w:rsidR="00453684" w:rsidRPr="007123B1">
        <w:rPr>
          <w:rFonts w:asciiTheme="minorHAnsi" w:eastAsiaTheme="minorHAnsi" w:hAnsiTheme="minorHAnsi" w:cstheme="minorHAnsi"/>
        </w:rPr>
        <w:t xml:space="preserve"> a použily je např.</w:t>
      </w:r>
      <w:r w:rsidR="00FC05D2">
        <w:rPr>
          <w:rFonts w:asciiTheme="minorHAnsi" w:eastAsiaTheme="minorHAnsi" w:hAnsiTheme="minorHAnsi" w:cstheme="minorHAnsi"/>
        </w:rPr>
        <w:t xml:space="preserve"> </w:t>
      </w:r>
      <w:r w:rsidR="00453684" w:rsidRPr="007123B1">
        <w:rPr>
          <w:rFonts w:asciiTheme="minorHAnsi" w:eastAsiaTheme="minorHAnsi" w:hAnsiTheme="minorHAnsi" w:cstheme="minorHAnsi"/>
        </w:rPr>
        <w:t>i</w:t>
      </w:r>
      <w:r w:rsidR="00FC05D2">
        <w:rPr>
          <w:rFonts w:asciiTheme="minorHAnsi" w:eastAsiaTheme="minorHAnsi" w:hAnsiTheme="minorHAnsi" w:cstheme="minorHAnsi"/>
        </w:rPr>
        <w:t xml:space="preserve"> </w:t>
      </w:r>
      <w:r w:rsidR="00453684" w:rsidRPr="007123B1">
        <w:rPr>
          <w:rFonts w:asciiTheme="minorHAnsi" w:eastAsiaTheme="minorHAnsi" w:hAnsiTheme="minorHAnsi" w:cstheme="minorHAnsi"/>
        </w:rPr>
        <w:t>na</w:t>
      </w:r>
      <w:r w:rsidR="00FC05D2">
        <w:rPr>
          <w:rFonts w:asciiTheme="minorHAnsi" w:eastAsiaTheme="minorHAnsi" w:hAnsiTheme="minorHAnsi" w:cstheme="minorHAnsi"/>
        </w:rPr>
        <w:t xml:space="preserve"> </w:t>
      </w:r>
      <w:r w:rsidR="00453684" w:rsidRPr="007123B1">
        <w:rPr>
          <w:rFonts w:asciiTheme="minorHAnsi" w:eastAsiaTheme="minorHAnsi" w:hAnsiTheme="minorHAnsi" w:cstheme="minorHAnsi"/>
        </w:rPr>
        <w:t>odměny vyplacené svým pracovníkům</w:t>
      </w:r>
      <w:r w:rsidRPr="007123B1">
        <w:rPr>
          <w:rFonts w:asciiTheme="minorHAnsi" w:eastAsiaTheme="minorHAnsi" w:hAnsiTheme="minorHAnsi" w:cstheme="minorHAnsi"/>
        </w:rPr>
        <w:t>.</w:t>
      </w:r>
      <w:r w:rsidR="00F6337D">
        <w:rPr>
          <w:rFonts w:asciiTheme="minorHAnsi" w:eastAsiaTheme="minorHAnsi" w:hAnsiTheme="minorHAnsi" w:cstheme="minorHAnsi"/>
        </w:rPr>
        <w:t xml:space="preserve"> </w:t>
      </w:r>
      <w:r w:rsidR="007710CE" w:rsidRPr="00D76A81">
        <w:rPr>
          <w:rFonts w:asciiTheme="minorHAnsi" w:eastAsiaTheme="minorHAnsi" w:hAnsiTheme="minorHAnsi" w:cstheme="minorHAnsi"/>
        </w:rPr>
        <w:t>Výši vyplácených odměn</w:t>
      </w:r>
      <w:r w:rsidR="00D76A81">
        <w:rPr>
          <w:rFonts w:asciiTheme="minorHAnsi" w:eastAsiaTheme="minorHAnsi" w:hAnsiTheme="minorHAnsi" w:cstheme="minorHAnsi"/>
        </w:rPr>
        <w:t xml:space="preserve"> MPO</w:t>
      </w:r>
      <w:r w:rsidR="007710CE" w:rsidRPr="00D76A81">
        <w:rPr>
          <w:rFonts w:asciiTheme="minorHAnsi" w:eastAsiaTheme="minorHAnsi" w:hAnsiTheme="minorHAnsi" w:cstheme="minorHAnsi"/>
        </w:rPr>
        <w:t xml:space="preserve"> nijak neomezilo.</w:t>
      </w:r>
      <w:r w:rsidR="007710CE">
        <w:rPr>
          <w:rFonts w:asciiTheme="minorHAnsi" w:eastAsiaTheme="minorHAnsi" w:hAnsiTheme="minorHAnsi" w:cstheme="minorHAnsi"/>
        </w:rPr>
        <w:t xml:space="preserve"> </w:t>
      </w:r>
      <w:r w:rsidR="004B7602">
        <w:rPr>
          <w:rFonts w:asciiTheme="minorHAnsi" w:eastAsiaTheme="minorHAnsi" w:hAnsiTheme="minorHAnsi" w:cstheme="minorHAnsi"/>
        </w:rPr>
        <w:t>NKÚ u výzkumných organizací nezjistil nehospodárné použití podpory. K</w:t>
      </w:r>
      <w:r w:rsidR="00412615">
        <w:rPr>
          <w:rFonts w:asciiTheme="minorHAnsi" w:eastAsiaTheme="minorHAnsi" w:hAnsiTheme="minorHAnsi" w:cstheme="minorHAnsi"/>
        </w:rPr>
        <w:t xml:space="preserve"> </w:t>
      </w:r>
      <w:r w:rsidR="004B7602" w:rsidRPr="004B7602">
        <w:rPr>
          <w:color w:val="auto"/>
          <w:lang w:eastAsia="cs-CZ"/>
        </w:rPr>
        <w:t>jednoznačnému a</w:t>
      </w:r>
      <w:r w:rsidR="00412615">
        <w:rPr>
          <w:color w:val="auto"/>
          <w:lang w:eastAsia="cs-CZ"/>
        </w:rPr>
        <w:t xml:space="preserve"> </w:t>
      </w:r>
      <w:r w:rsidR="004B7602" w:rsidRPr="004B7602">
        <w:rPr>
          <w:color w:val="auto"/>
          <w:lang w:eastAsia="cs-CZ"/>
        </w:rPr>
        <w:t>průkaznému ověření hospodárnosti</w:t>
      </w:r>
      <w:r w:rsidR="004B7602">
        <w:rPr>
          <w:color w:val="auto"/>
          <w:lang w:eastAsia="cs-CZ"/>
        </w:rPr>
        <w:t xml:space="preserve"> způsobilých nákladů by </w:t>
      </w:r>
      <w:r w:rsidR="004B7602">
        <w:rPr>
          <w:rFonts w:asciiTheme="minorHAnsi" w:eastAsiaTheme="minorHAnsi" w:hAnsiTheme="minorHAnsi" w:cstheme="minorHAnsi"/>
        </w:rPr>
        <w:t>d</w:t>
      </w:r>
      <w:r w:rsidR="007710CE" w:rsidRPr="004B7602">
        <w:rPr>
          <w:rFonts w:asciiTheme="minorHAnsi" w:eastAsiaTheme="minorHAnsi" w:hAnsiTheme="minorHAnsi" w:cstheme="minorHAnsi"/>
        </w:rPr>
        <w:t xml:space="preserve">le NKÚ </w:t>
      </w:r>
      <w:r w:rsidR="004B7602">
        <w:rPr>
          <w:rFonts w:asciiTheme="minorHAnsi" w:eastAsiaTheme="minorHAnsi" w:hAnsiTheme="minorHAnsi" w:cstheme="minorHAnsi"/>
        </w:rPr>
        <w:t>ale přispělo</w:t>
      </w:r>
      <w:r w:rsidR="007710CE" w:rsidRPr="004B7602">
        <w:rPr>
          <w:rFonts w:asciiTheme="minorHAnsi" w:eastAsiaTheme="minorHAnsi" w:hAnsiTheme="minorHAnsi" w:cstheme="minorHAnsi"/>
        </w:rPr>
        <w:t xml:space="preserve"> </w:t>
      </w:r>
      <w:r w:rsidR="004B7602" w:rsidRPr="004B7602">
        <w:rPr>
          <w:rFonts w:asciiTheme="minorHAnsi" w:eastAsiaTheme="minorHAnsi" w:hAnsiTheme="minorHAnsi" w:cstheme="minorHAnsi"/>
        </w:rPr>
        <w:t>podrobnější</w:t>
      </w:r>
      <w:r w:rsidR="004B7602">
        <w:rPr>
          <w:rFonts w:asciiTheme="minorHAnsi" w:eastAsiaTheme="minorHAnsi" w:hAnsiTheme="minorHAnsi" w:cstheme="minorHAnsi"/>
        </w:rPr>
        <w:t xml:space="preserve"> </w:t>
      </w:r>
      <w:r w:rsidR="004B7602" w:rsidRPr="004B7602">
        <w:rPr>
          <w:rFonts w:asciiTheme="minorHAnsi" w:eastAsiaTheme="minorHAnsi" w:hAnsiTheme="minorHAnsi" w:cstheme="minorHAnsi"/>
        </w:rPr>
        <w:t>vymezení</w:t>
      </w:r>
      <w:r w:rsidR="004B7602">
        <w:rPr>
          <w:rFonts w:asciiTheme="minorHAnsi" w:eastAsiaTheme="minorHAnsi" w:hAnsiTheme="minorHAnsi" w:cstheme="minorHAnsi"/>
        </w:rPr>
        <w:t xml:space="preserve"> těchto nákladů ze strany MPO.</w:t>
      </w:r>
    </w:p>
    <w:p w14:paraId="42946A2B" w14:textId="77777777" w:rsidR="007123B1" w:rsidRPr="00CA35FD" w:rsidRDefault="007123B1" w:rsidP="00CA35FD">
      <w:pPr>
        <w:rPr>
          <w:color w:val="auto"/>
          <w:lang w:eastAsia="cs-CZ"/>
        </w:rPr>
      </w:pPr>
    </w:p>
    <w:p w14:paraId="1C5F907F" w14:textId="6EA8B8C8" w:rsidR="007B6061" w:rsidRPr="0084392C" w:rsidRDefault="00830AB2" w:rsidP="00B34E41">
      <w:pPr>
        <w:pStyle w:val="Odstavecseseznamem"/>
        <w:numPr>
          <w:ilvl w:val="0"/>
          <w:numId w:val="17"/>
        </w:numPr>
        <w:ind w:left="284" w:hanging="284"/>
        <w:rPr>
          <w:color w:val="auto"/>
          <w:lang w:eastAsia="cs-CZ"/>
        </w:rPr>
      </w:pPr>
      <w:r w:rsidRPr="0084392C">
        <w:rPr>
          <w:color w:val="auto"/>
          <w:lang w:eastAsia="cs-CZ"/>
        </w:rPr>
        <w:t xml:space="preserve">Dle </w:t>
      </w:r>
      <w:r w:rsidRPr="001C293D">
        <w:rPr>
          <w:i/>
          <w:color w:val="auto"/>
          <w:lang w:eastAsia="cs-CZ"/>
        </w:rPr>
        <w:t>Rámce pro státní podporu výzkumu, vývoje a inovací</w:t>
      </w:r>
      <w:r w:rsidRPr="0084392C">
        <w:rPr>
          <w:rStyle w:val="Znakapoznpodarou"/>
          <w:color w:val="auto"/>
          <w:lang w:eastAsia="cs-CZ"/>
        </w:rPr>
        <w:footnoteReference w:id="6"/>
      </w:r>
      <w:r w:rsidRPr="0084392C">
        <w:rPr>
          <w:color w:val="auto"/>
          <w:lang w:eastAsia="cs-CZ"/>
        </w:rPr>
        <w:t xml:space="preserve"> </w:t>
      </w:r>
      <w:r w:rsidR="00A05B76" w:rsidRPr="0084392C">
        <w:rPr>
          <w:color w:val="auto"/>
          <w:lang w:eastAsia="cs-CZ"/>
        </w:rPr>
        <w:t xml:space="preserve">je </w:t>
      </w:r>
      <w:r w:rsidRPr="0084392C">
        <w:rPr>
          <w:color w:val="auto"/>
          <w:lang w:eastAsia="cs-CZ"/>
        </w:rPr>
        <w:t>h</w:t>
      </w:r>
      <w:r w:rsidR="007B6061" w:rsidRPr="0084392C">
        <w:rPr>
          <w:color w:val="auto"/>
          <w:lang w:eastAsia="cs-CZ"/>
        </w:rPr>
        <w:t>lavním cílem všech výzkumných organizací</w:t>
      </w:r>
      <w:r w:rsidR="00A05B76" w:rsidRPr="0084392C">
        <w:rPr>
          <w:color w:val="auto"/>
          <w:lang w:eastAsia="cs-CZ"/>
        </w:rPr>
        <w:t xml:space="preserve"> </w:t>
      </w:r>
      <w:r w:rsidR="007B6061" w:rsidRPr="0084392C">
        <w:rPr>
          <w:color w:val="auto"/>
          <w:lang w:eastAsia="cs-CZ"/>
        </w:rPr>
        <w:t xml:space="preserve">provádět nezávisle základní výzkum, průmyslový výzkum nebo experimentální vývoj nebo veřejně šířit výsledky těchto činností formou výuky, publikací nebo transferu znalostí. </w:t>
      </w:r>
      <w:r w:rsidR="004346B8" w:rsidRPr="0084392C">
        <w:rPr>
          <w:color w:val="auto"/>
          <w:lang w:eastAsia="cs-CZ"/>
        </w:rPr>
        <w:t>Při transfer</w:t>
      </w:r>
      <w:r w:rsidR="00CF56B4" w:rsidRPr="0084392C">
        <w:rPr>
          <w:color w:val="auto"/>
          <w:lang w:eastAsia="cs-CZ"/>
        </w:rPr>
        <w:t>u</w:t>
      </w:r>
      <w:r w:rsidR="004346B8" w:rsidRPr="0084392C">
        <w:rPr>
          <w:color w:val="auto"/>
          <w:lang w:eastAsia="cs-CZ"/>
        </w:rPr>
        <w:t xml:space="preserve"> znalostí dochází </w:t>
      </w:r>
      <w:r w:rsidR="00CF56B4" w:rsidRPr="0084392C">
        <w:rPr>
          <w:color w:val="auto"/>
          <w:lang w:eastAsia="cs-CZ"/>
        </w:rPr>
        <w:t xml:space="preserve">ke spolupráci výzkumné a komerční sféry. </w:t>
      </w:r>
      <w:r w:rsidR="00B34E41" w:rsidRPr="0084392C">
        <w:rPr>
          <w:color w:val="auto"/>
          <w:lang w:eastAsia="cs-CZ"/>
        </w:rPr>
        <w:t xml:space="preserve">Příjem z transferu znalostí nebyl podmínkou pro poskytnutí podpory, ale dle NKÚ jsou příjmy z transferu znalostí významným ukazatelem o komerčním využití a uplatnění výsledků výzkumu a vývoje v praxi. </w:t>
      </w:r>
      <w:r w:rsidR="00A81897" w:rsidRPr="0084392C">
        <w:rPr>
          <w:color w:val="auto"/>
          <w:lang w:eastAsia="cs-CZ"/>
        </w:rPr>
        <w:t>NKÚ</w:t>
      </w:r>
      <w:r w:rsidR="00B34E41" w:rsidRPr="0084392C">
        <w:rPr>
          <w:color w:val="auto"/>
          <w:lang w:eastAsia="cs-CZ"/>
        </w:rPr>
        <w:t xml:space="preserve"> </w:t>
      </w:r>
      <w:r w:rsidR="00CF56B4" w:rsidRPr="0084392C">
        <w:rPr>
          <w:color w:val="auto"/>
          <w:lang w:eastAsia="cs-CZ"/>
        </w:rPr>
        <w:t>z veřejně dostupných zdrojů</w:t>
      </w:r>
      <w:r w:rsidR="00A81897" w:rsidRPr="0084392C">
        <w:rPr>
          <w:color w:val="auto"/>
          <w:lang w:eastAsia="cs-CZ"/>
        </w:rPr>
        <w:t xml:space="preserve"> zjistil, že p</w:t>
      </w:r>
      <w:r w:rsidR="007B6061" w:rsidRPr="0084392C">
        <w:rPr>
          <w:color w:val="auto"/>
          <w:lang w:eastAsia="cs-CZ"/>
        </w:rPr>
        <w:t>ět ze</w:t>
      </w:r>
      <w:r w:rsidR="00B43549">
        <w:rPr>
          <w:color w:val="auto"/>
          <w:lang w:eastAsia="cs-CZ"/>
        </w:rPr>
        <w:t> </w:t>
      </w:r>
      <w:r w:rsidR="007B6061" w:rsidRPr="0084392C">
        <w:rPr>
          <w:color w:val="auto"/>
          <w:lang w:eastAsia="cs-CZ"/>
        </w:rPr>
        <w:t>14</w:t>
      </w:r>
      <w:r w:rsidR="00B43549">
        <w:rPr>
          <w:color w:val="auto"/>
          <w:lang w:eastAsia="cs-CZ"/>
        </w:rPr>
        <w:t> </w:t>
      </w:r>
      <w:r w:rsidR="007B6061" w:rsidRPr="0084392C">
        <w:rPr>
          <w:color w:val="auto"/>
          <w:lang w:eastAsia="cs-CZ"/>
        </w:rPr>
        <w:t xml:space="preserve">výzkumných organizací podpořených MPO v letech 2018 až 2021 </w:t>
      </w:r>
      <w:r w:rsidR="00885F93" w:rsidRPr="0084392C">
        <w:rPr>
          <w:color w:val="auto"/>
          <w:lang w:eastAsia="cs-CZ"/>
        </w:rPr>
        <w:t xml:space="preserve">nevykázalo vůbec </w:t>
      </w:r>
      <w:r w:rsidR="007B6061" w:rsidRPr="0084392C">
        <w:rPr>
          <w:color w:val="auto"/>
          <w:lang w:eastAsia="cs-CZ"/>
        </w:rPr>
        <w:t>žádný příjem z transferu znalostí.</w:t>
      </w:r>
      <w:r w:rsidR="003C7B45" w:rsidRPr="0084392C">
        <w:rPr>
          <w:color w:val="auto"/>
          <w:lang w:eastAsia="cs-CZ"/>
        </w:rPr>
        <w:t xml:space="preserve"> </w:t>
      </w:r>
    </w:p>
    <w:p w14:paraId="6AE93290" w14:textId="77777777" w:rsidR="00352C02" w:rsidRPr="00AD30D0" w:rsidRDefault="00352C02" w:rsidP="00AD30D0">
      <w:pPr>
        <w:rPr>
          <w:color w:val="auto"/>
          <w:lang w:eastAsia="cs-CZ"/>
        </w:rPr>
      </w:pPr>
    </w:p>
    <w:p w14:paraId="20BBA342" w14:textId="11832F1E" w:rsidR="00E2474A" w:rsidRPr="009F5B31" w:rsidRDefault="006F0F3F" w:rsidP="007E0958">
      <w:pPr>
        <w:pStyle w:val="Odstavecseseznamem"/>
        <w:numPr>
          <w:ilvl w:val="0"/>
          <w:numId w:val="17"/>
        </w:numPr>
        <w:ind w:left="284" w:hanging="284"/>
        <w:rPr>
          <w:color w:val="auto"/>
          <w:lang w:eastAsia="cs-CZ"/>
        </w:rPr>
      </w:pPr>
      <w:r>
        <w:rPr>
          <w:color w:val="auto"/>
          <w:lang w:eastAsia="cs-CZ"/>
        </w:rPr>
        <w:t>Nejvyšší kontrolní úřad u</w:t>
      </w:r>
      <w:r w:rsidR="007E0958" w:rsidRPr="007E0958">
        <w:rPr>
          <w:color w:val="auto"/>
          <w:lang w:eastAsia="cs-CZ"/>
        </w:rPr>
        <w:t xml:space="preserve"> vzorku šesti vybraných podpořených výzkumných organizací nezjistil</w:t>
      </w:r>
      <w:r w:rsidR="007878C3">
        <w:rPr>
          <w:color w:val="auto"/>
          <w:lang w:eastAsia="cs-CZ"/>
        </w:rPr>
        <w:t xml:space="preserve"> </w:t>
      </w:r>
      <w:r w:rsidR="007E0958" w:rsidRPr="007E0958">
        <w:rPr>
          <w:color w:val="auto"/>
          <w:lang w:eastAsia="cs-CZ"/>
        </w:rPr>
        <w:t>nehospodárné použití institucionální podpory</w:t>
      </w:r>
      <w:r w:rsidR="009335B0">
        <w:rPr>
          <w:color w:val="auto"/>
          <w:lang w:eastAsia="cs-CZ"/>
        </w:rPr>
        <w:t xml:space="preserve"> </w:t>
      </w:r>
      <w:r w:rsidR="00851FA9">
        <w:rPr>
          <w:color w:val="auto"/>
          <w:lang w:eastAsia="cs-CZ"/>
        </w:rPr>
        <w:t xml:space="preserve">ani </w:t>
      </w:r>
      <w:r>
        <w:rPr>
          <w:color w:val="auto"/>
          <w:lang w:eastAsia="cs-CZ"/>
        </w:rPr>
        <w:t>to</w:t>
      </w:r>
      <w:r w:rsidR="00851FA9">
        <w:rPr>
          <w:color w:val="auto"/>
          <w:lang w:eastAsia="cs-CZ"/>
        </w:rPr>
        <w:t>, že by některá z výzkumných organizací vynaložila poskytnutou podporu v</w:t>
      </w:r>
      <w:r>
        <w:rPr>
          <w:color w:val="auto"/>
          <w:lang w:eastAsia="cs-CZ"/>
        </w:rPr>
        <w:t xml:space="preserve"> </w:t>
      </w:r>
      <w:r w:rsidR="00851FA9">
        <w:rPr>
          <w:color w:val="auto"/>
          <w:lang w:eastAsia="cs-CZ"/>
        </w:rPr>
        <w:t>rozporu s</w:t>
      </w:r>
      <w:r>
        <w:rPr>
          <w:color w:val="auto"/>
          <w:lang w:eastAsia="cs-CZ"/>
        </w:rPr>
        <w:t xml:space="preserve"> </w:t>
      </w:r>
      <w:r w:rsidR="00851FA9">
        <w:rPr>
          <w:color w:val="auto"/>
          <w:lang w:eastAsia="cs-CZ"/>
        </w:rPr>
        <w:t xml:space="preserve">cíli, které si sama stanovila v dlouhodobé koncepci svého rozvoje. </w:t>
      </w:r>
      <w:r w:rsidR="007E0958" w:rsidRPr="007E0958">
        <w:rPr>
          <w:color w:val="auto"/>
          <w:lang w:eastAsia="cs-CZ"/>
        </w:rPr>
        <w:t>U jedné výzkumné organizace zjistil</w:t>
      </w:r>
      <w:r>
        <w:rPr>
          <w:color w:val="auto"/>
          <w:lang w:eastAsia="cs-CZ"/>
        </w:rPr>
        <w:t>a kontrola</w:t>
      </w:r>
      <w:r w:rsidRPr="007E0958">
        <w:rPr>
          <w:color w:val="auto"/>
          <w:lang w:eastAsia="cs-CZ"/>
        </w:rPr>
        <w:t xml:space="preserve"> </w:t>
      </w:r>
      <w:r w:rsidR="007E0958" w:rsidRPr="007E0958">
        <w:rPr>
          <w:color w:val="auto"/>
          <w:lang w:eastAsia="cs-CZ"/>
        </w:rPr>
        <w:t>porušení zákona o zadávání veřejných zakázek</w:t>
      </w:r>
      <w:r w:rsidR="005549D4">
        <w:rPr>
          <w:color w:val="auto"/>
          <w:lang w:eastAsia="cs-CZ"/>
        </w:rPr>
        <w:t xml:space="preserve"> a t</w:t>
      </w:r>
      <w:r w:rsidR="00A35300">
        <w:rPr>
          <w:color w:val="auto"/>
          <w:lang w:eastAsia="cs-CZ"/>
        </w:rPr>
        <w:t xml:space="preserve">ím </w:t>
      </w:r>
      <w:r w:rsidR="005549D4">
        <w:rPr>
          <w:color w:val="auto"/>
          <w:lang w:eastAsia="cs-CZ"/>
        </w:rPr>
        <w:t>i porušení podmínek</w:t>
      </w:r>
      <w:r w:rsidR="00A35300">
        <w:rPr>
          <w:color w:val="auto"/>
          <w:lang w:eastAsia="cs-CZ"/>
        </w:rPr>
        <w:t xml:space="preserve"> pro</w:t>
      </w:r>
      <w:r>
        <w:rPr>
          <w:color w:val="auto"/>
          <w:lang w:eastAsia="cs-CZ"/>
        </w:rPr>
        <w:t xml:space="preserve"> </w:t>
      </w:r>
      <w:r w:rsidR="00A35300">
        <w:rPr>
          <w:color w:val="auto"/>
          <w:lang w:eastAsia="cs-CZ"/>
        </w:rPr>
        <w:t xml:space="preserve">poskytnutí </w:t>
      </w:r>
      <w:r w:rsidR="00412615">
        <w:rPr>
          <w:color w:val="auto"/>
          <w:lang w:eastAsia="cs-CZ"/>
        </w:rPr>
        <w:br/>
      </w:r>
      <w:r w:rsidR="00A35300">
        <w:rPr>
          <w:color w:val="auto"/>
          <w:lang w:eastAsia="cs-CZ"/>
        </w:rPr>
        <w:t>a</w:t>
      </w:r>
      <w:r w:rsidR="00412615">
        <w:rPr>
          <w:color w:val="auto"/>
          <w:lang w:eastAsia="cs-CZ"/>
        </w:rPr>
        <w:t xml:space="preserve"> </w:t>
      </w:r>
      <w:r w:rsidR="00A35300">
        <w:rPr>
          <w:color w:val="auto"/>
          <w:lang w:eastAsia="cs-CZ"/>
        </w:rPr>
        <w:t>užití podpory</w:t>
      </w:r>
      <w:r w:rsidR="004212E1">
        <w:rPr>
          <w:color w:val="auto"/>
          <w:lang w:eastAsia="cs-CZ"/>
        </w:rPr>
        <w:t xml:space="preserve">, </w:t>
      </w:r>
      <w:r w:rsidR="009F5B31" w:rsidRPr="009F5B31">
        <w:rPr>
          <w:color w:val="auto"/>
          <w:lang w:eastAsia="cs-CZ"/>
        </w:rPr>
        <w:t>což NKÚ vyhodnotil jako skutečnosti nasvědčující porušení rozpočtové kázně</w:t>
      </w:r>
      <w:r w:rsidR="00687E8D">
        <w:rPr>
          <w:rStyle w:val="Znakapoznpodarou"/>
          <w:color w:val="auto"/>
          <w:lang w:eastAsia="cs-CZ"/>
        </w:rPr>
        <w:footnoteReference w:id="7"/>
      </w:r>
      <w:r w:rsidR="00687E8D">
        <w:rPr>
          <w:color w:val="auto"/>
          <w:lang w:eastAsia="cs-CZ"/>
        </w:rPr>
        <w:t xml:space="preserve"> </w:t>
      </w:r>
      <w:r w:rsidR="00687E8D" w:rsidRPr="00687E8D">
        <w:rPr>
          <w:color w:val="auto"/>
          <w:lang w:eastAsia="cs-CZ"/>
        </w:rPr>
        <w:t>ve</w:t>
      </w:r>
      <w:r>
        <w:rPr>
          <w:color w:val="auto"/>
          <w:lang w:eastAsia="cs-CZ"/>
        </w:rPr>
        <w:t xml:space="preserve"> </w:t>
      </w:r>
      <w:r w:rsidR="00687E8D" w:rsidRPr="00687E8D">
        <w:rPr>
          <w:color w:val="auto"/>
          <w:lang w:eastAsia="cs-CZ"/>
        </w:rPr>
        <w:t>výši 2 102 024 Kč.</w:t>
      </w:r>
    </w:p>
    <w:p w14:paraId="3B097363" w14:textId="77777777" w:rsidR="00507B15" w:rsidRDefault="00507B15" w:rsidP="00E2474A">
      <w:pPr>
        <w:rPr>
          <w:b/>
          <w:color w:val="auto"/>
          <w:lang w:eastAsia="cs-CZ"/>
        </w:rPr>
      </w:pPr>
    </w:p>
    <w:p w14:paraId="332D1B7F" w14:textId="77777777" w:rsidR="00507B15" w:rsidRDefault="00507B15" w:rsidP="00E2474A">
      <w:pPr>
        <w:rPr>
          <w:b/>
          <w:color w:val="auto"/>
          <w:lang w:eastAsia="cs-CZ"/>
        </w:rPr>
      </w:pPr>
    </w:p>
    <w:p w14:paraId="0633C959" w14:textId="360857F0" w:rsidR="003F3D04" w:rsidRPr="00E2474A" w:rsidRDefault="00076BBF" w:rsidP="00E2474A">
      <w:pPr>
        <w:rPr>
          <w:color w:val="auto"/>
          <w:lang w:eastAsia="cs-CZ"/>
        </w:rPr>
      </w:pPr>
      <w:r w:rsidRPr="00E2474A">
        <w:rPr>
          <w:b/>
          <w:color w:val="auto"/>
          <w:lang w:eastAsia="cs-CZ"/>
        </w:rPr>
        <w:t xml:space="preserve">NKÚ na základě výsledků kontroly doporučuje Ministerstvu průmyslu a obchodu </w:t>
      </w:r>
      <w:r w:rsidR="00655311">
        <w:rPr>
          <w:b/>
          <w:color w:val="auto"/>
          <w:lang w:eastAsia="cs-CZ"/>
        </w:rPr>
        <w:t xml:space="preserve">přijmout </w:t>
      </w:r>
      <w:r w:rsidRPr="00E2474A">
        <w:rPr>
          <w:b/>
          <w:color w:val="auto"/>
          <w:lang w:eastAsia="cs-CZ"/>
        </w:rPr>
        <w:t>následující opatření</w:t>
      </w:r>
      <w:r w:rsidR="00033308" w:rsidRPr="00E2474A">
        <w:rPr>
          <w:b/>
          <w:color w:val="auto"/>
          <w:lang w:eastAsia="cs-CZ"/>
        </w:rPr>
        <w:t>:</w:t>
      </w:r>
    </w:p>
    <w:p w14:paraId="25E74E7F" w14:textId="6AC2C7B0" w:rsidR="00A05B76" w:rsidRDefault="00655311" w:rsidP="00E0308F">
      <w:pPr>
        <w:pStyle w:val="Odstavecseseznamem"/>
        <w:numPr>
          <w:ilvl w:val="0"/>
          <w:numId w:val="50"/>
        </w:numPr>
        <w:spacing w:before="120"/>
        <w:ind w:left="284" w:hanging="284"/>
        <w:contextualSpacing w:val="0"/>
        <w:rPr>
          <w:color w:val="auto"/>
          <w:lang w:eastAsia="cs-CZ"/>
        </w:rPr>
      </w:pPr>
      <w:r>
        <w:rPr>
          <w:color w:val="auto"/>
          <w:lang w:eastAsia="cs-CZ"/>
        </w:rPr>
        <w:t>S</w:t>
      </w:r>
      <w:r w:rsidRPr="00E70B16">
        <w:rPr>
          <w:color w:val="auto"/>
          <w:lang w:eastAsia="cs-CZ"/>
        </w:rPr>
        <w:t>tanovit</w:t>
      </w:r>
      <w:r>
        <w:rPr>
          <w:color w:val="auto"/>
          <w:lang w:eastAsia="cs-CZ"/>
        </w:rPr>
        <w:t xml:space="preserve"> v</w:t>
      </w:r>
      <w:r w:rsidR="00412615">
        <w:rPr>
          <w:color w:val="auto"/>
          <w:lang w:eastAsia="cs-CZ"/>
        </w:rPr>
        <w:t xml:space="preserve"> </w:t>
      </w:r>
      <w:r w:rsidR="00E70B16">
        <w:rPr>
          <w:color w:val="auto"/>
          <w:lang w:eastAsia="cs-CZ"/>
        </w:rPr>
        <w:t>koncepci výzkumu, vývoje a inovací nebo v</w:t>
      </w:r>
      <w:r w:rsidR="00412615">
        <w:rPr>
          <w:color w:val="auto"/>
          <w:lang w:eastAsia="cs-CZ"/>
        </w:rPr>
        <w:t xml:space="preserve"> </w:t>
      </w:r>
      <w:r w:rsidR="00E70B16">
        <w:rPr>
          <w:color w:val="auto"/>
          <w:lang w:eastAsia="cs-CZ"/>
        </w:rPr>
        <w:t xml:space="preserve">jiném obdobném dokumentu </w:t>
      </w:r>
      <w:r w:rsidR="00E70B16" w:rsidRPr="00E70B16">
        <w:rPr>
          <w:color w:val="auto"/>
          <w:lang w:eastAsia="cs-CZ"/>
        </w:rPr>
        <w:t xml:space="preserve">konkrétní cíle a očekávané přínosy pro stát, kterých chce MPO poskytováním institucionální podpory ze svého rozpočtu dosáhnout. </w:t>
      </w:r>
      <w:r w:rsidR="00E70B16">
        <w:rPr>
          <w:color w:val="auto"/>
          <w:lang w:eastAsia="cs-CZ"/>
        </w:rPr>
        <w:t>Následně plnění cílů a očekávaných přínosů podpory pravidelně vyhodnocovat</w:t>
      </w:r>
      <w:r w:rsidR="00A05B76">
        <w:rPr>
          <w:color w:val="auto"/>
          <w:lang w:eastAsia="cs-CZ"/>
        </w:rPr>
        <w:t>.</w:t>
      </w:r>
      <w:r w:rsidR="007E0958">
        <w:rPr>
          <w:color w:val="auto"/>
          <w:lang w:eastAsia="cs-CZ"/>
        </w:rPr>
        <w:t xml:space="preserve"> </w:t>
      </w:r>
    </w:p>
    <w:p w14:paraId="36A74BE8" w14:textId="77777777" w:rsidR="005E3890" w:rsidRDefault="005E3890" w:rsidP="00E0308F">
      <w:pPr>
        <w:pStyle w:val="Odstavecseseznamem"/>
        <w:numPr>
          <w:ilvl w:val="0"/>
          <w:numId w:val="50"/>
        </w:numPr>
        <w:ind w:left="284" w:hanging="284"/>
        <w:contextualSpacing w:val="0"/>
        <w:rPr>
          <w:color w:val="auto"/>
          <w:lang w:eastAsia="cs-CZ"/>
        </w:rPr>
      </w:pPr>
      <w:r w:rsidRPr="005E3890">
        <w:rPr>
          <w:color w:val="auto"/>
          <w:lang w:eastAsia="cs-CZ"/>
        </w:rPr>
        <w:t>Důsledně kontrolovat údaje předkládané výzkumnými organizacemi v rámci vstupního, průběžného a závěrečného hodnocení</w:t>
      </w:r>
      <w:r>
        <w:rPr>
          <w:color w:val="auto"/>
          <w:lang w:eastAsia="cs-CZ"/>
        </w:rPr>
        <w:t>.</w:t>
      </w:r>
    </w:p>
    <w:p w14:paraId="22ABA3D1" w14:textId="40E5ED50" w:rsidR="00CA35FD" w:rsidRPr="00CA35FD" w:rsidRDefault="00033308" w:rsidP="00E0308F">
      <w:pPr>
        <w:pStyle w:val="Odstavecseseznamem"/>
        <w:numPr>
          <w:ilvl w:val="0"/>
          <w:numId w:val="50"/>
        </w:numPr>
        <w:ind w:left="284" w:hanging="284"/>
        <w:contextualSpacing w:val="0"/>
        <w:rPr>
          <w:color w:val="auto"/>
          <w:lang w:eastAsia="cs-CZ"/>
        </w:rPr>
      </w:pPr>
      <w:r w:rsidRPr="00CA35FD">
        <w:rPr>
          <w:color w:val="auto"/>
          <w:lang w:eastAsia="cs-CZ"/>
        </w:rPr>
        <w:t xml:space="preserve">Stanovit </w:t>
      </w:r>
      <w:r w:rsidR="00A81897" w:rsidRPr="00CA35FD">
        <w:rPr>
          <w:color w:val="auto"/>
          <w:lang w:eastAsia="cs-CZ"/>
        </w:rPr>
        <w:t xml:space="preserve">konkrétní </w:t>
      </w:r>
      <w:r w:rsidR="005E3890" w:rsidRPr="00CA35FD">
        <w:rPr>
          <w:color w:val="auto"/>
          <w:lang w:eastAsia="cs-CZ"/>
        </w:rPr>
        <w:t>pravidla</w:t>
      </w:r>
      <w:r w:rsidRPr="00CA35FD">
        <w:rPr>
          <w:color w:val="auto"/>
          <w:lang w:eastAsia="cs-CZ"/>
        </w:rPr>
        <w:t xml:space="preserve"> pro </w:t>
      </w:r>
      <w:r w:rsidR="008B146D" w:rsidRPr="00CA35FD">
        <w:rPr>
          <w:color w:val="auto"/>
          <w:lang w:eastAsia="cs-CZ"/>
        </w:rPr>
        <w:t xml:space="preserve">jednotlivé skupiny </w:t>
      </w:r>
      <w:r w:rsidRPr="00CA35FD">
        <w:rPr>
          <w:color w:val="auto"/>
          <w:lang w:eastAsia="cs-CZ"/>
        </w:rPr>
        <w:t>způsobil</w:t>
      </w:r>
      <w:r w:rsidR="008B146D" w:rsidRPr="00CA35FD">
        <w:rPr>
          <w:color w:val="auto"/>
          <w:lang w:eastAsia="cs-CZ"/>
        </w:rPr>
        <w:t>ých</w:t>
      </w:r>
      <w:r w:rsidRPr="00CA35FD">
        <w:rPr>
          <w:color w:val="auto"/>
          <w:lang w:eastAsia="cs-CZ"/>
        </w:rPr>
        <w:t xml:space="preserve"> náklad</w:t>
      </w:r>
      <w:r w:rsidR="008B146D" w:rsidRPr="00CA35FD">
        <w:rPr>
          <w:color w:val="auto"/>
          <w:lang w:eastAsia="cs-CZ"/>
        </w:rPr>
        <w:t>ů</w:t>
      </w:r>
      <w:r w:rsidR="00352C02" w:rsidRPr="00CA35FD">
        <w:rPr>
          <w:color w:val="auto"/>
          <w:lang w:eastAsia="cs-CZ"/>
        </w:rPr>
        <w:t xml:space="preserve"> </w:t>
      </w:r>
      <w:r w:rsidR="00CA35FD" w:rsidRPr="00CA35FD">
        <w:rPr>
          <w:color w:val="auto"/>
          <w:lang w:eastAsia="cs-CZ"/>
        </w:rPr>
        <w:t>a tím přispět k jednoznačnému a průkaznému ověření hospodárnosti způsobilých nákladů.</w:t>
      </w:r>
    </w:p>
    <w:p w14:paraId="79F512E8" w14:textId="3182F536" w:rsidR="00033308" w:rsidRPr="0084392C" w:rsidRDefault="00CB4E79" w:rsidP="00E0308F">
      <w:pPr>
        <w:pStyle w:val="Odstavecseseznamem"/>
        <w:numPr>
          <w:ilvl w:val="0"/>
          <w:numId w:val="50"/>
        </w:numPr>
        <w:spacing w:after="120"/>
        <w:ind w:left="284" w:hanging="284"/>
        <w:contextualSpacing w:val="0"/>
        <w:rPr>
          <w:color w:val="auto"/>
          <w:lang w:eastAsia="cs-CZ"/>
        </w:rPr>
      </w:pPr>
      <w:r w:rsidRPr="0084392C">
        <w:rPr>
          <w:color w:val="auto"/>
          <w:lang w:eastAsia="cs-CZ"/>
        </w:rPr>
        <w:lastRenderedPageBreak/>
        <w:t>Z</w:t>
      </w:r>
      <w:r w:rsidR="00FB5FBC" w:rsidRPr="0084392C">
        <w:rPr>
          <w:color w:val="auto"/>
          <w:lang w:eastAsia="cs-CZ"/>
        </w:rPr>
        <w:t>ohled</w:t>
      </w:r>
      <w:r w:rsidR="008B146D" w:rsidRPr="0084392C">
        <w:rPr>
          <w:color w:val="auto"/>
          <w:lang w:eastAsia="cs-CZ"/>
        </w:rPr>
        <w:t xml:space="preserve">ňovat </w:t>
      </w:r>
      <w:r w:rsidR="00E70B16" w:rsidRPr="0084392C">
        <w:rPr>
          <w:color w:val="auto"/>
          <w:lang w:eastAsia="cs-CZ"/>
        </w:rPr>
        <w:t>dosažení</w:t>
      </w:r>
      <w:r w:rsidR="008B146D" w:rsidRPr="0084392C">
        <w:rPr>
          <w:color w:val="auto"/>
          <w:lang w:eastAsia="cs-CZ"/>
        </w:rPr>
        <w:t xml:space="preserve"> příjmů z </w:t>
      </w:r>
      <w:r w:rsidRPr="0084392C">
        <w:rPr>
          <w:color w:val="auto"/>
          <w:lang w:eastAsia="cs-CZ"/>
        </w:rPr>
        <w:t>transferu znalostí</w:t>
      </w:r>
      <w:r w:rsidR="00FB5FBC" w:rsidRPr="0084392C">
        <w:rPr>
          <w:color w:val="auto"/>
          <w:lang w:eastAsia="cs-CZ"/>
        </w:rPr>
        <w:t xml:space="preserve"> v</w:t>
      </w:r>
      <w:r w:rsidR="005F52D5">
        <w:rPr>
          <w:color w:val="auto"/>
          <w:lang w:eastAsia="cs-CZ"/>
        </w:rPr>
        <w:t xml:space="preserve"> </w:t>
      </w:r>
      <w:r w:rsidR="00FB5FBC" w:rsidRPr="0084392C">
        <w:rPr>
          <w:color w:val="auto"/>
          <w:lang w:eastAsia="cs-CZ"/>
        </w:rPr>
        <w:t xml:space="preserve">rámci průběžného </w:t>
      </w:r>
      <w:r w:rsidR="00E70B16" w:rsidRPr="0084392C">
        <w:rPr>
          <w:color w:val="auto"/>
          <w:lang w:eastAsia="cs-CZ"/>
        </w:rPr>
        <w:t xml:space="preserve">a závěrečného </w:t>
      </w:r>
      <w:r w:rsidR="00FB5FBC" w:rsidRPr="0084392C">
        <w:rPr>
          <w:color w:val="auto"/>
          <w:lang w:eastAsia="cs-CZ"/>
        </w:rPr>
        <w:t>hodnocení</w:t>
      </w:r>
      <w:r w:rsidR="006F0F3F">
        <w:rPr>
          <w:color w:val="auto"/>
          <w:lang w:eastAsia="cs-CZ"/>
        </w:rPr>
        <w:t>, neboť se jedná o</w:t>
      </w:r>
      <w:r w:rsidR="004346B8" w:rsidRPr="0084392C">
        <w:rPr>
          <w:color w:val="auto"/>
          <w:lang w:eastAsia="cs-CZ"/>
        </w:rPr>
        <w:t xml:space="preserve"> důležit</w:t>
      </w:r>
      <w:r w:rsidR="006F0F3F">
        <w:rPr>
          <w:color w:val="auto"/>
          <w:lang w:eastAsia="cs-CZ"/>
        </w:rPr>
        <w:t>ý</w:t>
      </w:r>
      <w:r w:rsidR="004346B8" w:rsidRPr="0084392C">
        <w:rPr>
          <w:color w:val="auto"/>
          <w:lang w:eastAsia="cs-CZ"/>
        </w:rPr>
        <w:t xml:space="preserve"> ukazatel o komerčním využití a uplatnění výsledků výzkumu a vývoje v praxi. </w:t>
      </w:r>
    </w:p>
    <w:p w14:paraId="4ED74D27" w14:textId="77777777" w:rsidR="00716090" w:rsidRPr="00930C5E" w:rsidRDefault="00716090" w:rsidP="00455965">
      <w:pPr>
        <w:pStyle w:val="Odstavecseseznamem"/>
        <w:ind w:left="0"/>
        <w:rPr>
          <w:color w:val="auto"/>
          <w:lang w:eastAsia="cs-CZ"/>
        </w:rPr>
      </w:pPr>
    </w:p>
    <w:p w14:paraId="5E9B19A7" w14:textId="77777777" w:rsidR="00AB3724" w:rsidRDefault="00AB3724" w:rsidP="00E0308F">
      <w:pPr>
        <w:pStyle w:val="Nadpis1"/>
        <w:spacing w:before="240"/>
        <w:rPr>
          <w:sz w:val="28"/>
          <w:szCs w:val="28"/>
        </w:rPr>
      </w:pPr>
      <w:r w:rsidRPr="00D86DAB">
        <w:rPr>
          <w:sz w:val="28"/>
          <w:szCs w:val="28"/>
        </w:rPr>
        <w:t>II. Informace o kontrolované oblasti</w:t>
      </w:r>
    </w:p>
    <w:p w14:paraId="7F340EC1" w14:textId="77777777" w:rsidR="00FC3BF4" w:rsidRDefault="00FC3BF4" w:rsidP="00FC3BF4"/>
    <w:p w14:paraId="0497E7FD" w14:textId="0805ECEA" w:rsidR="006D745A" w:rsidRPr="00050A1C" w:rsidRDefault="006D745A" w:rsidP="006D745A">
      <w:pPr>
        <w:rPr>
          <w:rFonts w:asciiTheme="minorHAnsi" w:eastAsiaTheme="minorHAnsi" w:hAnsiTheme="minorHAnsi" w:cstheme="minorHAnsi"/>
        </w:rPr>
      </w:pPr>
      <w:r w:rsidRPr="00050A1C">
        <w:rPr>
          <w:rFonts w:asciiTheme="minorHAnsi" w:eastAsiaTheme="minorHAnsi" w:hAnsiTheme="minorHAnsi" w:cstheme="minorHAnsi"/>
        </w:rPr>
        <w:t>Dle zákona</w:t>
      </w:r>
      <w:r w:rsidR="009F5B31">
        <w:rPr>
          <w:rFonts w:asciiTheme="minorHAnsi" w:eastAsiaTheme="minorHAnsi" w:hAnsiTheme="minorHAnsi" w:cstheme="minorHAnsi"/>
        </w:rPr>
        <w:t xml:space="preserve"> České národní rady</w:t>
      </w:r>
      <w:r w:rsidRPr="00050A1C">
        <w:rPr>
          <w:rFonts w:asciiTheme="minorHAnsi" w:eastAsiaTheme="minorHAnsi" w:hAnsiTheme="minorHAnsi" w:cstheme="minorHAnsi"/>
        </w:rPr>
        <w:t xml:space="preserve"> č. 2/1969 Sb., o zřízení ministerstev a jiných ústředních orgánů státní správy České republiky</w:t>
      </w:r>
      <w:r w:rsidR="00F21EAA">
        <w:rPr>
          <w:rFonts w:asciiTheme="minorHAnsi" w:eastAsiaTheme="minorHAnsi" w:hAnsiTheme="minorHAnsi" w:cstheme="minorHAnsi"/>
        </w:rPr>
        <w:t>,</w:t>
      </w:r>
      <w:r w:rsidRPr="00050A1C">
        <w:rPr>
          <w:rFonts w:asciiTheme="minorHAnsi" w:eastAsiaTheme="minorHAnsi" w:hAnsiTheme="minorHAnsi" w:cstheme="minorHAnsi"/>
        </w:rPr>
        <w:t xml:space="preserve"> je </w:t>
      </w:r>
      <w:r w:rsidR="00656086">
        <w:rPr>
          <w:rFonts w:asciiTheme="minorHAnsi" w:eastAsiaTheme="minorHAnsi" w:hAnsiTheme="minorHAnsi" w:cstheme="minorHAnsi"/>
        </w:rPr>
        <w:t>MPO</w:t>
      </w:r>
      <w:r>
        <w:rPr>
          <w:rFonts w:asciiTheme="minorHAnsi" w:eastAsiaTheme="minorHAnsi" w:hAnsiTheme="minorHAnsi" w:cstheme="minorHAnsi"/>
        </w:rPr>
        <w:t xml:space="preserve"> </w:t>
      </w:r>
      <w:r w:rsidRPr="00050A1C">
        <w:rPr>
          <w:rFonts w:asciiTheme="minorHAnsi" w:eastAsiaTheme="minorHAnsi" w:hAnsiTheme="minorHAnsi" w:cstheme="minorHAnsi"/>
        </w:rPr>
        <w:t>mimo</w:t>
      </w:r>
      <w:r w:rsidR="00E0308F">
        <w:rPr>
          <w:rFonts w:asciiTheme="minorHAnsi" w:eastAsiaTheme="minorHAnsi" w:hAnsiTheme="minorHAnsi" w:cstheme="minorHAnsi"/>
        </w:rPr>
        <w:t xml:space="preserve"> </w:t>
      </w:r>
      <w:r w:rsidRPr="00050A1C">
        <w:rPr>
          <w:rFonts w:asciiTheme="minorHAnsi" w:eastAsiaTheme="minorHAnsi" w:hAnsiTheme="minorHAnsi" w:cstheme="minorHAnsi"/>
        </w:rPr>
        <w:t xml:space="preserve">jiné ústředním orgánem státní správy pro </w:t>
      </w:r>
      <w:r w:rsidRPr="00050A1C">
        <w:rPr>
          <w:rFonts w:asciiTheme="minorHAnsi" w:eastAsiaTheme="minorHAnsi" w:hAnsiTheme="minorHAnsi" w:cstheme="minorHAnsi"/>
          <w:b/>
        </w:rPr>
        <w:t>průmyslový výzkum, rozvoj techniky a</w:t>
      </w:r>
      <w:r>
        <w:rPr>
          <w:rFonts w:asciiTheme="minorHAnsi" w:eastAsiaTheme="minorHAnsi" w:hAnsiTheme="minorHAnsi" w:cstheme="minorHAnsi"/>
          <w:b/>
        </w:rPr>
        <w:t> </w:t>
      </w:r>
      <w:r w:rsidRPr="00050A1C">
        <w:rPr>
          <w:rFonts w:asciiTheme="minorHAnsi" w:eastAsiaTheme="minorHAnsi" w:hAnsiTheme="minorHAnsi" w:cstheme="minorHAnsi"/>
          <w:b/>
        </w:rPr>
        <w:t>technologií</w:t>
      </w:r>
      <w:r w:rsidRPr="001C293D">
        <w:rPr>
          <w:rFonts w:asciiTheme="minorHAnsi" w:eastAsiaTheme="minorHAnsi" w:hAnsiTheme="minorHAnsi" w:cstheme="minorHAnsi"/>
          <w:b/>
        </w:rPr>
        <w:t>.</w:t>
      </w:r>
    </w:p>
    <w:p w14:paraId="52AB8B9B" w14:textId="77777777" w:rsidR="006D745A" w:rsidRDefault="006D745A" w:rsidP="006D745A">
      <w:pPr>
        <w:rPr>
          <w:rFonts w:asciiTheme="minorHAnsi" w:hAnsiTheme="minorHAnsi" w:cstheme="minorHAnsi"/>
          <w:b/>
          <w:u w:val="single"/>
        </w:rPr>
      </w:pPr>
    </w:p>
    <w:p w14:paraId="18E482E8" w14:textId="279E8767" w:rsidR="006D745A" w:rsidRDefault="00533433" w:rsidP="006D745A">
      <w:pPr>
        <w:rPr>
          <w:rFonts w:asciiTheme="minorHAnsi" w:hAnsiTheme="minorHAnsi" w:cstheme="minorHAnsi"/>
        </w:rPr>
      </w:pPr>
      <w:r>
        <w:rPr>
          <w:rFonts w:asciiTheme="minorHAnsi" w:hAnsiTheme="minorHAnsi" w:cstheme="minorHAnsi"/>
        </w:rPr>
        <w:t xml:space="preserve">Problematiku státní podpory výzkumu, vývoje a inovací upravuje </w:t>
      </w:r>
      <w:r w:rsidR="006F0F3F">
        <w:rPr>
          <w:lang w:eastAsia="cs-CZ"/>
        </w:rPr>
        <w:t>s</w:t>
      </w:r>
      <w:r>
        <w:rPr>
          <w:lang w:eastAsia="cs-CZ"/>
        </w:rPr>
        <w:t xml:space="preserve">dělení </w:t>
      </w:r>
      <w:r w:rsidR="006F0F3F">
        <w:rPr>
          <w:lang w:eastAsia="cs-CZ"/>
        </w:rPr>
        <w:t xml:space="preserve">Evropské </w:t>
      </w:r>
      <w:r>
        <w:rPr>
          <w:lang w:eastAsia="cs-CZ"/>
        </w:rPr>
        <w:t>komise</w:t>
      </w:r>
      <w:r w:rsidR="006F0F3F">
        <w:rPr>
          <w:lang w:eastAsia="cs-CZ"/>
        </w:rPr>
        <w:t>:</w:t>
      </w:r>
      <w:r>
        <w:rPr>
          <w:lang w:eastAsia="cs-CZ"/>
        </w:rPr>
        <w:t xml:space="preserve"> </w:t>
      </w:r>
      <w:r w:rsidRPr="001C293D">
        <w:rPr>
          <w:i/>
          <w:lang w:eastAsia="cs-CZ"/>
        </w:rPr>
        <w:t>Rámec pro</w:t>
      </w:r>
      <w:r w:rsidR="006F0F3F">
        <w:rPr>
          <w:i/>
          <w:lang w:eastAsia="cs-CZ"/>
        </w:rPr>
        <w:t xml:space="preserve"> </w:t>
      </w:r>
      <w:r w:rsidRPr="001C293D">
        <w:rPr>
          <w:i/>
          <w:lang w:eastAsia="cs-CZ"/>
        </w:rPr>
        <w:t>státní podporu výzkumu, vývoje a inovací</w:t>
      </w:r>
      <w:r>
        <w:rPr>
          <w:lang w:eastAsia="cs-CZ"/>
        </w:rPr>
        <w:t xml:space="preserve"> (2014/C 198/01).</w:t>
      </w:r>
      <w:r>
        <w:rPr>
          <w:rFonts w:asciiTheme="minorHAnsi" w:hAnsiTheme="minorHAnsi" w:cstheme="minorHAnsi"/>
        </w:rPr>
        <w:t xml:space="preserve"> </w:t>
      </w:r>
      <w:r w:rsidR="006D745A" w:rsidRPr="00533433">
        <w:rPr>
          <w:rFonts w:asciiTheme="minorHAnsi" w:hAnsiTheme="minorHAnsi" w:cstheme="minorHAnsi"/>
        </w:rPr>
        <w:t>Poskytování institucionální podpory</w:t>
      </w:r>
      <w:r w:rsidR="00602087">
        <w:rPr>
          <w:rFonts w:asciiTheme="minorHAnsi" w:hAnsiTheme="minorHAnsi" w:cstheme="minorHAnsi"/>
        </w:rPr>
        <w:t xml:space="preserve"> v</w:t>
      </w:r>
      <w:r w:rsidR="006F0F3F">
        <w:rPr>
          <w:rFonts w:asciiTheme="minorHAnsi" w:hAnsiTheme="minorHAnsi" w:cstheme="minorHAnsi"/>
        </w:rPr>
        <w:t xml:space="preserve"> </w:t>
      </w:r>
      <w:r w:rsidR="00602087">
        <w:rPr>
          <w:rFonts w:asciiTheme="minorHAnsi" w:hAnsiTheme="minorHAnsi" w:cstheme="minorHAnsi"/>
        </w:rPr>
        <w:t>České republice</w:t>
      </w:r>
      <w:r w:rsidR="006D745A" w:rsidRPr="00533433">
        <w:rPr>
          <w:rFonts w:asciiTheme="minorHAnsi" w:hAnsiTheme="minorHAnsi" w:cstheme="minorHAnsi"/>
        </w:rPr>
        <w:t xml:space="preserve"> upravuje </w:t>
      </w:r>
      <w:r w:rsidR="00DB6AAD">
        <w:rPr>
          <w:rFonts w:asciiTheme="minorHAnsi" w:hAnsiTheme="minorHAnsi" w:cstheme="minorHAnsi"/>
        </w:rPr>
        <w:t>z</w:t>
      </w:r>
      <w:r w:rsidR="00DB6AAD" w:rsidRPr="00DB6AAD">
        <w:rPr>
          <w:rFonts w:asciiTheme="minorHAnsi" w:hAnsiTheme="minorHAnsi" w:cstheme="minorHAnsi"/>
        </w:rPr>
        <w:t>ákon č. 130/2002 Sb., o podpoře výzkumu, experimentálního vývoje a inovací z</w:t>
      </w:r>
      <w:r w:rsidR="00DB6AAD">
        <w:rPr>
          <w:rFonts w:asciiTheme="minorHAnsi" w:hAnsiTheme="minorHAnsi" w:cstheme="minorHAnsi"/>
        </w:rPr>
        <w:t> </w:t>
      </w:r>
      <w:r w:rsidR="00DB6AAD" w:rsidRPr="00DB6AAD">
        <w:rPr>
          <w:rFonts w:asciiTheme="minorHAnsi" w:hAnsiTheme="minorHAnsi" w:cstheme="minorHAnsi"/>
        </w:rPr>
        <w:t>veřejných prostředků a o změně některých souvisejících zákonů (</w:t>
      </w:r>
      <w:r w:rsidR="00DB6AAD" w:rsidRPr="00DB6AAD">
        <w:rPr>
          <w:rFonts w:asciiTheme="minorHAnsi" w:hAnsiTheme="minorHAnsi" w:cstheme="minorHAnsi"/>
          <w:b/>
        </w:rPr>
        <w:t>zákon o podpoře výzkumu, experimentálního vývoje a inovací</w:t>
      </w:r>
      <w:r w:rsidR="00DB6AAD" w:rsidRPr="00DB6AAD">
        <w:rPr>
          <w:rFonts w:asciiTheme="minorHAnsi" w:hAnsiTheme="minorHAnsi" w:cstheme="minorHAnsi"/>
        </w:rPr>
        <w:t>)</w:t>
      </w:r>
      <w:r w:rsidR="008C4B55">
        <w:rPr>
          <w:rFonts w:asciiTheme="minorHAnsi" w:hAnsiTheme="minorHAnsi" w:cstheme="minorHAnsi"/>
        </w:rPr>
        <w:t>.</w:t>
      </w:r>
    </w:p>
    <w:p w14:paraId="34434CB1" w14:textId="77777777" w:rsidR="008C4B55" w:rsidRDefault="008C4B55" w:rsidP="006D745A">
      <w:pPr>
        <w:rPr>
          <w:rFonts w:asciiTheme="minorHAnsi" w:eastAsiaTheme="minorHAnsi" w:hAnsiTheme="minorHAnsi" w:cstheme="minorHAnsi"/>
        </w:rPr>
      </w:pPr>
    </w:p>
    <w:p w14:paraId="117EB641" w14:textId="798C287D" w:rsidR="006D745A" w:rsidRDefault="00533433" w:rsidP="006D745A">
      <w:pPr>
        <w:rPr>
          <w:rFonts w:asciiTheme="minorHAnsi" w:eastAsiaTheme="minorHAnsi" w:hAnsiTheme="minorHAnsi" w:cstheme="minorHAnsi"/>
        </w:rPr>
      </w:pPr>
      <w:r w:rsidRPr="001C293D">
        <w:rPr>
          <w:i/>
          <w:lang w:eastAsia="cs-CZ"/>
        </w:rPr>
        <w:t>Rám</w:t>
      </w:r>
      <w:r w:rsidR="00821DFC">
        <w:rPr>
          <w:i/>
          <w:lang w:eastAsia="cs-CZ"/>
        </w:rPr>
        <w:t>e</w:t>
      </w:r>
      <w:r w:rsidRPr="001C293D">
        <w:rPr>
          <w:i/>
          <w:lang w:eastAsia="cs-CZ"/>
        </w:rPr>
        <w:t>c</w:t>
      </w:r>
      <w:r w:rsidR="006D745A" w:rsidRPr="001C293D">
        <w:rPr>
          <w:i/>
          <w:lang w:eastAsia="cs-CZ"/>
        </w:rPr>
        <w:t xml:space="preserve"> pro státní podporu výzkumu, vývoje a inovací</w:t>
      </w:r>
      <w:r w:rsidR="00821DFC">
        <w:rPr>
          <w:i/>
          <w:lang w:eastAsia="cs-CZ"/>
        </w:rPr>
        <w:t xml:space="preserve"> </w:t>
      </w:r>
      <w:r w:rsidR="00821DFC" w:rsidRPr="001C293D">
        <w:rPr>
          <w:lang w:eastAsia="cs-CZ"/>
        </w:rPr>
        <w:t>obsahuje tuto definici</w:t>
      </w:r>
      <w:r w:rsidR="008C4B55" w:rsidRPr="00821DFC">
        <w:rPr>
          <w:lang w:eastAsia="cs-CZ"/>
        </w:rPr>
        <w:t>:</w:t>
      </w:r>
      <w:r w:rsidR="006D745A">
        <w:rPr>
          <w:lang w:eastAsia="cs-CZ"/>
        </w:rPr>
        <w:t xml:space="preserve"> </w:t>
      </w:r>
      <w:r w:rsidR="009F5B31" w:rsidRPr="000D140E">
        <w:rPr>
          <w:rFonts w:cstheme="minorHAnsi"/>
          <w:lang w:eastAsia="cs-CZ"/>
        </w:rPr>
        <w:t>„</w:t>
      </w:r>
      <w:r w:rsidR="009F5B31" w:rsidRPr="000D140E">
        <w:rPr>
          <w:rFonts w:cstheme="minorHAnsi"/>
          <w:i/>
          <w:lang w:eastAsia="cs-CZ"/>
        </w:rPr>
        <w:t>Organizací pro výzkum a šíření znalostí nebo výzkumnou organizací</w:t>
      </w:r>
      <w:r w:rsidR="008C4B55">
        <w:rPr>
          <w:rFonts w:cstheme="minorHAnsi"/>
          <w:i/>
          <w:lang w:eastAsia="cs-CZ"/>
        </w:rPr>
        <w:t xml:space="preserve"> </w:t>
      </w:r>
      <w:r w:rsidR="009F5B31" w:rsidRPr="000D140E">
        <w:rPr>
          <w:rFonts w:cstheme="minorHAnsi"/>
          <w:i/>
          <w:lang w:eastAsia="cs-CZ"/>
        </w:rPr>
        <w:t>se rozumí subjekt (např. univerzita nebo výzkumný ústav, agentura pro transfer technologií, zprostředkovatel v oblasti inovací, fyzický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Pokud tento subjekt rovněž vykonává hospodářské činnosti, je třeba pro financování, náklady a příjmy těchto hospodářských činností vést oddělené účetnictví. Podniky, jež mohou uplatňovat rozhodující vliv na takovýto subjekt, např. jako podílníci nebo členové, nesmí mít přednostní přístup k výsledkům, jichž dosáhl</w:t>
      </w:r>
      <w:r w:rsidR="006F0F3F">
        <w:rPr>
          <w:rFonts w:cstheme="minorHAnsi"/>
          <w:i/>
          <w:lang w:eastAsia="cs-CZ"/>
        </w:rPr>
        <w:t>.</w:t>
      </w:r>
      <w:r w:rsidR="009F5B31" w:rsidRPr="001C293D">
        <w:rPr>
          <w:rFonts w:cstheme="minorHAnsi"/>
          <w:lang w:eastAsia="cs-CZ"/>
        </w:rPr>
        <w:t>“</w:t>
      </w:r>
    </w:p>
    <w:p w14:paraId="4522A964" w14:textId="77777777" w:rsidR="006D745A" w:rsidRPr="00050A1C" w:rsidRDefault="006D745A" w:rsidP="006D745A">
      <w:pPr>
        <w:rPr>
          <w:rFonts w:asciiTheme="minorHAnsi" w:eastAsiaTheme="minorHAnsi" w:hAnsiTheme="minorHAnsi" w:cstheme="minorHAnsi"/>
        </w:rPr>
      </w:pPr>
    </w:p>
    <w:p w14:paraId="464D3A50" w14:textId="755DAB51" w:rsidR="003D6933" w:rsidRDefault="006D745A" w:rsidP="00422CC0">
      <w:pPr>
        <w:rPr>
          <w:rFonts w:asciiTheme="minorHAnsi" w:eastAsiaTheme="minorHAnsi" w:hAnsiTheme="minorHAnsi" w:cstheme="minorHAnsi"/>
        </w:rPr>
      </w:pPr>
      <w:r w:rsidRPr="00050A1C">
        <w:rPr>
          <w:rFonts w:asciiTheme="minorHAnsi" w:eastAsiaTheme="minorHAnsi" w:hAnsiTheme="minorHAnsi" w:cstheme="minorHAnsi"/>
        </w:rPr>
        <w:t xml:space="preserve">Dle zákona </w:t>
      </w:r>
      <w:r w:rsidR="00A23639" w:rsidRPr="00A23639">
        <w:rPr>
          <w:rFonts w:asciiTheme="minorHAnsi" w:eastAsiaTheme="minorHAnsi" w:hAnsiTheme="minorHAnsi" w:cstheme="minorHAnsi"/>
        </w:rPr>
        <w:t>o podpoře výzkumu, experimentálního vývoje a inovací</w:t>
      </w:r>
      <w:r w:rsidRPr="00050A1C">
        <w:rPr>
          <w:rFonts w:asciiTheme="minorHAnsi" w:eastAsiaTheme="minorHAnsi" w:hAnsiTheme="minorHAnsi" w:cstheme="minorHAnsi"/>
        </w:rPr>
        <w:t xml:space="preserve"> je </w:t>
      </w:r>
      <w:r w:rsidRPr="00533433">
        <w:rPr>
          <w:rFonts w:asciiTheme="minorHAnsi" w:eastAsiaTheme="minorHAnsi" w:hAnsiTheme="minorHAnsi" w:cstheme="minorHAnsi"/>
          <w:b/>
        </w:rPr>
        <w:t>MPO poskytovatelem institucionální podpory</w:t>
      </w:r>
      <w:r w:rsidRPr="0049557D">
        <w:rPr>
          <w:rFonts w:asciiTheme="minorHAnsi" w:eastAsiaTheme="minorHAnsi" w:hAnsiTheme="minorHAnsi" w:cstheme="minorHAnsi"/>
        </w:rPr>
        <w:t xml:space="preserve"> na dlouhodobý koncepční rozvoj výzkumných organizací</w:t>
      </w:r>
      <w:r w:rsidRPr="00050A1C">
        <w:rPr>
          <w:rFonts w:asciiTheme="minorHAnsi" w:eastAsiaTheme="minorHAnsi" w:hAnsiTheme="minorHAnsi" w:cstheme="minorHAnsi"/>
        </w:rPr>
        <w:t xml:space="preserve"> </w:t>
      </w:r>
      <w:r>
        <w:rPr>
          <w:rFonts w:asciiTheme="minorHAnsi" w:eastAsiaTheme="minorHAnsi" w:hAnsiTheme="minorHAnsi" w:cstheme="minorHAnsi"/>
        </w:rPr>
        <w:t>ve</w:t>
      </w:r>
      <w:r w:rsidRPr="00050A1C">
        <w:rPr>
          <w:rFonts w:asciiTheme="minorHAnsi" w:eastAsiaTheme="minorHAnsi" w:hAnsiTheme="minorHAnsi" w:cstheme="minorHAnsi"/>
        </w:rPr>
        <w:t xml:space="preserve"> své působnos</w:t>
      </w:r>
      <w:r w:rsidRPr="002A5007">
        <w:rPr>
          <w:rFonts w:asciiTheme="minorHAnsi" w:eastAsiaTheme="minorHAnsi" w:hAnsiTheme="minorHAnsi" w:cstheme="minorHAnsi"/>
        </w:rPr>
        <w:t>ti</w:t>
      </w:r>
      <w:r w:rsidR="00602087">
        <w:rPr>
          <w:rFonts w:asciiTheme="minorHAnsi" w:eastAsiaTheme="minorHAnsi" w:hAnsiTheme="minorHAnsi" w:cstheme="minorHAnsi"/>
        </w:rPr>
        <w:t>.</w:t>
      </w:r>
      <w:r w:rsidR="00533433">
        <w:rPr>
          <w:rFonts w:asciiTheme="minorHAnsi" w:eastAsiaTheme="minorHAnsi" w:hAnsiTheme="minorHAnsi" w:cstheme="minorHAnsi"/>
        </w:rPr>
        <w:t xml:space="preserve"> </w:t>
      </w:r>
      <w:r w:rsidR="00602087">
        <w:rPr>
          <w:rFonts w:asciiTheme="minorHAnsi" w:eastAsiaTheme="minorHAnsi" w:hAnsiTheme="minorHAnsi" w:cstheme="minorHAnsi"/>
        </w:rPr>
        <w:t>I</w:t>
      </w:r>
      <w:r>
        <w:rPr>
          <w:rFonts w:asciiTheme="minorHAnsi" w:eastAsiaTheme="minorHAnsi" w:hAnsiTheme="minorHAnsi" w:cstheme="minorHAnsi"/>
        </w:rPr>
        <w:t xml:space="preserve">nstitucionální podporu </w:t>
      </w:r>
      <w:r w:rsidR="0083370B">
        <w:rPr>
          <w:rFonts w:asciiTheme="minorHAnsi" w:eastAsiaTheme="minorHAnsi" w:hAnsiTheme="minorHAnsi" w:cstheme="minorHAnsi"/>
        </w:rPr>
        <w:t xml:space="preserve">lze </w:t>
      </w:r>
      <w:r>
        <w:rPr>
          <w:rFonts w:asciiTheme="minorHAnsi" w:eastAsiaTheme="minorHAnsi" w:hAnsiTheme="minorHAnsi" w:cstheme="minorHAnsi"/>
        </w:rPr>
        <w:t xml:space="preserve">poskytnout </w:t>
      </w:r>
      <w:r w:rsidRPr="0049557D">
        <w:rPr>
          <w:rFonts w:asciiTheme="minorHAnsi" w:eastAsiaTheme="minorHAnsi" w:hAnsiTheme="minorHAnsi" w:cstheme="minorHAnsi"/>
        </w:rPr>
        <w:t>na</w:t>
      </w:r>
      <w:r>
        <w:rPr>
          <w:rFonts w:asciiTheme="minorHAnsi" w:eastAsiaTheme="minorHAnsi" w:hAnsiTheme="minorHAnsi" w:cstheme="minorHAnsi"/>
        </w:rPr>
        <w:t xml:space="preserve"> </w:t>
      </w:r>
      <w:r w:rsidRPr="008B52AB">
        <w:rPr>
          <w:rFonts w:asciiTheme="minorHAnsi" w:eastAsiaTheme="minorHAnsi" w:hAnsiTheme="minorHAnsi" w:cstheme="minorHAnsi"/>
          <w:b/>
        </w:rPr>
        <w:t>dlouhodobý koncepční rozvoj výzkumné organizace</w:t>
      </w:r>
      <w:r w:rsidRPr="001C293D">
        <w:rPr>
          <w:rFonts w:asciiTheme="minorHAnsi" w:eastAsiaTheme="minorHAnsi" w:hAnsiTheme="minorHAnsi" w:cstheme="minorHAnsi"/>
          <w:b/>
        </w:rPr>
        <w:t>,</w:t>
      </w:r>
      <w:r>
        <w:rPr>
          <w:rFonts w:asciiTheme="minorHAnsi" w:eastAsiaTheme="minorHAnsi" w:hAnsiTheme="minorHAnsi" w:cstheme="minorHAnsi"/>
        </w:rPr>
        <w:t xml:space="preserve"> kterým se rozumí nezávislé provádění základního výzkumu, aplikovaného výzkumu, veřejné šíření výsledků těchto činností na nevýlučném a</w:t>
      </w:r>
      <w:r w:rsidR="00A23639">
        <w:rPr>
          <w:rFonts w:asciiTheme="minorHAnsi" w:eastAsiaTheme="minorHAnsi" w:hAnsiTheme="minorHAnsi" w:cstheme="minorHAnsi"/>
        </w:rPr>
        <w:t> </w:t>
      </w:r>
      <w:r>
        <w:rPr>
          <w:rFonts w:asciiTheme="minorHAnsi" w:eastAsiaTheme="minorHAnsi" w:hAnsiTheme="minorHAnsi" w:cstheme="minorHAnsi"/>
        </w:rPr>
        <w:t xml:space="preserve">nediskriminačním základě nebo transfer znalostí, pokud se veškerý zisk z transferu znalostí znovu investuje do primárních činností výzkumné organizace. </w:t>
      </w:r>
      <w:r>
        <w:rPr>
          <w:rFonts w:asciiTheme="minorHAnsi" w:hAnsiTheme="minorHAnsi" w:cstheme="minorHAnsi"/>
        </w:rPr>
        <w:t xml:space="preserve">Prostředky institucionální podpory nejsou účelově vázány na řešení konkrétního projektu. MPO podporu poskytuje </w:t>
      </w:r>
      <w:r w:rsidRPr="00FB2ADA">
        <w:rPr>
          <w:rFonts w:asciiTheme="minorHAnsi" w:hAnsiTheme="minorHAnsi" w:cstheme="minorHAnsi"/>
          <w:b/>
        </w:rPr>
        <w:t>formou dotace</w:t>
      </w:r>
      <w:r>
        <w:rPr>
          <w:rFonts w:asciiTheme="minorHAnsi" w:hAnsiTheme="minorHAnsi" w:cstheme="minorHAnsi"/>
          <w:b/>
        </w:rPr>
        <w:t xml:space="preserve"> </w:t>
      </w:r>
      <w:r>
        <w:rPr>
          <w:rFonts w:asciiTheme="minorHAnsi" w:hAnsiTheme="minorHAnsi" w:cstheme="minorHAnsi"/>
        </w:rPr>
        <w:t xml:space="preserve">na základě vydaného </w:t>
      </w:r>
      <w:r w:rsidR="00821DFC">
        <w:rPr>
          <w:rFonts w:asciiTheme="minorHAnsi" w:hAnsiTheme="minorHAnsi" w:cstheme="minorHAnsi"/>
        </w:rPr>
        <w:t>„</w:t>
      </w:r>
      <w:r w:rsidR="001303EB">
        <w:rPr>
          <w:rFonts w:asciiTheme="minorHAnsi" w:eastAsiaTheme="minorHAnsi" w:hAnsiTheme="minorHAnsi" w:cstheme="minorHAnsi"/>
        </w:rPr>
        <w:t>r</w:t>
      </w:r>
      <w:r w:rsidRPr="001303EB">
        <w:rPr>
          <w:rFonts w:asciiTheme="minorHAnsi" w:eastAsiaTheme="minorHAnsi" w:hAnsiTheme="minorHAnsi" w:cstheme="minorHAnsi"/>
        </w:rPr>
        <w:t>ozhodnutí o</w:t>
      </w:r>
      <w:r w:rsidR="001303EB">
        <w:rPr>
          <w:rFonts w:asciiTheme="minorHAnsi" w:eastAsiaTheme="minorHAnsi" w:hAnsiTheme="minorHAnsi" w:cstheme="minorHAnsi"/>
        </w:rPr>
        <w:t xml:space="preserve"> </w:t>
      </w:r>
      <w:r w:rsidRPr="001303EB">
        <w:rPr>
          <w:rFonts w:asciiTheme="minorHAnsi" w:eastAsiaTheme="minorHAnsi" w:hAnsiTheme="minorHAnsi" w:cstheme="minorHAnsi"/>
        </w:rPr>
        <w:t>poskytnutí institucionální podpory na</w:t>
      </w:r>
      <w:r w:rsidR="001303EB">
        <w:rPr>
          <w:rFonts w:asciiTheme="minorHAnsi" w:eastAsiaTheme="minorHAnsi" w:hAnsiTheme="minorHAnsi" w:cstheme="minorHAnsi"/>
        </w:rPr>
        <w:t xml:space="preserve"> </w:t>
      </w:r>
      <w:r w:rsidRPr="001303EB">
        <w:rPr>
          <w:rFonts w:asciiTheme="minorHAnsi" w:eastAsiaTheme="minorHAnsi" w:hAnsiTheme="minorHAnsi" w:cstheme="minorHAnsi"/>
        </w:rPr>
        <w:t>dlouhodobý koncepční rozvoj výzkumné organizace</w:t>
      </w:r>
      <w:r w:rsidR="00821DFC">
        <w:rPr>
          <w:rFonts w:asciiTheme="minorHAnsi" w:eastAsiaTheme="minorHAnsi" w:hAnsiTheme="minorHAnsi" w:cstheme="minorHAnsi"/>
        </w:rPr>
        <w:t>“</w:t>
      </w:r>
      <w:r>
        <w:rPr>
          <w:rFonts w:asciiTheme="minorHAnsi" w:eastAsiaTheme="minorHAnsi" w:hAnsiTheme="minorHAnsi" w:cstheme="minorHAnsi"/>
        </w:rPr>
        <w:t xml:space="preserve"> (dále </w:t>
      </w:r>
      <w:r w:rsidRPr="00533433">
        <w:rPr>
          <w:rFonts w:asciiTheme="minorHAnsi" w:eastAsiaTheme="minorHAnsi" w:hAnsiTheme="minorHAnsi" w:cstheme="minorHAnsi"/>
        </w:rPr>
        <w:t>jen „</w:t>
      </w:r>
      <w:r w:rsidR="00821DFC" w:rsidRPr="001C293D">
        <w:rPr>
          <w:rFonts w:asciiTheme="minorHAnsi" w:eastAsiaTheme="minorHAnsi" w:hAnsiTheme="minorHAnsi" w:cstheme="minorHAnsi"/>
          <w:i/>
        </w:rPr>
        <w:t>r</w:t>
      </w:r>
      <w:r w:rsidRPr="001C293D">
        <w:rPr>
          <w:rFonts w:asciiTheme="minorHAnsi" w:eastAsiaTheme="minorHAnsi" w:hAnsiTheme="minorHAnsi" w:cstheme="minorHAnsi"/>
          <w:i/>
        </w:rPr>
        <w:t>ozhodnutí o</w:t>
      </w:r>
      <w:r w:rsidR="001303EB">
        <w:rPr>
          <w:rFonts w:asciiTheme="minorHAnsi" w:eastAsiaTheme="minorHAnsi" w:hAnsiTheme="minorHAnsi" w:cstheme="minorHAnsi"/>
          <w:i/>
        </w:rPr>
        <w:t xml:space="preserve"> </w:t>
      </w:r>
      <w:r w:rsidRPr="001C293D">
        <w:rPr>
          <w:rFonts w:asciiTheme="minorHAnsi" w:eastAsiaTheme="minorHAnsi" w:hAnsiTheme="minorHAnsi" w:cstheme="minorHAnsi"/>
          <w:i/>
        </w:rPr>
        <w:t>poskytnutí institucionální podpory</w:t>
      </w:r>
      <w:r w:rsidRPr="00533433">
        <w:rPr>
          <w:rFonts w:asciiTheme="minorHAnsi" w:eastAsiaTheme="minorHAnsi" w:hAnsiTheme="minorHAnsi" w:cstheme="minorHAnsi"/>
        </w:rPr>
        <w:t>“)</w:t>
      </w:r>
      <w:r>
        <w:rPr>
          <w:rFonts w:asciiTheme="minorHAnsi" w:hAnsiTheme="minorHAnsi" w:cstheme="minorHAnsi"/>
        </w:rPr>
        <w:t xml:space="preserve"> a </w:t>
      </w:r>
      <w:r w:rsidRPr="00533433">
        <w:rPr>
          <w:rFonts w:asciiTheme="minorHAnsi" w:hAnsiTheme="minorHAnsi" w:cstheme="minorHAnsi"/>
          <w:b/>
        </w:rPr>
        <w:t xml:space="preserve">příjemcem </w:t>
      </w:r>
      <w:r w:rsidRPr="00533433">
        <w:rPr>
          <w:rFonts w:eastAsiaTheme="minorHAnsi"/>
          <w:b/>
        </w:rPr>
        <w:t>podpory</w:t>
      </w:r>
      <w:r w:rsidRPr="00533433">
        <w:rPr>
          <w:rFonts w:asciiTheme="minorHAnsi" w:hAnsiTheme="minorHAnsi" w:cstheme="minorHAnsi"/>
          <w:b/>
        </w:rPr>
        <w:t xml:space="preserve"> je výzkumná organizace</w:t>
      </w:r>
      <w:r w:rsidRPr="001C293D">
        <w:rPr>
          <w:rFonts w:asciiTheme="minorHAnsi" w:hAnsiTheme="minorHAnsi" w:cstheme="minorHAnsi"/>
          <w:b/>
        </w:rPr>
        <w:t>.</w:t>
      </w:r>
      <w:r w:rsidRPr="00533433">
        <w:rPr>
          <w:rFonts w:asciiTheme="minorHAnsi" w:eastAsiaTheme="minorHAnsi" w:hAnsiTheme="minorHAnsi" w:cstheme="minorHAnsi"/>
        </w:rPr>
        <w:t xml:space="preserve"> </w:t>
      </w:r>
    </w:p>
    <w:p w14:paraId="73C3AC97" w14:textId="77777777" w:rsidR="00F21EAA" w:rsidRDefault="00F21EAA" w:rsidP="00422CC0">
      <w:pPr>
        <w:rPr>
          <w:b/>
          <w:lang w:eastAsia="cs-CZ"/>
        </w:rPr>
      </w:pPr>
    </w:p>
    <w:p w14:paraId="1CF2B365" w14:textId="77777777" w:rsidR="00E0308F" w:rsidRDefault="00E0308F">
      <w:pPr>
        <w:spacing w:after="160" w:line="259" w:lineRule="auto"/>
        <w:jc w:val="left"/>
        <w:rPr>
          <w:b/>
          <w:lang w:eastAsia="cs-CZ"/>
        </w:rPr>
      </w:pPr>
      <w:r>
        <w:rPr>
          <w:b/>
          <w:lang w:eastAsia="cs-CZ"/>
        </w:rPr>
        <w:br w:type="page"/>
      </w:r>
    </w:p>
    <w:p w14:paraId="5D320CB9" w14:textId="674353CC" w:rsidR="00422CC0" w:rsidRPr="003D6933" w:rsidRDefault="002C06DA" w:rsidP="001C293D">
      <w:pPr>
        <w:spacing w:after="120"/>
        <w:rPr>
          <w:rFonts w:asciiTheme="minorHAnsi" w:eastAsiaTheme="minorHAnsi" w:hAnsiTheme="minorHAnsi" w:cstheme="minorHAnsi"/>
        </w:rPr>
      </w:pPr>
      <w:r>
        <w:rPr>
          <w:b/>
          <w:lang w:eastAsia="cs-CZ"/>
        </w:rPr>
        <w:lastRenderedPageBreak/>
        <w:t xml:space="preserve">MPO </w:t>
      </w:r>
      <w:r>
        <w:rPr>
          <w:lang w:eastAsia="cs-CZ"/>
        </w:rPr>
        <w:t xml:space="preserve">v letech 2018 až 2022 poskytlo institucionální podporu </w:t>
      </w:r>
      <w:r w:rsidR="00422CC0" w:rsidRPr="0049557D">
        <w:rPr>
          <w:b/>
          <w:lang w:eastAsia="cs-CZ"/>
        </w:rPr>
        <w:t>14 výzkumný</w:t>
      </w:r>
      <w:r>
        <w:rPr>
          <w:b/>
          <w:lang w:eastAsia="cs-CZ"/>
        </w:rPr>
        <w:t>m</w:t>
      </w:r>
      <w:r w:rsidR="00422CC0" w:rsidRPr="0049557D">
        <w:rPr>
          <w:b/>
          <w:lang w:eastAsia="cs-CZ"/>
        </w:rPr>
        <w:t xml:space="preserve"> organizací</w:t>
      </w:r>
      <w:r>
        <w:rPr>
          <w:b/>
          <w:lang w:eastAsia="cs-CZ"/>
        </w:rPr>
        <w:t>m</w:t>
      </w:r>
      <w:r w:rsidR="00422CC0" w:rsidRPr="001C293D">
        <w:rPr>
          <w:b/>
          <w:lang w:eastAsia="cs-CZ"/>
        </w:rPr>
        <w:t>,</w:t>
      </w:r>
      <w:r w:rsidR="00422CC0">
        <w:rPr>
          <w:lang w:eastAsia="cs-CZ"/>
        </w:rPr>
        <w:t xml:space="preserve"> </w:t>
      </w:r>
      <w:r>
        <w:rPr>
          <w:lang w:eastAsia="cs-CZ"/>
        </w:rPr>
        <w:t>které měly</w:t>
      </w:r>
      <w:r w:rsidR="00422CC0">
        <w:rPr>
          <w:lang w:eastAsia="cs-CZ"/>
        </w:rPr>
        <w:t xml:space="preserve"> různou právní formu:</w:t>
      </w:r>
    </w:p>
    <w:p w14:paraId="641EEC46" w14:textId="07036665" w:rsidR="00422CC0" w:rsidRPr="00AA2290" w:rsidRDefault="00422CC0" w:rsidP="00E92663">
      <w:pPr>
        <w:pStyle w:val="Odstavecseseznamem"/>
        <w:numPr>
          <w:ilvl w:val="0"/>
          <w:numId w:val="42"/>
        </w:numPr>
        <w:ind w:left="426" w:hanging="426"/>
        <w:rPr>
          <w:lang w:eastAsia="cs-CZ"/>
        </w:rPr>
      </w:pPr>
      <w:r w:rsidRPr="00AA2290">
        <w:rPr>
          <w:lang w:eastAsia="cs-CZ"/>
        </w:rPr>
        <w:t xml:space="preserve">šest </w:t>
      </w:r>
      <w:r w:rsidR="00F43C69">
        <w:rPr>
          <w:lang w:eastAsia="cs-CZ"/>
        </w:rPr>
        <w:t>je</w:t>
      </w:r>
      <w:r w:rsidR="00656086">
        <w:rPr>
          <w:lang w:eastAsia="cs-CZ"/>
        </w:rPr>
        <w:t xml:space="preserve"> </w:t>
      </w:r>
      <w:r>
        <w:rPr>
          <w:lang w:eastAsia="cs-CZ"/>
        </w:rPr>
        <w:t>akciovými společnostmi</w:t>
      </w:r>
      <w:r w:rsidRPr="00AA2290">
        <w:rPr>
          <w:lang w:eastAsia="cs-CZ"/>
        </w:rPr>
        <w:t xml:space="preserve"> (</w:t>
      </w:r>
      <w:r w:rsidR="00F43C69">
        <w:rPr>
          <w:lang w:eastAsia="cs-CZ"/>
        </w:rPr>
        <w:t xml:space="preserve">v případě </w:t>
      </w:r>
      <w:r w:rsidRPr="00AA2290">
        <w:rPr>
          <w:lang w:eastAsia="cs-CZ"/>
        </w:rPr>
        <w:t>výzkumné organizace Výzkumný a zkušební letecký ústav, a.s.</w:t>
      </w:r>
      <w:r w:rsidR="00821DFC">
        <w:rPr>
          <w:lang w:eastAsia="cs-CZ"/>
        </w:rPr>
        <w:t>,</w:t>
      </w:r>
      <w:r w:rsidRPr="00AA2290">
        <w:rPr>
          <w:lang w:eastAsia="cs-CZ"/>
        </w:rPr>
        <w:t xml:space="preserve"> </w:t>
      </w:r>
      <w:r w:rsidR="00E92663">
        <w:rPr>
          <w:lang w:eastAsia="cs-CZ"/>
        </w:rPr>
        <w:t>vlastní</w:t>
      </w:r>
      <w:r w:rsidR="00F43C69">
        <w:rPr>
          <w:lang w:eastAsia="cs-CZ"/>
        </w:rPr>
        <w:t xml:space="preserve"> 100</w:t>
      </w:r>
      <w:r w:rsidR="008C4B55">
        <w:rPr>
          <w:lang w:eastAsia="cs-CZ"/>
        </w:rPr>
        <w:t xml:space="preserve"> </w:t>
      </w:r>
      <w:r w:rsidR="00F43C69">
        <w:rPr>
          <w:lang w:eastAsia="cs-CZ"/>
        </w:rPr>
        <w:t>% akcií</w:t>
      </w:r>
      <w:r w:rsidR="00CD212B">
        <w:rPr>
          <w:lang w:eastAsia="cs-CZ"/>
        </w:rPr>
        <w:t xml:space="preserve"> stát prostřednictvím</w:t>
      </w:r>
      <w:r w:rsidRPr="00AA2290">
        <w:rPr>
          <w:lang w:eastAsia="cs-CZ"/>
        </w:rPr>
        <w:t xml:space="preserve"> Ministerstv</w:t>
      </w:r>
      <w:r w:rsidR="00CD212B">
        <w:rPr>
          <w:lang w:eastAsia="cs-CZ"/>
        </w:rPr>
        <w:t>a</w:t>
      </w:r>
      <w:r w:rsidRPr="00AA2290">
        <w:rPr>
          <w:lang w:eastAsia="cs-CZ"/>
        </w:rPr>
        <w:t xml:space="preserve"> financí</w:t>
      </w:r>
      <w:r w:rsidR="00F43C69">
        <w:rPr>
          <w:lang w:eastAsia="cs-CZ"/>
        </w:rPr>
        <w:t>, ostatní</w:t>
      </w:r>
      <w:r w:rsidR="008C4B55">
        <w:rPr>
          <w:lang w:eastAsia="cs-CZ"/>
        </w:rPr>
        <w:t xml:space="preserve"> společnosti</w:t>
      </w:r>
      <w:r w:rsidR="00F43C69">
        <w:rPr>
          <w:lang w:eastAsia="cs-CZ"/>
        </w:rPr>
        <w:t xml:space="preserve"> jsou vlastněny soukromými subjekty</w:t>
      </w:r>
      <w:r w:rsidRPr="00AA2290">
        <w:rPr>
          <w:lang w:eastAsia="cs-CZ"/>
        </w:rPr>
        <w:t xml:space="preserve">), </w:t>
      </w:r>
    </w:p>
    <w:p w14:paraId="115B15D2" w14:textId="287BEA63" w:rsidR="00422CC0" w:rsidRPr="00AA2290" w:rsidRDefault="00422CC0" w:rsidP="00E92663">
      <w:pPr>
        <w:pStyle w:val="Odstavecseseznamem"/>
        <w:numPr>
          <w:ilvl w:val="0"/>
          <w:numId w:val="42"/>
        </w:numPr>
        <w:ind w:left="426" w:hanging="426"/>
        <w:rPr>
          <w:lang w:eastAsia="cs-CZ"/>
        </w:rPr>
      </w:pPr>
      <w:r w:rsidRPr="00AA2290">
        <w:rPr>
          <w:lang w:eastAsia="cs-CZ"/>
        </w:rPr>
        <w:t xml:space="preserve">sedm </w:t>
      </w:r>
      <w:r w:rsidR="00F43C69">
        <w:rPr>
          <w:lang w:eastAsia="cs-CZ"/>
        </w:rPr>
        <w:t xml:space="preserve">je </w:t>
      </w:r>
      <w:r w:rsidRPr="00AA2290">
        <w:rPr>
          <w:lang w:eastAsia="cs-CZ"/>
        </w:rPr>
        <w:t>společnost</w:t>
      </w:r>
      <w:r>
        <w:rPr>
          <w:lang w:eastAsia="cs-CZ"/>
        </w:rPr>
        <w:t>mi</w:t>
      </w:r>
      <w:r w:rsidRPr="00AA2290">
        <w:rPr>
          <w:lang w:eastAsia="cs-CZ"/>
        </w:rPr>
        <w:t xml:space="preserve"> s ručením omezen</w:t>
      </w:r>
      <w:r w:rsidR="00821DFC">
        <w:rPr>
          <w:lang w:eastAsia="cs-CZ"/>
        </w:rPr>
        <w:t>ý</w:t>
      </w:r>
      <w:r w:rsidRPr="00AA2290">
        <w:rPr>
          <w:lang w:eastAsia="cs-CZ"/>
        </w:rPr>
        <w:t>m</w:t>
      </w:r>
      <w:r w:rsidR="00F43C69">
        <w:rPr>
          <w:lang w:eastAsia="cs-CZ"/>
        </w:rPr>
        <w:t xml:space="preserve"> </w:t>
      </w:r>
      <w:r w:rsidR="003B6F97">
        <w:rPr>
          <w:lang w:eastAsia="cs-CZ"/>
        </w:rPr>
        <w:t>(</w:t>
      </w:r>
      <w:r w:rsidR="00F43C69">
        <w:rPr>
          <w:lang w:eastAsia="cs-CZ"/>
        </w:rPr>
        <w:t>bez vlastnického podílu státu</w:t>
      </w:r>
      <w:r w:rsidR="003B6F97">
        <w:rPr>
          <w:lang w:eastAsia="cs-CZ"/>
        </w:rPr>
        <w:t>)</w:t>
      </w:r>
      <w:r w:rsidR="00F43C69">
        <w:rPr>
          <w:lang w:eastAsia="cs-CZ"/>
        </w:rPr>
        <w:t>,</w:t>
      </w:r>
    </w:p>
    <w:p w14:paraId="545B98B0" w14:textId="4E702B5F" w:rsidR="00422CC0" w:rsidRDefault="00EF37EE" w:rsidP="00E92663">
      <w:pPr>
        <w:pStyle w:val="Odstavecseseznamem"/>
        <w:numPr>
          <w:ilvl w:val="0"/>
          <w:numId w:val="42"/>
        </w:numPr>
        <w:ind w:left="426" w:hanging="426"/>
        <w:rPr>
          <w:lang w:eastAsia="cs-CZ"/>
        </w:rPr>
      </w:pPr>
      <w:r>
        <w:rPr>
          <w:lang w:eastAsia="cs-CZ"/>
        </w:rPr>
        <w:t xml:space="preserve">jedna </w:t>
      </w:r>
      <w:r w:rsidR="00422CC0" w:rsidRPr="00AA2290">
        <w:rPr>
          <w:lang w:eastAsia="cs-CZ"/>
        </w:rPr>
        <w:t>výzkumná organizace</w:t>
      </w:r>
      <w:r w:rsidR="008C4B55">
        <w:rPr>
          <w:lang w:eastAsia="cs-CZ"/>
        </w:rPr>
        <w:t>,</w:t>
      </w:r>
      <w:r w:rsidR="00422CC0" w:rsidRPr="00AA2290">
        <w:rPr>
          <w:lang w:eastAsia="cs-CZ"/>
        </w:rPr>
        <w:t xml:space="preserve"> Český metrologický institut</w:t>
      </w:r>
      <w:r w:rsidR="008C4B55">
        <w:rPr>
          <w:lang w:eastAsia="cs-CZ"/>
        </w:rPr>
        <w:t>,</w:t>
      </w:r>
      <w:r w:rsidR="00422CC0" w:rsidRPr="00AA2290">
        <w:rPr>
          <w:lang w:eastAsia="cs-CZ"/>
        </w:rPr>
        <w:t xml:space="preserve"> </w:t>
      </w:r>
      <w:r>
        <w:rPr>
          <w:lang w:eastAsia="cs-CZ"/>
        </w:rPr>
        <w:t>je</w:t>
      </w:r>
      <w:r w:rsidR="00422CC0" w:rsidRPr="00AA2290">
        <w:rPr>
          <w:lang w:eastAsia="cs-CZ"/>
        </w:rPr>
        <w:t xml:space="preserve"> příspěvkovou organizací MPO. </w:t>
      </w:r>
    </w:p>
    <w:p w14:paraId="0D4BDC19" w14:textId="3DB22709" w:rsidR="00422CC0" w:rsidRDefault="00422CC0" w:rsidP="00422CC0">
      <w:pPr>
        <w:rPr>
          <w:lang w:eastAsia="cs-CZ"/>
        </w:rPr>
      </w:pPr>
    </w:p>
    <w:p w14:paraId="76905A5C" w14:textId="2ADA1497" w:rsidR="00580212" w:rsidRDefault="0084392C" w:rsidP="00422CC0">
      <w:pPr>
        <w:rPr>
          <w:color w:val="auto"/>
        </w:rPr>
      </w:pPr>
      <w:r w:rsidRPr="00B20393">
        <w:rPr>
          <w:color w:val="auto"/>
        </w:rPr>
        <w:t xml:space="preserve">Z </w:t>
      </w:r>
      <w:r w:rsidR="00580212" w:rsidRPr="00B20393">
        <w:rPr>
          <w:color w:val="auto"/>
        </w:rPr>
        <w:t xml:space="preserve">veřejně </w:t>
      </w:r>
      <w:r w:rsidRPr="00B20393">
        <w:rPr>
          <w:color w:val="auto"/>
        </w:rPr>
        <w:t>dostupných zdrojů o vlastnické struktuře všech 14</w:t>
      </w:r>
      <w:r w:rsidR="00821DFC">
        <w:rPr>
          <w:color w:val="auto"/>
        </w:rPr>
        <w:t xml:space="preserve"> </w:t>
      </w:r>
      <w:r w:rsidRPr="00B20393">
        <w:rPr>
          <w:color w:val="auto"/>
        </w:rPr>
        <w:t>podpořených výzkumných organizací vyplývá</w:t>
      </w:r>
      <w:r w:rsidR="00580212" w:rsidRPr="00B20393">
        <w:rPr>
          <w:color w:val="auto"/>
        </w:rPr>
        <w:t>, že čtyři výzkumné organizace jsou vlastněny subjekty, které z</w:t>
      </w:r>
      <w:r w:rsidR="009B16CA">
        <w:rPr>
          <w:color w:val="auto"/>
        </w:rPr>
        <w:t xml:space="preserve"> </w:t>
      </w:r>
      <w:r w:rsidR="00580212" w:rsidRPr="00B20393">
        <w:rPr>
          <w:color w:val="auto"/>
        </w:rPr>
        <w:t xml:space="preserve">hlediska tržeb </w:t>
      </w:r>
      <w:r w:rsidR="00716090" w:rsidRPr="00B20393">
        <w:rPr>
          <w:color w:val="auto"/>
        </w:rPr>
        <w:t xml:space="preserve">patří </w:t>
      </w:r>
      <w:r w:rsidR="00580212" w:rsidRPr="00B20393">
        <w:rPr>
          <w:color w:val="auto"/>
        </w:rPr>
        <w:t>mezi největší obchodní společnosti v</w:t>
      </w:r>
      <w:r w:rsidR="009B16CA">
        <w:rPr>
          <w:color w:val="auto"/>
        </w:rPr>
        <w:t xml:space="preserve"> </w:t>
      </w:r>
      <w:r w:rsidR="00580212" w:rsidRPr="00B20393">
        <w:rPr>
          <w:color w:val="auto"/>
        </w:rPr>
        <w:t>České republice a</w:t>
      </w:r>
      <w:r w:rsidR="00821DFC">
        <w:rPr>
          <w:color w:val="auto"/>
        </w:rPr>
        <w:t xml:space="preserve"> </w:t>
      </w:r>
      <w:r w:rsidR="00580212" w:rsidRPr="00B20393">
        <w:rPr>
          <w:color w:val="auto"/>
        </w:rPr>
        <w:t>dlouhodobě dosahují miliardových zisků.</w:t>
      </w:r>
    </w:p>
    <w:p w14:paraId="4BBE263F" w14:textId="77777777" w:rsidR="00580212" w:rsidRDefault="00580212" w:rsidP="00422CC0">
      <w:pPr>
        <w:rPr>
          <w:lang w:eastAsia="cs-CZ"/>
        </w:rPr>
      </w:pPr>
    </w:p>
    <w:p w14:paraId="62042AEA" w14:textId="4D584202" w:rsidR="00422CC0" w:rsidRPr="007373CF" w:rsidRDefault="00422CC0" w:rsidP="00422CC0">
      <w:pPr>
        <w:rPr>
          <w:lang w:eastAsia="cs-CZ"/>
        </w:rPr>
      </w:pPr>
      <w:r w:rsidRPr="005831EA">
        <w:rPr>
          <w:b/>
          <w:lang w:eastAsia="cs-CZ"/>
        </w:rPr>
        <w:t>Zaměření</w:t>
      </w:r>
      <w:r w:rsidRPr="005831EA">
        <w:rPr>
          <w:lang w:eastAsia="cs-CZ"/>
        </w:rPr>
        <w:t xml:space="preserve"> 14 podpořených výzkumných organizací zahrn</w:t>
      </w:r>
      <w:r w:rsidR="0049557D" w:rsidRPr="005831EA">
        <w:rPr>
          <w:lang w:eastAsia="cs-CZ"/>
        </w:rPr>
        <w:t>ovalo</w:t>
      </w:r>
      <w:r w:rsidRPr="005831EA">
        <w:rPr>
          <w:lang w:eastAsia="cs-CZ"/>
        </w:rPr>
        <w:t xml:space="preserve"> celou škálu průmyslových odvětví </w:t>
      </w:r>
      <w:r w:rsidR="002C06DA" w:rsidRPr="005831EA">
        <w:rPr>
          <w:lang w:eastAsia="cs-CZ"/>
        </w:rPr>
        <w:t xml:space="preserve">a </w:t>
      </w:r>
      <w:r w:rsidRPr="005831EA">
        <w:rPr>
          <w:b/>
          <w:lang w:eastAsia="cs-CZ"/>
        </w:rPr>
        <w:t>sídla</w:t>
      </w:r>
      <w:r w:rsidRPr="005831EA">
        <w:rPr>
          <w:lang w:eastAsia="cs-CZ"/>
        </w:rPr>
        <w:t xml:space="preserve"> </w:t>
      </w:r>
      <w:r w:rsidR="00821DFC">
        <w:rPr>
          <w:lang w:eastAsia="cs-CZ"/>
        </w:rPr>
        <w:t>těchto</w:t>
      </w:r>
      <w:r w:rsidRPr="005831EA">
        <w:rPr>
          <w:lang w:eastAsia="cs-CZ"/>
        </w:rPr>
        <w:t xml:space="preserve"> organizací </w:t>
      </w:r>
      <w:r w:rsidR="002C06DA" w:rsidRPr="005831EA">
        <w:rPr>
          <w:lang w:eastAsia="cs-CZ"/>
        </w:rPr>
        <w:t>byla</w:t>
      </w:r>
      <w:r w:rsidRPr="005831EA">
        <w:rPr>
          <w:lang w:eastAsia="cs-CZ"/>
        </w:rPr>
        <w:t xml:space="preserve"> v různých částech ČR</w:t>
      </w:r>
      <w:r w:rsidR="003B6F97">
        <w:rPr>
          <w:lang w:eastAsia="cs-CZ"/>
        </w:rPr>
        <w:t xml:space="preserve"> </w:t>
      </w:r>
      <w:r w:rsidR="003B6F97" w:rsidRPr="005831EA">
        <w:rPr>
          <w:lang w:eastAsia="cs-CZ"/>
        </w:rPr>
        <w:t>(viz příloha č. 1)</w:t>
      </w:r>
      <w:r w:rsidR="002C06DA" w:rsidRPr="005831EA">
        <w:rPr>
          <w:lang w:eastAsia="cs-CZ"/>
        </w:rPr>
        <w:t xml:space="preserve">. </w:t>
      </w:r>
      <w:r w:rsidR="002C06DA" w:rsidRPr="005831EA">
        <w:rPr>
          <w:b/>
          <w:lang w:eastAsia="cs-CZ"/>
        </w:rPr>
        <w:t>V</w:t>
      </w:r>
      <w:r w:rsidR="00E603AF" w:rsidRPr="005831EA">
        <w:rPr>
          <w:b/>
          <w:lang w:eastAsia="cs-CZ"/>
        </w:rPr>
        <w:t xml:space="preserve">ýše </w:t>
      </w:r>
      <w:r w:rsidR="00B62CF2" w:rsidRPr="005831EA">
        <w:rPr>
          <w:b/>
          <w:lang w:eastAsia="cs-CZ"/>
        </w:rPr>
        <w:t xml:space="preserve">celkové </w:t>
      </w:r>
      <w:r w:rsidR="00E603AF" w:rsidRPr="005831EA">
        <w:rPr>
          <w:b/>
          <w:lang w:eastAsia="cs-CZ"/>
        </w:rPr>
        <w:t>institucionální podpory</w:t>
      </w:r>
      <w:r w:rsidR="00B62CF2" w:rsidRPr="005831EA">
        <w:rPr>
          <w:b/>
          <w:lang w:eastAsia="cs-CZ"/>
        </w:rPr>
        <w:t xml:space="preserve"> </w:t>
      </w:r>
      <w:r w:rsidR="00B62CF2" w:rsidRPr="005831EA">
        <w:rPr>
          <w:lang w:eastAsia="cs-CZ"/>
        </w:rPr>
        <w:t>poskytnuté</w:t>
      </w:r>
      <w:r w:rsidR="00E603AF" w:rsidRPr="005831EA">
        <w:rPr>
          <w:lang w:eastAsia="cs-CZ"/>
        </w:rPr>
        <w:t xml:space="preserve"> </w:t>
      </w:r>
      <w:r w:rsidR="00B62CF2" w:rsidRPr="005831EA">
        <w:rPr>
          <w:lang w:eastAsia="cs-CZ"/>
        </w:rPr>
        <w:t>v</w:t>
      </w:r>
      <w:r w:rsidR="009B16CA">
        <w:rPr>
          <w:lang w:eastAsia="cs-CZ"/>
        </w:rPr>
        <w:t xml:space="preserve"> </w:t>
      </w:r>
      <w:r w:rsidR="00B62CF2" w:rsidRPr="005831EA">
        <w:rPr>
          <w:lang w:eastAsia="cs-CZ"/>
        </w:rPr>
        <w:t xml:space="preserve">letech 2018 až 2022 </w:t>
      </w:r>
      <w:r w:rsidR="00E603AF" w:rsidRPr="005831EA">
        <w:rPr>
          <w:lang w:eastAsia="cs-CZ"/>
        </w:rPr>
        <w:t>jednotlivý</w:t>
      </w:r>
      <w:r w:rsidR="00FF15CE" w:rsidRPr="005831EA">
        <w:rPr>
          <w:lang w:eastAsia="cs-CZ"/>
        </w:rPr>
        <w:t>m</w:t>
      </w:r>
      <w:r w:rsidR="00E603AF" w:rsidRPr="005831EA">
        <w:rPr>
          <w:lang w:eastAsia="cs-CZ"/>
        </w:rPr>
        <w:t xml:space="preserve"> výzkumným organizacím </w:t>
      </w:r>
      <w:r w:rsidR="002C06DA" w:rsidRPr="005831EA">
        <w:rPr>
          <w:lang w:eastAsia="cs-CZ"/>
        </w:rPr>
        <w:t>se pohybovala od 2,6 mil. Kč do 476,6 mil. Kč</w:t>
      </w:r>
      <w:r w:rsidR="00E603AF" w:rsidRPr="005831EA">
        <w:rPr>
          <w:lang w:eastAsia="cs-CZ"/>
        </w:rPr>
        <w:t xml:space="preserve"> </w:t>
      </w:r>
      <w:r w:rsidRPr="005831EA">
        <w:rPr>
          <w:lang w:eastAsia="cs-CZ"/>
        </w:rPr>
        <w:t>(viz příloha</w:t>
      </w:r>
      <w:r w:rsidR="00296828" w:rsidRPr="005831EA">
        <w:rPr>
          <w:lang w:eastAsia="cs-CZ"/>
        </w:rPr>
        <w:t xml:space="preserve"> č. </w:t>
      </w:r>
      <w:r w:rsidR="005831EA" w:rsidRPr="005831EA">
        <w:rPr>
          <w:lang w:eastAsia="cs-CZ"/>
        </w:rPr>
        <w:t>2</w:t>
      </w:r>
      <w:r w:rsidRPr="005831EA">
        <w:rPr>
          <w:lang w:eastAsia="cs-CZ"/>
        </w:rPr>
        <w:t>).</w:t>
      </w:r>
      <w:r w:rsidRPr="007373CF">
        <w:rPr>
          <w:lang w:eastAsia="cs-CZ"/>
        </w:rPr>
        <w:t xml:space="preserve"> </w:t>
      </w:r>
    </w:p>
    <w:p w14:paraId="4FD1889B" w14:textId="347293FA" w:rsidR="00422CC0" w:rsidRDefault="00422CC0" w:rsidP="00435F06">
      <w:pPr>
        <w:rPr>
          <w:rFonts w:asciiTheme="minorHAnsi" w:hAnsiTheme="minorHAnsi" w:cstheme="minorHAnsi"/>
          <w:bCs/>
          <w:iCs/>
        </w:rPr>
      </w:pPr>
    </w:p>
    <w:p w14:paraId="3D109735" w14:textId="70C33620" w:rsidR="00F914A8" w:rsidRDefault="00422CC0" w:rsidP="00422CC0">
      <w:pPr>
        <w:rPr>
          <w:rFonts w:asciiTheme="minorHAnsi" w:eastAsiaTheme="minorHAnsi" w:hAnsiTheme="minorHAnsi" w:cstheme="minorHAnsi"/>
        </w:rPr>
      </w:pPr>
      <w:r w:rsidRPr="002C06DA">
        <w:rPr>
          <w:rFonts w:asciiTheme="minorHAnsi" w:eastAsiaTheme="minorHAnsi" w:hAnsiTheme="minorHAnsi" w:cstheme="minorHAnsi"/>
        </w:rPr>
        <w:t>Dle zákona</w:t>
      </w:r>
      <w:r w:rsidR="00A23639" w:rsidRPr="002C06DA">
        <w:rPr>
          <w:rFonts w:asciiTheme="minorHAnsi" w:eastAsiaTheme="minorHAnsi" w:hAnsiTheme="minorHAnsi" w:cstheme="minorHAnsi"/>
        </w:rPr>
        <w:t xml:space="preserve"> </w:t>
      </w:r>
      <w:r w:rsidR="00A23639" w:rsidRPr="002C06DA">
        <w:rPr>
          <w:rFonts w:asciiTheme="minorHAnsi" w:hAnsiTheme="minorHAnsi" w:cstheme="minorHAnsi"/>
        </w:rPr>
        <w:t>o podpoře výzkumu, experimentálního vývoje a inovací</w:t>
      </w:r>
      <w:r w:rsidR="00A23639" w:rsidRPr="002C06DA">
        <w:rPr>
          <w:rFonts w:asciiTheme="minorHAnsi" w:eastAsiaTheme="minorHAnsi" w:hAnsiTheme="minorHAnsi" w:cstheme="minorHAnsi"/>
        </w:rPr>
        <w:t xml:space="preserve"> </w:t>
      </w:r>
      <w:r w:rsidRPr="002C06DA">
        <w:rPr>
          <w:rFonts w:asciiTheme="minorHAnsi" w:eastAsiaTheme="minorHAnsi" w:hAnsiTheme="minorHAnsi" w:cstheme="minorHAnsi"/>
        </w:rPr>
        <w:t>může poskytovatel poskytnout institucionální podporu</w:t>
      </w:r>
      <w:r w:rsidRPr="00A23639">
        <w:rPr>
          <w:rFonts w:asciiTheme="minorHAnsi" w:eastAsiaTheme="minorHAnsi" w:hAnsiTheme="minorHAnsi" w:cstheme="minorHAnsi"/>
          <w:b/>
        </w:rPr>
        <w:t xml:space="preserve"> </w:t>
      </w:r>
      <w:r w:rsidRPr="002C06DA">
        <w:rPr>
          <w:rFonts w:asciiTheme="minorHAnsi" w:eastAsiaTheme="minorHAnsi" w:hAnsiTheme="minorHAnsi" w:cstheme="minorHAnsi"/>
        </w:rPr>
        <w:t>na dlouhodobý koncepční rozvoj výzkumné organizace až</w:t>
      </w:r>
      <w:r w:rsidR="00716EFE">
        <w:rPr>
          <w:rFonts w:asciiTheme="minorHAnsi" w:eastAsiaTheme="minorHAnsi" w:hAnsiTheme="minorHAnsi" w:cstheme="minorHAnsi"/>
        </w:rPr>
        <w:t xml:space="preserve"> </w:t>
      </w:r>
      <w:r w:rsidRPr="002C06DA">
        <w:rPr>
          <w:rFonts w:asciiTheme="minorHAnsi" w:eastAsiaTheme="minorHAnsi" w:hAnsiTheme="minorHAnsi" w:cstheme="minorHAnsi"/>
          <w:b/>
        </w:rPr>
        <w:t>na</w:t>
      </w:r>
      <w:r w:rsidR="00716EFE">
        <w:rPr>
          <w:rFonts w:asciiTheme="minorHAnsi" w:eastAsiaTheme="minorHAnsi" w:hAnsiTheme="minorHAnsi" w:cstheme="minorHAnsi"/>
          <w:b/>
        </w:rPr>
        <w:t xml:space="preserve"> </w:t>
      </w:r>
      <w:r w:rsidRPr="002C06DA">
        <w:rPr>
          <w:rFonts w:asciiTheme="minorHAnsi" w:eastAsiaTheme="minorHAnsi" w:hAnsiTheme="minorHAnsi" w:cstheme="minorHAnsi"/>
          <w:b/>
        </w:rPr>
        <w:t>základě</w:t>
      </w:r>
      <w:r w:rsidRPr="0049557D">
        <w:rPr>
          <w:rFonts w:asciiTheme="minorHAnsi" w:eastAsiaTheme="minorHAnsi" w:hAnsiTheme="minorHAnsi" w:cstheme="minorHAnsi"/>
          <w:b/>
        </w:rPr>
        <w:t xml:space="preserve"> zhodnocení výzkumné organizace</w:t>
      </w:r>
      <w:r w:rsidRPr="001C293D">
        <w:rPr>
          <w:rFonts w:asciiTheme="minorHAnsi" w:eastAsiaTheme="minorHAnsi" w:hAnsiTheme="minorHAnsi" w:cstheme="minorHAnsi"/>
          <w:b/>
        </w:rPr>
        <w:t>,</w:t>
      </w:r>
      <w:r>
        <w:rPr>
          <w:rFonts w:asciiTheme="minorHAnsi" w:eastAsiaTheme="minorHAnsi" w:hAnsiTheme="minorHAnsi" w:cstheme="minorHAnsi"/>
        </w:rPr>
        <w:t xml:space="preserve"> které musí provést podle metodiky zpracované Radou pro výzkum, vývoj a inovace a schválené vládou. V kontrolovaném období byla platná </w:t>
      </w:r>
      <w:bookmarkStart w:id="3" w:name="_Hlk124153638"/>
      <w:r w:rsidRPr="007E67AA">
        <w:rPr>
          <w:rFonts w:asciiTheme="minorHAnsi" w:eastAsiaTheme="minorHAnsi" w:hAnsiTheme="minorHAnsi" w:cstheme="minorHAnsi"/>
          <w:i/>
        </w:rPr>
        <w:t>Metodik</w:t>
      </w:r>
      <w:r>
        <w:rPr>
          <w:rFonts w:asciiTheme="minorHAnsi" w:eastAsiaTheme="minorHAnsi" w:hAnsiTheme="minorHAnsi" w:cstheme="minorHAnsi"/>
          <w:i/>
        </w:rPr>
        <w:t>a</w:t>
      </w:r>
      <w:r w:rsidRPr="007E67AA">
        <w:rPr>
          <w:rFonts w:asciiTheme="minorHAnsi" w:eastAsiaTheme="minorHAnsi" w:hAnsiTheme="minorHAnsi" w:cstheme="minorHAnsi"/>
          <w:i/>
        </w:rPr>
        <w:t xml:space="preserve"> hodnocení výzkumných organizací a hodnocení programů účelové podpory výzkumu, vývoje a inovací</w:t>
      </w:r>
      <w:r>
        <w:rPr>
          <w:rFonts w:asciiTheme="minorHAnsi" w:eastAsiaTheme="minorHAnsi" w:hAnsiTheme="minorHAnsi" w:cstheme="minorHAnsi"/>
          <w:i/>
        </w:rPr>
        <w:t xml:space="preserve"> </w:t>
      </w:r>
      <w:r>
        <w:rPr>
          <w:rFonts w:asciiTheme="minorHAnsi" w:eastAsiaTheme="minorHAnsi" w:hAnsiTheme="minorHAnsi" w:cstheme="minorHAnsi"/>
        </w:rPr>
        <w:t xml:space="preserve">schválená usnesením vlády </w:t>
      </w:r>
      <w:r w:rsidR="008C4B55">
        <w:rPr>
          <w:rFonts w:asciiTheme="minorHAnsi" w:eastAsiaTheme="minorHAnsi" w:hAnsiTheme="minorHAnsi" w:cstheme="minorHAnsi"/>
        </w:rPr>
        <w:t xml:space="preserve">České republiky </w:t>
      </w:r>
      <w:r>
        <w:rPr>
          <w:rFonts w:asciiTheme="minorHAnsi" w:eastAsiaTheme="minorHAnsi" w:hAnsiTheme="minorHAnsi" w:cstheme="minorHAnsi"/>
        </w:rPr>
        <w:t>ze</w:t>
      </w:r>
      <w:r w:rsidR="00716EFE">
        <w:rPr>
          <w:rFonts w:asciiTheme="minorHAnsi" w:eastAsiaTheme="minorHAnsi" w:hAnsiTheme="minorHAnsi" w:cstheme="minorHAnsi"/>
        </w:rPr>
        <w:t xml:space="preserve"> </w:t>
      </w:r>
      <w:r>
        <w:rPr>
          <w:rFonts w:asciiTheme="minorHAnsi" w:eastAsiaTheme="minorHAnsi" w:hAnsiTheme="minorHAnsi" w:cstheme="minorHAnsi"/>
        </w:rPr>
        <w:t>dne</w:t>
      </w:r>
      <w:r w:rsidR="00716EFE">
        <w:rPr>
          <w:rFonts w:asciiTheme="minorHAnsi" w:eastAsiaTheme="minorHAnsi" w:hAnsiTheme="minorHAnsi" w:cstheme="minorHAnsi"/>
        </w:rPr>
        <w:t xml:space="preserve"> </w:t>
      </w:r>
      <w:r>
        <w:rPr>
          <w:rFonts w:asciiTheme="minorHAnsi" w:eastAsiaTheme="minorHAnsi" w:hAnsiTheme="minorHAnsi" w:cstheme="minorHAnsi"/>
        </w:rPr>
        <w:t>8. února 2017 č. 107</w:t>
      </w:r>
      <w:bookmarkEnd w:id="3"/>
      <w:r>
        <w:rPr>
          <w:rStyle w:val="Znakapoznpodarou"/>
          <w:rFonts w:asciiTheme="minorHAnsi" w:eastAsiaTheme="minorHAnsi" w:hAnsiTheme="minorHAnsi" w:cstheme="minorHAnsi"/>
        </w:rPr>
        <w:footnoteReference w:id="8"/>
      </w:r>
      <w:r>
        <w:rPr>
          <w:rFonts w:asciiTheme="minorHAnsi" w:eastAsiaTheme="minorHAnsi" w:hAnsiTheme="minorHAnsi" w:cstheme="minorHAnsi"/>
        </w:rPr>
        <w:t xml:space="preserve"> (dále jen „</w:t>
      </w:r>
      <w:r w:rsidRPr="00305139">
        <w:rPr>
          <w:rFonts w:asciiTheme="minorHAnsi" w:eastAsiaTheme="minorHAnsi" w:hAnsiTheme="minorHAnsi" w:cstheme="minorHAnsi"/>
          <w:b/>
        </w:rPr>
        <w:t>Metodika 2017</w:t>
      </w:r>
      <w:r w:rsidRPr="001C293D">
        <w:rPr>
          <w:rFonts w:asciiTheme="minorHAnsi" w:eastAsiaTheme="minorHAnsi" w:hAnsiTheme="minorHAnsi" w:cstheme="minorHAnsi"/>
          <w:b/>
        </w:rPr>
        <w:t>+</w:t>
      </w:r>
      <w:r w:rsidR="00821DFC" w:rsidRPr="001C293D">
        <w:rPr>
          <w:rFonts w:asciiTheme="minorHAnsi" w:eastAsiaTheme="minorHAnsi" w:hAnsiTheme="minorHAnsi" w:cstheme="minorHAnsi"/>
        </w:rPr>
        <w:t>“</w:t>
      </w:r>
      <w:r w:rsidRPr="001C293D">
        <w:rPr>
          <w:rFonts w:asciiTheme="minorHAnsi" w:eastAsiaTheme="minorHAnsi" w:hAnsiTheme="minorHAnsi" w:cstheme="minorHAnsi"/>
        </w:rPr>
        <w:t>)</w:t>
      </w:r>
      <w:r w:rsidR="00F43C69" w:rsidRPr="00821DFC">
        <w:rPr>
          <w:rFonts w:asciiTheme="minorHAnsi" w:eastAsiaTheme="minorHAnsi" w:hAnsiTheme="minorHAnsi" w:cstheme="minorHAnsi"/>
        </w:rPr>
        <w:t>.</w:t>
      </w:r>
      <w:r>
        <w:rPr>
          <w:rFonts w:asciiTheme="minorHAnsi" w:eastAsiaTheme="minorHAnsi" w:hAnsiTheme="minorHAnsi" w:cstheme="minorHAnsi"/>
        </w:rPr>
        <w:t xml:space="preserve"> </w:t>
      </w:r>
      <w:r w:rsidR="00F43C69">
        <w:rPr>
          <w:rFonts w:asciiTheme="minorHAnsi" w:eastAsiaTheme="minorHAnsi" w:hAnsiTheme="minorHAnsi" w:cstheme="minorHAnsi"/>
        </w:rPr>
        <w:t>Na</w:t>
      </w:r>
      <w:r>
        <w:rPr>
          <w:rFonts w:asciiTheme="minorHAnsi" w:eastAsiaTheme="minorHAnsi" w:hAnsiTheme="minorHAnsi" w:cstheme="minorHAnsi"/>
        </w:rPr>
        <w:t xml:space="preserve"> její</w:t>
      </w:r>
      <w:r w:rsidR="00F43C69">
        <w:rPr>
          <w:rFonts w:asciiTheme="minorHAnsi" w:eastAsiaTheme="minorHAnsi" w:hAnsiTheme="minorHAnsi" w:cstheme="minorHAnsi"/>
        </w:rPr>
        <w:t>m</w:t>
      </w:r>
      <w:r>
        <w:rPr>
          <w:rFonts w:asciiTheme="minorHAnsi" w:eastAsiaTheme="minorHAnsi" w:hAnsiTheme="minorHAnsi" w:cstheme="minorHAnsi"/>
        </w:rPr>
        <w:t xml:space="preserve"> základě MPO zpracovalo svou resortní </w:t>
      </w:r>
      <w:r w:rsidRPr="007E67AA">
        <w:rPr>
          <w:rFonts w:asciiTheme="minorHAnsi" w:eastAsiaTheme="minorHAnsi" w:hAnsiTheme="minorHAnsi" w:cstheme="minorHAnsi"/>
          <w:i/>
        </w:rPr>
        <w:t>Metodiku hodnocení výzkumných organizací pro poskytování institucionální podpory ze státního rozpočtu na</w:t>
      </w:r>
      <w:r w:rsidR="00716EFE">
        <w:rPr>
          <w:rFonts w:asciiTheme="minorHAnsi" w:eastAsiaTheme="minorHAnsi" w:hAnsiTheme="minorHAnsi" w:cstheme="minorHAnsi"/>
          <w:i/>
        </w:rPr>
        <w:t xml:space="preserve"> </w:t>
      </w:r>
      <w:r w:rsidRPr="007E67AA">
        <w:rPr>
          <w:rFonts w:asciiTheme="minorHAnsi" w:eastAsiaTheme="minorHAnsi" w:hAnsiTheme="minorHAnsi" w:cstheme="minorHAnsi"/>
          <w:i/>
        </w:rPr>
        <w:t>dlouhodobý koncepční rozvoj výzkumných organizací v působnosti Ministerstva průmyslu a obchodu od roku 2018</w:t>
      </w:r>
      <w:r>
        <w:rPr>
          <w:rFonts w:asciiTheme="minorHAnsi" w:eastAsiaTheme="minorHAnsi" w:hAnsiTheme="minorHAnsi" w:cstheme="minorHAnsi"/>
        </w:rPr>
        <w:t>, ve</w:t>
      </w:r>
      <w:r w:rsidR="00716EFE">
        <w:rPr>
          <w:rFonts w:asciiTheme="minorHAnsi" w:eastAsiaTheme="minorHAnsi" w:hAnsiTheme="minorHAnsi" w:cstheme="minorHAnsi"/>
        </w:rPr>
        <w:t xml:space="preserve"> </w:t>
      </w:r>
      <w:r>
        <w:rPr>
          <w:rFonts w:asciiTheme="minorHAnsi" w:eastAsiaTheme="minorHAnsi" w:hAnsiTheme="minorHAnsi" w:cstheme="minorHAnsi"/>
        </w:rPr>
        <w:t xml:space="preserve">které zejména blíže specifikovalo provádění hodnocení výzkumných organizací ve své působnosti a stanovilo závaznou osnovu dlouhodobé koncepce rozvoje výzkumné organizace. </w:t>
      </w:r>
    </w:p>
    <w:p w14:paraId="5FBDD55C" w14:textId="77777777" w:rsidR="00F914A8" w:rsidRDefault="00F914A8" w:rsidP="00422CC0">
      <w:pPr>
        <w:rPr>
          <w:rFonts w:asciiTheme="minorHAnsi" w:eastAsiaTheme="minorHAnsi" w:hAnsiTheme="minorHAnsi" w:cstheme="minorHAnsi"/>
        </w:rPr>
      </w:pPr>
    </w:p>
    <w:p w14:paraId="284E7BF2" w14:textId="697CE0F6" w:rsidR="00422CC0" w:rsidRDefault="001D4E9E" w:rsidP="00422CC0">
      <w:pPr>
        <w:rPr>
          <w:rFonts w:asciiTheme="minorHAnsi" w:hAnsiTheme="minorHAnsi" w:cstheme="minorHAnsi"/>
          <w:bCs/>
          <w:iCs/>
        </w:rPr>
      </w:pPr>
      <w:r>
        <w:rPr>
          <w:rFonts w:asciiTheme="minorHAnsi" w:eastAsiaTheme="minorHAnsi" w:hAnsiTheme="minorHAnsi" w:cstheme="minorHAnsi"/>
        </w:rPr>
        <w:t>V</w:t>
      </w:r>
      <w:r w:rsidR="00821DFC">
        <w:rPr>
          <w:rFonts w:asciiTheme="minorHAnsi" w:eastAsiaTheme="minorHAnsi" w:hAnsiTheme="minorHAnsi" w:cstheme="minorHAnsi"/>
        </w:rPr>
        <w:t xml:space="preserve"> </w:t>
      </w:r>
      <w:r>
        <w:rPr>
          <w:rFonts w:asciiTheme="minorHAnsi" w:eastAsiaTheme="minorHAnsi" w:hAnsiTheme="minorHAnsi" w:cstheme="minorHAnsi"/>
        </w:rPr>
        <w:t>souladu s</w:t>
      </w:r>
      <w:r w:rsidR="00821DFC">
        <w:rPr>
          <w:rFonts w:asciiTheme="minorHAnsi" w:eastAsiaTheme="minorHAnsi" w:hAnsiTheme="minorHAnsi" w:cstheme="minorHAnsi"/>
        </w:rPr>
        <w:t xml:space="preserve"> </w:t>
      </w:r>
      <w:r>
        <w:rPr>
          <w:rFonts w:asciiTheme="minorHAnsi" w:hAnsiTheme="minorHAnsi" w:cstheme="minorHAnsi"/>
          <w:bCs/>
          <w:iCs/>
        </w:rPr>
        <w:t>Metodikou</w:t>
      </w:r>
      <w:r w:rsidR="00821DFC">
        <w:rPr>
          <w:rFonts w:asciiTheme="minorHAnsi" w:hAnsiTheme="minorHAnsi" w:cstheme="minorHAnsi"/>
          <w:bCs/>
          <w:iCs/>
        </w:rPr>
        <w:t> </w:t>
      </w:r>
      <w:r>
        <w:rPr>
          <w:rFonts w:asciiTheme="minorHAnsi" w:hAnsiTheme="minorHAnsi" w:cstheme="minorHAnsi"/>
          <w:bCs/>
          <w:iCs/>
        </w:rPr>
        <w:t>2017</w:t>
      </w:r>
      <w:r w:rsidRPr="001C293D">
        <w:rPr>
          <w:rFonts w:asciiTheme="minorHAnsi" w:hAnsiTheme="minorHAnsi" w:cstheme="minorHAnsi"/>
          <w:bCs/>
          <w:iCs/>
        </w:rPr>
        <w:t>+</w:t>
      </w:r>
      <w:r>
        <w:rPr>
          <w:rFonts w:asciiTheme="minorHAnsi" w:hAnsiTheme="minorHAnsi" w:cstheme="minorHAnsi"/>
          <w:bCs/>
          <w:iCs/>
        </w:rPr>
        <w:t xml:space="preserve"> poskytuje MPO i</w:t>
      </w:r>
      <w:r w:rsidR="00422CC0">
        <w:rPr>
          <w:rFonts w:asciiTheme="minorHAnsi" w:hAnsiTheme="minorHAnsi" w:cstheme="minorHAnsi"/>
          <w:bCs/>
          <w:iCs/>
        </w:rPr>
        <w:t>nstitucionální podporu výzkumným organizacím na</w:t>
      </w:r>
      <w:r w:rsidR="00821DFC">
        <w:rPr>
          <w:rFonts w:asciiTheme="minorHAnsi" w:hAnsiTheme="minorHAnsi" w:cstheme="minorHAnsi"/>
          <w:bCs/>
          <w:iCs/>
        </w:rPr>
        <w:t xml:space="preserve"> </w:t>
      </w:r>
      <w:r w:rsidR="00422CC0">
        <w:rPr>
          <w:rFonts w:asciiTheme="minorHAnsi" w:hAnsiTheme="minorHAnsi" w:cstheme="minorHAnsi"/>
          <w:bCs/>
          <w:iCs/>
        </w:rPr>
        <w:t xml:space="preserve">pětileté období na základě vyhodnocení předložené </w:t>
      </w:r>
      <w:r w:rsidR="00422CC0" w:rsidRPr="00422CC0">
        <w:rPr>
          <w:rFonts w:asciiTheme="minorHAnsi" w:hAnsiTheme="minorHAnsi" w:cstheme="minorHAnsi"/>
          <w:b/>
          <w:bCs/>
          <w:iCs/>
        </w:rPr>
        <w:t>dlouhodobé koncepce rozvoje výzkumné organizace</w:t>
      </w:r>
      <w:r w:rsidR="008F21F6">
        <w:rPr>
          <w:rFonts w:asciiTheme="minorHAnsi" w:hAnsiTheme="minorHAnsi" w:cstheme="minorHAnsi"/>
          <w:b/>
          <w:bCs/>
          <w:iCs/>
        </w:rPr>
        <w:t>.</w:t>
      </w:r>
      <w:r w:rsidR="00422CC0" w:rsidRPr="00422CC0">
        <w:rPr>
          <w:rFonts w:asciiTheme="minorHAnsi" w:hAnsiTheme="minorHAnsi" w:cstheme="minorHAnsi"/>
          <w:b/>
          <w:bCs/>
          <w:iCs/>
        </w:rPr>
        <w:t xml:space="preserve"> </w:t>
      </w:r>
      <w:r w:rsidR="008F21F6">
        <w:rPr>
          <w:rFonts w:asciiTheme="minorHAnsi" w:hAnsiTheme="minorHAnsi" w:cstheme="minorHAnsi"/>
          <w:bCs/>
          <w:iCs/>
        </w:rPr>
        <w:t>P</w:t>
      </w:r>
      <w:r w:rsidR="00422CC0">
        <w:rPr>
          <w:rFonts w:asciiTheme="minorHAnsi" w:hAnsiTheme="minorHAnsi" w:cstheme="minorHAnsi"/>
          <w:bCs/>
          <w:iCs/>
        </w:rPr>
        <w:t xml:space="preserve">lnění </w:t>
      </w:r>
      <w:r>
        <w:rPr>
          <w:rFonts w:asciiTheme="minorHAnsi" w:hAnsiTheme="minorHAnsi" w:cstheme="minorHAnsi"/>
          <w:bCs/>
          <w:iCs/>
        </w:rPr>
        <w:t>těchto koncepcí</w:t>
      </w:r>
      <w:r w:rsidR="00422CC0">
        <w:rPr>
          <w:rFonts w:asciiTheme="minorHAnsi" w:hAnsiTheme="minorHAnsi" w:cstheme="minorHAnsi"/>
          <w:bCs/>
          <w:iCs/>
        </w:rPr>
        <w:t xml:space="preserve"> má MPO povinnost jako poskytovatel podpory každoročně vyhodnocovat. </w:t>
      </w:r>
      <w:r w:rsidR="00C9389B">
        <w:rPr>
          <w:rFonts w:asciiTheme="minorHAnsi" w:hAnsiTheme="minorHAnsi" w:cstheme="minorHAnsi"/>
          <w:bCs/>
          <w:iCs/>
        </w:rPr>
        <w:t>Dlouhodobé koncepce rozvoje jednotlivých výzkumných organizací se netýkaly pouze institucionální podpory, ale rozvoje výzkumné organizace jako celku s využitím všech poskytnutých forem podpory (institucionální, účelové, z fondů EU).</w:t>
      </w:r>
    </w:p>
    <w:p w14:paraId="31B41D4F" w14:textId="77777777" w:rsidR="00F914A8" w:rsidRDefault="00F914A8" w:rsidP="00422CC0">
      <w:pPr>
        <w:rPr>
          <w:rFonts w:asciiTheme="minorHAnsi" w:hAnsiTheme="minorHAnsi" w:cstheme="minorHAnsi"/>
          <w:bCs/>
          <w:iCs/>
        </w:rPr>
      </w:pPr>
    </w:p>
    <w:p w14:paraId="0E2D6F54" w14:textId="77777777" w:rsidR="00E0308F" w:rsidRDefault="00E0308F">
      <w:pPr>
        <w:spacing w:after="160" w:line="259" w:lineRule="auto"/>
        <w:jc w:val="left"/>
        <w:rPr>
          <w:rFonts w:asciiTheme="minorHAnsi" w:eastAsiaTheme="minorHAnsi" w:hAnsiTheme="minorHAnsi" w:cstheme="minorHAnsi"/>
        </w:rPr>
      </w:pPr>
      <w:r>
        <w:rPr>
          <w:rFonts w:asciiTheme="minorHAnsi" w:eastAsiaTheme="minorHAnsi" w:hAnsiTheme="minorHAnsi" w:cstheme="minorHAnsi"/>
        </w:rPr>
        <w:br w:type="page"/>
      </w:r>
    </w:p>
    <w:p w14:paraId="29522496" w14:textId="47BCD3CD" w:rsidR="00422CC0" w:rsidRPr="00FA0231" w:rsidRDefault="00422CC0" w:rsidP="00C6334F">
      <w:pPr>
        <w:spacing w:after="120"/>
        <w:rPr>
          <w:rFonts w:asciiTheme="minorHAnsi" w:eastAsiaTheme="minorHAnsi" w:hAnsiTheme="minorHAnsi" w:cstheme="minorHAnsi"/>
        </w:rPr>
      </w:pPr>
      <w:r w:rsidRPr="00040F59">
        <w:rPr>
          <w:rFonts w:asciiTheme="minorHAnsi" w:eastAsiaTheme="minorHAnsi" w:hAnsiTheme="minorHAnsi" w:cstheme="minorHAnsi"/>
        </w:rPr>
        <w:lastRenderedPageBreak/>
        <w:t>Dle Metodiky 2017</w:t>
      </w:r>
      <w:r w:rsidRPr="00C6334F">
        <w:rPr>
          <w:rFonts w:asciiTheme="minorHAnsi" w:eastAsiaTheme="minorHAnsi" w:hAnsiTheme="minorHAnsi" w:cstheme="minorHAnsi"/>
        </w:rPr>
        <w:t>+</w:t>
      </w:r>
      <w:r w:rsidRPr="00C6334F">
        <w:rPr>
          <w:rFonts w:asciiTheme="minorHAnsi" w:eastAsiaTheme="minorHAnsi" w:hAnsiTheme="minorHAnsi" w:cstheme="minorHAnsi"/>
          <w:b/>
        </w:rPr>
        <w:t xml:space="preserve"> </w:t>
      </w:r>
      <w:r w:rsidR="00821DFC" w:rsidRPr="00C6334F">
        <w:rPr>
          <w:rFonts w:asciiTheme="minorHAnsi" w:eastAsiaTheme="minorHAnsi" w:hAnsiTheme="minorHAnsi" w:cstheme="minorHAnsi"/>
        </w:rPr>
        <w:t>Ministerstvo průmyslu a obchodu</w:t>
      </w:r>
      <w:r w:rsidRPr="00FA0231">
        <w:rPr>
          <w:rFonts w:asciiTheme="minorHAnsi" w:eastAsiaTheme="minorHAnsi" w:hAnsiTheme="minorHAnsi" w:cstheme="minorHAnsi"/>
        </w:rPr>
        <w:t xml:space="preserve"> jako</w:t>
      </w:r>
      <w:r w:rsidR="00821DFC">
        <w:rPr>
          <w:rFonts w:asciiTheme="minorHAnsi" w:eastAsiaTheme="minorHAnsi" w:hAnsiTheme="minorHAnsi" w:cstheme="minorHAnsi"/>
        </w:rPr>
        <w:t>žto</w:t>
      </w:r>
      <w:r w:rsidRPr="00FA0231">
        <w:rPr>
          <w:rFonts w:asciiTheme="minorHAnsi" w:eastAsiaTheme="minorHAnsi" w:hAnsiTheme="minorHAnsi" w:cstheme="minorHAnsi"/>
        </w:rPr>
        <w:t xml:space="preserve"> poskytovatel institucionální podpory</w:t>
      </w:r>
      <w:r w:rsidRPr="00C6334F">
        <w:rPr>
          <w:rFonts w:asciiTheme="minorHAnsi" w:eastAsiaTheme="minorHAnsi" w:hAnsiTheme="minorHAnsi" w:cstheme="minorHAnsi"/>
          <w:b/>
        </w:rPr>
        <w:t xml:space="preserve"> </w:t>
      </w:r>
      <w:r w:rsidRPr="00FA0231">
        <w:rPr>
          <w:rFonts w:asciiTheme="minorHAnsi" w:eastAsiaTheme="minorHAnsi" w:hAnsiTheme="minorHAnsi" w:cstheme="minorHAnsi"/>
          <w:b/>
        </w:rPr>
        <w:t>hodnotí všechny výzkumné organizace, které splňují následující podmínky</w:t>
      </w:r>
      <w:r w:rsidRPr="00C6334F">
        <w:rPr>
          <w:rFonts w:asciiTheme="minorHAnsi" w:eastAsiaTheme="minorHAnsi" w:hAnsiTheme="minorHAnsi" w:cstheme="minorHAnsi"/>
          <w:b/>
        </w:rPr>
        <w:t>:</w:t>
      </w:r>
    </w:p>
    <w:p w14:paraId="4F525DC4" w14:textId="03E3A8BB" w:rsidR="00422CC0" w:rsidRPr="00380C99" w:rsidRDefault="00422CC0" w:rsidP="00422CC0">
      <w:pPr>
        <w:pStyle w:val="Odstavecseseznamem"/>
        <w:numPr>
          <w:ilvl w:val="0"/>
          <w:numId w:val="44"/>
        </w:numPr>
        <w:rPr>
          <w:rFonts w:asciiTheme="minorHAnsi" w:eastAsiaTheme="minorHAnsi" w:hAnsiTheme="minorHAnsi" w:cstheme="minorHAnsi"/>
        </w:rPr>
      </w:pPr>
      <w:r>
        <w:rPr>
          <w:rFonts w:asciiTheme="minorHAnsi" w:eastAsiaTheme="minorHAnsi" w:hAnsiTheme="minorHAnsi" w:cstheme="minorHAnsi"/>
        </w:rPr>
        <w:t>výzkumná organizace je zaregistrována v</w:t>
      </w:r>
      <w:r w:rsidR="009B16CA">
        <w:rPr>
          <w:rFonts w:asciiTheme="minorHAnsi" w:eastAsiaTheme="minorHAnsi" w:hAnsiTheme="minorHAnsi" w:cstheme="minorHAnsi"/>
        </w:rPr>
        <w:t xml:space="preserve"> </w:t>
      </w:r>
      <w:r>
        <w:rPr>
          <w:rFonts w:asciiTheme="minorHAnsi" w:eastAsiaTheme="minorHAnsi" w:hAnsiTheme="minorHAnsi" w:cstheme="minorHAnsi"/>
        </w:rPr>
        <w:t>„</w:t>
      </w:r>
      <w:r w:rsidR="00821DFC">
        <w:rPr>
          <w:rFonts w:asciiTheme="minorHAnsi" w:eastAsiaTheme="minorHAnsi" w:hAnsiTheme="minorHAnsi" w:cstheme="minorHAnsi"/>
        </w:rPr>
        <w:t>s</w:t>
      </w:r>
      <w:r>
        <w:rPr>
          <w:rFonts w:asciiTheme="minorHAnsi" w:eastAsiaTheme="minorHAnsi" w:hAnsiTheme="minorHAnsi" w:cstheme="minorHAnsi"/>
        </w:rPr>
        <w:t>eznam</w:t>
      </w:r>
      <w:r w:rsidR="00821DFC">
        <w:rPr>
          <w:rFonts w:asciiTheme="minorHAnsi" w:eastAsiaTheme="minorHAnsi" w:hAnsiTheme="minorHAnsi" w:cstheme="minorHAnsi"/>
        </w:rPr>
        <w:t>u</w:t>
      </w:r>
      <w:r>
        <w:rPr>
          <w:rFonts w:asciiTheme="minorHAnsi" w:eastAsiaTheme="minorHAnsi" w:hAnsiTheme="minorHAnsi" w:cstheme="minorHAnsi"/>
        </w:rPr>
        <w:t xml:space="preserve"> výzkumných organizací“, jehož správcem je Ministerstvo školství, mládeže a</w:t>
      </w:r>
      <w:r w:rsidR="00821DFC">
        <w:rPr>
          <w:rFonts w:asciiTheme="minorHAnsi" w:eastAsiaTheme="minorHAnsi" w:hAnsiTheme="minorHAnsi" w:cstheme="minorHAnsi"/>
        </w:rPr>
        <w:t xml:space="preserve"> </w:t>
      </w:r>
      <w:r>
        <w:rPr>
          <w:rFonts w:asciiTheme="minorHAnsi" w:eastAsiaTheme="minorHAnsi" w:hAnsiTheme="minorHAnsi" w:cstheme="minorHAnsi"/>
        </w:rPr>
        <w:t>tělovýchovy</w:t>
      </w:r>
      <w:r>
        <w:rPr>
          <w:rStyle w:val="Znakapoznpodarou"/>
          <w:rFonts w:asciiTheme="minorHAnsi" w:eastAsiaTheme="minorHAnsi" w:hAnsiTheme="minorHAnsi" w:cstheme="minorHAnsi"/>
        </w:rPr>
        <w:footnoteReference w:id="9"/>
      </w:r>
      <w:r w:rsidR="008C4B55">
        <w:rPr>
          <w:rFonts w:asciiTheme="minorHAnsi" w:eastAsiaTheme="minorHAnsi" w:hAnsiTheme="minorHAnsi" w:cstheme="minorHAnsi"/>
        </w:rPr>
        <w:t xml:space="preserve"> </w:t>
      </w:r>
      <w:r w:rsidR="008C4B55" w:rsidRPr="00FE2197">
        <w:rPr>
          <w:rFonts w:eastAsia="Calibri"/>
        </w:rPr>
        <w:t>podle § 33a zákona</w:t>
      </w:r>
      <w:r w:rsidR="008C4B55">
        <w:rPr>
          <w:rFonts w:eastAsia="Calibri"/>
        </w:rPr>
        <w:t xml:space="preserve"> o</w:t>
      </w:r>
      <w:r w:rsidR="00821DFC">
        <w:rPr>
          <w:rFonts w:eastAsia="Calibri"/>
        </w:rPr>
        <w:t> </w:t>
      </w:r>
      <w:r w:rsidR="008C4B55">
        <w:rPr>
          <w:rFonts w:eastAsia="Calibri"/>
        </w:rPr>
        <w:t>podpoře výzkumu, experimentálního vývoje a inovací</w:t>
      </w:r>
      <w:r w:rsidRPr="00C6334F">
        <w:rPr>
          <w:rFonts w:asciiTheme="minorHAnsi" w:eastAsiaTheme="minorHAnsi" w:hAnsiTheme="minorHAnsi" w:cstheme="minorHAnsi"/>
        </w:rPr>
        <w:t>;</w:t>
      </w:r>
    </w:p>
    <w:p w14:paraId="25E408CA" w14:textId="0777D950" w:rsidR="00422CC0" w:rsidRPr="00836FB9" w:rsidRDefault="00422CC0" w:rsidP="00422CC0">
      <w:pPr>
        <w:pStyle w:val="Odstavecseseznamem"/>
        <w:numPr>
          <w:ilvl w:val="0"/>
          <w:numId w:val="44"/>
        </w:numPr>
        <w:rPr>
          <w:rFonts w:asciiTheme="minorHAnsi" w:eastAsiaTheme="minorHAnsi" w:hAnsiTheme="minorHAnsi" w:cstheme="minorHAnsi"/>
        </w:rPr>
      </w:pPr>
      <w:r>
        <w:rPr>
          <w:rFonts w:asciiTheme="minorHAnsi" w:eastAsiaTheme="minorHAnsi" w:hAnsiTheme="minorHAnsi" w:cstheme="minorHAnsi"/>
        </w:rPr>
        <w:t>minimální doba existence výzkumné organizace jako právnické osoby je pět let (tuto dobu může MPO v odůvodněných případech zkrátit)</w:t>
      </w:r>
      <w:r w:rsidRPr="00C6334F">
        <w:rPr>
          <w:rFonts w:asciiTheme="minorHAnsi" w:eastAsiaTheme="minorHAnsi" w:hAnsiTheme="minorHAnsi" w:cstheme="minorHAnsi"/>
        </w:rPr>
        <w:t>;</w:t>
      </w:r>
    </w:p>
    <w:p w14:paraId="3831E608" w14:textId="3C750E7A" w:rsidR="00422CC0" w:rsidRPr="00BC0AAE" w:rsidRDefault="00422CC0" w:rsidP="00422CC0">
      <w:pPr>
        <w:pStyle w:val="Odstavecseseznamem"/>
        <w:numPr>
          <w:ilvl w:val="0"/>
          <w:numId w:val="44"/>
        </w:numPr>
        <w:rPr>
          <w:rFonts w:asciiTheme="minorHAnsi" w:eastAsiaTheme="minorHAnsi" w:hAnsiTheme="minorHAnsi" w:cstheme="minorHAnsi"/>
        </w:rPr>
      </w:pPr>
      <w:r>
        <w:rPr>
          <w:rFonts w:asciiTheme="minorHAnsi" w:eastAsiaTheme="minorHAnsi" w:hAnsiTheme="minorHAnsi" w:cstheme="minorHAnsi"/>
        </w:rPr>
        <w:t xml:space="preserve">výzkumná organizace spadá do působnosti MPO podle § 4 odst. 2 písm. a) zákona </w:t>
      </w:r>
      <w:r w:rsidR="00002176">
        <w:rPr>
          <w:rFonts w:asciiTheme="minorHAnsi" w:eastAsiaTheme="minorHAnsi" w:hAnsiTheme="minorHAnsi" w:cstheme="minorHAnsi"/>
        </w:rPr>
        <w:br/>
      </w:r>
      <w:r w:rsidR="00A23639" w:rsidRPr="00A23639">
        <w:rPr>
          <w:rFonts w:asciiTheme="minorHAnsi" w:eastAsiaTheme="minorHAnsi" w:hAnsiTheme="minorHAnsi" w:cstheme="minorHAnsi"/>
        </w:rPr>
        <w:t>o</w:t>
      </w:r>
      <w:r w:rsidR="00002176">
        <w:rPr>
          <w:rFonts w:asciiTheme="minorHAnsi" w:eastAsiaTheme="minorHAnsi" w:hAnsiTheme="minorHAnsi" w:cstheme="minorHAnsi"/>
        </w:rPr>
        <w:t xml:space="preserve"> </w:t>
      </w:r>
      <w:r w:rsidR="00A23639" w:rsidRPr="00A23639">
        <w:rPr>
          <w:rFonts w:asciiTheme="minorHAnsi" w:eastAsiaTheme="minorHAnsi" w:hAnsiTheme="minorHAnsi" w:cstheme="minorHAnsi"/>
        </w:rPr>
        <w:t xml:space="preserve">podpoře výzkumu, experimentálního vývoje a inovací </w:t>
      </w:r>
      <w:r>
        <w:rPr>
          <w:rFonts w:asciiTheme="minorHAnsi" w:eastAsiaTheme="minorHAnsi" w:hAnsiTheme="minorHAnsi" w:cstheme="minorHAnsi"/>
        </w:rPr>
        <w:t>a má předmět činnosti v oblastech vymezených MPO zákonem</w:t>
      </w:r>
      <w:r w:rsidR="009F5B31">
        <w:rPr>
          <w:rFonts w:asciiTheme="minorHAnsi" w:eastAsiaTheme="minorHAnsi" w:hAnsiTheme="minorHAnsi" w:cstheme="minorHAnsi"/>
        </w:rPr>
        <w:t xml:space="preserve"> České národní rady</w:t>
      </w:r>
      <w:r>
        <w:rPr>
          <w:rFonts w:asciiTheme="minorHAnsi" w:eastAsiaTheme="minorHAnsi" w:hAnsiTheme="minorHAnsi" w:cstheme="minorHAnsi"/>
        </w:rPr>
        <w:t xml:space="preserve"> č. 2/1969 Sb., o zřízení ministerst</w:t>
      </w:r>
      <w:r w:rsidR="00F21EAA">
        <w:rPr>
          <w:rFonts w:asciiTheme="minorHAnsi" w:eastAsiaTheme="minorHAnsi" w:hAnsiTheme="minorHAnsi" w:cstheme="minorHAnsi"/>
        </w:rPr>
        <w:t>ev</w:t>
      </w:r>
      <w:r>
        <w:rPr>
          <w:rFonts w:asciiTheme="minorHAnsi" w:eastAsiaTheme="minorHAnsi" w:hAnsiTheme="minorHAnsi" w:cstheme="minorHAnsi"/>
        </w:rPr>
        <w:t xml:space="preserve"> a</w:t>
      </w:r>
      <w:r w:rsidR="00A23639">
        <w:rPr>
          <w:rFonts w:asciiTheme="minorHAnsi" w:eastAsiaTheme="minorHAnsi" w:hAnsiTheme="minorHAnsi" w:cstheme="minorHAnsi"/>
        </w:rPr>
        <w:t> </w:t>
      </w:r>
      <w:r>
        <w:rPr>
          <w:rFonts w:asciiTheme="minorHAnsi" w:eastAsiaTheme="minorHAnsi" w:hAnsiTheme="minorHAnsi" w:cstheme="minorHAnsi"/>
        </w:rPr>
        <w:t>jiných ústředních orgánů státní správy České republiky</w:t>
      </w:r>
      <w:r w:rsidRPr="00C6334F">
        <w:rPr>
          <w:rFonts w:asciiTheme="minorHAnsi" w:eastAsiaTheme="minorHAnsi" w:hAnsiTheme="minorHAnsi" w:cstheme="minorHAnsi"/>
        </w:rPr>
        <w:t>;</w:t>
      </w:r>
    </w:p>
    <w:p w14:paraId="6D5280AB" w14:textId="77777777" w:rsidR="00422CC0" w:rsidRDefault="00422CC0" w:rsidP="00422CC0">
      <w:pPr>
        <w:pStyle w:val="Odstavecseseznamem"/>
        <w:numPr>
          <w:ilvl w:val="0"/>
          <w:numId w:val="44"/>
        </w:numPr>
        <w:rPr>
          <w:rFonts w:asciiTheme="minorHAnsi" w:eastAsiaTheme="minorHAnsi" w:hAnsiTheme="minorHAnsi" w:cstheme="minorHAnsi"/>
        </w:rPr>
      </w:pPr>
      <w:r>
        <w:rPr>
          <w:rFonts w:asciiTheme="minorHAnsi" w:eastAsiaTheme="minorHAnsi" w:hAnsiTheme="minorHAnsi" w:cstheme="minorHAnsi"/>
        </w:rPr>
        <w:t>výzkumná organizace předloží všechny podklady úplné a ve stanoveném termínu.</w:t>
      </w:r>
    </w:p>
    <w:p w14:paraId="205621FB" w14:textId="77777777" w:rsidR="00F21EAA" w:rsidRDefault="00F21EAA" w:rsidP="00422CC0">
      <w:pPr>
        <w:rPr>
          <w:rFonts w:asciiTheme="minorHAnsi" w:eastAsiaTheme="minorHAnsi" w:hAnsiTheme="minorHAnsi" w:cstheme="minorHAnsi"/>
        </w:rPr>
      </w:pPr>
    </w:p>
    <w:p w14:paraId="6FB81E09" w14:textId="1BD896C6" w:rsidR="00422CC0" w:rsidRPr="0049557D" w:rsidRDefault="00422CC0" w:rsidP="00C6334F">
      <w:pPr>
        <w:spacing w:after="120"/>
        <w:rPr>
          <w:rFonts w:asciiTheme="minorHAnsi" w:eastAsiaTheme="minorHAnsi" w:hAnsiTheme="minorHAnsi" w:cstheme="minorHAnsi"/>
        </w:rPr>
      </w:pPr>
      <w:r w:rsidRPr="00040F59">
        <w:rPr>
          <w:rFonts w:asciiTheme="minorHAnsi" w:eastAsiaTheme="minorHAnsi" w:hAnsiTheme="minorHAnsi" w:cstheme="minorHAnsi"/>
        </w:rPr>
        <w:t>Dle Metodiky 2017</w:t>
      </w:r>
      <w:r w:rsidRPr="00C6334F">
        <w:rPr>
          <w:rFonts w:asciiTheme="minorHAnsi" w:eastAsiaTheme="minorHAnsi" w:hAnsiTheme="minorHAnsi" w:cstheme="minorHAnsi"/>
        </w:rPr>
        <w:t>+</w:t>
      </w:r>
      <w:r w:rsidRPr="00C6334F">
        <w:rPr>
          <w:rFonts w:asciiTheme="minorHAnsi" w:eastAsiaTheme="minorHAnsi" w:hAnsiTheme="minorHAnsi" w:cstheme="minorHAnsi"/>
          <w:b/>
        </w:rPr>
        <w:t xml:space="preserve"> </w:t>
      </w:r>
      <w:r w:rsidRPr="00C6334F">
        <w:rPr>
          <w:rFonts w:asciiTheme="minorHAnsi" w:eastAsiaTheme="minorHAnsi" w:hAnsiTheme="minorHAnsi" w:cstheme="minorHAnsi"/>
        </w:rPr>
        <w:t xml:space="preserve">je </w:t>
      </w:r>
      <w:r w:rsidRPr="00FA0231">
        <w:rPr>
          <w:rFonts w:asciiTheme="minorHAnsi" w:eastAsiaTheme="minorHAnsi" w:hAnsiTheme="minorHAnsi" w:cstheme="minorHAnsi"/>
        </w:rPr>
        <w:t>MPO jako</w:t>
      </w:r>
      <w:r w:rsidR="00E0308F">
        <w:rPr>
          <w:rFonts w:asciiTheme="minorHAnsi" w:eastAsiaTheme="minorHAnsi" w:hAnsiTheme="minorHAnsi" w:cstheme="minorHAnsi"/>
        </w:rPr>
        <w:t>žto</w:t>
      </w:r>
      <w:r w:rsidRPr="00FA0231">
        <w:rPr>
          <w:rFonts w:asciiTheme="minorHAnsi" w:eastAsiaTheme="minorHAnsi" w:hAnsiTheme="minorHAnsi" w:cstheme="minorHAnsi"/>
        </w:rPr>
        <w:t xml:space="preserve"> poskytovatel institucionální podpory</w:t>
      </w:r>
      <w:r w:rsidRPr="00040F59">
        <w:rPr>
          <w:rFonts w:asciiTheme="minorHAnsi" w:eastAsiaTheme="minorHAnsi" w:hAnsiTheme="minorHAnsi" w:cstheme="minorHAnsi"/>
          <w:b/>
        </w:rPr>
        <w:t xml:space="preserve"> </w:t>
      </w:r>
      <w:r w:rsidRPr="0049557D">
        <w:rPr>
          <w:rFonts w:asciiTheme="minorHAnsi" w:eastAsiaTheme="minorHAnsi" w:hAnsiTheme="minorHAnsi" w:cstheme="minorHAnsi"/>
        </w:rPr>
        <w:t>zodpovědné za</w:t>
      </w:r>
      <w:r w:rsidR="00E0308F">
        <w:rPr>
          <w:rFonts w:asciiTheme="minorHAnsi" w:eastAsiaTheme="minorHAnsi" w:hAnsiTheme="minorHAnsi" w:cstheme="minorHAnsi"/>
        </w:rPr>
        <w:t xml:space="preserve"> </w:t>
      </w:r>
      <w:r w:rsidRPr="0049557D">
        <w:rPr>
          <w:rFonts w:asciiTheme="minorHAnsi" w:eastAsiaTheme="minorHAnsi" w:hAnsiTheme="minorHAnsi" w:cstheme="minorHAnsi"/>
        </w:rPr>
        <w:t>provedení následujících hodnocení výzkumných organizací:</w:t>
      </w:r>
    </w:p>
    <w:p w14:paraId="05653283" w14:textId="5F1CF30F" w:rsidR="00422CC0" w:rsidRDefault="00422CC0" w:rsidP="00422CC0">
      <w:pPr>
        <w:pStyle w:val="Odstavecseseznamem"/>
        <w:numPr>
          <w:ilvl w:val="0"/>
          <w:numId w:val="43"/>
        </w:numPr>
        <w:rPr>
          <w:rFonts w:asciiTheme="minorHAnsi" w:eastAsiaTheme="minorHAnsi" w:hAnsiTheme="minorHAnsi" w:cstheme="minorHAnsi"/>
        </w:rPr>
      </w:pPr>
      <w:r w:rsidRPr="008F7651">
        <w:rPr>
          <w:rFonts w:asciiTheme="minorHAnsi" w:eastAsiaTheme="minorHAnsi" w:hAnsiTheme="minorHAnsi" w:cstheme="minorHAnsi"/>
          <w:b/>
        </w:rPr>
        <w:t>Vstupní hodnocení</w:t>
      </w:r>
      <w:r>
        <w:rPr>
          <w:rFonts w:asciiTheme="minorHAnsi" w:eastAsiaTheme="minorHAnsi" w:hAnsiTheme="minorHAnsi" w:cstheme="minorHAnsi"/>
          <w:b/>
        </w:rPr>
        <w:t>,</w:t>
      </w:r>
      <w:r>
        <w:rPr>
          <w:rFonts w:asciiTheme="minorHAnsi" w:eastAsiaTheme="minorHAnsi" w:hAnsiTheme="minorHAnsi" w:cstheme="minorHAnsi"/>
        </w:rPr>
        <w:t xml:space="preserve"> na jehož základě MPO vydává </w:t>
      </w:r>
      <w:r w:rsidR="00E0308F">
        <w:rPr>
          <w:rFonts w:asciiTheme="minorHAnsi" w:eastAsiaTheme="minorHAnsi" w:hAnsiTheme="minorHAnsi" w:cstheme="minorHAnsi"/>
        </w:rPr>
        <w:t>„</w:t>
      </w:r>
      <w:r w:rsidR="00E0308F" w:rsidRPr="00C6334F">
        <w:rPr>
          <w:rFonts w:asciiTheme="minorHAnsi" w:eastAsiaTheme="minorHAnsi" w:hAnsiTheme="minorHAnsi" w:cstheme="minorHAnsi"/>
          <w:i/>
        </w:rPr>
        <w:t>r</w:t>
      </w:r>
      <w:r w:rsidRPr="00C6334F">
        <w:rPr>
          <w:rFonts w:asciiTheme="minorHAnsi" w:eastAsiaTheme="minorHAnsi" w:hAnsiTheme="minorHAnsi" w:cstheme="minorHAnsi"/>
          <w:i/>
        </w:rPr>
        <w:t>ozhodnutí o poskytnutí institucionální podpory</w:t>
      </w:r>
      <w:r w:rsidR="00E0308F" w:rsidRPr="00C6334F">
        <w:rPr>
          <w:rFonts w:asciiTheme="minorHAnsi" w:eastAsiaTheme="minorHAnsi" w:hAnsiTheme="minorHAnsi" w:cstheme="minorHAnsi"/>
        </w:rPr>
        <w:t>“</w:t>
      </w:r>
      <w:r>
        <w:rPr>
          <w:rFonts w:asciiTheme="minorHAnsi" w:eastAsiaTheme="minorHAnsi" w:hAnsiTheme="minorHAnsi" w:cstheme="minorHAnsi"/>
        </w:rPr>
        <w:t xml:space="preserve">. </w:t>
      </w:r>
    </w:p>
    <w:p w14:paraId="164F8D28" w14:textId="33F9CA69" w:rsidR="00422CC0" w:rsidRDefault="00422CC0" w:rsidP="00422CC0">
      <w:pPr>
        <w:pStyle w:val="Odstavecseseznamem"/>
        <w:numPr>
          <w:ilvl w:val="0"/>
          <w:numId w:val="43"/>
        </w:numPr>
        <w:rPr>
          <w:rFonts w:asciiTheme="minorHAnsi" w:eastAsiaTheme="minorHAnsi" w:hAnsiTheme="minorHAnsi" w:cstheme="minorHAnsi"/>
        </w:rPr>
      </w:pPr>
      <w:r w:rsidRPr="008F7651">
        <w:rPr>
          <w:rFonts w:asciiTheme="minorHAnsi" w:eastAsiaTheme="minorHAnsi" w:hAnsiTheme="minorHAnsi" w:cstheme="minorHAnsi"/>
          <w:b/>
        </w:rPr>
        <w:t>Průběžné hodnocení</w:t>
      </w:r>
      <w:r>
        <w:rPr>
          <w:rFonts w:asciiTheme="minorHAnsi" w:eastAsiaTheme="minorHAnsi" w:hAnsiTheme="minorHAnsi" w:cstheme="minorHAnsi"/>
        </w:rPr>
        <w:t xml:space="preserve"> v každém kalendářním roce pětiletého období, ve kterém je výzkumné organizaci poskyt</w:t>
      </w:r>
      <w:r w:rsidR="00E077A5">
        <w:rPr>
          <w:rFonts w:asciiTheme="minorHAnsi" w:eastAsiaTheme="minorHAnsi" w:hAnsiTheme="minorHAnsi" w:cstheme="minorHAnsi"/>
        </w:rPr>
        <w:t>ována</w:t>
      </w:r>
      <w:r>
        <w:rPr>
          <w:rFonts w:asciiTheme="minorHAnsi" w:eastAsiaTheme="minorHAnsi" w:hAnsiTheme="minorHAnsi" w:cstheme="minorHAnsi"/>
        </w:rPr>
        <w:t xml:space="preserve"> institucionální podpora</w:t>
      </w:r>
      <w:r w:rsidR="00E077A5">
        <w:rPr>
          <w:rFonts w:asciiTheme="minorHAnsi" w:eastAsiaTheme="minorHAnsi" w:hAnsiTheme="minorHAnsi" w:cstheme="minorHAnsi"/>
        </w:rPr>
        <w:t>;</w:t>
      </w:r>
      <w:r>
        <w:rPr>
          <w:rFonts w:asciiTheme="minorHAnsi" w:eastAsiaTheme="minorHAnsi" w:hAnsiTheme="minorHAnsi" w:cstheme="minorHAnsi"/>
        </w:rPr>
        <w:t xml:space="preserve"> </w:t>
      </w:r>
      <w:r w:rsidR="00E077A5">
        <w:rPr>
          <w:rFonts w:asciiTheme="minorHAnsi" w:eastAsiaTheme="minorHAnsi" w:hAnsiTheme="minorHAnsi" w:cstheme="minorHAnsi"/>
        </w:rPr>
        <w:t xml:space="preserve">toto hodnocení vychází </w:t>
      </w:r>
      <w:r w:rsidR="009B16CA">
        <w:rPr>
          <w:rFonts w:asciiTheme="minorHAnsi" w:eastAsiaTheme="minorHAnsi" w:hAnsiTheme="minorHAnsi" w:cstheme="minorHAnsi"/>
        </w:rPr>
        <w:br/>
      </w:r>
      <w:r w:rsidR="00E077A5">
        <w:rPr>
          <w:rFonts w:asciiTheme="minorHAnsi" w:eastAsiaTheme="minorHAnsi" w:hAnsiTheme="minorHAnsi" w:cstheme="minorHAnsi"/>
        </w:rPr>
        <w:t>z</w:t>
      </w:r>
      <w:r w:rsidR="009B16CA">
        <w:rPr>
          <w:rFonts w:asciiTheme="minorHAnsi" w:eastAsiaTheme="minorHAnsi" w:hAnsiTheme="minorHAnsi" w:cstheme="minorHAnsi"/>
        </w:rPr>
        <w:t xml:space="preserve"> </w:t>
      </w:r>
      <w:r w:rsidR="00E077A5">
        <w:rPr>
          <w:rFonts w:asciiTheme="minorHAnsi" w:eastAsiaTheme="minorHAnsi" w:hAnsiTheme="minorHAnsi" w:cstheme="minorHAnsi"/>
        </w:rPr>
        <w:t>analýzy</w:t>
      </w:r>
      <w:r>
        <w:rPr>
          <w:rFonts w:asciiTheme="minorHAnsi" w:eastAsiaTheme="minorHAnsi" w:hAnsiTheme="minorHAnsi" w:cstheme="minorHAnsi"/>
        </w:rPr>
        <w:t xml:space="preserve"> zaslaných </w:t>
      </w:r>
      <w:r w:rsidR="00E077A5" w:rsidRPr="00C6334F">
        <w:rPr>
          <w:rFonts w:asciiTheme="minorHAnsi" w:eastAsiaTheme="minorHAnsi" w:hAnsiTheme="minorHAnsi" w:cstheme="minorHAnsi"/>
          <w:i/>
        </w:rPr>
        <w:t>p</w:t>
      </w:r>
      <w:r w:rsidRPr="00C6334F">
        <w:rPr>
          <w:rFonts w:asciiTheme="minorHAnsi" w:eastAsiaTheme="minorHAnsi" w:hAnsiTheme="minorHAnsi" w:cstheme="minorHAnsi"/>
          <w:i/>
        </w:rPr>
        <w:t>růběžných zpráv o plnění dlouhodobé koncepce rozvoje výzkumné organizace</w:t>
      </w:r>
      <w:r>
        <w:rPr>
          <w:rFonts w:asciiTheme="minorHAnsi" w:eastAsiaTheme="minorHAnsi" w:hAnsiTheme="minorHAnsi" w:cstheme="minorHAnsi"/>
        </w:rPr>
        <w:t xml:space="preserve"> (dále také „průběžné zprávy“)</w:t>
      </w:r>
      <w:r w:rsidRPr="00512997">
        <w:rPr>
          <w:rFonts w:asciiTheme="minorHAnsi" w:eastAsiaTheme="minorHAnsi" w:hAnsiTheme="minorHAnsi" w:cstheme="minorHAnsi"/>
        </w:rPr>
        <w:t>.</w:t>
      </w:r>
      <w:r>
        <w:rPr>
          <w:rFonts w:asciiTheme="minorHAnsi" w:eastAsiaTheme="minorHAnsi" w:hAnsiTheme="minorHAnsi" w:cstheme="minorHAnsi"/>
        </w:rPr>
        <w:t xml:space="preserve"> Na základě průběžného hodnocení mohlo </w:t>
      </w:r>
      <w:r w:rsidR="00E077A5">
        <w:rPr>
          <w:rFonts w:asciiTheme="minorHAnsi" w:eastAsiaTheme="minorHAnsi" w:hAnsiTheme="minorHAnsi" w:cstheme="minorHAnsi"/>
        </w:rPr>
        <w:t xml:space="preserve">MPO </w:t>
      </w:r>
      <w:r>
        <w:rPr>
          <w:rFonts w:asciiTheme="minorHAnsi" w:eastAsiaTheme="minorHAnsi" w:hAnsiTheme="minorHAnsi" w:cstheme="minorHAnsi"/>
        </w:rPr>
        <w:t xml:space="preserve">změnit výši podpory na následující rok o max. </w:t>
      </w:r>
      <w:r w:rsidR="00E077A5" w:rsidRPr="00E077A5">
        <w:t>−</w:t>
      </w:r>
      <w:r w:rsidRPr="00E077A5">
        <w:rPr>
          <w:rFonts w:asciiTheme="minorHAnsi" w:eastAsiaTheme="minorHAnsi" w:hAnsiTheme="minorHAnsi" w:cstheme="minorHAnsi"/>
        </w:rPr>
        <w:t>5</w:t>
      </w:r>
      <w:r>
        <w:rPr>
          <w:rFonts w:asciiTheme="minorHAnsi" w:eastAsiaTheme="minorHAnsi" w:hAnsiTheme="minorHAnsi" w:cstheme="minorHAnsi"/>
        </w:rPr>
        <w:t xml:space="preserve"> % až </w:t>
      </w:r>
      <w:r w:rsidRPr="00C6334F">
        <w:rPr>
          <w:rFonts w:asciiTheme="minorHAnsi" w:eastAsiaTheme="minorHAnsi" w:hAnsiTheme="minorHAnsi" w:cstheme="minorHAnsi"/>
        </w:rPr>
        <w:t>+</w:t>
      </w:r>
      <w:r>
        <w:rPr>
          <w:rFonts w:asciiTheme="minorHAnsi" w:eastAsiaTheme="minorHAnsi" w:hAnsiTheme="minorHAnsi" w:cstheme="minorHAnsi"/>
        </w:rPr>
        <w:t>10 %.</w:t>
      </w:r>
    </w:p>
    <w:p w14:paraId="04E6E88A" w14:textId="35955FF4" w:rsidR="00422CC0" w:rsidRPr="00BC0AAE" w:rsidRDefault="00422CC0" w:rsidP="00422CC0">
      <w:pPr>
        <w:pStyle w:val="Odstavecseseznamem"/>
        <w:numPr>
          <w:ilvl w:val="0"/>
          <w:numId w:val="43"/>
        </w:numPr>
        <w:rPr>
          <w:rFonts w:asciiTheme="minorHAnsi" w:eastAsiaTheme="minorHAnsi" w:hAnsiTheme="minorHAnsi" w:cstheme="minorHAnsi"/>
        </w:rPr>
      </w:pPr>
      <w:r>
        <w:rPr>
          <w:rFonts w:asciiTheme="minorHAnsi" w:eastAsiaTheme="minorHAnsi" w:hAnsiTheme="minorHAnsi" w:cstheme="minorHAnsi"/>
          <w:b/>
        </w:rPr>
        <w:t>Závěrečné hodnocení</w:t>
      </w:r>
      <w:r w:rsidRPr="00C6334F">
        <w:rPr>
          <w:rFonts w:asciiTheme="minorHAnsi" w:eastAsiaTheme="minorHAnsi" w:hAnsiTheme="minorHAnsi" w:cstheme="minorHAnsi"/>
          <w:b/>
        </w:rPr>
        <w:t>,</w:t>
      </w:r>
      <w:r>
        <w:rPr>
          <w:rFonts w:asciiTheme="minorHAnsi" w:eastAsiaTheme="minorHAnsi" w:hAnsiTheme="minorHAnsi" w:cstheme="minorHAnsi"/>
        </w:rPr>
        <w:t xml:space="preserve"> které má MPO provést následující kalendářní rok po ukončení pětiletého období poskytování institucionální podpory (v roce 2023). MPO má toto hodnocení provést na základě předložených </w:t>
      </w:r>
      <w:r w:rsidR="00E077A5">
        <w:rPr>
          <w:rFonts w:asciiTheme="minorHAnsi" w:eastAsiaTheme="minorHAnsi" w:hAnsiTheme="minorHAnsi" w:cstheme="minorHAnsi"/>
        </w:rPr>
        <w:t>z</w:t>
      </w:r>
      <w:r>
        <w:rPr>
          <w:rFonts w:asciiTheme="minorHAnsi" w:eastAsiaTheme="minorHAnsi" w:hAnsiTheme="minorHAnsi" w:cstheme="minorHAnsi"/>
        </w:rPr>
        <w:t>ávěrečných zpráv o plnění dlouhodobé koncepce rozvoje výzkumné organizace a o čerpání podpory za pětileté období.</w:t>
      </w:r>
    </w:p>
    <w:p w14:paraId="230EC61F" w14:textId="77777777" w:rsidR="00CD212B" w:rsidRDefault="00CD212B" w:rsidP="003639C6">
      <w:pPr>
        <w:rPr>
          <w:lang w:eastAsia="cs-CZ"/>
        </w:rPr>
      </w:pPr>
    </w:p>
    <w:p w14:paraId="63E65DF1" w14:textId="188AE20D" w:rsidR="00422CC0" w:rsidRDefault="00CD212B" w:rsidP="003639C6">
      <w:pPr>
        <w:rPr>
          <w:lang w:eastAsia="cs-CZ"/>
        </w:rPr>
      </w:pPr>
      <w:r w:rsidRPr="00CD212B">
        <w:rPr>
          <w:lang w:eastAsia="cs-CZ"/>
        </w:rPr>
        <w:t>Výsledkem jak vstupního, tak průběžného hodnocení bylo v souladu s Metodikou 2017+ zařazení výzkumné organizace do kategorie A až D.</w:t>
      </w:r>
    </w:p>
    <w:p w14:paraId="7C3B6CFC" w14:textId="77777777" w:rsidR="00CD212B" w:rsidRDefault="00CD212B" w:rsidP="003639C6">
      <w:pPr>
        <w:rPr>
          <w:lang w:eastAsia="cs-CZ"/>
        </w:rPr>
      </w:pPr>
    </w:p>
    <w:p w14:paraId="33784DEC" w14:textId="3E8EF067" w:rsidR="00422CC0" w:rsidRDefault="00422CC0" w:rsidP="003639C6">
      <w:pPr>
        <w:rPr>
          <w:lang w:eastAsia="cs-CZ"/>
        </w:rPr>
      </w:pPr>
      <w:r>
        <w:rPr>
          <w:lang w:eastAsia="cs-CZ"/>
        </w:rPr>
        <w:t>MPO za účelem odborného hodnocení výzkumných organizací zřídilo Odborný poradní orgán pro hodnocení výzkumných organizací v působnosti Ministerstva průmyslu a obchodu (dále jen „</w:t>
      </w:r>
      <w:r w:rsidRPr="0085444B">
        <w:rPr>
          <w:b/>
          <w:lang w:eastAsia="cs-CZ"/>
        </w:rPr>
        <w:t>Odborný poradní orgán MPO</w:t>
      </w:r>
      <w:r>
        <w:rPr>
          <w:lang w:eastAsia="cs-CZ"/>
        </w:rPr>
        <w:t>“), jehož úkolem bylo odborně hodnotit dlouhodobé koncepce rozvoje výzkumných organizací, a to ve</w:t>
      </w:r>
      <w:r w:rsidR="00E0308F">
        <w:rPr>
          <w:lang w:eastAsia="cs-CZ"/>
        </w:rPr>
        <w:t xml:space="preserve"> </w:t>
      </w:r>
      <w:r>
        <w:rPr>
          <w:lang w:eastAsia="cs-CZ"/>
        </w:rPr>
        <w:t>fázích vstupního, průběžného a</w:t>
      </w:r>
      <w:r w:rsidR="0049557D">
        <w:rPr>
          <w:lang w:eastAsia="cs-CZ"/>
        </w:rPr>
        <w:t> </w:t>
      </w:r>
      <w:r>
        <w:rPr>
          <w:lang w:eastAsia="cs-CZ"/>
        </w:rPr>
        <w:t>závěrečného hodnocení.</w:t>
      </w:r>
    </w:p>
    <w:p w14:paraId="0E8A19EB" w14:textId="77777777" w:rsidR="00EE109D" w:rsidRDefault="00EE109D" w:rsidP="003639C6"/>
    <w:p w14:paraId="09341914" w14:textId="77777777" w:rsidR="00C9389B" w:rsidRPr="0096632E" w:rsidRDefault="00C9389B" w:rsidP="003639C6"/>
    <w:p w14:paraId="32048642" w14:textId="42F16979" w:rsidR="00684789" w:rsidRDefault="00AB3724" w:rsidP="00C6334F">
      <w:pPr>
        <w:pStyle w:val="Nadpis1"/>
        <w:spacing w:before="120"/>
        <w:rPr>
          <w:sz w:val="28"/>
          <w:szCs w:val="28"/>
        </w:rPr>
      </w:pPr>
      <w:r w:rsidRPr="00D86DAB">
        <w:rPr>
          <w:sz w:val="28"/>
          <w:szCs w:val="28"/>
        </w:rPr>
        <w:t>III. Rozsah kontroly</w:t>
      </w:r>
    </w:p>
    <w:p w14:paraId="77FCD7E5" w14:textId="44E138B2" w:rsidR="008101D1" w:rsidRDefault="008101D1" w:rsidP="00435F06"/>
    <w:p w14:paraId="3D1D4A87" w14:textId="5499EC09" w:rsidR="006B5AD1" w:rsidRDefault="006B5AD1" w:rsidP="006B5AD1">
      <w:pPr>
        <w:rPr>
          <w:rFonts w:asciiTheme="minorHAnsi" w:hAnsiTheme="minorHAnsi" w:cstheme="minorHAnsi"/>
        </w:rPr>
      </w:pPr>
      <w:r>
        <w:rPr>
          <w:b/>
          <w:color w:val="auto"/>
        </w:rPr>
        <w:t xml:space="preserve">Předmětem kontrolní akce </w:t>
      </w:r>
      <w:r>
        <w:rPr>
          <w:rFonts w:asciiTheme="minorHAnsi" w:hAnsiTheme="minorHAnsi" w:cstheme="minorHAnsi"/>
        </w:rPr>
        <w:t>bylo poskytování a čerpání institucionální podpory</w:t>
      </w:r>
      <w:r w:rsidR="00581C40">
        <w:rPr>
          <w:rFonts w:asciiTheme="minorHAnsi" w:hAnsiTheme="minorHAnsi" w:cstheme="minorHAnsi"/>
        </w:rPr>
        <w:t>, kterou</w:t>
      </w:r>
      <w:r>
        <w:rPr>
          <w:rFonts w:asciiTheme="minorHAnsi" w:hAnsiTheme="minorHAnsi" w:cstheme="minorHAnsi"/>
        </w:rPr>
        <w:t xml:space="preserve"> </w:t>
      </w:r>
      <w:r w:rsidR="009B16CA">
        <w:rPr>
          <w:rFonts w:asciiTheme="minorHAnsi" w:hAnsiTheme="minorHAnsi" w:cstheme="minorHAnsi"/>
        </w:rPr>
        <w:br/>
      </w:r>
      <w:r w:rsidR="00581C40">
        <w:rPr>
          <w:rFonts w:asciiTheme="minorHAnsi" w:hAnsiTheme="minorHAnsi" w:cstheme="minorHAnsi"/>
        </w:rPr>
        <w:t>v</w:t>
      </w:r>
      <w:r w:rsidR="009B16CA">
        <w:rPr>
          <w:rFonts w:asciiTheme="minorHAnsi" w:hAnsiTheme="minorHAnsi" w:cstheme="minorHAnsi"/>
        </w:rPr>
        <w:t xml:space="preserve"> </w:t>
      </w:r>
      <w:r w:rsidR="00581C40">
        <w:rPr>
          <w:rFonts w:asciiTheme="minorHAnsi" w:hAnsiTheme="minorHAnsi" w:cstheme="minorHAnsi"/>
        </w:rPr>
        <w:t xml:space="preserve">pětiletém období let 2018 až 2022 poskytlo </w:t>
      </w:r>
      <w:r>
        <w:rPr>
          <w:rFonts w:asciiTheme="minorHAnsi" w:hAnsiTheme="minorHAnsi" w:cstheme="minorHAnsi"/>
        </w:rPr>
        <w:t>MPO ze své</w:t>
      </w:r>
      <w:r w:rsidR="00581C40">
        <w:rPr>
          <w:rFonts w:asciiTheme="minorHAnsi" w:hAnsiTheme="minorHAnsi" w:cstheme="minorHAnsi"/>
        </w:rPr>
        <w:t xml:space="preserve"> </w:t>
      </w:r>
      <w:r>
        <w:rPr>
          <w:rFonts w:asciiTheme="minorHAnsi" w:hAnsiTheme="minorHAnsi" w:cstheme="minorHAnsi"/>
        </w:rPr>
        <w:t xml:space="preserve">rozpočtové kapitoly celkem </w:t>
      </w:r>
      <w:r w:rsidR="00581C40">
        <w:rPr>
          <w:rFonts w:asciiTheme="minorHAnsi" w:hAnsiTheme="minorHAnsi" w:cstheme="minorHAnsi"/>
        </w:rPr>
        <w:t>čtrnácti</w:t>
      </w:r>
      <w:r>
        <w:rPr>
          <w:rFonts w:asciiTheme="minorHAnsi" w:hAnsiTheme="minorHAnsi" w:cstheme="minorHAnsi"/>
        </w:rPr>
        <w:t xml:space="preserve"> výzkumným organizacím</w:t>
      </w:r>
      <w:r w:rsidR="00581C40" w:rsidRPr="00581C40">
        <w:rPr>
          <w:rFonts w:asciiTheme="minorHAnsi" w:hAnsiTheme="minorHAnsi" w:cstheme="minorHAnsi"/>
        </w:rPr>
        <w:t xml:space="preserve"> </w:t>
      </w:r>
      <w:r w:rsidR="00581C40">
        <w:rPr>
          <w:rFonts w:asciiTheme="minorHAnsi" w:hAnsiTheme="minorHAnsi" w:cstheme="minorHAnsi"/>
        </w:rPr>
        <w:t>na jejich dlouhodobý rozvoj</w:t>
      </w:r>
      <w:r>
        <w:rPr>
          <w:rFonts w:asciiTheme="minorHAnsi" w:hAnsiTheme="minorHAnsi" w:cstheme="minorHAnsi"/>
        </w:rPr>
        <w:t>.</w:t>
      </w:r>
    </w:p>
    <w:p w14:paraId="4511209F" w14:textId="77777777" w:rsidR="006B5AD1" w:rsidRDefault="006B5AD1" w:rsidP="00435F06">
      <w:pPr>
        <w:rPr>
          <w:b/>
        </w:rPr>
      </w:pPr>
    </w:p>
    <w:p w14:paraId="0F48D00C" w14:textId="558AACB7" w:rsidR="008101D1" w:rsidRDefault="008101D1" w:rsidP="00435F06">
      <w:pPr>
        <w:rPr>
          <w:rFonts w:asciiTheme="minorHAnsi" w:hAnsiTheme="minorHAnsi" w:cstheme="minorHAnsi"/>
        </w:rPr>
      </w:pPr>
      <w:r w:rsidRPr="008101D1">
        <w:rPr>
          <w:b/>
        </w:rPr>
        <w:lastRenderedPageBreak/>
        <w:t>Cílem kontroly</w:t>
      </w:r>
      <w:r w:rsidRPr="00E75983">
        <w:t xml:space="preserve"> bylo prověřit, zda </w:t>
      </w:r>
      <w:r w:rsidRPr="004E5927">
        <w:rPr>
          <w:rFonts w:asciiTheme="minorHAnsi" w:hAnsiTheme="minorHAnsi" w:cstheme="minorHAnsi"/>
        </w:rPr>
        <w:t>byly peněžní prostředky poskytované Ministerstvem průmyslu a obchodu na</w:t>
      </w:r>
      <w:r>
        <w:rPr>
          <w:rFonts w:asciiTheme="minorHAnsi" w:hAnsiTheme="minorHAnsi" w:cstheme="minorHAnsi"/>
        </w:rPr>
        <w:t> </w:t>
      </w:r>
      <w:r w:rsidRPr="004E5927">
        <w:rPr>
          <w:rFonts w:asciiTheme="minorHAnsi" w:hAnsiTheme="minorHAnsi" w:cstheme="minorHAnsi"/>
        </w:rPr>
        <w:t>institucionální podporu výzkumných organizací poskytnuty a čerpány účelně, hospodárně a v souladu s právními předpisy</w:t>
      </w:r>
      <w:r>
        <w:rPr>
          <w:rFonts w:asciiTheme="minorHAnsi" w:hAnsiTheme="minorHAnsi" w:cstheme="minorHAnsi"/>
        </w:rPr>
        <w:t>.</w:t>
      </w:r>
    </w:p>
    <w:p w14:paraId="0438E4FD" w14:textId="182C53F1" w:rsidR="008101D1" w:rsidRDefault="008101D1" w:rsidP="00435F06">
      <w:pPr>
        <w:rPr>
          <w:b/>
          <w:color w:val="auto"/>
        </w:rPr>
      </w:pPr>
    </w:p>
    <w:p w14:paraId="5FEBE7C9" w14:textId="16042D1C" w:rsidR="008F21F6" w:rsidRDefault="00581C40" w:rsidP="008F21F6">
      <w:pPr>
        <w:rPr>
          <w:rFonts w:asciiTheme="minorHAnsi" w:hAnsiTheme="minorHAnsi" w:cstheme="minorHAnsi"/>
        </w:rPr>
      </w:pPr>
      <w:r>
        <w:rPr>
          <w:rFonts w:asciiTheme="minorHAnsi" w:hAnsiTheme="minorHAnsi" w:cstheme="minorHAnsi"/>
        </w:rPr>
        <w:t>NKÚ považuje</w:t>
      </w:r>
      <w:r w:rsidRPr="008101D1">
        <w:rPr>
          <w:rFonts w:asciiTheme="minorHAnsi" w:hAnsiTheme="minorHAnsi" w:cstheme="minorHAnsi"/>
        </w:rPr>
        <w:t xml:space="preserve"> </w:t>
      </w:r>
      <w:r>
        <w:rPr>
          <w:rFonts w:asciiTheme="minorHAnsi" w:hAnsiTheme="minorHAnsi" w:cstheme="minorHAnsi"/>
        </w:rPr>
        <w:t>z</w:t>
      </w:r>
      <w:r w:rsidR="008F21F6">
        <w:rPr>
          <w:rFonts w:asciiTheme="minorHAnsi" w:hAnsiTheme="minorHAnsi" w:cstheme="minorHAnsi"/>
        </w:rPr>
        <w:t xml:space="preserve">a </w:t>
      </w:r>
      <w:r w:rsidR="008F21F6" w:rsidRPr="008F21F6">
        <w:rPr>
          <w:rFonts w:asciiTheme="minorHAnsi" w:hAnsiTheme="minorHAnsi" w:cstheme="minorHAnsi"/>
          <w:b/>
        </w:rPr>
        <w:t>účelné</w:t>
      </w:r>
      <w:r w:rsidR="008F21F6">
        <w:rPr>
          <w:rStyle w:val="Znakapoznpodarou"/>
          <w:rFonts w:asciiTheme="minorHAnsi" w:hAnsiTheme="minorHAnsi" w:cstheme="minorHAnsi"/>
        </w:rPr>
        <w:footnoteReference w:id="10"/>
      </w:r>
      <w:r w:rsidR="008F21F6">
        <w:rPr>
          <w:rFonts w:asciiTheme="minorHAnsi" w:hAnsiTheme="minorHAnsi" w:cstheme="minorHAnsi"/>
        </w:rPr>
        <w:t xml:space="preserve"> </w:t>
      </w:r>
      <w:r w:rsidR="008F21F6" w:rsidRPr="001C2293">
        <w:rPr>
          <w:rFonts w:asciiTheme="minorHAnsi" w:hAnsiTheme="minorHAnsi" w:cstheme="minorHAnsi"/>
        </w:rPr>
        <w:t>takové použití veřejných</w:t>
      </w:r>
      <w:r w:rsidR="008F21F6" w:rsidRPr="008101D1">
        <w:rPr>
          <w:rFonts w:asciiTheme="minorHAnsi" w:hAnsiTheme="minorHAnsi" w:cstheme="minorHAnsi"/>
        </w:rPr>
        <w:t xml:space="preserve"> prostředků, které zajistí optimální míru dosažení cílů při plnění stanovených úkolů</w:t>
      </w:r>
      <w:r w:rsidR="008F21F6">
        <w:rPr>
          <w:rFonts w:asciiTheme="minorHAnsi" w:hAnsiTheme="minorHAnsi" w:cstheme="minorHAnsi"/>
        </w:rPr>
        <w:t xml:space="preserve">, za </w:t>
      </w:r>
      <w:r w:rsidR="008F21F6" w:rsidRPr="008F21F6">
        <w:rPr>
          <w:rFonts w:asciiTheme="minorHAnsi" w:hAnsiTheme="minorHAnsi" w:cstheme="minorHAnsi"/>
          <w:b/>
        </w:rPr>
        <w:t>hospodárné</w:t>
      </w:r>
      <w:r w:rsidR="008F21F6">
        <w:rPr>
          <w:rStyle w:val="Znakapoznpodarou"/>
          <w:rFonts w:asciiTheme="minorHAnsi" w:hAnsiTheme="minorHAnsi" w:cstheme="minorHAnsi"/>
        </w:rPr>
        <w:footnoteReference w:id="11"/>
      </w:r>
      <w:r w:rsidR="008F21F6">
        <w:rPr>
          <w:rFonts w:asciiTheme="minorHAnsi" w:hAnsiTheme="minorHAnsi" w:cstheme="minorHAnsi"/>
        </w:rPr>
        <w:t xml:space="preserve"> </w:t>
      </w:r>
      <w:r w:rsidR="001C2293">
        <w:rPr>
          <w:rFonts w:asciiTheme="minorHAnsi" w:hAnsiTheme="minorHAnsi" w:cstheme="minorHAnsi"/>
        </w:rPr>
        <w:t xml:space="preserve">považuje </w:t>
      </w:r>
      <w:r w:rsidR="008F21F6" w:rsidRPr="008101D1">
        <w:rPr>
          <w:rFonts w:asciiTheme="minorHAnsi" w:hAnsiTheme="minorHAnsi" w:cstheme="minorHAnsi"/>
        </w:rPr>
        <w:t>použití veřejných prostředků k zajištění stanovených úkolů s co nejnižším vynaložením těchto prostředků, a to při dodržení odpovídající kvality plněných úkolů</w:t>
      </w:r>
      <w:r w:rsidR="001C2293">
        <w:rPr>
          <w:rFonts w:asciiTheme="minorHAnsi" w:hAnsiTheme="minorHAnsi" w:cstheme="minorHAnsi"/>
        </w:rPr>
        <w:t>,</w:t>
      </w:r>
      <w:r w:rsidR="008F21F6">
        <w:rPr>
          <w:rFonts w:asciiTheme="minorHAnsi" w:hAnsiTheme="minorHAnsi" w:cstheme="minorHAnsi"/>
        </w:rPr>
        <w:t xml:space="preserve"> a za </w:t>
      </w:r>
      <w:r w:rsidR="008F21F6" w:rsidRPr="008F21F6">
        <w:rPr>
          <w:rFonts w:asciiTheme="minorHAnsi" w:hAnsiTheme="minorHAnsi" w:cstheme="minorHAnsi"/>
          <w:b/>
        </w:rPr>
        <w:t>efektivní</w:t>
      </w:r>
      <w:r w:rsidR="008F21F6">
        <w:rPr>
          <w:rStyle w:val="Znakapoznpodarou"/>
          <w:rFonts w:asciiTheme="minorHAnsi" w:hAnsiTheme="minorHAnsi" w:cstheme="minorHAnsi"/>
        </w:rPr>
        <w:footnoteReference w:id="12"/>
      </w:r>
      <w:r w:rsidR="008F21F6">
        <w:rPr>
          <w:rFonts w:asciiTheme="minorHAnsi" w:hAnsiTheme="minorHAnsi" w:cstheme="minorHAnsi"/>
        </w:rPr>
        <w:t xml:space="preserve"> takové </w:t>
      </w:r>
      <w:r w:rsidR="008F21F6">
        <w:t>použití veřejných prostředků, kterým se dosáhne nejvyššího možného rozsahu, kvality a přínosu plněných úkolů ve srovnání s objemem prostředků poskytnutých na jejich plnění.</w:t>
      </w:r>
    </w:p>
    <w:p w14:paraId="58FF29DA" w14:textId="2CC8898F" w:rsidR="00DD3C8F" w:rsidRDefault="00DD3C8F" w:rsidP="00A05E1A">
      <w:pPr>
        <w:rPr>
          <w:rFonts w:asciiTheme="minorHAnsi" w:hAnsiTheme="minorHAnsi" w:cstheme="minorHAnsi"/>
        </w:rPr>
      </w:pPr>
    </w:p>
    <w:p w14:paraId="79E9DCC0" w14:textId="32EF8828" w:rsidR="00A3398C" w:rsidRPr="009335B0" w:rsidRDefault="00A3398C" w:rsidP="00A3398C">
      <w:pPr>
        <w:rPr>
          <w:rFonts w:asciiTheme="minorHAnsi" w:hAnsiTheme="minorHAnsi" w:cstheme="minorHAnsi"/>
        </w:rPr>
      </w:pPr>
      <w:r w:rsidRPr="009335B0">
        <w:rPr>
          <w:rFonts w:asciiTheme="minorHAnsi" w:hAnsiTheme="minorHAnsi" w:cstheme="minorHAnsi"/>
        </w:rPr>
        <w:t xml:space="preserve">Z hlediska účelnosti </w:t>
      </w:r>
      <w:r w:rsidR="001C2293">
        <w:rPr>
          <w:rFonts w:asciiTheme="minorHAnsi" w:hAnsiTheme="minorHAnsi" w:cstheme="minorHAnsi"/>
        </w:rPr>
        <w:t>Nejvyšší kontrolní úřad</w:t>
      </w:r>
      <w:r w:rsidRPr="009335B0">
        <w:rPr>
          <w:rFonts w:asciiTheme="minorHAnsi" w:hAnsiTheme="minorHAnsi" w:cstheme="minorHAnsi"/>
        </w:rPr>
        <w:t xml:space="preserve"> u MPO jako poskytovatele podpory posuzoval</w:t>
      </w:r>
      <w:r w:rsidR="00B43549">
        <w:rPr>
          <w:rFonts w:asciiTheme="minorHAnsi" w:hAnsiTheme="minorHAnsi" w:cstheme="minorHAnsi"/>
        </w:rPr>
        <w:t>,</w:t>
      </w:r>
      <w:r w:rsidRPr="009335B0">
        <w:rPr>
          <w:rFonts w:asciiTheme="minorHAnsi" w:hAnsiTheme="minorHAnsi" w:cstheme="minorHAnsi"/>
        </w:rPr>
        <w:t xml:space="preserve"> </w:t>
      </w:r>
      <w:r w:rsidR="00CD212B">
        <w:rPr>
          <w:rFonts w:asciiTheme="minorHAnsi" w:hAnsiTheme="minorHAnsi" w:cstheme="minorHAnsi"/>
        </w:rPr>
        <w:t>zda MPO nastavilo cíle a přínosy</w:t>
      </w:r>
      <w:r w:rsidRPr="009335B0">
        <w:rPr>
          <w:rFonts w:asciiTheme="minorHAnsi" w:hAnsiTheme="minorHAnsi" w:cstheme="minorHAnsi"/>
        </w:rPr>
        <w:t xml:space="preserve"> podpory a </w:t>
      </w:r>
      <w:r w:rsidR="00CD212B">
        <w:rPr>
          <w:rFonts w:asciiTheme="minorHAnsi" w:hAnsiTheme="minorHAnsi" w:cstheme="minorHAnsi"/>
        </w:rPr>
        <w:t>zda byly naplňovány.</w:t>
      </w:r>
      <w:r w:rsidRPr="009335B0">
        <w:rPr>
          <w:rFonts w:asciiTheme="minorHAnsi" w:hAnsiTheme="minorHAnsi" w:cstheme="minorHAnsi"/>
        </w:rPr>
        <w:t xml:space="preserve"> U jednotlivých příjemců podpory byla účelnost posuzována z pohledu naplňování cílů, které si příjemci sami stanovili ve svých koncepcích dlouhodobé</w:t>
      </w:r>
      <w:r w:rsidR="00CD212B">
        <w:rPr>
          <w:rFonts w:asciiTheme="minorHAnsi" w:hAnsiTheme="minorHAnsi" w:cstheme="minorHAnsi"/>
        </w:rPr>
        <w:t>ho</w:t>
      </w:r>
      <w:r w:rsidRPr="009335B0">
        <w:rPr>
          <w:rFonts w:asciiTheme="minorHAnsi" w:hAnsiTheme="minorHAnsi" w:cstheme="minorHAnsi"/>
        </w:rPr>
        <w:t xml:space="preserve"> rozvoje výzkumné organizace. </w:t>
      </w:r>
      <w:bookmarkStart w:id="4" w:name="_Hlk135721771"/>
      <w:r w:rsidRPr="009335B0">
        <w:rPr>
          <w:rFonts w:asciiTheme="minorHAnsi" w:hAnsiTheme="minorHAnsi" w:cstheme="minorHAnsi"/>
        </w:rPr>
        <w:t xml:space="preserve">Při posuzování hospodárnosti vycházel </w:t>
      </w:r>
      <w:r w:rsidR="001C2293" w:rsidRPr="009335B0">
        <w:rPr>
          <w:rFonts w:asciiTheme="minorHAnsi" w:hAnsiTheme="minorHAnsi" w:cstheme="minorHAnsi"/>
        </w:rPr>
        <w:t xml:space="preserve">NKÚ </w:t>
      </w:r>
      <w:r w:rsidR="00881F00">
        <w:rPr>
          <w:rFonts w:asciiTheme="minorHAnsi" w:hAnsiTheme="minorHAnsi" w:cstheme="minorHAnsi"/>
        </w:rPr>
        <w:t>z</w:t>
      </w:r>
      <w:r w:rsidR="009B16CA">
        <w:rPr>
          <w:rFonts w:asciiTheme="minorHAnsi" w:hAnsiTheme="minorHAnsi" w:cstheme="minorHAnsi"/>
        </w:rPr>
        <w:t xml:space="preserve"> </w:t>
      </w:r>
      <w:r w:rsidR="00881F00">
        <w:rPr>
          <w:rFonts w:asciiTheme="minorHAnsi" w:hAnsiTheme="minorHAnsi" w:cstheme="minorHAnsi"/>
        </w:rPr>
        <w:t>pravidel</w:t>
      </w:r>
      <w:r w:rsidR="001C2293">
        <w:rPr>
          <w:rFonts w:asciiTheme="minorHAnsi" w:hAnsiTheme="minorHAnsi" w:cstheme="minorHAnsi"/>
        </w:rPr>
        <w:t>, která</w:t>
      </w:r>
      <w:r w:rsidR="00881F00">
        <w:rPr>
          <w:rFonts w:asciiTheme="minorHAnsi" w:hAnsiTheme="minorHAnsi" w:cstheme="minorHAnsi"/>
        </w:rPr>
        <w:t xml:space="preserve"> pro použití podpory </w:t>
      </w:r>
      <w:r w:rsidR="001C2293">
        <w:rPr>
          <w:rFonts w:asciiTheme="minorHAnsi" w:hAnsiTheme="minorHAnsi" w:cstheme="minorHAnsi"/>
        </w:rPr>
        <w:t>nastavilo</w:t>
      </w:r>
      <w:r w:rsidR="00881F00">
        <w:rPr>
          <w:rFonts w:asciiTheme="minorHAnsi" w:hAnsiTheme="minorHAnsi" w:cstheme="minorHAnsi"/>
        </w:rPr>
        <w:t xml:space="preserve"> MPO jako poskytovatel. U příjemců podpory </w:t>
      </w:r>
      <w:r w:rsidR="001C2293">
        <w:rPr>
          <w:rFonts w:asciiTheme="minorHAnsi" w:hAnsiTheme="minorHAnsi" w:cstheme="minorHAnsi"/>
        </w:rPr>
        <w:t xml:space="preserve">využil </w:t>
      </w:r>
      <w:r w:rsidR="00881F00">
        <w:rPr>
          <w:rFonts w:asciiTheme="minorHAnsi" w:hAnsiTheme="minorHAnsi" w:cstheme="minorHAnsi"/>
        </w:rPr>
        <w:t xml:space="preserve">NKÚ při </w:t>
      </w:r>
      <w:r w:rsidR="001C2293">
        <w:rPr>
          <w:rFonts w:asciiTheme="minorHAnsi" w:hAnsiTheme="minorHAnsi" w:cstheme="minorHAnsi"/>
        </w:rPr>
        <w:t>hodnocení</w:t>
      </w:r>
      <w:r w:rsidR="00881F00">
        <w:rPr>
          <w:rFonts w:asciiTheme="minorHAnsi" w:hAnsiTheme="minorHAnsi" w:cstheme="minorHAnsi"/>
        </w:rPr>
        <w:t xml:space="preserve"> hospodárnosti výsledky výběru dodavatelů, veřejně dostupné ceníky a vnitřní předpisy kontrolovaných výzkumných organizací ke stanovení výše osobních nákladů.</w:t>
      </w:r>
      <w:r w:rsidRPr="009335B0">
        <w:rPr>
          <w:rFonts w:asciiTheme="minorHAnsi" w:hAnsiTheme="minorHAnsi" w:cstheme="minorHAnsi"/>
        </w:rPr>
        <w:t xml:space="preserve"> </w:t>
      </w:r>
      <w:bookmarkEnd w:id="4"/>
      <w:r w:rsidRPr="009335B0">
        <w:rPr>
          <w:rFonts w:asciiTheme="minorHAnsi" w:hAnsiTheme="minorHAnsi" w:cstheme="minorHAnsi"/>
        </w:rPr>
        <w:t>P</w:t>
      </w:r>
      <w:r w:rsidR="001C2293">
        <w:rPr>
          <w:rFonts w:asciiTheme="minorHAnsi" w:hAnsiTheme="minorHAnsi" w:cstheme="minorHAnsi"/>
        </w:rPr>
        <w:t>ro</w:t>
      </w:r>
      <w:r w:rsidRPr="009335B0">
        <w:rPr>
          <w:rFonts w:asciiTheme="minorHAnsi" w:hAnsiTheme="minorHAnsi" w:cstheme="minorHAnsi"/>
        </w:rPr>
        <w:t xml:space="preserve"> posouzení efektivnosti </w:t>
      </w:r>
      <w:r w:rsidR="001C2293">
        <w:rPr>
          <w:rFonts w:asciiTheme="minorHAnsi" w:hAnsiTheme="minorHAnsi" w:cstheme="minorHAnsi"/>
        </w:rPr>
        <w:t>zvolil</w:t>
      </w:r>
      <w:r w:rsidRPr="009335B0">
        <w:rPr>
          <w:rFonts w:asciiTheme="minorHAnsi" w:hAnsiTheme="minorHAnsi" w:cstheme="minorHAnsi"/>
        </w:rPr>
        <w:t xml:space="preserve"> </w:t>
      </w:r>
      <w:r w:rsidR="001C2293" w:rsidRPr="009335B0">
        <w:rPr>
          <w:rFonts w:asciiTheme="minorHAnsi" w:hAnsiTheme="minorHAnsi" w:cstheme="minorHAnsi"/>
        </w:rPr>
        <w:t xml:space="preserve">NKÚ </w:t>
      </w:r>
      <w:r w:rsidRPr="009335B0">
        <w:rPr>
          <w:rFonts w:asciiTheme="minorHAnsi" w:hAnsiTheme="minorHAnsi" w:cstheme="minorHAnsi"/>
        </w:rPr>
        <w:t>jako kritérium hodnot</w:t>
      </w:r>
      <w:r w:rsidR="001C2293">
        <w:rPr>
          <w:rFonts w:asciiTheme="minorHAnsi" w:hAnsiTheme="minorHAnsi" w:cstheme="minorHAnsi"/>
        </w:rPr>
        <w:t>i</w:t>
      </w:r>
      <w:r w:rsidRPr="009335B0">
        <w:rPr>
          <w:rFonts w:asciiTheme="minorHAnsi" w:hAnsiTheme="minorHAnsi" w:cstheme="minorHAnsi"/>
        </w:rPr>
        <w:t>cí škálu použitou MPO při hodnocení výzkumných organizací (A až D)</w:t>
      </w:r>
      <w:r w:rsidR="00914024" w:rsidRPr="009335B0">
        <w:rPr>
          <w:rFonts w:asciiTheme="minorHAnsi" w:hAnsiTheme="minorHAnsi" w:cstheme="minorHAnsi"/>
        </w:rPr>
        <w:t xml:space="preserve">. </w:t>
      </w:r>
    </w:p>
    <w:p w14:paraId="2452072C" w14:textId="77777777" w:rsidR="00A3398C" w:rsidRDefault="00A3398C" w:rsidP="00A05E1A">
      <w:pPr>
        <w:rPr>
          <w:rFonts w:asciiTheme="minorHAnsi" w:hAnsiTheme="minorHAnsi" w:cstheme="minorHAnsi"/>
        </w:rPr>
      </w:pPr>
    </w:p>
    <w:p w14:paraId="78E60AF5" w14:textId="55056F55" w:rsidR="00435F06" w:rsidRDefault="00435F06" w:rsidP="00A05E1A">
      <w:pPr>
        <w:rPr>
          <w:rFonts w:asciiTheme="minorHAnsi" w:hAnsiTheme="minorHAnsi" w:cstheme="minorHAnsi"/>
        </w:rPr>
      </w:pPr>
      <w:r w:rsidRPr="0049557D">
        <w:rPr>
          <w:rFonts w:asciiTheme="minorHAnsi" w:hAnsiTheme="minorHAnsi" w:cstheme="minorHAnsi"/>
          <w:b/>
        </w:rPr>
        <w:t>Kontrolovanými osobami</w:t>
      </w:r>
      <w:r>
        <w:rPr>
          <w:rFonts w:asciiTheme="minorHAnsi" w:hAnsiTheme="minorHAnsi" w:cstheme="minorHAnsi"/>
        </w:rPr>
        <w:t xml:space="preserve"> bylo MPO a šest vybraných výzkumných organizací.</w:t>
      </w:r>
      <w:r w:rsidR="00A05E1A">
        <w:rPr>
          <w:rFonts w:asciiTheme="minorHAnsi" w:hAnsiTheme="minorHAnsi" w:cstheme="minorHAnsi"/>
        </w:rPr>
        <w:t xml:space="preserve"> Byly vybrány č</w:t>
      </w:r>
      <w:r w:rsidR="00A05E1A" w:rsidRPr="00A05E1A">
        <w:rPr>
          <w:rFonts w:asciiTheme="minorHAnsi" w:hAnsiTheme="minorHAnsi" w:cstheme="minorHAnsi"/>
        </w:rPr>
        <w:t>tyři výzkumné organi</w:t>
      </w:r>
      <w:r w:rsidR="00DB2089">
        <w:rPr>
          <w:rFonts w:asciiTheme="minorHAnsi" w:hAnsiTheme="minorHAnsi" w:cstheme="minorHAnsi"/>
        </w:rPr>
        <w:t>za</w:t>
      </w:r>
      <w:r w:rsidR="00A05E1A" w:rsidRPr="00A05E1A">
        <w:rPr>
          <w:rFonts w:asciiTheme="minorHAnsi" w:hAnsiTheme="minorHAnsi" w:cstheme="minorHAnsi"/>
        </w:rPr>
        <w:t xml:space="preserve">ce, které v období let 2018 až 2022 </w:t>
      </w:r>
      <w:r w:rsidR="00DB2089">
        <w:rPr>
          <w:rFonts w:asciiTheme="minorHAnsi" w:hAnsiTheme="minorHAnsi" w:cstheme="minorHAnsi"/>
        </w:rPr>
        <w:t>přijímaly</w:t>
      </w:r>
      <w:r w:rsidR="00A05E1A" w:rsidRPr="00A05E1A">
        <w:rPr>
          <w:rFonts w:asciiTheme="minorHAnsi" w:hAnsiTheme="minorHAnsi" w:cstheme="minorHAnsi"/>
        </w:rPr>
        <w:t xml:space="preserve"> nejvyšší </w:t>
      </w:r>
      <w:r w:rsidR="00DB2089">
        <w:rPr>
          <w:rFonts w:asciiTheme="minorHAnsi" w:hAnsiTheme="minorHAnsi" w:cstheme="minorHAnsi"/>
        </w:rPr>
        <w:t xml:space="preserve">částky </w:t>
      </w:r>
      <w:r w:rsidR="00A05E1A" w:rsidRPr="00A05E1A">
        <w:rPr>
          <w:rFonts w:asciiTheme="minorHAnsi" w:hAnsiTheme="minorHAnsi" w:cstheme="minorHAnsi"/>
        </w:rPr>
        <w:t>institucionální podpory</w:t>
      </w:r>
      <w:r w:rsidR="00A05E1A">
        <w:rPr>
          <w:rFonts w:asciiTheme="minorHAnsi" w:hAnsiTheme="minorHAnsi" w:cstheme="minorHAnsi"/>
        </w:rPr>
        <w:t>, j</w:t>
      </w:r>
      <w:r w:rsidR="00A05E1A" w:rsidRPr="00A05E1A">
        <w:rPr>
          <w:rFonts w:asciiTheme="minorHAnsi" w:hAnsiTheme="minorHAnsi" w:cstheme="minorHAnsi"/>
        </w:rPr>
        <w:t xml:space="preserve">edna výzkumná organizace, </w:t>
      </w:r>
      <w:r w:rsidR="003B6F97">
        <w:rPr>
          <w:rFonts w:asciiTheme="minorHAnsi" w:hAnsiTheme="minorHAnsi" w:cstheme="minorHAnsi"/>
        </w:rPr>
        <w:t>kterou</w:t>
      </w:r>
      <w:r w:rsidR="00A05E1A" w:rsidRPr="00A05E1A">
        <w:rPr>
          <w:rFonts w:asciiTheme="minorHAnsi" w:hAnsiTheme="minorHAnsi" w:cstheme="minorHAnsi"/>
        </w:rPr>
        <w:t xml:space="preserve"> MPO</w:t>
      </w:r>
      <w:r w:rsidR="003B6F97">
        <w:rPr>
          <w:rFonts w:asciiTheme="minorHAnsi" w:hAnsiTheme="minorHAnsi" w:cstheme="minorHAnsi"/>
        </w:rPr>
        <w:t xml:space="preserve"> v</w:t>
      </w:r>
      <w:r w:rsidR="005F52D5">
        <w:rPr>
          <w:rFonts w:asciiTheme="minorHAnsi" w:hAnsiTheme="minorHAnsi" w:cstheme="minorHAnsi"/>
        </w:rPr>
        <w:t xml:space="preserve"> </w:t>
      </w:r>
      <w:r w:rsidR="003B6F97">
        <w:rPr>
          <w:rFonts w:asciiTheme="minorHAnsi" w:hAnsiTheme="minorHAnsi" w:cstheme="minorHAnsi"/>
        </w:rPr>
        <w:t xml:space="preserve">rámci vstupního hodnocení zařadilo jako jedinou do kategorie </w:t>
      </w:r>
      <w:r w:rsidR="00A05E1A" w:rsidRPr="00A05E1A">
        <w:rPr>
          <w:rFonts w:asciiTheme="minorHAnsi" w:hAnsiTheme="minorHAnsi" w:cstheme="minorHAnsi"/>
        </w:rPr>
        <w:t>„podprůměrná</w:t>
      </w:r>
      <w:r w:rsidR="00A05E1A">
        <w:rPr>
          <w:rFonts w:asciiTheme="minorHAnsi" w:hAnsiTheme="minorHAnsi" w:cstheme="minorHAnsi"/>
        </w:rPr>
        <w:t>“</w:t>
      </w:r>
      <w:r w:rsidR="00DB2089">
        <w:rPr>
          <w:rFonts w:asciiTheme="minorHAnsi" w:hAnsiTheme="minorHAnsi" w:cstheme="minorHAnsi"/>
        </w:rPr>
        <w:t>,</w:t>
      </w:r>
      <w:r w:rsidR="00A05E1A">
        <w:rPr>
          <w:rFonts w:asciiTheme="minorHAnsi" w:hAnsiTheme="minorHAnsi" w:cstheme="minorHAnsi"/>
        </w:rPr>
        <w:t xml:space="preserve"> a j</w:t>
      </w:r>
      <w:r w:rsidR="00A05E1A" w:rsidRPr="00A05E1A">
        <w:rPr>
          <w:rFonts w:asciiTheme="minorHAnsi" w:hAnsiTheme="minorHAnsi" w:cstheme="minorHAnsi"/>
        </w:rPr>
        <w:t>edna výzkumná organizace, která byla vybrána ze zbývajících výzkumných organizací náhodným výběrem.</w:t>
      </w:r>
    </w:p>
    <w:p w14:paraId="16800A7C" w14:textId="533479F5" w:rsidR="00435F06" w:rsidRDefault="00435F06" w:rsidP="00435F06">
      <w:pPr>
        <w:rPr>
          <w:rFonts w:asciiTheme="minorHAnsi" w:hAnsiTheme="minorHAnsi" w:cstheme="minorHAnsi"/>
        </w:rPr>
      </w:pPr>
    </w:p>
    <w:p w14:paraId="317AF11B" w14:textId="57D78805" w:rsidR="0049557D" w:rsidRPr="006D745A" w:rsidRDefault="0049557D" w:rsidP="0049557D">
      <w:pPr>
        <w:autoSpaceDE w:val="0"/>
        <w:autoSpaceDN w:val="0"/>
        <w:adjustRightInd w:val="0"/>
        <w:rPr>
          <w:rFonts w:asciiTheme="minorHAnsi" w:hAnsiTheme="minorHAnsi" w:cstheme="minorHAnsi"/>
        </w:rPr>
      </w:pPr>
      <w:r w:rsidRPr="003A0DBE">
        <w:rPr>
          <w:b/>
          <w:color w:val="000000" w:themeColor="text1"/>
        </w:rPr>
        <w:t>Kontrolovaným obdobím</w:t>
      </w:r>
      <w:r w:rsidRPr="00876251">
        <w:rPr>
          <w:color w:val="000000" w:themeColor="text1"/>
        </w:rPr>
        <w:t xml:space="preserve"> </w:t>
      </w:r>
      <w:r>
        <w:rPr>
          <w:color w:val="000000" w:themeColor="text1"/>
        </w:rPr>
        <w:t xml:space="preserve">bylo </w:t>
      </w:r>
      <w:r>
        <w:rPr>
          <w:rFonts w:asciiTheme="minorHAnsi" w:hAnsiTheme="minorHAnsi" w:cstheme="minorHAnsi"/>
        </w:rPr>
        <w:t xml:space="preserve">období </w:t>
      </w:r>
      <w:r w:rsidRPr="004E5927">
        <w:rPr>
          <w:rFonts w:asciiTheme="minorHAnsi" w:hAnsiTheme="minorHAnsi" w:cstheme="minorHAnsi"/>
        </w:rPr>
        <w:t xml:space="preserve">od roku </w:t>
      </w:r>
      <w:r w:rsidRPr="00E603AF">
        <w:rPr>
          <w:rFonts w:asciiTheme="minorHAnsi" w:hAnsiTheme="minorHAnsi" w:cstheme="minorHAnsi"/>
        </w:rPr>
        <w:t>2018 do roku 2022</w:t>
      </w:r>
      <w:r w:rsidR="00DB2089">
        <w:rPr>
          <w:rFonts w:asciiTheme="minorHAnsi" w:hAnsiTheme="minorHAnsi" w:cstheme="minorHAnsi"/>
        </w:rPr>
        <w:t>,</w:t>
      </w:r>
      <w:r w:rsidRPr="004E5927">
        <w:rPr>
          <w:rFonts w:asciiTheme="minorHAnsi" w:hAnsiTheme="minorHAnsi" w:cstheme="minorHAnsi"/>
        </w:rPr>
        <w:t xml:space="preserve"> </w:t>
      </w:r>
      <w:r w:rsidR="00DB2089">
        <w:rPr>
          <w:rFonts w:asciiTheme="minorHAnsi" w:hAnsiTheme="minorHAnsi" w:cstheme="minorHAnsi"/>
        </w:rPr>
        <w:t>v</w:t>
      </w:r>
      <w:r w:rsidRPr="004E5927">
        <w:rPr>
          <w:rFonts w:asciiTheme="minorHAnsi" w:hAnsiTheme="minorHAnsi" w:cstheme="minorHAnsi"/>
        </w:rPr>
        <w:t xml:space="preserve"> případě věcných souvislostí i</w:t>
      </w:r>
      <w:r>
        <w:rPr>
          <w:rFonts w:asciiTheme="minorHAnsi" w:hAnsiTheme="minorHAnsi" w:cstheme="minorHAnsi"/>
        </w:rPr>
        <w:t> </w:t>
      </w:r>
      <w:r w:rsidRPr="004E5927">
        <w:rPr>
          <w:rFonts w:asciiTheme="minorHAnsi" w:hAnsiTheme="minorHAnsi" w:cstheme="minorHAnsi"/>
        </w:rPr>
        <w:t>období</w:t>
      </w:r>
      <w:r>
        <w:rPr>
          <w:rFonts w:asciiTheme="minorHAnsi" w:hAnsiTheme="minorHAnsi" w:cstheme="minorHAnsi"/>
        </w:rPr>
        <w:t xml:space="preserve"> předcházející a období </w:t>
      </w:r>
      <w:r w:rsidRPr="004E5927">
        <w:rPr>
          <w:rFonts w:asciiTheme="minorHAnsi" w:hAnsiTheme="minorHAnsi" w:cstheme="minorHAnsi"/>
        </w:rPr>
        <w:t>následující</w:t>
      </w:r>
      <w:r>
        <w:rPr>
          <w:rFonts w:asciiTheme="minorHAnsi" w:hAnsiTheme="minorHAnsi" w:cstheme="minorHAnsi"/>
        </w:rPr>
        <w:t>.</w:t>
      </w:r>
    </w:p>
    <w:p w14:paraId="548065E9" w14:textId="77777777" w:rsidR="0049557D" w:rsidRDefault="0049557D" w:rsidP="0049557D">
      <w:pPr>
        <w:rPr>
          <w:rFonts w:asciiTheme="minorHAnsi" w:hAnsiTheme="minorHAnsi" w:cstheme="minorHAnsi"/>
        </w:rPr>
      </w:pPr>
    </w:p>
    <w:p w14:paraId="7FE3E950" w14:textId="37F81D8E" w:rsidR="0049557D" w:rsidRDefault="0049557D" w:rsidP="00435F06">
      <w:r w:rsidRPr="006D745A">
        <w:rPr>
          <w:rFonts w:asciiTheme="minorHAnsi" w:eastAsiaTheme="minorHAnsi" w:hAnsiTheme="minorHAnsi" w:cstheme="minorHAnsi"/>
          <w:b/>
        </w:rPr>
        <w:t>Kontrolovaným objemem</w:t>
      </w:r>
      <w:r w:rsidRPr="007373CF">
        <w:rPr>
          <w:rFonts w:asciiTheme="minorHAnsi" w:eastAsiaTheme="minorHAnsi" w:hAnsiTheme="minorHAnsi" w:cstheme="minorHAnsi"/>
        </w:rPr>
        <w:t xml:space="preserve"> byla</w:t>
      </w:r>
      <w:r w:rsidR="002F6D8E">
        <w:rPr>
          <w:rFonts w:asciiTheme="minorHAnsi" w:eastAsiaTheme="minorHAnsi" w:hAnsiTheme="minorHAnsi" w:cstheme="minorHAnsi"/>
        </w:rPr>
        <w:t xml:space="preserve"> u MPO</w:t>
      </w:r>
      <w:r w:rsidRPr="007373CF">
        <w:rPr>
          <w:rFonts w:asciiTheme="minorHAnsi" w:eastAsiaTheme="minorHAnsi" w:hAnsiTheme="minorHAnsi" w:cstheme="minorHAnsi"/>
        </w:rPr>
        <w:t xml:space="preserve"> výše institucionální podpory, kterou</w:t>
      </w:r>
      <w:r w:rsidR="005549D4">
        <w:rPr>
          <w:rFonts w:asciiTheme="minorHAnsi" w:eastAsiaTheme="minorHAnsi" w:hAnsiTheme="minorHAnsi" w:cstheme="minorHAnsi"/>
        </w:rPr>
        <w:t xml:space="preserve"> </w:t>
      </w:r>
      <w:r w:rsidR="00DB2089">
        <w:rPr>
          <w:rFonts w:asciiTheme="minorHAnsi" w:eastAsiaTheme="minorHAnsi" w:hAnsiTheme="minorHAnsi" w:cstheme="minorHAnsi"/>
        </w:rPr>
        <w:t>ministerstvo</w:t>
      </w:r>
      <w:r w:rsidRPr="007373CF">
        <w:rPr>
          <w:rFonts w:asciiTheme="minorHAnsi" w:eastAsiaTheme="minorHAnsi" w:hAnsiTheme="minorHAnsi" w:cstheme="minorHAnsi"/>
        </w:rPr>
        <w:t xml:space="preserve"> poskytlo v</w:t>
      </w:r>
      <w:r w:rsidR="00DB2089">
        <w:rPr>
          <w:rFonts w:asciiTheme="minorHAnsi" w:eastAsiaTheme="minorHAnsi" w:hAnsiTheme="minorHAnsi" w:cstheme="minorHAnsi"/>
        </w:rPr>
        <w:t xml:space="preserve"> </w:t>
      </w:r>
      <w:r w:rsidR="005549D4">
        <w:rPr>
          <w:rFonts w:asciiTheme="minorHAnsi" w:eastAsiaTheme="minorHAnsi" w:hAnsiTheme="minorHAnsi" w:cstheme="minorHAnsi"/>
        </w:rPr>
        <w:t>období</w:t>
      </w:r>
      <w:r w:rsidRPr="007373CF">
        <w:rPr>
          <w:rFonts w:asciiTheme="minorHAnsi" w:eastAsiaTheme="minorHAnsi" w:hAnsiTheme="minorHAnsi" w:cstheme="minorHAnsi"/>
        </w:rPr>
        <w:t xml:space="preserve"> </w:t>
      </w:r>
      <w:r w:rsidR="00DB2089">
        <w:rPr>
          <w:rFonts w:asciiTheme="minorHAnsi" w:eastAsiaTheme="minorHAnsi" w:hAnsiTheme="minorHAnsi" w:cstheme="minorHAnsi"/>
        </w:rPr>
        <w:t xml:space="preserve">let </w:t>
      </w:r>
      <w:r w:rsidR="00DB2089" w:rsidRPr="00A05E1A">
        <w:rPr>
          <w:rFonts w:asciiTheme="minorHAnsi" w:hAnsiTheme="minorHAnsi" w:cstheme="minorHAnsi"/>
        </w:rPr>
        <w:t xml:space="preserve">2018 až 2022 </w:t>
      </w:r>
      <w:r w:rsidRPr="007373CF">
        <w:rPr>
          <w:rFonts w:asciiTheme="minorHAnsi" w:eastAsiaTheme="minorHAnsi" w:hAnsiTheme="minorHAnsi" w:cstheme="minorHAnsi"/>
        </w:rPr>
        <w:t>v</w:t>
      </w:r>
      <w:r w:rsidR="00DB2089">
        <w:rPr>
          <w:rFonts w:asciiTheme="minorHAnsi" w:eastAsiaTheme="minorHAnsi" w:hAnsiTheme="minorHAnsi" w:cstheme="minorHAnsi"/>
        </w:rPr>
        <w:t xml:space="preserve"> </w:t>
      </w:r>
      <w:r w:rsidRPr="00E603AF">
        <w:rPr>
          <w:rFonts w:asciiTheme="minorHAnsi" w:eastAsiaTheme="minorHAnsi" w:hAnsiTheme="minorHAnsi" w:cstheme="minorHAnsi"/>
        </w:rPr>
        <w:t>celkové výši 2</w:t>
      </w:r>
      <w:r w:rsidR="00DB2089">
        <w:rPr>
          <w:rFonts w:asciiTheme="minorHAnsi" w:eastAsiaTheme="minorHAnsi" w:hAnsiTheme="minorHAnsi" w:cstheme="minorHAnsi"/>
        </w:rPr>
        <w:t xml:space="preserve"> </w:t>
      </w:r>
      <w:r w:rsidRPr="00E603AF">
        <w:rPr>
          <w:rFonts w:asciiTheme="minorHAnsi" w:eastAsiaTheme="minorHAnsi" w:hAnsiTheme="minorHAnsi" w:cstheme="minorHAnsi"/>
        </w:rPr>
        <w:t>265</w:t>
      </w:r>
      <w:r w:rsidR="00DB2089">
        <w:rPr>
          <w:rFonts w:asciiTheme="minorHAnsi" w:eastAsiaTheme="minorHAnsi" w:hAnsiTheme="minorHAnsi" w:cstheme="minorHAnsi"/>
        </w:rPr>
        <w:t xml:space="preserve"> </w:t>
      </w:r>
      <w:r w:rsidRPr="00E603AF">
        <w:rPr>
          <w:rFonts w:asciiTheme="minorHAnsi" w:eastAsiaTheme="minorHAnsi" w:hAnsiTheme="minorHAnsi" w:cstheme="minorHAnsi"/>
        </w:rPr>
        <w:t>639 044 Kč</w:t>
      </w:r>
      <w:r w:rsidRPr="007373CF">
        <w:rPr>
          <w:rFonts w:asciiTheme="minorHAnsi" w:eastAsiaTheme="minorHAnsi" w:hAnsiTheme="minorHAnsi" w:cstheme="minorHAnsi"/>
        </w:rPr>
        <w:t xml:space="preserve"> celkem </w:t>
      </w:r>
      <w:r w:rsidR="00DB2089">
        <w:rPr>
          <w:rFonts w:asciiTheme="minorHAnsi" w:eastAsiaTheme="minorHAnsi" w:hAnsiTheme="minorHAnsi" w:cstheme="minorHAnsi"/>
        </w:rPr>
        <w:t xml:space="preserve">čtrnácti </w:t>
      </w:r>
      <w:r w:rsidRPr="007373CF">
        <w:rPr>
          <w:rFonts w:asciiTheme="minorHAnsi" w:eastAsiaTheme="minorHAnsi" w:hAnsiTheme="minorHAnsi" w:cstheme="minorHAnsi"/>
        </w:rPr>
        <w:t>výzkumným organizacím.</w:t>
      </w:r>
      <w:r w:rsidR="008101D1">
        <w:rPr>
          <w:rFonts w:asciiTheme="minorHAnsi" w:eastAsiaTheme="minorHAnsi" w:hAnsiTheme="minorHAnsi" w:cstheme="minorHAnsi"/>
        </w:rPr>
        <w:t xml:space="preserve"> </w:t>
      </w:r>
      <w:r w:rsidR="008C4BD2">
        <w:rPr>
          <w:rFonts w:asciiTheme="minorHAnsi" w:eastAsiaTheme="minorHAnsi" w:hAnsiTheme="minorHAnsi" w:cstheme="minorHAnsi"/>
        </w:rPr>
        <w:t>Z</w:t>
      </w:r>
      <w:r w:rsidR="00DB2089">
        <w:rPr>
          <w:rFonts w:asciiTheme="minorHAnsi" w:eastAsiaTheme="minorHAnsi" w:hAnsiTheme="minorHAnsi" w:cstheme="minorHAnsi"/>
        </w:rPr>
        <w:t> toho ke kontrole NKÚ bylo</w:t>
      </w:r>
      <w:r w:rsidR="008C4BD2">
        <w:rPr>
          <w:rFonts w:asciiTheme="minorHAnsi" w:eastAsiaTheme="minorHAnsi" w:hAnsiTheme="minorHAnsi" w:cstheme="minorHAnsi"/>
        </w:rPr>
        <w:t xml:space="preserve"> vybr</w:t>
      </w:r>
      <w:r w:rsidR="00DB2089">
        <w:rPr>
          <w:rFonts w:asciiTheme="minorHAnsi" w:eastAsiaTheme="minorHAnsi" w:hAnsiTheme="minorHAnsi" w:cstheme="minorHAnsi"/>
        </w:rPr>
        <w:t>áno</w:t>
      </w:r>
      <w:r w:rsidR="008C4BD2">
        <w:rPr>
          <w:rFonts w:asciiTheme="minorHAnsi" w:eastAsiaTheme="minorHAnsi" w:hAnsiTheme="minorHAnsi" w:cstheme="minorHAnsi"/>
        </w:rPr>
        <w:t xml:space="preserve"> šest</w:t>
      </w:r>
      <w:r w:rsidR="00DB2089">
        <w:rPr>
          <w:rFonts w:asciiTheme="minorHAnsi" w:eastAsiaTheme="minorHAnsi" w:hAnsiTheme="minorHAnsi" w:cstheme="minorHAnsi"/>
        </w:rPr>
        <w:t xml:space="preserve"> organizací</w:t>
      </w:r>
      <w:r w:rsidR="008C4BD2">
        <w:rPr>
          <w:rFonts w:asciiTheme="minorHAnsi" w:eastAsiaTheme="minorHAnsi" w:hAnsiTheme="minorHAnsi" w:cstheme="minorHAnsi"/>
        </w:rPr>
        <w:t xml:space="preserve">, kterým MPO </w:t>
      </w:r>
      <w:r w:rsidR="005549D4">
        <w:rPr>
          <w:rFonts w:asciiTheme="minorHAnsi" w:eastAsiaTheme="minorHAnsi" w:hAnsiTheme="minorHAnsi" w:cstheme="minorHAnsi"/>
        </w:rPr>
        <w:t>v</w:t>
      </w:r>
      <w:r w:rsidR="00DB2089">
        <w:rPr>
          <w:rFonts w:asciiTheme="minorHAnsi" w:eastAsiaTheme="minorHAnsi" w:hAnsiTheme="minorHAnsi" w:cstheme="minorHAnsi"/>
        </w:rPr>
        <w:t>e sledovaném</w:t>
      </w:r>
      <w:r w:rsidR="005549D4">
        <w:rPr>
          <w:rFonts w:asciiTheme="minorHAnsi" w:eastAsiaTheme="minorHAnsi" w:hAnsiTheme="minorHAnsi" w:cstheme="minorHAnsi"/>
        </w:rPr>
        <w:t xml:space="preserve"> období</w:t>
      </w:r>
      <w:r w:rsidR="008C4BD2">
        <w:rPr>
          <w:rFonts w:asciiTheme="minorHAnsi" w:eastAsiaTheme="minorHAnsi" w:hAnsiTheme="minorHAnsi" w:cstheme="minorHAnsi"/>
        </w:rPr>
        <w:t xml:space="preserve"> poskytlo institucionální podpor</w:t>
      </w:r>
      <w:r w:rsidR="005549D4">
        <w:rPr>
          <w:rFonts w:asciiTheme="minorHAnsi" w:eastAsiaTheme="minorHAnsi" w:hAnsiTheme="minorHAnsi" w:cstheme="minorHAnsi"/>
        </w:rPr>
        <w:t>u</w:t>
      </w:r>
      <w:r w:rsidR="008C4BD2">
        <w:rPr>
          <w:rFonts w:asciiTheme="minorHAnsi" w:eastAsiaTheme="minorHAnsi" w:hAnsiTheme="minorHAnsi" w:cstheme="minorHAnsi"/>
        </w:rPr>
        <w:t xml:space="preserve"> </w:t>
      </w:r>
      <w:r w:rsidR="00DB2089">
        <w:rPr>
          <w:rFonts w:asciiTheme="minorHAnsi" w:eastAsiaTheme="minorHAnsi" w:hAnsiTheme="minorHAnsi" w:cstheme="minorHAnsi"/>
        </w:rPr>
        <w:t>v souhrnné</w:t>
      </w:r>
      <w:r w:rsidR="008C4BD2">
        <w:rPr>
          <w:rFonts w:asciiTheme="minorHAnsi" w:eastAsiaTheme="minorHAnsi" w:hAnsiTheme="minorHAnsi" w:cstheme="minorHAnsi"/>
        </w:rPr>
        <w:t xml:space="preserve"> výši </w:t>
      </w:r>
      <w:r w:rsidR="008C4BD2" w:rsidRPr="008C4BD2">
        <w:t>1</w:t>
      </w:r>
      <w:r w:rsidR="00716090">
        <w:t> </w:t>
      </w:r>
      <w:r w:rsidR="008C4BD2" w:rsidRPr="008C4BD2">
        <w:t>455</w:t>
      </w:r>
      <w:r w:rsidR="00716090">
        <w:t> </w:t>
      </w:r>
      <w:r w:rsidR="008C4BD2" w:rsidRPr="008C4BD2">
        <w:t>853</w:t>
      </w:r>
      <w:r w:rsidR="00716090">
        <w:t> </w:t>
      </w:r>
      <w:r w:rsidR="008C4BD2" w:rsidRPr="008C4BD2">
        <w:t>504</w:t>
      </w:r>
      <w:r w:rsidR="00716090">
        <w:t> </w:t>
      </w:r>
      <w:r w:rsidR="008C4BD2">
        <w:t xml:space="preserve">Kč. </w:t>
      </w:r>
      <w:r w:rsidR="00C02752">
        <w:br/>
      </w:r>
      <w:r w:rsidR="008C4BD2">
        <w:t>U</w:t>
      </w:r>
      <w:r w:rsidR="00C02752">
        <w:t xml:space="preserve"> </w:t>
      </w:r>
      <w:r w:rsidR="008C4BD2">
        <w:t xml:space="preserve">vybraných výzkumných organizací MPO </w:t>
      </w:r>
      <w:r w:rsidR="002F6D8E">
        <w:t xml:space="preserve">činil kontrolovaný objem </w:t>
      </w:r>
      <w:r w:rsidR="001D62D4">
        <w:t xml:space="preserve">způsobilých </w:t>
      </w:r>
      <w:r w:rsidR="008F21F6">
        <w:t xml:space="preserve">nákladů </w:t>
      </w:r>
      <w:r w:rsidR="002F6D8E">
        <w:t xml:space="preserve">celkem </w:t>
      </w:r>
      <w:r w:rsidR="002F6D8E" w:rsidRPr="00C9541F">
        <w:t>165 057 47</w:t>
      </w:r>
      <w:r w:rsidR="00BA2F54">
        <w:t>9</w:t>
      </w:r>
      <w:r w:rsidR="002F6D8E">
        <w:t xml:space="preserve"> Kč.</w:t>
      </w:r>
    </w:p>
    <w:p w14:paraId="102BB162" w14:textId="77777777" w:rsidR="00B43549" w:rsidRDefault="00B43549" w:rsidP="00435F06">
      <w:pPr>
        <w:rPr>
          <w:rFonts w:asciiTheme="minorHAnsi" w:hAnsiTheme="minorHAnsi" w:cstheme="minorHAnsi"/>
        </w:rPr>
      </w:pPr>
    </w:p>
    <w:p w14:paraId="12C37925" w14:textId="07C328FA" w:rsidR="00435F06" w:rsidRPr="00435F06" w:rsidRDefault="00435F06" w:rsidP="00435F06">
      <w:pPr>
        <w:rPr>
          <w:rFonts w:asciiTheme="minorHAnsi" w:hAnsiTheme="minorHAnsi" w:cstheme="minorHAnsi"/>
          <w:b/>
        </w:rPr>
      </w:pPr>
      <w:r w:rsidRPr="00435F06">
        <w:rPr>
          <w:rFonts w:asciiTheme="minorHAnsi" w:hAnsiTheme="minorHAnsi" w:cstheme="minorHAnsi"/>
          <w:b/>
        </w:rPr>
        <w:t>U MPO se kontrola zaměřila:</w:t>
      </w:r>
    </w:p>
    <w:p w14:paraId="700B3736" w14:textId="718A59F3" w:rsidR="00435F06" w:rsidRDefault="00530EDF" w:rsidP="00E603AF">
      <w:pPr>
        <w:pStyle w:val="Odstavecseseznamem"/>
        <w:numPr>
          <w:ilvl w:val="0"/>
          <w:numId w:val="41"/>
        </w:numPr>
        <w:ind w:left="284" w:hanging="284"/>
        <w:rPr>
          <w:rFonts w:asciiTheme="minorHAnsi" w:hAnsiTheme="minorHAnsi" w:cstheme="minorHAnsi"/>
        </w:rPr>
      </w:pPr>
      <w:r>
        <w:rPr>
          <w:rFonts w:asciiTheme="minorHAnsi" w:hAnsiTheme="minorHAnsi" w:cstheme="minorHAnsi"/>
        </w:rPr>
        <w:t xml:space="preserve">na </w:t>
      </w:r>
      <w:r w:rsidR="00435F06" w:rsidRPr="003649C7">
        <w:rPr>
          <w:rFonts w:asciiTheme="minorHAnsi" w:hAnsiTheme="minorHAnsi" w:cstheme="minorHAnsi"/>
        </w:rPr>
        <w:t xml:space="preserve">koncepční a metodickou úlohu MPO jako poskytovatele </w:t>
      </w:r>
      <w:r w:rsidR="00435F06">
        <w:rPr>
          <w:rFonts w:asciiTheme="minorHAnsi" w:hAnsiTheme="minorHAnsi" w:cstheme="minorHAnsi"/>
        </w:rPr>
        <w:t xml:space="preserve">institucionální </w:t>
      </w:r>
      <w:r w:rsidR="00435F06" w:rsidRPr="003649C7">
        <w:rPr>
          <w:rFonts w:asciiTheme="minorHAnsi" w:hAnsiTheme="minorHAnsi" w:cstheme="minorHAnsi"/>
        </w:rPr>
        <w:t>podpory</w:t>
      </w:r>
      <w:r w:rsidR="00FE631A">
        <w:rPr>
          <w:rFonts w:asciiTheme="minorHAnsi" w:hAnsiTheme="minorHAnsi" w:cstheme="minorHAnsi"/>
        </w:rPr>
        <w:t>;</w:t>
      </w:r>
      <w:r w:rsidR="00435F06" w:rsidRPr="003649C7">
        <w:rPr>
          <w:rFonts w:asciiTheme="minorHAnsi" w:hAnsiTheme="minorHAnsi" w:cstheme="minorHAnsi"/>
        </w:rPr>
        <w:t xml:space="preserve"> </w:t>
      </w:r>
    </w:p>
    <w:p w14:paraId="2180317B" w14:textId="5EF7E290" w:rsidR="00687E8D" w:rsidRDefault="00530EDF" w:rsidP="00E603AF">
      <w:pPr>
        <w:pStyle w:val="Odstavecseseznamem"/>
        <w:numPr>
          <w:ilvl w:val="0"/>
          <w:numId w:val="41"/>
        </w:numPr>
        <w:ind w:left="284" w:hanging="284"/>
        <w:rPr>
          <w:rFonts w:asciiTheme="minorHAnsi" w:hAnsiTheme="minorHAnsi" w:cstheme="minorHAnsi"/>
        </w:rPr>
      </w:pPr>
      <w:r>
        <w:rPr>
          <w:rFonts w:asciiTheme="minorHAnsi" w:hAnsiTheme="minorHAnsi" w:cstheme="minorHAnsi"/>
        </w:rPr>
        <w:t xml:space="preserve">na </w:t>
      </w:r>
      <w:r w:rsidR="00435F06" w:rsidRPr="003649C7">
        <w:rPr>
          <w:rFonts w:asciiTheme="minorHAnsi" w:hAnsiTheme="minorHAnsi" w:cstheme="minorHAnsi"/>
        </w:rPr>
        <w:t>vstupní hodnocení</w:t>
      </w:r>
      <w:r w:rsidR="00687E8D">
        <w:rPr>
          <w:rFonts w:asciiTheme="minorHAnsi" w:hAnsiTheme="minorHAnsi" w:cstheme="minorHAnsi"/>
        </w:rPr>
        <w:t>,</w:t>
      </w:r>
      <w:r w:rsidR="00CD212B">
        <w:rPr>
          <w:rFonts w:asciiTheme="minorHAnsi" w:hAnsiTheme="minorHAnsi" w:cstheme="minorHAnsi"/>
        </w:rPr>
        <w:t xml:space="preserve"> </w:t>
      </w:r>
      <w:r w:rsidR="00435F06">
        <w:rPr>
          <w:rFonts w:asciiTheme="minorHAnsi" w:hAnsiTheme="minorHAnsi" w:cstheme="minorHAnsi"/>
        </w:rPr>
        <w:t>které MPO provedlo u</w:t>
      </w:r>
      <w:r w:rsidR="00FE631A">
        <w:rPr>
          <w:rFonts w:asciiTheme="minorHAnsi" w:hAnsiTheme="minorHAnsi" w:cstheme="minorHAnsi"/>
        </w:rPr>
        <w:t xml:space="preserve"> </w:t>
      </w:r>
      <w:r w:rsidR="00435F06">
        <w:rPr>
          <w:rFonts w:asciiTheme="minorHAnsi" w:hAnsiTheme="minorHAnsi" w:cstheme="minorHAnsi"/>
        </w:rPr>
        <w:t>14 výzkumných organizací</w:t>
      </w:r>
      <w:r w:rsidR="00687E8D">
        <w:rPr>
          <w:rFonts w:asciiTheme="minorHAnsi" w:hAnsiTheme="minorHAnsi" w:cstheme="minorHAnsi"/>
        </w:rPr>
        <w:t xml:space="preserve"> v</w:t>
      </w:r>
      <w:r w:rsidR="00FE631A">
        <w:rPr>
          <w:rFonts w:asciiTheme="minorHAnsi" w:hAnsiTheme="minorHAnsi" w:cstheme="minorHAnsi"/>
        </w:rPr>
        <w:t> období let</w:t>
      </w:r>
      <w:r w:rsidR="00687E8D">
        <w:rPr>
          <w:rFonts w:asciiTheme="minorHAnsi" w:hAnsiTheme="minorHAnsi" w:cstheme="minorHAnsi"/>
        </w:rPr>
        <w:t xml:space="preserve"> 2018 a</w:t>
      </w:r>
      <w:r w:rsidR="00FE631A">
        <w:rPr>
          <w:rFonts w:asciiTheme="minorHAnsi" w:hAnsiTheme="minorHAnsi" w:cstheme="minorHAnsi"/>
        </w:rPr>
        <w:t> </w:t>
      </w:r>
      <w:r w:rsidR="00687E8D">
        <w:rPr>
          <w:rFonts w:asciiTheme="minorHAnsi" w:hAnsiTheme="minorHAnsi" w:cstheme="minorHAnsi"/>
        </w:rPr>
        <w:t>2019</w:t>
      </w:r>
      <w:r w:rsidR="00FE631A">
        <w:rPr>
          <w:rFonts w:asciiTheme="minorHAnsi" w:hAnsiTheme="minorHAnsi" w:cstheme="minorHAnsi"/>
        </w:rPr>
        <w:t>;</w:t>
      </w:r>
    </w:p>
    <w:p w14:paraId="79520A59" w14:textId="66BB86A7" w:rsidR="00435F06" w:rsidRDefault="00687E8D" w:rsidP="00E603AF">
      <w:pPr>
        <w:pStyle w:val="Odstavecseseznamem"/>
        <w:numPr>
          <w:ilvl w:val="0"/>
          <w:numId w:val="41"/>
        </w:numPr>
        <w:ind w:left="284" w:hanging="284"/>
        <w:rPr>
          <w:rFonts w:asciiTheme="minorHAnsi" w:hAnsiTheme="minorHAnsi" w:cstheme="minorHAnsi"/>
        </w:rPr>
      </w:pPr>
      <w:r>
        <w:rPr>
          <w:rFonts w:asciiTheme="minorHAnsi" w:hAnsiTheme="minorHAnsi" w:cstheme="minorHAnsi"/>
        </w:rPr>
        <w:t>na průběžná hodnocení</w:t>
      </w:r>
      <w:r>
        <w:rPr>
          <w:rFonts w:asciiTheme="minorHAnsi" w:eastAsiaTheme="minorHAnsi" w:hAnsiTheme="minorHAnsi" w:cstheme="minorHAnsi"/>
        </w:rPr>
        <w:t xml:space="preserve">, která MPO za roky </w:t>
      </w:r>
      <w:r w:rsidRPr="004714B4">
        <w:rPr>
          <w:rFonts w:asciiTheme="minorHAnsi" w:eastAsiaTheme="minorHAnsi" w:hAnsiTheme="minorHAnsi" w:cstheme="minorHAnsi"/>
        </w:rPr>
        <w:t xml:space="preserve">2018 až 2021 </w:t>
      </w:r>
      <w:r>
        <w:rPr>
          <w:rFonts w:asciiTheme="minorHAnsi" w:eastAsiaTheme="minorHAnsi" w:hAnsiTheme="minorHAnsi" w:cstheme="minorHAnsi"/>
        </w:rPr>
        <w:t xml:space="preserve">provedlo </w:t>
      </w:r>
      <w:r w:rsidRPr="004714B4">
        <w:rPr>
          <w:rFonts w:asciiTheme="minorHAnsi" w:eastAsiaTheme="minorHAnsi" w:hAnsiTheme="minorHAnsi" w:cstheme="minorHAnsi"/>
        </w:rPr>
        <w:t>v letech 2019 až</w:t>
      </w:r>
      <w:r>
        <w:rPr>
          <w:rFonts w:asciiTheme="minorHAnsi" w:eastAsiaTheme="minorHAnsi" w:hAnsiTheme="minorHAnsi" w:cstheme="minorHAnsi"/>
        </w:rPr>
        <w:t xml:space="preserve"> 2022 u podpořených výzkumných organizací</w:t>
      </w:r>
      <w:r w:rsidR="00FE631A">
        <w:rPr>
          <w:rFonts w:asciiTheme="minorHAnsi" w:hAnsiTheme="minorHAnsi" w:cstheme="minorHAnsi"/>
        </w:rPr>
        <w:t>;</w:t>
      </w:r>
    </w:p>
    <w:p w14:paraId="5B6402B9" w14:textId="6C2C38DD" w:rsidR="00435F06" w:rsidRDefault="00530EDF" w:rsidP="00E603AF">
      <w:pPr>
        <w:pStyle w:val="Odstavecseseznamem"/>
        <w:numPr>
          <w:ilvl w:val="0"/>
          <w:numId w:val="41"/>
        </w:numPr>
        <w:ind w:left="284" w:hanging="284"/>
        <w:rPr>
          <w:rFonts w:asciiTheme="minorHAnsi" w:hAnsiTheme="minorHAnsi" w:cstheme="minorHAnsi"/>
        </w:rPr>
      </w:pPr>
      <w:r>
        <w:rPr>
          <w:rFonts w:asciiTheme="minorHAnsi" w:hAnsiTheme="minorHAnsi" w:cstheme="minorHAnsi"/>
        </w:rPr>
        <w:lastRenderedPageBreak/>
        <w:t xml:space="preserve">na </w:t>
      </w:r>
      <w:r w:rsidR="00435F06">
        <w:rPr>
          <w:rFonts w:asciiTheme="minorHAnsi" w:hAnsiTheme="minorHAnsi" w:cstheme="minorHAnsi"/>
        </w:rPr>
        <w:t xml:space="preserve">nastavení </w:t>
      </w:r>
      <w:r w:rsidR="00FE631A">
        <w:rPr>
          <w:rFonts w:asciiTheme="minorHAnsi" w:hAnsiTheme="minorHAnsi" w:cstheme="minorHAnsi"/>
        </w:rPr>
        <w:t>pravidel</w:t>
      </w:r>
      <w:r w:rsidR="00435F06">
        <w:rPr>
          <w:rFonts w:asciiTheme="minorHAnsi" w:hAnsiTheme="minorHAnsi" w:cstheme="minorHAnsi"/>
        </w:rPr>
        <w:t xml:space="preserve"> </w:t>
      </w:r>
      <w:r w:rsidR="00FE631A">
        <w:rPr>
          <w:rFonts w:asciiTheme="minorHAnsi" w:hAnsiTheme="minorHAnsi" w:cstheme="minorHAnsi"/>
        </w:rPr>
        <w:t>pro realizaci</w:t>
      </w:r>
      <w:r w:rsidR="00435F06">
        <w:rPr>
          <w:rFonts w:asciiTheme="minorHAnsi" w:hAnsiTheme="minorHAnsi" w:cstheme="minorHAnsi"/>
        </w:rPr>
        <w:t xml:space="preserve"> </w:t>
      </w:r>
      <w:r w:rsidR="00435F06" w:rsidRPr="003649C7">
        <w:rPr>
          <w:rFonts w:asciiTheme="minorHAnsi" w:hAnsiTheme="minorHAnsi" w:cstheme="minorHAnsi"/>
        </w:rPr>
        <w:t>závěrečného hodnocení</w:t>
      </w:r>
      <w:r w:rsidR="00FE631A">
        <w:rPr>
          <w:rFonts w:asciiTheme="minorHAnsi" w:hAnsiTheme="minorHAnsi" w:cstheme="minorHAnsi"/>
        </w:rPr>
        <w:t>, které má MPO</w:t>
      </w:r>
      <w:r w:rsidR="00435F06" w:rsidRPr="003649C7">
        <w:rPr>
          <w:rFonts w:asciiTheme="minorHAnsi" w:hAnsiTheme="minorHAnsi" w:cstheme="minorHAnsi"/>
        </w:rPr>
        <w:t xml:space="preserve"> </w:t>
      </w:r>
      <w:r w:rsidR="00FE631A">
        <w:rPr>
          <w:rFonts w:asciiTheme="minorHAnsi" w:hAnsiTheme="minorHAnsi" w:cstheme="minorHAnsi"/>
        </w:rPr>
        <w:t xml:space="preserve">provést </w:t>
      </w:r>
      <w:r w:rsidR="00E603AF">
        <w:rPr>
          <w:rFonts w:asciiTheme="minorHAnsi" w:hAnsiTheme="minorHAnsi" w:cstheme="minorHAnsi"/>
        </w:rPr>
        <w:t>u</w:t>
      </w:r>
      <w:r w:rsidR="00FE631A">
        <w:rPr>
          <w:rFonts w:asciiTheme="minorHAnsi" w:hAnsiTheme="minorHAnsi" w:cstheme="minorHAnsi"/>
        </w:rPr>
        <w:t> </w:t>
      </w:r>
      <w:r w:rsidR="00435F06" w:rsidRPr="003649C7">
        <w:rPr>
          <w:rFonts w:asciiTheme="minorHAnsi" w:hAnsiTheme="minorHAnsi" w:cstheme="minorHAnsi"/>
        </w:rPr>
        <w:t>podpořených výzkumných organizací</w:t>
      </w:r>
      <w:r w:rsidR="00FE631A" w:rsidRPr="00FE631A">
        <w:rPr>
          <w:rFonts w:asciiTheme="minorHAnsi" w:hAnsiTheme="minorHAnsi" w:cstheme="minorHAnsi"/>
        </w:rPr>
        <w:t xml:space="preserve"> </w:t>
      </w:r>
      <w:r w:rsidR="00FE631A">
        <w:rPr>
          <w:rFonts w:asciiTheme="minorHAnsi" w:hAnsiTheme="minorHAnsi" w:cstheme="minorHAnsi"/>
        </w:rPr>
        <w:t>v roce 2023;</w:t>
      </w:r>
    </w:p>
    <w:p w14:paraId="729F6478" w14:textId="24F6A0C5" w:rsidR="00460875" w:rsidRPr="008F21F6" w:rsidRDefault="00530EDF" w:rsidP="00EE708A">
      <w:pPr>
        <w:pStyle w:val="Odstavecseseznamem"/>
        <w:numPr>
          <w:ilvl w:val="0"/>
          <w:numId w:val="41"/>
        </w:numPr>
        <w:ind w:left="284" w:hanging="284"/>
        <w:rPr>
          <w:b/>
          <w:color w:val="auto"/>
        </w:rPr>
      </w:pPr>
      <w:r w:rsidRPr="008F21F6">
        <w:rPr>
          <w:rFonts w:asciiTheme="minorHAnsi" w:hAnsiTheme="minorHAnsi" w:cstheme="minorHAnsi"/>
        </w:rPr>
        <w:t>na s</w:t>
      </w:r>
      <w:r w:rsidR="00435F06" w:rsidRPr="008F21F6">
        <w:rPr>
          <w:rFonts w:asciiTheme="minorHAnsi" w:hAnsiTheme="minorHAnsi" w:cstheme="minorHAnsi"/>
        </w:rPr>
        <w:t xml:space="preserve">tanovení podmínek užití institucionální podpory a kontrolu </w:t>
      </w:r>
      <w:r w:rsidR="008F21F6" w:rsidRPr="008F21F6">
        <w:rPr>
          <w:rFonts w:asciiTheme="minorHAnsi" w:hAnsiTheme="minorHAnsi" w:cstheme="minorHAnsi"/>
        </w:rPr>
        <w:t xml:space="preserve">jejich </w:t>
      </w:r>
      <w:r w:rsidR="00435F06" w:rsidRPr="008F21F6">
        <w:rPr>
          <w:rFonts w:asciiTheme="minorHAnsi" w:hAnsiTheme="minorHAnsi" w:cstheme="minorHAnsi"/>
        </w:rPr>
        <w:t>dodržování</w:t>
      </w:r>
      <w:r w:rsidR="008F21F6">
        <w:rPr>
          <w:rFonts w:asciiTheme="minorHAnsi" w:hAnsiTheme="minorHAnsi" w:cstheme="minorHAnsi"/>
        </w:rPr>
        <w:t>.</w:t>
      </w:r>
    </w:p>
    <w:p w14:paraId="24825F90" w14:textId="77777777" w:rsidR="008F21F6" w:rsidRPr="008F21F6" w:rsidRDefault="008F21F6" w:rsidP="008F21F6">
      <w:pPr>
        <w:pStyle w:val="Odstavecseseznamem"/>
        <w:ind w:left="284"/>
        <w:rPr>
          <w:b/>
          <w:color w:val="auto"/>
        </w:rPr>
      </w:pPr>
    </w:p>
    <w:p w14:paraId="447750C0" w14:textId="1D5B8FEC" w:rsidR="00435F06" w:rsidRDefault="00435F06" w:rsidP="003639C6">
      <w:pPr>
        <w:rPr>
          <w:b/>
          <w:color w:val="auto"/>
        </w:rPr>
      </w:pPr>
      <w:r w:rsidRPr="00847938">
        <w:rPr>
          <w:b/>
          <w:color w:val="auto"/>
        </w:rPr>
        <w:t>U vybraných výzkumných organizací se kontrola zaměřila:</w:t>
      </w:r>
    </w:p>
    <w:p w14:paraId="0AD9053F" w14:textId="05A052F6" w:rsidR="00796F2D" w:rsidRDefault="00796F2D" w:rsidP="00530EDF">
      <w:pPr>
        <w:pStyle w:val="Odstavecseseznamem"/>
        <w:numPr>
          <w:ilvl w:val="0"/>
          <w:numId w:val="46"/>
        </w:numPr>
        <w:ind w:left="284" w:hanging="284"/>
        <w:rPr>
          <w:color w:val="auto"/>
        </w:rPr>
      </w:pPr>
      <w:r>
        <w:rPr>
          <w:color w:val="auto"/>
        </w:rPr>
        <w:t>na použití poskytnuté institucionální podpory v</w:t>
      </w:r>
      <w:r w:rsidR="00FE631A">
        <w:rPr>
          <w:color w:val="auto"/>
        </w:rPr>
        <w:t xml:space="preserve"> </w:t>
      </w:r>
      <w:r>
        <w:rPr>
          <w:color w:val="auto"/>
        </w:rPr>
        <w:t>souladu s</w:t>
      </w:r>
      <w:r w:rsidR="00FE631A">
        <w:rPr>
          <w:color w:val="auto"/>
        </w:rPr>
        <w:t xml:space="preserve"> </w:t>
      </w:r>
      <w:r>
        <w:rPr>
          <w:color w:val="auto"/>
        </w:rPr>
        <w:t>cíli definovanými v dlouhodobých koncepcích rozvoje výzkumných organizací</w:t>
      </w:r>
      <w:r w:rsidR="00FE631A">
        <w:rPr>
          <w:color w:val="auto"/>
        </w:rPr>
        <w:t>;</w:t>
      </w:r>
    </w:p>
    <w:p w14:paraId="2D756A4E" w14:textId="729B56DE" w:rsidR="00796F2D" w:rsidRDefault="00796F2D" w:rsidP="00530EDF">
      <w:pPr>
        <w:pStyle w:val="Odstavecseseznamem"/>
        <w:numPr>
          <w:ilvl w:val="0"/>
          <w:numId w:val="46"/>
        </w:numPr>
        <w:ind w:left="284" w:hanging="284"/>
        <w:rPr>
          <w:color w:val="auto"/>
        </w:rPr>
      </w:pPr>
      <w:r>
        <w:rPr>
          <w:color w:val="auto"/>
        </w:rPr>
        <w:t>na</w:t>
      </w:r>
      <w:r w:rsidR="00A05E1A">
        <w:rPr>
          <w:color w:val="auto"/>
        </w:rPr>
        <w:t xml:space="preserve"> způsob stanovení a</w:t>
      </w:r>
      <w:r>
        <w:rPr>
          <w:color w:val="auto"/>
        </w:rPr>
        <w:t xml:space="preserve"> vykazování způsobilých nákladů nebo výdajů</w:t>
      </w:r>
      <w:r w:rsidR="00FE631A">
        <w:rPr>
          <w:color w:val="auto"/>
        </w:rPr>
        <w:t>;</w:t>
      </w:r>
    </w:p>
    <w:p w14:paraId="246933C8" w14:textId="2E746C57" w:rsidR="00E36530" w:rsidRPr="006B5AD1" w:rsidRDefault="00E36530" w:rsidP="00530EDF">
      <w:pPr>
        <w:pStyle w:val="Odstavecseseznamem"/>
        <w:numPr>
          <w:ilvl w:val="0"/>
          <w:numId w:val="46"/>
        </w:numPr>
        <w:ind w:left="284" w:hanging="284"/>
        <w:rPr>
          <w:color w:val="auto"/>
        </w:rPr>
      </w:pPr>
      <w:r w:rsidRPr="006B5AD1">
        <w:rPr>
          <w:color w:val="auto"/>
        </w:rPr>
        <w:t>na ověření neduplicitního financování osobních nákladů z</w:t>
      </w:r>
      <w:r w:rsidR="00FE631A">
        <w:rPr>
          <w:color w:val="auto"/>
        </w:rPr>
        <w:t xml:space="preserve"> </w:t>
      </w:r>
      <w:r w:rsidRPr="006B5AD1">
        <w:rPr>
          <w:color w:val="auto"/>
        </w:rPr>
        <w:t>institucionální a účelové podpory u vzorku vybraných pracovníků</w:t>
      </w:r>
      <w:r w:rsidR="00FE631A">
        <w:rPr>
          <w:color w:val="auto"/>
        </w:rPr>
        <w:t>;</w:t>
      </w:r>
    </w:p>
    <w:p w14:paraId="05A682B4" w14:textId="436D06F1" w:rsidR="00ED0443" w:rsidRDefault="00530EDF" w:rsidP="00530EDF">
      <w:pPr>
        <w:pStyle w:val="Odstavecseseznamem"/>
        <w:numPr>
          <w:ilvl w:val="0"/>
          <w:numId w:val="46"/>
        </w:numPr>
        <w:ind w:left="284" w:hanging="284"/>
        <w:rPr>
          <w:color w:val="auto"/>
        </w:rPr>
      </w:pPr>
      <w:r>
        <w:rPr>
          <w:color w:val="auto"/>
        </w:rPr>
        <w:t xml:space="preserve">na </w:t>
      </w:r>
      <w:r w:rsidR="00ED0443">
        <w:rPr>
          <w:color w:val="auto"/>
        </w:rPr>
        <w:t xml:space="preserve">pořizování a </w:t>
      </w:r>
      <w:r>
        <w:rPr>
          <w:color w:val="auto"/>
        </w:rPr>
        <w:t xml:space="preserve">vlastnictví majetku </w:t>
      </w:r>
      <w:r w:rsidR="00ED0443">
        <w:rPr>
          <w:color w:val="auto"/>
        </w:rPr>
        <w:t>financovaného</w:t>
      </w:r>
      <w:r>
        <w:rPr>
          <w:color w:val="auto"/>
        </w:rPr>
        <w:t xml:space="preserve"> z institucionální podpory u</w:t>
      </w:r>
      <w:r w:rsidR="006115CB">
        <w:rPr>
          <w:color w:val="auto"/>
        </w:rPr>
        <w:t> </w:t>
      </w:r>
      <w:r w:rsidR="005549D4">
        <w:rPr>
          <w:color w:val="auto"/>
        </w:rPr>
        <w:t xml:space="preserve">vybraného </w:t>
      </w:r>
      <w:r>
        <w:rPr>
          <w:color w:val="auto"/>
        </w:rPr>
        <w:t>vzorku</w:t>
      </w:r>
      <w:r w:rsidR="00FE631A">
        <w:rPr>
          <w:color w:val="auto"/>
        </w:rPr>
        <w:t>;</w:t>
      </w:r>
    </w:p>
    <w:p w14:paraId="76C0E45D" w14:textId="2AD62523" w:rsidR="00530EDF" w:rsidRDefault="00ED0443" w:rsidP="00530EDF">
      <w:pPr>
        <w:pStyle w:val="Odstavecseseznamem"/>
        <w:numPr>
          <w:ilvl w:val="0"/>
          <w:numId w:val="46"/>
        </w:numPr>
        <w:ind w:left="284" w:hanging="284"/>
        <w:rPr>
          <w:color w:val="auto"/>
        </w:rPr>
      </w:pPr>
      <w:r w:rsidRPr="006B5AD1">
        <w:rPr>
          <w:color w:val="auto"/>
        </w:rPr>
        <w:t>na splnění definice výsledků</w:t>
      </w:r>
      <w:r w:rsidR="006B5AD1" w:rsidRPr="006B5AD1">
        <w:rPr>
          <w:color w:val="auto"/>
        </w:rPr>
        <w:t xml:space="preserve"> stanovených v samostatné příloze č. 4 Metodiky 2017</w:t>
      </w:r>
      <w:r w:rsidR="006B5AD1" w:rsidRPr="00C6334F">
        <w:rPr>
          <w:color w:val="auto"/>
        </w:rPr>
        <w:t>+</w:t>
      </w:r>
      <w:r w:rsidR="006B5AD1">
        <w:rPr>
          <w:color w:val="auto"/>
        </w:rPr>
        <w:t xml:space="preserve"> </w:t>
      </w:r>
      <w:r>
        <w:rPr>
          <w:color w:val="auto"/>
        </w:rPr>
        <w:t>a</w:t>
      </w:r>
      <w:r w:rsidR="004E34E9">
        <w:rPr>
          <w:color w:val="auto"/>
        </w:rPr>
        <w:t> </w:t>
      </w:r>
      <w:r>
        <w:rPr>
          <w:color w:val="auto"/>
        </w:rPr>
        <w:t>na</w:t>
      </w:r>
      <w:r w:rsidR="00C012B2">
        <w:rPr>
          <w:color w:val="auto"/>
        </w:rPr>
        <w:t xml:space="preserve"> </w:t>
      </w:r>
      <w:r w:rsidR="00530EDF">
        <w:rPr>
          <w:color w:val="auto"/>
        </w:rPr>
        <w:t>vlastnictví práv k výsledkům dosaženým s institucionální podporou</w:t>
      </w:r>
      <w:r w:rsidR="00FF15CE">
        <w:rPr>
          <w:color w:val="auto"/>
        </w:rPr>
        <w:t xml:space="preserve"> u </w:t>
      </w:r>
      <w:r w:rsidR="00A70CEE">
        <w:rPr>
          <w:color w:val="auto"/>
        </w:rPr>
        <w:t>vybraného vzorku</w:t>
      </w:r>
      <w:r w:rsidR="00FE631A">
        <w:rPr>
          <w:color w:val="auto"/>
        </w:rPr>
        <w:t>;</w:t>
      </w:r>
    </w:p>
    <w:p w14:paraId="0173C893" w14:textId="745B7685" w:rsidR="00530EDF" w:rsidRDefault="00530EDF" w:rsidP="00530EDF">
      <w:pPr>
        <w:pStyle w:val="Odstavecseseznamem"/>
        <w:numPr>
          <w:ilvl w:val="0"/>
          <w:numId w:val="46"/>
        </w:numPr>
        <w:ind w:left="284" w:hanging="284"/>
        <w:rPr>
          <w:color w:val="auto"/>
        </w:rPr>
      </w:pPr>
      <w:r>
        <w:rPr>
          <w:color w:val="auto"/>
        </w:rPr>
        <w:t>na splnění povinnosti předkládat MPO průběžné zprávy o plnění dlouhodobé koncepce rozvoje výzkumné organizace a na splnění povinnosti předložit MPO závěrečnou zprávu o</w:t>
      </w:r>
      <w:r w:rsidR="00ED0443">
        <w:rPr>
          <w:color w:val="auto"/>
        </w:rPr>
        <w:t> </w:t>
      </w:r>
      <w:r>
        <w:rPr>
          <w:color w:val="auto"/>
        </w:rPr>
        <w:t>plnění dlouhodobé koncepce rozvoje výzkumné organizace</w:t>
      </w:r>
      <w:r w:rsidR="00FE631A">
        <w:rPr>
          <w:color w:val="auto"/>
        </w:rPr>
        <w:t>;</w:t>
      </w:r>
    </w:p>
    <w:p w14:paraId="41BE08B6" w14:textId="73DEBF1B" w:rsidR="00530EDF" w:rsidRDefault="00530EDF" w:rsidP="00530EDF">
      <w:pPr>
        <w:pStyle w:val="Odstavecseseznamem"/>
        <w:numPr>
          <w:ilvl w:val="0"/>
          <w:numId w:val="46"/>
        </w:numPr>
        <w:ind w:left="284" w:hanging="284"/>
        <w:rPr>
          <w:color w:val="auto"/>
        </w:rPr>
      </w:pPr>
      <w:r w:rsidRPr="00530EDF">
        <w:rPr>
          <w:color w:val="auto"/>
        </w:rPr>
        <w:t xml:space="preserve">na splnění povinnosti poskytovat údaje o dosažených výsledcích do </w:t>
      </w:r>
      <w:r w:rsidRPr="00C6334F">
        <w:rPr>
          <w:i/>
          <w:color w:val="auto"/>
        </w:rPr>
        <w:t>Informačního systému výzkumu, vývoje a inovací</w:t>
      </w:r>
      <w:r w:rsidRPr="00530EDF">
        <w:rPr>
          <w:color w:val="auto"/>
        </w:rPr>
        <w:t xml:space="preserve"> </w:t>
      </w:r>
      <w:r w:rsidR="005549D4">
        <w:rPr>
          <w:color w:val="auto"/>
        </w:rPr>
        <w:t>(</w:t>
      </w:r>
      <w:r w:rsidRPr="00530EDF">
        <w:rPr>
          <w:color w:val="auto"/>
        </w:rPr>
        <w:t xml:space="preserve">IS </w:t>
      </w:r>
      <w:proofErr w:type="spellStart"/>
      <w:r w:rsidRPr="00530EDF">
        <w:rPr>
          <w:color w:val="auto"/>
        </w:rPr>
        <w:t>VaVaI</w:t>
      </w:r>
      <w:proofErr w:type="spellEnd"/>
      <w:r w:rsidR="005549D4">
        <w:rPr>
          <w:color w:val="auto"/>
        </w:rPr>
        <w:t>)</w:t>
      </w:r>
      <w:r w:rsidR="00FE631A">
        <w:rPr>
          <w:color w:val="auto"/>
        </w:rPr>
        <w:t>;</w:t>
      </w:r>
    </w:p>
    <w:p w14:paraId="37362EA1" w14:textId="43565323" w:rsidR="00847938" w:rsidRDefault="00847938" w:rsidP="00530EDF">
      <w:pPr>
        <w:pStyle w:val="Odstavecseseznamem"/>
        <w:numPr>
          <w:ilvl w:val="0"/>
          <w:numId w:val="46"/>
        </w:numPr>
        <w:ind w:left="284" w:hanging="284"/>
        <w:rPr>
          <w:color w:val="auto"/>
        </w:rPr>
      </w:pPr>
      <w:r>
        <w:rPr>
          <w:color w:val="auto"/>
        </w:rPr>
        <w:t xml:space="preserve">na plnění podmínek </w:t>
      </w:r>
      <w:r w:rsidRPr="00C6334F">
        <w:rPr>
          <w:i/>
          <w:color w:val="auto"/>
        </w:rPr>
        <w:t xml:space="preserve">Rámce </w:t>
      </w:r>
      <w:r w:rsidRPr="00C6334F">
        <w:rPr>
          <w:i/>
          <w:lang w:eastAsia="cs-CZ"/>
        </w:rPr>
        <w:t>pro státní podporu výzkumu, vývoje a inovací</w:t>
      </w:r>
      <w:r w:rsidR="00FE631A">
        <w:rPr>
          <w:lang w:eastAsia="cs-CZ"/>
        </w:rPr>
        <w:t>;</w:t>
      </w:r>
    </w:p>
    <w:p w14:paraId="092F1DF3" w14:textId="61C047F2" w:rsidR="00847938" w:rsidRPr="00530EDF" w:rsidRDefault="00847938" w:rsidP="00530EDF">
      <w:pPr>
        <w:pStyle w:val="Odstavecseseznamem"/>
        <w:numPr>
          <w:ilvl w:val="0"/>
          <w:numId w:val="46"/>
        </w:numPr>
        <w:ind w:left="284" w:hanging="284"/>
        <w:rPr>
          <w:color w:val="auto"/>
        </w:rPr>
      </w:pPr>
      <w:r>
        <w:rPr>
          <w:color w:val="auto"/>
        </w:rPr>
        <w:t>na vykazování příjmů z transferu znalostí</w:t>
      </w:r>
      <w:r w:rsidR="00FE631A">
        <w:rPr>
          <w:color w:val="auto"/>
        </w:rPr>
        <w:t>;</w:t>
      </w:r>
    </w:p>
    <w:p w14:paraId="0591EAD1" w14:textId="2894EDC6" w:rsidR="00573E61" w:rsidRPr="00530EDF" w:rsidRDefault="00530EDF" w:rsidP="00FC3BF4">
      <w:pPr>
        <w:pStyle w:val="Odstavecseseznamem"/>
        <w:numPr>
          <w:ilvl w:val="0"/>
          <w:numId w:val="46"/>
        </w:numPr>
        <w:ind w:left="284" w:hanging="284"/>
        <w:rPr>
          <w:color w:val="auto"/>
        </w:rPr>
      </w:pPr>
      <w:r>
        <w:rPr>
          <w:color w:val="auto"/>
        </w:rPr>
        <w:t>na vedení odděl</w:t>
      </w:r>
      <w:r w:rsidR="00ED0443">
        <w:rPr>
          <w:color w:val="auto"/>
        </w:rPr>
        <w:t>ené</w:t>
      </w:r>
      <w:r>
        <w:rPr>
          <w:color w:val="auto"/>
        </w:rPr>
        <w:t xml:space="preserve"> účetní evidence a každoroční finanční vyúčtování poskytnuté institucionální podpory a případné vrácení nepoužité institucionální podpory </w:t>
      </w:r>
      <w:r w:rsidR="00FE631A" w:rsidRPr="004E5927">
        <w:rPr>
          <w:rFonts w:asciiTheme="minorHAnsi" w:hAnsiTheme="minorHAnsi" w:cstheme="minorHAnsi"/>
        </w:rPr>
        <w:t>Ministerstv</w:t>
      </w:r>
      <w:r w:rsidR="00FE631A">
        <w:rPr>
          <w:rFonts w:asciiTheme="minorHAnsi" w:hAnsiTheme="minorHAnsi" w:cstheme="minorHAnsi"/>
        </w:rPr>
        <w:t>u</w:t>
      </w:r>
      <w:r w:rsidR="00FE631A" w:rsidRPr="004E5927">
        <w:rPr>
          <w:rFonts w:asciiTheme="minorHAnsi" w:hAnsiTheme="minorHAnsi" w:cstheme="minorHAnsi"/>
        </w:rPr>
        <w:t xml:space="preserve"> průmyslu a obchodu</w:t>
      </w:r>
      <w:r>
        <w:rPr>
          <w:color w:val="auto"/>
        </w:rPr>
        <w:t>.</w:t>
      </w:r>
    </w:p>
    <w:p w14:paraId="216732F3" w14:textId="77777777" w:rsidR="00E70B16" w:rsidRDefault="00E70B16" w:rsidP="006D6C44">
      <w:pPr>
        <w:rPr>
          <w:rFonts w:asciiTheme="minorHAnsi" w:hAnsiTheme="minorHAnsi" w:cstheme="minorHAnsi"/>
          <w:b/>
          <w:sz w:val="20"/>
          <w:szCs w:val="20"/>
        </w:rPr>
      </w:pPr>
    </w:p>
    <w:p w14:paraId="03612DB0" w14:textId="77777777" w:rsidR="00E70B16" w:rsidRDefault="00E70B16" w:rsidP="006D6C44">
      <w:pPr>
        <w:rPr>
          <w:rFonts w:asciiTheme="minorHAnsi" w:hAnsiTheme="minorHAnsi" w:cstheme="minorHAnsi"/>
          <w:b/>
          <w:sz w:val="20"/>
          <w:szCs w:val="20"/>
        </w:rPr>
      </w:pPr>
    </w:p>
    <w:p w14:paraId="6CD6CA9A" w14:textId="4FEF6FB4" w:rsidR="00A05E1A" w:rsidRDefault="009B3CB1" w:rsidP="00946D22">
      <w:pPr>
        <w:ind w:left="567" w:hanging="567"/>
        <w:rPr>
          <w:rFonts w:asciiTheme="minorHAnsi" w:hAnsiTheme="minorHAnsi" w:cstheme="minorHAnsi"/>
          <w:sz w:val="20"/>
          <w:szCs w:val="20"/>
        </w:rPr>
      </w:pPr>
      <w:r w:rsidRPr="00DC5FA5">
        <w:rPr>
          <w:rFonts w:asciiTheme="minorHAnsi" w:hAnsiTheme="minorHAnsi" w:cstheme="minorHAnsi"/>
          <w:b/>
          <w:sz w:val="20"/>
          <w:szCs w:val="20"/>
        </w:rPr>
        <w:t>Pozn.:</w:t>
      </w:r>
      <w:r>
        <w:rPr>
          <w:rFonts w:asciiTheme="minorHAnsi" w:hAnsiTheme="minorHAnsi" w:cstheme="minorHAnsi"/>
          <w:sz w:val="20"/>
          <w:szCs w:val="20"/>
        </w:rPr>
        <w:t xml:space="preserve"> </w:t>
      </w:r>
      <w:r w:rsidR="0044705E">
        <w:rPr>
          <w:rFonts w:asciiTheme="minorHAnsi" w:hAnsiTheme="minorHAnsi" w:cstheme="minorHAnsi"/>
          <w:sz w:val="20"/>
          <w:szCs w:val="20"/>
        </w:rPr>
        <w:tab/>
      </w:r>
      <w:r w:rsidRPr="00DC5FA5">
        <w:rPr>
          <w:rFonts w:asciiTheme="minorHAnsi" w:hAnsiTheme="minorHAnsi" w:cstheme="minorHAnsi"/>
          <w:sz w:val="20"/>
          <w:szCs w:val="20"/>
        </w:rPr>
        <w:t xml:space="preserve">Právní předpisy uvedené v tomto kontrolním </w:t>
      </w:r>
      <w:r w:rsidR="002206D0">
        <w:rPr>
          <w:rFonts w:asciiTheme="minorHAnsi" w:hAnsiTheme="minorHAnsi" w:cstheme="minorHAnsi"/>
          <w:sz w:val="20"/>
          <w:szCs w:val="20"/>
        </w:rPr>
        <w:t>závěru</w:t>
      </w:r>
      <w:r w:rsidRPr="00DC5FA5">
        <w:rPr>
          <w:rFonts w:asciiTheme="minorHAnsi" w:hAnsiTheme="minorHAnsi" w:cstheme="minorHAnsi"/>
          <w:sz w:val="20"/>
          <w:szCs w:val="20"/>
        </w:rPr>
        <w:t xml:space="preserve"> jsou aplikovány ve z</w:t>
      </w:r>
      <w:r>
        <w:rPr>
          <w:rFonts w:asciiTheme="minorHAnsi" w:hAnsiTheme="minorHAnsi" w:cstheme="minorHAnsi"/>
          <w:sz w:val="20"/>
          <w:szCs w:val="20"/>
        </w:rPr>
        <w:t>nění účinném pro</w:t>
      </w:r>
      <w:r w:rsidR="004D3B5F">
        <w:rPr>
          <w:rFonts w:asciiTheme="minorHAnsi" w:hAnsiTheme="minorHAnsi" w:cstheme="minorHAnsi"/>
          <w:sz w:val="20"/>
          <w:szCs w:val="20"/>
        </w:rPr>
        <w:t> </w:t>
      </w:r>
      <w:r w:rsidRPr="00DC5FA5">
        <w:rPr>
          <w:rFonts w:asciiTheme="minorHAnsi" w:hAnsiTheme="minorHAnsi" w:cstheme="minorHAnsi"/>
          <w:sz w:val="20"/>
          <w:szCs w:val="20"/>
        </w:rPr>
        <w:t>kontrolované období.</w:t>
      </w:r>
    </w:p>
    <w:p w14:paraId="2EF5789D" w14:textId="77777777" w:rsidR="003A0474" w:rsidRPr="00C6334F" w:rsidRDefault="003A0474" w:rsidP="00E70B16">
      <w:pPr>
        <w:rPr>
          <w:rFonts w:asciiTheme="minorHAnsi" w:hAnsiTheme="minorHAnsi" w:cstheme="minorHAnsi"/>
        </w:rPr>
      </w:pPr>
    </w:p>
    <w:p w14:paraId="40F0F078" w14:textId="77777777" w:rsidR="00F21EAA" w:rsidRPr="00C6334F" w:rsidRDefault="00F21EAA" w:rsidP="00E70B16">
      <w:pPr>
        <w:rPr>
          <w:rFonts w:asciiTheme="minorHAnsi" w:hAnsiTheme="minorHAnsi" w:cstheme="minorHAnsi"/>
        </w:rPr>
      </w:pPr>
    </w:p>
    <w:p w14:paraId="1AB8348E" w14:textId="788A9DFD" w:rsidR="00900533" w:rsidRPr="006115CB" w:rsidRDefault="00AB3724" w:rsidP="00C6334F">
      <w:pPr>
        <w:pStyle w:val="Nadpis1"/>
        <w:spacing w:before="120"/>
        <w:rPr>
          <w:sz w:val="28"/>
          <w:szCs w:val="28"/>
        </w:rPr>
      </w:pPr>
      <w:r w:rsidRPr="00AB3724">
        <w:rPr>
          <w:sz w:val="28"/>
          <w:szCs w:val="28"/>
        </w:rPr>
        <w:t>IV. Podrobné skutečnosti zjištěné kontrolou</w:t>
      </w:r>
    </w:p>
    <w:p w14:paraId="18DD6DA8" w14:textId="0D831759" w:rsidR="00A32FD2" w:rsidRPr="00967870" w:rsidRDefault="000402A6" w:rsidP="00A32FD2">
      <w:pPr>
        <w:pStyle w:val="Nadpis2"/>
      </w:pPr>
      <w:r w:rsidRPr="00967870">
        <w:t xml:space="preserve">Absence </w:t>
      </w:r>
      <w:r w:rsidR="00EA61CB" w:rsidRPr="00967870">
        <w:t>cílů a očekávaných přínosů</w:t>
      </w:r>
      <w:r w:rsidR="00453684" w:rsidRPr="00967870">
        <w:t xml:space="preserve"> podpory</w:t>
      </w:r>
    </w:p>
    <w:p w14:paraId="1FE34B73" w14:textId="626CB780" w:rsidR="00ED0443" w:rsidRDefault="00ED0443" w:rsidP="00ED0443">
      <w:pPr>
        <w:rPr>
          <w:lang w:eastAsia="cs-CZ"/>
        </w:rPr>
      </w:pPr>
      <w:bookmarkStart w:id="5" w:name="_Hlk120259636"/>
      <w:r>
        <w:rPr>
          <w:lang w:eastAsia="cs-CZ"/>
        </w:rPr>
        <w:t xml:space="preserve">Dle zákona </w:t>
      </w:r>
      <w:r w:rsidR="00A23639" w:rsidRPr="00A23639">
        <w:rPr>
          <w:rFonts w:asciiTheme="minorHAnsi" w:hAnsiTheme="minorHAnsi" w:cstheme="minorHAnsi"/>
        </w:rPr>
        <w:t>o podpoře výzkumu, experimentálního vývoje a</w:t>
      </w:r>
      <w:r w:rsidR="00FE631A">
        <w:rPr>
          <w:rFonts w:asciiTheme="minorHAnsi" w:hAnsiTheme="minorHAnsi" w:cstheme="minorHAnsi"/>
        </w:rPr>
        <w:t xml:space="preserve"> </w:t>
      </w:r>
      <w:r w:rsidR="00A23639" w:rsidRPr="00A23639">
        <w:rPr>
          <w:rFonts w:asciiTheme="minorHAnsi" w:hAnsiTheme="minorHAnsi" w:cstheme="minorHAnsi"/>
        </w:rPr>
        <w:t>inovací</w:t>
      </w:r>
      <w:r w:rsidR="00A23639">
        <w:rPr>
          <w:lang w:eastAsia="cs-CZ"/>
        </w:rPr>
        <w:t xml:space="preserve"> </w:t>
      </w:r>
      <w:r>
        <w:rPr>
          <w:lang w:eastAsia="cs-CZ"/>
        </w:rPr>
        <w:t>jsou ústřední a jiné správní úřady, které jsou oprávněny poskytovat podporu na</w:t>
      </w:r>
      <w:r w:rsidR="00FE631A">
        <w:rPr>
          <w:lang w:eastAsia="cs-CZ"/>
        </w:rPr>
        <w:t xml:space="preserve"> </w:t>
      </w:r>
      <w:r>
        <w:rPr>
          <w:lang w:eastAsia="cs-CZ"/>
        </w:rPr>
        <w:t>výzkum a vývoj ze své rozpočtové kapitoly</w:t>
      </w:r>
      <w:r w:rsidR="00CD212B">
        <w:rPr>
          <w:lang w:eastAsia="cs-CZ"/>
        </w:rPr>
        <w:t>,</w:t>
      </w:r>
      <w:r>
        <w:rPr>
          <w:lang w:eastAsia="cs-CZ"/>
        </w:rPr>
        <w:t xml:space="preserve"> </w:t>
      </w:r>
      <w:r w:rsidRPr="00876BE1">
        <w:rPr>
          <w:b/>
          <w:lang w:eastAsia="cs-CZ"/>
        </w:rPr>
        <w:t>odpovědné za přípravu koncepcí výzkumu, vývoje a inovací a jejich realizaci</w:t>
      </w:r>
      <w:r>
        <w:rPr>
          <w:lang w:eastAsia="cs-CZ"/>
        </w:rPr>
        <w:t xml:space="preserve">. Kontrolní akce NKÚ č. 17/15 </w:t>
      </w:r>
      <w:r w:rsidR="00053114">
        <w:rPr>
          <w:lang w:eastAsia="cs-CZ"/>
        </w:rPr>
        <w:t xml:space="preserve">– </w:t>
      </w:r>
      <w:r w:rsidRPr="00C6334F">
        <w:rPr>
          <w:i/>
          <w:lang w:eastAsia="cs-CZ"/>
        </w:rPr>
        <w:t>Peněžní prostředky státu na</w:t>
      </w:r>
      <w:r w:rsidR="00FE631A" w:rsidRPr="00C6334F">
        <w:rPr>
          <w:i/>
          <w:lang w:eastAsia="cs-CZ"/>
        </w:rPr>
        <w:t xml:space="preserve"> </w:t>
      </w:r>
      <w:r w:rsidRPr="00C6334F">
        <w:rPr>
          <w:i/>
          <w:lang w:eastAsia="cs-CZ"/>
        </w:rPr>
        <w:t>výzkum, vývoj a inovace</w:t>
      </w:r>
      <w:r>
        <w:rPr>
          <w:lang w:eastAsia="cs-CZ"/>
        </w:rPr>
        <w:t xml:space="preserve"> upozornila mimo jiné na</w:t>
      </w:r>
      <w:r w:rsidR="00FE631A">
        <w:rPr>
          <w:lang w:eastAsia="cs-CZ"/>
        </w:rPr>
        <w:t xml:space="preserve"> </w:t>
      </w:r>
      <w:r>
        <w:rPr>
          <w:lang w:eastAsia="cs-CZ"/>
        </w:rPr>
        <w:t>skutečnost, že MPO na rozdíl od</w:t>
      </w:r>
      <w:r w:rsidR="00846E03">
        <w:rPr>
          <w:lang w:eastAsia="cs-CZ"/>
        </w:rPr>
        <w:t xml:space="preserve"> </w:t>
      </w:r>
      <w:r>
        <w:rPr>
          <w:lang w:eastAsia="cs-CZ"/>
        </w:rPr>
        <w:t>ostatních poskytovatelů účelové a</w:t>
      </w:r>
      <w:r w:rsidR="00053114">
        <w:rPr>
          <w:lang w:eastAsia="cs-CZ"/>
        </w:rPr>
        <w:t> </w:t>
      </w:r>
      <w:r>
        <w:rPr>
          <w:lang w:eastAsia="cs-CZ"/>
        </w:rPr>
        <w:t xml:space="preserve">institucionální podpory </w:t>
      </w:r>
      <w:r w:rsidRPr="006115CB">
        <w:rPr>
          <w:lang w:eastAsia="cs-CZ"/>
        </w:rPr>
        <w:t>nemělo zpracovanou žádnou dlouhodobou koncepci v</w:t>
      </w:r>
      <w:r w:rsidR="00053114">
        <w:rPr>
          <w:lang w:eastAsia="cs-CZ"/>
        </w:rPr>
        <w:t xml:space="preserve"> </w:t>
      </w:r>
      <w:r w:rsidRPr="006115CB">
        <w:rPr>
          <w:lang w:eastAsia="cs-CZ"/>
        </w:rPr>
        <w:t>oblasti výzkumu, vývoje a</w:t>
      </w:r>
      <w:r w:rsidR="00846E03">
        <w:rPr>
          <w:lang w:eastAsia="cs-CZ"/>
        </w:rPr>
        <w:t xml:space="preserve"> </w:t>
      </w:r>
      <w:r w:rsidRPr="006115CB">
        <w:rPr>
          <w:lang w:eastAsia="cs-CZ"/>
        </w:rPr>
        <w:t>inovací</w:t>
      </w:r>
      <w:r w:rsidR="00053114">
        <w:rPr>
          <w:lang w:eastAsia="cs-CZ"/>
        </w:rPr>
        <w:t>,</w:t>
      </w:r>
      <w:r w:rsidRPr="006115CB">
        <w:rPr>
          <w:lang w:eastAsia="cs-CZ"/>
        </w:rPr>
        <w:t xml:space="preserve"> a</w:t>
      </w:r>
      <w:r w:rsidR="00846E03">
        <w:rPr>
          <w:lang w:eastAsia="cs-CZ"/>
        </w:rPr>
        <w:t xml:space="preserve"> </w:t>
      </w:r>
      <w:r w:rsidRPr="006115CB">
        <w:rPr>
          <w:lang w:eastAsia="cs-CZ"/>
        </w:rPr>
        <w:t>nemělo tak dostatečně zajištěno</w:t>
      </w:r>
      <w:r>
        <w:rPr>
          <w:lang w:eastAsia="cs-CZ"/>
        </w:rPr>
        <w:t xml:space="preserve"> plánovité řízení této svěřené oblasti. K tomuto zjištění uvedeném</w:t>
      </w:r>
      <w:r w:rsidR="005549D4">
        <w:rPr>
          <w:lang w:eastAsia="cs-CZ"/>
        </w:rPr>
        <w:t>u</w:t>
      </w:r>
      <w:r>
        <w:rPr>
          <w:lang w:eastAsia="cs-CZ"/>
        </w:rPr>
        <w:t xml:space="preserve"> v kontrolním závěru </w:t>
      </w:r>
      <w:r w:rsidR="00053114">
        <w:rPr>
          <w:lang w:eastAsia="cs-CZ"/>
        </w:rPr>
        <w:t>z</w:t>
      </w:r>
      <w:r w:rsidR="00846E03">
        <w:rPr>
          <w:lang w:eastAsia="cs-CZ"/>
        </w:rPr>
        <w:t xml:space="preserve"> </w:t>
      </w:r>
      <w:r>
        <w:rPr>
          <w:lang w:eastAsia="cs-CZ"/>
        </w:rPr>
        <w:t>kontrolní akc</w:t>
      </w:r>
      <w:r w:rsidR="00053114">
        <w:rPr>
          <w:lang w:eastAsia="cs-CZ"/>
        </w:rPr>
        <w:t>e</w:t>
      </w:r>
      <w:r>
        <w:rPr>
          <w:lang w:eastAsia="cs-CZ"/>
        </w:rPr>
        <w:t xml:space="preserve"> </w:t>
      </w:r>
      <w:r w:rsidR="00053114">
        <w:rPr>
          <w:lang w:eastAsia="cs-CZ"/>
        </w:rPr>
        <w:t xml:space="preserve">NKÚ </w:t>
      </w:r>
      <w:r>
        <w:rPr>
          <w:lang w:eastAsia="cs-CZ"/>
        </w:rPr>
        <w:t xml:space="preserve">č. 17/15 </w:t>
      </w:r>
      <w:r w:rsidR="00053114" w:rsidRPr="004E5927">
        <w:rPr>
          <w:rFonts w:asciiTheme="minorHAnsi" w:hAnsiTheme="minorHAnsi" w:cstheme="minorHAnsi"/>
        </w:rPr>
        <w:t>Ministerstvo průmyslu a obchodu</w:t>
      </w:r>
      <w:r w:rsidR="00053114">
        <w:rPr>
          <w:lang w:eastAsia="cs-CZ"/>
        </w:rPr>
        <w:t xml:space="preserve"> </w:t>
      </w:r>
      <w:r>
        <w:rPr>
          <w:lang w:eastAsia="cs-CZ"/>
        </w:rPr>
        <w:t>ve svém stanovisku</w:t>
      </w:r>
      <w:r>
        <w:rPr>
          <w:rStyle w:val="Znakapoznpodarou"/>
          <w:lang w:eastAsia="cs-CZ"/>
        </w:rPr>
        <w:footnoteReference w:id="13"/>
      </w:r>
      <w:r>
        <w:rPr>
          <w:lang w:eastAsia="cs-CZ"/>
        </w:rPr>
        <w:t xml:space="preserve"> uvedlo, že za dokument přímo zastřešující koncepční podporu výzkumu, vývoje a</w:t>
      </w:r>
      <w:r w:rsidR="00846E03">
        <w:rPr>
          <w:lang w:eastAsia="cs-CZ"/>
        </w:rPr>
        <w:t xml:space="preserve"> </w:t>
      </w:r>
      <w:r>
        <w:rPr>
          <w:lang w:eastAsia="cs-CZ"/>
        </w:rPr>
        <w:t xml:space="preserve">inovací ve své kompetenci považuje </w:t>
      </w:r>
      <w:r w:rsidRPr="00885F93">
        <w:rPr>
          <w:i/>
          <w:lang w:eastAsia="cs-CZ"/>
        </w:rPr>
        <w:lastRenderedPageBreak/>
        <w:t>Národní výzkumnou a inovační strategii pro</w:t>
      </w:r>
      <w:r w:rsidR="00846E03">
        <w:rPr>
          <w:i/>
          <w:lang w:eastAsia="cs-CZ"/>
        </w:rPr>
        <w:t xml:space="preserve"> </w:t>
      </w:r>
      <w:r w:rsidRPr="00885F93">
        <w:rPr>
          <w:i/>
          <w:lang w:eastAsia="cs-CZ"/>
        </w:rPr>
        <w:t>inteligentní specializaci České republiky</w:t>
      </w:r>
      <w:r>
        <w:rPr>
          <w:lang w:eastAsia="cs-CZ"/>
        </w:rPr>
        <w:t xml:space="preserve">, </w:t>
      </w:r>
      <w:r w:rsidR="00C53A34">
        <w:rPr>
          <w:lang w:eastAsia="cs-CZ"/>
        </w:rPr>
        <w:br/>
      </w:r>
      <w:r>
        <w:rPr>
          <w:lang w:eastAsia="cs-CZ"/>
        </w:rPr>
        <w:t>tzv.</w:t>
      </w:r>
      <w:r w:rsidR="00C53A34">
        <w:rPr>
          <w:lang w:eastAsia="cs-CZ"/>
        </w:rPr>
        <w:t xml:space="preserve"> </w:t>
      </w:r>
      <w:r w:rsidR="006115CB" w:rsidRPr="00885F93">
        <w:rPr>
          <w:i/>
          <w:lang w:eastAsia="cs-CZ"/>
        </w:rPr>
        <w:t>Národní RIS3 strategii</w:t>
      </w:r>
      <w:r>
        <w:rPr>
          <w:lang w:eastAsia="cs-CZ"/>
        </w:rPr>
        <w:t>, za jejíž tvorbu a</w:t>
      </w:r>
      <w:r w:rsidR="00053114">
        <w:rPr>
          <w:lang w:eastAsia="cs-CZ"/>
        </w:rPr>
        <w:t xml:space="preserve"> </w:t>
      </w:r>
      <w:r>
        <w:rPr>
          <w:lang w:eastAsia="cs-CZ"/>
        </w:rPr>
        <w:t>implementaci je MPO zodpovědné. V</w:t>
      </w:r>
      <w:r w:rsidR="00C53A34">
        <w:rPr>
          <w:lang w:eastAsia="cs-CZ"/>
        </w:rPr>
        <w:t xml:space="preserve"> </w:t>
      </w:r>
      <w:r>
        <w:rPr>
          <w:lang w:eastAsia="cs-CZ"/>
        </w:rPr>
        <w:t>t</w:t>
      </w:r>
      <w:r w:rsidR="006115CB">
        <w:rPr>
          <w:lang w:eastAsia="cs-CZ"/>
        </w:rPr>
        <w:t>éto</w:t>
      </w:r>
      <w:r>
        <w:rPr>
          <w:lang w:eastAsia="cs-CZ"/>
        </w:rPr>
        <w:t xml:space="preserve"> kontrolní akc</w:t>
      </w:r>
      <w:r w:rsidR="006115CB">
        <w:rPr>
          <w:lang w:eastAsia="cs-CZ"/>
        </w:rPr>
        <w:t xml:space="preserve">i </w:t>
      </w:r>
      <w:r w:rsidR="00A700B9">
        <w:rPr>
          <w:lang w:eastAsia="cs-CZ"/>
        </w:rPr>
        <w:t>(</w:t>
      </w:r>
      <w:r w:rsidR="00053114">
        <w:rPr>
          <w:lang w:eastAsia="cs-CZ"/>
        </w:rPr>
        <w:t>č. 22/21</w:t>
      </w:r>
      <w:r w:rsidR="00A700B9">
        <w:rPr>
          <w:lang w:eastAsia="cs-CZ"/>
        </w:rPr>
        <w:t>)</w:t>
      </w:r>
      <w:r w:rsidR="00053114">
        <w:rPr>
          <w:lang w:eastAsia="cs-CZ"/>
        </w:rPr>
        <w:t xml:space="preserve"> </w:t>
      </w:r>
      <w:r>
        <w:rPr>
          <w:lang w:eastAsia="cs-CZ"/>
        </w:rPr>
        <w:t xml:space="preserve">NKÚ zjistil, že </w:t>
      </w:r>
      <w:r w:rsidRPr="006115CB">
        <w:rPr>
          <w:b/>
          <w:lang w:eastAsia="cs-CZ"/>
        </w:rPr>
        <w:t>MPO</w:t>
      </w:r>
      <w:r w:rsidR="006115CB" w:rsidRPr="006115CB">
        <w:rPr>
          <w:b/>
          <w:lang w:eastAsia="cs-CZ"/>
        </w:rPr>
        <w:t xml:space="preserve"> </w:t>
      </w:r>
      <w:r w:rsidR="00A700B9">
        <w:rPr>
          <w:b/>
          <w:lang w:eastAsia="cs-CZ"/>
        </w:rPr>
        <w:t>dosud</w:t>
      </w:r>
      <w:r w:rsidRPr="006115CB">
        <w:rPr>
          <w:b/>
          <w:lang w:eastAsia="cs-CZ"/>
        </w:rPr>
        <w:t xml:space="preserve"> žádnou koncepci </w:t>
      </w:r>
      <w:r w:rsidR="00A700B9">
        <w:rPr>
          <w:b/>
          <w:lang w:eastAsia="cs-CZ"/>
        </w:rPr>
        <w:t xml:space="preserve">pro </w:t>
      </w:r>
      <w:r w:rsidRPr="006115CB">
        <w:rPr>
          <w:b/>
          <w:lang w:eastAsia="cs-CZ"/>
        </w:rPr>
        <w:t>oblast výzkum</w:t>
      </w:r>
      <w:r w:rsidR="001D4E9E">
        <w:rPr>
          <w:b/>
          <w:lang w:eastAsia="cs-CZ"/>
        </w:rPr>
        <w:t>u</w:t>
      </w:r>
      <w:r w:rsidRPr="006115CB">
        <w:rPr>
          <w:b/>
          <w:lang w:eastAsia="cs-CZ"/>
        </w:rPr>
        <w:t xml:space="preserve">, vývoje a inovací </w:t>
      </w:r>
      <w:r w:rsidR="00A700B9">
        <w:rPr>
          <w:b/>
          <w:lang w:eastAsia="cs-CZ"/>
        </w:rPr>
        <w:t>nevypracovalo</w:t>
      </w:r>
      <w:r>
        <w:rPr>
          <w:lang w:eastAsia="cs-CZ"/>
        </w:rPr>
        <w:t xml:space="preserve"> a stále </w:t>
      </w:r>
      <w:r w:rsidR="006115CB">
        <w:rPr>
          <w:lang w:eastAsia="cs-CZ"/>
        </w:rPr>
        <w:t>za</w:t>
      </w:r>
      <w:r w:rsidR="00C012B2">
        <w:rPr>
          <w:lang w:eastAsia="cs-CZ"/>
        </w:rPr>
        <w:t xml:space="preserve"> </w:t>
      </w:r>
      <w:r w:rsidR="006115CB">
        <w:rPr>
          <w:lang w:eastAsia="cs-CZ"/>
        </w:rPr>
        <w:t>dokument zastřešující koncepční podporu</w:t>
      </w:r>
      <w:r w:rsidR="006115CB" w:rsidRPr="006115CB">
        <w:rPr>
          <w:lang w:eastAsia="cs-CZ"/>
        </w:rPr>
        <w:t xml:space="preserve"> </w:t>
      </w:r>
      <w:r w:rsidR="006115CB">
        <w:rPr>
          <w:lang w:eastAsia="cs-CZ"/>
        </w:rPr>
        <w:t xml:space="preserve">výzkumu, vývoje a inovací považuje </w:t>
      </w:r>
      <w:r w:rsidR="006115CB" w:rsidRPr="00C97D06">
        <w:rPr>
          <w:i/>
          <w:lang w:eastAsia="cs-CZ"/>
        </w:rPr>
        <w:t>Národní RIS3 strategii</w:t>
      </w:r>
      <w:r w:rsidR="006115CB">
        <w:rPr>
          <w:lang w:eastAsia="cs-CZ"/>
        </w:rPr>
        <w:t xml:space="preserve">. </w:t>
      </w:r>
    </w:p>
    <w:p w14:paraId="37BE6168" w14:textId="1DAB97A5" w:rsidR="006115CB" w:rsidRDefault="006115CB" w:rsidP="00ED0443">
      <w:pPr>
        <w:rPr>
          <w:lang w:eastAsia="cs-CZ"/>
        </w:rPr>
      </w:pPr>
    </w:p>
    <w:p w14:paraId="3D0FFDFE" w14:textId="4F937687" w:rsidR="00E92663" w:rsidRDefault="006115CB" w:rsidP="006115CB">
      <w:pPr>
        <w:rPr>
          <w:rFonts w:asciiTheme="minorHAnsi" w:hAnsiTheme="minorHAnsi" w:cstheme="minorHAnsi"/>
          <w:bCs/>
          <w:iCs/>
        </w:rPr>
      </w:pPr>
      <w:r>
        <w:rPr>
          <w:rFonts w:asciiTheme="minorHAnsi" w:hAnsiTheme="minorHAnsi" w:cstheme="minorHAnsi"/>
          <w:bCs/>
          <w:iCs/>
        </w:rPr>
        <w:t xml:space="preserve">Dle NKÚ </w:t>
      </w:r>
      <w:r w:rsidRPr="00885F93">
        <w:rPr>
          <w:rFonts w:asciiTheme="minorHAnsi" w:hAnsiTheme="minorHAnsi" w:cstheme="minorHAnsi"/>
          <w:bCs/>
          <w:i/>
          <w:iCs/>
        </w:rPr>
        <w:t>Národní RIS3 strategie</w:t>
      </w:r>
      <w:r w:rsidRPr="00A82A70">
        <w:rPr>
          <w:rFonts w:asciiTheme="minorHAnsi" w:hAnsiTheme="minorHAnsi" w:cstheme="minorHAnsi"/>
          <w:bCs/>
          <w:iCs/>
        </w:rPr>
        <w:t xml:space="preserve"> obsahuje obecně formulované cíle</w:t>
      </w:r>
      <w:r>
        <w:rPr>
          <w:rFonts w:asciiTheme="minorHAnsi" w:hAnsiTheme="minorHAnsi" w:cstheme="minorHAnsi"/>
          <w:bCs/>
          <w:iCs/>
        </w:rPr>
        <w:t xml:space="preserve"> v oblasti výzkumu, vývoje a inovací</w:t>
      </w:r>
      <w:r w:rsidRPr="00A82A70">
        <w:rPr>
          <w:rFonts w:asciiTheme="minorHAnsi" w:hAnsiTheme="minorHAnsi" w:cstheme="minorHAnsi"/>
          <w:bCs/>
          <w:iCs/>
        </w:rPr>
        <w:t xml:space="preserve"> na</w:t>
      </w:r>
      <w:r w:rsidR="00C53A34">
        <w:rPr>
          <w:rFonts w:asciiTheme="minorHAnsi" w:hAnsiTheme="minorHAnsi" w:cstheme="minorHAnsi"/>
          <w:bCs/>
          <w:iCs/>
        </w:rPr>
        <w:t xml:space="preserve"> </w:t>
      </w:r>
      <w:r w:rsidRPr="00A82A70">
        <w:rPr>
          <w:rFonts w:asciiTheme="minorHAnsi" w:hAnsiTheme="minorHAnsi" w:cstheme="minorHAnsi"/>
          <w:bCs/>
          <w:iCs/>
        </w:rPr>
        <w:t>národní úrovni</w:t>
      </w:r>
      <w:r>
        <w:rPr>
          <w:rFonts w:asciiTheme="minorHAnsi" w:hAnsiTheme="minorHAnsi" w:cstheme="minorHAnsi"/>
          <w:bCs/>
          <w:iCs/>
        </w:rPr>
        <w:t xml:space="preserve">. </w:t>
      </w:r>
      <w:r w:rsidRPr="00A82A70">
        <w:rPr>
          <w:rFonts w:asciiTheme="minorHAnsi" w:hAnsiTheme="minorHAnsi" w:cstheme="minorHAnsi"/>
          <w:bCs/>
          <w:iCs/>
        </w:rPr>
        <w:t>MPO</w:t>
      </w:r>
      <w:r>
        <w:rPr>
          <w:rFonts w:asciiTheme="minorHAnsi" w:hAnsiTheme="minorHAnsi" w:cstheme="minorHAnsi"/>
          <w:bCs/>
          <w:iCs/>
        </w:rPr>
        <w:t xml:space="preserve"> </w:t>
      </w:r>
      <w:r w:rsidR="00241731">
        <w:rPr>
          <w:rFonts w:asciiTheme="minorHAnsi" w:hAnsiTheme="minorHAnsi" w:cstheme="minorHAnsi"/>
          <w:bCs/>
          <w:iCs/>
        </w:rPr>
        <w:t xml:space="preserve">v této </w:t>
      </w:r>
      <w:r>
        <w:rPr>
          <w:rFonts w:asciiTheme="minorHAnsi" w:hAnsiTheme="minorHAnsi" w:cstheme="minorHAnsi"/>
          <w:bCs/>
          <w:iCs/>
        </w:rPr>
        <w:t>strategii</w:t>
      </w:r>
      <w:r w:rsidRPr="00A82A70">
        <w:rPr>
          <w:rFonts w:asciiTheme="minorHAnsi" w:hAnsiTheme="minorHAnsi" w:cstheme="minorHAnsi"/>
          <w:bCs/>
          <w:iCs/>
        </w:rPr>
        <w:t xml:space="preserve"> nestanovilo </w:t>
      </w:r>
      <w:r w:rsidRPr="00D96E77">
        <w:rPr>
          <w:rFonts w:asciiTheme="minorHAnsi" w:hAnsiTheme="minorHAnsi" w:cstheme="minorHAnsi"/>
          <w:b/>
          <w:bCs/>
          <w:iCs/>
        </w:rPr>
        <w:t xml:space="preserve">žádné konkrétní cíle </w:t>
      </w:r>
      <w:r w:rsidR="008E5A0D">
        <w:rPr>
          <w:rFonts w:asciiTheme="minorHAnsi" w:hAnsiTheme="minorHAnsi" w:cstheme="minorHAnsi"/>
          <w:b/>
          <w:bCs/>
          <w:iCs/>
        </w:rPr>
        <w:t>pro oblast</w:t>
      </w:r>
      <w:r w:rsidRPr="00D96E77">
        <w:rPr>
          <w:rFonts w:asciiTheme="minorHAnsi" w:hAnsiTheme="minorHAnsi" w:cstheme="minorHAnsi"/>
          <w:b/>
          <w:bCs/>
          <w:iCs/>
        </w:rPr>
        <w:t xml:space="preserve"> institucionální podpory</w:t>
      </w:r>
      <w:r w:rsidR="00A700B9">
        <w:rPr>
          <w:rFonts w:asciiTheme="minorHAnsi" w:hAnsiTheme="minorHAnsi" w:cstheme="minorHAnsi"/>
          <w:b/>
          <w:bCs/>
          <w:iCs/>
        </w:rPr>
        <w:t xml:space="preserve">, </w:t>
      </w:r>
      <w:r w:rsidR="00A700B9" w:rsidRPr="00C6334F">
        <w:rPr>
          <w:rFonts w:asciiTheme="minorHAnsi" w:hAnsiTheme="minorHAnsi" w:cstheme="minorHAnsi"/>
          <w:bCs/>
          <w:iCs/>
        </w:rPr>
        <w:t>kterou</w:t>
      </w:r>
      <w:r w:rsidRPr="00A82A70">
        <w:rPr>
          <w:rFonts w:asciiTheme="minorHAnsi" w:hAnsiTheme="minorHAnsi" w:cstheme="minorHAnsi"/>
          <w:bCs/>
          <w:iCs/>
        </w:rPr>
        <w:t xml:space="preserve"> poskyt</w:t>
      </w:r>
      <w:r w:rsidR="00A700B9">
        <w:rPr>
          <w:rFonts w:asciiTheme="minorHAnsi" w:hAnsiTheme="minorHAnsi" w:cstheme="minorHAnsi"/>
          <w:bCs/>
          <w:iCs/>
        </w:rPr>
        <w:t>uje</w:t>
      </w:r>
      <w:r w:rsidRPr="00A82A70">
        <w:rPr>
          <w:rFonts w:asciiTheme="minorHAnsi" w:hAnsiTheme="minorHAnsi" w:cstheme="minorHAnsi"/>
          <w:bCs/>
          <w:iCs/>
        </w:rPr>
        <w:t xml:space="preserve"> </w:t>
      </w:r>
      <w:r>
        <w:rPr>
          <w:rFonts w:asciiTheme="minorHAnsi" w:hAnsiTheme="minorHAnsi" w:cstheme="minorHAnsi"/>
          <w:bCs/>
          <w:iCs/>
        </w:rPr>
        <w:t>ze</w:t>
      </w:r>
      <w:r w:rsidR="00A700B9">
        <w:rPr>
          <w:rFonts w:asciiTheme="minorHAnsi" w:hAnsiTheme="minorHAnsi" w:cstheme="minorHAnsi"/>
          <w:bCs/>
          <w:iCs/>
        </w:rPr>
        <w:t xml:space="preserve"> </w:t>
      </w:r>
      <w:r>
        <w:rPr>
          <w:rFonts w:asciiTheme="minorHAnsi" w:hAnsiTheme="minorHAnsi" w:cstheme="minorHAnsi"/>
          <w:bCs/>
          <w:iCs/>
        </w:rPr>
        <w:t>své</w:t>
      </w:r>
      <w:r w:rsidRPr="00A82A70">
        <w:rPr>
          <w:rFonts w:asciiTheme="minorHAnsi" w:hAnsiTheme="minorHAnsi" w:cstheme="minorHAnsi"/>
          <w:bCs/>
          <w:iCs/>
        </w:rPr>
        <w:t xml:space="preserve"> rozpočtové kapitoly. </w:t>
      </w:r>
      <w:r w:rsidR="00A700B9">
        <w:rPr>
          <w:rFonts w:asciiTheme="minorHAnsi" w:hAnsiTheme="minorHAnsi" w:cstheme="minorHAnsi"/>
          <w:bCs/>
          <w:iCs/>
        </w:rPr>
        <w:t>N</w:t>
      </w:r>
      <w:r w:rsidR="00241731">
        <w:rPr>
          <w:rFonts w:asciiTheme="minorHAnsi" w:hAnsiTheme="minorHAnsi" w:cstheme="minorHAnsi"/>
          <w:bCs/>
          <w:iCs/>
        </w:rPr>
        <w:t>edefinovalo</w:t>
      </w:r>
      <w:r w:rsidR="00A700B9">
        <w:rPr>
          <w:rFonts w:asciiTheme="minorHAnsi" w:hAnsiTheme="minorHAnsi" w:cstheme="minorHAnsi"/>
          <w:bCs/>
          <w:iCs/>
        </w:rPr>
        <w:t xml:space="preserve"> ani to</w:t>
      </w:r>
      <w:r w:rsidR="00241731">
        <w:rPr>
          <w:rFonts w:asciiTheme="minorHAnsi" w:hAnsiTheme="minorHAnsi" w:cstheme="minorHAnsi"/>
          <w:bCs/>
          <w:iCs/>
        </w:rPr>
        <w:t>,</w:t>
      </w:r>
      <w:r w:rsidRPr="00A82A70">
        <w:rPr>
          <w:rFonts w:asciiTheme="minorHAnsi" w:hAnsiTheme="minorHAnsi" w:cstheme="minorHAnsi"/>
          <w:bCs/>
          <w:iCs/>
        </w:rPr>
        <w:t xml:space="preserve"> ke</w:t>
      </w:r>
      <w:r w:rsidR="00A700B9">
        <w:rPr>
          <w:rFonts w:asciiTheme="minorHAnsi" w:hAnsiTheme="minorHAnsi" w:cstheme="minorHAnsi"/>
          <w:bCs/>
          <w:iCs/>
        </w:rPr>
        <w:t xml:space="preserve"> </w:t>
      </w:r>
      <w:r w:rsidR="00241731">
        <w:rPr>
          <w:rFonts w:asciiTheme="minorHAnsi" w:hAnsiTheme="minorHAnsi" w:cstheme="minorHAnsi"/>
          <w:bCs/>
          <w:iCs/>
        </w:rPr>
        <w:t>kterým</w:t>
      </w:r>
      <w:r>
        <w:rPr>
          <w:rFonts w:asciiTheme="minorHAnsi" w:hAnsiTheme="minorHAnsi" w:cstheme="minorHAnsi"/>
          <w:bCs/>
          <w:iCs/>
        </w:rPr>
        <w:t xml:space="preserve"> </w:t>
      </w:r>
      <w:r w:rsidRPr="00A82A70">
        <w:rPr>
          <w:rFonts w:asciiTheme="minorHAnsi" w:hAnsiTheme="minorHAnsi" w:cstheme="minorHAnsi"/>
          <w:bCs/>
          <w:iCs/>
        </w:rPr>
        <w:t>cílů</w:t>
      </w:r>
      <w:r w:rsidR="00241731">
        <w:rPr>
          <w:rFonts w:asciiTheme="minorHAnsi" w:hAnsiTheme="minorHAnsi" w:cstheme="minorHAnsi"/>
          <w:bCs/>
          <w:iCs/>
        </w:rPr>
        <w:t>m</w:t>
      </w:r>
      <w:r w:rsidR="00EA61CB">
        <w:rPr>
          <w:rFonts w:asciiTheme="minorHAnsi" w:hAnsiTheme="minorHAnsi" w:cstheme="minorHAnsi"/>
          <w:bCs/>
          <w:iCs/>
        </w:rPr>
        <w:t xml:space="preserve"> stanoveným v </w:t>
      </w:r>
      <w:r w:rsidR="00EA61CB" w:rsidRPr="00885F93">
        <w:rPr>
          <w:rFonts w:asciiTheme="minorHAnsi" w:hAnsiTheme="minorHAnsi" w:cstheme="minorHAnsi"/>
          <w:bCs/>
          <w:i/>
          <w:iCs/>
        </w:rPr>
        <w:t>Národní RIS3 strategii</w:t>
      </w:r>
      <w:r w:rsidR="00EA61CB">
        <w:rPr>
          <w:rFonts w:asciiTheme="minorHAnsi" w:hAnsiTheme="minorHAnsi" w:cstheme="minorHAnsi"/>
          <w:bCs/>
          <w:iCs/>
        </w:rPr>
        <w:t xml:space="preserve"> by</w:t>
      </w:r>
      <w:r w:rsidRPr="00A82A70">
        <w:rPr>
          <w:rFonts w:asciiTheme="minorHAnsi" w:hAnsiTheme="minorHAnsi" w:cstheme="minorHAnsi"/>
          <w:bCs/>
          <w:iCs/>
        </w:rPr>
        <w:t xml:space="preserve"> měl</w:t>
      </w:r>
      <w:r w:rsidR="00241731">
        <w:rPr>
          <w:rFonts w:asciiTheme="minorHAnsi" w:hAnsiTheme="minorHAnsi" w:cstheme="minorHAnsi"/>
          <w:bCs/>
          <w:iCs/>
        </w:rPr>
        <w:t>a</w:t>
      </w:r>
      <w:r w:rsidRPr="00A82A70">
        <w:rPr>
          <w:rFonts w:asciiTheme="minorHAnsi" w:hAnsiTheme="minorHAnsi" w:cstheme="minorHAnsi"/>
          <w:bCs/>
          <w:iCs/>
        </w:rPr>
        <w:t xml:space="preserve"> </w:t>
      </w:r>
      <w:r w:rsidR="00A700B9">
        <w:rPr>
          <w:rFonts w:asciiTheme="minorHAnsi" w:hAnsiTheme="minorHAnsi" w:cstheme="minorHAnsi"/>
          <w:bCs/>
          <w:iCs/>
        </w:rPr>
        <w:t xml:space="preserve">tato podpora </w:t>
      </w:r>
      <w:r w:rsidRPr="00A82A70">
        <w:rPr>
          <w:rFonts w:asciiTheme="minorHAnsi" w:hAnsiTheme="minorHAnsi" w:cstheme="minorHAnsi"/>
          <w:bCs/>
          <w:iCs/>
        </w:rPr>
        <w:t xml:space="preserve">přispět a </w:t>
      </w:r>
      <w:r>
        <w:rPr>
          <w:rFonts w:asciiTheme="minorHAnsi" w:hAnsiTheme="minorHAnsi" w:cstheme="minorHAnsi"/>
          <w:bCs/>
          <w:iCs/>
        </w:rPr>
        <w:t>jak</w:t>
      </w:r>
      <w:r w:rsidR="00241731">
        <w:rPr>
          <w:rFonts w:asciiTheme="minorHAnsi" w:hAnsiTheme="minorHAnsi" w:cstheme="minorHAnsi"/>
          <w:bCs/>
          <w:iCs/>
        </w:rPr>
        <w:t xml:space="preserve">é jsou její </w:t>
      </w:r>
      <w:r>
        <w:rPr>
          <w:rFonts w:asciiTheme="minorHAnsi" w:hAnsiTheme="minorHAnsi" w:cstheme="minorHAnsi"/>
          <w:bCs/>
          <w:iCs/>
        </w:rPr>
        <w:t>očekáv</w:t>
      </w:r>
      <w:r w:rsidR="00241731">
        <w:rPr>
          <w:rFonts w:asciiTheme="minorHAnsi" w:hAnsiTheme="minorHAnsi" w:cstheme="minorHAnsi"/>
          <w:bCs/>
          <w:iCs/>
        </w:rPr>
        <w:t>ané</w:t>
      </w:r>
      <w:r>
        <w:rPr>
          <w:rFonts w:asciiTheme="minorHAnsi" w:hAnsiTheme="minorHAnsi" w:cstheme="minorHAnsi"/>
          <w:bCs/>
          <w:iCs/>
        </w:rPr>
        <w:t xml:space="preserve"> přínos</w:t>
      </w:r>
      <w:r w:rsidR="00241731">
        <w:rPr>
          <w:rFonts w:asciiTheme="minorHAnsi" w:hAnsiTheme="minorHAnsi" w:cstheme="minorHAnsi"/>
          <w:bCs/>
          <w:iCs/>
        </w:rPr>
        <w:t>y</w:t>
      </w:r>
      <w:r>
        <w:rPr>
          <w:rFonts w:asciiTheme="minorHAnsi" w:hAnsiTheme="minorHAnsi" w:cstheme="minorHAnsi"/>
          <w:bCs/>
          <w:iCs/>
        </w:rPr>
        <w:t xml:space="preserve"> pro stát</w:t>
      </w:r>
      <w:r w:rsidRPr="00A82A70">
        <w:rPr>
          <w:rFonts w:asciiTheme="minorHAnsi" w:hAnsiTheme="minorHAnsi" w:cstheme="minorHAnsi"/>
          <w:bCs/>
          <w:iCs/>
        </w:rPr>
        <w:t xml:space="preserve">. </w:t>
      </w:r>
    </w:p>
    <w:p w14:paraId="0AFF4F9A" w14:textId="77777777" w:rsidR="00E92663" w:rsidRDefault="00E92663" w:rsidP="006115CB">
      <w:pPr>
        <w:rPr>
          <w:rFonts w:asciiTheme="minorHAnsi" w:hAnsiTheme="minorHAnsi" w:cstheme="minorHAnsi"/>
          <w:bCs/>
          <w:iCs/>
        </w:rPr>
      </w:pPr>
    </w:p>
    <w:p w14:paraId="7A9D01B6" w14:textId="23320EE4" w:rsidR="003A0474" w:rsidRDefault="006115CB" w:rsidP="006115CB">
      <w:pPr>
        <w:rPr>
          <w:rFonts w:asciiTheme="minorHAnsi" w:hAnsiTheme="minorHAnsi" w:cstheme="minorHAnsi"/>
          <w:bCs/>
          <w:iCs/>
        </w:rPr>
      </w:pPr>
      <w:r>
        <w:rPr>
          <w:rFonts w:asciiTheme="minorHAnsi" w:hAnsiTheme="minorHAnsi" w:cstheme="minorHAnsi"/>
          <w:bCs/>
          <w:iCs/>
        </w:rPr>
        <w:t xml:space="preserve">Dle </w:t>
      </w:r>
      <w:r w:rsidR="00D34F32">
        <w:rPr>
          <w:rFonts w:asciiTheme="minorHAnsi" w:hAnsiTheme="minorHAnsi" w:cstheme="minorHAnsi"/>
          <w:bCs/>
          <w:iCs/>
        </w:rPr>
        <w:t>rozpočtových pravidel</w:t>
      </w:r>
      <w:r w:rsidR="00D34F32">
        <w:rPr>
          <w:rStyle w:val="Znakapoznpodarou"/>
          <w:rFonts w:asciiTheme="minorHAnsi" w:hAnsiTheme="minorHAnsi" w:cstheme="minorHAnsi"/>
          <w:bCs/>
          <w:iCs/>
        </w:rPr>
        <w:footnoteReference w:id="14"/>
      </w:r>
      <w:r>
        <w:rPr>
          <w:rFonts w:asciiTheme="minorHAnsi" w:hAnsiTheme="minorHAnsi" w:cstheme="minorHAnsi"/>
          <w:bCs/>
          <w:iCs/>
        </w:rPr>
        <w:t xml:space="preserve"> „</w:t>
      </w:r>
      <w:r w:rsidR="00A700B9">
        <w:rPr>
          <w:rFonts w:asciiTheme="minorHAnsi" w:hAnsiTheme="minorHAnsi" w:cstheme="minorHAnsi"/>
          <w:bCs/>
          <w:i/>
          <w:iCs/>
        </w:rPr>
        <w:t>s</w:t>
      </w:r>
      <w:r w:rsidRPr="00183989">
        <w:rPr>
          <w:rFonts w:asciiTheme="minorHAnsi" w:hAnsiTheme="minorHAnsi" w:cstheme="minorHAnsi"/>
          <w:bCs/>
          <w:i/>
          <w:iCs/>
        </w:rPr>
        <w:t>právce kapitoly soustavně sleduje a</w:t>
      </w:r>
      <w:r w:rsidR="00C012B2">
        <w:rPr>
          <w:rFonts w:asciiTheme="minorHAnsi" w:hAnsiTheme="minorHAnsi" w:cstheme="minorHAnsi"/>
          <w:bCs/>
          <w:i/>
          <w:iCs/>
        </w:rPr>
        <w:t xml:space="preserve"> </w:t>
      </w:r>
      <w:r w:rsidRPr="00183989">
        <w:rPr>
          <w:rFonts w:asciiTheme="minorHAnsi" w:hAnsiTheme="minorHAnsi" w:cstheme="minorHAnsi"/>
          <w:bCs/>
          <w:i/>
          <w:iCs/>
        </w:rPr>
        <w:t>vyhodnocuje hospodárnost, efektivnost a účelnost vynakládání výdajů ve své kapitole.</w:t>
      </w:r>
      <w:r>
        <w:rPr>
          <w:rFonts w:asciiTheme="minorHAnsi" w:hAnsiTheme="minorHAnsi" w:cstheme="minorHAnsi"/>
          <w:bCs/>
          <w:iCs/>
        </w:rPr>
        <w:t>“</w:t>
      </w:r>
      <w:r w:rsidRPr="00183989">
        <w:rPr>
          <w:rFonts w:asciiTheme="minorHAnsi" w:hAnsiTheme="minorHAnsi" w:cstheme="minorHAnsi"/>
          <w:bCs/>
          <w:iCs/>
        </w:rPr>
        <w:t xml:space="preserve"> </w:t>
      </w:r>
      <w:r w:rsidR="00A700B9">
        <w:rPr>
          <w:rFonts w:asciiTheme="minorHAnsi" w:hAnsiTheme="minorHAnsi" w:cstheme="minorHAnsi"/>
          <w:bCs/>
          <w:iCs/>
        </w:rPr>
        <w:t xml:space="preserve">V </w:t>
      </w:r>
      <w:r w:rsidRPr="00AB6DCE">
        <w:rPr>
          <w:rFonts w:asciiTheme="minorHAnsi" w:hAnsiTheme="minorHAnsi" w:cstheme="minorHAnsi"/>
          <w:bCs/>
          <w:iCs/>
        </w:rPr>
        <w:t>zákon</w:t>
      </w:r>
      <w:r w:rsidR="00A700B9">
        <w:rPr>
          <w:rFonts w:asciiTheme="minorHAnsi" w:hAnsiTheme="minorHAnsi" w:cstheme="minorHAnsi"/>
          <w:bCs/>
          <w:iCs/>
        </w:rPr>
        <w:t>ě</w:t>
      </w:r>
      <w:r w:rsidRPr="00AB6DCE">
        <w:rPr>
          <w:rFonts w:asciiTheme="minorHAnsi" w:hAnsiTheme="minorHAnsi" w:cstheme="minorHAnsi"/>
          <w:bCs/>
          <w:iCs/>
        </w:rPr>
        <w:t xml:space="preserve"> o</w:t>
      </w:r>
      <w:r>
        <w:rPr>
          <w:rFonts w:asciiTheme="minorHAnsi" w:hAnsiTheme="minorHAnsi" w:cstheme="minorHAnsi"/>
          <w:bCs/>
          <w:iCs/>
        </w:rPr>
        <w:t> </w:t>
      </w:r>
      <w:r w:rsidRPr="00AB6DCE">
        <w:rPr>
          <w:rFonts w:asciiTheme="minorHAnsi" w:hAnsiTheme="minorHAnsi" w:cstheme="minorHAnsi"/>
          <w:bCs/>
          <w:iCs/>
        </w:rPr>
        <w:t>finanční kontrole</w:t>
      </w:r>
      <w:r>
        <w:rPr>
          <w:rFonts w:asciiTheme="minorHAnsi" w:hAnsiTheme="minorHAnsi" w:cstheme="minorHAnsi"/>
          <w:bCs/>
          <w:iCs/>
        </w:rPr>
        <w:t xml:space="preserve"> </w:t>
      </w:r>
      <w:r w:rsidRPr="00AB6DCE">
        <w:rPr>
          <w:rFonts w:asciiTheme="minorHAnsi" w:hAnsiTheme="minorHAnsi" w:cstheme="minorHAnsi"/>
          <w:bCs/>
          <w:iCs/>
        </w:rPr>
        <w:t>je účelnost definov</w:t>
      </w:r>
      <w:r w:rsidR="00A700B9">
        <w:rPr>
          <w:rFonts w:asciiTheme="minorHAnsi" w:hAnsiTheme="minorHAnsi" w:cstheme="minorHAnsi"/>
          <w:bCs/>
          <w:iCs/>
        </w:rPr>
        <w:t>ána</w:t>
      </w:r>
      <w:r w:rsidRPr="00AB6DCE">
        <w:rPr>
          <w:rFonts w:asciiTheme="minorHAnsi" w:hAnsiTheme="minorHAnsi" w:cstheme="minorHAnsi"/>
          <w:bCs/>
          <w:iCs/>
        </w:rPr>
        <w:t xml:space="preserve"> jako „</w:t>
      </w:r>
      <w:r w:rsidRPr="00AB6DCE">
        <w:rPr>
          <w:rFonts w:asciiTheme="minorHAnsi" w:hAnsiTheme="minorHAnsi" w:cstheme="minorHAnsi"/>
          <w:bCs/>
          <w:i/>
          <w:iCs/>
        </w:rPr>
        <w:t>takové použití veřejných prostředků, které zajistí optimální míru dosažení cílů při plnění stanovených úkolů</w:t>
      </w:r>
      <w:r w:rsidR="00967870">
        <w:rPr>
          <w:rFonts w:asciiTheme="minorHAnsi" w:hAnsiTheme="minorHAnsi" w:cstheme="minorHAnsi"/>
          <w:bCs/>
          <w:i/>
          <w:iCs/>
        </w:rPr>
        <w:t>.</w:t>
      </w:r>
      <w:r w:rsidRPr="00C53A34">
        <w:rPr>
          <w:rFonts w:asciiTheme="minorHAnsi" w:hAnsiTheme="minorHAnsi" w:cstheme="minorHAnsi"/>
          <w:bCs/>
          <w:iCs/>
        </w:rPr>
        <w:t>“</w:t>
      </w:r>
      <w:r>
        <w:rPr>
          <w:rFonts w:asciiTheme="minorHAnsi" w:hAnsiTheme="minorHAnsi" w:cstheme="minorHAnsi"/>
          <w:bCs/>
          <w:iCs/>
        </w:rPr>
        <w:t xml:space="preserve"> MPO průběžně vyhodnocovalo, zda </w:t>
      </w:r>
      <w:r w:rsidR="00967870">
        <w:rPr>
          <w:rFonts w:asciiTheme="minorHAnsi" w:hAnsiTheme="minorHAnsi" w:cstheme="minorHAnsi"/>
          <w:bCs/>
          <w:iCs/>
        </w:rPr>
        <w:t>podpořené</w:t>
      </w:r>
      <w:r>
        <w:rPr>
          <w:rFonts w:asciiTheme="minorHAnsi" w:hAnsiTheme="minorHAnsi" w:cstheme="minorHAnsi"/>
          <w:bCs/>
          <w:iCs/>
        </w:rPr>
        <w:t xml:space="preserve"> výzkumné organizace naplňovaly cíle, které si stanovily ve svých dlouhodobých koncepcí</w:t>
      </w:r>
      <w:r w:rsidR="005549D4">
        <w:rPr>
          <w:rFonts w:asciiTheme="minorHAnsi" w:hAnsiTheme="minorHAnsi" w:cstheme="minorHAnsi"/>
          <w:bCs/>
          <w:iCs/>
        </w:rPr>
        <w:t xml:space="preserve">ch </w:t>
      </w:r>
      <w:r>
        <w:rPr>
          <w:rFonts w:asciiTheme="minorHAnsi" w:hAnsiTheme="minorHAnsi" w:cstheme="minorHAnsi"/>
          <w:bCs/>
          <w:iCs/>
        </w:rPr>
        <w:t>rozvoje.</w:t>
      </w:r>
      <w:r w:rsidR="00EA61CB">
        <w:rPr>
          <w:rFonts w:asciiTheme="minorHAnsi" w:hAnsiTheme="minorHAnsi" w:cstheme="minorHAnsi"/>
          <w:bCs/>
          <w:iCs/>
        </w:rPr>
        <w:t xml:space="preserve"> Na základě těchto hodnocení upravovalo </w:t>
      </w:r>
      <w:r w:rsidR="00967870">
        <w:rPr>
          <w:rFonts w:asciiTheme="minorHAnsi" w:hAnsiTheme="minorHAnsi" w:cstheme="minorHAnsi"/>
          <w:bCs/>
          <w:iCs/>
        </w:rPr>
        <w:t xml:space="preserve">MPO </w:t>
      </w:r>
      <w:r w:rsidR="00EA61CB">
        <w:rPr>
          <w:rFonts w:asciiTheme="minorHAnsi" w:hAnsiTheme="minorHAnsi" w:cstheme="minorHAnsi"/>
          <w:bCs/>
          <w:iCs/>
        </w:rPr>
        <w:t>výši</w:t>
      </w:r>
      <w:r w:rsidR="00C7299B">
        <w:rPr>
          <w:rFonts w:asciiTheme="minorHAnsi" w:hAnsiTheme="minorHAnsi" w:cstheme="minorHAnsi"/>
          <w:bCs/>
          <w:iCs/>
        </w:rPr>
        <w:t xml:space="preserve"> </w:t>
      </w:r>
      <w:r w:rsidR="00EA61CB">
        <w:rPr>
          <w:rFonts w:asciiTheme="minorHAnsi" w:hAnsiTheme="minorHAnsi" w:cstheme="minorHAnsi"/>
          <w:bCs/>
          <w:iCs/>
        </w:rPr>
        <w:t xml:space="preserve">institucionální podpory </w:t>
      </w:r>
      <w:r w:rsidR="00967870">
        <w:rPr>
          <w:rFonts w:asciiTheme="minorHAnsi" w:hAnsiTheme="minorHAnsi" w:cstheme="minorHAnsi"/>
          <w:bCs/>
          <w:iCs/>
        </w:rPr>
        <w:t xml:space="preserve">schválené pro </w:t>
      </w:r>
      <w:r w:rsidR="00EA61CB">
        <w:rPr>
          <w:rFonts w:asciiTheme="minorHAnsi" w:hAnsiTheme="minorHAnsi" w:cstheme="minorHAnsi"/>
          <w:bCs/>
          <w:iCs/>
        </w:rPr>
        <w:t>výzkumné organizac</w:t>
      </w:r>
      <w:r w:rsidR="00967870">
        <w:rPr>
          <w:rFonts w:asciiTheme="minorHAnsi" w:hAnsiTheme="minorHAnsi" w:cstheme="minorHAnsi"/>
          <w:bCs/>
          <w:iCs/>
        </w:rPr>
        <w:t>e</w:t>
      </w:r>
      <w:r w:rsidR="00EA61CB">
        <w:rPr>
          <w:rFonts w:asciiTheme="minorHAnsi" w:hAnsiTheme="minorHAnsi" w:cstheme="minorHAnsi"/>
          <w:bCs/>
          <w:iCs/>
        </w:rPr>
        <w:t xml:space="preserve"> na další rok.</w:t>
      </w:r>
      <w:r>
        <w:rPr>
          <w:rFonts w:asciiTheme="minorHAnsi" w:hAnsiTheme="minorHAnsi" w:cstheme="minorHAnsi"/>
          <w:bCs/>
          <w:iCs/>
        </w:rPr>
        <w:t xml:space="preserve"> </w:t>
      </w:r>
      <w:r w:rsidR="00EA61CB">
        <w:rPr>
          <w:rFonts w:asciiTheme="minorHAnsi" w:hAnsiTheme="minorHAnsi" w:cstheme="minorHAnsi"/>
          <w:bCs/>
          <w:iCs/>
        </w:rPr>
        <w:t>V</w:t>
      </w:r>
      <w:r>
        <w:rPr>
          <w:rFonts w:asciiTheme="minorHAnsi" w:hAnsiTheme="minorHAnsi" w:cstheme="minorHAnsi"/>
          <w:bCs/>
          <w:iCs/>
        </w:rPr>
        <w:t xml:space="preserve">zhledem </w:t>
      </w:r>
      <w:r w:rsidRPr="00EA61CB">
        <w:rPr>
          <w:rFonts w:asciiTheme="minorHAnsi" w:hAnsiTheme="minorHAnsi" w:cstheme="minorHAnsi"/>
          <w:bCs/>
          <w:iCs/>
        </w:rPr>
        <w:t>k</w:t>
      </w:r>
      <w:r w:rsidR="00967870">
        <w:rPr>
          <w:rFonts w:asciiTheme="minorHAnsi" w:hAnsiTheme="minorHAnsi" w:cstheme="minorHAnsi"/>
          <w:bCs/>
          <w:iCs/>
        </w:rPr>
        <w:t xml:space="preserve"> </w:t>
      </w:r>
      <w:r w:rsidRPr="00EA61CB">
        <w:rPr>
          <w:rFonts w:asciiTheme="minorHAnsi" w:hAnsiTheme="minorHAnsi" w:cstheme="minorHAnsi"/>
          <w:bCs/>
          <w:iCs/>
        </w:rPr>
        <w:t>absenci koncepčních cílů</w:t>
      </w:r>
      <w:r w:rsidR="00EA61CB" w:rsidRPr="00EA61CB">
        <w:rPr>
          <w:rFonts w:asciiTheme="minorHAnsi" w:hAnsiTheme="minorHAnsi" w:cstheme="minorHAnsi"/>
          <w:bCs/>
          <w:iCs/>
        </w:rPr>
        <w:t xml:space="preserve"> a</w:t>
      </w:r>
      <w:r w:rsidR="00967870">
        <w:rPr>
          <w:rFonts w:asciiTheme="minorHAnsi" w:hAnsiTheme="minorHAnsi" w:cstheme="minorHAnsi"/>
          <w:bCs/>
          <w:iCs/>
        </w:rPr>
        <w:t xml:space="preserve"> </w:t>
      </w:r>
      <w:r w:rsidR="00EA61CB" w:rsidRPr="00EA61CB">
        <w:rPr>
          <w:rFonts w:asciiTheme="minorHAnsi" w:hAnsiTheme="minorHAnsi" w:cstheme="minorHAnsi"/>
          <w:bCs/>
          <w:iCs/>
        </w:rPr>
        <w:t xml:space="preserve">očekávaných přínosů institucionální podpory pro </w:t>
      </w:r>
      <w:r w:rsidR="00EA61CB" w:rsidRPr="00265796">
        <w:rPr>
          <w:rFonts w:asciiTheme="minorHAnsi" w:hAnsiTheme="minorHAnsi" w:cstheme="minorHAnsi"/>
          <w:bCs/>
          <w:iCs/>
        </w:rPr>
        <w:t>stát</w:t>
      </w:r>
      <w:r w:rsidR="00EA61CB" w:rsidRPr="00265796">
        <w:rPr>
          <w:rFonts w:asciiTheme="minorHAnsi" w:hAnsiTheme="minorHAnsi" w:cstheme="minorHAnsi"/>
          <w:b/>
          <w:bCs/>
          <w:iCs/>
        </w:rPr>
        <w:t xml:space="preserve"> ale nebylo možné</w:t>
      </w:r>
      <w:r w:rsidRPr="00265796">
        <w:rPr>
          <w:rFonts w:asciiTheme="minorHAnsi" w:hAnsiTheme="minorHAnsi" w:cstheme="minorHAnsi"/>
          <w:b/>
          <w:bCs/>
          <w:iCs/>
        </w:rPr>
        <w:t xml:space="preserve"> vyhodnotit</w:t>
      </w:r>
      <w:r w:rsidRPr="00C6334F">
        <w:rPr>
          <w:rFonts w:asciiTheme="minorHAnsi" w:hAnsiTheme="minorHAnsi" w:cstheme="minorHAnsi"/>
          <w:b/>
          <w:bCs/>
          <w:iCs/>
        </w:rPr>
        <w:t>,</w:t>
      </w:r>
      <w:r>
        <w:rPr>
          <w:rFonts w:asciiTheme="minorHAnsi" w:hAnsiTheme="minorHAnsi" w:cstheme="minorHAnsi"/>
          <w:bCs/>
          <w:iCs/>
        </w:rPr>
        <w:t xml:space="preserve"> zda </w:t>
      </w:r>
      <w:r w:rsidRPr="00A82A70">
        <w:rPr>
          <w:rFonts w:asciiTheme="minorHAnsi" w:hAnsiTheme="minorHAnsi" w:cstheme="minorHAnsi"/>
          <w:bCs/>
          <w:iCs/>
        </w:rPr>
        <w:t>institucionální podpora</w:t>
      </w:r>
      <w:r w:rsidR="00241731">
        <w:rPr>
          <w:rFonts w:asciiTheme="minorHAnsi" w:hAnsiTheme="minorHAnsi" w:cstheme="minorHAnsi"/>
          <w:bCs/>
          <w:iCs/>
        </w:rPr>
        <w:t xml:space="preserve"> v</w:t>
      </w:r>
      <w:r w:rsidR="00967870">
        <w:rPr>
          <w:rFonts w:asciiTheme="minorHAnsi" w:hAnsiTheme="minorHAnsi" w:cstheme="minorHAnsi"/>
          <w:bCs/>
          <w:iCs/>
        </w:rPr>
        <w:t xml:space="preserve"> </w:t>
      </w:r>
      <w:r w:rsidR="00241731">
        <w:rPr>
          <w:rFonts w:asciiTheme="minorHAnsi" w:hAnsiTheme="minorHAnsi" w:cstheme="minorHAnsi"/>
          <w:bCs/>
          <w:iCs/>
        </w:rPr>
        <w:t xml:space="preserve">celkové výši </w:t>
      </w:r>
      <w:r w:rsidR="00241731" w:rsidRPr="00E603AF">
        <w:rPr>
          <w:rFonts w:asciiTheme="minorHAnsi" w:eastAsiaTheme="minorHAnsi" w:hAnsiTheme="minorHAnsi" w:cstheme="minorHAnsi"/>
        </w:rPr>
        <w:t>2</w:t>
      </w:r>
      <w:r w:rsidR="00572471">
        <w:rPr>
          <w:rFonts w:asciiTheme="minorHAnsi" w:eastAsiaTheme="minorHAnsi" w:hAnsiTheme="minorHAnsi" w:cstheme="minorHAnsi"/>
        </w:rPr>
        <w:t> </w:t>
      </w:r>
      <w:r w:rsidR="00241731" w:rsidRPr="00E603AF">
        <w:rPr>
          <w:rFonts w:asciiTheme="minorHAnsi" w:eastAsiaTheme="minorHAnsi" w:hAnsiTheme="minorHAnsi" w:cstheme="minorHAnsi"/>
        </w:rPr>
        <w:t>265 639</w:t>
      </w:r>
      <w:r w:rsidR="00572471">
        <w:rPr>
          <w:rFonts w:asciiTheme="minorHAnsi" w:eastAsiaTheme="minorHAnsi" w:hAnsiTheme="minorHAnsi" w:cstheme="minorHAnsi"/>
        </w:rPr>
        <w:t> </w:t>
      </w:r>
      <w:r w:rsidR="00241731" w:rsidRPr="00E603AF">
        <w:rPr>
          <w:rFonts w:asciiTheme="minorHAnsi" w:eastAsiaTheme="minorHAnsi" w:hAnsiTheme="minorHAnsi" w:cstheme="minorHAnsi"/>
        </w:rPr>
        <w:t>044</w:t>
      </w:r>
      <w:r w:rsidR="00572471">
        <w:rPr>
          <w:rFonts w:asciiTheme="minorHAnsi" w:eastAsiaTheme="minorHAnsi" w:hAnsiTheme="minorHAnsi" w:cstheme="minorHAnsi"/>
        </w:rPr>
        <w:t> </w:t>
      </w:r>
      <w:r w:rsidR="00241731" w:rsidRPr="00E603AF">
        <w:rPr>
          <w:rFonts w:asciiTheme="minorHAnsi" w:eastAsiaTheme="minorHAnsi" w:hAnsiTheme="minorHAnsi" w:cstheme="minorHAnsi"/>
        </w:rPr>
        <w:t>Kč</w:t>
      </w:r>
      <w:r>
        <w:rPr>
          <w:rFonts w:asciiTheme="minorHAnsi" w:hAnsiTheme="minorHAnsi" w:cstheme="minorHAnsi"/>
          <w:bCs/>
          <w:iCs/>
        </w:rPr>
        <w:t xml:space="preserve">, kterou MPO poskytlo </w:t>
      </w:r>
      <w:r w:rsidRPr="00A82A70">
        <w:rPr>
          <w:rFonts w:asciiTheme="minorHAnsi" w:hAnsiTheme="minorHAnsi" w:cstheme="minorHAnsi"/>
          <w:bCs/>
          <w:iCs/>
        </w:rPr>
        <w:t>v období let 2018 až 2022</w:t>
      </w:r>
      <w:r w:rsidR="00EA61CB">
        <w:rPr>
          <w:rFonts w:asciiTheme="minorHAnsi" w:hAnsiTheme="minorHAnsi" w:cstheme="minorHAnsi"/>
          <w:bCs/>
          <w:iCs/>
        </w:rPr>
        <w:t xml:space="preserve"> ze</w:t>
      </w:r>
      <w:r w:rsidR="00967870">
        <w:rPr>
          <w:rFonts w:asciiTheme="minorHAnsi" w:hAnsiTheme="minorHAnsi" w:cstheme="minorHAnsi"/>
          <w:bCs/>
          <w:iCs/>
        </w:rPr>
        <w:t xml:space="preserve"> </w:t>
      </w:r>
      <w:r w:rsidR="00EA61CB">
        <w:rPr>
          <w:rFonts w:asciiTheme="minorHAnsi" w:hAnsiTheme="minorHAnsi" w:cstheme="minorHAnsi"/>
          <w:bCs/>
          <w:iCs/>
        </w:rPr>
        <w:t>své rozpočtové kapitoly</w:t>
      </w:r>
      <w:r w:rsidR="00CE3A7D">
        <w:rPr>
          <w:rFonts w:asciiTheme="minorHAnsi" w:hAnsiTheme="minorHAnsi" w:cstheme="minorHAnsi"/>
          <w:bCs/>
          <w:iCs/>
        </w:rPr>
        <w:t xml:space="preserve"> celkem 14</w:t>
      </w:r>
      <w:r w:rsidR="00967870">
        <w:rPr>
          <w:rFonts w:asciiTheme="minorHAnsi" w:hAnsiTheme="minorHAnsi" w:cstheme="minorHAnsi"/>
          <w:bCs/>
          <w:iCs/>
        </w:rPr>
        <w:t xml:space="preserve"> </w:t>
      </w:r>
      <w:r w:rsidR="00CE3A7D">
        <w:rPr>
          <w:rFonts w:asciiTheme="minorHAnsi" w:hAnsiTheme="minorHAnsi" w:cstheme="minorHAnsi"/>
          <w:bCs/>
          <w:iCs/>
        </w:rPr>
        <w:t>výzkumným organizacím</w:t>
      </w:r>
      <w:r w:rsidR="00241731">
        <w:rPr>
          <w:rFonts w:asciiTheme="minorHAnsi" w:hAnsiTheme="minorHAnsi" w:cstheme="minorHAnsi"/>
          <w:bCs/>
          <w:iCs/>
        </w:rPr>
        <w:t>,</w:t>
      </w:r>
      <w:r w:rsidRPr="00A82A70">
        <w:rPr>
          <w:rFonts w:asciiTheme="minorHAnsi" w:hAnsiTheme="minorHAnsi" w:cstheme="minorHAnsi"/>
          <w:bCs/>
          <w:iCs/>
        </w:rPr>
        <w:t xml:space="preserve"> </w:t>
      </w:r>
      <w:r w:rsidRPr="006115CB">
        <w:rPr>
          <w:rFonts w:asciiTheme="minorHAnsi" w:hAnsiTheme="minorHAnsi" w:cstheme="minorHAnsi"/>
          <w:b/>
          <w:bCs/>
          <w:iCs/>
        </w:rPr>
        <w:t>byla vynaložena</w:t>
      </w:r>
      <w:r>
        <w:rPr>
          <w:rFonts w:asciiTheme="minorHAnsi" w:hAnsiTheme="minorHAnsi" w:cstheme="minorHAnsi"/>
          <w:bCs/>
          <w:iCs/>
        </w:rPr>
        <w:t xml:space="preserve"> </w:t>
      </w:r>
      <w:r w:rsidRPr="00AB6DCE">
        <w:rPr>
          <w:rFonts w:asciiTheme="minorHAnsi" w:hAnsiTheme="minorHAnsi" w:cstheme="minorHAnsi"/>
          <w:b/>
          <w:bCs/>
          <w:iCs/>
        </w:rPr>
        <w:t>účelně</w:t>
      </w:r>
      <w:r w:rsidRPr="00C6334F">
        <w:rPr>
          <w:rFonts w:asciiTheme="minorHAnsi" w:hAnsiTheme="minorHAnsi" w:cstheme="minorHAnsi"/>
          <w:b/>
          <w:bCs/>
          <w:iCs/>
        </w:rPr>
        <w:t>.</w:t>
      </w:r>
      <w:r>
        <w:rPr>
          <w:rFonts w:asciiTheme="minorHAnsi" w:hAnsiTheme="minorHAnsi" w:cstheme="minorHAnsi"/>
          <w:bCs/>
          <w:iCs/>
        </w:rPr>
        <w:t xml:space="preserve"> </w:t>
      </w:r>
    </w:p>
    <w:bookmarkEnd w:id="5"/>
    <w:p w14:paraId="0867E842" w14:textId="79CCA7E0" w:rsidR="003E3A70" w:rsidRDefault="009531F6" w:rsidP="00E729C2">
      <w:pPr>
        <w:pStyle w:val="Nadpis2"/>
      </w:pPr>
      <w:r>
        <w:t xml:space="preserve">Podpora </w:t>
      </w:r>
      <w:r w:rsidR="00967870">
        <w:t xml:space="preserve">dlouhodobě podprůměrné </w:t>
      </w:r>
      <w:r>
        <w:t>výzkumné organizace</w:t>
      </w:r>
    </w:p>
    <w:p w14:paraId="23C8E1BC" w14:textId="54843633" w:rsidR="004622C3" w:rsidRPr="00A35300" w:rsidRDefault="004622C3" w:rsidP="00A35300">
      <w:pPr>
        <w:rPr>
          <w:color w:val="auto"/>
        </w:rPr>
      </w:pPr>
      <w:r>
        <w:t xml:space="preserve">Vstupní hodnocení výzkumných organizací </w:t>
      </w:r>
      <w:r w:rsidR="007C646D">
        <w:t>zahrnovalo</w:t>
      </w:r>
      <w:r>
        <w:t xml:space="preserve"> tři fáze a </w:t>
      </w:r>
      <w:r>
        <w:rPr>
          <w:lang w:eastAsia="cs-CZ"/>
        </w:rPr>
        <w:t xml:space="preserve">MPO </w:t>
      </w:r>
      <w:r w:rsidR="007C646D">
        <w:rPr>
          <w:lang w:eastAsia="cs-CZ"/>
        </w:rPr>
        <w:t xml:space="preserve">je </w:t>
      </w:r>
      <w:r>
        <w:rPr>
          <w:lang w:eastAsia="cs-CZ"/>
        </w:rPr>
        <w:t xml:space="preserve">nastavilo v souladu s Metodikou </w:t>
      </w:r>
      <w:r w:rsidRPr="00BA060F">
        <w:rPr>
          <w:rFonts w:eastAsiaTheme="minorHAnsi"/>
        </w:rPr>
        <w:t>2017+</w:t>
      </w:r>
      <w:r>
        <w:rPr>
          <w:rFonts w:eastAsiaTheme="minorHAnsi"/>
        </w:rPr>
        <w:t xml:space="preserve">. </w:t>
      </w:r>
      <w:r w:rsidR="00463BEF">
        <w:rPr>
          <w:rFonts w:eastAsiaTheme="minorHAnsi"/>
        </w:rPr>
        <w:t xml:space="preserve">Dle NKÚ </w:t>
      </w:r>
      <w:r w:rsidR="00463BEF" w:rsidRPr="004622C3">
        <w:rPr>
          <w:b/>
          <w:color w:val="auto"/>
        </w:rPr>
        <w:t xml:space="preserve">provedlo </w:t>
      </w:r>
      <w:r w:rsidR="00A35300" w:rsidRPr="004622C3">
        <w:rPr>
          <w:b/>
          <w:color w:val="auto"/>
        </w:rPr>
        <w:t xml:space="preserve">MPO </w:t>
      </w:r>
      <w:r w:rsidRPr="004622C3">
        <w:rPr>
          <w:b/>
          <w:color w:val="auto"/>
        </w:rPr>
        <w:t>vstupní hodnocení transparentně</w:t>
      </w:r>
      <w:r>
        <w:rPr>
          <w:b/>
          <w:color w:val="auto"/>
        </w:rPr>
        <w:t>, v souladu s principy definovanými v Metodice 2017</w:t>
      </w:r>
      <w:r w:rsidRPr="004622C3">
        <w:rPr>
          <w:rFonts w:eastAsiaTheme="minorHAnsi"/>
          <w:b/>
        </w:rPr>
        <w:t>+</w:t>
      </w:r>
      <w:r>
        <w:rPr>
          <w:rFonts w:eastAsiaTheme="minorHAnsi"/>
          <w:b/>
        </w:rPr>
        <w:t xml:space="preserve"> a </w:t>
      </w:r>
      <w:r w:rsidRPr="004622C3">
        <w:rPr>
          <w:b/>
          <w:color w:val="auto"/>
        </w:rPr>
        <w:t>podle předem stanovených kritérií</w:t>
      </w:r>
      <w:r w:rsidRPr="00C6334F">
        <w:rPr>
          <w:b/>
          <w:color w:val="auto"/>
        </w:rPr>
        <w:t>.</w:t>
      </w:r>
      <w:r>
        <w:rPr>
          <w:color w:val="auto"/>
        </w:rPr>
        <w:t xml:space="preserve"> První fáze vstupního hodnocení spočívala</w:t>
      </w:r>
      <w:r w:rsidR="00A35300">
        <w:rPr>
          <w:color w:val="auto"/>
        </w:rPr>
        <w:t xml:space="preserve"> v</w:t>
      </w:r>
      <w:r>
        <w:rPr>
          <w:color w:val="auto"/>
        </w:rPr>
        <w:t xml:space="preserve"> </w:t>
      </w:r>
      <w:r w:rsidR="00967870">
        <w:rPr>
          <w:color w:val="auto"/>
        </w:rPr>
        <w:t>posouzení</w:t>
      </w:r>
      <w:r w:rsidR="00A35300" w:rsidRPr="00A35300">
        <w:rPr>
          <w:color w:val="auto"/>
        </w:rPr>
        <w:t xml:space="preserve"> úplnost</w:t>
      </w:r>
      <w:r w:rsidR="00A35300">
        <w:rPr>
          <w:color w:val="auto"/>
        </w:rPr>
        <w:t>i</w:t>
      </w:r>
      <w:r w:rsidR="00A35300" w:rsidRPr="00A35300">
        <w:rPr>
          <w:color w:val="auto"/>
        </w:rPr>
        <w:t xml:space="preserve"> předložených podkladů</w:t>
      </w:r>
      <w:r w:rsidR="00967870">
        <w:rPr>
          <w:color w:val="auto"/>
        </w:rPr>
        <w:t>,</w:t>
      </w:r>
      <w:r w:rsidR="00A4441D">
        <w:rPr>
          <w:color w:val="auto"/>
        </w:rPr>
        <w:t xml:space="preserve"> </w:t>
      </w:r>
      <w:r w:rsidR="00967870">
        <w:rPr>
          <w:color w:val="auto"/>
        </w:rPr>
        <w:t>d</w:t>
      </w:r>
      <w:r w:rsidR="00A35300">
        <w:rPr>
          <w:color w:val="auto"/>
        </w:rPr>
        <w:t>ruhá fáze</w:t>
      </w:r>
      <w:r w:rsidR="00CA7CB1">
        <w:rPr>
          <w:color w:val="auto"/>
        </w:rPr>
        <w:t xml:space="preserve"> </w:t>
      </w:r>
      <w:r w:rsidR="00A35300">
        <w:rPr>
          <w:color w:val="auto"/>
        </w:rPr>
        <w:t>v</w:t>
      </w:r>
      <w:r w:rsidR="00B62CF2">
        <w:rPr>
          <w:color w:val="auto"/>
        </w:rPr>
        <w:t> </w:t>
      </w:r>
      <w:r w:rsidR="00A35300" w:rsidRPr="00A35300">
        <w:rPr>
          <w:color w:val="auto"/>
        </w:rPr>
        <w:t>hodno</w:t>
      </w:r>
      <w:r w:rsidR="00A35300">
        <w:rPr>
          <w:color w:val="auto"/>
        </w:rPr>
        <w:t>cení</w:t>
      </w:r>
      <w:r w:rsidR="00A35300" w:rsidRPr="00A35300">
        <w:rPr>
          <w:color w:val="auto"/>
        </w:rPr>
        <w:t xml:space="preserve"> </w:t>
      </w:r>
      <w:r w:rsidR="00A35300">
        <w:rPr>
          <w:color w:val="auto"/>
        </w:rPr>
        <w:t>s</w:t>
      </w:r>
      <w:r w:rsidR="00A35300" w:rsidRPr="00A35300">
        <w:rPr>
          <w:color w:val="auto"/>
        </w:rPr>
        <w:t xml:space="preserve">plnění kritérií pro poskytnutí podpory </w:t>
      </w:r>
      <w:r w:rsidR="00967870">
        <w:rPr>
          <w:color w:val="auto"/>
        </w:rPr>
        <w:t>– těmito kritérii</w:t>
      </w:r>
      <w:r w:rsidR="00CA7CB1">
        <w:rPr>
          <w:color w:val="auto"/>
        </w:rPr>
        <w:t xml:space="preserve"> byla</w:t>
      </w:r>
      <w:r w:rsidR="00A35300" w:rsidRPr="00A35300">
        <w:rPr>
          <w:color w:val="auto"/>
        </w:rPr>
        <w:t xml:space="preserve"> podmínk</w:t>
      </w:r>
      <w:r w:rsidR="00CA7CB1">
        <w:rPr>
          <w:color w:val="auto"/>
        </w:rPr>
        <w:t>a</w:t>
      </w:r>
      <w:r w:rsidR="00A35300" w:rsidRPr="00A35300">
        <w:rPr>
          <w:color w:val="auto"/>
        </w:rPr>
        <w:t xml:space="preserve"> existence výzkumné organizace jako právnické osoby </w:t>
      </w:r>
      <w:r w:rsidR="00615731">
        <w:rPr>
          <w:color w:val="auto"/>
        </w:rPr>
        <w:t xml:space="preserve">minimálně po dobu </w:t>
      </w:r>
      <w:r w:rsidR="00A35300" w:rsidRPr="00A35300">
        <w:rPr>
          <w:color w:val="auto"/>
        </w:rPr>
        <w:t>pět</w:t>
      </w:r>
      <w:r w:rsidR="00615731">
        <w:rPr>
          <w:color w:val="auto"/>
        </w:rPr>
        <w:t>i</w:t>
      </w:r>
      <w:r w:rsidR="00A35300" w:rsidRPr="00A35300">
        <w:rPr>
          <w:color w:val="auto"/>
        </w:rPr>
        <w:t xml:space="preserve"> let a soulad požadované institucionální podpory s </w:t>
      </w:r>
      <w:r w:rsidR="00A35300" w:rsidRPr="00C6334F">
        <w:rPr>
          <w:i/>
          <w:color w:val="auto"/>
        </w:rPr>
        <w:t>Rámcem pro státní podporu výzkumu, vývoje a</w:t>
      </w:r>
      <w:r w:rsidR="00967870">
        <w:rPr>
          <w:i/>
          <w:color w:val="auto"/>
        </w:rPr>
        <w:t xml:space="preserve"> </w:t>
      </w:r>
      <w:r w:rsidR="00A35300" w:rsidRPr="00C6334F">
        <w:rPr>
          <w:i/>
          <w:color w:val="auto"/>
        </w:rPr>
        <w:t>inovací</w:t>
      </w:r>
      <w:r w:rsidR="00615731">
        <w:rPr>
          <w:color w:val="auto"/>
        </w:rPr>
        <w:t>. V</w:t>
      </w:r>
      <w:r w:rsidR="00A4441D">
        <w:rPr>
          <w:color w:val="auto"/>
        </w:rPr>
        <w:t xml:space="preserve"> třetí fázi byly hodnoceny dlouhodobé koncepce rozvoje zpracované výzkumnými organizacemi.</w:t>
      </w:r>
      <w:r w:rsidR="00364C35">
        <w:rPr>
          <w:color w:val="auto"/>
        </w:rPr>
        <w:t xml:space="preserve"> První </w:t>
      </w:r>
      <w:r w:rsidR="00C53A34">
        <w:rPr>
          <w:color w:val="auto"/>
        </w:rPr>
        <w:br/>
      </w:r>
      <w:r w:rsidR="00364C35">
        <w:rPr>
          <w:color w:val="auto"/>
        </w:rPr>
        <w:t>a</w:t>
      </w:r>
      <w:r w:rsidR="00C53A34">
        <w:rPr>
          <w:color w:val="auto"/>
        </w:rPr>
        <w:t xml:space="preserve"> </w:t>
      </w:r>
      <w:r w:rsidR="00364C35">
        <w:rPr>
          <w:color w:val="auto"/>
        </w:rPr>
        <w:t>druhou fázi provedli zaměstnanci MPO a ve</w:t>
      </w:r>
      <w:r w:rsidR="00CA7CB1">
        <w:rPr>
          <w:color w:val="auto"/>
        </w:rPr>
        <w:t xml:space="preserve"> </w:t>
      </w:r>
      <w:r w:rsidR="00364C35">
        <w:rPr>
          <w:lang w:eastAsia="cs-CZ"/>
        </w:rPr>
        <w:t>t</w:t>
      </w:r>
      <w:r w:rsidR="00CA7CB1">
        <w:rPr>
          <w:lang w:eastAsia="cs-CZ"/>
        </w:rPr>
        <w:t xml:space="preserve">řetí fázi hodnotili </w:t>
      </w:r>
      <w:r w:rsidR="00364C35">
        <w:rPr>
          <w:lang w:eastAsia="cs-CZ"/>
        </w:rPr>
        <w:t>jednotlivé koncepce dlouhodobého rozvoje</w:t>
      </w:r>
      <w:r w:rsidR="00364C35" w:rsidRPr="008716B2">
        <w:rPr>
          <w:lang w:eastAsia="cs-CZ"/>
        </w:rPr>
        <w:t xml:space="preserve"> </w:t>
      </w:r>
      <w:r w:rsidR="00CA7CB1" w:rsidRPr="008716B2">
        <w:rPr>
          <w:lang w:eastAsia="cs-CZ"/>
        </w:rPr>
        <w:t>nezávisle na sobě dva členové Odborného poradního orgánu MPO</w:t>
      </w:r>
      <w:r w:rsidR="00CA7CB1">
        <w:rPr>
          <w:lang w:eastAsia="cs-CZ"/>
        </w:rPr>
        <w:t xml:space="preserve"> (dále také „hodnotitelé“)</w:t>
      </w:r>
      <w:r w:rsidR="00364C35">
        <w:rPr>
          <w:lang w:eastAsia="cs-CZ"/>
        </w:rPr>
        <w:t>.</w:t>
      </w:r>
    </w:p>
    <w:p w14:paraId="26CF2E55" w14:textId="6F0812DF" w:rsidR="00A21E42" w:rsidRDefault="00A21E42" w:rsidP="00A21E42"/>
    <w:p w14:paraId="55E91963" w14:textId="36BDC6B3" w:rsidR="00615731" w:rsidRDefault="00B57E1E" w:rsidP="00313416">
      <w:pPr>
        <w:rPr>
          <w:b/>
          <w:lang w:eastAsia="cs-CZ"/>
        </w:rPr>
      </w:pPr>
      <w:r>
        <w:rPr>
          <w:rFonts w:eastAsiaTheme="minorHAnsi"/>
        </w:rPr>
        <w:t xml:space="preserve">V souladu s povinností stanovenou v Metodice </w:t>
      </w:r>
      <w:r w:rsidR="004622C3" w:rsidRPr="00BA060F">
        <w:rPr>
          <w:rFonts w:eastAsiaTheme="minorHAnsi"/>
        </w:rPr>
        <w:t>2017+</w:t>
      </w:r>
      <w:r w:rsidR="00936FB2">
        <w:rPr>
          <w:rFonts w:eastAsiaTheme="minorHAnsi"/>
        </w:rPr>
        <w:t xml:space="preserve"> </w:t>
      </w:r>
      <w:r>
        <w:rPr>
          <w:rFonts w:eastAsiaTheme="minorHAnsi"/>
        </w:rPr>
        <w:t>provádělo MPO</w:t>
      </w:r>
      <w:r w:rsidR="00936FB2">
        <w:rPr>
          <w:rFonts w:eastAsiaTheme="minorHAnsi"/>
        </w:rPr>
        <w:t xml:space="preserve"> v letech 2019 až 2022 </w:t>
      </w:r>
      <w:r w:rsidR="00936FB2" w:rsidRPr="00301BEA">
        <w:rPr>
          <w:rFonts w:eastAsiaTheme="minorHAnsi"/>
          <w:b/>
        </w:rPr>
        <w:t>každoroční průběžné hodnocení</w:t>
      </w:r>
      <w:r w:rsidR="00936FB2" w:rsidRPr="00337DD2">
        <w:rPr>
          <w:rFonts w:eastAsiaTheme="minorHAnsi"/>
        </w:rPr>
        <w:t xml:space="preserve"> plnění dlouhodobých koncepcí rozvoje výzkumných or</w:t>
      </w:r>
      <w:r w:rsidR="00936FB2">
        <w:rPr>
          <w:rFonts w:eastAsiaTheme="minorHAnsi"/>
        </w:rPr>
        <w:t xml:space="preserve">ganizací. </w:t>
      </w:r>
      <w:r w:rsidR="00E14222">
        <w:rPr>
          <w:rFonts w:eastAsiaTheme="minorHAnsi"/>
        </w:rPr>
        <w:t xml:space="preserve">Dle </w:t>
      </w:r>
      <w:r w:rsidR="00E14222" w:rsidRPr="00B57E1E">
        <w:rPr>
          <w:rFonts w:asciiTheme="minorHAnsi" w:hAnsiTheme="minorHAnsi" w:cstheme="minorHAnsi"/>
          <w:bCs/>
          <w:iCs/>
        </w:rPr>
        <w:t>požadavk</w:t>
      </w:r>
      <w:r w:rsidR="00E14222">
        <w:rPr>
          <w:rFonts w:asciiTheme="minorHAnsi" w:hAnsiTheme="minorHAnsi" w:cstheme="minorHAnsi"/>
          <w:bCs/>
          <w:iCs/>
        </w:rPr>
        <w:t>u</w:t>
      </w:r>
      <w:r w:rsidR="00E14222" w:rsidRPr="00B57E1E">
        <w:rPr>
          <w:rFonts w:asciiTheme="minorHAnsi" w:hAnsiTheme="minorHAnsi" w:cstheme="minorHAnsi"/>
          <w:bCs/>
          <w:iCs/>
        </w:rPr>
        <w:t xml:space="preserve"> Metodiky 2017+ hodnotilo </w:t>
      </w:r>
      <w:r w:rsidRPr="00B57E1E">
        <w:rPr>
          <w:rFonts w:asciiTheme="minorHAnsi" w:hAnsiTheme="minorHAnsi" w:cstheme="minorHAnsi"/>
          <w:bCs/>
          <w:iCs/>
        </w:rPr>
        <w:t xml:space="preserve">MPO v rámci průběžného hodnocení </w:t>
      </w:r>
      <w:r w:rsidR="00E14222" w:rsidRPr="00B57E1E">
        <w:rPr>
          <w:rFonts w:asciiTheme="minorHAnsi" w:hAnsiTheme="minorHAnsi" w:cstheme="minorHAnsi"/>
          <w:bCs/>
          <w:iCs/>
        </w:rPr>
        <w:t xml:space="preserve">naplňování </w:t>
      </w:r>
      <w:r w:rsidR="00E14222">
        <w:rPr>
          <w:rFonts w:asciiTheme="minorHAnsi" w:hAnsiTheme="minorHAnsi" w:cstheme="minorHAnsi"/>
          <w:bCs/>
          <w:iCs/>
        </w:rPr>
        <w:t xml:space="preserve">těchto koncepcí, evaluace byla zaměřena především na </w:t>
      </w:r>
      <w:r>
        <w:rPr>
          <w:rFonts w:eastAsiaTheme="minorHAnsi"/>
        </w:rPr>
        <w:t>předložen</w:t>
      </w:r>
      <w:r w:rsidR="00E14222">
        <w:rPr>
          <w:rFonts w:eastAsiaTheme="minorHAnsi"/>
        </w:rPr>
        <w:t>é</w:t>
      </w:r>
      <w:r>
        <w:rPr>
          <w:rFonts w:eastAsiaTheme="minorHAnsi"/>
        </w:rPr>
        <w:t xml:space="preserve"> </w:t>
      </w:r>
      <w:r w:rsidR="00936FB2" w:rsidRPr="00337DD2">
        <w:rPr>
          <w:rFonts w:eastAsiaTheme="minorHAnsi"/>
          <w:b/>
        </w:rPr>
        <w:t>průběžn</w:t>
      </w:r>
      <w:r w:rsidR="00E14222">
        <w:rPr>
          <w:rFonts w:eastAsiaTheme="minorHAnsi"/>
          <w:b/>
        </w:rPr>
        <w:t>é</w:t>
      </w:r>
      <w:r w:rsidR="00936FB2" w:rsidRPr="00337DD2">
        <w:rPr>
          <w:rFonts w:eastAsiaTheme="minorHAnsi"/>
          <w:b/>
        </w:rPr>
        <w:t xml:space="preserve"> zpráv</w:t>
      </w:r>
      <w:r w:rsidR="00E14222">
        <w:rPr>
          <w:rFonts w:eastAsiaTheme="minorHAnsi"/>
          <w:b/>
        </w:rPr>
        <w:t>y</w:t>
      </w:r>
      <w:r w:rsidR="00936FB2" w:rsidRPr="00337DD2">
        <w:rPr>
          <w:rFonts w:eastAsiaTheme="minorHAnsi"/>
          <w:b/>
        </w:rPr>
        <w:t xml:space="preserve"> </w:t>
      </w:r>
      <w:r w:rsidR="00936FB2">
        <w:rPr>
          <w:rFonts w:eastAsiaTheme="minorHAnsi"/>
        </w:rPr>
        <w:t xml:space="preserve">za uplynulý rok </w:t>
      </w:r>
      <w:r w:rsidR="00E14222">
        <w:rPr>
          <w:rFonts w:eastAsiaTheme="minorHAnsi"/>
        </w:rPr>
        <w:t>a také na</w:t>
      </w:r>
      <w:r w:rsidR="00936FB2">
        <w:rPr>
          <w:rFonts w:eastAsiaTheme="minorHAnsi"/>
        </w:rPr>
        <w:t xml:space="preserve"> ověření </w:t>
      </w:r>
      <w:r w:rsidR="00936FB2" w:rsidRPr="007B5A1B">
        <w:rPr>
          <w:rFonts w:eastAsiaTheme="minorHAnsi"/>
        </w:rPr>
        <w:t>čerpání a užití institucionální podpory</w:t>
      </w:r>
      <w:r w:rsidR="00936FB2">
        <w:rPr>
          <w:rFonts w:eastAsiaTheme="minorHAnsi"/>
        </w:rPr>
        <w:t xml:space="preserve"> nezávislým auditorem</w:t>
      </w:r>
      <w:r>
        <w:rPr>
          <w:rFonts w:eastAsiaTheme="minorHAnsi"/>
        </w:rPr>
        <w:t xml:space="preserve">. </w:t>
      </w:r>
      <w:r w:rsidRPr="008F5B2D">
        <w:rPr>
          <w:rFonts w:eastAsiaTheme="minorHAnsi"/>
        </w:rPr>
        <w:t xml:space="preserve">MPO </w:t>
      </w:r>
      <w:r>
        <w:rPr>
          <w:rFonts w:eastAsiaTheme="minorHAnsi"/>
        </w:rPr>
        <w:t xml:space="preserve">obdrželo </w:t>
      </w:r>
      <w:r w:rsidRPr="008F5B2D">
        <w:rPr>
          <w:rFonts w:eastAsiaTheme="minorHAnsi"/>
        </w:rPr>
        <w:t>průběžné zprávy</w:t>
      </w:r>
      <w:r>
        <w:rPr>
          <w:rFonts w:eastAsiaTheme="minorHAnsi"/>
        </w:rPr>
        <w:t xml:space="preserve"> za roky 2018 až 2021</w:t>
      </w:r>
      <w:r w:rsidRPr="008F5B2D">
        <w:rPr>
          <w:rFonts w:eastAsiaTheme="minorHAnsi"/>
        </w:rPr>
        <w:t xml:space="preserve"> od</w:t>
      </w:r>
      <w:r w:rsidR="00E14222">
        <w:rPr>
          <w:rFonts w:eastAsiaTheme="minorHAnsi"/>
        </w:rPr>
        <w:t xml:space="preserve"> </w:t>
      </w:r>
      <w:r w:rsidRPr="008F5B2D">
        <w:rPr>
          <w:rFonts w:eastAsiaTheme="minorHAnsi"/>
        </w:rPr>
        <w:t>všech</w:t>
      </w:r>
      <w:r>
        <w:rPr>
          <w:rFonts w:eastAsiaTheme="minorHAnsi"/>
        </w:rPr>
        <w:t xml:space="preserve"> podpořených </w:t>
      </w:r>
      <w:r w:rsidRPr="008F5B2D">
        <w:rPr>
          <w:rFonts w:eastAsiaTheme="minorHAnsi"/>
        </w:rPr>
        <w:t>výzkumných organizací</w:t>
      </w:r>
      <w:r w:rsidR="003B6F97">
        <w:rPr>
          <w:rFonts w:eastAsiaTheme="minorHAnsi"/>
        </w:rPr>
        <w:t>.</w:t>
      </w:r>
      <w:r>
        <w:rPr>
          <w:rFonts w:eastAsiaTheme="minorHAnsi"/>
        </w:rPr>
        <w:t xml:space="preserve"> </w:t>
      </w:r>
      <w:r w:rsidR="003B6F97">
        <w:rPr>
          <w:rFonts w:eastAsiaTheme="minorHAnsi"/>
        </w:rPr>
        <w:t xml:space="preserve">Na základě výsledků vstupního a průběžného hodnocení zařazovalo </w:t>
      </w:r>
      <w:r w:rsidR="00E14222">
        <w:rPr>
          <w:rFonts w:eastAsiaTheme="minorHAnsi"/>
        </w:rPr>
        <w:lastRenderedPageBreak/>
        <w:t xml:space="preserve">MPO </w:t>
      </w:r>
      <w:r w:rsidR="003B6F97">
        <w:rPr>
          <w:rFonts w:eastAsiaTheme="minorHAnsi"/>
        </w:rPr>
        <w:t>v letech 2018 až 2022 výzkumné organizace do kategorií</w:t>
      </w:r>
      <w:r>
        <w:rPr>
          <w:rFonts w:eastAsiaTheme="minorHAnsi"/>
        </w:rPr>
        <w:t xml:space="preserve"> </w:t>
      </w:r>
      <w:r w:rsidRPr="005919F6">
        <w:rPr>
          <w:b/>
          <w:lang w:eastAsia="cs-CZ"/>
        </w:rPr>
        <w:t>A</w:t>
      </w:r>
      <w:r>
        <w:rPr>
          <w:b/>
          <w:lang w:eastAsia="cs-CZ"/>
        </w:rPr>
        <w:t xml:space="preserve"> až </w:t>
      </w:r>
      <w:r w:rsidRPr="005919F6">
        <w:rPr>
          <w:b/>
          <w:lang w:eastAsia="cs-CZ"/>
        </w:rPr>
        <w:t xml:space="preserve">D </w:t>
      </w:r>
      <w:r w:rsidRPr="00B57E1E">
        <w:rPr>
          <w:b/>
          <w:lang w:eastAsia="cs-CZ"/>
        </w:rPr>
        <w:t xml:space="preserve">(A – vynikající, </w:t>
      </w:r>
      <w:r w:rsidR="00FA1437">
        <w:rPr>
          <w:b/>
          <w:lang w:eastAsia="cs-CZ"/>
        </w:rPr>
        <w:br/>
      </w:r>
      <w:r w:rsidRPr="00B57E1E">
        <w:rPr>
          <w:b/>
          <w:lang w:eastAsia="cs-CZ"/>
        </w:rPr>
        <w:t>B</w:t>
      </w:r>
      <w:r w:rsidR="00E14222">
        <w:rPr>
          <w:b/>
          <w:lang w:eastAsia="cs-CZ"/>
        </w:rPr>
        <w:t> </w:t>
      </w:r>
      <w:r w:rsidRPr="00B57E1E">
        <w:rPr>
          <w:b/>
          <w:lang w:eastAsia="cs-CZ"/>
        </w:rPr>
        <w:t>–</w:t>
      </w:r>
      <w:r w:rsidR="00E14222">
        <w:rPr>
          <w:b/>
          <w:lang w:eastAsia="cs-CZ"/>
        </w:rPr>
        <w:t> </w:t>
      </w:r>
      <w:r w:rsidRPr="00B57E1E">
        <w:rPr>
          <w:b/>
          <w:lang w:eastAsia="cs-CZ"/>
        </w:rPr>
        <w:t>velmi dobrá, C –</w:t>
      </w:r>
      <w:r w:rsidR="00CA7CB1">
        <w:rPr>
          <w:b/>
          <w:lang w:eastAsia="cs-CZ"/>
        </w:rPr>
        <w:t xml:space="preserve"> </w:t>
      </w:r>
      <w:r w:rsidRPr="00B57E1E">
        <w:rPr>
          <w:b/>
          <w:lang w:eastAsia="cs-CZ"/>
        </w:rPr>
        <w:t>průměrná, D – podprůměrná).</w:t>
      </w:r>
    </w:p>
    <w:p w14:paraId="74CD21B4" w14:textId="77777777" w:rsidR="00F21EAA" w:rsidRDefault="00F21EAA" w:rsidP="00313416">
      <w:pPr>
        <w:rPr>
          <w:b/>
          <w:lang w:eastAsia="cs-CZ"/>
        </w:rPr>
      </w:pPr>
    </w:p>
    <w:p w14:paraId="54731741" w14:textId="6C3204A5" w:rsidR="000F1BD3" w:rsidRPr="00313416" w:rsidRDefault="00B62CF2" w:rsidP="00C6334F">
      <w:pPr>
        <w:keepNext/>
        <w:rPr>
          <w:b/>
          <w:lang w:eastAsia="cs-CZ"/>
        </w:rPr>
      </w:pPr>
      <w:r w:rsidRPr="005831EA">
        <w:rPr>
          <w:rFonts w:eastAsiaTheme="minorHAnsi"/>
          <w:b/>
        </w:rPr>
        <w:t xml:space="preserve">Tabulka č. 1: </w:t>
      </w:r>
      <w:r w:rsidR="00B57E1E" w:rsidRPr="005831EA">
        <w:rPr>
          <w:rFonts w:eastAsiaTheme="minorHAnsi"/>
          <w:b/>
        </w:rPr>
        <w:t>Výsledky vstupního a průběžného hodnocení</w:t>
      </w:r>
      <w:r w:rsidR="00B903B5" w:rsidRPr="005831EA">
        <w:rPr>
          <w:rFonts w:eastAsiaTheme="minorHAnsi"/>
          <w:b/>
        </w:rPr>
        <w:t xml:space="preserve"> výzkumných organizací</w:t>
      </w:r>
    </w:p>
    <w:tbl>
      <w:tblPr>
        <w:tblStyle w:val="Mkatabulky"/>
        <w:tblW w:w="9072" w:type="dxa"/>
        <w:tblInd w:w="108" w:type="dxa"/>
        <w:tblLook w:val="04A0" w:firstRow="1" w:lastRow="0" w:firstColumn="1" w:lastColumn="0" w:noHBand="0" w:noVBand="1"/>
      </w:tblPr>
      <w:tblGrid>
        <w:gridCol w:w="4536"/>
        <w:gridCol w:w="1134"/>
        <w:gridCol w:w="851"/>
        <w:gridCol w:w="850"/>
        <w:gridCol w:w="851"/>
        <w:gridCol w:w="850"/>
      </w:tblGrid>
      <w:tr w:rsidR="00457588" w:rsidRPr="00457588" w14:paraId="0B322838" w14:textId="77777777" w:rsidTr="00D72489">
        <w:tc>
          <w:tcPr>
            <w:tcW w:w="4536" w:type="dxa"/>
            <w:vMerge w:val="restart"/>
            <w:shd w:val="clear" w:color="auto" w:fill="E5F1FF"/>
            <w:vAlign w:val="center"/>
          </w:tcPr>
          <w:p w14:paraId="1C77D396" w14:textId="544E7786" w:rsidR="00457588" w:rsidRPr="000162F2" w:rsidRDefault="00457588" w:rsidP="00C6334F">
            <w:pPr>
              <w:keepNext/>
              <w:rPr>
                <w:b/>
                <w:bCs/>
                <w:sz w:val="20"/>
                <w:szCs w:val="20"/>
              </w:rPr>
            </w:pPr>
            <w:r w:rsidRPr="000162F2">
              <w:rPr>
                <w:b/>
                <w:bCs/>
                <w:sz w:val="20"/>
                <w:szCs w:val="20"/>
              </w:rPr>
              <w:t>Výzkumná organizac</w:t>
            </w:r>
            <w:r w:rsidR="000162F2">
              <w:rPr>
                <w:b/>
                <w:bCs/>
                <w:sz w:val="20"/>
                <w:szCs w:val="20"/>
              </w:rPr>
              <w:t xml:space="preserve">e </w:t>
            </w:r>
          </w:p>
        </w:tc>
        <w:tc>
          <w:tcPr>
            <w:tcW w:w="1134" w:type="dxa"/>
            <w:vMerge w:val="restart"/>
            <w:shd w:val="clear" w:color="auto" w:fill="E5F1FF"/>
            <w:vAlign w:val="center"/>
          </w:tcPr>
          <w:p w14:paraId="2622C575" w14:textId="35836B94" w:rsidR="00457588" w:rsidRPr="000162F2" w:rsidRDefault="00457588" w:rsidP="00C6334F">
            <w:pPr>
              <w:keepNext/>
              <w:jc w:val="center"/>
              <w:rPr>
                <w:b/>
                <w:bCs/>
                <w:sz w:val="20"/>
                <w:szCs w:val="20"/>
              </w:rPr>
            </w:pPr>
            <w:r w:rsidRPr="000162F2">
              <w:rPr>
                <w:b/>
                <w:bCs/>
                <w:sz w:val="20"/>
                <w:szCs w:val="20"/>
              </w:rPr>
              <w:t>Vstupní hodnocení</w:t>
            </w:r>
          </w:p>
        </w:tc>
        <w:tc>
          <w:tcPr>
            <w:tcW w:w="3402" w:type="dxa"/>
            <w:gridSpan w:val="4"/>
            <w:shd w:val="clear" w:color="auto" w:fill="E5F1FF"/>
            <w:vAlign w:val="center"/>
          </w:tcPr>
          <w:p w14:paraId="1764A59D" w14:textId="5A481745" w:rsidR="00457588" w:rsidRPr="000162F2" w:rsidRDefault="00457588" w:rsidP="00C6334F">
            <w:pPr>
              <w:keepNext/>
              <w:jc w:val="center"/>
              <w:rPr>
                <w:b/>
                <w:bCs/>
                <w:sz w:val="20"/>
                <w:szCs w:val="20"/>
              </w:rPr>
            </w:pPr>
            <w:r w:rsidRPr="000162F2">
              <w:rPr>
                <w:b/>
                <w:bCs/>
                <w:sz w:val="20"/>
                <w:szCs w:val="20"/>
              </w:rPr>
              <w:t>Průběžné hodnocení</w:t>
            </w:r>
            <w:r w:rsidR="00B57E1E">
              <w:rPr>
                <w:b/>
                <w:bCs/>
                <w:sz w:val="20"/>
                <w:szCs w:val="20"/>
              </w:rPr>
              <w:t xml:space="preserve"> za rok</w:t>
            </w:r>
          </w:p>
        </w:tc>
      </w:tr>
      <w:tr w:rsidR="00457588" w:rsidRPr="00457588" w14:paraId="5FD3A09D" w14:textId="77777777" w:rsidTr="00D72489">
        <w:tc>
          <w:tcPr>
            <w:tcW w:w="4536" w:type="dxa"/>
            <w:vMerge/>
            <w:shd w:val="clear" w:color="auto" w:fill="E5F1FF"/>
            <w:vAlign w:val="center"/>
          </w:tcPr>
          <w:p w14:paraId="1E3D97F4" w14:textId="77777777" w:rsidR="00457588" w:rsidRPr="000162F2" w:rsidRDefault="00457588" w:rsidP="00A21E42">
            <w:pPr>
              <w:rPr>
                <w:b/>
                <w:bCs/>
                <w:sz w:val="20"/>
                <w:szCs w:val="20"/>
              </w:rPr>
            </w:pPr>
          </w:p>
        </w:tc>
        <w:tc>
          <w:tcPr>
            <w:tcW w:w="1134" w:type="dxa"/>
            <w:vMerge/>
            <w:shd w:val="clear" w:color="auto" w:fill="E5F1FF"/>
            <w:vAlign w:val="center"/>
          </w:tcPr>
          <w:p w14:paraId="4A068569" w14:textId="77777777" w:rsidR="00457588" w:rsidRPr="000162F2" w:rsidRDefault="00457588" w:rsidP="00457588">
            <w:pPr>
              <w:jc w:val="center"/>
              <w:rPr>
                <w:b/>
                <w:bCs/>
                <w:sz w:val="20"/>
                <w:szCs w:val="20"/>
              </w:rPr>
            </w:pPr>
          </w:p>
        </w:tc>
        <w:tc>
          <w:tcPr>
            <w:tcW w:w="851" w:type="dxa"/>
            <w:shd w:val="clear" w:color="auto" w:fill="E5F1FF"/>
            <w:vAlign w:val="center"/>
          </w:tcPr>
          <w:p w14:paraId="7738F165" w14:textId="3C1B1FA1" w:rsidR="00457588" w:rsidRPr="000162F2" w:rsidRDefault="00457588" w:rsidP="00457588">
            <w:pPr>
              <w:jc w:val="center"/>
              <w:rPr>
                <w:b/>
                <w:bCs/>
                <w:sz w:val="20"/>
                <w:szCs w:val="20"/>
              </w:rPr>
            </w:pPr>
            <w:r w:rsidRPr="000162F2">
              <w:rPr>
                <w:b/>
                <w:bCs/>
                <w:sz w:val="20"/>
                <w:szCs w:val="20"/>
              </w:rPr>
              <w:t>2018</w:t>
            </w:r>
          </w:p>
        </w:tc>
        <w:tc>
          <w:tcPr>
            <w:tcW w:w="850" w:type="dxa"/>
            <w:shd w:val="clear" w:color="auto" w:fill="E5F1FF"/>
            <w:vAlign w:val="center"/>
          </w:tcPr>
          <w:p w14:paraId="5E91B13E" w14:textId="6CAF045F" w:rsidR="00457588" w:rsidRPr="000162F2" w:rsidRDefault="00457588" w:rsidP="00457588">
            <w:pPr>
              <w:jc w:val="center"/>
              <w:rPr>
                <w:b/>
                <w:bCs/>
                <w:sz w:val="20"/>
                <w:szCs w:val="20"/>
              </w:rPr>
            </w:pPr>
            <w:r w:rsidRPr="000162F2">
              <w:rPr>
                <w:b/>
                <w:bCs/>
                <w:sz w:val="20"/>
                <w:szCs w:val="20"/>
              </w:rPr>
              <w:t>2019</w:t>
            </w:r>
          </w:p>
        </w:tc>
        <w:tc>
          <w:tcPr>
            <w:tcW w:w="851" w:type="dxa"/>
            <w:shd w:val="clear" w:color="auto" w:fill="E5F1FF"/>
            <w:vAlign w:val="center"/>
          </w:tcPr>
          <w:p w14:paraId="1649739D" w14:textId="63CA8C63" w:rsidR="00457588" w:rsidRPr="000162F2" w:rsidRDefault="00457588" w:rsidP="00457588">
            <w:pPr>
              <w:jc w:val="center"/>
              <w:rPr>
                <w:b/>
                <w:bCs/>
                <w:sz w:val="20"/>
                <w:szCs w:val="20"/>
              </w:rPr>
            </w:pPr>
            <w:r w:rsidRPr="000162F2">
              <w:rPr>
                <w:b/>
                <w:bCs/>
                <w:sz w:val="20"/>
                <w:szCs w:val="20"/>
              </w:rPr>
              <w:t>2020</w:t>
            </w:r>
          </w:p>
        </w:tc>
        <w:tc>
          <w:tcPr>
            <w:tcW w:w="850" w:type="dxa"/>
            <w:shd w:val="clear" w:color="auto" w:fill="E5F1FF"/>
            <w:vAlign w:val="center"/>
          </w:tcPr>
          <w:p w14:paraId="1AE50A94" w14:textId="06F4F7DD" w:rsidR="00457588" w:rsidRPr="000162F2" w:rsidRDefault="00457588" w:rsidP="00457588">
            <w:pPr>
              <w:jc w:val="center"/>
              <w:rPr>
                <w:b/>
                <w:bCs/>
                <w:sz w:val="20"/>
                <w:szCs w:val="20"/>
              </w:rPr>
            </w:pPr>
            <w:r w:rsidRPr="000162F2">
              <w:rPr>
                <w:b/>
                <w:bCs/>
                <w:sz w:val="20"/>
                <w:szCs w:val="20"/>
              </w:rPr>
              <w:t>2021</w:t>
            </w:r>
          </w:p>
        </w:tc>
      </w:tr>
      <w:tr w:rsidR="000162F2" w:rsidRPr="00457588" w14:paraId="5DABB488" w14:textId="77777777" w:rsidTr="00D72489">
        <w:tc>
          <w:tcPr>
            <w:tcW w:w="4536" w:type="dxa"/>
          </w:tcPr>
          <w:p w14:paraId="54C58080" w14:textId="2C3A429B" w:rsidR="00457588" w:rsidRPr="00457588" w:rsidRDefault="00457588" w:rsidP="00457588">
            <w:pPr>
              <w:rPr>
                <w:sz w:val="20"/>
                <w:szCs w:val="20"/>
              </w:rPr>
            </w:pPr>
            <w:r w:rsidRPr="003D1B44">
              <w:rPr>
                <w:rFonts w:eastAsia="Calibri"/>
                <w:sz w:val="20"/>
                <w:szCs w:val="20"/>
              </w:rPr>
              <w:t xml:space="preserve">Centrum organické chemie s.r.o. </w:t>
            </w:r>
          </w:p>
        </w:tc>
        <w:tc>
          <w:tcPr>
            <w:tcW w:w="1134" w:type="dxa"/>
            <w:vAlign w:val="center"/>
          </w:tcPr>
          <w:p w14:paraId="72DA2EF5" w14:textId="3628D3B8" w:rsidR="00457588" w:rsidRPr="00457588" w:rsidRDefault="00457588" w:rsidP="00457588">
            <w:pPr>
              <w:jc w:val="center"/>
              <w:rPr>
                <w:sz w:val="20"/>
                <w:szCs w:val="20"/>
              </w:rPr>
            </w:pPr>
            <w:r w:rsidRPr="003D1B44">
              <w:rPr>
                <w:rFonts w:eastAsia="Calibri"/>
                <w:sz w:val="20"/>
                <w:szCs w:val="20"/>
              </w:rPr>
              <w:t>B</w:t>
            </w:r>
          </w:p>
        </w:tc>
        <w:tc>
          <w:tcPr>
            <w:tcW w:w="851" w:type="dxa"/>
          </w:tcPr>
          <w:p w14:paraId="374870BB" w14:textId="65A39B23" w:rsidR="00457588" w:rsidRPr="00457588" w:rsidRDefault="00457588" w:rsidP="00457588">
            <w:pPr>
              <w:jc w:val="center"/>
              <w:rPr>
                <w:sz w:val="20"/>
                <w:szCs w:val="20"/>
              </w:rPr>
            </w:pPr>
            <w:r>
              <w:rPr>
                <w:rFonts w:eastAsia="Calibri"/>
                <w:sz w:val="20"/>
                <w:szCs w:val="20"/>
              </w:rPr>
              <w:t>C</w:t>
            </w:r>
          </w:p>
        </w:tc>
        <w:tc>
          <w:tcPr>
            <w:tcW w:w="850" w:type="dxa"/>
          </w:tcPr>
          <w:p w14:paraId="711975FF" w14:textId="50837DA8" w:rsidR="00457588" w:rsidRPr="00457588" w:rsidRDefault="00457588" w:rsidP="00457588">
            <w:pPr>
              <w:jc w:val="center"/>
              <w:rPr>
                <w:sz w:val="20"/>
                <w:szCs w:val="20"/>
              </w:rPr>
            </w:pPr>
            <w:r>
              <w:rPr>
                <w:rFonts w:eastAsia="Calibri"/>
                <w:sz w:val="20"/>
                <w:szCs w:val="20"/>
              </w:rPr>
              <w:t>B</w:t>
            </w:r>
          </w:p>
        </w:tc>
        <w:tc>
          <w:tcPr>
            <w:tcW w:w="851" w:type="dxa"/>
          </w:tcPr>
          <w:p w14:paraId="78D09D16" w14:textId="5F787E1B" w:rsidR="00457588" w:rsidRPr="00457588" w:rsidRDefault="00457588" w:rsidP="00457588">
            <w:pPr>
              <w:jc w:val="center"/>
              <w:rPr>
                <w:sz w:val="20"/>
                <w:szCs w:val="20"/>
              </w:rPr>
            </w:pPr>
            <w:r>
              <w:rPr>
                <w:rFonts w:eastAsia="Calibri"/>
                <w:sz w:val="20"/>
                <w:szCs w:val="20"/>
              </w:rPr>
              <w:t>C</w:t>
            </w:r>
          </w:p>
        </w:tc>
        <w:tc>
          <w:tcPr>
            <w:tcW w:w="850" w:type="dxa"/>
          </w:tcPr>
          <w:p w14:paraId="76275318" w14:textId="2C8AB71D" w:rsidR="00457588" w:rsidRPr="00457588" w:rsidRDefault="00457588" w:rsidP="00457588">
            <w:pPr>
              <w:jc w:val="center"/>
              <w:rPr>
                <w:sz w:val="20"/>
                <w:szCs w:val="20"/>
              </w:rPr>
            </w:pPr>
            <w:r>
              <w:rPr>
                <w:sz w:val="20"/>
                <w:szCs w:val="20"/>
              </w:rPr>
              <w:t>C</w:t>
            </w:r>
          </w:p>
        </w:tc>
      </w:tr>
      <w:tr w:rsidR="000162F2" w:rsidRPr="00457588" w14:paraId="2A05F3B1" w14:textId="77777777" w:rsidTr="00D72489">
        <w:tc>
          <w:tcPr>
            <w:tcW w:w="4536" w:type="dxa"/>
          </w:tcPr>
          <w:p w14:paraId="1F39A624" w14:textId="5219EE9A" w:rsidR="00457588" w:rsidRPr="00457588" w:rsidRDefault="00457588" w:rsidP="00457588">
            <w:pPr>
              <w:rPr>
                <w:sz w:val="20"/>
                <w:szCs w:val="20"/>
              </w:rPr>
            </w:pPr>
            <w:r w:rsidRPr="003D1B44">
              <w:rPr>
                <w:rFonts w:eastAsia="Calibri"/>
                <w:sz w:val="20"/>
                <w:szCs w:val="20"/>
              </w:rPr>
              <w:t xml:space="preserve">Centrum výzkumu Řež s.r.o. </w:t>
            </w:r>
          </w:p>
        </w:tc>
        <w:tc>
          <w:tcPr>
            <w:tcW w:w="1134" w:type="dxa"/>
            <w:vAlign w:val="center"/>
          </w:tcPr>
          <w:p w14:paraId="5B10627C" w14:textId="574F1687" w:rsidR="00457588" w:rsidRPr="00457588" w:rsidRDefault="00457588" w:rsidP="00457588">
            <w:pPr>
              <w:jc w:val="center"/>
              <w:rPr>
                <w:sz w:val="20"/>
                <w:szCs w:val="20"/>
              </w:rPr>
            </w:pPr>
            <w:r w:rsidRPr="003D1B44">
              <w:rPr>
                <w:rFonts w:eastAsia="Calibri"/>
                <w:sz w:val="20"/>
                <w:szCs w:val="20"/>
              </w:rPr>
              <w:t>C</w:t>
            </w:r>
          </w:p>
        </w:tc>
        <w:tc>
          <w:tcPr>
            <w:tcW w:w="851" w:type="dxa"/>
          </w:tcPr>
          <w:p w14:paraId="1E9F1B95" w14:textId="609F9D30" w:rsidR="00457588" w:rsidRPr="00457588" w:rsidRDefault="00457588" w:rsidP="00457588">
            <w:pPr>
              <w:jc w:val="center"/>
              <w:rPr>
                <w:sz w:val="20"/>
                <w:szCs w:val="20"/>
              </w:rPr>
            </w:pPr>
            <w:r>
              <w:rPr>
                <w:rFonts w:eastAsia="Calibri"/>
                <w:sz w:val="20"/>
                <w:szCs w:val="20"/>
              </w:rPr>
              <w:t>C</w:t>
            </w:r>
          </w:p>
        </w:tc>
        <w:tc>
          <w:tcPr>
            <w:tcW w:w="850" w:type="dxa"/>
          </w:tcPr>
          <w:p w14:paraId="58F1EDE8" w14:textId="665E297B" w:rsidR="00457588" w:rsidRPr="00457588" w:rsidRDefault="00457588" w:rsidP="00457588">
            <w:pPr>
              <w:jc w:val="center"/>
              <w:rPr>
                <w:sz w:val="20"/>
                <w:szCs w:val="20"/>
              </w:rPr>
            </w:pPr>
            <w:r>
              <w:rPr>
                <w:rFonts w:eastAsia="Calibri"/>
                <w:sz w:val="20"/>
                <w:szCs w:val="20"/>
              </w:rPr>
              <w:t>C</w:t>
            </w:r>
          </w:p>
        </w:tc>
        <w:tc>
          <w:tcPr>
            <w:tcW w:w="851" w:type="dxa"/>
          </w:tcPr>
          <w:p w14:paraId="5440C1C2" w14:textId="456A34DE" w:rsidR="00457588" w:rsidRPr="00457588" w:rsidRDefault="00457588" w:rsidP="00457588">
            <w:pPr>
              <w:jc w:val="center"/>
              <w:rPr>
                <w:sz w:val="20"/>
                <w:szCs w:val="20"/>
              </w:rPr>
            </w:pPr>
            <w:r>
              <w:rPr>
                <w:rFonts w:eastAsia="Calibri"/>
                <w:sz w:val="20"/>
                <w:szCs w:val="20"/>
              </w:rPr>
              <w:t>C</w:t>
            </w:r>
          </w:p>
        </w:tc>
        <w:tc>
          <w:tcPr>
            <w:tcW w:w="850" w:type="dxa"/>
          </w:tcPr>
          <w:p w14:paraId="53561F92" w14:textId="167AF2AE" w:rsidR="00457588" w:rsidRPr="00457588" w:rsidRDefault="00457588" w:rsidP="00457588">
            <w:pPr>
              <w:jc w:val="center"/>
              <w:rPr>
                <w:sz w:val="20"/>
                <w:szCs w:val="20"/>
              </w:rPr>
            </w:pPr>
            <w:r>
              <w:rPr>
                <w:sz w:val="20"/>
                <w:szCs w:val="20"/>
              </w:rPr>
              <w:t>C</w:t>
            </w:r>
          </w:p>
        </w:tc>
      </w:tr>
      <w:tr w:rsidR="00457588" w:rsidRPr="00457588" w14:paraId="7C282C3E" w14:textId="77777777" w:rsidTr="00D72489">
        <w:tc>
          <w:tcPr>
            <w:tcW w:w="4536" w:type="dxa"/>
          </w:tcPr>
          <w:p w14:paraId="4AC69EF3" w14:textId="47E36FEC" w:rsidR="00457588" w:rsidRPr="00457588" w:rsidRDefault="00457588" w:rsidP="00457588">
            <w:pPr>
              <w:rPr>
                <w:sz w:val="20"/>
                <w:szCs w:val="20"/>
              </w:rPr>
            </w:pPr>
            <w:r w:rsidRPr="003D1B44">
              <w:rPr>
                <w:rFonts w:eastAsia="Calibri"/>
                <w:sz w:val="20"/>
                <w:szCs w:val="20"/>
              </w:rPr>
              <w:t xml:space="preserve">COMTES FHT a.s. </w:t>
            </w:r>
          </w:p>
        </w:tc>
        <w:tc>
          <w:tcPr>
            <w:tcW w:w="1134" w:type="dxa"/>
            <w:vAlign w:val="center"/>
          </w:tcPr>
          <w:p w14:paraId="40CCA9BE" w14:textId="10202D56" w:rsidR="00457588" w:rsidRPr="00457588" w:rsidRDefault="00457588" w:rsidP="00457588">
            <w:pPr>
              <w:jc w:val="center"/>
              <w:rPr>
                <w:sz w:val="20"/>
                <w:szCs w:val="20"/>
              </w:rPr>
            </w:pPr>
            <w:r w:rsidRPr="003D1B44">
              <w:rPr>
                <w:rFonts w:eastAsia="Calibri"/>
                <w:sz w:val="20"/>
                <w:szCs w:val="20"/>
              </w:rPr>
              <w:t>A</w:t>
            </w:r>
          </w:p>
        </w:tc>
        <w:tc>
          <w:tcPr>
            <w:tcW w:w="851" w:type="dxa"/>
          </w:tcPr>
          <w:p w14:paraId="0698B339" w14:textId="05BCC260" w:rsidR="00457588" w:rsidRPr="00457588" w:rsidRDefault="00457588" w:rsidP="00457588">
            <w:pPr>
              <w:jc w:val="center"/>
              <w:rPr>
                <w:sz w:val="20"/>
                <w:szCs w:val="20"/>
              </w:rPr>
            </w:pPr>
            <w:r>
              <w:rPr>
                <w:rFonts w:eastAsia="Calibri"/>
                <w:sz w:val="20"/>
                <w:szCs w:val="20"/>
              </w:rPr>
              <w:t>A</w:t>
            </w:r>
          </w:p>
        </w:tc>
        <w:tc>
          <w:tcPr>
            <w:tcW w:w="850" w:type="dxa"/>
          </w:tcPr>
          <w:p w14:paraId="2B2032FA" w14:textId="35798317" w:rsidR="00457588" w:rsidRPr="00457588" w:rsidRDefault="00457588" w:rsidP="00457588">
            <w:pPr>
              <w:jc w:val="center"/>
              <w:rPr>
                <w:sz w:val="20"/>
                <w:szCs w:val="20"/>
              </w:rPr>
            </w:pPr>
            <w:r>
              <w:rPr>
                <w:rFonts w:eastAsia="Calibri"/>
                <w:sz w:val="20"/>
                <w:szCs w:val="20"/>
              </w:rPr>
              <w:t>A</w:t>
            </w:r>
          </w:p>
        </w:tc>
        <w:tc>
          <w:tcPr>
            <w:tcW w:w="851" w:type="dxa"/>
          </w:tcPr>
          <w:p w14:paraId="0D506D2D" w14:textId="11A6D543" w:rsidR="00457588" w:rsidRPr="00457588" w:rsidRDefault="00457588" w:rsidP="00457588">
            <w:pPr>
              <w:jc w:val="center"/>
              <w:rPr>
                <w:sz w:val="20"/>
                <w:szCs w:val="20"/>
              </w:rPr>
            </w:pPr>
            <w:r>
              <w:rPr>
                <w:rFonts w:eastAsia="Calibri"/>
                <w:sz w:val="20"/>
                <w:szCs w:val="20"/>
              </w:rPr>
              <w:t>A</w:t>
            </w:r>
          </w:p>
        </w:tc>
        <w:tc>
          <w:tcPr>
            <w:tcW w:w="850" w:type="dxa"/>
          </w:tcPr>
          <w:p w14:paraId="61790E58" w14:textId="48501EE4" w:rsidR="00457588" w:rsidRPr="00457588" w:rsidRDefault="00457588" w:rsidP="00457588">
            <w:pPr>
              <w:jc w:val="center"/>
              <w:rPr>
                <w:sz w:val="20"/>
                <w:szCs w:val="20"/>
              </w:rPr>
            </w:pPr>
            <w:r>
              <w:rPr>
                <w:sz w:val="20"/>
                <w:szCs w:val="20"/>
              </w:rPr>
              <w:t>B</w:t>
            </w:r>
          </w:p>
        </w:tc>
      </w:tr>
      <w:tr w:rsidR="00457588" w:rsidRPr="00457588" w14:paraId="2FAC06B1" w14:textId="77777777" w:rsidTr="00D72489">
        <w:tc>
          <w:tcPr>
            <w:tcW w:w="4536" w:type="dxa"/>
          </w:tcPr>
          <w:p w14:paraId="7DB457EF" w14:textId="7B4992BD" w:rsidR="00457588" w:rsidRPr="00457588" w:rsidRDefault="00457588" w:rsidP="00457588">
            <w:pPr>
              <w:rPr>
                <w:sz w:val="20"/>
                <w:szCs w:val="20"/>
              </w:rPr>
            </w:pPr>
            <w:r w:rsidRPr="003D1B44">
              <w:rPr>
                <w:rFonts w:eastAsia="Calibri"/>
                <w:sz w:val="20"/>
                <w:szCs w:val="20"/>
              </w:rPr>
              <w:t xml:space="preserve">Český metrologický institut </w:t>
            </w:r>
          </w:p>
        </w:tc>
        <w:tc>
          <w:tcPr>
            <w:tcW w:w="1134" w:type="dxa"/>
            <w:vAlign w:val="center"/>
          </w:tcPr>
          <w:p w14:paraId="0A9E7745" w14:textId="3D77EC1F" w:rsidR="00457588" w:rsidRPr="00457588" w:rsidRDefault="00457588" w:rsidP="00457588">
            <w:pPr>
              <w:jc w:val="center"/>
              <w:rPr>
                <w:sz w:val="20"/>
                <w:szCs w:val="20"/>
              </w:rPr>
            </w:pPr>
            <w:r w:rsidRPr="003D1B44">
              <w:rPr>
                <w:rFonts w:eastAsia="Calibri"/>
                <w:sz w:val="20"/>
                <w:szCs w:val="20"/>
              </w:rPr>
              <w:t>B</w:t>
            </w:r>
          </w:p>
        </w:tc>
        <w:tc>
          <w:tcPr>
            <w:tcW w:w="851" w:type="dxa"/>
          </w:tcPr>
          <w:p w14:paraId="7C5246E3" w14:textId="44BDE978" w:rsidR="00457588" w:rsidRPr="00457588" w:rsidRDefault="00457588" w:rsidP="00457588">
            <w:pPr>
              <w:jc w:val="center"/>
              <w:rPr>
                <w:sz w:val="20"/>
                <w:szCs w:val="20"/>
              </w:rPr>
            </w:pPr>
            <w:r>
              <w:rPr>
                <w:rFonts w:eastAsia="Calibri"/>
                <w:sz w:val="20"/>
                <w:szCs w:val="20"/>
              </w:rPr>
              <w:t>B</w:t>
            </w:r>
          </w:p>
        </w:tc>
        <w:tc>
          <w:tcPr>
            <w:tcW w:w="850" w:type="dxa"/>
          </w:tcPr>
          <w:p w14:paraId="7B7674D6" w14:textId="44B275DD" w:rsidR="00457588" w:rsidRPr="00457588" w:rsidRDefault="00457588" w:rsidP="00457588">
            <w:pPr>
              <w:jc w:val="center"/>
              <w:rPr>
                <w:sz w:val="20"/>
                <w:szCs w:val="20"/>
              </w:rPr>
            </w:pPr>
            <w:r>
              <w:rPr>
                <w:rFonts w:eastAsia="Calibri"/>
                <w:sz w:val="20"/>
                <w:szCs w:val="20"/>
              </w:rPr>
              <w:t>A</w:t>
            </w:r>
          </w:p>
        </w:tc>
        <w:tc>
          <w:tcPr>
            <w:tcW w:w="851" w:type="dxa"/>
          </w:tcPr>
          <w:p w14:paraId="0A6D380C" w14:textId="0D606DE3" w:rsidR="00457588" w:rsidRPr="00457588" w:rsidRDefault="00457588" w:rsidP="00457588">
            <w:pPr>
              <w:jc w:val="center"/>
              <w:rPr>
                <w:sz w:val="20"/>
                <w:szCs w:val="20"/>
              </w:rPr>
            </w:pPr>
            <w:r>
              <w:rPr>
                <w:rFonts w:eastAsia="Calibri"/>
                <w:sz w:val="20"/>
                <w:szCs w:val="20"/>
              </w:rPr>
              <w:t>A</w:t>
            </w:r>
          </w:p>
        </w:tc>
        <w:tc>
          <w:tcPr>
            <w:tcW w:w="850" w:type="dxa"/>
          </w:tcPr>
          <w:p w14:paraId="1B0BD30B" w14:textId="476465B2" w:rsidR="00457588" w:rsidRPr="00457588" w:rsidRDefault="00457588" w:rsidP="00457588">
            <w:pPr>
              <w:jc w:val="center"/>
              <w:rPr>
                <w:sz w:val="20"/>
                <w:szCs w:val="20"/>
              </w:rPr>
            </w:pPr>
            <w:r>
              <w:rPr>
                <w:sz w:val="20"/>
                <w:szCs w:val="20"/>
              </w:rPr>
              <w:t>A</w:t>
            </w:r>
          </w:p>
        </w:tc>
      </w:tr>
      <w:tr w:rsidR="00457588" w:rsidRPr="00457588" w14:paraId="26262739" w14:textId="77777777" w:rsidTr="00D72489">
        <w:tc>
          <w:tcPr>
            <w:tcW w:w="4536" w:type="dxa"/>
          </w:tcPr>
          <w:p w14:paraId="5F4D22B1" w14:textId="508F4CFA" w:rsidR="00457588" w:rsidRPr="00457588" w:rsidRDefault="00457588" w:rsidP="00457588">
            <w:pPr>
              <w:rPr>
                <w:sz w:val="20"/>
                <w:szCs w:val="20"/>
              </w:rPr>
            </w:pPr>
            <w:r w:rsidRPr="003D1B44">
              <w:rPr>
                <w:rFonts w:eastAsia="Calibri"/>
                <w:sz w:val="20"/>
                <w:szCs w:val="20"/>
              </w:rPr>
              <w:t xml:space="preserve">MATERIÁLOVÝ A METALURGICKÝ VÝZKUM s.r.o. </w:t>
            </w:r>
          </w:p>
        </w:tc>
        <w:tc>
          <w:tcPr>
            <w:tcW w:w="1134" w:type="dxa"/>
            <w:vAlign w:val="center"/>
          </w:tcPr>
          <w:p w14:paraId="2D38D15E" w14:textId="3CAA3DB9" w:rsidR="00457588" w:rsidRPr="00457588" w:rsidRDefault="00457588" w:rsidP="00457588">
            <w:pPr>
              <w:jc w:val="center"/>
              <w:rPr>
                <w:sz w:val="20"/>
                <w:szCs w:val="20"/>
              </w:rPr>
            </w:pPr>
            <w:r w:rsidRPr="003D1B44">
              <w:rPr>
                <w:rFonts w:eastAsia="Calibri"/>
                <w:sz w:val="20"/>
                <w:szCs w:val="20"/>
              </w:rPr>
              <w:t>C</w:t>
            </w:r>
          </w:p>
        </w:tc>
        <w:tc>
          <w:tcPr>
            <w:tcW w:w="851" w:type="dxa"/>
          </w:tcPr>
          <w:p w14:paraId="77C4E0A8" w14:textId="719E3B66" w:rsidR="00457588" w:rsidRPr="00457588" w:rsidRDefault="00457588" w:rsidP="00457588">
            <w:pPr>
              <w:jc w:val="center"/>
              <w:rPr>
                <w:sz w:val="20"/>
                <w:szCs w:val="20"/>
              </w:rPr>
            </w:pPr>
            <w:r>
              <w:rPr>
                <w:rFonts w:eastAsia="Calibri"/>
                <w:sz w:val="20"/>
                <w:szCs w:val="20"/>
              </w:rPr>
              <w:t>B</w:t>
            </w:r>
          </w:p>
        </w:tc>
        <w:tc>
          <w:tcPr>
            <w:tcW w:w="850" w:type="dxa"/>
          </w:tcPr>
          <w:p w14:paraId="56EB813E" w14:textId="5E599ACF" w:rsidR="00457588" w:rsidRPr="00457588" w:rsidRDefault="00457588" w:rsidP="00457588">
            <w:pPr>
              <w:jc w:val="center"/>
              <w:rPr>
                <w:sz w:val="20"/>
                <w:szCs w:val="20"/>
              </w:rPr>
            </w:pPr>
            <w:r>
              <w:rPr>
                <w:rFonts w:eastAsia="Calibri"/>
                <w:sz w:val="20"/>
                <w:szCs w:val="20"/>
              </w:rPr>
              <w:t>B</w:t>
            </w:r>
          </w:p>
        </w:tc>
        <w:tc>
          <w:tcPr>
            <w:tcW w:w="851" w:type="dxa"/>
          </w:tcPr>
          <w:p w14:paraId="23CA1D3D" w14:textId="2E94E0A0" w:rsidR="00457588" w:rsidRPr="00457588" w:rsidRDefault="00457588" w:rsidP="00457588">
            <w:pPr>
              <w:jc w:val="center"/>
              <w:rPr>
                <w:sz w:val="20"/>
                <w:szCs w:val="20"/>
              </w:rPr>
            </w:pPr>
            <w:r>
              <w:rPr>
                <w:rFonts w:eastAsia="Calibri"/>
                <w:sz w:val="20"/>
                <w:szCs w:val="20"/>
              </w:rPr>
              <w:t>C</w:t>
            </w:r>
          </w:p>
        </w:tc>
        <w:tc>
          <w:tcPr>
            <w:tcW w:w="850" w:type="dxa"/>
          </w:tcPr>
          <w:p w14:paraId="1BD06E5A" w14:textId="207A2368" w:rsidR="00457588" w:rsidRPr="00457588" w:rsidRDefault="00457588" w:rsidP="00457588">
            <w:pPr>
              <w:jc w:val="center"/>
              <w:rPr>
                <w:sz w:val="20"/>
                <w:szCs w:val="20"/>
              </w:rPr>
            </w:pPr>
            <w:r>
              <w:rPr>
                <w:sz w:val="20"/>
                <w:szCs w:val="20"/>
              </w:rPr>
              <w:t>C</w:t>
            </w:r>
          </w:p>
        </w:tc>
      </w:tr>
      <w:tr w:rsidR="00457588" w:rsidRPr="00457588" w14:paraId="27822885" w14:textId="77777777" w:rsidTr="00D72489">
        <w:tc>
          <w:tcPr>
            <w:tcW w:w="4536" w:type="dxa"/>
          </w:tcPr>
          <w:p w14:paraId="035803A8" w14:textId="2488F773" w:rsidR="00457588" w:rsidRPr="00457588" w:rsidRDefault="00457588" w:rsidP="00457588">
            <w:pPr>
              <w:rPr>
                <w:sz w:val="20"/>
                <w:szCs w:val="20"/>
              </w:rPr>
            </w:pPr>
            <w:r w:rsidRPr="003D1B44">
              <w:rPr>
                <w:rFonts w:eastAsia="Calibri"/>
                <w:sz w:val="20"/>
                <w:szCs w:val="20"/>
              </w:rPr>
              <w:t xml:space="preserve">MemBrain s.r.o. </w:t>
            </w:r>
          </w:p>
        </w:tc>
        <w:tc>
          <w:tcPr>
            <w:tcW w:w="1134" w:type="dxa"/>
            <w:vAlign w:val="center"/>
          </w:tcPr>
          <w:p w14:paraId="6290FF4C" w14:textId="6A0EC197" w:rsidR="00457588" w:rsidRPr="00457588" w:rsidRDefault="00457588" w:rsidP="00457588">
            <w:pPr>
              <w:jc w:val="center"/>
              <w:rPr>
                <w:sz w:val="20"/>
                <w:szCs w:val="20"/>
              </w:rPr>
            </w:pPr>
            <w:r w:rsidRPr="003D1B44">
              <w:rPr>
                <w:rFonts w:eastAsia="Calibri"/>
                <w:sz w:val="20"/>
                <w:szCs w:val="20"/>
              </w:rPr>
              <w:t>B</w:t>
            </w:r>
          </w:p>
        </w:tc>
        <w:tc>
          <w:tcPr>
            <w:tcW w:w="851" w:type="dxa"/>
          </w:tcPr>
          <w:p w14:paraId="6F9EFA72" w14:textId="08AD18FD" w:rsidR="00457588" w:rsidRPr="00457588" w:rsidRDefault="00457588" w:rsidP="00457588">
            <w:pPr>
              <w:jc w:val="center"/>
              <w:rPr>
                <w:sz w:val="20"/>
                <w:szCs w:val="20"/>
              </w:rPr>
            </w:pPr>
            <w:r>
              <w:rPr>
                <w:rFonts w:eastAsia="Calibri"/>
                <w:sz w:val="20"/>
                <w:szCs w:val="20"/>
              </w:rPr>
              <w:t>B</w:t>
            </w:r>
          </w:p>
        </w:tc>
        <w:tc>
          <w:tcPr>
            <w:tcW w:w="850" w:type="dxa"/>
          </w:tcPr>
          <w:p w14:paraId="40FAE093" w14:textId="73A44AF8" w:rsidR="00457588" w:rsidRPr="00457588" w:rsidRDefault="00457588" w:rsidP="00457588">
            <w:pPr>
              <w:jc w:val="center"/>
              <w:rPr>
                <w:sz w:val="20"/>
                <w:szCs w:val="20"/>
              </w:rPr>
            </w:pPr>
            <w:r>
              <w:rPr>
                <w:rFonts w:eastAsia="Calibri"/>
                <w:sz w:val="20"/>
                <w:szCs w:val="20"/>
              </w:rPr>
              <w:t>B</w:t>
            </w:r>
          </w:p>
        </w:tc>
        <w:tc>
          <w:tcPr>
            <w:tcW w:w="851" w:type="dxa"/>
          </w:tcPr>
          <w:p w14:paraId="7386364D" w14:textId="00DCFA9E" w:rsidR="00457588" w:rsidRPr="00457588" w:rsidRDefault="00457588" w:rsidP="00457588">
            <w:pPr>
              <w:jc w:val="center"/>
              <w:rPr>
                <w:sz w:val="20"/>
                <w:szCs w:val="20"/>
              </w:rPr>
            </w:pPr>
            <w:r>
              <w:rPr>
                <w:rFonts w:eastAsia="Calibri"/>
                <w:sz w:val="20"/>
                <w:szCs w:val="20"/>
              </w:rPr>
              <w:t>B</w:t>
            </w:r>
          </w:p>
        </w:tc>
        <w:tc>
          <w:tcPr>
            <w:tcW w:w="850" w:type="dxa"/>
          </w:tcPr>
          <w:p w14:paraId="7EDE0C13" w14:textId="38872FE1" w:rsidR="00457588" w:rsidRPr="00457588" w:rsidRDefault="00457588" w:rsidP="00457588">
            <w:pPr>
              <w:jc w:val="center"/>
              <w:rPr>
                <w:sz w:val="20"/>
                <w:szCs w:val="20"/>
              </w:rPr>
            </w:pPr>
            <w:r>
              <w:rPr>
                <w:sz w:val="20"/>
                <w:szCs w:val="20"/>
              </w:rPr>
              <w:t>A</w:t>
            </w:r>
          </w:p>
        </w:tc>
      </w:tr>
      <w:tr w:rsidR="00457588" w:rsidRPr="00457588" w14:paraId="06D24F97" w14:textId="77777777" w:rsidTr="00D72489">
        <w:tc>
          <w:tcPr>
            <w:tcW w:w="4536" w:type="dxa"/>
          </w:tcPr>
          <w:p w14:paraId="382F7E4A" w14:textId="3589CE72" w:rsidR="00457588" w:rsidRPr="00457588" w:rsidRDefault="00457588" w:rsidP="00457588">
            <w:pPr>
              <w:rPr>
                <w:sz w:val="20"/>
                <w:szCs w:val="20"/>
              </w:rPr>
            </w:pPr>
            <w:r w:rsidRPr="003D1B44">
              <w:rPr>
                <w:rFonts w:eastAsia="Calibri"/>
                <w:sz w:val="20"/>
                <w:szCs w:val="20"/>
              </w:rPr>
              <w:t xml:space="preserve">SVÚM a.s. </w:t>
            </w:r>
          </w:p>
        </w:tc>
        <w:tc>
          <w:tcPr>
            <w:tcW w:w="1134" w:type="dxa"/>
            <w:vAlign w:val="center"/>
          </w:tcPr>
          <w:p w14:paraId="110CA02C" w14:textId="5325A076" w:rsidR="00457588" w:rsidRPr="00457588" w:rsidRDefault="00457588" w:rsidP="00457588">
            <w:pPr>
              <w:jc w:val="center"/>
              <w:rPr>
                <w:sz w:val="20"/>
                <w:szCs w:val="20"/>
              </w:rPr>
            </w:pPr>
            <w:r w:rsidRPr="003D1B44">
              <w:rPr>
                <w:rFonts w:eastAsia="Calibri"/>
                <w:sz w:val="20"/>
                <w:szCs w:val="20"/>
              </w:rPr>
              <w:t>A</w:t>
            </w:r>
          </w:p>
        </w:tc>
        <w:tc>
          <w:tcPr>
            <w:tcW w:w="851" w:type="dxa"/>
          </w:tcPr>
          <w:p w14:paraId="2C696FCF" w14:textId="35449239" w:rsidR="00457588" w:rsidRPr="00457588" w:rsidRDefault="00457588" w:rsidP="00457588">
            <w:pPr>
              <w:jc w:val="center"/>
              <w:rPr>
                <w:sz w:val="20"/>
                <w:szCs w:val="20"/>
              </w:rPr>
            </w:pPr>
            <w:r>
              <w:rPr>
                <w:rFonts w:eastAsia="Calibri"/>
                <w:sz w:val="20"/>
                <w:szCs w:val="20"/>
              </w:rPr>
              <w:t>A</w:t>
            </w:r>
          </w:p>
        </w:tc>
        <w:tc>
          <w:tcPr>
            <w:tcW w:w="850" w:type="dxa"/>
          </w:tcPr>
          <w:p w14:paraId="63F31809" w14:textId="22AA5E97" w:rsidR="00457588" w:rsidRPr="00457588" w:rsidRDefault="00457588" w:rsidP="00457588">
            <w:pPr>
              <w:jc w:val="center"/>
              <w:rPr>
                <w:sz w:val="20"/>
                <w:szCs w:val="20"/>
              </w:rPr>
            </w:pPr>
            <w:r>
              <w:rPr>
                <w:rFonts w:eastAsia="Calibri"/>
                <w:sz w:val="20"/>
                <w:szCs w:val="20"/>
              </w:rPr>
              <w:t>A</w:t>
            </w:r>
          </w:p>
        </w:tc>
        <w:tc>
          <w:tcPr>
            <w:tcW w:w="851" w:type="dxa"/>
          </w:tcPr>
          <w:p w14:paraId="7FEE082D" w14:textId="7CFB7E13" w:rsidR="00457588" w:rsidRPr="00457588" w:rsidRDefault="00457588" w:rsidP="00457588">
            <w:pPr>
              <w:jc w:val="center"/>
              <w:rPr>
                <w:sz w:val="20"/>
                <w:szCs w:val="20"/>
              </w:rPr>
            </w:pPr>
            <w:r>
              <w:rPr>
                <w:rFonts w:eastAsia="Calibri"/>
                <w:sz w:val="20"/>
                <w:szCs w:val="20"/>
              </w:rPr>
              <w:t>A</w:t>
            </w:r>
          </w:p>
        </w:tc>
        <w:tc>
          <w:tcPr>
            <w:tcW w:w="850" w:type="dxa"/>
          </w:tcPr>
          <w:p w14:paraId="69BCB0AA" w14:textId="57209A15" w:rsidR="00457588" w:rsidRPr="00457588" w:rsidRDefault="00457588" w:rsidP="00457588">
            <w:pPr>
              <w:jc w:val="center"/>
              <w:rPr>
                <w:sz w:val="20"/>
                <w:szCs w:val="20"/>
              </w:rPr>
            </w:pPr>
            <w:r>
              <w:rPr>
                <w:sz w:val="20"/>
                <w:szCs w:val="20"/>
              </w:rPr>
              <w:t>A</w:t>
            </w:r>
          </w:p>
        </w:tc>
      </w:tr>
      <w:tr w:rsidR="00457588" w:rsidRPr="00457588" w14:paraId="73E39054" w14:textId="77777777" w:rsidTr="00D72489">
        <w:tc>
          <w:tcPr>
            <w:tcW w:w="4536" w:type="dxa"/>
          </w:tcPr>
          <w:p w14:paraId="51A32780" w14:textId="50E69F07" w:rsidR="00457588" w:rsidRPr="00457588" w:rsidRDefault="00457588" w:rsidP="00457588">
            <w:pPr>
              <w:rPr>
                <w:sz w:val="20"/>
                <w:szCs w:val="20"/>
              </w:rPr>
            </w:pPr>
            <w:bookmarkStart w:id="6" w:name="_Hlk132800980"/>
            <w:r w:rsidRPr="003D1B44">
              <w:rPr>
                <w:rFonts w:eastAsia="Calibri"/>
                <w:sz w:val="20"/>
                <w:szCs w:val="20"/>
              </w:rPr>
              <w:t xml:space="preserve">SVÚOM s.r.o. </w:t>
            </w:r>
            <w:bookmarkEnd w:id="6"/>
          </w:p>
        </w:tc>
        <w:tc>
          <w:tcPr>
            <w:tcW w:w="1134" w:type="dxa"/>
            <w:vAlign w:val="center"/>
          </w:tcPr>
          <w:p w14:paraId="7B2F4159" w14:textId="6589AA34" w:rsidR="00457588" w:rsidRPr="00457588" w:rsidRDefault="00457588" w:rsidP="00457588">
            <w:pPr>
              <w:jc w:val="center"/>
              <w:rPr>
                <w:sz w:val="20"/>
                <w:szCs w:val="20"/>
              </w:rPr>
            </w:pPr>
            <w:r w:rsidRPr="003D1B44">
              <w:rPr>
                <w:rFonts w:eastAsia="Calibri"/>
                <w:sz w:val="20"/>
                <w:szCs w:val="20"/>
              </w:rPr>
              <w:t>D</w:t>
            </w:r>
          </w:p>
        </w:tc>
        <w:tc>
          <w:tcPr>
            <w:tcW w:w="851" w:type="dxa"/>
          </w:tcPr>
          <w:p w14:paraId="5EEAEA18" w14:textId="18C40926" w:rsidR="00457588" w:rsidRPr="00457588" w:rsidRDefault="00457588" w:rsidP="00457588">
            <w:pPr>
              <w:jc w:val="center"/>
              <w:rPr>
                <w:sz w:val="20"/>
                <w:szCs w:val="20"/>
              </w:rPr>
            </w:pPr>
            <w:r w:rsidRPr="00B20E89">
              <w:rPr>
                <w:rFonts w:eastAsia="Calibri"/>
                <w:sz w:val="20"/>
                <w:szCs w:val="20"/>
              </w:rPr>
              <w:t>D</w:t>
            </w:r>
          </w:p>
        </w:tc>
        <w:tc>
          <w:tcPr>
            <w:tcW w:w="850" w:type="dxa"/>
          </w:tcPr>
          <w:p w14:paraId="752370CF" w14:textId="339FB166" w:rsidR="00457588" w:rsidRPr="00457588" w:rsidRDefault="00457588" w:rsidP="00457588">
            <w:pPr>
              <w:jc w:val="center"/>
              <w:rPr>
                <w:sz w:val="20"/>
                <w:szCs w:val="20"/>
              </w:rPr>
            </w:pPr>
            <w:r w:rsidRPr="00B20E89">
              <w:rPr>
                <w:rFonts w:eastAsia="Calibri"/>
                <w:sz w:val="20"/>
                <w:szCs w:val="20"/>
              </w:rPr>
              <w:t>D</w:t>
            </w:r>
          </w:p>
        </w:tc>
        <w:tc>
          <w:tcPr>
            <w:tcW w:w="851" w:type="dxa"/>
          </w:tcPr>
          <w:p w14:paraId="6BABAA16" w14:textId="1065718C" w:rsidR="00457588" w:rsidRPr="00457588" w:rsidRDefault="00457588" w:rsidP="00457588">
            <w:pPr>
              <w:jc w:val="center"/>
              <w:rPr>
                <w:sz w:val="20"/>
                <w:szCs w:val="20"/>
              </w:rPr>
            </w:pPr>
            <w:r w:rsidRPr="00B20E89">
              <w:rPr>
                <w:rFonts w:eastAsia="Calibri"/>
                <w:sz w:val="20"/>
                <w:szCs w:val="20"/>
              </w:rPr>
              <w:t>C</w:t>
            </w:r>
          </w:p>
        </w:tc>
        <w:tc>
          <w:tcPr>
            <w:tcW w:w="850" w:type="dxa"/>
          </w:tcPr>
          <w:p w14:paraId="33A8F59E" w14:textId="1EC1B305" w:rsidR="00457588" w:rsidRPr="00457588" w:rsidRDefault="00457588" w:rsidP="00457588">
            <w:pPr>
              <w:jc w:val="center"/>
              <w:rPr>
                <w:sz w:val="20"/>
                <w:szCs w:val="20"/>
              </w:rPr>
            </w:pPr>
            <w:r w:rsidRPr="00B20E89">
              <w:rPr>
                <w:rFonts w:eastAsia="Calibri"/>
                <w:sz w:val="20"/>
                <w:szCs w:val="20"/>
              </w:rPr>
              <w:t>D</w:t>
            </w:r>
          </w:p>
        </w:tc>
      </w:tr>
      <w:tr w:rsidR="00457588" w:rsidRPr="00457588" w14:paraId="0D566B62" w14:textId="77777777" w:rsidTr="00D72489">
        <w:tc>
          <w:tcPr>
            <w:tcW w:w="4536" w:type="dxa"/>
            <w:vAlign w:val="center"/>
          </w:tcPr>
          <w:p w14:paraId="5BF60019" w14:textId="35B6380A" w:rsidR="00457588" w:rsidRDefault="00457588" w:rsidP="00C6334F">
            <w:pPr>
              <w:spacing w:line="259" w:lineRule="auto"/>
              <w:jc w:val="left"/>
              <w:rPr>
                <w:rFonts w:eastAsia="Calibri"/>
                <w:sz w:val="20"/>
                <w:szCs w:val="20"/>
              </w:rPr>
            </w:pPr>
            <w:r w:rsidRPr="003D1B44">
              <w:rPr>
                <w:rFonts w:eastAsia="Calibri"/>
                <w:sz w:val="20"/>
                <w:szCs w:val="20"/>
              </w:rPr>
              <w:t>Unipetrol výzkumně vzdělávací centrum, a.s.</w:t>
            </w:r>
            <w:r w:rsidR="00E14222">
              <w:rPr>
                <w:rFonts w:eastAsia="Calibri"/>
                <w:sz w:val="20"/>
                <w:szCs w:val="20"/>
              </w:rPr>
              <w:t xml:space="preserve"> </w:t>
            </w:r>
            <w:r>
              <w:rPr>
                <w:rFonts w:eastAsia="Calibri"/>
                <w:sz w:val="20"/>
                <w:szCs w:val="20"/>
              </w:rPr>
              <w:t>/</w:t>
            </w:r>
            <w:r w:rsidR="00E14222">
              <w:rPr>
                <w:rFonts w:eastAsia="Calibri"/>
                <w:sz w:val="20"/>
                <w:szCs w:val="20"/>
              </w:rPr>
              <w:t xml:space="preserve"> </w:t>
            </w:r>
          </w:p>
          <w:p w14:paraId="658C9932" w14:textId="076EA8D0" w:rsidR="00457588" w:rsidRPr="00457588" w:rsidRDefault="005D4A86" w:rsidP="00457588">
            <w:pPr>
              <w:rPr>
                <w:sz w:val="20"/>
                <w:szCs w:val="20"/>
              </w:rPr>
            </w:pPr>
            <w:hyperlink r:id="rId13" w:history="1">
              <w:r w:rsidR="00457588" w:rsidRPr="00940F47">
                <w:rPr>
                  <w:rFonts w:eastAsiaTheme="minorHAnsi"/>
                  <w:sz w:val="20"/>
                  <w:szCs w:val="20"/>
                </w:rPr>
                <w:t>ORLEN UniCRE a.s.</w:t>
              </w:r>
            </w:hyperlink>
          </w:p>
        </w:tc>
        <w:tc>
          <w:tcPr>
            <w:tcW w:w="1134" w:type="dxa"/>
            <w:vAlign w:val="center"/>
          </w:tcPr>
          <w:p w14:paraId="5DDE0979" w14:textId="6D5376D6" w:rsidR="00457588" w:rsidRPr="00457588" w:rsidRDefault="00457588" w:rsidP="00457588">
            <w:pPr>
              <w:jc w:val="center"/>
              <w:rPr>
                <w:sz w:val="20"/>
                <w:szCs w:val="20"/>
              </w:rPr>
            </w:pPr>
            <w:r w:rsidRPr="003D1B44">
              <w:rPr>
                <w:rFonts w:eastAsia="Calibri"/>
                <w:sz w:val="20"/>
                <w:szCs w:val="20"/>
              </w:rPr>
              <w:t>B</w:t>
            </w:r>
          </w:p>
        </w:tc>
        <w:tc>
          <w:tcPr>
            <w:tcW w:w="851" w:type="dxa"/>
            <w:vAlign w:val="center"/>
          </w:tcPr>
          <w:p w14:paraId="2A1E5FE5" w14:textId="07FD9246" w:rsidR="00457588" w:rsidRPr="00457588" w:rsidRDefault="00457588" w:rsidP="00457588">
            <w:pPr>
              <w:jc w:val="center"/>
              <w:rPr>
                <w:sz w:val="20"/>
                <w:szCs w:val="20"/>
              </w:rPr>
            </w:pPr>
            <w:r>
              <w:rPr>
                <w:rFonts w:eastAsia="Calibri"/>
                <w:sz w:val="20"/>
                <w:szCs w:val="20"/>
              </w:rPr>
              <w:t>B</w:t>
            </w:r>
          </w:p>
        </w:tc>
        <w:tc>
          <w:tcPr>
            <w:tcW w:w="850" w:type="dxa"/>
            <w:vAlign w:val="center"/>
          </w:tcPr>
          <w:p w14:paraId="6A518E1C" w14:textId="25E13789" w:rsidR="00457588" w:rsidRPr="00457588" w:rsidRDefault="00457588" w:rsidP="00457588">
            <w:pPr>
              <w:jc w:val="center"/>
              <w:rPr>
                <w:sz w:val="20"/>
                <w:szCs w:val="20"/>
              </w:rPr>
            </w:pPr>
            <w:r>
              <w:rPr>
                <w:rFonts w:eastAsia="Calibri"/>
                <w:sz w:val="20"/>
                <w:szCs w:val="20"/>
              </w:rPr>
              <w:t>B</w:t>
            </w:r>
          </w:p>
        </w:tc>
        <w:tc>
          <w:tcPr>
            <w:tcW w:w="851" w:type="dxa"/>
            <w:vAlign w:val="center"/>
          </w:tcPr>
          <w:p w14:paraId="55C5B1AB" w14:textId="4C1C4DC6" w:rsidR="00457588" w:rsidRPr="00457588" w:rsidRDefault="00457588" w:rsidP="00457588">
            <w:pPr>
              <w:jc w:val="center"/>
              <w:rPr>
                <w:sz w:val="20"/>
                <w:szCs w:val="20"/>
              </w:rPr>
            </w:pPr>
            <w:r>
              <w:rPr>
                <w:rFonts w:eastAsia="Calibri"/>
                <w:sz w:val="20"/>
                <w:szCs w:val="20"/>
              </w:rPr>
              <w:t>B</w:t>
            </w:r>
          </w:p>
        </w:tc>
        <w:tc>
          <w:tcPr>
            <w:tcW w:w="850" w:type="dxa"/>
            <w:vAlign w:val="center"/>
          </w:tcPr>
          <w:p w14:paraId="1C3DE3BC" w14:textId="74E077F3" w:rsidR="00457588" w:rsidRPr="00457588" w:rsidRDefault="00457588" w:rsidP="00457588">
            <w:pPr>
              <w:jc w:val="center"/>
              <w:rPr>
                <w:sz w:val="20"/>
                <w:szCs w:val="20"/>
              </w:rPr>
            </w:pPr>
            <w:r>
              <w:rPr>
                <w:sz w:val="20"/>
                <w:szCs w:val="20"/>
              </w:rPr>
              <w:t>B</w:t>
            </w:r>
          </w:p>
        </w:tc>
      </w:tr>
      <w:tr w:rsidR="000162F2" w:rsidRPr="00457588" w14:paraId="1F6F42E3" w14:textId="77777777" w:rsidTr="00D72489">
        <w:tc>
          <w:tcPr>
            <w:tcW w:w="4536" w:type="dxa"/>
          </w:tcPr>
          <w:p w14:paraId="41628400" w14:textId="3B4EE2FE" w:rsidR="00457588" w:rsidRPr="00457588" w:rsidRDefault="00457588" w:rsidP="00457588">
            <w:pPr>
              <w:rPr>
                <w:sz w:val="20"/>
                <w:szCs w:val="20"/>
              </w:rPr>
            </w:pPr>
            <w:r w:rsidRPr="003D1B44">
              <w:rPr>
                <w:rFonts w:eastAsia="Calibri"/>
                <w:sz w:val="20"/>
                <w:szCs w:val="20"/>
              </w:rPr>
              <w:t xml:space="preserve">VÚTS, a.s. </w:t>
            </w:r>
          </w:p>
        </w:tc>
        <w:tc>
          <w:tcPr>
            <w:tcW w:w="1134" w:type="dxa"/>
            <w:vAlign w:val="center"/>
          </w:tcPr>
          <w:p w14:paraId="178BB035" w14:textId="3602E9CD" w:rsidR="00457588" w:rsidRPr="00457588" w:rsidRDefault="00457588" w:rsidP="00457588">
            <w:pPr>
              <w:jc w:val="center"/>
              <w:rPr>
                <w:sz w:val="20"/>
                <w:szCs w:val="20"/>
              </w:rPr>
            </w:pPr>
            <w:r w:rsidRPr="003D1B44">
              <w:rPr>
                <w:rFonts w:eastAsia="Calibri"/>
                <w:sz w:val="20"/>
                <w:szCs w:val="20"/>
              </w:rPr>
              <w:t>A</w:t>
            </w:r>
          </w:p>
        </w:tc>
        <w:tc>
          <w:tcPr>
            <w:tcW w:w="851" w:type="dxa"/>
          </w:tcPr>
          <w:p w14:paraId="64F3AF07" w14:textId="62668901" w:rsidR="00457588" w:rsidRPr="00457588" w:rsidRDefault="00457588" w:rsidP="00457588">
            <w:pPr>
              <w:jc w:val="center"/>
              <w:rPr>
                <w:sz w:val="20"/>
                <w:szCs w:val="20"/>
              </w:rPr>
            </w:pPr>
            <w:r>
              <w:rPr>
                <w:rFonts w:eastAsia="Calibri"/>
                <w:sz w:val="20"/>
                <w:szCs w:val="20"/>
              </w:rPr>
              <w:t>A</w:t>
            </w:r>
          </w:p>
        </w:tc>
        <w:tc>
          <w:tcPr>
            <w:tcW w:w="850" w:type="dxa"/>
          </w:tcPr>
          <w:p w14:paraId="738E8E36" w14:textId="12A2E294" w:rsidR="00457588" w:rsidRPr="00457588" w:rsidRDefault="00457588" w:rsidP="00457588">
            <w:pPr>
              <w:jc w:val="center"/>
              <w:rPr>
                <w:sz w:val="20"/>
                <w:szCs w:val="20"/>
              </w:rPr>
            </w:pPr>
            <w:r>
              <w:rPr>
                <w:rFonts w:eastAsia="Calibri"/>
                <w:sz w:val="20"/>
                <w:szCs w:val="20"/>
              </w:rPr>
              <w:t>B</w:t>
            </w:r>
          </w:p>
        </w:tc>
        <w:tc>
          <w:tcPr>
            <w:tcW w:w="851" w:type="dxa"/>
          </w:tcPr>
          <w:p w14:paraId="3EF29252" w14:textId="0DDAFADF" w:rsidR="00457588" w:rsidRPr="00457588" w:rsidRDefault="00457588" w:rsidP="00457588">
            <w:pPr>
              <w:jc w:val="center"/>
              <w:rPr>
                <w:sz w:val="20"/>
                <w:szCs w:val="20"/>
              </w:rPr>
            </w:pPr>
            <w:r>
              <w:rPr>
                <w:rFonts w:eastAsia="Calibri"/>
                <w:sz w:val="20"/>
                <w:szCs w:val="20"/>
              </w:rPr>
              <w:t>A</w:t>
            </w:r>
          </w:p>
        </w:tc>
        <w:tc>
          <w:tcPr>
            <w:tcW w:w="850" w:type="dxa"/>
          </w:tcPr>
          <w:p w14:paraId="7AE4326C" w14:textId="24D6EBD8" w:rsidR="00457588" w:rsidRPr="00457588" w:rsidRDefault="00457588" w:rsidP="00457588">
            <w:pPr>
              <w:jc w:val="center"/>
              <w:rPr>
                <w:sz w:val="20"/>
                <w:szCs w:val="20"/>
              </w:rPr>
            </w:pPr>
            <w:r>
              <w:rPr>
                <w:sz w:val="20"/>
                <w:szCs w:val="20"/>
              </w:rPr>
              <w:t>A</w:t>
            </w:r>
          </w:p>
        </w:tc>
      </w:tr>
      <w:tr w:rsidR="000162F2" w:rsidRPr="00457588" w14:paraId="501823C4" w14:textId="77777777" w:rsidTr="00D72489">
        <w:tc>
          <w:tcPr>
            <w:tcW w:w="4536" w:type="dxa"/>
          </w:tcPr>
          <w:p w14:paraId="0A65B671" w14:textId="5C670349" w:rsidR="00457588" w:rsidRPr="00457588" w:rsidRDefault="00457588" w:rsidP="00457588">
            <w:pPr>
              <w:rPr>
                <w:sz w:val="20"/>
                <w:szCs w:val="20"/>
              </w:rPr>
            </w:pPr>
            <w:r w:rsidRPr="003D1B44">
              <w:rPr>
                <w:rFonts w:eastAsia="Calibri"/>
                <w:sz w:val="20"/>
                <w:szCs w:val="20"/>
              </w:rPr>
              <w:t xml:space="preserve">Výzkumný a zkušební letecký ústav, a.s. </w:t>
            </w:r>
          </w:p>
        </w:tc>
        <w:tc>
          <w:tcPr>
            <w:tcW w:w="1134" w:type="dxa"/>
            <w:vAlign w:val="center"/>
          </w:tcPr>
          <w:p w14:paraId="38B3C98D" w14:textId="28D03344" w:rsidR="00457588" w:rsidRPr="00457588" w:rsidRDefault="00457588" w:rsidP="00457588">
            <w:pPr>
              <w:jc w:val="center"/>
              <w:rPr>
                <w:sz w:val="20"/>
                <w:szCs w:val="20"/>
              </w:rPr>
            </w:pPr>
            <w:r w:rsidRPr="003D1B44">
              <w:rPr>
                <w:rFonts w:eastAsia="Calibri"/>
                <w:sz w:val="20"/>
                <w:szCs w:val="20"/>
              </w:rPr>
              <w:t>B</w:t>
            </w:r>
          </w:p>
        </w:tc>
        <w:tc>
          <w:tcPr>
            <w:tcW w:w="851" w:type="dxa"/>
          </w:tcPr>
          <w:p w14:paraId="6447E576" w14:textId="64228519" w:rsidR="00457588" w:rsidRPr="00457588" w:rsidRDefault="00457588" w:rsidP="00457588">
            <w:pPr>
              <w:jc w:val="center"/>
              <w:rPr>
                <w:sz w:val="20"/>
                <w:szCs w:val="20"/>
              </w:rPr>
            </w:pPr>
            <w:r>
              <w:rPr>
                <w:rFonts w:eastAsia="Calibri"/>
                <w:sz w:val="20"/>
                <w:szCs w:val="20"/>
              </w:rPr>
              <w:t>B</w:t>
            </w:r>
          </w:p>
        </w:tc>
        <w:tc>
          <w:tcPr>
            <w:tcW w:w="850" w:type="dxa"/>
          </w:tcPr>
          <w:p w14:paraId="353AC565" w14:textId="1B5902CD" w:rsidR="00457588" w:rsidRPr="00457588" w:rsidRDefault="00457588" w:rsidP="00457588">
            <w:pPr>
              <w:jc w:val="center"/>
              <w:rPr>
                <w:sz w:val="20"/>
                <w:szCs w:val="20"/>
              </w:rPr>
            </w:pPr>
            <w:r>
              <w:rPr>
                <w:rFonts w:eastAsia="Calibri"/>
                <w:sz w:val="20"/>
                <w:szCs w:val="20"/>
              </w:rPr>
              <w:t>A</w:t>
            </w:r>
          </w:p>
        </w:tc>
        <w:tc>
          <w:tcPr>
            <w:tcW w:w="851" w:type="dxa"/>
          </w:tcPr>
          <w:p w14:paraId="2AB39241" w14:textId="40CD2978" w:rsidR="00457588" w:rsidRPr="00457588" w:rsidRDefault="00457588" w:rsidP="00457588">
            <w:pPr>
              <w:jc w:val="center"/>
              <w:rPr>
                <w:sz w:val="20"/>
                <w:szCs w:val="20"/>
              </w:rPr>
            </w:pPr>
            <w:r>
              <w:rPr>
                <w:rFonts w:eastAsia="Calibri"/>
                <w:sz w:val="20"/>
                <w:szCs w:val="20"/>
              </w:rPr>
              <w:t>A</w:t>
            </w:r>
          </w:p>
        </w:tc>
        <w:tc>
          <w:tcPr>
            <w:tcW w:w="850" w:type="dxa"/>
          </w:tcPr>
          <w:p w14:paraId="45FE83EE" w14:textId="19BCC6E0" w:rsidR="00457588" w:rsidRPr="00457588" w:rsidRDefault="00457588" w:rsidP="00457588">
            <w:pPr>
              <w:jc w:val="center"/>
              <w:rPr>
                <w:sz w:val="20"/>
                <w:szCs w:val="20"/>
              </w:rPr>
            </w:pPr>
            <w:r>
              <w:rPr>
                <w:sz w:val="20"/>
                <w:szCs w:val="20"/>
              </w:rPr>
              <w:t>A</w:t>
            </w:r>
          </w:p>
        </w:tc>
      </w:tr>
      <w:tr w:rsidR="000162F2" w:rsidRPr="00457588" w14:paraId="3C7FB304" w14:textId="77777777" w:rsidTr="00D72489">
        <w:tc>
          <w:tcPr>
            <w:tcW w:w="4536" w:type="dxa"/>
          </w:tcPr>
          <w:p w14:paraId="4920FC08" w14:textId="76F5FFA0" w:rsidR="00457588" w:rsidRPr="00457588" w:rsidRDefault="00457588" w:rsidP="00457588">
            <w:pPr>
              <w:rPr>
                <w:sz w:val="20"/>
                <w:szCs w:val="20"/>
              </w:rPr>
            </w:pPr>
            <w:r w:rsidRPr="003D1B44">
              <w:rPr>
                <w:rFonts w:eastAsia="Calibri"/>
                <w:sz w:val="20"/>
                <w:szCs w:val="20"/>
              </w:rPr>
              <w:t>V</w:t>
            </w:r>
            <w:r>
              <w:rPr>
                <w:rFonts w:eastAsia="Calibri"/>
                <w:sz w:val="20"/>
                <w:szCs w:val="20"/>
              </w:rPr>
              <w:t>ýzkumný a zkušební ústav</w:t>
            </w:r>
            <w:r w:rsidRPr="003D1B44">
              <w:rPr>
                <w:rFonts w:eastAsia="Calibri"/>
                <w:sz w:val="20"/>
                <w:szCs w:val="20"/>
              </w:rPr>
              <w:t xml:space="preserve"> Plzeň s.r.o. </w:t>
            </w:r>
          </w:p>
        </w:tc>
        <w:tc>
          <w:tcPr>
            <w:tcW w:w="1134" w:type="dxa"/>
            <w:vAlign w:val="center"/>
          </w:tcPr>
          <w:p w14:paraId="6C1DA441" w14:textId="564B90B8" w:rsidR="00457588" w:rsidRPr="00457588" w:rsidRDefault="00457588" w:rsidP="00457588">
            <w:pPr>
              <w:jc w:val="center"/>
              <w:rPr>
                <w:sz w:val="20"/>
                <w:szCs w:val="20"/>
              </w:rPr>
            </w:pPr>
            <w:r w:rsidRPr="003D1B44">
              <w:rPr>
                <w:rFonts w:eastAsia="Calibri"/>
                <w:sz w:val="20"/>
                <w:szCs w:val="20"/>
              </w:rPr>
              <w:t>B</w:t>
            </w:r>
          </w:p>
        </w:tc>
        <w:tc>
          <w:tcPr>
            <w:tcW w:w="851" w:type="dxa"/>
          </w:tcPr>
          <w:p w14:paraId="48334FB8" w14:textId="7A263086" w:rsidR="00457588" w:rsidRPr="00457588" w:rsidRDefault="00457588" w:rsidP="00457588">
            <w:pPr>
              <w:jc w:val="center"/>
              <w:rPr>
                <w:sz w:val="20"/>
                <w:szCs w:val="20"/>
              </w:rPr>
            </w:pPr>
            <w:r>
              <w:rPr>
                <w:rFonts w:eastAsia="Calibri"/>
                <w:sz w:val="20"/>
                <w:szCs w:val="20"/>
              </w:rPr>
              <w:t>C</w:t>
            </w:r>
          </w:p>
        </w:tc>
        <w:tc>
          <w:tcPr>
            <w:tcW w:w="850" w:type="dxa"/>
          </w:tcPr>
          <w:p w14:paraId="7386144A" w14:textId="26208AE1" w:rsidR="00457588" w:rsidRPr="00457588" w:rsidRDefault="00457588" w:rsidP="00457588">
            <w:pPr>
              <w:jc w:val="center"/>
              <w:rPr>
                <w:sz w:val="20"/>
                <w:szCs w:val="20"/>
              </w:rPr>
            </w:pPr>
            <w:r>
              <w:rPr>
                <w:rFonts w:eastAsia="Calibri"/>
                <w:sz w:val="20"/>
                <w:szCs w:val="20"/>
              </w:rPr>
              <w:t>B</w:t>
            </w:r>
          </w:p>
        </w:tc>
        <w:tc>
          <w:tcPr>
            <w:tcW w:w="851" w:type="dxa"/>
          </w:tcPr>
          <w:p w14:paraId="79C561E7" w14:textId="497C9981" w:rsidR="00457588" w:rsidRPr="00457588" w:rsidRDefault="00457588" w:rsidP="00457588">
            <w:pPr>
              <w:jc w:val="center"/>
              <w:rPr>
                <w:sz w:val="20"/>
                <w:szCs w:val="20"/>
              </w:rPr>
            </w:pPr>
            <w:r>
              <w:rPr>
                <w:rFonts w:eastAsia="Calibri"/>
                <w:sz w:val="20"/>
                <w:szCs w:val="20"/>
              </w:rPr>
              <w:t>C</w:t>
            </w:r>
          </w:p>
        </w:tc>
        <w:tc>
          <w:tcPr>
            <w:tcW w:w="850" w:type="dxa"/>
          </w:tcPr>
          <w:p w14:paraId="2449C10C" w14:textId="4C19B371" w:rsidR="00457588" w:rsidRPr="00457588" w:rsidRDefault="00457588" w:rsidP="00457588">
            <w:pPr>
              <w:jc w:val="center"/>
              <w:rPr>
                <w:sz w:val="20"/>
                <w:szCs w:val="20"/>
              </w:rPr>
            </w:pPr>
            <w:r>
              <w:rPr>
                <w:sz w:val="20"/>
                <w:szCs w:val="20"/>
              </w:rPr>
              <w:t>B</w:t>
            </w:r>
          </w:p>
        </w:tc>
      </w:tr>
      <w:tr w:rsidR="00457588" w:rsidRPr="00457588" w14:paraId="638A9D45" w14:textId="77777777" w:rsidTr="00D72489">
        <w:tc>
          <w:tcPr>
            <w:tcW w:w="4536" w:type="dxa"/>
          </w:tcPr>
          <w:p w14:paraId="25B5CBA0" w14:textId="565CA3D8" w:rsidR="00457588" w:rsidRPr="00457588" w:rsidRDefault="00457588" w:rsidP="00457588">
            <w:pPr>
              <w:rPr>
                <w:sz w:val="20"/>
                <w:szCs w:val="20"/>
              </w:rPr>
            </w:pPr>
            <w:r w:rsidRPr="003D1B44">
              <w:rPr>
                <w:rFonts w:eastAsia="Calibri"/>
                <w:sz w:val="20"/>
                <w:szCs w:val="20"/>
              </w:rPr>
              <w:t xml:space="preserve">Výzkumný ústav stavebních hmot, a.s. </w:t>
            </w:r>
          </w:p>
        </w:tc>
        <w:tc>
          <w:tcPr>
            <w:tcW w:w="1134" w:type="dxa"/>
            <w:vAlign w:val="center"/>
          </w:tcPr>
          <w:p w14:paraId="4A51700C" w14:textId="2BFBB498" w:rsidR="00457588" w:rsidRPr="00457588" w:rsidRDefault="00457588" w:rsidP="00457588">
            <w:pPr>
              <w:jc w:val="center"/>
              <w:rPr>
                <w:sz w:val="20"/>
                <w:szCs w:val="20"/>
              </w:rPr>
            </w:pPr>
            <w:r w:rsidRPr="003D1B44">
              <w:rPr>
                <w:rFonts w:eastAsia="Calibri"/>
                <w:sz w:val="20"/>
                <w:szCs w:val="20"/>
              </w:rPr>
              <w:t>B</w:t>
            </w:r>
          </w:p>
        </w:tc>
        <w:tc>
          <w:tcPr>
            <w:tcW w:w="851" w:type="dxa"/>
          </w:tcPr>
          <w:p w14:paraId="31445BAB" w14:textId="1105DE21" w:rsidR="00457588" w:rsidRPr="00457588" w:rsidRDefault="00457588" w:rsidP="00457588">
            <w:pPr>
              <w:jc w:val="center"/>
              <w:rPr>
                <w:sz w:val="20"/>
                <w:szCs w:val="20"/>
              </w:rPr>
            </w:pPr>
            <w:r>
              <w:rPr>
                <w:rFonts w:eastAsia="Calibri"/>
                <w:sz w:val="20"/>
                <w:szCs w:val="20"/>
              </w:rPr>
              <w:t>C</w:t>
            </w:r>
          </w:p>
        </w:tc>
        <w:tc>
          <w:tcPr>
            <w:tcW w:w="850" w:type="dxa"/>
          </w:tcPr>
          <w:p w14:paraId="267D8AC3" w14:textId="292756EE" w:rsidR="00457588" w:rsidRPr="00457588" w:rsidRDefault="00457588" w:rsidP="00457588">
            <w:pPr>
              <w:jc w:val="center"/>
              <w:rPr>
                <w:sz w:val="20"/>
                <w:szCs w:val="20"/>
              </w:rPr>
            </w:pPr>
            <w:r>
              <w:rPr>
                <w:rFonts w:eastAsia="Calibri"/>
                <w:sz w:val="20"/>
                <w:szCs w:val="20"/>
              </w:rPr>
              <w:t>C</w:t>
            </w:r>
          </w:p>
        </w:tc>
        <w:tc>
          <w:tcPr>
            <w:tcW w:w="851" w:type="dxa"/>
          </w:tcPr>
          <w:p w14:paraId="394113F0" w14:textId="653EB21D" w:rsidR="00457588" w:rsidRPr="00457588" w:rsidRDefault="00457588" w:rsidP="00457588">
            <w:pPr>
              <w:jc w:val="center"/>
              <w:rPr>
                <w:sz w:val="20"/>
                <w:szCs w:val="20"/>
              </w:rPr>
            </w:pPr>
            <w:r>
              <w:rPr>
                <w:rFonts w:eastAsia="Calibri"/>
                <w:sz w:val="20"/>
                <w:szCs w:val="20"/>
              </w:rPr>
              <w:t>C</w:t>
            </w:r>
          </w:p>
        </w:tc>
        <w:tc>
          <w:tcPr>
            <w:tcW w:w="850" w:type="dxa"/>
          </w:tcPr>
          <w:p w14:paraId="10A6A167" w14:textId="3143F195" w:rsidR="00457588" w:rsidRPr="00457588" w:rsidRDefault="00457588" w:rsidP="00457588">
            <w:pPr>
              <w:jc w:val="center"/>
              <w:rPr>
                <w:sz w:val="20"/>
                <w:szCs w:val="20"/>
              </w:rPr>
            </w:pPr>
            <w:r>
              <w:rPr>
                <w:sz w:val="20"/>
                <w:szCs w:val="20"/>
              </w:rPr>
              <w:t>C</w:t>
            </w:r>
          </w:p>
        </w:tc>
      </w:tr>
      <w:tr w:rsidR="000162F2" w:rsidRPr="00457588" w14:paraId="776365E3" w14:textId="77777777" w:rsidTr="00D72489">
        <w:tc>
          <w:tcPr>
            <w:tcW w:w="4536" w:type="dxa"/>
          </w:tcPr>
          <w:p w14:paraId="0A036923" w14:textId="3B068616" w:rsidR="00457588" w:rsidRPr="00457588" w:rsidRDefault="00457588" w:rsidP="00457588">
            <w:pPr>
              <w:rPr>
                <w:sz w:val="20"/>
                <w:szCs w:val="20"/>
              </w:rPr>
            </w:pPr>
            <w:r w:rsidRPr="005A4C59">
              <w:rPr>
                <w:rFonts w:eastAsia="Calibri"/>
                <w:sz w:val="20"/>
                <w:szCs w:val="20"/>
              </w:rPr>
              <w:t>CENTRUM HYDRAULICKÉHO VÝZKUMU spol. s r.o.</w:t>
            </w:r>
          </w:p>
        </w:tc>
        <w:tc>
          <w:tcPr>
            <w:tcW w:w="1134" w:type="dxa"/>
          </w:tcPr>
          <w:p w14:paraId="1C5678A2" w14:textId="724BE536" w:rsidR="00457588" w:rsidRPr="00457588" w:rsidRDefault="00457588" w:rsidP="00457588">
            <w:pPr>
              <w:jc w:val="center"/>
              <w:rPr>
                <w:sz w:val="20"/>
                <w:szCs w:val="20"/>
              </w:rPr>
            </w:pPr>
            <w:r>
              <w:rPr>
                <w:sz w:val="20"/>
                <w:szCs w:val="20"/>
              </w:rPr>
              <w:t>C</w:t>
            </w:r>
          </w:p>
        </w:tc>
        <w:tc>
          <w:tcPr>
            <w:tcW w:w="851" w:type="dxa"/>
          </w:tcPr>
          <w:p w14:paraId="3C5EAB6E" w14:textId="16979BF3" w:rsidR="00457588" w:rsidRPr="00457588" w:rsidRDefault="00457588" w:rsidP="00457588">
            <w:pPr>
              <w:jc w:val="center"/>
              <w:rPr>
                <w:sz w:val="20"/>
                <w:szCs w:val="20"/>
              </w:rPr>
            </w:pPr>
            <w:r>
              <w:rPr>
                <w:rFonts w:eastAsia="Calibri"/>
                <w:sz w:val="20"/>
                <w:szCs w:val="20"/>
              </w:rPr>
              <w:t>x</w:t>
            </w:r>
          </w:p>
        </w:tc>
        <w:tc>
          <w:tcPr>
            <w:tcW w:w="850" w:type="dxa"/>
          </w:tcPr>
          <w:p w14:paraId="16E366DE" w14:textId="5146834E" w:rsidR="00457588" w:rsidRPr="00457588" w:rsidRDefault="00457588" w:rsidP="00457588">
            <w:pPr>
              <w:jc w:val="center"/>
              <w:rPr>
                <w:sz w:val="20"/>
                <w:szCs w:val="20"/>
              </w:rPr>
            </w:pPr>
            <w:r>
              <w:rPr>
                <w:rFonts w:eastAsia="Calibri"/>
                <w:sz w:val="20"/>
                <w:szCs w:val="20"/>
              </w:rPr>
              <w:t>C</w:t>
            </w:r>
          </w:p>
        </w:tc>
        <w:tc>
          <w:tcPr>
            <w:tcW w:w="851" w:type="dxa"/>
          </w:tcPr>
          <w:p w14:paraId="2CEE0633" w14:textId="192832DC" w:rsidR="00457588" w:rsidRPr="00457588" w:rsidRDefault="00457588" w:rsidP="00457588">
            <w:pPr>
              <w:jc w:val="center"/>
              <w:rPr>
                <w:sz w:val="20"/>
                <w:szCs w:val="20"/>
              </w:rPr>
            </w:pPr>
            <w:r>
              <w:rPr>
                <w:rFonts w:eastAsia="Calibri"/>
                <w:sz w:val="20"/>
                <w:szCs w:val="20"/>
              </w:rPr>
              <w:t>C</w:t>
            </w:r>
          </w:p>
        </w:tc>
        <w:tc>
          <w:tcPr>
            <w:tcW w:w="850" w:type="dxa"/>
          </w:tcPr>
          <w:p w14:paraId="4270AB2B" w14:textId="3633EE80" w:rsidR="00457588" w:rsidRPr="00457588" w:rsidRDefault="00457588" w:rsidP="00457588">
            <w:pPr>
              <w:jc w:val="center"/>
              <w:rPr>
                <w:sz w:val="20"/>
                <w:szCs w:val="20"/>
              </w:rPr>
            </w:pPr>
            <w:r>
              <w:rPr>
                <w:sz w:val="20"/>
                <w:szCs w:val="20"/>
              </w:rPr>
              <w:t>C</w:t>
            </w:r>
          </w:p>
        </w:tc>
      </w:tr>
    </w:tbl>
    <w:p w14:paraId="58DA29BC" w14:textId="59F2ED12" w:rsidR="004622C3" w:rsidRPr="005648B8" w:rsidRDefault="004622C3" w:rsidP="005648B8">
      <w:pPr>
        <w:ind w:left="567" w:hanging="567"/>
        <w:rPr>
          <w:color w:val="auto"/>
          <w:sz w:val="20"/>
          <w:szCs w:val="20"/>
        </w:rPr>
      </w:pPr>
      <w:r w:rsidRPr="005648B8">
        <w:rPr>
          <w:rFonts w:eastAsiaTheme="minorHAnsi"/>
          <w:b/>
          <w:color w:val="auto"/>
          <w:sz w:val="20"/>
          <w:szCs w:val="20"/>
        </w:rPr>
        <w:t>Zdroj:</w:t>
      </w:r>
      <w:r w:rsidR="00626AB8" w:rsidRPr="005648B8">
        <w:rPr>
          <w:rFonts w:eastAsiaTheme="minorHAnsi"/>
          <w:color w:val="auto"/>
          <w:sz w:val="20"/>
          <w:szCs w:val="20"/>
        </w:rPr>
        <w:t xml:space="preserve"> </w:t>
      </w:r>
      <w:r w:rsidR="005648B8">
        <w:rPr>
          <w:rFonts w:eastAsiaTheme="minorHAnsi"/>
          <w:color w:val="auto"/>
          <w:sz w:val="20"/>
          <w:szCs w:val="20"/>
        </w:rPr>
        <w:tab/>
      </w:r>
      <w:r w:rsidR="00EB102D">
        <w:rPr>
          <w:color w:val="auto"/>
          <w:sz w:val="20"/>
          <w:szCs w:val="20"/>
        </w:rPr>
        <w:t>v</w:t>
      </w:r>
      <w:r w:rsidR="006B5AD1" w:rsidRPr="005648B8">
        <w:rPr>
          <w:color w:val="auto"/>
          <w:sz w:val="20"/>
          <w:szCs w:val="20"/>
        </w:rPr>
        <w:t>ýsled</w:t>
      </w:r>
      <w:r w:rsidR="00EB102D">
        <w:rPr>
          <w:color w:val="auto"/>
          <w:sz w:val="20"/>
          <w:szCs w:val="20"/>
        </w:rPr>
        <w:t>ky</w:t>
      </w:r>
      <w:r w:rsidR="006B5AD1" w:rsidRPr="005648B8">
        <w:rPr>
          <w:color w:val="auto"/>
          <w:sz w:val="20"/>
          <w:szCs w:val="20"/>
        </w:rPr>
        <w:t xml:space="preserve"> hodnocení výzkumných organizací v působnosti MPO pro poskytnutí podpory na dlouhodobý koncepční rozvoj výzkumných organizací na období 2018–2022</w:t>
      </w:r>
      <w:r w:rsidR="005E19AA" w:rsidRPr="005648B8">
        <w:rPr>
          <w:color w:val="auto"/>
          <w:sz w:val="20"/>
          <w:szCs w:val="20"/>
        </w:rPr>
        <w:t xml:space="preserve"> </w:t>
      </w:r>
      <w:r w:rsidRPr="005648B8">
        <w:rPr>
          <w:rFonts w:eastAsiaTheme="minorHAnsi"/>
          <w:color w:val="auto"/>
          <w:sz w:val="20"/>
          <w:szCs w:val="20"/>
        </w:rPr>
        <w:t>a</w:t>
      </w:r>
      <w:r w:rsidRPr="00C6334F">
        <w:rPr>
          <w:rFonts w:eastAsiaTheme="minorHAnsi"/>
          <w:color w:val="auto"/>
          <w:sz w:val="20"/>
          <w:szCs w:val="20"/>
        </w:rPr>
        <w:t xml:space="preserve"> </w:t>
      </w:r>
      <w:r w:rsidR="006B5AD1" w:rsidRPr="005648B8">
        <w:rPr>
          <w:rFonts w:eastAsiaTheme="minorHAnsi"/>
          <w:color w:val="auto"/>
          <w:sz w:val="20"/>
          <w:szCs w:val="20"/>
        </w:rPr>
        <w:t>jednotlivá h</w:t>
      </w:r>
      <w:r w:rsidRPr="005648B8">
        <w:rPr>
          <w:rFonts w:eastAsiaTheme="minorHAnsi"/>
          <w:color w:val="auto"/>
          <w:sz w:val="20"/>
          <w:szCs w:val="20"/>
        </w:rPr>
        <w:t>odnocení průběžných zpráv o</w:t>
      </w:r>
      <w:r w:rsidR="00EB102D">
        <w:rPr>
          <w:rFonts w:eastAsiaTheme="minorHAnsi"/>
          <w:color w:val="auto"/>
          <w:sz w:val="20"/>
          <w:szCs w:val="20"/>
        </w:rPr>
        <w:t xml:space="preserve"> </w:t>
      </w:r>
      <w:r w:rsidRPr="005648B8">
        <w:rPr>
          <w:rFonts w:eastAsiaTheme="minorHAnsi"/>
          <w:color w:val="auto"/>
          <w:sz w:val="20"/>
          <w:szCs w:val="20"/>
        </w:rPr>
        <w:t>plnění dlouhodobé koncepce rozvoje výzkumných organizací a o čerpání a</w:t>
      </w:r>
      <w:r w:rsidR="00EB102D">
        <w:rPr>
          <w:rFonts w:eastAsiaTheme="minorHAnsi"/>
          <w:color w:val="auto"/>
          <w:sz w:val="20"/>
          <w:szCs w:val="20"/>
        </w:rPr>
        <w:t xml:space="preserve"> </w:t>
      </w:r>
      <w:r w:rsidRPr="005648B8">
        <w:rPr>
          <w:rFonts w:eastAsiaTheme="minorHAnsi"/>
          <w:color w:val="auto"/>
          <w:sz w:val="20"/>
          <w:szCs w:val="20"/>
        </w:rPr>
        <w:t xml:space="preserve">užití podpory za roky 2018 až 2021 </w:t>
      </w:r>
      <w:r w:rsidR="00EB102D">
        <w:rPr>
          <w:rFonts w:eastAsiaTheme="minorHAnsi"/>
          <w:color w:val="auto"/>
          <w:sz w:val="20"/>
          <w:szCs w:val="20"/>
        </w:rPr>
        <w:t xml:space="preserve">(autorem uvedených zdrojových materiálů je </w:t>
      </w:r>
      <w:r w:rsidRPr="005648B8">
        <w:rPr>
          <w:rFonts w:eastAsiaTheme="minorHAnsi"/>
          <w:color w:val="auto"/>
          <w:sz w:val="20"/>
          <w:szCs w:val="20"/>
        </w:rPr>
        <w:t>Odborný poradní orgán MPO</w:t>
      </w:r>
      <w:r w:rsidR="00EB102D">
        <w:rPr>
          <w:rFonts w:eastAsiaTheme="minorHAnsi"/>
          <w:color w:val="auto"/>
          <w:sz w:val="20"/>
          <w:szCs w:val="20"/>
        </w:rPr>
        <w:t>)</w:t>
      </w:r>
      <w:r w:rsidR="00364C35" w:rsidRPr="005648B8">
        <w:rPr>
          <w:rFonts w:eastAsiaTheme="minorHAnsi"/>
          <w:color w:val="auto"/>
          <w:sz w:val="20"/>
          <w:szCs w:val="20"/>
        </w:rPr>
        <w:t>.</w:t>
      </w:r>
    </w:p>
    <w:p w14:paraId="5CBF7BB5" w14:textId="77777777" w:rsidR="00591BF4" w:rsidRDefault="00591BF4" w:rsidP="00591BF4">
      <w:pPr>
        <w:rPr>
          <w:rFonts w:eastAsiaTheme="minorHAnsi"/>
        </w:rPr>
      </w:pPr>
    </w:p>
    <w:p w14:paraId="5A0C9A77" w14:textId="7879F3FA" w:rsidR="0023745A" w:rsidRDefault="00364C35" w:rsidP="00591BF4">
      <w:pPr>
        <w:rPr>
          <w:rFonts w:eastAsiaTheme="minorHAnsi"/>
        </w:rPr>
      </w:pPr>
      <w:r w:rsidRPr="00A17512">
        <w:rPr>
          <w:rFonts w:eastAsiaTheme="minorHAnsi"/>
        </w:rPr>
        <w:t>U</w:t>
      </w:r>
      <w:r w:rsidR="00591BF4" w:rsidRPr="00A17512">
        <w:rPr>
          <w:rFonts w:eastAsiaTheme="minorHAnsi"/>
        </w:rPr>
        <w:t xml:space="preserve"> vstupního hodnocení ani</w:t>
      </w:r>
      <w:r w:rsidR="00591BF4">
        <w:rPr>
          <w:rFonts w:eastAsiaTheme="minorHAnsi"/>
        </w:rPr>
        <w:t xml:space="preserve"> u průběžného hodnocení </w:t>
      </w:r>
      <w:r w:rsidR="00F82C93">
        <w:rPr>
          <w:rFonts w:eastAsiaTheme="minorHAnsi"/>
        </w:rPr>
        <w:t xml:space="preserve">nemělo </w:t>
      </w:r>
      <w:r w:rsidR="00591BF4" w:rsidRPr="008C24A6">
        <w:rPr>
          <w:rFonts w:eastAsiaTheme="minorHAnsi"/>
        </w:rPr>
        <w:t>zařazení do</w:t>
      </w:r>
      <w:r w:rsidR="00A17512">
        <w:rPr>
          <w:rFonts w:eastAsiaTheme="minorHAnsi"/>
        </w:rPr>
        <w:t xml:space="preserve"> </w:t>
      </w:r>
      <w:r w:rsidR="00591BF4" w:rsidRPr="008C24A6">
        <w:rPr>
          <w:rFonts w:eastAsiaTheme="minorHAnsi"/>
        </w:rPr>
        <w:t>kategori</w:t>
      </w:r>
      <w:r w:rsidR="00591BF4">
        <w:rPr>
          <w:rFonts w:eastAsiaTheme="minorHAnsi"/>
        </w:rPr>
        <w:t>í</w:t>
      </w:r>
      <w:r w:rsidR="00591BF4" w:rsidRPr="008C24A6">
        <w:rPr>
          <w:rFonts w:eastAsiaTheme="minorHAnsi"/>
        </w:rPr>
        <w:t xml:space="preserve"> A</w:t>
      </w:r>
      <w:r w:rsidR="00A17512">
        <w:rPr>
          <w:rFonts w:eastAsiaTheme="minorHAnsi"/>
        </w:rPr>
        <w:t xml:space="preserve"> </w:t>
      </w:r>
      <w:r w:rsidR="00591BF4" w:rsidRPr="008C24A6">
        <w:rPr>
          <w:rFonts w:eastAsiaTheme="minorHAnsi"/>
        </w:rPr>
        <w:t>až</w:t>
      </w:r>
      <w:r w:rsidR="00A17512">
        <w:rPr>
          <w:rFonts w:eastAsiaTheme="minorHAnsi"/>
        </w:rPr>
        <w:t xml:space="preserve"> </w:t>
      </w:r>
      <w:r w:rsidR="00591BF4" w:rsidRPr="008C24A6">
        <w:rPr>
          <w:rFonts w:eastAsiaTheme="minorHAnsi"/>
        </w:rPr>
        <w:t xml:space="preserve">D </w:t>
      </w:r>
      <w:r w:rsidR="00A17512">
        <w:rPr>
          <w:rFonts w:eastAsiaTheme="minorHAnsi"/>
        </w:rPr>
        <w:br/>
      </w:r>
      <w:r w:rsidR="00591BF4" w:rsidRPr="008C24A6">
        <w:rPr>
          <w:rFonts w:eastAsiaTheme="minorHAnsi"/>
        </w:rPr>
        <w:t>vliv na poskytnutí nebo neposkytnutí institucionální podpory.</w:t>
      </w:r>
      <w:r w:rsidR="00591BF4" w:rsidRPr="001B1F97">
        <w:rPr>
          <w:rFonts w:eastAsiaTheme="minorHAnsi"/>
        </w:rPr>
        <w:t xml:space="preserve"> </w:t>
      </w:r>
      <w:r w:rsidR="00591BF4" w:rsidRPr="008C24A6">
        <w:rPr>
          <w:rFonts w:eastAsiaTheme="minorHAnsi"/>
          <w:b/>
        </w:rPr>
        <w:t>Dosažená kategorie měla</w:t>
      </w:r>
      <w:r w:rsidR="00C02604">
        <w:rPr>
          <w:rFonts w:eastAsiaTheme="minorHAnsi"/>
          <w:b/>
        </w:rPr>
        <w:t xml:space="preserve"> </w:t>
      </w:r>
      <w:r w:rsidR="00A17512" w:rsidRPr="008C24A6">
        <w:rPr>
          <w:rFonts w:eastAsiaTheme="minorHAnsi"/>
          <w:b/>
        </w:rPr>
        <w:t xml:space="preserve">vliv </w:t>
      </w:r>
      <w:r w:rsidR="00C02604">
        <w:rPr>
          <w:rFonts w:eastAsiaTheme="minorHAnsi"/>
          <w:b/>
        </w:rPr>
        <w:t>pouze</w:t>
      </w:r>
      <w:r w:rsidR="00591BF4" w:rsidRPr="008C24A6">
        <w:rPr>
          <w:rFonts w:eastAsiaTheme="minorHAnsi"/>
          <w:b/>
        </w:rPr>
        <w:t xml:space="preserve"> </w:t>
      </w:r>
      <w:r w:rsidR="00C02604">
        <w:rPr>
          <w:rFonts w:eastAsiaTheme="minorHAnsi"/>
          <w:b/>
        </w:rPr>
        <w:t>na výši poskytnuté institucionální podpory</w:t>
      </w:r>
      <w:r w:rsidR="00591BF4" w:rsidRPr="008C24A6">
        <w:rPr>
          <w:rFonts w:eastAsiaTheme="minorHAnsi"/>
          <w:b/>
        </w:rPr>
        <w:t>.</w:t>
      </w:r>
      <w:r w:rsidR="00591BF4" w:rsidRPr="001B1F97">
        <w:rPr>
          <w:rFonts w:eastAsiaTheme="minorHAnsi"/>
        </w:rPr>
        <w:t xml:space="preserve"> </w:t>
      </w:r>
      <w:r w:rsidR="00DF5A9E">
        <w:rPr>
          <w:rFonts w:eastAsiaTheme="minorHAnsi"/>
        </w:rPr>
        <w:t>Zařazení do kategorie</w:t>
      </w:r>
      <w:r w:rsidR="00591BF4" w:rsidRPr="001B1F97">
        <w:rPr>
          <w:rFonts w:eastAsiaTheme="minorHAnsi"/>
        </w:rPr>
        <w:t xml:space="preserve"> D – podprůměrná neznamenal</w:t>
      </w:r>
      <w:r w:rsidR="00DF5A9E">
        <w:rPr>
          <w:rFonts w:eastAsiaTheme="minorHAnsi"/>
        </w:rPr>
        <w:t>o</w:t>
      </w:r>
      <w:r w:rsidR="00591BF4" w:rsidRPr="001B1F97">
        <w:rPr>
          <w:rFonts w:eastAsiaTheme="minorHAnsi"/>
        </w:rPr>
        <w:t>, že takto hodnocená výzkumná organizace na další rok podporu nezísk</w:t>
      </w:r>
      <w:r w:rsidR="00A17512">
        <w:rPr>
          <w:rFonts w:eastAsiaTheme="minorHAnsi"/>
        </w:rPr>
        <w:t>á</w:t>
      </w:r>
      <w:r w:rsidR="00591BF4" w:rsidRPr="001B1F97">
        <w:rPr>
          <w:rFonts w:eastAsiaTheme="minorHAnsi"/>
        </w:rPr>
        <w:t xml:space="preserve">. </w:t>
      </w:r>
    </w:p>
    <w:p w14:paraId="30024C11" w14:textId="7123D191" w:rsidR="0023745A" w:rsidRDefault="0023745A" w:rsidP="00591BF4">
      <w:pPr>
        <w:rPr>
          <w:rFonts w:eastAsiaTheme="minorHAnsi"/>
        </w:rPr>
      </w:pPr>
    </w:p>
    <w:p w14:paraId="4FB350A2" w14:textId="54EF8F02" w:rsidR="0023745A" w:rsidRPr="00CA35FD" w:rsidRDefault="0023745A" w:rsidP="00591BF4">
      <w:pPr>
        <w:rPr>
          <w:color w:val="auto"/>
          <w:lang w:eastAsia="cs-CZ"/>
        </w:rPr>
      </w:pPr>
      <w:r w:rsidRPr="00CA35FD">
        <w:rPr>
          <w:color w:val="auto"/>
          <w:lang w:eastAsia="cs-CZ"/>
        </w:rPr>
        <w:t xml:space="preserve">Dle zákona o podpoře výzkumu, experimentálního vývoje a inovací je </w:t>
      </w:r>
      <w:r>
        <w:rPr>
          <w:color w:val="auto"/>
          <w:lang w:eastAsia="cs-CZ"/>
        </w:rPr>
        <w:t xml:space="preserve">institucionální </w:t>
      </w:r>
      <w:r w:rsidRPr="00CA35FD">
        <w:rPr>
          <w:color w:val="auto"/>
          <w:lang w:eastAsia="cs-CZ"/>
        </w:rPr>
        <w:t xml:space="preserve">podpora určena na dlouhodobý koncepční rozvoj výzkumné organizace. MPO průběžně v letech 2018 až 2021 hodnotilo jednu </w:t>
      </w:r>
      <w:r>
        <w:rPr>
          <w:color w:val="auto"/>
          <w:lang w:eastAsia="cs-CZ"/>
        </w:rPr>
        <w:t xml:space="preserve">výzkumnou organizaci </w:t>
      </w:r>
      <w:r w:rsidRPr="00CA35FD">
        <w:rPr>
          <w:color w:val="auto"/>
          <w:lang w:eastAsia="cs-CZ"/>
        </w:rPr>
        <w:t>jako podprůměrnou</w:t>
      </w:r>
      <w:r w:rsidR="00FA1437">
        <w:rPr>
          <w:color w:val="auto"/>
          <w:lang w:eastAsia="cs-CZ"/>
        </w:rPr>
        <w:t xml:space="preserve"> (s výjimkou jednoho roku)</w:t>
      </w:r>
      <w:r w:rsidR="004942A4">
        <w:rPr>
          <w:color w:val="auto"/>
          <w:lang w:eastAsia="cs-CZ"/>
        </w:rPr>
        <w:t xml:space="preserve">, čímž </w:t>
      </w:r>
      <w:r w:rsidR="004942A4" w:rsidRPr="00CA35FD">
        <w:rPr>
          <w:color w:val="auto"/>
          <w:lang w:eastAsia="cs-CZ"/>
        </w:rPr>
        <w:t>rozvoj t</w:t>
      </w:r>
      <w:r w:rsidR="004942A4">
        <w:rPr>
          <w:color w:val="auto"/>
          <w:lang w:eastAsia="cs-CZ"/>
        </w:rPr>
        <w:t>éto</w:t>
      </w:r>
      <w:r w:rsidR="004942A4" w:rsidRPr="00CA35FD">
        <w:rPr>
          <w:color w:val="auto"/>
          <w:lang w:eastAsia="cs-CZ"/>
        </w:rPr>
        <w:t xml:space="preserve"> organizac</w:t>
      </w:r>
      <w:r w:rsidR="004942A4">
        <w:rPr>
          <w:color w:val="auto"/>
          <w:lang w:eastAsia="cs-CZ"/>
        </w:rPr>
        <w:t>e nebyl</w:t>
      </w:r>
      <w:r w:rsidR="004942A4" w:rsidRPr="00CA35FD">
        <w:rPr>
          <w:color w:val="auto"/>
          <w:lang w:eastAsia="cs-CZ"/>
        </w:rPr>
        <w:t xml:space="preserve"> potvrzen</w:t>
      </w:r>
      <w:r w:rsidR="004942A4">
        <w:rPr>
          <w:color w:val="auto"/>
          <w:lang w:eastAsia="cs-CZ"/>
        </w:rPr>
        <w:t>.</w:t>
      </w:r>
    </w:p>
    <w:p w14:paraId="04E0FC11" w14:textId="77777777" w:rsidR="00643C03" w:rsidRDefault="00643C03" w:rsidP="00591BF4">
      <w:pPr>
        <w:rPr>
          <w:rFonts w:eastAsiaTheme="minorHAnsi"/>
        </w:rPr>
      </w:pPr>
    </w:p>
    <w:p w14:paraId="28CAA22E" w14:textId="5F58A149" w:rsidR="00591BF4" w:rsidRPr="001443CF" w:rsidRDefault="00591BF4" w:rsidP="00591BF4">
      <w:r w:rsidRPr="001443CF">
        <w:rPr>
          <w:rFonts w:eastAsiaTheme="minorHAnsi"/>
        </w:rPr>
        <w:t>Stejně jako u</w:t>
      </w:r>
      <w:r w:rsidR="00A17512">
        <w:rPr>
          <w:rFonts w:eastAsiaTheme="minorHAnsi"/>
        </w:rPr>
        <w:t xml:space="preserve"> </w:t>
      </w:r>
      <w:r w:rsidRPr="001443CF">
        <w:rPr>
          <w:rFonts w:eastAsiaTheme="minorHAnsi"/>
        </w:rPr>
        <w:t>vstupního hodnocení, tak u</w:t>
      </w:r>
      <w:r w:rsidR="00A17512">
        <w:rPr>
          <w:rFonts w:eastAsiaTheme="minorHAnsi"/>
        </w:rPr>
        <w:t xml:space="preserve"> </w:t>
      </w:r>
      <w:r w:rsidRPr="001443CF">
        <w:rPr>
          <w:rFonts w:eastAsiaTheme="minorHAnsi"/>
        </w:rPr>
        <w:t xml:space="preserve">průběžného hodnocení </w:t>
      </w:r>
      <w:r w:rsidRPr="001443CF">
        <w:rPr>
          <w:lang w:eastAsia="cs-CZ"/>
        </w:rPr>
        <w:t xml:space="preserve">postupovalo </w:t>
      </w:r>
      <w:r w:rsidR="00A17512" w:rsidRPr="001443CF">
        <w:rPr>
          <w:lang w:eastAsia="cs-CZ"/>
        </w:rPr>
        <w:t xml:space="preserve">MPO </w:t>
      </w:r>
      <w:r w:rsidRPr="001443CF">
        <w:rPr>
          <w:lang w:eastAsia="cs-CZ"/>
        </w:rPr>
        <w:t>v</w:t>
      </w:r>
      <w:r w:rsidR="00B62CF2" w:rsidRPr="001443CF">
        <w:rPr>
          <w:lang w:eastAsia="cs-CZ"/>
        </w:rPr>
        <w:t> </w:t>
      </w:r>
      <w:r w:rsidRPr="001443CF">
        <w:rPr>
          <w:lang w:eastAsia="cs-CZ"/>
        </w:rPr>
        <w:t>souladu s</w:t>
      </w:r>
      <w:r w:rsidR="00A17512">
        <w:rPr>
          <w:lang w:eastAsia="cs-CZ"/>
        </w:rPr>
        <w:t> </w:t>
      </w:r>
      <w:r w:rsidRPr="001443CF">
        <w:rPr>
          <w:lang w:eastAsia="cs-CZ"/>
        </w:rPr>
        <w:t>principem</w:t>
      </w:r>
      <w:r w:rsidR="00A17512">
        <w:rPr>
          <w:lang w:eastAsia="cs-CZ"/>
        </w:rPr>
        <w:t>, který je</w:t>
      </w:r>
      <w:r w:rsidRPr="001443CF">
        <w:rPr>
          <w:lang w:eastAsia="cs-CZ"/>
        </w:rPr>
        <w:t xml:space="preserve"> stanoven v Metodice 2017+ </w:t>
      </w:r>
      <w:r w:rsidR="00A17512">
        <w:rPr>
          <w:lang w:eastAsia="cs-CZ"/>
        </w:rPr>
        <w:t xml:space="preserve">a </w:t>
      </w:r>
      <w:r w:rsidRPr="001443CF">
        <w:rPr>
          <w:lang w:eastAsia="cs-CZ"/>
        </w:rPr>
        <w:t>kter</w:t>
      </w:r>
      <w:r w:rsidR="00643C03" w:rsidRPr="001443CF">
        <w:rPr>
          <w:lang w:eastAsia="cs-CZ"/>
        </w:rPr>
        <w:t>ý</w:t>
      </w:r>
      <w:r w:rsidRPr="001443CF">
        <w:rPr>
          <w:lang w:eastAsia="cs-CZ"/>
        </w:rPr>
        <w:t xml:space="preserve"> nepředpoklád</w:t>
      </w:r>
      <w:r w:rsidR="00A17512">
        <w:rPr>
          <w:lang w:eastAsia="cs-CZ"/>
        </w:rPr>
        <w:t>á</w:t>
      </w:r>
      <w:r w:rsidRPr="001443CF">
        <w:rPr>
          <w:lang w:eastAsia="cs-CZ"/>
        </w:rPr>
        <w:t xml:space="preserve">, že by </w:t>
      </w:r>
      <w:r w:rsidR="004006FA" w:rsidRPr="001443CF">
        <w:rPr>
          <w:lang w:eastAsia="cs-CZ"/>
        </w:rPr>
        <w:t>poskytovatel</w:t>
      </w:r>
      <w:r w:rsidRPr="001443CF">
        <w:rPr>
          <w:lang w:eastAsia="cs-CZ"/>
        </w:rPr>
        <w:t xml:space="preserve"> výzkumným organizacím </w:t>
      </w:r>
      <w:r w:rsidR="008D4CC4" w:rsidRPr="001443CF">
        <w:rPr>
          <w:lang w:eastAsia="cs-CZ"/>
        </w:rPr>
        <w:t>zařazený</w:t>
      </w:r>
      <w:r w:rsidR="00615731" w:rsidRPr="001443CF">
        <w:rPr>
          <w:lang w:eastAsia="cs-CZ"/>
        </w:rPr>
        <w:t>m</w:t>
      </w:r>
      <w:r w:rsidR="008D4CC4" w:rsidRPr="001443CF">
        <w:rPr>
          <w:lang w:eastAsia="cs-CZ"/>
        </w:rPr>
        <w:t xml:space="preserve"> do kategorie </w:t>
      </w:r>
      <w:r w:rsidR="00A17512">
        <w:rPr>
          <w:lang w:eastAsia="cs-CZ"/>
        </w:rPr>
        <w:t>„</w:t>
      </w:r>
      <w:r w:rsidR="008D4CC4" w:rsidRPr="001443CF">
        <w:rPr>
          <w:lang w:eastAsia="cs-CZ"/>
        </w:rPr>
        <w:t>podprůměrná</w:t>
      </w:r>
      <w:r w:rsidR="00A17512">
        <w:rPr>
          <w:lang w:eastAsia="cs-CZ"/>
        </w:rPr>
        <w:t>“</w:t>
      </w:r>
      <w:r w:rsidRPr="001443CF">
        <w:rPr>
          <w:lang w:eastAsia="cs-CZ"/>
        </w:rPr>
        <w:t xml:space="preserve"> institucionální podporu neposkyt</w:t>
      </w:r>
      <w:r w:rsidR="00A17512">
        <w:rPr>
          <w:lang w:eastAsia="cs-CZ"/>
        </w:rPr>
        <w:t>l</w:t>
      </w:r>
      <w:r w:rsidRPr="001443CF">
        <w:rPr>
          <w:lang w:eastAsia="cs-CZ"/>
        </w:rPr>
        <w:t>.</w:t>
      </w:r>
      <w:r w:rsidRPr="001443CF">
        <w:t xml:space="preserve"> </w:t>
      </w:r>
      <w:r w:rsidR="00851DDB">
        <w:rPr>
          <w:lang w:eastAsia="cs-CZ"/>
        </w:rPr>
        <w:t>P</w:t>
      </w:r>
      <w:r w:rsidRPr="001443CF">
        <w:rPr>
          <w:lang w:eastAsia="cs-CZ"/>
        </w:rPr>
        <w:t>oskytování podpory výzkum</w:t>
      </w:r>
      <w:r w:rsidR="001443CF">
        <w:rPr>
          <w:lang w:eastAsia="cs-CZ"/>
        </w:rPr>
        <w:t>né</w:t>
      </w:r>
      <w:r w:rsidRPr="001443CF">
        <w:rPr>
          <w:lang w:eastAsia="cs-CZ"/>
        </w:rPr>
        <w:t xml:space="preserve"> organizac</w:t>
      </w:r>
      <w:r w:rsidR="001443CF">
        <w:rPr>
          <w:lang w:eastAsia="cs-CZ"/>
        </w:rPr>
        <w:t>i</w:t>
      </w:r>
      <w:r w:rsidR="000031B6">
        <w:rPr>
          <w:lang w:eastAsia="cs-CZ"/>
        </w:rPr>
        <w:t>, u níž MPO hodnotilo opakovaně naplňování koncepce rozvoje jako podprůměrné</w:t>
      </w:r>
      <w:r w:rsidR="004942A4">
        <w:rPr>
          <w:lang w:eastAsia="cs-CZ"/>
        </w:rPr>
        <w:t xml:space="preserve">, </w:t>
      </w:r>
      <w:r w:rsidR="00851DDB" w:rsidRPr="00851DDB">
        <w:rPr>
          <w:lang w:eastAsia="cs-CZ"/>
        </w:rPr>
        <w:t xml:space="preserve">podle NKÚ </w:t>
      </w:r>
      <w:r w:rsidRPr="00F914A8">
        <w:rPr>
          <w:b/>
          <w:lang w:eastAsia="cs-CZ"/>
        </w:rPr>
        <w:t>snižuje efektivnost</w:t>
      </w:r>
      <w:r w:rsidR="00CD212B" w:rsidRPr="00F914A8">
        <w:rPr>
          <w:b/>
          <w:lang w:eastAsia="cs-CZ"/>
        </w:rPr>
        <w:t xml:space="preserve"> poskytované</w:t>
      </w:r>
      <w:r w:rsidRPr="00F914A8">
        <w:rPr>
          <w:b/>
          <w:lang w:eastAsia="cs-CZ"/>
        </w:rPr>
        <w:t xml:space="preserve"> </w:t>
      </w:r>
      <w:r w:rsidR="001443CF" w:rsidRPr="00F914A8">
        <w:rPr>
          <w:b/>
          <w:lang w:eastAsia="cs-CZ"/>
        </w:rPr>
        <w:t>podpor</w:t>
      </w:r>
      <w:r w:rsidR="00851DDB" w:rsidRPr="00F914A8">
        <w:rPr>
          <w:b/>
          <w:lang w:eastAsia="cs-CZ"/>
        </w:rPr>
        <w:t>y</w:t>
      </w:r>
      <w:r w:rsidR="00883772" w:rsidRPr="00C6334F">
        <w:rPr>
          <w:b/>
          <w:lang w:eastAsia="cs-CZ"/>
        </w:rPr>
        <w:t>.</w:t>
      </w:r>
    </w:p>
    <w:p w14:paraId="179A99CB" w14:textId="77777777" w:rsidR="00FD7C7F" w:rsidRDefault="00FD7C7F" w:rsidP="00A21E42"/>
    <w:p w14:paraId="2CF18665" w14:textId="67286B89" w:rsidR="00DF5A9E" w:rsidRDefault="00463BEF" w:rsidP="00A21E42">
      <w:pPr>
        <w:rPr>
          <w:rFonts w:eastAsiaTheme="minorHAnsi"/>
        </w:rPr>
      </w:pPr>
      <w:r>
        <w:t>Dle NKÚ provádělo MPO průběžné hodnocení</w:t>
      </w:r>
      <w:r w:rsidR="00F82C93">
        <w:t xml:space="preserve"> v</w:t>
      </w:r>
      <w:r w:rsidR="00A17512">
        <w:t xml:space="preserve"> </w:t>
      </w:r>
      <w:r w:rsidR="00F82C93">
        <w:t>letech 2019 až 2022</w:t>
      </w:r>
      <w:r>
        <w:t xml:space="preserve"> transparentně,</w:t>
      </w:r>
      <w:r w:rsidRPr="00463BEF">
        <w:rPr>
          <w:b/>
          <w:color w:val="auto"/>
        </w:rPr>
        <w:t xml:space="preserve"> </w:t>
      </w:r>
      <w:r>
        <w:rPr>
          <w:b/>
          <w:color w:val="auto"/>
        </w:rPr>
        <w:t>v souladu s principy definovanými v Metodice 2017</w:t>
      </w:r>
      <w:r w:rsidRPr="004622C3">
        <w:rPr>
          <w:rFonts w:eastAsiaTheme="minorHAnsi"/>
          <w:b/>
        </w:rPr>
        <w:t>+</w:t>
      </w:r>
      <w:r>
        <w:rPr>
          <w:rFonts w:eastAsiaTheme="minorHAnsi"/>
          <w:b/>
        </w:rPr>
        <w:t xml:space="preserve"> a </w:t>
      </w:r>
      <w:r w:rsidRPr="004622C3">
        <w:rPr>
          <w:b/>
          <w:color w:val="auto"/>
        </w:rPr>
        <w:t>podle předem stanovených kritérií</w:t>
      </w:r>
      <w:r w:rsidRPr="00C6334F">
        <w:rPr>
          <w:b/>
          <w:color w:val="auto"/>
        </w:rPr>
        <w:t xml:space="preserve">. </w:t>
      </w:r>
      <w:r>
        <w:rPr>
          <w:color w:val="auto"/>
        </w:rPr>
        <w:t xml:space="preserve">Nicméně NKÚ zjistil ve čtyřech případech, že </w:t>
      </w:r>
      <w:r w:rsidR="0064309F">
        <w:rPr>
          <w:color w:val="auto"/>
        </w:rPr>
        <w:t>výzkumné organizace</w:t>
      </w:r>
      <w:r>
        <w:rPr>
          <w:color w:val="auto"/>
        </w:rPr>
        <w:t xml:space="preserve"> uvedl</w:t>
      </w:r>
      <w:r w:rsidR="0064309F">
        <w:rPr>
          <w:color w:val="auto"/>
        </w:rPr>
        <w:t>y</w:t>
      </w:r>
      <w:r>
        <w:rPr>
          <w:color w:val="auto"/>
        </w:rPr>
        <w:t xml:space="preserve"> nebo předložil</w:t>
      </w:r>
      <w:r w:rsidR="0064309F">
        <w:rPr>
          <w:color w:val="auto"/>
        </w:rPr>
        <w:t>y</w:t>
      </w:r>
      <w:r>
        <w:rPr>
          <w:color w:val="auto"/>
        </w:rPr>
        <w:t xml:space="preserve"> ve</w:t>
      </w:r>
      <w:r w:rsidR="00A17512">
        <w:rPr>
          <w:color w:val="auto"/>
        </w:rPr>
        <w:t xml:space="preserve"> </w:t>
      </w:r>
      <w:r>
        <w:rPr>
          <w:color w:val="auto"/>
        </w:rPr>
        <w:t>svých průběžných zprávách chybné údaje</w:t>
      </w:r>
      <w:r w:rsidR="007C30E3">
        <w:rPr>
          <w:color w:val="auto"/>
        </w:rPr>
        <w:t xml:space="preserve"> </w:t>
      </w:r>
      <w:r w:rsidR="007C30E3" w:rsidRPr="007C30E3">
        <w:rPr>
          <w:color w:val="auto"/>
        </w:rPr>
        <w:t>o čerpání a užití institucionální podpory</w:t>
      </w:r>
      <w:r>
        <w:rPr>
          <w:color w:val="auto"/>
        </w:rPr>
        <w:t xml:space="preserve"> </w:t>
      </w:r>
      <w:r w:rsidR="00FA1437">
        <w:rPr>
          <w:color w:val="auto"/>
        </w:rPr>
        <w:br/>
      </w:r>
      <w:r>
        <w:rPr>
          <w:color w:val="auto"/>
        </w:rPr>
        <w:t>a</w:t>
      </w:r>
      <w:r w:rsidR="00FA1437">
        <w:rPr>
          <w:color w:val="auto"/>
        </w:rPr>
        <w:t xml:space="preserve"> </w:t>
      </w:r>
      <w:r>
        <w:rPr>
          <w:color w:val="auto"/>
        </w:rPr>
        <w:t xml:space="preserve">hodnotitelé </w:t>
      </w:r>
      <w:r w:rsidR="0064309F">
        <w:rPr>
          <w:color w:val="auto"/>
        </w:rPr>
        <w:t xml:space="preserve">chybné údaje </w:t>
      </w:r>
      <w:r w:rsidR="00A17512">
        <w:rPr>
          <w:color w:val="auto"/>
        </w:rPr>
        <w:t>neodhalili</w:t>
      </w:r>
      <w:r>
        <w:rPr>
          <w:color w:val="auto"/>
        </w:rPr>
        <w:t xml:space="preserve">. </w:t>
      </w:r>
      <w:r w:rsidR="002016C2">
        <w:rPr>
          <w:rFonts w:eastAsiaTheme="minorHAnsi"/>
        </w:rPr>
        <w:t>Přestože se v</w:t>
      </w:r>
      <w:r w:rsidR="00A17512">
        <w:rPr>
          <w:rFonts w:eastAsiaTheme="minorHAnsi"/>
        </w:rPr>
        <w:t>e zmíněných</w:t>
      </w:r>
      <w:r w:rsidR="002016C2">
        <w:rPr>
          <w:rFonts w:eastAsiaTheme="minorHAnsi"/>
        </w:rPr>
        <w:t xml:space="preserve"> čtyřech případech nejednalo o</w:t>
      </w:r>
      <w:r w:rsidR="00002176">
        <w:rPr>
          <w:rFonts w:eastAsiaTheme="minorHAnsi"/>
        </w:rPr>
        <w:t xml:space="preserve"> </w:t>
      </w:r>
      <w:r w:rsidR="002016C2">
        <w:rPr>
          <w:rFonts w:eastAsiaTheme="minorHAnsi"/>
        </w:rPr>
        <w:t xml:space="preserve">finančně významné částky vzhledem k výši poskytnuté podpory, </w:t>
      </w:r>
      <w:r w:rsidR="00A17512">
        <w:rPr>
          <w:rFonts w:eastAsiaTheme="minorHAnsi"/>
        </w:rPr>
        <w:t xml:space="preserve">svědčí o tom, že hodnotitelé i MPO </w:t>
      </w:r>
      <w:r w:rsidR="00A17512" w:rsidRPr="00C6334F">
        <w:rPr>
          <w:rFonts w:eastAsiaTheme="minorHAnsi"/>
          <w:b/>
        </w:rPr>
        <w:t>neprovádějí</w:t>
      </w:r>
      <w:r w:rsidR="002016C2" w:rsidRPr="00643C03">
        <w:rPr>
          <w:rFonts w:eastAsiaTheme="minorHAnsi"/>
          <w:b/>
        </w:rPr>
        <w:t xml:space="preserve"> </w:t>
      </w:r>
      <w:r w:rsidR="00265796">
        <w:rPr>
          <w:rFonts w:eastAsiaTheme="minorHAnsi"/>
          <w:b/>
        </w:rPr>
        <w:t>účinn</w:t>
      </w:r>
      <w:r w:rsidR="00A17512">
        <w:rPr>
          <w:rFonts w:eastAsiaTheme="minorHAnsi"/>
          <w:b/>
        </w:rPr>
        <w:t>ou</w:t>
      </w:r>
      <w:r w:rsidR="00265796">
        <w:rPr>
          <w:rFonts w:eastAsiaTheme="minorHAnsi"/>
          <w:b/>
        </w:rPr>
        <w:t xml:space="preserve"> </w:t>
      </w:r>
      <w:r w:rsidR="002016C2" w:rsidRPr="00643C03">
        <w:rPr>
          <w:rFonts w:eastAsiaTheme="minorHAnsi"/>
          <w:b/>
        </w:rPr>
        <w:t>kontrol</w:t>
      </w:r>
      <w:r w:rsidR="00A17512">
        <w:rPr>
          <w:rFonts w:eastAsiaTheme="minorHAnsi"/>
          <w:b/>
        </w:rPr>
        <w:t>u</w:t>
      </w:r>
      <w:r w:rsidR="002016C2" w:rsidRPr="00643C03">
        <w:rPr>
          <w:rFonts w:eastAsiaTheme="minorHAnsi"/>
          <w:b/>
        </w:rPr>
        <w:t xml:space="preserve"> údajů uvedených v průběžných zprávách</w:t>
      </w:r>
      <w:r w:rsidR="002016C2" w:rsidRPr="00C6334F">
        <w:rPr>
          <w:rFonts w:eastAsiaTheme="minorHAnsi"/>
          <w:b/>
        </w:rPr>
        <w:t>.</w:t>
      </w:r>
    </w:p>
    <w:p w14:paraId="559CD12F" w14:textId="77777777" w:rsidR="0049109B" w:rsidRPr="00C6334F" w:rsidRDefault="0049109B" w:rsidP="00A21E42">
      <w:pPr>
        <w:rPr>
          <w:rFonts w:eastAsiaTheme="minorHAnsi"/>
        </w:rPr>
      </w:pPr>
    </w:p>
    <w:p w14:paraId="107BD522" w14:textId="0B517B9C" w:rsidR="00463BEF" w:rsidRPr="002016C2" w:rsidRDefault="00463BEF" w:rsidP="002016C2">
      <w:pPr>
        <w:pBdr>
          <w:top w:val="single" w:sz="4" w:space="1" w:color="auto"/>
          <w:left w:val="single" w:sz="4" w:space="4" w:color="auto"/>
          <w:bottom w:val="single" w:sz="4" w:space="1" w:color="auto"/>
          <w:right w:val="single" w:sz="4" w:space="4" w:color="auto"/>
        </w:pBdr>
        <w:rPr>
          <w:b/>
        </w:rPr>
      </w:pPr>
      <w:r w:rsidRPr="002016C2">
        <w:rPr>
          <w:b/>
        </w:rPr>
        <w:t xml:space="preserve">Příklad č. </w:t>
      </w:r>
      <w:r w:rsidR="00F76E94">
        <w:rPr>
          <w:b/>
        </w:rPr>
        <w:t>1</w:t>
      </w:r>
    </w:p>
    <w:p w14:paraId="4459F6A6" w14:textId="54B0B0E4" w:rsidR="007C30E3" w:rsidRPr="00F76E94" w:rsidRDefault="00DF5A9E" w:rsidP="002016C2">
      <w:pPr>
        <w:pBdr>
          <w:top w:val="single" w:sz="4" w:space="1" w:color="auto"/>
          <w:left w:val="single" w:sz="4" w:space="4" w:color="auto"/>
          <w:bottom w:val="single" w:sz="4" w:space="1" w:color="auto"/>
          <w:right w:val="single" w:sz="4" w:space="4" w:color="auto"/>
        </w:pBdr>
        <w:rPr>
          <w:i/>
        </w:rPr>
      </w:pPr>
      <w:r w:rsidRPr="00F76E94">
        <w:rPr>
          <w:rFonts w:eastAsiaTheme="minorHAnsi"/>
          <w:i/>
        </w:rPr>
        <w:t>Jedna podpořená v</w:t>
      </w:r>
      <w:r w:rsidR="007C30E3" w:rsidRPr="00F76E94">
        <w:rPr>
          <w:rFonts w:eastAsiaTheme="minorHAnsi"/>
          <w:i/>
        </w:rPr>
        <w:t>ýzkumná organizace</w:t>
      </w:r>
      <w:r w:rsidRPr="00F76E94">
        <w:rPr>
          <w:rFonts w:eastAsiaTheme="minorHAnsi"/>
          <w:i/>
        </w:rPr>
        <w:t xml:space="preserve"> </w:t>
      </w:r>
      <w:r w:rsidR="00C52FFA" w:rsidRPr="00F76E94">
        <w:rPr>
          <w:rFonts w:eastAsiaTheme="minorHAnsi"/>
          <w:i/>
        </w:rPr>
        <w:t xml:space="preserve">předložila </w:t>
      </w:r>
      <w:r w:rsidR="00C52FFA" w:rsidRPr="00C6334F">
        <w:rPr>
          <w:rFonts w:asciiTheme="minorHAnsi" w:hAnsiTheme="minorHAnsi" w:cstheme="minorHAnsi"/>
          <w:i/>
        </w:rPr>
        <w:t>Ministerstvu průmyslu a obchodu</w:t>
      </w:r>
      <w:r w:rsidR="00C52FFA" w:rsidRPr="00F76E94">
        <w:rPr>
          <w:rFonts w:eastAsiaTheme="minorHAnsi"/>
          <w:i/>
        </w:rPr>
        <w:t xml:space="preserve"> </w:t>
      </w:r>
      <w:r w:rsidR="00C52FFA">
        <w:rPr>
          <w:rFonts w:eastAsiaTheme="minorHAnsi"/>
          <w:i/>
        </w:rPr>
        <w:t xml:space="preserve">nesprávnou </w:t>
      </w:r>
      <w:r w:rsidRPr="00F76E94">
        <w:rPr>
          <w:rFonts w:eastAsiaTheme="minorHAnsi"/>
          <w:i/>
        </w:rPr>
        <w:t xml:space="preserve">zprávu nezávislého </w:t>
      </w:r>
      <w:r w:rsidR="00265796">
        <w:rPr>
          <w:rFonts w:eastAsiaTheme="minorHAnsi"/>
          <w:i/>
        </w:rPr>
        <w:t>auditora</w:t>
      </w:r>
      <w:r w:rsidRPr="00F76E94">
        <w:rPr>
          <w:rFonts w:eastAsiaTheme="minorHAnsi"/>
          <w:i/>
        </w:rPr>
        <w:t xml:space="preserve"> k čerpání a užití institucionální podpory </w:t>
      </w:r>
      <w:r w:rsidR="00A4441D">
        <w:rPr>
          <w:rFonts w:eastAsiaTheme="minorHAnsi"/>
          <w:i/>
        </w:rPr>
        <w:t>za rok</w:t>
      </w:r>
      <w:r w:rsidRPr="00F76E94">
        <w:rPr>
          <w:rFonts w:eastAsiaTheme="minorHAnsi"/>
          <w:i/>
        </w:rPr>
        <w:t xml:space="preserve"> 2018. Tato zpráva nezávislého auditora se netýkala čerpání a užití institucionální podpory, ale vztahovala se k</w:t>
      </w:r>
      <w:r w:rsidR="00C52FFA">
        <w:rPr>
          <w:rFonts w:eastAsiaTheme="minorHAnsi"/>
          <w:i/>
        </w:rPr>
        <w:t xml:space="preserve"> </w:t>
      </w:r>
      <w:r w:rsidRPr="00F76E94">
        <w:rPr>
          <w:rFonts w:eastAsiaTheme="minorHAnsi"/>
          <w:i/>
        </w:rPr>
        <w:t>projektu účelové podpory, na který výzkumná organizace čerpala podporu z programu TRIO</w:t>
      </w:r>
      <w:r w:rsidR="00F76E94">
        <w:rPr>
          <w:rStyle w:val="Znakapoznpodarou"/>
          <w:rFonts w:eastAsiaTheme="minorHAnsi"/>
          <w:i/>
        </w:rPr>
        <w:footnoteReference w:id="15"/>
      </w:r>
      <w:r w:rsidRPr="00F76E94">
        <w:rPr>
          <w:rFonts w:eastAsiaTheme="minorHAnsi"/>
          <w:i/>
        </w:rPr>
        <w:t>. Dále tato výzkumná organizace v průběžné zprávě za</w:t>
      </w:r>
      <w:r w:rsidR="00C52FFA">
        <w:rPr>
          <w:rFonts w:eastAsiaTheme="minorHAnsi"/>
          <w:i/>
        </w:rPr>
        <w:t xml:space="preserve"> </w:t>
      </w:r>
      <w:r w:rsidRPr="00F76E94">
        <w:rPr>
          <w:rFonts w:eastAsiaTheme="minorHAnsi"/>
          <w:i/>
        </w:rPr>
        <w:t xml:space="preserve">rok 2018 v kapitole 2 </w:t>
      </w:r>
      <w:r w:rsidR="00C52FFA">
        <w:rPr>
          <w:rFonts w:eastAsiaTheme="minorHAnsi"/>
          <w:i/>
        </w:rPr>
        <w:t>„</w:t>
      </w:r>
      <w:r w:rsidRPr="00F76E94">
        <w:rPr>
          <w:rFonts w:eastAsiaTheme="minorHAnsi"/>
          <w:i/>
        </w:rPr>
        <w:t>Přehled o čerpání a užití institucionální podpory v roce 2018</w:t>
      </w:r>
      <w:r w:rsidR="00C52FFA">
        <w:rPr>
          <w:rFonts w:eastAsiaTheme="minorHAnsi"/>
          <w:i/>
        </w:rPr>
        <w:t>“</w:t>
      </w:r>
      <w:r w:rsidRPr="00F76E94">
        <w:rPr>
          <w:rFonts w:eastAsiaTheme="minorHAnsi"/>
          <w:i/>
        </w:rPr>
        <w:t xml:space="preserve"> uvedla, že poskytnutou institucionální podporu použila ve výši 10 530 500 Kč. Tato částka byla ale o</w:t>
      </w:r>
      <w:r w:rsidR="00C52FFA">
        <w:rPr>
          <w:rFonts w:eastAsiaTheme="minorHAnsi"/>
          <w:i/>
        </w:rPr>
        <w:t xml:space="preserve"> </w:t>
      </w:r>
      <w:r w:rsidRPr="00F76E94">
        <w:rPr>
          <w:rFonts w:eastAsiaTheme="minorHAnsi"/>
          <w:i/>
        </w:rPr>
        <w:t>500 Kč nižší, než byla poskytnutá institucionální podpora na rok 2018 ve výši 10 531 000 Kč.</w:t>
      </w:r>
      <w:r w:rsidRPr="00F76E94">
        <w:rPr>
          <w:i/>
        </w:rPr>
        <w:t xml:space="preserve"> </w:t>
      </w:r>
      <w:r w:rsidRPr="00F76E94">
        <w:rPr>
          <w:rFonts w:eastAsiaTheme="minorHAnsi"/>
          <w:i/>
        </w:rPr>
        <w:t>Ve finančním vypořádání poskytnuté podpory výzkumná organizace uvedla, že nevrací žádné finanční prostředky. Ani</w:t>
      </w:r>
      <w:r w:rsidR="00F76E94" w:rsidRPr="00F76E94">
        <w:rPr>
          <w:rFonts w:eastAsiaTheme="minorHAnsi"/>
          <w:i/>
        </w:rPr>
        <w:t xml:space="preserve"> </w:t>
      </w:r>
      <w:r w:rsidRPr="00F76E94">
        <w:rPr>
          <w:rFonts w:eastAsiaTheme="minorHAnsi"/>
          <w:i/>
        </w:rPr>
        <w:t xml:space="preserve">jeden ze dvou hodnotitelů </w:t>
      </w:r>
      <w:r w:rsidR="00F76E94">
        <w:rPr>
          <w:rFonts w:eastAsiaTheme="minorHAnsi"/>
          <w:i/>
        </w:rPr>
        <w:t>provádějící</w:t>
      </w:r>
      <w:r w:rsidR="00615731">
        <w:rPr>
          <w:rFonts w:eastAsiaTheme="minorHAnsi"/>
          <w:i/>
        </w:rPr>
        <w:t>ch</w:t>
      </w:r>
      <w:r w:rsidR="00F76E94">
        <w:rPr>
          <w:rFonts w:eastAsiaTheme="minorHAnsi"/>
          <w:i/>
        </w:rPr>
        <w:t xml:space="preserve"> průběžné hodnocení</w:t>
      </w:r>
      <w:r w:rsidRPr="00F76E94">
        <w:rPr>
          <w:rFonts w:eastAsiaTheme="minorHAnsi"/>
          <w:i/>
        </w:rPr>
        <w:t xml:space="preserve"> této výzkumné organizace za rok 2018 se ve</w:t>
      </w:r>
      <w:r w:rsidR="00C52FFA">
        <w:rPr>
          <w:rFonts w:eastAsiaTheme="minorHAnsi"/>
          <w:i/>
        </w:rPr>
        <w:t xml:space="preserve"> </w:t>
      </w:r>
      <w:r w:rsidRPr="00F76E94">
        <w:rPr>
          <w:rFonts w:eastAsiaTheme="minorHAnsi"/>
          <w:i/>
        </w:rPr>
        <w:t xml:space="preserve">svém </w:t>
      </w:r>
      <w:r w:rsidR="00F76E94">
        <w:rPr>
          <w:rFonts w:eastAsiaTheme="minorHAnsi"/>
          <w:i/>
        </w:rPr>
        <w:t>posudku</w:t>
      </w:r>
      <w:r w:rsidRPr="00F76E94">
        <w:rPr>
          <w:rFonts w:eastAsiaTheme="minorHAnsi"/>
          <w:i/>
        </w:rPr>
        <w:t xml:space="preserve"> nezabýval důvodem, proč výzkumná organizace v průběžné zprávě uvedla nižší částku použité podpory</w:t>
      </w:r>
      <w:r w:rsidR="00C52FFA">
        <w:rPr>
          <w:rFonts w:eastAsiaTheme="minorHAnsi"/>
          <w:i/>
        </w:rPr>
        <w:t>,</w:t>
      </w:r>
      <w:r w:rsidRPr="00F76E94">
        <w:rPr>
          <w:rFonts w:eastAsiaTheme="minorHAnsi"/>
          <w:i/>
        </w:rPr>
        <w:t xml:space="preserve"> a ani neupozornil na</w:t>
      </w:r>
      <w:r w:rsidR="00C52FFA">
        <w:rPr>
          <w:rFonts w:eastAsiaTheme="minorHAnsi"/>
          <w:i/>
        </w:rPr>
        <w:t xml:space="preserve"> </w:t>
      </w:r>
      <w:r w:rsidRPr="00F76E94">
        <w:rPr>
          <w:rFonts w:eastAsiaTheme="minorHAnsi"/>
          <w:i/>
        </w:rPr>
        <w:t>skutečnost, že se doložená zpráva nezávislého auditora netýkala institucionální podpory.</w:t>
      </w:r>
      <w:r w:rsidR="00F76E94" w:rsidRPr="00F76E94">
        <w:rPr>
          <w:rFonts w:eastAsiaTheme="minorHAnsi"/>
          <w:i/>
        </w:rPr>
        <w:t xml:space="preserve"> </w:t>
      </w:r>
      <w:r w:rsidR="00C52FFA">
        <w:rPr>
          <w:rFonts w:eastAsiaTheme="minorHAnsi"/>
          <w:i/>
        </w:rPr>
        <w:t>Navíc</w:t>
      </w:r>
      <w:r w:rsidR="002016C2" w:rsidRPr="00F76E94">
        <w:rPr>
          <w:rFonts w:eastAsiaTheme="minorHAnsi"/>
          <w:i/>
        </w:rPr>
        <w:t xml:space="preserve"> </w:t>
      </w:r>
      <w:r w:rsidR="00DE6C03" w:rsidRPr="00F76E94">
        <w:rPr>
          <w:rFonts w:eastAsiaTheme="minorHAnsi"/>
          <w:i/>
        </w:rPr>
        <w:t xml:space="preserve">se </w:t>
      </w:r>
      <w:r w:rsidR="002016C2" w:rsidRPr="00F76E94">
        <w:rPr>
          <w:rFonts w:eastAsiaTheme="minorHAnsi"/>
          <w:i/>
        </w:rPr>
        <w:t>oba</w:t>
      </w:r>
      <w:r w:rsidR="00D605CD" w:rsidRPr="00F76E94">
        <w:rPr>
          <w:rFonts w:eastAsiaTheme="minorHAnsi"/>
          <w:i/>
        </w:rPr>
        <w:t xml:space="preserve"> hodnotitelé</w:t>
      </w:r>
      <w:r w:rsidR="002016C2" w:rsidRPr="00F76E94">
        <w:rPr>
          <w:rFonts w:eastAsiaTheme="minorHAnsi"/>
          <w:i/>
        </w:rPr>
        <w:t xml:space="preserve"> na</w:t>
      </w:r>
      <w:r w:rsidR="00C52FFA">
        <w:rPr>
          <w:rFonts w:eastAsiaTheme="minorHAnsi"/>
          <w:i/>
        </w:rPr>
        <w:t xml:space="preserve"> </w:t>
      </w:r>
      <w:r w:rsidR="002016C2" w:rsidRPr="00F76E94">
        <w:rPr>
          <w:rFonts w:eastAsiaTheme="minorHAnsi"/>
          <w:i/>
        </w:rPr>
        <w:t>správnost výroku auditora odvolali ve svém hodnocení.</w:t>
      </w:r>
    </w:p>
    <w:p w14:paraId="715F290A" w14:textId="77777777" w:rsidR="00C7299B" w:rsidRDefault="00C7299B" w:rsidP="00A21E42">
      <w:pPr>
        <w:rPr>
          <w:highlight w:val="green"/>
        </w:rPr>
      </w:pPr>
    </w:p>
    <w:p w14:paraId="63C17242" w14:textId="291A1A26" w:rsidR="00B43549" w:rsidRPr="00CF2E66" w:rsidRDefault="00A4441D" w:rsidP="00A21E42">
      <w:pPr>
        <w:rPr>
          <w:rFonts w:eastAsiaTheme="minorHAnsi"/>
        </w:rPr>
      </w:pPr>
      <w:r>
        <w:rPr>
          <w:rFonts w:asciiTheme="minorHAnsi" w:eastAsiaTheme="minorHAnsi" w:hAnsiTheme="minorHAnsi" w:cstheme="minorHAnsi"/>
        </w:rPr>
        <w:t>Závěrečné</w:t>
      </w:r>
      <w:r w:rsidRPr="00AD25F4">
        <w:rPr>
          <w:rFonts w:asciiTheme="minorHAnsi" w:eastAsiaTheme="minorHAnsi" w:hAnsiTheme="minorHAnsi" w:cstheme="minorHAnsi"/>
        </w:rPr>
        <w:t xml:space="preserve"> hodnocení</w:t>
      </w:r>
      <w:r>
        <w:rPr>
          <w:rFonts w:asciiTheme="minorHAnsi" w:eastAsiaTheme="minorHAnsi" w:hAnsiTheme="minorHAnsi" w:cstheme="minorHAnsi"/>
        </w:rPr>
        <w:t xml:space="preserve"> mělo </w:t>
      </w:r>
      <w:r w:rsidR="00847938">
        <w:rPr>
          <w:rFonts w:asciiTheme="minorHAnsi" w:eastAsiaTheme="minorHAnsi" w:hAnsiTheme="minorHAnsi" w:cstheme="minorHAnsi"/>
        </w:rPr>
        <w:t xml:space="preserve">MPO provést </w:t>
      </w:r>
      <w:r w:rsidR="00847938" w:rsidRPr="00AD25F4">
        <w:rPr>
          <w:rFonts w:asciiTheme="minorHAnsi" w:eastAsiaTheme="minorHAnsi" w:hAnsiTheme="minorHAnsi" w:cstheme="minorHAnsi"/>
        </w:rPr>
        <w:t xml:space="preserve">na základě závěrečných zpráv o plnění </w:t>
      </w:r>
      <w:r w:rsidR="00847938">
        <w:rPr>
          <w:rFonts w:asciiTheme="minorHAnsi" w:eastAsiaTheme="minorHAnsi" w:hAnsiTheme="minorHAnsi" w:cstheme="minorHAnsi"/>
        </w:rPr>
        <w:t xml:space="preserve">dlouhodobé </w:t>
      </w:r>
      <w:r w:rsidR="00847938" w:rsidRPr="00AD25F4">
        <w:rPr>
          <w:rFonts w:asciiTheme="minorHAnsi" w:eastAsiaTheme="minorHAnsi" w:hAnsiTheme="minorHAnsi" w:cstheme="minorHAnsi"/>
        </w:rPr>
        <w:t xml:space="preserve">koncepce </w:t>
      </w:r>
      <w:r w:rsidR="00847938">
        <w:rPr>
          <w:rFonts w:asciiTheme="minorHAnsi" w:eastAsiaTheme="minorHAnsi" w:hAnsiTheme="minorHAnsi" w:cstheme="minorHAnsi"/>
        </w:rPr>
        <w:t xml:space="preserve">rozvoje </w:t>
      </w:r>
      <w:r w:rsidR="00847938" w:rsidRPr="00AD25F4">
        <w:rPr>
          <w:rFonts w:asciiTheme="minorHAnsi" w:eastAsiaTheme="minorHAnsi" w:hAnsiTheme="minorHAnsi" w:cstheme="minorHAnsi"/>
        </w:rPr>
        <w:t>výzkumné organizace a o čerpání podpory za pětileté období</w:t>
      </w:r>
      <w:r w:rsidR="00847938">
        <w:rPr>
          <w:rFonts w:asciiTheme="minorHAnsi" w:eastAsiaTheme="minorHAnsi" w:hAnsiTheme="minorHAnsi" w:cstheme="minorHAnsi"/>
        </w:rPr>
        <w:t>.</w:t>
      </w:r>
      <w:r w:rsidR="00A11876">
        <w:rPr>
          <w:rFonts w:asciiTheme="minorHAnsi" w:eastAsiaTheme="minorHAnsi" w:hAnsiTheme="minorHAnsi" w:cstheme="minorHAnsi"/>
        </w:rPr>
        <w:t xml:space="preserve"> NKÚ ověřil, že</w:t>
      </w:r>
      <w:r w:rsidR="0057577E">
        <w:rPr>
          <w:rFonts w:asciiTheme="minorHAnsi" w:eastAsiaTheme="minorHAnsi" w:hAnsiTheme="minorHAnsi" w:cstheme="minorHAnsi"/>
        </w:rPr>
        <w:t xml:space="preserve"> MPO stanovilo způsob provedení závěrečného hodnocení v souladu s Metodiko</w:t>
      </w:r>
      <w:r w:rsidR="00534D55">
        <w:rPr>
          <w:rFonts w:asciiTheme="minorHAnsi" w:eastAsiaTheme="minorHAnsi" w:hAnsiTheme="minorHAnsi" w:cstheme="minorHAnsi"/>
        </w:rPr>
        <w:t>u</w:t>
      </w:r>
      <w:r w:rsidR="0057577E">
        <w:rPr>
          <w:rFonts w:asciiTheme="minorHAnsi" w:eastAsiaTheme="minorHAnsi" w:hAnsiTheme="minorHAnsi" w:cstheme="minorHAnsi"/>
        </w:rPr>
        <w:t xml:space="preserve"> 2017</w:t>
      </w:r>
      <w:r w:rsidR="0057577E" w:rsidRPr="00C6334F">
        <w:rPr>
          <w:rFonts w:asciiTheme="minorHAnsi" w:eastAsiaTheme="minorHAnsi" w:hAnsiTheme="minorHAnsi" w:cstheme="minorHAnsi"/>
        </w:rPr>
        <w:t xml:space="preserve">+ </w:t>
      </w:r>
      <w:r w:rsidR="00C52FFA">
        <w:rPr>
          <w:rFonts w:asciiTheme="minorHAnsi" w:eastAsiaTheme="minorHAnsi" w:hAnsiTheme="minorHAnsi" w:cstheme="minorHAnsi"/>
        </w:rPr>
        <w:br/>
      </w:r>
      <w:r w:rsidR="0057577E" w:rsidRPr="00C6334F">
        <w:rPr>
          <w:rFonts w:asciiTheme="minorHAnsi" w:eastAsiaTheme="minorHAnsi" w:hAnsiTheme="minorHAnsi" w:cstheme="minorHAnsi"/>
        </w:rPr>
        <w:t>a</w:t>
      </w:r>
      <w:r w:rsidR="00C52FFA">
        <w:rPr>
          <w:rFonts w:asciiTheme="minorHAnsi" w:eastAsiaTheme="minorHAnsi" w:hAnsiTheme="minorHAnsi" w:cstheme="minorHAnsi"/>
        </w:rPr>
        <w:t xml:space="preserve"> </w:t>
      </w:r>
      <w:r w:rsidR="0057577E">
        <w:rPr>
          <w:rFonts w:asciiTheme="minorHAnsi" w:eastAsiaTheme="minorHAnsi" w:hAnsiTheme="minorHAnsi" w:cstheme="minorHAnsi"/>
        </w:rPr>
        <w:t xml:space="preserve">že </w:t>
      </w:r>
      <w:r w:rsidR="00A11876">
        <w:rPr>
          <w:rFonts w:asciiTheme="minorHAnsi" w:eastAsiaTheme="minorHAnsi" w:hAnsiTheme="minorHAnsi" w:cstheme="minorHAnsi"/>
        </w:rPr>
        <w:t>závěrečné zprávy předložil</w:t>
      </w:r>
      <w:r w:rsidR="001A7427">
        <w:rPr>
          <w:rFonts w:asciiTheme="minorHAnsi" w:eastAsiaTheme="minorHAnsi" w:hAnsiTheme="minorHAnsi" w:cstheme="minorHAnsi"/>
        </w:rPr>
        <w:t>y</w:t>
      </w:r>
      <w:r w:rsidR="00A11876">
        <w:rPr>
          <w:rFonts w:asciiTheme="minorHAnsi" w:eastAsiaTheme="minorHAnsi" w:hAnsiTheme="minorHAnsi" w:cstheme="minorHAnsi"/>
        </w:rPr>
        <w:t xml:space="preserve"> MPO všechny podpořené výzkumné organizace ve</w:t>
      </w:r>
      <w:r w:rsidR="00C52FFA">
        <w:rPr>
          <w:rFonts w:asciiTheme="minorHAnsi" w:eastAsiaTheme="minorHAnsi" w:hAnsiTheme="minorHAnsi" w:cstheme="minorHAnsi"/>
        </w:rPr>
        <w:t xml:space="preserve"> </w:t>
      </w:r>
      <w:r w:rsidR="00A11876">
        <w:rPr>
          <w:rFonts w:asciiTheme="minorHAnsi" w:eastAsiaTheme="minorHAnsi" w:hAnsiTheme="minorHAnsi" w:cstheme="minorHAnsi"/>
        </w:rPr>
        <w:t>stanoveném termínu.</w:t>
      </w:r>
      <w:r w:rsidR="00847938">
        <w:rPr>
          <w:rFonts w:asciiTheme="minorHAnsi" w:eastAsiaTheme="minorHAnsi" w:hAnsiTheme="minorHAnsi" w:cstheme="minorHAnsi"/>
        </w:rPr>
        <w:t xml:space="preserve"> MPO </w:t>
      </w:r>
      <w:r w:rsidR="00A11876">
        <w:rPr>
          <w:rFonts w:eastAsiaTheme="minorHAnsi"/>
        </w:rPr>
        <w:t>mělo</w:t>
      </w:r>
      <w:r w:rsidR="00847938">
        <w:rPr>
          <w:rFonts w:eastAsiaTheme="minorHAnsi"/>
        </w:rPr>
        <w:t xml:space="preserve"> závěrečné hodnocení provést </w:t>
      </w:r>
      <w:r w:rsidR="00847938" w:rsidRPr="00B2767A">
        <w:rPr>
          <w:rFonts w:eastAsiaTheme="minorHAnsi"/>
        </w:rPr>
        <w:t>do 30. dubna 2023 a</w:t>
      </w:r>
      <w:r w:rsidR="003D6933">
        <w:rPr>
          <w:rFonts w:eastAsiaTheme="minorHAnsi"/>
        </w:rPr>
        <w:t> </w:t>
      </w:r>
      <w:r w:rsidR="00847938" w:rsidRPr="00B2767A">
        <w:rPr>
          <w:rFonts w:eastAsiaTheme="minorHAnsi"/>
        </w:rPr>
        <w:t>zveřejnit do 30. června 2023</w:t>
      </w:r>
      <w:r w:rsidR="00847938">
        <w:rPr>
          <w:rFonts w:eastAsiaTheme="minorHAnsi"/>
        </w:rPr>
        <w:t xml:space="preserve">. Oba tyto termíny nastaly </w:t>
      </w:r>
      <w:r w:rsidR="00847938" w:rsidRPr="00C85CD5">
        <w:rPr>
          <w:rFonts w:eastAsiaTheme="minorHAnsi"/>
          <w:b/>
        </w:rPr>
        <w:t>až po ukončení této kontroly</w:t>
      </w:r>
      <w:r w:rsidR="00847938">
        <w:rPr>
          <w:rFonts w:eastAsiaTheme="minorHAnsi"/>
        </w:rPr>
        <w:t xml:space="preserve"> </w:t>
      </w:r>
      <w:r w:rsidR="00B43549">
        <w:rPr>
          <w:rFonts w:eastAsiaTheme="minorHAnsi"/>
        </w:rPr>
        <w:t>u</w:t>
      </w:r>
      <w:r w:rsidR="00C52FFA">
        <w:rPr>
          <w:rFonts w:eastAsiaTheme="minorHAnsi"/>
        </w:rPr>
        <w:t xml:space="preserve"> </w:t>
      </w:r>
      <w:r w:rsidR="00B43549">
        <w:rPr>
          <w:rFonts w:eastAsiaTheme="minorHAnsi"/>
        </w:rPr>
        <w:t xml:space="preserve">MPO </w:t>
      </w:r>
      <w:r w:rsidR="00847938">
        <w:rPr>
          <w:rFonts w:eastAsiaTheme="minorHAnsi"/>
        </w:rPr>
        <w:t>a</w:t>
      </w:r>
      <w:r w:rsidR="003D6933">
        <w:rPr>
          <w:rFonts w:eastAsiaTheme="minorHAnsi"/>
        </w:rPr>
        <w:t> </w:t>
      </w:r>
      <w:r w:rsidR="00847938">
        <w:rPr>
          <w:rFonts w:eastAsiaTheme="minorHAnsi"/>
        </w:rPr>
        <w:t xml:space="preserve">výsledky závěrečného hodnocení </w:t>
      </w:r>
      <w:r w:rsidR="00C85CD5">
        <w:rPr>
          <w:rFonts w:eastAsiaTheme="minorHAnsi"/>
        </w:rPr>
        <w:t>nebyly</w:t>
      </w:r>
      <w:r w:rsidR="00847938">
        <w:rPr>
          <w:rFonts w:eastAsiaTheme="minorHAnsi"/>
        </w:rPr>
        <w:t xml:space="preserve"> předmětem kontroly. </w:t>
      </w:r>
    </w:p>
    <w:p w14:paraId="7062F1A5" w14:textId="1E537CE6" w:rsidR="00435F06" w:rsidRPr="0016119A" w:rsidRDefault="000402A6" w:rsidP="00B43549">
      <w:pPr>
        <w:pStyle w:val="Nadpis2"/>
      </w:pPr>
      <w:r w:rsidRPr="0016119A">
        <w:t>Žádn</w:t>
      </w:r>
      <w:r w:rsidR="003F53D6">
        <w:t>á konkrétní pravidla</w:t>
      </w:r>
      <w:r w:rsidRPr="0016119A">
        <w:t xml:space="preserve"> pro způsobilé náklady</w:t>
      </w:r>
    </w:p>
    <w:p w14:paraId="71AA7FB0" w14:textId="15B5EEBA" w:rsidR="001E5436" w:rsidRDefault="007D5EC7" w:rsidP="00263A2D">
      <w:r w:rsidRPr="00536A6E">
        <w:t xml:space="preserve">MPO v letech 2018 až 2022 na základě jednotlivých </w:t>
      </w:r>
      <w:r w:rsidR="00C52FFA">
        <w:t>„</w:t>
      </w:r>
      <w:r w:rsidR="00C52FFA" w:rsidRPr="00C6334F">
        <w:rPr>
          <w:i/>
        </w:rPr>
        <w:t>r</w:t>
      </w:r>
      <w:r w:rsidRPr="00C6334F">
        <w:rPr>
          <w:i/>
        </w:rPr>
        <w:t>ozhodnutí o poskytnutí institucionální podpory</w:t>
      </w:r>
      <w:r w:rsidR="00C52FFA">
        <w:t>“</w:t>
      </w:r>
      <w:r>
        <w:t xml:space="preserve"> poskytlo podpořeným výzkumným organizacím institucionální podporu v celkové výši </w:t>
      </w:r>
      <w:r w:rsidR="00D96E77" w:rsidRPr="00435F06">
        <w:t>2 265 639 044 Kč</w:t>
      </w:r>
      <w:r w:rsidR="00263A2D">
        <w:t>.</w:t>
      </w:r>
      <w:r w:rsidR="008D52F8">
        <w:t xml:space="preserve"> </w:t>
      </w:r>
      <w:r w:rsidR="001E5436">
        <w:t>V Metodice 2017</w:t>
      </w:r>
      <w:r w:rsidR="001E5436" w:rsidRPr="001E5436">
        <w:t>+ bylo</w:t>
      </w:r>
      <w:r w:rsidR="001E5436">
        <w:t xml:space="preserve"> stanoveno, že poskytovatel institucionální podpory současně s</w:t>
      </w:r>
      <w:r w:rsidR="00E056A7">
        <w:t>e zveřejněním</w:t>
      </w:r>
      <w:r w:rsidR="00002176">
        <w:t xml:space="preserve"> </w:t>
      </w:r>
      <w:r w:rsidR="001E5436">
        <w:t>výzv</w:t>
      </w:r>
      <w:r w:rsidR="00E056A7">
        <w:t>y</w:t>
      </w:r>
      <w:r w:rsidR="001E5436">
        <w:t xml:space="preserve"> oprávněným výzkumným organizacím k předložení žádosti o poskytnutí institucionální podpory</w:t>
      </w:r>
      <w:r w:rsidR="00E056A7">
        <w:t xml:space="preserve"> na dlouhodobý rozvoj výzkumné organizace</w:t>
      </w:r>
      <w:r w:rsidR="001E5436">
        <w:t xml:space="preserve"> </w:t>
      </w:r>
      <w:r w:rsidR="00E056A7">
        <w:t xml:space="preserve">určí </w:t>
      </w:r>
      <w:r w:rsidR="00E056A7" w:rsidRPr="00536A6E">
        <w:rPr>
          <w:b/>
        </w:rPr>
        <w:t>maximální výše institucionální podpory</w:t>
      </w:r>
      <w:r w:rsidR="00E056A7" w:rsidRPr="00C6334F">
        <w:rPr>
          <w:b/>
        </w:rPr>
        <w:t>,</w:t>
      </w:r>
      <w:r w:rsidR="00E056A7">
        <w:t xml:space="preserve"> které mohou jednotlivé výzkumné organizace žádat na období let 2018 až 2022. Poskytovatel měl při stanovení maximálních částek vycházet </w:t>
      </w:r>
      <w:r w:rsidR="00FA1437">
        <w:br/>
      </w:r>
      <w:r w:rsidR="00E056A7">
        <w:t>z</w:t>
      </w:r>
      <w:r w:rsidR="00FA1437">
        <w:t xml:space="preserve"> </w:t>
      </w:r>
      <w:r w:rsidR="00E056A7">
        <w:t xml:space="preserve">výše </w:t>
      </w:r>
      <w:r w:rsidR="00C52FFA">
        <w:t xml:space="preserve">podpory </w:t>
      </w:r>
      <w:r w:rsidR="00E056A7">
        <w:t>poskytnuté výzkumné organizaci v</w:t>
      </w:r>
      <w:r w:rsidR="003A5F1A">
        <w:t xml:space="preserve"> </w:t>
      </w:r>
      <w:r w:rsidR="00E056A7">
        <w:t>roce 2016. MPO v</w:t>
      </w:r>
      <w:r w:rsidR="003A5F1A">
        <w:t xml:space="preserve"> </w:t>
      </w:r>
      <w:r w:rsidR="00E056A7">
        <w:t>roce 2017 tyto maximální částky stanovilo ze dvou složek. První složkou byla výše institucionální podpory poskytnut</w:t>
      </w:r>
      <w:r w:rsidR="00C52FFA">
        <w:t>é</w:t>
      </w:r>
      <w:r w:rsidR="00E056A7">
        <w:t xml:space="preserve"> v roce 2016, druhou složkou byl tzv. maximální nárůst, který MPO stanovilo tak</w:t>
      </w:r>
      <w:r w:rsidR="00885F93">
        <w:t>,</w:t>
      </w:r>
      <w:r w:rsidR="00E056A7">
        <w:t xml:space="preserve"> že celkový nárůst rozpočtovaný pro rok 2018 rozdělilo mezi výzkumné organizace na základě jejich podílu na celkových výsledcích institucionální podpory dosažených v</w:t>
      </w:r>
      <w:r w:rsidR="003A5F1A">
        <w:t xml:space="preserve"> </w:t>
      </w:r>
      <w:r w:rsidR="00E056A7">
        <w:t xml:space="preserve">roce 2015. Maximální částky následně MPO ještě </w:t>
      </w:r>
      <w:r w:rsidR="00C52FFA">
        <w:t>přehodnotilo</w:t>
      </w:r>
      <w:r w:rsidR="00E056A7">
        <w:t xml:space="preserve"> (snížilo nebo ponechalo ve stanovené výši) na</w:t>
      </w:r>
      <w:r w:rsidR="00C52FFA">
        <w:t xml:space="preserve"> </w:t>
      </w:r>
      <w:r w:rsidR="00E056A7">
        <w:t>základě výsledků vstupního hodnocení provedeného v roce 2018. MPO při stanovení maximálních částek podpory postupovalo v souladu s Metodi</w:t>
      </w:r>
      <w:r w:rsidR="003A5F1A">
        <w:t>kou </w:t>
      </w:r>
      <w:r w:rsidR="00E056A7">
        <w:t>2017</w:t>
      </w:r>
      <w:r w:rsidR="00E056A7" w:rsidRPr="00C6334F">
        <w:t>+</w:t>
      </w:r>
      <w:r w:rsidR="00536A6E">
        <w:t>.</w:t>
      </w:r>
    </w:p>
    <w:p w14:paraId="59728348" w14:textId="2ADDFDF3" w:rsidR="001A7427" w:rsidRDefault="001A7427" w:rsidP="00263A2D"/>
    <w:p w14:paraId="36B4508B" w14:textId="6A9DF807" w:rsidR="00263A2D" w:rsidRDefault="00263A2D" w:rsidP="00C6334F">
      <w:pPr>
        <w:spacing w:after="120"/>
        <w:rPr>
          <w:rFonts w:asciiTheme="minorHAnsi" w:eastAsiaTheme="minorHAnsi" w:hAnsiTheme="minorHAnsi" w:cstheme="minorHAnsi"/>
        </w:rPr>
      </w:pPr>
      <w:r>
        <w:rPr>
          <w:rFonts w:asciiTheme="minorHAnsi" w:eastAsiaTheme="minorHAnsi" w:hAnsiTheme="minorHAnsi" w:cstheme="minorHAnsi"/>
        </w:rPr>
        <w:t>Zákon</w:t>
      </w:r>
      <w:r w:rsidR="00A23639">
        <w:rPr>
          <w:rFonts w:asciiTheme="minorHAnsi" w:eastAsiaTheme="minorHAnsi" w:hAnsiTheme="minorHAnsi" w:cstheme="minorHAnsi"/>
        </w:rPr>
        <w:t xml:space="preserve"> o </w:t>
      </w:r>
      <w:r w:rsidR="00A23639" w:rsidRPr="00A23639">
        <w:rPr>
          <w:rFonts w:asciiTheme="minorHAnsi" w:eastAsiaTheme="minorHAnsi" w:hAnsiTheme="minorHAnsi" w:cstheme="minorHAnsi"/>
        </w:rPr>
        <w:t xml:space="preserve">podpoře výzkumu, experimentálního vývoje a inovací </w:t>
      </w:r>
      <w:r>
        <w:rPr>
          <w:rFonts w:asciiTheme="minorHAnsi" w:eastAsiaTheme="minorHAnsi" w:hAnsiTheme="minorHAnsi" w:cstheme="minorHAnsi"/>
        </w:rPr>
        <w:t>stanov</w:t>
      </w:r>
      <w:r w:rsidR="001A7427">
        <w:rPr>
          <w:rFonts w:asciiTheme="minorHAnsi" w:eastAsiaTheme="minorHAnsi" w:hAnsiTheme="minorHAnsi" w:cstheme="minorHAnsi"/>
        </w:rPr>
        <w:t>í</w:t>
      </w:r>
      <w:r>
        <w:rPr>
          <w:rFonts w:asciiTheme="minorHAnsi" w:eastAsiaTheme="minorHAnsi" w:hAnsiTheme="minorHAnsi" w:cstheme="minorHAnsi"/>
        </w:rPr>
        <w:t xml:space="preserve">, že podpora může být poskytnuta pouze </w:t>
      </w:r>
      <w:r w:rsidRPr="00BC78B5">
        <w:rPr>
          <w:rFonts w:asciiTheme="minorHAnsi" w:eastAsiaTheme="minorHAnsi" w:hAnsiTheme="minorHAnsi" w:cstheme="minorHAnsi"/>
        </w:rPr>
        <w:t>na</w:t>
      </w:r>
      <w:r w:rsidRPr="00BC78B5">
        <w:rPr>
          <w:rFonts w:asciiTheme="minorHAnsi" w:eastAsiaTheme="minorHAnsi" w:hAnsiTheme="minorHAnsi" w:cstheme="minorHAnsi"/>
          <w:b/>
        </w:rPr>
        <w:t xml:space="preserve"> způsobilé náklady</w:t>
      </w:r>
      <w:r>
        <w:rPr>
          <w:rFonts w:asciiTheme="minorHAnsi" w:eastAsiaTheme="minorHAnsi" w:hAnsiTheme="minorHAnsi" w:cstheme="minorHAnsi"/>
        </w:rPr>
        <w:t xml:space="preserve"> a že</w:t>
      </w:r>
      <w:r w:rsidR="00AC10C7">
        <w:rPr>
          <w:rFonts w:asciiTheme="minorHAnsi" w:eastAsiaTheme="minorHAnsi" w:hAnsiTheme="minorHAnsi" w:cstheme="minorHAnsi"/>
        </w:rPr>
        <w:t xml:space="preserve"> těmito</w:t>
      </w:r>
      <w:r>
        <w:rPr>
          <w:rFonts w:asciiTheme="minorHAnsi" w:eastAsiaTheme="minorHAnsi" w:hAnsiTheme="minorHAnsi" w:cstheme="minorHAnsi"/>
        </w:rPr>
        <w:t xml:space="preserve"> způsobilými náklady jsou takové náklady </w:t>
      </w:r>
      <w:r>
        <w:rPr>
          <w:rFonts w:asciiTheme="minorHAnsi" w:eastAsiaTheme="minorHAnsi" w:hAnsiTheme="minorHAnsi" w:cstheme="minorHAnsi"/>
        </w:rPr>
        <w:lastRenderedPageBreak/>
        <w:t xml:space="preserve">nebo výdaje, které mohou být příjemcem </w:t>
      </w:r>
      <w:r w:rsidRPr="00B20E89">
        <w:rPr>
          <w:rFonts w:asciiTheme="minorHAnsi" w:eastAsiaTheme="minorHAnsi" w:hAnsiTheme="minorHAnsi" w:cstheme="minorHAnsi"/>
        </w:rPr>
        <w:t>vynaloženy na</w:t>
      </w:r>
      <w:r w:rsidR="003A5F1A">
        <w:rPr>
          <w:rFonts w:asciiTheme="minorHAnsi" w:eastAsiaTheme="minorHAnsi" w:hAnsiTheme="minorHAnsi" w:cstheme="minorHAnsi"/>
        </w:rPr>
        <w:t xml:space="preserve"> </w:t>
      </w:r>
      <w:r w:rsidRPr="00B20E89">
        <w:rPr>
          <w:rFonts w:asciiTheme="minorHAnsi" w:eastAsiaTheme="minorHAnsi" w:hAnsiTheme="minorHAnsi" w:cstheme="minorHAnsi"/>
        </w:rPr>
        <w:t>činnosti ve výzkumu, vývoji a</w:t>
      </w:r>
      <w:r w:rsidR="003A5F1A">
        <w:rPr>
          <w:rFonts w:asciiTheme="minorHAnsi" w:eastAsiaTheme="minorHAnsi" w:hAnsiTheme="minorHAnsi" w:cstheme="minorHAnsi"/>
        </w:rPr>
        <w:t> </w:t>
      </w:r>
      <w:r w:rsidRPr="00B20E89">
        <w:rPr>
          <w:rFonts w:asciiTheme="minorHAnsi" w:eastAsiaTheme="minorHAnsi" w:hAnsiTheme="minorHAnsi" w:cstheme="minorHAnsi"/>
        </w:rPr>
        <w:t>inovacích</w:t>
      </w:r>
      <w:r>
        <w:rPr>
          <w:rFonts w:asciiTheme="minorHAnsi" w:eastAsiaTheme="minorHAnsi" w:hAnsiTheme="minorHAnsi" w:cstheme="minorHAnsi"/>
        </w:rPr>
        <w:t xml:space="preserve"> nebo v souvislosti s nimi, a to zejména na:</w:t>
      </w:r>
    </w:p>
    <w:p w14:paraId="3E82C36E" w14:textId="494101FA" w:rsidR="00263A2D" w:rsidRPr="00263A2D" w:rsidRDefault="00263A2D" w:rsidP="00716090">
      <w:pPr>
        <w:pStyle w:val="Odstavecseseznamem"/>
        <w:numPr>
          <w:ilvl w:val="0"/>
          <w:numId w:val="48"/>
        </w:numPr>
        <w:ind w:left="709" w:hanging="426"/>
        <w:rPr>
          <w:rFonts w:asciiTheme="minorHAnsi" w:eastAsiaTheme="minorHAnsi" w:hAnsiTheme="minorHAnsi" w:cstheme="minorHAnsi"/>
        </w:rPr>
      </w:pPr>
      <w:r w:rsidRPr="00263A2D">
        <w:rPr>
          <w:rFonts w:asciiTheme="minorHAnsi" w:eastAsiaTheme="minorHAnsi" w:hAnsiTheme="minorHAnsi" w:cstheme="minorHAnsi"/>
          <w:b/>
        </w:rPr>
        <w:t>osobní náklady</w:t>
      </w:r>
      <w:r w:rsidRPr="00263A2D">
        <w:rPr>
          <w:rFonts w:asciiTheme="minorHAnsi" w:eastAsiaTheme="minorHAnsi" w:hAnsiTheme="minorHAnsi" w:cstheme="minorHAnsi"/>
        </w:rPr>
        <w:t xml:space="preserve"> nebo výdaje</w:t>
      </w:r>
      <w:r w:rsidR="00265796">
        <w:rPr>
          <w:rFonts w:asciiTheme="minorHAnsi" w:eastAsiaTheme="minorHAnsi" w:hAnsiTheme="minorHAnsi" w:cstheme="minorHAnsi"/>
        </w:rPr>
        <w:t>,</w:t>
      </w:r>
      <w:r w:rsidRPr="00263A2D">
        <w:rPr>
          <w:rFonts w:asciiTheme="minorHAnsi" w:eastAsiaTheme="minorHAnsi" w:hAnsiTheme="minorHAnsi" w:cstheme="minorHAnsi"/>
        </w:rPr>
        <w:t xml:space="preserve"> </w:t>
      </w:r>
      <w:r w:rsidR="00265796" w:rsidRPr="00265796">
        <w:rPr>
          <w:rFonts w:asciiTheme="minorHAnsi" w:eastAsiaTheme="minorHAnsi" w:hAnsiTheme="minorHAnsi" w:cstheme="minorHAnsi"/>
        </w:rPr>
        <w:t xml:space="preserve">včetně stipendií na výzkum, vývoj a inovace podle </w:t>
      </w:r>
      <w:r w:rsidR="003A5F1A">
        <w:t>zákona č. 111/1998 Sb., o vysokých školách a o změně a doplnění dalších zákonů (</w:t>
      </w:r>
      <w:r w:rsidR="00265796" w:rsidRPr="00265796">
        <w:rPr>
          <w:rFonts w:asciiTheme="minorHAnsi" w:eastAsiaTheme="minorHAnsi" w:hAnsiTheme="minorHAnsi" w:cstheme="minorHAnsi"/>
        </w:rPr>
        <w:t>zákon o</w:t>
      </w:r>
      <w:r w:rsidR="00265796">
        <w:rPr>
          <w:rFonts w:asciiTheme="minorHAnsi" w:eastAsiaTheme="minorHAnsi" w:hAnsiTheme="minorHAnsi" w:cstheme="minorHAnsi"/>
        </w:rPr>
        <w:t> </w:t>
      </w:r>
      <w:r w:rsidR="00265796" w:rsidRPr="00265796">
        <w:rPr>
          <w:rFonts w:asciiTheme="minorHAnsi" w:eastAsiaTheme="minorHAnsi" w:hAnsiTheme="minorHAnsi" w:cstheme="minorHAnsi"/>
        </w:rPr>
        <w:t>vysokých školách</w:t>
      </w:r>
      <w:r w:rsidR="003A5F1A">
        <w:rPr>
          <w:rFonts w:asciiTheme="minorHAnsi" w:eastAsiaTheme="minorHAnsi" w:hAnsiTheme="minorHAnsi" w:cstheme="minorHAnsi"/>
        </w:rPr>
        <w:t>)</w:t>
      </w:r>
      <w:r w:rsidRPr="00263A2D">
        <w:rPr>
          <w:rFonts w:asciiTheme="minorHAnsi" w:eastAsiaTheme="minorHAnsi" w:hAnsiTheme="minorHAnsi" w:cstheme="minorHAnsi"/>
        </w:rPr>
        <w:t>,</w:t>
      </w:r>
    </w:p>
    <w:p w14:paraId="3990321F" w14:textId="4E807E7E" w:rsidR="00263A2D" w:rsidRPr="00263A2D" w:rsidRDefault="00263A2D" w:rsidP="00716090">
      <w:pPr>
        <w:pStyle w:val="Odstavecseseznamem"/>
        <w:numPr>
          <w:ilvl w:val="0"/>
          <w:numId w:val="48"/>
        </w:numPr>
        <w:ind w:left="709" w:hanging="426"/>
        <w:rPr>
          <w:rFonts w:asciiTheme="minorHAnsi" w:eastAsiaTheme="minorHAnsi" w:hAnsiTheme="minorHAnsi" w:cstheme="minorHAnsi"/>
        </w:rPr>
      </w:pPr>
      <w:r w:rsidRPr="00263A2D">
        <w:rPr>
          <w:rFonts w:asciiTheme="minorHAnsi" w:eastAsiaTheme="minorHAnsi" w:hAnsiTheme="minorHAnsi" w:cstheme="minorHAnsi"/>
        </w:rPr>
        <w:t xml:space="preserve">náklady nebo výdaje na </w:t>
      </w:r>
      <w:r w:rsidRPr="00263A2D">
        <w:rPr>
          <w:rFonts w:asciiTheme="minorHAnsi" w:eastAsiaTheme="minorHAnsi" w:hAnsiTheme="minorHAnsi" w:cstheme="minorHAnsi"/>
          <w:b/>
        </w:rPr>
        <w:t>pořízení hmotného a nehmotného majetku</w:t>
      </w:r>
      <w:r w:rsidRPr="00C6334F">
        <w:rPr>
          <w:rFonts w:asciiTheme="minorHAnsi" w:eastAsiaTheme="minorHAnsi" w:hAnsiTheme="minorHAnsi" w:cstheme="minorHAnsi"/>
          <w:b/>
        </w:rPr>
        <w:t>,</w:t>
      </w:r>
    </w:p>
    <w:p w14:paraId="6BDF9CF6" w14:textId="77777777" w:rsidR="00263A2D" w:rsidRPr="00263A2D" w:rsidRDefault="00263A2D" w:rsidP="00716090">
      <w:pPr>
        <w:pStyle w:val="Odstavecseseznamem"/>
        <w:numPr>
          <w:ilvl w:val="0"/>
          <w:numId w:val="48"/>
        </w:numPr>
        <w:ind w:left="709" w:hanging="426"/>
        <w:rPr>
          <w:rFonts w:asciiTheme="minorHAnsi" w:eastAsiaTheme="minorHAnsi" w:hAnsiTheme="minorHAnsi" w:cstheme="minorHAnsi"/>
        </w:rPr>
      </w:pPr>
      <w:r w:rsidRPr="00263A2D">
        <w:rPr>
          <w:rFonts w:asciiTheme="minorHAnsi" w:eastAsiaTheme="minorHAnsi" w:hAnsiTheme="minorHAnsi" w:cstheme="minorHAnsi"/>
        </w:rPr>
        <w:t xml:space="preserve">další </w:t>
      </w:r>
      <w:r w:rsidRPr="00263A2D">
        <w:rPr>
          <w:rFonts w:asciiTheme="minorHAnsi" w:eastAsiaTheme="minorHAnsi" w:hAnsiTheme="minorHAnsi" w:cstheme="minorHAnsi"/>
          <w:b/>
        </w:rPr>
        <w:t>provozní</w:t>
      </w:r>
      <w:r w:rsidRPr="00263A2D">
        <w:rPr>
          <w:rFonts w:asciiTheme="minorHAnsi" w:eastAsiaTheme="minorHAnsi" w:hAnsiTheme="minorHAnsi" w:cstheme="minorHAnsi"/>
        </w:rPr>
        <w:t xml:space="preserve"> náklady nebo výdaje,</w:t>
      </w:r>
    </w:p>
    <w:p w14:paraId="7C957111" w14:textId="77777777" w:rsidR="00263A2D" w:rsidRPr="00263A2D" w:rsidRDefault="00263A2D" w:rsidP="00716090">
      <w:pPr>
        <w:pStyle w:val="Odstavecseseznamem"/>
        <w:numPr>
          <w:ilvl w:val="0"/>
          <w:numId w:val="48"/>
        </w:numPr>
        <w:ind w:left="709" w:hanging="426"/>
        <w:rPr>
          <w:rFonts w:asciiTheme="minorHAnsi" w:eastAsiaTheme="minorHAnsi" w:hAnsiTheme="minorHAnsi" w:cstheme="minorHAnsi"/>
        </w:rPr>
      </w:pPr>
      <w:r w:rsidRPr="00263A2D">
        <w:rPr>
          <w:rFonts w:asciiTheme="minorHAnsi" w:eastAsiaTheme="minorHAnsi" w:hAnsiTheme="minorHAnsi" w:cstheme="minorHAnsi"/>
        </w:rPr>
        <w:t xml:space="preserve">náklady nebo výdaje </w:t>
      </w:r>
      <w:r w:rsidRPr="00263A2D">
        <w:rPr>
          <w:rFonts w:asciiTheme="minorHAnsi" w:eastAsiaTheme="minorHAnsi" w:hAnsiTheme="minorHAnsi" w:cstheme="minorHAnsi"/>
          <w:b/>
        </w:rPr>
        <w:t>na služby</w:t>
      </w:r>
      <w:r w:rsidRPr="00C6334F">
        <w:rPr>
          <w:rFonts w:asciiTheme="minorHAnsi" w:eastAsiaTheme="minorHAnsi" w:hAnsiTheme="minorHAnsi" w:cstheme="minorHAnsi"/>
          <w:b/>
        </w:rPr>
        <w:t>,</w:t>
      </w:r>
    </w:p>
    <w:p w14:paraId="0C1F8201" w14:textId="77777777" w:rsidR="00263A2D" w:rsidRPr="00263A2D" w:rsidRDefault="00263A2D" w:rsidP="00716090">
      <w:pPr>
        <w:pStyle w:val="Odstavecseseznamem"/>
        <w:numPr>
          <w:ilvl w:val="0"/>
          <w:numId w:val="48"/>
        </w:numPr>
        <w:ind w:left="709" w:hanging="426"/>
        <w:rPr>
          <w:rFonts w:asciiTheme="minorHAnsi" w:eastAsiaTheme="minorHAnsi" w:hAnsiTheme="minorHAnsi" w:cstheme="minorHAnsi"/>
        </w:rPr>
      </w:pPr>
      <w:r w:rsidRPr="00263A2D">
        <w:rPr>
          <w:rFonts w:asciiTheme="minorHAnsi" w:eastAsiaTheme="minorHAnsi" w:hAnsiTheme="minorHAnsi" w:cstheme="minorHAnsi"/>
          <w:b/>
        </w:rPr>
        <w:t>doplňkové</w:t>
      </w:r>
      <w:r w:rsidRPr="00263A2D">
        <w:rPr>
          <w:rFonts w:asciiTheme="minorHAnsi" w:eastAsiaTheme="minorHAnsi" w:hAnsiTheme="minorHAnsi" w:cstheme="minorHAnsi"/>
        </w:rPr>
        <w:t xml:space="preserve"> náklady nebo výdaje.</w:t>
      </w:r>
    </w:p>
    <w:p w14:paraId="2FCB1856" w14:textId="77777777" w:rsidR="00263A2D" w:rsidRDefault="00263A2D" w:rsidP="00263A2D">
      <w:pPr>
        <w:rPr>
          <w:rFonts w:asciiTheme="minorHAnsi" w:eastAsiaTheme="minorHAnsi" w:hAnsiTheme="minorHAnsi" w:cstheme="minorHAnsi"/>
        </w:rPr>
      </w:pPr>
    </w:p>
    <w:p w14:paraId="28D7F4BE" w14:textId="3EC50155" w:rsidR="00263A2D" w:rsidRPr="00263A2D" w:rsidRDefault="00263A2D" w:rsidP="00263A2D">
      <w:r>
        <w:rPr>
          <w:rFonts w:asciiTheme="minorHAnsi" w:eastAsiaTheme="minorHAnsi" w:hAnsiTheme="minorHAnsi" w:cstheme="minorHAnsi"/>
        </w:rPr>
        <w:t>MPO v</w:t>
      </w:r>
      <w:r w:rsidR="006E0608">
        <w:rPr>
          <w:rFonts w:asciiTheme="minorHAnsi" w:eastAsiaTheme="minorHAnsi" w:hAnsiTheme="minorHAnsi" w:cstheme="minorHAnsi"/>
        </w:rPr>
        <w:t xml:space="preserve"> </w:t>
      </w:r>
      <w:r>
        <w:rPr>
          <w:rFonts w:asciiTheme="minorHAnsi" w:eastAsiaTheme="minorHAnsi" w:hAnsiTheme="minorHAnsi" w:cstheme="minorHAnsi"/>
        </w:rPr>
        <w:t xml:space="preserve">jednotlivých </w:t>
      </w:r>
      <w:r w:rsidR="003A5F1A">
        <w:rPr>
          <w:rFonts w:asciiTheme="minorHAnsi" w:eastAsiaTheme="minorHAnsi" w:hAnsiTheme="minorHAnsi" w:cstheme="minorHAnsi"/>
        </w:rPr>
        <w:t>„</w:t>
      </w:r>
      <w:r w:rsidR="003A5F1A" w:rsidRPr="00C6334F">
        <w:rPr>
          <w:rFonts w:asciiTheme="minorHAnsi" w:eastAsiaTheme="minorHAnsi" w:hAnsiTheme="minorHAnsi" w:cstheme="minorHAnsi"/>
          <w:i/>
        </w:rPr>
        <w:t>r</w:t>
      </w:r>
      <w:r w:rsidRPr="00C6334F">
        <w:rPr>
          <w:rFonts w:asciiTheme="minorHAnsi" w:eastAsiaTheme="minorHAnsi" w:hAnsiTheme="minorHAnsi" w:cstheme="minorHAnsi"/>
          <w:i/>
        </w:rPr>
        <w:t>ozhodnutích o poskytnutí institucionální podpory</w:t>
      </w:r>
      <w:r w:rsidR="003A5F1A">
        <w:rPr>
          <w:rFonts w:asciiTheme="minorHAnsi" w:eastAsiaTheme="minorHAnsi" w:hAnsiTheme="minorHAnsi" w:cstheme="minorHAnsi"/>
        </w:rPr>
        <w:t>“</w:t>
      </w:r>
      <w:r>
        <w:rPr>
          <w:rFonts w:asciiTheme="minorHAnsi" w:eastAsiaTheme="minorHAnsi" w:hAnsiTheme="minorHAnsi" w:cstheme="minorHAnsi"/>
        </w:rPr>
        <w:t xml:space="preserve"> </w:t>
      </w:r>
      <w:r w:rsidRPr="00FB2ADA">
        <w:rPr>
          <w:rFonts w:asciiTheme="minorHAnsi" w:eastAsiaTheme="minorHAnsi" w:hAnsiTheme="minorHAnsi" w:cstheme="minorHAnsi"/>
        </w:rPr>
        <w:t xml:space="preserve">stanovilo, </w:t>
      </w:r>
      <w:r w:rsidRPr="00102289">
        <w:rPr>
          <w:rFonts w:asciiTheme="minorHAnsi" w:eastAsiaTheme="minorHAnsi" w:hAnsiTheme="minorHAnsi" w:cstheme="minorHAnsi"/>
        </w:rPr>
        <w:t xml:space="preserve">že </w:t>
      </w:r>
      <w:r w:rsidRPr="00D40E52">
        <w:rPr>
          <w:rFonts w:asciiTheme="minorHAnsi" w:eastAsiaTheme="minorHAnsi" w:hAnsiTheme="minorHAnsi" w:cstheme="minorHAnsi"/>
        </w:rPr>
        <w:t xml:space="preserve">způsobilými náklady </w:t>
      </w:r>
      <w:r w:rsidR="003A5F1A">
        <w:rPr>
          <w:rFonts w:asciiTheme="minorHAnsi" w:eastAsiaTheme="minorHAnsi" w:hAnsiTheme="minorHAnsi" w:cstheme="minorHAnsi"/>
        </w:rPr>
        <w:t>v oblasti</w:t>
      </w:r>
      <w:r w:rsidRPr="00FB7E78">
        <w:rPr>
          <w:rFonts w:asciiTheme="minorHAnsi" w:eastAsiaTheme="minorHAnsi" w:hAnsiTheme="minorHAnsi" w:cstheme="minorHAnsi"/>
        </w:rPr>
        <w:t xml:space="preserve"> výzkum</w:t>
      </w:r>
      <w:r w:rsidR="003A5F1A">
        <w:rPr>
          <w:rFonts w:asciiTheme="minorHAnsi" w:eastAsiaTheme="minorHAnsi" w:hAnsiTheme="minorHAnsi" w:cstheme="minorHAnsi"/>
        </w:rPr>
        <w:t>u</w:t>
      </w:r>
      <w:r w:rsidRPr="00FB7E78">
        <w:rPr>
          <w:rFonts w:asciiTheme="minorHAnsi" w:eastAsiaTheme="minorHAnsi" w:hAnsiTheme="minorHAnsi" w:cstheme="minorHAnsi"/>
        </w:rPr>
        <w:t>, experimentální</w:t>
      </w:r>
      <w:r w:rsidR="003A5F1A">
        <w:rPr>
          <w:rFonts w:asciiTheme="minorHAnsi" w:eastAsiaTheme="minorHAnsi" w:hAnsiTheme="minorHAnsi" w:cstheme="minorHAnsi"/>
        </w:rPr>
        <w:t>ho</w:t>
      </w:r>
      <w:r w:rsidRPr="00FB7E78">
        <w:rPr>
          <w:rFonts w:asciiTheme="minorHAnsi" w:eastAsiaTheme="minorHAnsi" w:hAnsiTheme="minorHAnsi" w:cstheme="minorHAnsi"/>
        </w:rPr>
        <w:t xml:space="preserve"> vývoj</w:t>
      </w:r>
      <w:r w:rsidR="003A5F1A">
        <w:rPr>
          <w:rFonts w:asciiTheme="minorHAnsi" w:eastAsiaTheme="minorHAnsi" w:hAnsiTheme="minorHAnsi" w:cstheme="minorHAnsi"/>
        </w:rPr>
        <w:t>e</w:t>
      </w:r>
      <w:r w:rsidRPr="00FB7E78">
        <w:rPr>
          <w:rFonts w:asciiTheme="minorHAnsi" w:eastAsiaTheme="minorHAnsi" w:hAnsiTheme="minorHAnsi" w:cstheme="minorHAnsi"/>
        </w:rPr>
        <w:t xml:space="preserve"> a</w:t>
      </w:r>
      <w:r w:rsidR="006E0608">
        <w:rPr>
          <w:rFonts w:asciiTheme="minorHAnsi" w:eastAsiaTheme="minorHAnsi" w:hAnsiTheme="minorHAnsi" w:cstheme="minorHAnsi"/>
        </w:rPr>
        <w:t xml:space="preserve"> </w:t>
      </w:r>
      <w:r w:rsidRPr="00FB7E78">
        <w:rPr>
          <w:rFonts w:asciiTheme="minorHAnsi" w:eastAsiaTheme="minorHAnsi" w:hAnsiTheme="minorHAnsi" w:cstheme="minorHAnsi"/>
        </w:rPr>
        <w:t>inovac</w:t>
      </w:r>
      <w:r w:rsidR="003A5F1A">
        <w:rPr>
          <w:rFonts w:asciiTheme="minorHAnsi" w:eastAsiaTheme="minorHAnsi" w:hAnsiTheme="minorHAnsi" w:cstheme="minorHAnsi"/>
        </w:rPr>
        <w:t>í</w:t>
      </w:r>
      <w:r w:rsidRPr="00FB7E78">
        <w:rPr>
          <w:rFonts w:asciiTheme="minorHAnsi" w:eastAsiaTheme="minorHAnsi" w:hAnsiTheme="minorHAnsi" w:cstheme="minorHAnsi"/>
        </w:rPr>
        <w:t xml:space="preserve"> </w:t>
      </w:r>
      <w:r w:rsidR="003A5F1A" w:rsidRPr="00FB7E78">
        <w:rPr>
          <w:rFonts w:asciiTheme="minorHAnsi" w:eastAsiaTheme="minorHAnsi" w:hAnsiTheme="minorHAnsi" w:cstheme="minorHAnsi"/>
        </w:rPr>
        <w:t xml:space="preserve">jsou náklady nebo výdaje </w:t>
      </w:r>
      <w:r w:rsidRPr="00FB7E78">
        <w:rPr>
          <w:rFonts w:asciiTheme="minorHAnsi" w:eastAsiaTheme="minorHAnsi" w:hAnsiTheme="minorHAnsi" w:cstheme="minorHAnsi"/>
        </w:rPr>
        <w:t>vynaložené na nehospodářské</w:t>
      </w:r>
      <w:r w:rsidR="00AC5F80">
        <w:rPr>
          <w:rStyle w:val="Znakapoznpodarou"/>
          <w:rFonts w:asciiTheme="minorHAnsi" w:eastAsiaTheme="minorHAnsi" w:hAnsiTheme="minorHAnsi" w:cstheme="minorHAnsi"/>
        </w:rPr>
        <w:footnoteReference w:id="16"/>
      </w:r>
      <w:r w:rsidRPr="00FB7E78">
        <w:rPr>
          <w:rFonts w:asciiTheme="minorHAnsi" w:eastAsiaTheme="minorHAnsi" w:hAnsiTheme="minorHAnsi" w:cstheme="minorHAnsi"/>
        </w:rPr>
        <w:t xml:space="preserve"> činnosti</w:t>
      </w:r>
      <w:r w:rsidRPr="00D40E52">
        <w:rPr>
          <w:rFonts w:asciiTheme="minorHAnsi" w:eastAsiaTheme="minorHAnsi" w:hAnsiTheme="minorHAnsi" w:cstheme="minorHAnsi"/>
        </w:rPr>
        <w:t xml:space="preserve"> příjemce</w:t>
      </w:r>
      <w:r w:rsidR="001A108A">
        <w:rPr>
          <w:rFonts w:asciiTheme="minorHAnsi" w:eastAsiaTheme="minorHAnsi" w:hAnsiTheme="minorHAnsi" w:cstheme="minorHAnsi"/>
        </w:rPr>
        <w:t>. Dále</w:t>
      </w:r>
      <w:r>
        <w:rPr>
          <w:rFonts w:asciiTheme="minorHAnsi" w:eastAsiaTheme="minorHAnsi" w:hAnsiTheme="minorHAnsi" w:cstheme="minorHAnsi"/>
        </w:rPr>
        <w:t xml:space="preserve"> jednotlivé skupiny způsobilých nákladů </w:t>
      </w:r>
      <w:r w:rsidRPr="00693802">
        <w:rPr>
          <w:rFonts w:asciiTheme="minorHAnsi" w:eastAsiaTheme="minorHAnsi" w:hAnsiTheme="minorHAnsi" w:cstheme="minorHAnsi"/>
        </w:rPr>
        <w:t xml:space="preserve">definovalo </w:t>
      </w:r>
      <w:r w:rsidR="001A108A">
        <w:rPr>
          <w:rFonts w:asciiTheme="minorHAnsi" w:eastAsiaTheme="minorHAnsi" w:hAnsiTheme="minorHAnsi" w:cstheme="minorHAnsi"/>
        </w:rPr>
        <w:t>v</w:t>
      </w:r>
      <w:r w:rsidR="005E03FF">
        <w:rPr>
          <w:rFonts w:asciiTheme="minorHAnsi" w:eastAsiaTheme="minorHAnsi" w:hAnsiTheme="minorHAnsi" w:cstheme="minorHAnsi"/>
        </w:rPr>
        <w:t xml:space="preserve"> </w:t>
      </w:r>
      <w:r w:rsidR="001A108A">
        <w:rPr>
          <w:rFonts w:asciiTheme="minorHAnsi" w:eastAsiaTheme="minorHAnsi" w:hAnsiTheme="minorHAnsi" w:cstheme="minorHAnsi"/>
        </w:rPr>
        <w:t>naprosto stejném znění</w:t>
      </w:r>
      <w:r w:rsidR="005E03FF">
        <w:rPr>
          <w:rFonts w:asciiTheme="minorHAnsi" w:eastAsiaTheme="minorHAnsi" w:hAnsiTheme="minorHAnsi" w:cstheme="minorHAnsi"/>
        </w:rPr>
        <w:t>,</w:t>
      </w:r>
      <w:r w:rsidR="001A108A">
        <w:rPr>
          <w:rFonts w:asciiTheme="minorHAnsi" w:eastAsiaTheme="minorHAnsi" w:hAnsiTheme="minorHAnsi" w:cstheme="minorHAnsi"/>
        </w:rPr>
        <w:t xml:space="preserve"> jak</w:t>
      </w:r>
      <w:r w:rsidR="005E03FF">
        <w:rPr>
          <w:rFonts w:asciiTheme="minorHAnsi" w:eastAsiaTheme="minorHAnsi" w:hAnsiTheme="minorHAnsi" w:cstheme="minorHAnsi"/>
        </w:rPr>
        <w:t>é je uvedeno</w:t>
      </w:r>
      <w:r>
        <w:rPr>
          <w:rFonts w:asciiTheme="minorHAnsi" w:eastAsiaTheme="minorHAnsi" w:hAnsiTheme="minorHAnsi" w:cstheme="minorHAnsi"/>
        </w:rPr>
        <w:t xml:space="preserve"> </w:t>
      </w:r>
      <w:r w:rsidR="001A108A">
        <w:rPr>
          <w:rFonts w:asciiTheme="minorHAnsi" w:eastAsiaTheme="minorHAnsi" w:hAnsiTheme="minorHAnsi" w:cstheme="minorHAnsi"/>
        </w:rPr>
        <w:t xml:space="preserve">v </w:t>
      </w:r>
      <w:r w:rsidR="00A23639" w:rsidRPr="00A23639">
        <w:rPr>
          <w:rFonts w:asciiTheme="minorHAnsi" w:eastAsiaTheme="minorHAnsi" w:hAnsiTheme="minorHAnsi" w:cstheme="minorHAnsi"/>
        </w:rPr>
        <w:t>zákon</w:t>
      </w:r>
      <w:r w:rsidR="001A108A">
        <w:rPr>
          <w:rFonts w:asciiTheme="minorHAnsi" w:eastAsiaTheme="minorHAnsi" w:hAnsiTheme="minorHAnsi" w:cstheme="minorHAnsi"/>
        </w:rPr>
        <w:t>ě</w:t>
      </w:r>
      <w:r w:rsidR="00A23639" w:rsidRPr="00A23639">
        <w:rPr>
          <w:rFonts w:asciiTheme="minorHAnsi" w:eastAsiaTheme="minorHAnsi" w:hAnsiTheme="minorHAnsi" w:cstheme="minorHAnsi"/>
        </w:rPr>
        <w:t xml:space="preserve"> </w:t>
      </w:r>
      <w:r w:rsidR="006E0608">
        <w:rPr>
          <w:rFonts w:asciiTheme="minorHAnsi" w:eastAsiaTheme="minorHAnsi" w:hAnsiTheme="minorHAnsi" w:cstheme="minorHAnsi"/>
        </w:rPr>
        <w:br/>
      </w:r>
      <w:r w:rsidR="00A23639" w:rsidRPr="00A23639">
        <w:rPr>
          <w:rFonts w:asciiTheme="minorHAnsi" w:eastAsiaTheme="minorHAnsi" w:hAnsiTheme="minorHAnsi" w:cstheme="minorHAnsi"/>
        </w:rPr>
        <w:t>o</w:t>
      </w:r>
      <w:r w:rsidR="006E0608">
        <w:rPr>
          <w:rFonts w:asciiTheme="minorHAnsi" w:eastAsiaTheme="minorHAnsi" w:hAnsiTheme="minorHAnsi" w:cstheme="minorHAnsi"/>
        </w:rPr>
        <w:t xml:space="preserve"> </w:t>
      </w:r>
      <w:r w:rsidR="00A23639" w:rsidRPr="00A23639">
        <w:rPr>
          <w:rFonts w:asciiTheme="minorHAnsi" w:eastAsiaTheme="minorHAnsi" w:hAnsiTheme="minorHAnsi" w:cstheme="minorHAnsi"/>
        </w:rPr>
        <w:t>podpoře výzkumu, experimentálního vývoje a</w:t>
      </w:r>
      <w:r w:rsidR="005E03FF">
        <w:rPr>
          <w:rFonts w:asciiTheme="minorHAnsi" w:eastAsiaTheme="minorHAnsi" w:hAnsiTheme="minorHAnsi" w:cstheme="minorHAnsi"/>
        </w:rPr>
        <w:t xml:space="preserve"> </w:t>
      </w:r>
      <w:r w:rsidR="00A23639" w:rsidRPr="00A23639">
        <w:rPr>
          <w:rFonts w:asciiTheme="minorHAnsi" w:eastAsiaTheme="minorHAnsi" w:hAnsiTheme="minorHAnsi" w:cstheme="minorHAnsi"/>
        </w:rPr>
        <w:t>inovací</w:t>
      </w:r>
      <w:r w:rsidR="005E03FF">
        <w:rPr>
          <w:rFonts w:asciiTheme="minorHAnsi" w:eastAsiaTheme="minorHAnsi" w:hAnsiTheme="minorHAnsi" w:cstheme="minorHAnsi"/>
        </w:rPr>
        <w:t>, a to</w:t>
      </w:r>
      <w:r w:rsidR="001A108A">
        <w:rPr>
          <w:rFonts w:asciiTheme="minorHAnsi" w:eastAsiaTheme="minorHAnsi" w:hAnsiTheme="minorHAnsi" w:cstheme="minorHAnsi"/>
        </w:rPr>
        <w:t xml:space="preserve"> </w:t>
      </w:r>
      <w:r w:rsidR="001A108A" w:rsidRPr="001A108A">
        <w:rPr>
          <w:rFonts w:asciiTheme="minorHAnsi" w:eastAsiaTheme="minorHAnsi" w:hAnsiTheme="minorHAnsi" w:cstheme="minorHAnsi"/>
          <w:b/>
        </w:rPr>
        <w:t>bez stanovení</w:t>
      </w:r>
      <w:r w:rsidR="001A108A">
        <w:rPr>
          <w:rFonts w:asciiTheme="minorHAnsi" w:eastAsiaTheme="minorHAnsi" w:hAnsiTheme="minorHAnsi" w:cstheme="minorHAnsi"/>
        </w:rPr>
        <w:t xml:space="preserve"> </w:t>
      </w:r>
      <w:r w:rsidR="00DE6C03">
        <w:rPr>
          <w:rFonts w:asciiTheme="minorHAnsi" w:eastAsiaTheme="minorHAnsi" w:hAnsiTheme="minorHAnsi" w:cstheme="minorHAnsi"/>
          <w:b/>
        </w:rPr>
        <w:t>dalších konkrétních pravidel</w:t>
      </w:r>
      <w:r>
        <w:rPr>
          <w:rFonts w:asciiTheme="minorHAnsi" w:eastAsiaTheme="minorHAnsi" w:hAnsiTheme="minorHAnsi" w:cstheme="minorHAnsi"/>
          <w:b/>
        </w:rPr>
        <w:t xml:space="preserve"> pro způsobilé náklady</w:t>
      </w:r>
      <w:r w:rsidRPr="00C6334F">
        <w:rPr>
          <w:rFonts w:asciiTheme="minorHAnsi" w:eastAsiaTheme="minorHAnsi" w:hAnsiTheme="minorHAnsi" w:cstheme="minorHAnsi"/>
          <w:b/>
        </w:rPr>
        <w:t>.</w:t>
      </w:r>
      <w:r w:rsidRPr="005E03FF">
        <w:rPr>
          <w:rFonts w:asciiTheme="minorHAnsi" w:eastAsiaTheme="minorHAnsi" w:hAnsiTheme="minorHAnsi" w:cstheme="minorHAnsi"/>
        </w:rPr>
        <w:t xml:space="preserve"> </w:t>
      </w:r>
      <w:bookmarkStart w:id="7" w:name="_Hlk125633411"/>
      <w:r w:rsidRPr="000F3FE1">
        <w:rPr>
          <w:rFonts w:asciiTheme="minorHAnsi" w:eastAsiaTheme="minorHAnsi" w:hAnsiTheme="minorHAnsi" w:cstheme="minorHAnsi"/>
        </w:rPr>
        <w:t xml:space="preserve">Jediným limitem </w:t>
      </w:r>
      <w:r w:rsidR="001A108A">
        <w:rPr>
          <w:rFonts w:asciiTheme="minorHAnsi" w:eastAsiaTheme="minorHAnsi" w:hAnsiTheme="minorHAnsi" w:cstheme="minorHAnsi"/>
        </w:rPr>
        <w:t xml:space="preserve">tak </w:t>
      </w:r>
      <w:r w:rsidRPr="000F3FE1">
        <w:rPr>
          <w:rFonts w:asciiTheme="minorHAnsi" w:eastAsiaTheme="minorHAnsi" w:hAnsiTheme="minorHAnsi" w:cstheme="minorHAnsi"/>
        </w:rPr>
        <w:t>byla výše schválené institucionální podpory uvedená v</w:t>
      </w:r>
      <w:r w:rsidR="005E03FF">
        <w:rPr>
          <w:rFonts w:asciiTheme="minorHAnsi" w:eastAsiaTheme="minorHAnsi" w:hAnsiTheme="minorHAnsi" w:cstheme="minorHAnsi"/>
        </w:rPr>
        <w:t xml:space="preserve"> „r</w:t>
      </w:r>
      <w:r w:rsidRPr="00C6334F">
        <w:rPr>
          <w:rFonts w:asciiTheme="minorHAnsi" w:eastAsiaTheme="minorHAnsi" w:hAnsiTheme="minorHAnsi" w:cstheme="minorHAnsi"/>
          <w:i/>
        </w:rPr>
        <w:t>ozhodnutí o poskytnutí institucionální podpory</w:t>
      </w:r>
      <w:r w:rsidR="005E03FF">
        <w:rPr>
          <w:rFonts w:asciiTheme="minorHAnsi" w:eastAsiaTheme="minorHAnsi" w:hAnsiTheme="minorHAnsi" w:cstheme="minorHAnsi"/>
        </w:rPr>
        <w:t>“</w:t>
      </w:r>
      <w:r w:rsidRPr="000F3FE1">
        <w:rPr>
          <w:rFonts w:asciiTheme="minorHAnsi" w:eastAsiaTheme="minorHAnsi" w:hAnsiTheme="minorHAnsi" w:cstheme="minorHAnsi"/>
        </w:rPr>
        <w:t>.</w:t>
      </w:r>
      <w:r w:rsidRPr="00702719">
        <w:rPr>
          <w:rFonts w:asciiTheme="minorHAnsi" w:eastAsiaTheme="minorHAnsi" w:hAnsiTheme="minorHAnsi" w:cstheme="minorHAnsi"/>
        </w:rPr>
        <w:t xml:space="preserve"> </w:t>
      </w:r>
      <w:bookmarkEnd w:id="7"/>
      <w:r>
        <w:rPr>
          <w:rFonts w:asciiTheme="minorHAnsi" w:eastAsiaTheme="minorHAnsi" w:hAnsiTheme="minorHAnsi" w:cstheme="minorHAnsi"/>
        </w:rPr>
        <w:t>Výzkumné organizace v</w:t>
      </w:r>
      <w:r w:rsidR="005E03FF">
        <w:rPr>
          <w:rFonts w:asciiTheme="minorHAnsi" w:eastAsiaTheme="minorHAnsi" w:hAnsiTheme="minorHAnsi" w:cstheme="minorHAnsi"/>
        </w:rPr>
        <w:t xml:space="preserve"> </w:t>
      </w:r>
      <w:r>
        <w:rPr>
          <w:rFonts w:asciiTheme="minorHAnsi" w:eastAsiaTheme="minorHAnsi" w:hAnsiTheme="minorHAnsi" w:cstheme="minorHAnsi"/>
        </w:rPr>
        <w:t xml:space="preserve">naprosté většině vykázaly způsobilé náklady ve výši schválené institucionální podpory. K vrácení nespotřebované podpory došlo v letech 2018 až 2022 </w:t>
      </w:r>
      <w:r w:rsidRPr="00265796">
        <w:rPr>
          <w:rFonts w:asciiTheme="minorHAnsi" w:eastAsiaTheme="minorHAnsi" w:hAnsiTheme="minorHAnsi" w:cstheme="minorHAnsi"/>
        </w:rPr>
        <w:t xml:space="preserve">u tří </w:t>
      </w:r>
      <w:r w:rsidR="005E03FF">
        <w:rPr>
          <w:rFonts w:asciiTheme="minorHAnsi" w:eastAsiaTheme="minorHAnsi" w:hAnsiTheme="minorHAnsi" w:cstheme="minorHAnsi"/>
        </w:rPr>
        <w:t>subjektů</w:t>
      </w:r>
      <w:r>
        <w:rPr>
          <w:rFonts w:asciiTheme="minorHAnsi" w:eastAsiaTheme="minorHAnsi" w:hAnsiTheme="minorHAnsi" w:cstheme="minorHAnsi"/>
        </w:rPr>
        <w:t xml:space="preserve"> z</w:t>
      </w:r>
      <w:r w:rsidR="005E03FF">
        <w:rPr>
          <w:rFonts w:asciiTheme="minorHAnsi" w:eastAsiaTheme="minorHAnsi" w:hAnsiTheme="minorHAnsi" w:cstheme="minorHAnsi"/>
        </w:rPr>
        <w:t xml:space="preserve"> </w:t>
      </w:r>
      <w:r>
        <w:rPr>
          <w:rFonts w:asciiTheme="minorHAnsi" w:eastAsiaTheme="minorHAnsi" w:hAnsiTheme="minorHAnsi" w:cstheme="minorHAnsi"/>
        </w:rPr>
        <w:t xml:space="preserve">celkového počtu 14 podpořených výzkumných organizací </w:t>
      </w:r>
      <w:r>
        <w:t xml:space="preserve">a </w:t>
      </w:r>
      <w:r>
        <w:rPr>
          <w:rFonts w:asciiTheme="minorHAnsi" w:eastAsiaTheme="minorHAnsi" w:hAnsiTheme="minorHAnsi" w:cstheme="minorHAnsi"/>
        </w:rPr>
        <w:t>součet vrácených částek v letech 2018 až 2022 činil 4 973 915 Kč (tj.</w:t>
      </w:r>
      <w:r w:rsidR="005E03FF">
        <w:rPr>
          <w:rFonts w:asciiTheme="minorHAnsi" w:eastAsiaTheme="minorHAnsi" w:hAnsiTheme="minorHAnsi" w:cstheme="minorHAnsi"/>
        </w:rPr>
        <w:t xml:space="preserve"> </w:t>
      </w:r>
      <w:r>
        <w:rPr>
          <w:rFonts w:asciiTheme="minorHAnsi" w:eastAsiaTheme="minorHAnsi" w:hAnsiTheme="minorHAnsi" w:cstheme="minorHAnsi"/>
        </w:rPr>
        <w:t>0,22 % z celkové institucionální podpory</w:t>
      </w:r>
      <w:r w:rsidR="00615731">
        <w:rPr>
          <w:rFonts w:asciiTheme="minorHAnsi" w:eastAsiaTheme="minorHAnsi" w:hAnsiTheme="minorHAnsi" w:cstheme="minorHAnsi"/>
        </w:rPr>
        <w:t xml:space="preserve"> poskytnuté v kontrolovaném období</w:t>
      </w:r>
      <w:r>
        <w:rPr>
          <w:rFonts w:asciiTheme="minorHAnsi" w:eastAsiaTheme="minorHAnsi" w:hAnsiTheme="minorHAnsi" w:cstheme="minorHAnsi"/>
        </w:rPr>
        <w:t xml:space="preserve"> ve</w:t>
      </w:r>
      <w:r w:rsidR="005E03FF">
        <w:rPr>
          <w:rFonts w:asciiTheme="minorHAnsi" w:eastAsiaTheme="minorHAnsi" w:hAnsiTheme="minorHAnsi" w:cstheme="minorHAnsi"/>
        </w:rPr>
        <w:t xml:space="preserve"> </w:t>
      </w:r>
      <w:r>
        <w:rPr>
          <w:rFonts w:asciiTheme="minorHAnsi" w:eastAsiaTheme="minorHAnsi" w:hAnsiTheme="minorHAnsi" w:cstheme="minorHAnsi"/>
        </w:rPr>
        <w:t>výši 2 265 639 044 Kč).</w:t>
      </w:r>
    </w:p>
    <w:p w14:paraId="1D716905" w14:textId="5DF7E54A" w:rsidR="00263A2D" w:rsidRPr="00D40E52" w:rsidRDefault="00263A2D" w:rsidP="00263A2D">
      <w:pPr>
        <w:rPr>
          <w:rFonts w:asciiTheme="minorHAnsi" w:eastAsiaTheme="minorHAnsi" w:hAnsiTheme="minorHAnsi" w:cstheme="minorHAnsi"/>
        </w:rPr>
      </w:pPr>
    </w:p>
    <w:p w14:paraId="01481E06" w14:textId="21C02470" w:rsidR="00F7563D" w:rsidRDefault="00F7563D" w:rsidP="00D96E77">
      <w:r>
        <w:t>Z celkov</w:t>
      </w:r>
      <w:r w:rsidR="00F73021">
        <w:t>é</w:t>
      </w:r>
      <w:r>
        <w:t xml:space="preserve"> výše institucionální podpory, kterou výzkumné organizace</w:t>
      </w:r>
      <w:r w:rsidR="00F73021">
        <w:t xml:space="preserve"> použily</w:t>
      </w:r>
      <w:r>
        <w:t xml:space="preserve"> v letech 2018 až 2022 ve výši </w:t>
      </w:r>
      <w:r w:rsidRPr="00435F06">
        <w:t>2 260 665 129 Kč</w:t>
      </w:r>
      <w:r>
        <w:t xml:space="preserve">, </w:t>
      </w:r>
      <w:r w:rsidR="007E52EB">
        <w:t>byla</w:t>
      </w:r>
      <w:r>
        <w:t xml:space="preserve"> </w:t>
      </w:r>
      <w:r w:rsidR="00014047">
        <w:t xml:space="preserve">největší část </w:t>
      </w:r>
      <w:r w:rsidR="007E52EB">
        <w:t>vynaložena</w:t>
      </w:r>
      <w:r w:rsidR="00F73021">
        <w:t xml:space="preserve"> </w:t>
      </w:r>
      <w:r>
        <w:t xml:space="preserve">na úhradu </w:t>
      </w:r>
      <w:r w:rsidRPr="00CE18B3">
        <w:rPr>
          <w:b/>
        </w:rPr>
        <w:t xml:space="preserve">osobních </w:t>
      </w:r>
      <w:r w:rsidR="006E0608">
        <w:rPr>
          <w:b/>
        </w:rPr>
        <w:br/>
      </w:r>
      <w:r w:rsidRPr="00CE18B3">
        <w:rPr>
          <w:b/>
        </w:rPr>
        <w:t>a</w:t>
      </w:r>
      <w:r w:rsidR="006E0608">
        <w:rPr>
          <w:b/>
        </w:rPr>
        <w:t xml:space="preserve"> </w:t>
      </w:r>
      <w:r w:rsidRPr="00CE18B3">
        <w:rPr>
          <w:b/>
        </w:rPr>
        <w:t>doplňkových</w:t>
      </w:r>
      <w:r>
        <w:t xml:space="preserve"> nákladů nebo výdajů. Na tyto dvě kategorie způsobilých nákladů </w:t>
      </w:r>
      <w:r w:rsidR="007E52EB">
        <w:t xml:space="preserve">použily </w:t>
      </w:r>
      <w:r>
        <w:t xml:space="preserve">výzkumné organizace </w:t>
      </w:r>
      <w:r w:rsidR="00615731">
        <w:t xml:space="preserve">téměř </w:t>
      </w:r>
      <w:r>
        <w:t>65 %</w:t>
      </w:r>
      <w:r w:rsidR="00263A2D">
        <w:t xml:space="preserve"> </w:t>
      </w:r>
      <w:r w:rsidR="00615731">
        <w:t>z </w:t>
      </w:r>
      <w:r>
        <w:t>celkové</w:t>
      </w:r>
      <w:r w:rsidR="00615731">
        <w:t xml:space="preserve"> </w:t>
      </w:r>
      <w:r w:rsidR="0054559C">
        <w:t>čerpané</w:t>
      </w:r>
      <w:r>
        <w:t xml:space="preserve"> institucionální podpory.</w:t>
      </w:r>
    </w:p>
    <w:p w14:paraId="5B76FEDD" w14:textId="7F1C3A60" w:rsidR="00DC799C" w:rsidRDefault="00DC799C" w:rsidP="00D96E77"/>
    <w:p w14:paraId="0CE668E5" w14:textId="389CADFE" w:rsidR="00DC799C" w:rsidRPr="00C6334F" w:rsidRDefault="00DC799C" w:rsidP="00C6334F">
      <w:pPr>
        <w:spacing w:after="120"/>
        <w:ind w:left="936" w:right="-142" w:hanging="936"/>
        <w:jc w:val="left"/>
        <w:rPr>
          <w:spacing w:val="-2"/>
        </w:rPr>
      </w:pPr>
      <w:r w:rsidRPr="00C6334F">
        <w:rPr>
          <w:b/>
          <w:bCs/>
          <w:spacing w:val="-2"/>
        </w:rPr>
        <w:t xml:space="preserve">Graf č. </w:t>
      </w:r>
      <w:r w:rsidR="009E740B" w:rsidRPr="00C6334F">
        <w:rPr>
          <w:b/>
          <w:bCs/>
          <w:spacing w:val="-2"/>
        </w:rPr>
        <w:t>1</w:t>
      </w:r>
      <w:r w:rsidRPr="00C6334F">
        <w:rPr>
          <w:b/>
          <w:bCs/>
          <w:spacing w:val="-2"/>
        </w:rPr>
        <w:t xml:space="preserve">: </w:t>
      </w:r>
      <w:r w:rsidR="00DA4689" w:rsidRPr="00C6334F">
        <w:rPr>
          <w:b/>
          <w:bCs/>
          <w:spacing w:val="-2"/>
        </w:rPr>
        <w:tab/>
      </w:r>
      <w:r w:rsidRPr="00C6334F">
        <w:rPr>
          <w:b/>
          <w:bCs/>
          <w:spacing w:val="-2"/>
        </w:rPr>
        <w:t>Podíl</w:t>
      </w:r>
      <w:r w:rsidR="007E52EB">
        <w:rPr>
          <w:b/>
          <w:bCs/>
          <w:spacing w:val="-2"/>
        </w:rPr>
        <w:t>y</w:t>
      </w:r>
      <w:r w:rsidRPr="00C6334F">
        <w:rPr>
          <w:b/>
          <w:bCs/>
          <w:spacing w:val="-2"/>
        </w:rPr>
        <w:t xml:space="preserve"> jednotlivých kategorií způsobilých nákladů na celkové </w:t>
      </w:r>
      <w:r w:rsidR="0054559C" w:rsidRPr="00C6334F">
        <w:rPr>
          <w:b/>
          <w:bCs/>
          <w:spacing w:val="-2"/>
        </w:rPr>
        <w:t xml:space="preserve">čerpané </w:t>
      </w:r>
      <w:r w:rsidRPr="00C6334F">
        <w:rPr>
          <w:b/>
          <w:bCs/>
          <w:spacing w:val="-2"/>
        </w:rPr>
        <w:t>institucionální podpoře</w:t>
      </w:r>
    </w:p>
    <w:p w14:paraId="78F869C3" w14:textId="2B4E1CDB" w:rsidR="00DC799C" w:rsidRDefault="008E62B7" w:rsidP="00DC799C">
      <w:pPr>
        <w:jc w:val="center"/>
      </w:pPr>
      <w:r>
        <w:rPr>
          <w:noProof/>
        </w:rPr>
        <w:drawing>
          <wp:inline distT="0" distB="0" distL="0" distR="0" wp14:anchorId="6EB5D991" wp14:editId="144C8793">
            <wp:extent cx="3668232" cy="1562735"/>
            <wp:effectExtent l="0" t="0" r="0" b="0"/>
            <wp:docPr id="1" name="Graf 1">
              <a:extLst xmlns:a="http://schemas.openxmlformats.org/drawingml/2006/main">
                <a:ext uri="{FF2B5EF4-FFF2-40B4-BE49-F238E27FC236}">
                  <a16:creationId xmlns:a16="http://schemas.microsoft.com/office/drawing/2014/main" id="{65F9CEBF-F1EF-446F-B9F5-F6587C0A5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8F325A" w14:textId="3FD0A0C3" w:rsidR="00173CB0" w:rsidRPr="00C6334F" w:rsidRDefault="00A23639" w:rsidP="00C6334F">
      <w:pPr>
        <w:autoSpaceDE w:val="0"/>
        <w:autoSpaceDN w:val="0"/>
        <w:adjustRightInd w:val="0"/>
        <w:spacing w:before="240"/>
        <w:ind w:left="567" w:hanging="567"/>
        <w:rPr>
          <w:rFonts w:asciiTheme="minorHAnsi" w:eastAsiaTheme="minorHAnsi" w:hAnsiTheme="minorHAnsi" w:cstheme="minorHAnsi"/>
          <w:color w:val="auto"/>
          <w:sz w:val="20"/>
          <w:szCs w:val="20"/>
        </w:rPr>
      </w:pPr>
      <w:r w:rsidRPr="00C6334F">
        <w:rPr>
          <w:rFonts w:asciiTheme="minorHAnsi" w:hAnsiTheme="minorHAnsi" w:cstheme="minorHAnsi"/>
          <w:b/>
          <w:sz w:val="20"/>
          <w:szCs w:val="20"/>
        </w:rPr>
        <w:t>Zdroj:</w:t>
      </w:r>
      <w:r w:rsidRPr="00C6334F">
        <w:rPr>
          <w:rFonts w:asciiTheme="minorHAnsi" w:hAnsiTheme="minorHAnsi" w:cstheme="minorHAnsi"/>
          <w:sz w:val="20"/>
          <w:szCs w:val="20"/>
        </w:rPr>
        <w:t xml:space="preserve"> </w:t>
      </w:r>
      <w:r w:rsidR="0049109B">
        <w:rPr>
          <w:rFonts w:asciiTheme="minorHAnsi" w:hAnsiTheme="minorHAnsi" w:cstheme="minorHAnsi"/>
          <w:sz w:val="20"/>
          <w:szCs w:val="20"/>
        </w:rPr>
        <w:tab/>
      </w:r>
      <w:r w:rsidR="0049109B" w:rsidRPr="00C6334F">
        <w:rPr>
          <w:rFonts w:asciiTheme="minorHAnsi" w:eastAsiaTheme="minorHAnsi" w:hAnsiTheme="minorHAnsi" w:cstheme="minorHAnsi"/>
          <w:color w:val="auto"/>
          <w:sz w:val="20"/>
          <w:szCs w:val="20"/>
        </w:rPr>
        <w:t>p</w:t>
      </w:r>
      <w:r w:rsidRPr="00C6334F">
        <w:rPr>
          <w:rFonts w:asciiTheme="minorHAnsi" w:eastAsiaTheme="minorHAnsi" w:hAnsiTheme="minorHAnsi" w:cstheme="minorHAnsi"/>
          <w:color w:val="auto"/>
          <w:sz w:val="20"/>
          <w:szCs w:val="20"/>
        </w:rPr>
        <w:t>růběžné zprávy o plnění dlouhodobých koncepcí rozvoje výzkumných organizací a</w:t>
      </w:r>
      <w:r w:rsidR="0049109B">
        <w:rPr>
          <w:rFonts w:asciiTheme="minorHAnsi" w:eastAsiaTheme="minorHAnsi" w:hAnsiTheme="minorHAnsi" w:cstheme="minorHAnsi"/>
          <w:color w:val="auto"/>
          <w:sz w:val="20"/>
          <w:szCs w:val="20"/>
        </w:rPr>
        <w:t xml:space="preserve"> </w:t>
      </w:r>
      <w:r w:rsidRPr="00C6334F">
        <w:rPr>
          <w:rFonts w:asciiTheme="minorHAnsi" w:eastAsiaTheme="minorHAnsi" w:hAnsiTheme="minorHAnsi" w:cstheme="minorHAnsi"/>
          <w:color w:val="auto"/>
          <w:sz w:val="20"/>
          <w:szCs w:val="20"/>
        </w:rPr>
        <w:t>čerpání a užití institucionální podpory na dlouhodobý koncepční rozvoj</w:t>
      </w:r>
      <w:r w:rsidR="00D71ACF" w:rsidRPr="00C6334F">
        <w:rPr>
          <w:rFonts w:asciiTheme="minorHAnsi" w:eastAsiaTheme="minorHAnsi" w:hAnsiTheme="minorHAnsi" w:cstheme="minorHAnsi"/>
          <w:color w:val="auto"/>
          <w:sz w:val="20"/>
          <w:szCs w:val="20"/>
        </w:rPr>
        <w:t xml:space="preserve"> </w:t>
      </w:r>
      <w:r w:rsidRPr="00C6334F">
        <w:rPr>
          <w:rFonts w:asciiTheme="minorHAnsi" w:eastAsiaTheme="minorHAnsi" w:hAnsiTheme="minorHAnsi" w:cstheme="minorHAnsi"/>
          <w:color w:val="auto"/>
          <w:sz w:val="20"/>
          <w:szCs w:val="20"/>
        </w:rPr>
        <w:t>výzkumn</w:t>
      </w:r>
      <w:r w:rsidR="00B55279" w:rsidRPr="00C6334F">
        <w:rPr>
          <w:rFonts w:asciiTheme="minorHAnsi" w:eastAsiaTheme="minorHAnsi" w:hAnsiTheme="minorHAnsi" w:cstheme="minorHAnsi"/>
          <w:color w:val="auto"/>
          <w:sz w:val="20"/>
          <w:szCs w:val="20"/>
        </w:rPr>
        <w:t>ých</w:t>
      </w:r>
      <w:r w:rsidRPr="00C6334F">
        <w:rPr>
          <w:rFonts w:asciiTheme="minorHAnsi" w:eastAsiaTheme="minorHAnsi" w:hAnsiTheme="minorHAnsi" w:cstheme="minorHAnsi"/>
          <w:color w:val="auto"/>
          <w:sz w:val="20"/>
          <w:szCs w:val="20"/>
        </w:rPr>
        <w:t xml:space="preserve"> organizac</w:t>
      </w:r>
      <w:r w:rsidR="00B55279" w:rsidRPr="00C6334F">
        <w:rPr>
          <w:rFonts w:asciiTheme="minorHAnsi" w:eastAsiaTheme="minorHAnsi" w:hAnsiTheme="minorHAnsi" w:cstheme="minorHAnsi"/>
          <w:color w:val="auto"/>
          <w:sz w:val="20"/>
          <w:szCs w:val="20"/>
        </w:rPr>
        <w:t>í za roky 2018 až 202</w:t>
      </w:r>
      <w:r w:rsidR="00F73021" w:rsidRPr="00C6334F">
        <w:rPr>
          <w:rFonts w:asciiTheme="minorHAnsi" w:eastAsiaTheme="minorHAnsi" w:hAnsiTheme="minorHAnsi" w:cstheme="minorHAnsi"/>
          <w:color w:val="auto"/>
          <w:sz w:val="20"/>
          <w:szCs w:val="20"/>
        </w:rPr>
        <w:t>2.</w:t>
      </w:r>
    </w:p>
    <w:p w14:paraId="544CC885" w14:textId="771421DE" w:rsidR="0049109B" w:rsidRDefault="0049109B" w:rsidP="0054559C">
      <w:pPr>
        <w:autoSpaceDE w:val="0"/>
        <w:autoSpaceDN w:val="0"/>
        <w:adjustRightInd w:val="0"/>
        <w:rPr>
          <w:rFonts w:asciiTheme="minorHAnsi" w:eastAsiaTheme="minorHAnsi" w:hAnsiTheme="minorHAnsi" w:cstheme="minorHAnsi"/>
        </w:rPr>
      </w:pPr>
    </w:p>
    <w:p w14:paraId="5A643BDB" w14:textId="77777777" w:rsidR="007E52EB" w:rsidRDefault="007E52EB" w:rsidP="0054559C">
      <w:pPr>
        <w:autoSpaceDE w:val="0"/>
        <w:autoSpaceDN w:val="0"/>
        <w:adjustRightInd w:val="0"/>
        <w:rPr>
          <w:rFonts w:asciiTheme="minorHAnsi" w:eastAsiaTheme="minorHAnsi" w:hAnsiTheme="minorHAnsi" w:cstheme="minorHAnsi"/>
        </w:rPr>
      </w:pPr>
    </w:p>
    <w:p w14:paraId="542CC8AA" w14:textId="65A8EE15" w:rsidR="0054559C" w:rsidRDefault="00D71ACF" w:rsidP="0054559C">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lastRenderedPageBreak/>
        <w:t>Z údajů uváděných</w:t>
      </w:r>
      <w:r w:rsidR="007E52EB">
        <w:rPr>
          <w:rFonts w:asciiTheme="minorHAnsi" w:eastAsiaTheme="minorHAnsi" w:hAnsiTheme="minorHAnsi" w:cstheme="minorHAnsi"/>
        </w:rPr>
        <w:t xml:space="preserve"> </w:t>
      </w:r>
      <w:r w:rsidR="00F73021">
        <w:rPr>
          <w:rFonts w:asciiTheme="minorHAnsi" w:eastAsiaTheme="minorHAnsi" w:hAnsiTheme="minorHAnsi" w:cstheme="minorHAnsi"/>
        </w:rPr>
        <w:t>výzkumnými organizacemi</w:t>
      </w:r>
      <w:r>
        <w:rPr>
          <w:rFonts w:asciiTheme="minorHAnsi" w:eastAsiaTheme="minorHAnsi" w:hAnsiTheme="minorHAnsi" w:cstheme="minorHAnsi"/>
        </w:rPr>
        <w:t xml:space="preserve"> v p</w:t>
      </w:r>
      <w:r w:rsidRPr="00F92771">
        <w:rPr>
          <w:rFonts w:asciiTheme="minorHAnsi" w:eastAsiaTheme="minorHAnsi" w:hAnsiTheme="minorHAnsi" w:cstheme="minorHAnsi"/>
        </w:rPr>
        <w:t>růběžných zpráv</w:t>
      </w:r>
      <w:r>
        <w:rPr>
          <w:rFonts w:asciiTheme="minorHAnsi" w:eastAsiaTheme="minorHAnsi" w:hAnsiTheme="minorHAnsi" w:cstheme="minorHAnsi"/>
        </w:rPr>
        <w:t>ách za roky 2018 až 2022</w:t>
      </w:r>
      <w:r w:rsidRPr="00F92771">
        <w:rPr>
          <w:rFonts w:asciiTheme="minorHAnsi" w:eastAsiaTheme="minorHAnsi" w:hAnsiTheme="minorHAnsi" w:cstheme="minorHAnsi"/>
        </w:rPr>
        <w:t xml:space="preserve"> </w:t>
      </w:r>
      <w:r w:rsidR="001A108A">
        <w:rPr>
          <w:rFonts w:asciiTheme="minorHAnsi" w:eastAsiaTheme="minorHAnsi" w:hAnsiTheme="minorHAnsi" w:cstheme="minorHAnsi"/>
        </w:rPr>
        <w:t>vypl</w:t>
      </w:r>
      <w:r w:rsidR="000A7BAF">
        <w:rPr>
          <w:rFonts w:asciiTheme="minorHAnsi" w:eastAsiaTheme="minorHAnsi" w:hAnsiTheme="minorHAnsi" w:cstheme="minorHAnsi"/>
        </w:rPr>
        <w:t>ynulo</w:t>
      </w:r>
      <w:r w:rsidRPr="00F92771">
        <w:rPr>
          <w:rFonts w:asciiTheme="minorHAnsi" w:eastAsiaTheme="minorHAnsi" w:hAnsiTheme="minorHAnsi" w:cstheme="minorHAnsi"/>
        </w:rPr>
        <w:t xml:space="preserve">, že </w:t>
      </w:r>
      <w:r w:rsidR="007E52EB" w:rsidRPr="00C6334F">
        <w:rPr>
          <w:rFonts w:asciiTheme="minorHAnsi" w:eastAsiaTheme="minorHAnsi" w:hAnsiTheme="minorHAnsi" w:cstheme="minorHAnsi"/>
          <w:b/>
        </w:rPr>
        <w:t xml:space="preserve">organizace </w:t>
      </w:r>
      <w:r w:rsidR="00266123" w:rsidRPr="00C6334F">
        <w:rPr>
          <w:rFonts w:asciiTheme="minorHAnsi" w:eastAsiaTheme="minorHAnsi" w:hAnsiTheme="minorHAnsi" w:cstheme="minorHAnsi"/>
          <w:b/>
        </w:rPr>
        <w:t>se lišily</w:t>
      </w:r>
      <w:r w:rsidR="007E52EB" w:rsidRPr="00C6334F">
        <w:rPr>
          <w:rFonts w:asciiTheme="minorHAnsi" w:eastAsiaTheme="minorHAnsi" w:hAnsiTheme="minorHAnsi" w:cstheme="minorHAnsi"/>
          <w:b/>
        </w:rPr>
        <w:t xml:space="preserve"> </w:t>
      </w:r>
      <w:r w:rsidR="00266123" w:rsidRPr="00C6334F">
        <w:rPr>
          <w:rFonts w:asciiTheme="minorHAnsi" w:eastAsiaTheme="minorHAnsi" w:hAnsiTheme="minorHAnsi" w:cstheme="minorHAnsi"/>
          <w:b/>
        </w:rPr>
        <w:t xml:space="preserve">v </w:t>
      </w:r>
      <w:r w:rsidR="007E52EB" w:rsidRPr="00C6334F">
        <w:rPr>
          <w:rFonts w:asciiTheme="minorHAnsi" w:eastAsiaTheme="minorHAnsi" w:hAnsiTheme="minorHAnsi" w:cstheme="minorHAnsi"/>
          <w:b/>
        </w:rPr>
        <w:t xml:space="preserve">tom, </w:t>
      </w:r>
      <w:r w:rsidRPr="00C6334F">
        <w:rPr>
          <w:rFonts w:asciiTheme="minorHAnsi" w:eastAsiaTheme="minorHAnsi" w:hAnsiTheme="minorHAnsi" w:cstheme="minorHAnsi"/>
          <w:b/>
        </w:rPr>
        <w:t>jaké náklady nebo výdaje ve</w:t>
      </w:r>
      <w:r w:rsidR="007E52EB" w:rsidRPr="00C6334F">
        <w:rPr>
          <w:rFonts w:asciiTheme="minorHAnsi" w:eastAsiaTheme="minorHAnsi" w:hAnsiTheme="minorHAnsi" w:cstheme="minorHAnsi"/>
          <w:b/>
        </w:rPr>
        <w:t xml:space="preserve"> </w:t>
      </w:r>
      <w:r w:rsidRPr="00C6334F">
        <w:rPr>
          <w:rFonts w:asciiTheme="minorHAnsi" w:eastAsiaTheme="minorHAnsi" w:hAnsiTheme="minorHAnsi" w:cstheme="minorHAnsi"/>
          <w:b/>
        </w:rPr>
        <w:t>způsobilých nákladech vykazovaly.</w:t>
      </w:r>
      <w:r>
        <w:rPr>
          <w:rFonts w:asciiTheme="minorHAnsi" w:eastAsiaTheme="minorHAnsi" w:hAnsiTheme="minorHAnsi" w:cstheme="minorHAnsi"/>
        </w:rPr>
        <w:t xml:space="preserve"> </w:t>
      </w:r>
      <w:r w:rsidR="00F141B5">
        <w:rPr>
          <w:rFonts w:asciiTheme="minorHAnsi" w:eastAsiaTheme="minorHAnsi" w:hAnsiTheme="minorHAnsi" w:cstheme="minorHAnsi"/>
        </w:rPr>
        <w:t xml:space="preserve">NKÚ u kontrolovaných výzkumných organizací nezjistil, že by </w:t>
      </w:r>
      <w:r w:rsidR="006E0608">
        <w:rPr>
          <w:rFonts w:asciiTheme="minorHAnsi" w:eastAsiaTheme="minorHAnsi" w:hAnsiTheme="minorHAnsi" w:cstheme="minorHAnsi"/>
        </w:rPr>
        <w:t xml:space="preserve">některá z nich </w:t>
      </w:r>
      <w:r w:rsidR="00F141B5">
        <w:rPr>
          <w:rFonts w:asciiTheme="minorHAnsi" w:eastAsiaTheme="minorHAnsi" w:hAnsiTheme="minorHAnsi" w:cstheme="minorHAnsi"/>
        </w:rPr>
        <w:t>z</w:t>
      </w:r>
      <w:r w:rsidR="00BE2CCC">
        <w:rPr>
          <w:rFonts w:asciiTheme="minorHAnsi" w:eastAsiaTheme="minorHAnsi" w:hAnsiTheme="minorHAnsi" w:cstheme="minorHAnsi"/>
        </w:rPr>
        <w:t> </w:t>
      </w:r>
      <w:r w:rsidR="00F141B5">
        <w:rPr>
          <w:rFonts w:asciiTheme="minorHAnsi" w:eastAsiaTheme="minorHAnsi" w:hAnsiTheme="minorHAnsi" w:cstheme="minorHAnsi"/>
        </w:rPr>
        <w:t>poskytnuté</w:t>
      </w:r>
      <w:r w:rsidR="00BE2CCC">
        <w:rPr>
          <w:rFonts w:asciiTheme="minorHAnsi" w:eastAsiaTheme="minorHAnsi" w:hAnsiTheme="minorHAnsi" w:cstheme="minorHAnsi"/>
        </w:rPr>
        <w:t xml:space="preserve"> institucionální</w:t>
      </w:r>
      <w:r w:rsidR="00F141B5">
        <w:rPr>
          <w:rFonts w:asciiTheme="minorHAnsi" w:eastAsiaTheme="minorHAnsi" w:hAnsiTheme="minorHAnsi" w:cstheme="minorHAnsi"/>
        </w:rPr>
        <w:t xml:space="preserve"> podpory uhradil</w:t>
      </w:r>
      <w:r w:rsidR="00266123">
        <w:rPr>
          <w:rFonts w:asciiTheme="minorHAnsi" w:eastAsiaTheme="minorHAnsi" w:hAnsiTheme="minorHAnsi" w:cstheme="minorHAnsi"/>
        </w:rPr>
        <w:t>a</w:t>
      </w:r>
      <w:r w:rsidR="00F141B5">
        <w:rPr>
          <w:rFonts w:asciiTheme="minorHAnsi" w:eastAsiaTheme="minorHAnsi" w:hAnsiTheme="minorHAnsi" w:cstheme="minorHAnsi"/>
        </w:rPr>
        <w:t xml:space="preserve"> náklady, které nebyly způsobilé.</w:t>
      </w:r>
    </w:p>
    <w:p w14:paraId="457FE2A2" w14:textId="21B75B8A" w:rsidR="00F914A8" w:rsidRDefault="00266123" w:rsidP="0054559C">
      <w:pPr>
        <w:autoSpaceDE w:val="0"/>
        <w:autoSpaceDN w:val="0"/>
        <w:adjustRightInd w:val="0"/>
        <w:spacing w:before="120" w:after="120"/>
        <w:rPr>
          <w:rFonts w:asciiTheme="minorHAnsi" w:eastAsiaTheme="minorHAnsi" w:hAnsiTheme="minorHAnsi" w:cstheme="minorHAnsi"/>
        </w:rPr>
      </w:pPr>
      <w:r>
        <w:rPr>
          <w:rFonts w:asciiTheme="minorHAnsi" w:eastAsiaTheme="minorHAnsi" w:hAnsiTheme="minorHAnsi" w:cstheme="minorHAnsi"/>
        </w:rPr>
        <w:t>NKÚ na vzorku</w:t>
      </w:r>
      <w:r w:rsidR="004551EC">
        <w:rPr>
          <w:rFonts w:asciiTheme="minorHAnsi" w:eastAsiaTheme="minorHAnsi" w:hAnsiTheme="minorHAnsi" w:cstheme="minorHAnsi"/>
        </w:rPr>
        <w:t xml:space="preserve"> šesti výzkumných organizací vybraných ke kontrole zjistil, že pět z</w:t>
      </w:r>
      <w:r>
        <w:rPr>
          <w:rFonts w:asciiTheme="minorHAnsi" w:eastAsiaTheme="minorHAnsi" w:hAnsiTheme="minorHAnsi" w:cstheme="minorHAnsi"/>
        </w:rPr>
        <w:t xml:space="preserve"> </w:t>
      </w:r>
      <w:r w:rsidR="004551EC">
        <w:rPr>
          <w:rFonts w:asciiTheme="minorHAnsi" w:eastAsiaTheme="minorHAnsi" w:hAnsiTheme="minorHAnsi" w:cstheme="minorHAnsi"/>
        </w:rPr>
        <w:t xml:space="preserve">nich </w:t>
      </w:r>
      <w:r w:rsidR="00C40A08">
        <w:rPr>
          <w:rFonts w:asciiTheme="minorHAnsi" w:eastAsiaTheme="minorHAnsi" w:hAnsiTheme="minorHAnsi" w:cstheme="minorHAnsi"/>
        </w:rPr>
        <w:t xml:space="preserve">v rámci </w:t>
      </w:r>
      <w:r w:rsidR="00C40A08" w:rsidRPr="0054559C">
        <w:rPr>
          <w:rFonts w:asciiTheme="minorHAnsi" w:eastAsiaTheme="minorHAnsi" w:hAnsiTheme="minorHAnsi" w:cstheme="minorHAnsi"/>
          <w:b/>
        </w:rPr>
        <w:t>osobních nákladů</w:t>
      </w:r>
      <w:r w:rsidR="00D304EE">
        <w:rPr>
          <w:rFonts w:asciiTheme="minorHAnsi" w:eastAsiaTheme="minorHAnsi" w:hAnsiTheme="minorHAnsi" w:cstheme="minorHAnsi"/>
        </w:rPr>
        <w:t xml:space="preserve"> nebo výdajů</w:t>
      </w:r>
      <w:r w:rsidR="00C40A08">
        <w:rPr>
          <w:rFonts w:asciiTheme="minorHAnsi" w:eastAsiaTheme="minorHAnsi" w:hAnsiTheme="minorHAnsi" w:cstheme="minorHAnsi"/>
        </w:rPr>
        <w:t xml:space="preserve"> vykazoval</w:t>
      </w:r>
      <w:r>
        <w:rPr>
          <w:rFonts w:asciiTheme="minorHAnsi" w:eastAsiaTheme="minorHAnsi" w:hAnsiTheme="minorHAnsi" w:cstheme="minorHAnsi"/>
        </w:rPr>
        <w:t>o</w:t>
      </w:r>
      <w:r w:rsidR="00C40A08">
        <w:rPr>
          <w:rFonts w:asciiTheme="minorHAnsi" w:eastAsiaTheme="minorHAnsi" w:hAnsiTheme="minorHAnsi" w:cstheme="minorHAnsi"/>
        </w:rPr>
        <w:t xml:space="preserve"> v jednotlivých letech i </w:t>
      </w:r>
      <w:r w:rsidR="00C40A08" w:rsidRPr="00CE4087">
        <w:rPr>
          <w:rFonts w:asciiTheme="minorHAnsi" w:eastAsiaTheme="minorHAnsi" w:hAnsiTheme="minorHAnsi" w:cstheme="minorHAnsi"/>
          <w:b/>
        </w:rPr>
        <w:t>prémie, odměny a</w:t>
      </w:r>
      <w:r>
        <w:rPr>
          <w:rFonts w:asciiTheme="minorHAnsi" w:eastAsiaTheme="minorHAnsi" w:hAnsiTheme="minorHAnsi" w:cstheme="minorHAnsi"/>
          <w:b/>
        </w:rPr>
        <w:t> </w:t>
      </w:r>
      <w:r w:rsidR="00C40A08" w:rsidRPr="00CE4087">
        <w:rPr>
          <w:rFonts w:asciiTheme="minorHAnsi" w:eastAsiaTheme="minorHAnsi" w:hAnsiTheme="minorHAnsi" w:cstheme="minorHAnsi"/>
          <w:b/>
        </w:rPr>
        <w:t>bonusy</w:t>
      </w:r>
      <w:r w:rsidR="00223341" w:rsidRPr="00C6334F">
        <w:rPr>
          <w:rFonts w:asciiTheme="minorHAnsi" w:eastAsiaTheme="minorHAnsi" w:hAnsiTheme="minorHAnsi" w:cstheme="minorHAnsi"/>
          <w:b/>
        </w:rPr>
        <w:t>,</w:t>
      </w:r>
      <w:r w:rsidR="00223341">
        <w:rPr>
          <w:rFonts w:asciiTheme="minorHAnsi" w:eastAsiaTheme="minorHAnsi" w:hAnsiTheme="minorHAnsi" w:cstheme="minorHAnsi"/>
        </w:rPr>
        <w:t xml:space="preserve"> jejichž</w:t>
      </w:r>
      <w:r w:rsidR="00C40A08">
        <w:rPr>
          <w:rFonts w:asciiTheme="minorHAnsi" w:eastAsiaTheme="minorHAnsi" w:hAnsiTheme="minorHAnsi" w:cstheme="minorHAnsi"/>
        </w:rPr>
        <w:t xml:space="preserve"> podíl na mzdách pracovníků byl v rozmezí </w:t>
      </w:r>
      <w:r w:rsidR="00C40A08" w:rsidRPr="0054559C">
        <w:rPr>
          <w:rFonts w:asciiTheme="minorHAnsi" w:eastAsiaTheme="minorHAnsi" w:hAnsiTheme="minorHAnsi" w:cstheme="minorHAnsi"/>
          <w:b/>
        </w:rPr>
        <w:t>1,2 % až 36,</w:t>
      </w:r>
      <w:r w:rsidR="001174E4" w:rsidRPr="0054559C">
        <w:rPr>
          <w:rFonts w:asciiTheme="minorHAnsi" w:eastAsiaTheme="minorHAnsi" w:hAnsiTheme="minorHAnsi" w:cstheme="minorHAnsi"/>
          <w:b/>
        </w:rPr>
        <w:t>8</w:t>
      </w:r>
      <w:r w:rsidR="00C40A08" w:rsidRPr="0054559C">
        <w:rPr>
          <w:rFonts w:asciiTheme="minorHAnsi" w:eastAsiaTheme="minorHAnsi" w:hAnsiTheme="minorHAnsi" w:cstheme="minorHAnsi"/>
          <w:b/>
        </w:rPr>
        <w:t xml:space="preserve"> %</w:t>
      </w:r>
      <w:r w:rsidR="00C40A08" w:rsidRPr="00C6334F">
        <w:rPr>
          <w:rFonts w:asciiTheme="minorHAnsi" w:eastAsiaTheme="minorHAnsi" w:hAnsiTheme="minorHAnsi" w:cstheme="minorHAnsi"/>
          <w:b/>
        </w:rPr>
        <w:t>.</w:t>
      </w:r>
      <w:r w:rsidR="00C40A08">
        <w:rPr>
          <w:rFonts w:asciiTheme="minorHAnsi" w:eastAsiaTheme="minorHAnsi" w:hAnsiTheme="minorHAnsi" w:cstheme="minorHAnsi"/>
        </w:rPr>
        <w:t xml:space="preserve"> </w:t>
      </w:r>
    </w:p>
    <w:p w14:paraId="3220E92F" w14:textId="2547F1EB" w:rsidR="00223341" w:rsidRPr="00F914A8" w:rsidRDefault="00C40A08" w:rsidP="0054559C">
      <w:pPr>
        <w:autoSpaceDE w:val="0"/>
        <w:autoSpaceDN w:val="0"/>
        <w:adjustRightInd w:val="0"/>
        <w:spacing w:before="120" w:after="120"/>
        <w:rPr>
          <w:rFonts w:asciiTheme="minorHAnsi" w:eastAsiaTheme="minorHAnsi" w:hAnsiTheme="minorHAnsi" w:cstheme="minorHAnsi"/>
        </w:rPr>
      </w:pPr>
      <w:r>
        <w:rPr>
          <w:rFonts w:asciiTheme="minorHAnsi" w:eastAsiaTheme="minorHAnsi" w:hAnsiTheme="minorHAnsi" w:cstheme="minorHAnsi"/>
        </w:rPr>
        <w:t xml:space="preserve">V rámci doplňkových nákladů nebo výdajů </w:t>
      </w:r>
      <w:r w:rsidR="00266123">
        <w:rPr>
          <w:rFonts w:asciiTheme="minorHAnsi" w:eastAsiaTheme="minorHAnsi" w:hAnsiTheme="minorHAnsi" w:cstheme="minorHAnsi"/>
        </w:rPr>
        <w:t xml:space="preserve">vykazovaly </w:t>
      </w:r>
      <w:r w:rsidR="00223341">
        <w:rPr>
          <w:rFonts w:asciiTheme="minorHAnsi" w:eastAsiaTheme="minorHAnsi" w:hAnsiTheme="minorHAnsi" w:cstheme="minorHAnsi"/>
        </w:rPr>
        <w:t xml:space="preserve">podpořené </w:t>
      </w:r>
      <w:r>
        <w:rPr>
          <w:rFonts w:asciiTheme="minorHAnsi" w:eastAsiaTheme="minorHAnsi" w:hAnsiTheme="minorHAnsi" w:cstheme="minorHAnsi"/>
        </w:rPr>
        <w:t>výzkumné organizace</w:t>
      </w:r>
      <w:r w:rsidR="00223341">
        <w:rPr>
          <w:rFonts w:asciiTheme="minorHAnsi" w:eastAsiaTheme="minorHAnsi" w:hAnsiTheme="minorHAnsi" w:cstheme="minorHAnsi"/>
        </w:rPr>
        <w:t xml:space="preserve"> například</w:t>
      </w:r>
      <w:r>
        <w:rPr>
          <w:rFonts w:asciiTheme="minorHAnsi" w:eastAsiaTheme="minorHAnsi" w:hAnsiTheme="minorHAnsi" w:cstheme="minorHAnsi"/>
        </w:rPr>
        <w:t xml:space="preserve"> </w:t>
      </w:r>
      <w:r w:rsidR="005A0EF1">
        <w:rPr>
          <w:rFonts w:asciiTheme="minorHAnsi" w:eastAsiaTheme="minorHAnsi" w:hAnsiTheme="minorHAnsi" w:cstheme="minorHAnsi"/>
        </w:rPr>
        <w:t>náklady související s</w:t>
      </w:r>
      <w:r w:rsidR="00266123">
        <w:rPr>
          <w:rFonts w:asciiTheme="minorHAnsi" w:eastAsiaTheme="minorHAnsi" w:hAnsiTheme="minorHAnsi" w:cstheme="minorHAnsi"/>
        </w:rPr>
        <w:t xml:space="preserve"> </w:t>
      </w:r>
      <w:r w:rsidR="005A0EF1">
        <w:rPr>
          <w:rFonts w:asciiTheme="minorHAnsi" w:eastAsiaTheme="minorHAnsi" w:hAnsiTheme="minorHAnsi" w:cstheme="minorHAnsi"/>
        </w:rPr>
        <w:t xml:space="preserve">provozem </w:t>
      </w:r>
      <w:r w:rsidR="00EC027C">
        <w:rPr>
          <w:rFonts w:asciiTheme="minorHAnsi" w:eastAsiaTheme="minorHAnsi" w:hAnsiTheme="minorHAnsi" w:cstheme="minorHAnsi"/>
        </w:rPr>
        <w:t>budov (vodné a stočn</w:t>
      </w:r>
      <w:r w:rsidR="00885F93">
        <w:rPr>
          <w:rFonts w:asciiTheme="minorHAnsi" w:eastAsiaTheme="minorHAnsi" w:hAnsiTheme="minorHAnsi" w:cstheme="minorHAnsi"/>
        </w:rPr>
        <w:t>é</w:t>
      </w:r>
      <w:r w:rsidR="00EC027C">
        <w:rPr>
          <w:rFonts w:asciiTheme="minorHAnsi" w:eastAsiaTheme="minorHAnsi" w:hAnsiTheme="minorHAnsi" w:cstheme="minorHAnsi"/>
        </w:rPr>
        <w:t>, elektrická energie, vytápění, nájemné), mzdové náklady na vedení společnosti a na technické a</w:t>
      </w:r>
      <w:r w:rsidR="00266123">
        <w:rPr>
          <w:rFonts w:asciiTheme="minorHAnsi" w:eastAsiaTheme="minorHAnsi" w:hAnsiTheme="minorHAnsi" w:cstheme="minorHAnsi"/>
        </w:rPr>
        <w:t xml:space="preserve"> </w:t>
      </w:r>
      <w:r w:rsidR="00EC027C">
        <w:rPr>
          <w:rFonts w:asciiTheme="minorHAnsi" w:eastAsiaTheme="minorHAnsi" w:hAnsiTheme="minorHAnsi" w:cstheme="minorHAnsi"/>
        </w:rPr>
        <w:t>ekonomické oddělení, náklady spojené s</w:t>
      </w:r>
      <w:r w:rsidR="00266123">
        <w:rPr>
          <w:rFonts w:asciiTheme="minorHAnsi" w:eastAsiaTheme="minorHAnsi" w:hAnsiTheme="minorHAnsi" w:cstheme="minorHAnsi"/>
        </w:rPr>
        <w:t xml:space="preserve"> </w:t>
      </w:r>
      <w:r w:rsidR="00EC027C">
        <w:rPr>
          <w:rFonts w:asciiTheme="minorHAnsi" w:eastAsiaTheme="minorHAnsi" w:hAnsiTheme="minorHAnsi" w:cstheme="minorHAnsi"/>
        </w:rPr>
        <w:t>provozem organizace (telefonní poplatky, internet, notářské poplatky, údržba a</w:t>
      </w:r>
      <w:r w:rsidR="00266123">
        <w:rPr>
          <w:rFonts w:asciiTheme="minorHAnsi" w:eastAsiaTheme="minorHAnsi" w:hAnsiTheme="minorHAnsi" w:cstheme="minorHAnsi"/>
        </w:rPr>
        <w:t xml:space="preserve"> </w:t>
      </w:r>
      <w:r w:rsidR="00EC027C">
        <w:rPr>
          <w:rFonts w:asciiTheme="minorHAnsi" w:eastAsiaTheme="minorHAnsi" w:hAnsiTheme="minorHAnsi" w:cstheme="minorHAnsi"/>
        </w:rPr>
        <w:t>opravy služebních vozů, leasing, zdravotní péče, stravenky, pojištění majetku, ostraha, úklid, poštovné, provoz kopírek, odpisy), financování spoluúčasti na</w:t>
      </w:r>
      <w:r w:rsidR="00266123">
        <w:rPr>
          <w:rFonts w:asciiTheme="minorHAnsi" w:eastAsiaTheme="minorHAnsi" w:hAnsiTheme="minorHAnsi" w:cstheme="minorHAnsi"/>
        </w:rPr>
        <w:t xml:space="preserve"> </w:t>
      </w:r>
      <w:r w:rsidR="00EC027C">
        <w:rPr>
          <w:rFonts w:asciiTheme="minorHAnsi" w:eastAsiaTheme="minorHAnsi" w:hAnsiTheme="minorHAnsi" w:cstheme="minorHAnsi"/>
        </w:rPr>
        <w:t>projektech Evropské unie a</w:t>
      </w:r>
      <w:r w:rsidR="00FC112D">
        <w:rPr>
          <w:rFonts w:asciiTheme="minorHAnsi" w:eastAsiaTheme="minorHAnsi" w:hAnsiTheme="minorHAnsi" w:cstheme="minorHAnsi"/>
        </w:rPr>
        <w:t>nebo</w:t>
      </w:r>
      <w:r w:rsidR="00B47743">
        <w:rPr>
          <w:rFonts w:asciiTheme="minorHAnsi" w:eastAsiaTheme="minorHAnsi" w:hAnsiTheme="minorHAnsi" w:cstheme="minorHAnsi"/>
        </w:rPr>
        <w:t xml:space="preserve"> náklady</w:t>
      </w:r>
      <w:r w:rsidR="00FC112D">
        <w:rPr>
          <w:rFonts w:asciiTheme="minorHAnsi" w:eastAsiaTheme="minorHAnsi" w:hAnsiTheme="minorHAnsi" w:cstheme="minorHAnsi"/>
        </w:rPr>
        <w:t xml:space="preserve"> na pokrytí rozdílu </w:t>
      </w:r>
      <w:r w:rsidR="00B47743">
        <w:rPr>
          <w:rFonts w:asciiTheme="minorHAnsi" w:eastAsiaTheme="minorHAnsi" w:hAnsiTheme="minorHAnsi" w:cstheme="minorHAnsi"/>
        </w:rPr>
        <w:t xml:space="preserve">mezi skutečnými </w:t>
      </w:r>
      <w:r w:rsidR="00B47743" w:rsidRPr="004E34E9">
        <w:rPr>
          <w:rFonts w:eastAsiaTheme="minorHAnsi"/>
        </w:rPr>
        <w:t>a</w:t>
      </w:r>
      <w:r w:rsidR="00266123">
        <w:rPr>
          <w:rFonts w:eastAsiaTheme="minorHAnsi"/>
        </w:rPr>
        <w:t xml:space="preserve"> </w:t>
      </w:r>
      <w:r w:rsidR="00B47743" w:rsidRPr="004E34E9">
        <w:rPr>
          <w:rFonts w:eastAsiaTheme="minorHAnsi"/>
        </w:rPr>
        <w:t>uplatnitelnými</w:t>
      </w:r>
      <w:r w:rsidR="00B47743">
        <w:rPr>
          <w:rFonts w:asciiTheme="minorHAnsi" w:eastAsiaTheme="minorHAnsi" w:hAnsiTheme="minorHAnsi" w:cstheme="minorHAnsi"/>
        </w:rPr>
        <w:t xml:space="preserve"> náklady u projektů financovaných z</w:t>
      </w:r>
      <w:r w:rsidR="00266123">
        <w:rPr>
          <w:rFonts w:asciiTheme="minorHAnsi" w:eastAsiaTheme="minorHAnsi" w:hAnsiTheme="minorHAnsi" w:cstheme="minorHAnsi"/>
        </w:rPr>
        <w:t xml:space="preserve"> </w:t>
      </w:r>
      <w:r w:rsidR="00B47743">
        <w:rPr>
          <w:rFonts w:asciiTheme="minorHAnsi" w:eastAsiaTheme="minorHAnsi" w:hAnsiTheme="minorHAnsi" w:cstheme="minorHAnsi"/>
        </w:rPr>
        <w:t xml:space="preserve">účelové podpory. </w:t>
      </w:r>
      <w:r w:rsidR="00B47743" w:rsidRPr="009F1F47">
        <w:rPr>
          <w:rFonts w:asciiTheme="minorHAnsi" w:eastAsiaTheme="minorHAnsi" w:hAnsiTheme="minorHAnsi" w:cstheme="minorHAnsi"/>
          <w:b/>
        </w:rPr>
        <w:t>Podíl doplňkových nákladů</w:t>
      </w:r>
      <w:r w:rsidR="00B47743">
        <w:rPr>
          <w:rFonts w:asciiTheme="minorHAnsi" w:eastAsiaTheme="minorHAnsi" w:hAnsiTheme="minorHAnsi" w:cstheme="minorHAnsi"/>
        </w:rPr>
        <w:t xml:space="preserve"> nebo výdajů na celkových způsobilých nákladech se u</w:t>
      </w:r>
      <w:r w:rsidR="00266123">
        <w:rPr>
          <w:rFonts w:asciiTheme="minorHAnsi" w:eastAsiaTheme="minorHAnsi" w:hAnsiTheme="minorHAnsi" w:cstheme="minorHAnsi"/>
        </w:rPr>
        <w:t xml:space="preserve"> </w:t>
      </w:r>
      <w:r w:rsidR="00B47743">
        <w:rPr>
          <w:rFonts w:asciiTheme="minorHAnsi" w:eastAsiaTheme="minorHAnsi" w:hAnsiTheme="minorHAnsi" w:cstheme="minorHAnsi"/>
        </w:rPr>
        <w:t>jednotlivých 14</w:t>
      </w:r>
      <w:r w:rsidR="00266123">
        <w:rPr>
          <w:rFonts w:asciiTheme="minorHAnsi" w:eastAsiaTheme="minorHAnsi" w:hAnsiTheme="minorHAnsi" w:cstheme="minorHAnsi"/>
        </w:rPr>
        <w:t xml:space="preserve"> </w:t>
      </w:r>
      <w:r w:rsidR="00B47743">
        <w:rPr>
          <w:rFonts w:asciiTheme="minorHAnsi" w:eastAsiaTheme="minorHAnsi" w:hAnsiTheme="minorHAnsi" w:cstheme="minorHAnsi"/>
        </w:rPr>
        <w:t xml:space="preserve">podpořených výzkumných organizací v jednotlivých letech 2018 až 2022 pohyboval </w:t>
      </w:r>
      <w:r w:rsidR="00B47743" w:rsidRPr="009F1F47">
        <w:rPr>
          <w:rFonts w:asciiTheme="minorHAnsi" w:eastAsiaTheme="minorHAnsi" w:hAnsiTheme="minorHAnsi" w:cstheme="minorHAnsi"/>
          <w:b/>
        </w:rPr>
        <w:t>v rozmezí 0 % až 57 %</w:t>
      </w:r>
      <w:r w:rsidR="00B47743" w:rsidRPr="00C6334F">
        <w:rPr>
          <w:rFonts w:asciiTheme="minorHAnsi" w:eastAsiaTheme="minorHAnsi" w:hAnsiTheme="minorHAnsi" w:cstheme="minorHAnsi"/>
          <w:b/>
        </w:rPr>
        <w:t>.</w:t>
      </w:r>
    </w:p>
    <w:p w14:paraId="339E6F64" w14:textId="77777777" w:rsidR="00223341" w:rsidRPr="00B62CF2" w:rsidRDefault="00223341" w:rsidP="00885F93">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rPr>
      </w:pPr>
      <w:r w:rsidRPr="00B62CF2">
        <w:rPr>
          <w:rFonts w:asciiTheme="minorHAnsi" w:eastAsiaTheme="minorHAnsi" w:hAnsiTheme="minorHAnsi" w:cstheme="minorHAnsi"/>
          <w:b/>
        </w:rPr>
        <w:t xml:space="preserve">Příklad č. </w:t>
      </w:r>
      <w:r>
        <w:rPr>
          <w:rFonts w:asciiTheme="minorHAnsi" w:eastAsiaTheme="minorHAnsi" w:hAnsiTheme="minorHAnsi" w:cstheme="minorHAnsi"/>
          <w:b/>
        </w:rPr>
        <w:t>2</w:t>
      </w:r>
      <w:r w:rsidRPr="00B62CF2">
        <w:rPr>
          <w:rFonts w:asciiTheme="minorHAnsi" w:eastAsiaTheme="minorHAnsi" w:hAnsiTheme="minorHAnsi" w:cstheme="minorHAnsi"/>
          <w:b/>
        </w:rPr>
        <w:t xml:space="preserve"> </w:t>
      </w:r>
    </w:p>
    <w:p w14:paraId="60241576" w14:textId="23E8852A" w:rsidR="00223341" w:rsidRPr="00B2767A" w:rsidRDefault="00223341" w:rsidP="00885F93">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i/>
        </w:rPr>
      </w:pPr>
      <w:r w:rsidRPr="00B62CF2">
        <w:rPr>
          <w:rFonts w:asciiTheme="minorHAnsi" w:eastAsiaTheme="minorHAnsi" w:hAnsiTheme="minorHAnsi" w:cstheme="minorHAnsi"/>
          <w:i/>
        </w:rPr>
        <w:t xml:space="preserve">V průběžných zprávách za roky 2018 až 2022 </w:t>
      </w:r>
      <w:r>
        <w:rPr>
          <w:rFonts w:asciiTheme="minorHAnsi" w:eastAsiaTheme="minorHAnsi" w:hAnsiTheme="minorHAnsi" w:cstheme="minorHAnsi"/>
          <w:i/>
        </w:rPr>
        <w:t xml:space="preserve">jedna </w:t>
      </w:r>
      <w:r w:rsidRPr="00F76E94">
        <w:rPr>
          <w:rFonts w:asciiTheme="minorHAnsi" w:eastAsiaTheme="minorHAnsi" w:hAnsiTheme="minorHAnsi" w:cstheme="minorHAnsi"/>
          <w:i/>
        </w:rPr>
        <w:t>podpořená výzkumná organizace uvedla</w:t>
      </w:r>
      <w:r w:rsidRPr="00B62CF2">
        <w:rPr>
          <w:rFonts w:asciiTheme="minorHAnsi" w:eastAsiaTheme="minorHAnsi" w:hAnsiTheme="minorHAnsi" w:cstheme="minorHAnsi"/>
          <w:i/>
        </w:rPr>
        <w:t xml:space="preserve">, že doplňkové náklady nebo výdaje byly tvořeny skutečnými režijními náklady </w:t>
      </w:r>
      <w:r w:rsidR="00266123">
        <w:rPr>
          <w:rFonts w:asciiTheme="minorHAnsi" w:eastAsiaTheme="minorHAnsi" w:hAnsiTheme="minorHAnsi" w:cstheme="minorHAnsi"/>
          <w:i/>
        </w:rPr>
        <w:br/>
      </w:r>
      <w:r w:rsidRPr="00B62CF2">
        <w:rPr>
          <w:rFonts w:asciiTheme="minorHAnsi" w:eastAsiaTheme="minorHAnsi" w:hAnsiTheme="minorHAnsi" w:cstheme="minorHAnsi"/>
          <w:i/>
        </w:rPr>
        <w:t>a</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vnitropodnikovými náklady spojenými s</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 xml:space="preserve">řešením dlouhodobého koncepčního rozvoje výzkumné organizace. Dále uvedla, že součástí doplňkových nákladů byl i </w:t>
      </w:r>
      <w:r w:rsidRPr="00F76E94">
        <w:rPr>
          <w:rFonts w:asciiTheme="minorHAnsi" w:eastAsiaTheme="minorHAnsi" w:hAnsiTheme="minorHAnsi" w:cstheme="minorHAnsi"/>
          <w:i/>
        </w:rPr>
        <w:t>alikvótní podíl nájmů a energií připadající na výzkumné prostory najaté od majetkově propojené mateřské organizace. Konkrétní</w:t>
      </w:r>
      <w:r w:rsidRPr="00B62CF2">
        <w:rPr>
          <w:rFonts w:asciiTheme="minorHAnsi" w:eastAsiaTheme="minorHAnsi" w:hAnsiTheme="minorHAnsi" w:cstheme="minorHAnsi"/>
          <w:i/>
        </w:rPr>
        <w:t xml:space="preserve"> částky režijních nákladů, vnitropodnikových nákladů a</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 xml:space="preserve">nákladů uhrazených mateřské organizaci neuváděla, </w:t>
      </w:r>
      <w:r w:rsidR="0054559C">
        <w:rPr>
          <w:rFonts w:asciiTheme="minorHAnsi" w:eastAsiaTheme="minorHAnsi" w:hAnsiTheme="minorHAnsi" w:cstheme="minorHAnsi"/>
          <w:i/>
        </w:rPr>
        <w:t>vyčíslila pouze</w:t>
      </w:r>
      <w:r w:rsidRPr="00B62CF2">
        <w:rPr>
          <w:rFonts w:asciiTheme="minorHAnsi" w:eastAsiaTheme="minorHAnsi" w:hAnsiTheme="minorHAnsi" w:cstheme="minorHAnsi"/>
          <w:i/>
        </w:rPr>
        <w:t xml:space="preserve"> jednu souhrnnou celkovou částku doplňkových nákladů nebo výdajů. V průběžné zprávě za rok 2022 tato výzkumná organizace doplnila, že ceny nájmů za výzkumné a</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administrativní prostory od</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mateřské organizace jsou nabízeny ve srovnatelných tržních podmínkách. Z</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důvodu neuvedení konkrétních informací o</w:t>
      </w:r>
      <w:r w:rsidR="00266123">
        <w:rPr>
          <w:rFonts w:asciiTheme="minorHAnsi" w:eastAsiaTheme="minorHAnsi" w:hAnsiTheme="minorHAnsi" w:cstheme="minorHAnsi"/>
          <w:i/>
        </w:rPr>
        <w:t> cenách</w:t>
      </w:r>
      <w:r w:rsidRPr="00B62CF2">
        <w:rPr>
          <w:rFonts w:asciiTheme="minorHAnsi" w:eastAsiaTheme="minorHAnsi" w:hAnsiTheme="minorHAnsi" w:cstheme="minorHAnsi"/>
          <w:i/>
        </w:rPr>
        <w:t xml:space="preserve"> nájmů a energií </w:t>
      </w:r>
      <w:r w:rsidR="00266123" w:rsidRPr="00B62CF2">
        <w:rPr>
          <w:rFonts w:asciiTheme="minorHAnsi" w:eastAsiaTheme="minorHAnsi" w:hAnsiTheme="minorHAnsi" w:cstheme="minorHAnsi"/>
          <w:i/>
        </w:rPr>
        <w:t xml:space="preserve">uhrazených </w:t>
      </w:r>
      <w:r w:rsidRPr="00B62CF2">
        <w:rPr>
          <w:rFonts w:asciiTheme="minorHAnsi" w:eastAsiaTheme="minorHAnsi" w:hAnsiTheme="minorHAnsi" w:cstheme="minorHAnsi"/>
          <w:i/>
        </w:rPr>
        <w:t>mateřské organizaci a</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ani o</w:t>
      </w:r>
      <w:r w:rsidR="00266123">
        <w:rPr>
          <w:rFonts w:asciiTheme="minorHAnsi" w:eastAsiaTheme="minorHAnsi" w:hAnsiTheme="minorHAnsi" w:cstheme="minorHAnsi"/>
          <w:i/>
        </w:rPr>
        <w:t xml:space="preserve"> </w:t>
      </w:r>
      <w:r w:rsidRPr="00B62CF2">
        <w:rPr>
          <w:rFonts w:asciiTheme="minorHAnsi" w:eastAsiaTheme="minorHAnsi" w:hAnsiTheme="minorHAnsi" w:cstheme="minorHAnsi"/>
          <w:i/>
        </w:rPr>
        <w:t xml:space="preserve">velikosti najímané plochy </w:t>
      </w:r>
      <w:r>
        <w:rPr>
          <w:rFonts w:asciiTheme="minorHAnsi" w:eastAsiaTheme="minorHAnsi" w:hAnsiTheme="minorHAnsi" w:cstheme="minorHAnsi"/>
          <w:i/>
        </w:rPr>
        <w:t>nelze</w:t>
      </w:r>
      <w:r w:rsidRPr="00B62CF2">
        <w:rPr>
          <w:rFonts w:asciiTheme="minorHAnsi" w:eastAsiaTheme="minorHAnsi" w:hAnsiTheme="minorHAnsi" w:cstheme="minorHAnsi"/>
          <w:i/>
        </w:rPr>
        <w:t xml:space="preserve"> </w:t>
      </w:r>
      <w:r>
        <w:rPr>
          <w:rFonts w:asciiTheme="minorHAnsi" w:eastAsiaTheme="minorHAnsi" w:hAnsiTheme="minorHAnsi" w:cstheme="minorHAnsi"/>
          <w:i/>
        </w:rPr>
        <w:t>přiměřenost výše doplňkových nákladů</w:t>
      </w:r>
      <w:r w:rsidRPr="00B62CF2">
        <w:rPr>
          <w:rFonts w:asciiTheme="minorHAnsi" w:eastAsiaTheme="minorHAnsi" w:hAnsiTheme="minorHAnsi" w:cstheme="minorHAnsi"/>
          <w:i/>
        </w:rPr>
        <w:t xml:space="preserve"> </w:t>
      </w:r>
      <w:r>
        <w:rPr>
          <w:rFonts w:asciiTheme="minorHAnsi" w:eastAsiaTheme="minorHAnsi" w:hAnsiTheme="minorHAnsi" w:cstheme="minorHAnsi"/>
          <w:i/>
        </w:rPr>
        <w:t>vyhodnotit</w:t>
      </w:r>
      <w:r w:rsidRPr="00B62CF2">
        <w:rPr>
          <w:rFonts w:asciiTheme="minorHAnsi" w:eastAsiaTheme="minorHAnsi" w:hAnsiTheme="minorHAnsi" w:cstheme="minorHAnsi"/>
          <w:i/>
        </w:rPr>
        <w:t>.</w:t>
      </w:r>
    </w:p>
    <w:p w14:paraId="12E499CF" w14:textId="065B9525" w:rsidR="003A0474" w:rsidRPr="00B43549" w:rsidRDefault="00D71ACF" w:rsidP="00B43549">
      <w:pPr>
        <w:pStyle w:val="Default"/>
        <w:spacing w:before="120"/>
        <w:jc w:val="both"/>
        <w:rPr>
          <w:rFonts w:asciiTheme="minorHAnsi" w:eastAsiaTheme="minorHAnsi" w:hAnsiTheme="minorHAnsi" w:cstheme="minorHAnsi"/>
          <w:b/>
        </w:rPr>
      </w:pPr>
      <w:r w:rsidRPr="00EE109D">
        <w:rPr>
          <w:rFonts w:asciiTheme="minorHAnsi" w:eastAsiaTheme="minorHAnsi" w:hAnsiTheme="minorHAnsi" w:cstheme="minorHAnsi"/>
        </w:rPr>
        <w:t>Dle NKÚ</w:t>
      </w:r>
      <w:r w:rsidRPr="00EE109D">
        <w:rPr>
          <w:rFonts w:asciiTheme="minorHAnsi" w:eastAsiaTheme="minorHAnsi" w:hAnsiTheme="minorHAnsi" w:cstheme="minorHAnsi"/>
          <w:b/>
        </w:rPr>
        <w:t xml:space="preserve"> </w:t>
      </w:r>
      <w:r w:rsidRPr="00EE109D">
        <w:rPr>
          <w:rFonts w:asciiTheme="minorHAnsi" w:eastAsiaTheme="minorHAnsi" w:hAnsiTheme="minorHAnsi" w:cstheme="minorHAnsi"/>
        </w:rPr>
        <w:t>informace</w:t>
      </w:r>
      <w:r w:rsidRPr="00677738">
        <w:rPr>
          <w:rFonts w:asciiTheme="minorHAnsi" w:eastAsiaTheme="minorHAnsi" w:hAnsiTheme="minorHAnsi" w:cstheme="minorHAnsi"/>
        </w:rPr>
        <w:t>,</w:t>
      </w:r>
      <w:r w:rsidRPr="00C6334F">
        <w:rPr>
          <w:rFonts w:asciiTheme="minorHAnsi" w:eastAsiaTheme="minorHAnsi" w:hAnsiTheme="minorHAnsi" w:cstheme="minorHAnsi"/>
        </w:rPr>
        <w:t xml:space="preserve"> </w:t>
      </w:r>
      <w:r w:rsidR="00677738" w:rsidRPr="00C6334F">
        <w:rPr>
          <w:rFonts w:asciiTheme="minorHAnsi" w:eastAsiaTheme="minorHAnsi" w:hAnsiTheme="minorHAnsi" w:cstheme="minorHAnsi"/>
        </w:rPr>
        <w:t>které</w:t>
      </w:r>
      <w:r w:rsidR="00677738">
        <w:rPr>
          <w:rFonts w:asciiTheme="minorHAnsi" w:eastAsiaTheme="minorHAnsi" w:hAnsiTheme="minorHAnsi" w:cstheme="minorHAnsi"/>
        </w:rPr>
        <w:t xml:space="preserve"> na základě požadavku </w:t>
      </w:r>
      <w:r w:rsidR="00677738" w:rsidRPr="00EE109D">
        <w:rPr>
          <w:rFonts w:asciiTheme="minorHAnsi" w:eastAsiaTheme="minorHAnsi" w:hAnsiTheme="minorHAnsi" w:cstheme="minorHAnsi"/>
        </w:rPr>
        <w:t>MPO</w:t>
      </w:r>
      <w:r w:rsidR="00677738">
        <w:rPr>
          <w:rFonts w:asciiTheme="minorHAnsi" w:eastAsiaTheme="minorHAnsi" w:hAnsiTheme="minorHAnsi" w:cstheme="minorHAnsi"/>
          <w:b/>
        </w:rPr>
        <w:t xml:space="preserve"> </w:t>
      </w:r>
      <w:r w:rsidR="00677738" w:rsidRPr="00EE109D">
        <w:rPr>
          <w:rFonts w:asciiTheme="minorHAnsi" w:eastAsiaTheme="minorHAnsi" w:hAnsiTheme="minorHAnsi" w:cstheme="minorHAnsi"/>
        </w:rPr>
        <w:t>uvádě</w:t>
      </w:r>
      <w:r w:rsidR="00677738">
        <w:rPr>
          <w:rFonts w:asciiTheme="minorHAnsi" w:eastAsiaTheme="minorHAnsi" w:hAnsiTheme="minorHAnsi" w:cstheme="minorHAnsi"/>
        </w:rPr>
        <w:t>ly</w:t>
      </w:r>
      <w:r w:rsidR="00677738" w:rsidRPr="00EE109D">
        <w:rPr>
          <w:rFonts w:asciiTheme="minorHAnsi" w:eastAsiaTheme="minorHAnsi" w:hAnsiTheme="minorHAnsi" w:cstheme="minorHAnsi"/>
        </w:rPr>
        <w:t xml:space="preserve"> výzkumn</w:t>
      </w:r>
      <w:r w:rsidR="00677738">
        <w:rPr>
          <w:rFonts w:asciiTheme="minorHAnsi" w:eastAsiaTheme="minorHAnsi" w:hAnsiTheme="minorHAnsi" w:cstheme="minorHAnsi"/>
        </w:rPr>
        <w:t>é</w:t>
      </w:r>
      <w:r w:rsidR="00677738" w:rsidRPr="00EE109D">
        <w:rPr>
          <w:rFonts w:asciiTheme="minorHAnsi" w:eastAsiaTheme="minorHAnsi" w:hAnsiTheme="minorHAnsi" w:cstheme="minorHAnsi"/>
        </w:rPr>
        <w:t xml:space="preserve"> organizac</w:t>
      </w:r>
      <w:r w:rsidR="00677738">
        <w:rPr>
          <w:rFonts w:asciiTheme="minorHAnsi" w:eastAsiaTheme="minorHAnsi" w:hAnsiTheme="minorHAnsi" w:cstheme="minorHAnsi"/>
        </w:rPr>
        <w:t>e</w:t>
      </w:r>
      <w:r w:rsidR="00677738" w:rsidRPr="00EE109D">
        <w:rPr>
          <w:rFonts w:asciiTheme="minorHAnsi" w:eastAsiaTheme="minorHAnsi" w:hAnsiTheme="minorHAnsi" w:cstheme="minorHAnsi"/>
        </w:rPr>
        <w:t xml:space="preserve"> </w:t>
      </w:r>
      <w:r w:rsidR="00F05F0A">
        <w:rPr>
          <w:rFonts w:asciiTheme="minorHAnsi" w:eastAsiaTheme="minorHAnsi" w:hAnsiTheme="minorHAnsi" w:cstheme="minorHAnsi"/>
        </w:rPr>
        <w:br/>
      </w:r>
      <w:r w:rsidR="00677738" w:rsidRPr="00EE109D">
        <w:rPr>
          <w:rFonts w:asciiTheme="minorHAnsi" w:eastAsiaTheme="minorHAnsi" w:hAnsiTheme="minorHAnsi" w:cstheme="minorHAnsi"/>
        </w:rPr>
        <w:t>v</w:t>
      </w:r>
      <w:r w:rsidR="00F05F0A">
        <w:rPr>
          <w:rFonts w:asciiTheme="minorHAnsi" w:eastAsiaTheme="minorHAnsi" w:hAnsiTheme="minorHAnsi" w:cstheme="minorHAnsi"/>
        </w:rPr>
        <w:t xml:space="preserve"> </w:t>
      </w:r>
      <w:r w:rsidR="00677738" w:rsidRPr="00EE109D">
        <w:rPr>
          <w:rFonts w:asciiTheme="minorHAnsi" w:eastAsiaTheme="minorHAnsi" w:hAnsiTheme="minorHAnsi" w:cstheme="minorHAnsi"/>
        </w:rPr>
        <w:t>průběžných zprávách</w:t>
      </w:r>
      <w:r w:rsidR="00C20BA2" w:rsidRPr="00EE109D">
        <w:rPr>
          <w:rFonts w:asciiTheme="minorHAnsi" w:eastAsiaTheme="minorHAnsi" w:hAnsiTheme="minorHAnsi" w:cstheme="minorHAnsi"/>
        </w:rPr>
        <w:t xml:space="preserve">, nebyly </w:t>
      </w:r>
      <w:r w:rsidRPr="00EE109D">
        <w:rPr>
          <w:rFonts w:asciiTheme="minorHAnsi" w:eastAsiaTheme="minorHAnsi" w:hAnsiTheme="minorHAnsi" w:cstheme="minorHAnsi"/>
        </w:rPr>
        <w:t>dostatečně podrobné</w:t>
      </w:r>
      <w:r w:rsidR="008135D4" w:rsidRPr="00EE109D">
        <w:rPr>
          <w:rFonts w:asciiTheme="minorHAnsi" w:eastAsiaTheme="minorHAnsi" w:hAnsiTheme="minorHAnsi" w:cstheme="minorHAnsi"/>
        </w:rPr>
        <w:t>, aby na jejich základě mohlo MPO</w:t>
      </w:r>
      <w:r w:rsidR="008135D4" w:rsidRPr="00EE109D">
        <w:rPr>
          <w:rFonts w:asciiTheme="minorHAnsi" w:eastAsiaTheme="minorHAnsi" w:hAnsiTheme="minorHAnsi" w:cstheme="minorHAnsi"/>
          <w:b/>
        </w:rPr>
        <w:t xml:space="preserve"> </w:t>
      </w:r>
      <w:r w:rsidR="008135D4" w:rsidRPr="00EE109D">
        <w:rPr>
          <w:rFonts w:asciiTheme="minorHAnsi" w:eastAsiaTheme="minorHAnsi" w:hAnsiTheme="minorHAnsi" w:cstheme="minorHAnsi"/>
        </w:rPr>
        <w:t>ověřit</w:t>
      </w:r>
      <w:r w:rsidR="00564360" w:rsidRPr="00EE109D">
        <w:rPr>
          <w:rFonts w:asciiTheme="minorHAnsi" w:eastAsiaTheme="minorHAnsi" w:hAnsiTheme="minorHAnsi" w:cstheme="minorHAnsi"/>
        </w:rPr>
        <w:t xml:space="preserve"> </w:t>
      </w:r>
      <w:r w:rsidR="008135D4" w:rsidRPr="00F914A8">
        <w:rPr>
          <w:rFonts w:asciiTheme="minorHAnsi" w:eastAsiaTheme="minorHAnsi" w:hAnsiTheme="minorHAnsi" w:cstheme="minorHAnsi"/>
        </w:rPr>
        <w:t>hospodárnost vynaložených peněžních prostředků.</w:t>
      </w:r>
      <w:r w:rsidR="00296828" w:rsidRPr="00F914A8">
        <w:rPr>
          <w:rFonts w:asciiTheme="minorHAnsi" w:eastAsiaTheme="minorHAnsi" w:hAnsiTheme="minorHAnsi" w:cstheme="minorHAnsi"/>
        </w:rPr>
        <w:t xml:space="preserve"> </w:t>
      </w:r>
      <w:r w:rsidR="00F914A8" w:rsidRPr="00F914A8">
        <w:rPr>
          <w:rFonts w:asciiTheme="minorHAnsi" w:eastAsiaTheme="minorHAnsi" w:hAnsiTheme="minorHAnsi" w:cstheme="minorHAnsi"/>
        </w:rPr>
        <w:t>Doklady potřebné k</w:t>
      </w:r>
      <w:r w:rsidR="00F05F0A">
        <w:rPr>
          <w:rFonts w:asciiTheme="minorHAnsi" w:eastAsiaTheme="minorHAnsi" w:hAnsiTheme="minorHAnsi" w:cstheme="minorHAnsi"/>
        </w:rPr>
        <w:t xml:space="preserve"> </w:t>
      </w:r>
      <w:r w:rsidR="00F914A8" w:rsidRPr="00F914A8">
        <w:rPr>
          <w:rFonts w:asciiTheme="minorHAnsi" w:eastAsiaTheme="minorHAnsi" w:hAnsiTheme="minorHAnsi" w:cstheme="minorHAnsi"/>
        </w:rPr>
        <w:t xml:space="preserve">ověření hospodárnosti mělo MPO k dispozici až v případě kontrol u výzkumných organizací na místě. </w:t>
      </w:r>
      <w:r w:rsidR="00EE109D" w:rsidRPr="00F914A8">
        <w:rPr>
          <w:rFonts w:asciiTheme="minorHAnsi" w:eastAsiaTheme="minorHAnsi" w:hAnsiTheme="minorHAnsi" w:cstheme="minorHAnsi"/>
          <w:color w:val="auto"/>
          <w:lang w:eastAsia="en-US"/>
        </w:rPr>
        <w:t>NKÚ kontrol</w:t>
      </w:r>
      <w:r w:rsidR="00677738">
        <w:rPr>
          <w:rFonts w:asciiTheme="minorHAnsi" w:eastAsiaTheme="minorHAnsi" w:hAnsiTheme="minorHAnsi" w:cstheme="minorHAnsi"/>
          <w:color w:val="auto"/>
          <w:lang w:eastAsia="en-US"/>
        </w:rPr>
        <w:t>o</w:t>
      </w:r>
      <w:r w:rsidR="00EE109D" w:rsidRPr="00F914A8">
        <w:rPr>
          <w:rFonts w:asciiTheme="minorHAnsi" w:eastAsiaTheme="minorHAnsi" w:hAnsiTheme="minorHAnsi" w:cstheme="minorHAnsi"/>
          <w:color w:val="auto"/>
          <w:lang w:eastAsia="en-US"/>
        </w:rPr>
        <w:t>u provedenou u šesti výzkumných organizací nezjistil nehospodárné použití podpory. K jednoznačnému a průkaznému ověření hospodárnosti způsobilých</w:t>
      </w:r>
      <w:r w:rsidR="00EE109D" w:rsidRPr="00EE109D">
        <w:rPr>
          <w:rFonts w:asciiTheme="minorHAnsi" w:eastAsiaTheme="minorHAnsi" w:hAnsiTheme="minorHAnsi" w:cstheme="minorHAnsi"/>
          <w:color w:val="auto"/>
          <w:lang w:eastAsia="en-US"/>
        </w:rPr>
        <w:t xml:space="preserve"> nákladů by dle NKÚ ale přispělo podrobnější vymezení těchto nákladů ze strany MPO.</w:t>
      </w:r>
    </w:p>
    <w:p w14:paraId="501A9D43" w14:textId="54B68302" w:rsidR="00E729C2" w:rsidRPr="00755A98" w:rsidRDefault="000031B6" w:rsidP="00B43549">
      <w:pPr>
        <w:pStyle w:val="Nadpis2"/>
      </w:pPr>
      <w:r>
        <w:t>P</w:t>
      </w:r>
      <w:r w:rsidR="00392BCA" w:rsidRPr="00755A98">
        <w:t xml:space="preserve">říjem z </w:t>
      </w:r>
      <w:r w:rsidR="000402A6" w:rsidRPr="00755A98">
        <w:t>transfer</w:t>
      </w:r>
      <w:r w:rsidR="00392BCA" w:rsidRPr="00755A98">
        <w:t>u</w:t>
      </w:r>
      <w:r w:rsidR="000402A6" w:rsidRPr="00755A98">
        <w:t xml:space="preserve"> znalostí</w:t>
      </w:r>
      <w:r w:rsidR="00536F1E" w:rsidRPr="00755A98">
        <w:t xml:space="preserve"> </w:t>
      </w:r>
    </w:p>
    <w:p w14:paraId="5D968C8D" w14:textId="6DADFEF7" w:rsidR="0054559C" w:rsidRDefault="00C16446" w:rsidP="00C16446">
      <w:pPr>
        <w:rPr>
          <w:rFonts w:asciiTheme="minorHAnsi" w:eastAsiaTheme="minorHAnsi" w:hAnsiTheme="minorHAnsi" w:cstheme="minorHAnsi"/>
        </w:rPr>
      </w:pPr>
      <w:r>
        <w:rPr>
          <w:rFonts w:eastAsiaTheme="minorHAnsi"/>
        </w:rPr>
        <w:t xml:space="preserve">Dle </w:t>
      </w:r>
      <w:r w:rsidRPr="00C6334F">
        <w:rPr>
          <w:rFonts w:eastAsiaTheme="minorHAnsi"/>
          <w:i/>
        </w:rPr>
        <w:t xml:space="preserve">Rámce </w:t>
      </w:r>
      <w:r w:rsidRPr="00C6334F">
        <w:rPr>
          <w:rFonts w:asciiTheme="minorHAnsi" w:hAnsiTheme="minorHAnsi" w:cstheme="minorHAnsi"/>
          <w:bCs/>
          <w:i/>
          <w:iCs/>
        </w:rPr>
        <w:t xml:space="preserve">pro </w:t>
      </w:r>
      <w:r w:rsidRPr="00C6334F">
        <w:rPr>
          <w:i/>
          <w:lang w:eastAsia="cs-CZ"/>
        </w:rPr>
        <w:t>státní podporu výzkumu, vývoje a inovací</w:t>
      </w:r>
      <w:r>
        <w:rPr>
          <w:lang w:eastAsia="cs-CZ"/>
        </w:rPr>
        <w:t xml:space="preserve"> </w:t>
      </w:r>
      <w:r w:rsidRPr="00C16446">
        <w:rPr>
          <w:lang w:eastAsia="cs-CZ"/>
        </w:rPr>
        <w:t>je</w:t>
      </w:r>
      <w:r w:rsidRPr="00C16446">
        <w:rPr>
          <w:rFonts w:eastAsiaTheme="minorHAnsi"/>
        </w:rPr>
        <w:t xml:space="preserve"> </w:t>
      </w:r>
      <w:r w:rsidRPr="00C16446">
        <w:rPr>
          <w:rFonts w:asciiTheme="minorHAnsi" w:eastAsiaTheme="minorHAnsi" w:hAnsiTheme="minorHAnsi" w:cstheme="minorHAnsi"/>
          <w:b/>
        </w:rPr>
        <w:t>hlavním cílem výzkumné organizace</w:t>
      </w:r>
      <w:r w:rsidRPr="00C16446">
        <w:rPr>
          <w:rFonts w:asciiTheme="minorHAnsi" w:eastAsiaTheme="minorHAnsi" w:hAnsiTheme="minorHAnsi" w:cstheme="minorHAnsi"/>
        </w:rPr>
        <w:t xml:space="preserve"> provádět nezávisle základní výzkum, průmyslový výzkum nebo experimentální vývoj nebo veřejně šířit výsledky těchto činností formou výuky, publikací nebo transferu znalostí.</w:t>
      </w:r>
    </w:p>
    <w:p w14:paraId="3BAEB1D1" w14:textId="77777777" w:rsidR="003A0474" w:rsidRDefault="003A0474" w:rsidP="00C16446">
      <w:pPr>
        <w:rPr>
          <w:rFonts w:eastAsiaTheme="minorHAnsi"/>
        </w:rPr>
      </w:pPr>
    </w:p>
    <w:p w14:paraId="4258E141" w14:textId="19F80EEB" w:rsidR="00C16446" w:rsidRDefault="000A7BAF" w:rsidP="00C16446">
      <w:pPr>
        <w:rPr>
          <w:lang w:eastAsia="cs-CZ"/>
        </w:rPr>
      </w:pPr>
      <w:r w:rsidRPr="000A7BAF">
        <w:rPr>
          <w:rFonts w:eastAsiaTheme="minorHAnsi"/>
          <w:b/>
        </w:rPr>
        <w:lastRenderedPageBreak/>
        <w:t xml:space="preserve">Transfer </w:t>
      </w:r>
      <w:r w:rsidR="00C16446" w:rsidRPr="00540BDB">
        <w:rPr>
          <w:b/>
          <w:lang w:eastAsia="cs-CZ"/>
        </w:rPr>
        <w:t>znalostí</w:t>
      </w:r>
      <w:r>
        <w:rPr>
          <w:b/>
          <w:lang w:eastAsia="cs-CZ"/>
        </w:rPr>
        <w:t xml:space="preserve"> </w:t>
      </w:r>
      <w:r w:rsidRPr="000A7BAF">
        <w:rPr>
          <w:lang w:eastAsia="cs-CZ"/>
        </w:rPr>
        <w:t>je v </w:t>
      </w:r>
      <w:r w:rsidRPr="00C6334F">
        <w:rPr>
          <w:i/>
          <w:lang w:eastAsia="cs-CZ"/>
        </w:rPr>
        <w:t>Rámci</w:t>
      </w:r>
      <w:r w:rsidRPr="00C6334F">
        <w:rPr>
          <w:b/>
          <w:i/>
          <w:lang w:eastAsia="cs-CZ"/>
        </w:rPr>
        <w:t xml:space="preserve"> </w:t>
      </w:r>
      <w:r w:rsidRPr="00C6334F">
        <w:rPr>
          <w:rFonts w:asciiTheme="minorHAnsi" w:hAnsiTheme="minorHAnsi" w:cstheme="minorHAnsi"/>
          <w:bCs/>
          <w:i/>
          <w:iCs/>
        </w:rPr>
        <w:t xml:space="preserve">pro </w:t>
      </w:r>
      <w:r w:rsidRPr="00C6334F">
        <w:rPr>
          <w:i/>
          <w:lang w:eastAsia="cs-CZ"/>
        </w:rPr>
        <w:t>státní podporu výzkumu, vývoje a inovací</w:t>
      </w:r>
      <w:r>
        <w:rPr>
          <w:lang w:eastAsia="cs-CZ"/>
        </w:rPr>
        <w:t xml:space="preserve"> definován jako</w:t>
      </w:r>
      <w:r>
        <w:rPr>
          <w:b/>
          <w:lang w:eastAsia="cs-CZ"/>
        </w:rPr>
        <w:t xml:space="preserve"> </w:t>
      </w:r>
      <w:r w:rsidR="00C16446" w:rsidRPr="00540BDB">
        <w:rPr>
          <w:lang w:eastAsia="cs-CZ"/>
        </w:rPr>
        <w:t>proces, jehož cílem je získávání, shromažďování a sdílení explicitních a implicitních znalostí včetně dovedností a kompetencí v hospodářských i</w:t>
      </w:r>
      <w:r w:rsidR="00677738">
        <w:rPr>
          <w:lang w:eastAsia="cs-CZ"/>
        </w:rPr>
        <w:t xml:space="preserve"> </w:t>
      </w:r>
      <w:proofErr w:type="spellStart"/>
      <w:r w:rsidR="00C16446" w:rsidRPr="00540BDB">
        <w:rPr>
          <w:lang w:eastAsia="cs-CZ"/>
        </w:rPr>
        <w:t>nehospodářských</w:t>
      </w:r>
      <w:proofErr w:type="spellEnd"/>
      <w:r w:rsidR="00C16446" w:rsidRPr="00540BDB">
        <w:rPr>
          <w:lang w:eastAsia="cs-CZ"/>
        </w:rPr>
        <w:t xml:space="preserve"> činnostech, jako jsou spolupráce při výzkumu, poradenství, poskytování licencí, zakládání společností typu </w:t>
      </w:r>
      <w:r w:rsidR="00677738">
        <w:rPr>
          <w:lang w:eastAsia="cs-CZ"/>
        </w:rPr>
        <w:br/>
      </w:r>
      <w:r w:rsidR="00C16446" w:rsidRPr="00540BDB">
        <w:rPr>
          <w:lang w:eastAsia="cs-CZ"/>
        </w:rPr>
        <w:t>spin-</w:t>
      </w:r>
      <w:proofErr w:type="spellStart"/>
      <w:r w:rsidR="00C16446" w:rsidRPr="00540BDB">
        <w:rPr>
          <w:lang w:eastAsia="cs-CZ"/>
        </w:rPr>
        <w:t>off</w:t>
      </w:r>
      <w:proofErr w:type="spellEnd"/>
      <w:r w:rsidR="00C11775">
        <w:rPr>
          <w:rStyle w:val="Znakapoznpodarou"/>
          <w:lang w:eastAsia="cs-CZ"/>
        </w:rPr>
        <w:footnoteReference w:id="17"/>
      </w:r>
      <w:r w:rsidR="00C16446" w:rsidRPr="00540BDB">
        <w:rPr>
          <w:lang w:eastAsia="cs-CZ"/>
        </w:rPr>
        <w:t>, publikace a mobilita výzkumných pracovníků a</w:t>
      </w:r>
      <w:r w:rsidR="000A6817">
        <w:rPr>
          <w:lang w:eastAsia="cs-CZ"/>
        </w:rPr>
        <w:t xml:space="preserve"> </w:t>
      </w:r>
      <w:r w:rsidR="00C16446" w:rsidRPr="00540BDB">
        <w:rPr>
          <w:lang w:eastAsia="cs-CZ"/>
        </w:rPr>
        <w:t xml:space="preserve">dalších osob, </w:t>
      </w:r>
      <w:r w:rsidR="00677738">
        <w:rPr>
          <w:lang w:eastAsia="cs-CZ"/>
        </w:rPr>
        <w:t>které</w:t>
      </w:r>
      <w:r w:rsidR="00C16446" w:rsidRPr="00540BDB">
        <w:rPr>
          <w:lang w:eastAsia="cs-CZ"/>
        </w:rPr>
        <w:t xml:space="preserve"> se podílejí na těchto činnostech. Kromě vědeckých a technických poznatků zahrnuje také jiné druhy znalostí, např. znalosti, jež se týkají používání norem a právních předpisů, v nichž jsou tyto normy obsaženy, znalosti podmínek reálného provozního prostředí a způsobů organizačních inovací, jakož i řízení znalostí v souvislosti s určováním, získáváním, zabezpečením, ochranou a využíváním nehmotného majetku</w:t>
      </w:r>
      <w:r w:rsidR="00C16446">
        <w:rPr>
          <w:lang w:eastAsia="cs-CZ"/>
        </w:rPr>
        <w:t>.</w:t>
      </w:r>
    </w:p>
    <w:p w14:paraId="71AC1688" w14:textId="77777777" w:rsidR="00B43549" w:rsidRDefault="00B43549" w:rsidP="00C16446">
      <w:pPr>
        <w:rPr>
          <w:lang w:eastAsia="cs-CZ"/>
        </w:rPr>
      </w:pPr>
    </w:p>
    <w:p w14:paraId="35080939" w14:textId="63D7A1E7" w:rsidR="00B43549" w:rsidRPr="004E34E9" w:rsidRDefault="00C16446" w:rsidP="004E34E9">
      <w:pPr>
        <w:rPr>
          <w:color w:val="auto"/>
          <w:lang w:eastAsia="cs-CZ"/>
        </w:rPr>
      </w:pPr>
      <w:r>
        <w:rPr>
          <w:rFonts w:eastAsiaTheme="minorHAnsi"/>
        </w:rPr>
        <w:t>N</w:t>
      </w:r>
      <w:r w:rsidRPr="00911884">
        <w:rPr>
          <w:rFonts w:eastAsiaTheme="minorHAnsi"/>
        </w:rPr>
        <w:t>ařízením vlády</w:t>
      </w:r>
      <w:r w:rsidR="00716090">
        <w:rPr>
          <w:rFonts w:eastAsiaTheme="minorHAnsi"/>
        </w:rPr>
        <w:t xml:space="preserve"> </w:t>
      </w:r>
      <w:r w:rsidRPr="00911884">
        <w:rPr>
          <w:rFonts w:eastAsiaTheme="minorHAnsi"/>
        </w:rPr>
        <w:t>č. 160/2017 Sb., o sbírce listin seznamu výzkumných</w:t>
      </w:r>
      <w:r>
        <w:rPr>
          <w:rFonts w:eastAsiaTheme="minorHAnsi"/>
        </w:rPr>
        <w:t xml:space="preserve"> </w:t>
      </w:r>
      <w:r w:rsidRPr="00911884">
        <w:rPr>
          <w:rFonts w:eastAsiaTheme="minorHAnsi"/>
        </w:rPr>
        <w:t>organizací a způsobu vykazování příjmů z transferu znalostí</w:t>
      </w:r>
      <w:r>
        <w:rPr>
          <w:rFonts w:eastAsiaTheme="minorHAnsi"/>
        </w:rPr>
        <w:t>, byla všem výzkumným organizacím zapsaným v </w:t>
      </w:r>
      <w:r w:rsidR="000A6817">
        <w:rPr>
          <w:rFonts w:eastAsiaTheme="minorHAnsi"/>
        </w:rPr>
        <w:t>s</w:t>
      </w:r>
      <w:r>
        <w:rPr>
          <w:rFonts w:eastAsiaTheme="minorHAnsi"/>
        </w:rPr>
        <w:t xml:space="preserve">eznamu výzkumných organizací </w:t>
      </w:r>
      <w:r w:rsidRPr="00C16446">
        <w:rPr>
          <w:rFonts w:eastAsiaTheme="minorHAnsi"/>
          <w:b/>
        </w:rPr>
        <w:t>uložena povinnost</w:t>
      </w:r>
      <w:r>
        <w:rPr>
          <w:rFonts w:eastAsiaTheme="minorHAnsi"/>
        </w:rPr>
        <w:t xml:space="preserve"> </w:t>
      </w:r>
      <w:r w:rsidRPr="0018613A">
        <w:rPr>
          <w:rFonts w:eastAsiaTheme="minorHAnsi"/>
          <w:b/>
        </w:rPr>
        <w:t>každoročně předložit</w:t>
      </w:r>
      <w:r>
        <w:rPr>
          <w:rFonts w:eastAsiaTheme="minorHAnsi"/>
        </w:rPr>
        <w:t xml:space="preserve"> </w:t>
      </w:r>
      <w:r w:rsidRPr="00911884">
        <w:rPr>
          <w:rFonts w:eastAsiaTheme="minorHAnsi"/>
        </w:rPr>
        <w:t xml:space="preserve">Ministerstvu školství, mládeže a tělovýchovy k založení </w:t>
      </w:r>
      <w:r>
        <w:rPr>
          <w:rFonts w:eastAsiaTheme="minorHAnsi"/>
        </w:rPr>
        <w:t xml:space="preserve">dokument </w:t>
      </w:r>
      <w:r w:rsidR="000A6817">
        <w:rPr>
          <w:rFonts w:eastAsiaTheme="minorHAnsi"/>
        </w:rPr>
        <w:t>„</w:t>
      </w:r>
      <w:r w:rsidR="000A6817">
        <w:rPr>
          <w:rFonts w:eastAsiaTheme="minorHAnsi"/>
          <w:i/>
        </w:rPr>
        <w:t>p</w:t>
      </w:r>
      <w:r w:rsidRPr="00C11775">
        <w:rPr>
          <w:rFonts w:eastAsiaTheme="minorHAnsi"/>
          <w:i/>
        </w:rPr>
        <w:t>řehled výše příjmů z transferu znalostí a způsob jejich užití</w:t>
      </w:r>
      <w:r w:rsidR="000A6817" w:rsidRPr="00C6334F">
        <w:rPr>
          <w:rFonts w:eastAsiaTheme="minorHAnsi"/>
        </w:rPr>
        <w:t>“</w:t>
      </w:r>
      <w:r w:rsidRPr="00D91AA0">
        <w:rPr>
          <w:rFonts w:eastAsiaTheme="minorHAnsi"/>
        </w:rPr>
        <w:t>.</w:t>
      </w:r>
      <w:r w:rsidR="00C258A3">
        <w:rPr>
          <w:rFonts w:eastAsiaTheme="minorHAnsi"/>
        </w:rPr>
        <w:t xml:space="preserve"> </w:t>
      </w:r>
      <w:r w:rsidR="00C258A3">
        <w:rPr>
          <w:lang w:eastAsia="cs-CZ"/>
        </w:rPr>
        <w:t xml:space="preserve">NKÚ ve veřejně přístupném </w:t>
      </w:r>
      <w:r w:rsidR="000A6817">
        <w:rPr>
          <w:lang w:eastAsia="cs-CZ"/>
        </w:rPr>
        <w:t>s</w:t>
      </w:r>
      <w:r w:rsidR="00C258A3">
        <w:rPr>
          <w:lang w:eastAsia="cs-CZ"/>
        </w:rPr>
        <w:t xml:space="preserve">eznamu výzkumných organizací ověřil, že </w:t>
      </w:r>
      <w:r w:rsidR="0047579F">
        <w:rPr>
          <w:lang w:eastAsia="cs-CZ"/>
        </w:rPr>
        <w:t xml:space="preserve">za roky 2018 až 2021 </w:t>
      </w:r>
      <w:r w:rsidR="00C258A3">
        <w:rPr>
          <w:lang w:eastAsia="cs-CZ"/>
        </w:rPr>
        <w:t xml:space="preserve">všech 14 </w:t>
      </w:r>
      <w:r w:rsidR="0047579F">
        <w:rPr>
          <w:lang w:eastAsia="cs-CZ"/>
        </w:rPr>
        <w:t xml:space="preserve">podpořených </w:t>
      </w:r>
      <w:r w:rsidR="00C258A3">
        <w:rPr>
          <w:lang w:eastAsia="cs-CZ"/>
        </w:rPr>
        <w:t xml:space="preserve">výzkumných organizací </w:t>
      </w:r>
      <w:r w:rsidR="0047579F">
        <w:rPr>
          <w:lang w:eastAsia="cs-CZ"/>
        </w:rPr>
        <w:t xml:space="preserve">tyto přehledy </w:t>
      </w:r>
      <w:r w:rsidR="00C258A3">
        <w:rPr>
          <w:lang w:eastAsia="cs-CZ"/>
        </w:rPr>
        <w:t xml:space="preserve">doložilo. Z těchto </w:t>
      </w:r>
      <w:r w:rsidR="0047579F">
        <w:rPr>
          <w:lang w:eastAsia="cs-CZ"/>
        </w:rPr>
        <w:t>přehledů</w:t>
      </w:r>
      <w:r w:rsidR="00C258A3">
        <w:rPr>
          <w:lang w:eastAsia="cs-CZ"/>
        </w:rPr>
        <w:t xml:space="preserve"> vypl</w:t>
      </w:r>
      <w:r w:rsidR="0047579F">
        <w:rPr>
          <w:lang w:eastAsia="cs-CZ"/>
        </w:rPr>
        <w:t>ynulo</w:t>
      </w:r>
      <w:r w:rsidR="00C258A3">
        <w:rPr>
          <w:lang w:eastAsia="cs-CZ"/>
        </w:rPr>
        <w:t xml:space="preserve">, </w:t>
      </w:r>
      <w:r w:rsidR="00C258A3" w:rsidRPr="007B5A1B">
        <w:rPr>
          <w:lang w:eastAsia="cs-CZ"/>
        </w:rPr>
        <w:t xml:space="preserve">že </w:t>
      </w:r>
      <w:r w:rsidR="00C258A3" w:rsidRPr="008C24A6">
        <w:rPr>
          <w:b/>
          <w:lang w:eastAsia="cs-CZ"/>
        </w:rPr>
        <w:t xml:space="preserve">pět výzkumných organizací </w:t>
      </w:r>
      <w:r w:rsidR="00C258A3" w:rsidRPr="00307B55">
        <w:rPr>
          <w:lang w:eastAsia="cs-CZ"/>
        </w:rPr>
        <w:t xml:space="preserve">v letech 2018 až 2021 uvedlo, že vůbec </w:t>
      </w:r>
      <w:r w:rsidR="00352C02" w:rsidRPr="00307B55">
        <w:rPr>
          <w:lang w:eastAsia="cs-CZ"/>
        </w:rPr>
        <w:t xml:space="preserve">žádných </w:t>
      </w:r>
      <w:r w:rsidR="00352C02" w:rsidRPr="00307B55">
        <w:rPr>
          <w:b/>
          <w:lang w:eastAsia="cs-CZ"/>
        </w:rPr>
        <w:t>příjmů z</w:t>
      </w:r>
      <w:r w:rsidR="007B6061">
        <w:rPr>
          <w:b/>
          <w:lang w:eastAsia="cs-CZ"/>
        </w:rPr>
        <w:t> </w:t>
      </w:r>
      <w:r w:rsidR="00352C02">
        <w:rPr>
          <w:b/>
          <w:lang w:eastAsia="cs-CZ"/>
        </w:rPr>
        <w:t>transferu</w:t>
      </w:r>
      <w:r w:rsidR="007B6061">
        <w:rPr>
          <w:b/>
          <w:lang w:eastAsia="cs-CZ"/>
        </w:rPr>
        <w:t xml:space="preserve"> znalostí</w:t>
      </w:r>
      <w:r w:rsidR="00352C02">
        <w:rPr>
          <w:b/>
          <w:lang w:eastAsia="cs-CZ"/>
        </w:rPr>
        <w:t xml:space="preserve"> nedosáhlo</w:t>
      </w:r>
      <w:r w:rsidR="00C258A3" w:rsidRPr="00C6334F">
        <w:rPr>
          <w:b/>
          <w:lang w:eastAsia="cs-CZ"/>
        </w:rPr>
        <w:t>.</w:t>
      </w:r>
      <w:r w:rsidR="00A4441D">
        <w:rPr>
          <w:lang w:eastAsia="cs-CZ"/>
        </w:rPr>
        <w:t xml:space="preserve"> </w:t>
      </w:r>
      <w:r w:rsidR="00307B55">
        <w:t>T</w:t>
      </w:r>
      <w:r w:rsidR="00536A6E" w:rsidRPr="00536A6E">
        <w:t xml:space="preserve">ransfer znalostí </w:t>
      </w:r>
      <w:r w:rsidR="00536A6E" w:rsidRPr="00307B55">
        <w:rPr>
          <w:b/>
        </w:rPr>
        <w:t>nebyl předmětem hodnocení</w:t>
      </w:r>
      <w:r w:rsidR="00536A6E" w:rsidRPr="00536A6E">
        <w:t xml:space="preserve"> prováděného MPO</w:t>
      </w:r>
      <w:r w:rsidR="00AC5F80">
        <w:t xml:space="preserve"> </w:t>
      </w:r>
      <w:r w:rsidR="00C05662" w:rsidRPr="00AC5F80">
        <w:t xml:space="preserve">a dosažení příjmů z transferu znalostí nebylo ani podmínkou pro poskytnutí institucionální podpory. </w:t>
      </w:r>
      <w:r w:rsidR="00C05662" w:rsidRPr="004E34E9">
        <w:t>Při</w:t>
      </w:r>
      <w:r w:rsidR="000A6817">
        <w:t xml:space="preserve"> </w:t>
      </w:r>
      <w:r w:rsidR="00C05662" w:rsidRPr="004E34E9">
        <w:t>transferu</w:t>
      </w:r>
      <w:r w:rsidR="00C05662" w:rsidRPr="00AC5F80">
        <w:rPr>
          <w:color w:val="auto"/>
          <w:lang w:eastAsia="cs-CZ"/>
        </w:rPr>
        <w:t xml:space="preserve"> znalostí dochází ke spolupráci výzkumné a komerční sféry a dle NKÚ jsou příjmy z</w:t>
      </w:r>
      <w:r w:rsidR="000A6817">
        <w:rPr>
          <w:color w:val="auto"/>
          <w:lang w:eastAsia="cs-CZ"/>
        </w:rPr>
        <w:t xml:space="preserve"> </w:t>
      </w:r>
      <w:r w:rsidR="00C05662" w:rsidRPr="00AC5F80">
        <w:rPr>
          <w:color w:val="auto"/>
          <w:lang w:eastAsia="cs-CZ"/>
        </w:rPr>
        <w:t>transferu znalostí důležitým ukazatelem o</w:t>
      </w:r>
      <w:r w:rsidR="00AC5F80">
        <w:rPr>
          <w:color w:val="auto"/>
          <w:lang w:eastAsia="cs-CZ"/>
        </w:rPr>
        <w:t> </w:t>
      </w:r>
      <w:r w:rsidR="00C05662" w:rsidRPr="00AC5F80">
        <w:rPr>
          <w:color w:val="auto"/>
          <w:lang w:eastAsia="cs-CZ"/>
        </w:rPr>
        <w:t>komerčním využití a uplatnění výsledků výzkumu a vývoje v praxi.</w:t>
      </w:r>
    </w:p>
    <w:p w14:paraId="3031B1DC" w14:textId="6DCCD4B7" w:rsidR="00C258A3" w:rsidRPr="0018613A" w:rsidRDefault="00B62CF2" w:rsidP="00C6334F">
      <w:pPr>
        <w:tabs>
          <w:tab w:val="right" w:pos="9072"/>
        </w:tabs>
        <w:spacing w:before="120"/>
        <w:rPr>
          <w:lang w:eastAsia="cs-CZ"/>
        </w:rPr>
      </w:pPr>
      <w:r w:rsidRPr="005831EA">
        <w:rPr>
          <w:b/>
          <w:lang w:eastAsia="cs-CZ"/>
        </w:rPr>
        <w:t xml:space="preserve">Tabulka č. 2: </w:t>
      </w:r>
      <w:r w:rsidR="00C258A3" w:rsidRPr="005831EA">
        <w:rPr>
          <w:b/>
          <w:lang w:eastAsia="cs-CZ"/>
        </w:rPr>
        <w:t xml:space="preserve">Výše </w:t>
      </w:r>
      <w:r w:rsidR="00DC0E61" w:rsidRPr="005831EA">
        <w:rPr>
          <w:b/>
          <w:lang w:eastAsia="cs-CZ"/>
        </w:rPr>
        <w:t xml:space="preserve">vykázaných </w:t>
      </w:r>
      <w:r w:rsidR="00C258A3" w:rsidRPr="005831EA">
        <w:rPr>
          <w:b/>
          <w:lang w:eastAsia="cs-CZ"/>
        </w:rPr>
        <w:t xml:space="preserve">příjmů z transferu znalostí </w:t>
      </w:r>
      <w:r w:rsidR="000A6817">
        <w:rPr>
          <w:b/>
          <w:lang w:eastAsia="cs-CZ"/>
        </w:rPr>
        <w:tab/>
      </w:r>
      <w:r w:rsidR="00C258A3" w:rsidRPr="005831EA">
        <w:rPr>
          <w:b/>
          <w:lang w:eastAsia="cs-CZ"/>
        </w:rPr>
        <w:t>(v Kč)</w:t>
      </w:r>
    </w:p>
    <w:tbl>
      <w:tblPr>
        <w:tblW w:w="4962" w:type="pct"/>
        <w:tblInd w:w="70" w:type="dxa"/>
        <w:tblCellMar>
          <w:left w:w="70" w:type="dxa"/>
          <w:right w:w="70" w:type="dxa"/>
        </w:tblCellMar>
        <w:tblLook w:val="04A0" w:firstRow="1" w:lastRow="0" w:firstColumn="1" w:lastColumn="0" w:noHBand="0" w:noVBand="1"/>
      </w:tblPr>
      <w:tblGrid>
        <w:gridCol w:w="4317"/>
        <w:gridCol w:w="1206"/>
        <w:gridCol w:w="1206"/>
        <w:gridCol w:w="1206"/>
        <w:gridCol w:w="1205"/>
      </w:tblGrid>
      <w:tr w:rsidR="00C258A3" w:rsidRPr="00D615AB" w14:paraId="07D4F15B" w14:textId="77777777" w:rsidTr="004E34E9">
        <w:trPr>
          <w:trHeight w:val="272"/>
        </w:trPr>
        <w:tc>
          <w:tcPr>
            <w:tcW w:w="2361"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D810FD9" w14:textId="7AB09F77" w:rsidR="00C258A3" w:rsidRPr="004E34E9" w:rsidRDefault="00C258A3" w:rsidP="00B57E1E">
            <w:pPr>
              <w:rPr>
                <w:b/>
                <w:bCs/>
                <w:sz w:val="20"/>
                <w:szCs w:val="20"/>
                <w:lang w:eastAsia="cs-CZ"/>
              </w:rPr>
            </w:pPr>
            <w:r w:rsidRPr="004E34E9">
              <w:rPr>
                <w:b/>
                <w:bCs/>
                <w:sz w:val="20"/>
                <w:szCs w:val="20"/>
                <w:lang w:eastAsia="cs-CZ"/>
              </w:rPr>
              <w:t>Výzkumná organizace</w:t>
            </w:r>
            <w:r w:rsidR="000162F2" w:rsidRPr="004E34E9">
              <w:rPr>
                <w:b/>
                <w:bCs/>
                <w:sz w:val="20"/>
                <w:szCs w:val="20"/>
                <w:lang w:eastAsia="cs-CZ"/>
              </w:rPr>
              <w:t xml:space="preserve"> </w:t>
            </w:r>
          </w:p>
        </w:tc>
        <w:tc>
          <w:tcPr>
            <w:tcW w:w="660" w:type="pct"/>
            <w:tcBorders>
              <w:top w:val="single" w:sz="4" w:space="0" w:color="auto"/>
              <w:left w:val="nil"/>
              <w:bottom w:val="single" w:sz="4" w:space="0" w:color="auto"/>
              <w:right w:val="single" w:sz="4" w:space="0" w:color="auto"/>
            </w:tcBorders>
            <w:shd w:val="clear" w:color="auto" w:fill="E5F1FF"/>
            <w:noWrap/>
            <w:vAlign w:val="center"/>
            <w:hideMark/>
          </w:tcPr>
          <w:p w14:paraId="5B49EA3F" w14:textId="77777777" w:rsidR="00C258A3" w:rsidRPr="004E34E9" w:rsidRDefault="00C258A3" w:rsidP="00B57E1E">
            <w:pPr>
              <w:jc w:val="center"/>
              <w:rPr>
                <w:b/>
                <w:bCs/>
                <w:sz w:val="20"/>
                <w:szCs w:val="20"/>
                <w:lang w:eastAsia="cs-CZ"/>
              </w:rPr>
            </w:pPr>
            <w:r w:rsidRPr="004E34E9">
              <w:rPr>
                <w:b/>
                <w:bCs/>
                <w:sz w:val="20"/>
                <w:szCs w:val="20"/>
                <w:lang w:eastAsia="cs-CZ"/>
              </w:rPr>
              <w:t>2018</w:t>
            </w:r>
          </w:p>
        </w:tc>
        <w:tc>
          <w:tcPr>
            <w:tcW w:w="660" w:type="pct"/>
            <w:tcBorders>
              <w:top w:val="single" w:sz="4" w:space="0" w:color="auto"/>
              <w:left w:val="nil"/>
              <w:bottom w:val="single" w:sz="4" w:space="0" w:color="auto"/>
              <w:right w:val="single" w:sz="4" w:space="0" w:color="auto"/>
            </w:tcBorders>
            <w:shd w:val="clear" w:color="auto" w:fill="E5F1FF"/>
            <w:noWrap/>
            <w:vAlign w:val="center"/>
            <w:hideMark/>
          </w:tcPr>
          <w:p w14:paraId="3DAC5AD0" w14:textId="77777777" w:rsidR="00C258A3" w:rsidRPr="004E34E9" w:rsidRDefault="00C258A3" w:rsidP="00B57E1E">
            <w:pPr>
              <w:jc w:val="center"/>
              <w:rPr>
                <w:b/>
                <w:bCs/>
                <w:sz w:val="20"/>
                <w:szCs w:val="20"/>
                <w:lang w:eastAsia="cs-CZ"/>
              </w:rPr>
            </w:pPr>
            <w:r w:rsidRPr="004E34E9">
              <w:rPr>
                <w:b/>
                <w:bCs/>
                <w:sz w:val="20"/>
                <w:szCs w:val="20"/>
                <w:lang w:eastAsia="cs-CZ"/>
              </w:rPr>
              <w:t>2019</w:t>
            </w:r>
          </w:p>
        </w:tc>
        <w:tc>
          <w:tcPr>
            <w:tcW w:w="660" w:type="pct"/>
            <w:tcBorders>
              <w:top w:val="single" w:sz="4" w:space="0" w:color="auto"/>
              <w:left w:val="nil"/>
              <w:bottom w:val="single" w:sz="4" w:space="0" w:color="auto"/>
              <w:right w:val="single" w:sz="4" w:space="0" w:color="auto"/>
            </w:tcBorders>
            <w:shd w:val="clear" w:color="auto" w:fill="E5F1FF"/>
            <w:noWrap/>
            <w:vAlign w:val="center"/>
            <w:hideMark/>
          </w:tcPr>
          <w:p w14:paraId="1824B4EF" w14:textId="77777777" w:rsidR="00C258A3" w:rsidRPr="004E34E9" w:rsidRDefault="00C258A3" w:rsidP="00B57E1E">
            <w:pPr>
              <w:jc w:val="center"/>
              <w:rPr>
                <w:b/>
                <w:bCs/>
                <w:sz w:val="20"/>
                <w:szCs w:val="20"/>
                <w:lang w:eastAsia="cs-CZ"/>
              </w:rPr>
            </w:pPr>
            <w:r w:rsidRPr="004E34E9">
              <w:rPr>
                <w:b/>
                <w:bCs/>
                <w:sz w:val="20"/>
                <w:szCs w:val="20"/>
                <w:lang w:eastAsia="cs-CZ"/>
              </w:rPr>
              <w:t>2020</w:t>
            </w:r>
          </w:p>
        </w:tc>
        <w:tc>
          <w:tcPr>
            <w:tcW w:w="659" w:type="pct"/>
            <w:tcBorders>
              <w:top w:val="single" w:sz="4" w:space="0" w:color="auto"/>
              <w:left w:val="nil"/>
              <w:bottom w:val="single" w:sz="4" w:space="0" w:color="auto"/>
              <w:right w:val="single" w:sz="4" w:space="0" w:color="auto"/>
            </w:tcBorders>
            <w:shd w:val="clear" w:color="auto" w:fill="E5F1FF"/>
            <w:noWrap/>
            <w:vAlign w:val="center"/>
            <w:hideMark/>
          </w:tcPr>
          <w:p w14:paraId="533DE05B" w14:textId="77777777" w:rsidR="00C258A3" w:rsidRPr="004E34E9" w:rsidRDefault="00C258A3" w:rsidP="00B57E1E">
            <w:pPr>
              <w:jc w:val="center"/>
              <w:rPr>
                <w:b/>
                <w:bCs/>
                <w:sz w:val="20"/>
                <w:szCs w:val="20"/>
                <w:lang w:eastAsia="cs-CZ"/>
              </w:rPr>
            </w:pPr>
            <w:r w:rsidRPr="004E34E9">
              <w:rPr>
                <w:b/>
                <w:bCs/>
                <w:sz w:val="20"/>
                <w:szCs w:val="20"/>
                <w:lang w:eastAsia="cs-CZ"/>
              </w:rPr>
              <w:t>2021</w:t>
            </w:r>
          </w:p>
        </w:tc>
      </w:tr>
      <w:tr w:rsidR="00C258A3" w:rsidRPr="00D615AB" w14:paraId="2FB664E0"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0F3BF1ED" w14:textId="77777777" w:rsidR="00C258A3" w:rsidRPr="004E34E9" w:rsidRDefault="00C258A3" w:rsidP="00B57E1E">
            <w:pPr>
              <w:rPr>
                <w:sz w:val="20"/>
                <w:szCs w:val="20"/>
                <w:lang w:eastAsia="cs-CZ"/>
              </w:rPr>
            </w:pPr>
            <w:r w:rsidRPr="004E34E9">
              <w:rPr>
                <w:rFonts w:eastAsia="Calibri"/>
                <w:sz w:val="20"/>
                <w:szCs w:val="20"/>
              </w:rPr>
              <w:t>CENTRUM HYDRAULICKÉHO VÝZKUMU spol. s r.o.</w:t>
            </w:r>
          </w:p>
        </w:tc>
        <w:tc>
          <w:tcPr>
            <w:tcW w:w="660" w:type="pct"/>
            <w:tcBorders>
              <w:top w:val="nil"/>
              <w:left w:val="nil"/>
              <w:bottom w:val="single" w:sz="4" w:space="0" w:color="auto"/>
              <w:right w:val="single" w:sz="4" w:space="0" w:color="auto"/>
            </w:tcBorders>
            <w:shd w:val="clear" w:color="000000" w:fill="FFFFFF"/>
            <w:noWrap/>
            <w:vAlign w:val="bottom"/>
          </w:tcPr>
          <w:p w14:paraId="09BCB79D" w14:textId="03627187"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000000" w:fill="FFFFFF"/>
            <w:noWrap/>
            <w:vAlign w:val="bottom"/>
          </w:tcPr>
          <w:p w14:paraId="27DCC373" w14:textId="72AA07F4" w:rsidR="00C258A3" w:rsidRPr="004E34E9" w:rsidRDefault="00C258A3" w:rsidP="00885F93">
            <w:pPr>
              <w:jc w:val="right"/>
              <w:rPr>
                <w:sz w:val="20"/>
                <w:szCs w:val="20"/>
                <w:lang w:eastAsia="cs-CZ"/>
              </w:rPr>
            </w:pPr>
            <w:r w:rsidRPr="004E34E9">
              <w:rPr>
                <w:sz w:val="20"/>
                <w:szCs w:val="20"/>
              </w:rPr>
              <w:t>45 000</w:t>
            </w:r>
          </w:p>
        </w:tc>
        <w:tc>
          <w:tcPr>
            <w:tcW w:w="660" w:type="pct"/>
            <w:tcBorders>
              <w:top w:val="nil"/>
              <w:left w:val="nil"/>
              <w:bottom w:val="single" w:sz="4" w:space="0" w:color="auto"/>
              <w:right w:val="single" w:sz="4" w:space="0" w:color="auto"/>
            </w:tcBorders>
            <w:shd w:val="clear" w:color="000000" w:fill="FFFFFF"/>
            <w:noWrap/>
            <w:vAlign w:val="bottom"/>
          </w:tcPr>
          <w:p w14:paraId="5B42DC35" w14:textId="00001986" w:rsidR="00C258A3" w:rsidRPr="004E34E9" w:rsidRDefault="00C258A3" w:rsidP="00885F93">
            <w:pPr>
              <w:jc w:val="right"/>
              <w:rPr>
                <w:sz w:val="20"/>
                <w:szCs w:val="20"/>
                <w:lang w:eastAsia="cs-CZ"/>
              </w:rPr>
            </w:pPr>
            <w:r w:rsidRPr="004E34E9">
              <w:rPr>
                <w:sz w:val="20"/>
                <w:szCs w:val="20"/>
              </w:rPr>
              <w:t>3 450 000</w:t>
            </w:r>
          </w:p>
        </w:tc>
        <w:tc>
          <w:tcPr>
            <w:tcW w:w="659" w:type="pct"/>
            <w:tcBorders>
              <w:top w:val="nil"/>
              <w:left w:val="nil"/>
              <w:bottom w:val="single" w:sz="4" w:space="0" w:color="auto"/>
              <w:right w:val="single" w:sz="4" w:space="0" w:color="auto"/>
            </w:tcBorders>
            <w:shd w:val="clear" w:color="000000" w:fill="FFFFFF"/>
            <w:noWrap/>
            <w:vAlign w:val="bottom"/>
          </w:tcPr>
          <w:p w14:paraId="2F06B765" w14:textId="1EDFE327" w:rsidR="00C258A3" w:rsidRPr="004E34E9" w:rsidRDefault="00C258A3" w:rsidP="00885F93">
            <w:pPr>
              <w:jc w:val="right"/>
              <w:rPr>
                <w:sz w:val="20"/>
                <w:szCs w:val="20"/>
                <w:lang w:eastAsia="cs-CZ"/>
              </w:rPr>
            </w:pPr>
            <w:r w:rsidRPr="004E34E9">
              <w:rPr>
                <w:sz w:val="20"/>
                <w:szCs w:val="20"/>
              </w:rPr>
              <w:t>108 747</w:t>
            </w:r>
          </w:p>
        </w:tc>
      </w:tr>
      <w:tr w:rsidR="00C258A3" w:rsidRPr="00D615AB" w14:paraId="16AD6180"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0348AE49" w14:textId="77777777" w:rsidR="00C258A3" w:rsidRPr="004E34E9" w:rsidRDefault="00C258A3" w:rsidP="00B57E1E">
            <w:pPr>
              <w:rPr>
                <w:sz w:val="20"/>
                <w:szCs w:val="20"/>
                <w:lang w:eastAsia="cs-CZ"/>
              </w:rPr>
            </w:pPr>
            <w:r w:rsidRPr="004E34E9">
              <w:rPr>
                <w:sz w:val="20"/>
                <w:szCs w:val="20"/>
                <w:lang w:eastAsia="cs-CZ"/>
              </w:rPr>
              <w:t>Centrum organické chemie s.r.o.</w:t>
            </w:r>
          </w:p>
        </w:tc>
        <w:tc>
          <w:tcPr>
            <w:tcW w:w="660" w:type="pct"/>
            <w:tcBorders>
              <w:top w:val="nil"/>
              <w:left w:val="nil"/>
              <w:bottom w:val="single" w:sz="4" w:space="0" w:color="auto"/>
              <w:right w:val="single" w:sz="4" w:space="0" w:color="auto"/>
            </w:tcBorders>
            <w:shd w:val="clear" w:color="000000" w:fill="FFFFFF"/>
            <w:vAlign w:val="bottom"/>
          </w:tcPr>
          <w:p w14:paraId="1652CFE2" w14:textId="0E1A0EDD"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000000" w:fill="FFFFFF"/>
            <w:vAlign w:val="bottom"/>
          </w:tcPr>
          <w:p w14:paraId="01FDCEC6" w14:textId="18B8DE53"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000000" w:fill="FFFFFF"/>
            <w:vAlign w:val="bottom"/>
          </w:tcPr>
          <w:p w14:paraId="00F238DB" w14:textId="0735C5CF" w:rsidR="00C258A3" w:rsidRPr="004E34E9" w:rsidRDefault="00C258A3" w:rsidP="00885F93">
            <w:pPr>
              <w:jc w:val="right"/>
              <w:rPr>
                <w:sz w:val="20"/>
                <w:szCs w:val="20"/>
                <w:lang w:eastAsia="cs-CZ"/>
              </w:rPr>
            </w:pPr>
            <w:r w:rsidRPr="004E34E9">
              <w:rPr>
                <w:sz w:val="20"/>
                <w:szCs w:val="20"/>
              </w:rPr>
              <w:t>4 680</w:t>
            </w:r>
          </w:p>
        </w:tc>
        <w:tc>
          <w:tcPr>
            <w:tcW w:w="659" w:type="pct"/>
            <w:tcBorders>
              <w:top w:val="nil"/>
              <w:left w:val="nil"/>
              <w:bottom w:val="single" w:sz="4" w:space="0" w:color="auto"/>
              <w:right w:val="single" w:sz="4" w:space="0" w:color="auto"/>
            </w:tcBorders>
            <w:shd w:val="clear" w:color="000000" w:fill="FFFFFF"/>
            <w:vAlign w:val="bottom"/>
          </w:tcPr>
          <w:p w14:paraId="677BE281" w14:textId="34F25DC2" w:rsidR="00C258A3" w:rsidRPr="004E34E9" w:rsidRDefault="00C258A3" w:rsidP="00885F93">
            <w:pPr>
              <w:jc w:val="right"/>
              <w:rPr>
                <w:sz w:val="20"/>
                <w:szCs w:val="20"/>
                <w:lang w:eastAsia="cs-CZ"/>
              </w:rPr>
            </w:pPr>
            <w:r w:rsidRPr="004E34E9">
              <w:rPr>
                <w:sz w:val="20"/>
                <w:szCs w:val="20"/>
              </w:rPr>
              <w:t>619 256</w:t>
            </w:r>
          </w:p>
        </w:tc>
      </w:tr>
      <w:tr w:rsidR="00C258A3" w:rsidRPr="00D615AB" w14:paraId="1CC75FB6"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14822ECA" w14:textId="77777777" w:rsidR="00C258A3" w:rsidRPr="004E34E9" w:rsidRDefault="00C258A3" w:rsidP="00B57E1E">
            <w:pPr>
              <w:rPr>
                <w:sz w:val="20"/>
                <w:szCs w:val="20"/>
                <w:lang w:eastAsia="cs-CZ"/>
              </w:rPr>
            </w:pPr>
            <w:r w:rsidRPr="004E34E9">
              <w:rPr>
                <w:sz w:val="20"/>
                <w:szCs w:val="20"/>
                <w:lang w:eastAsia="cs-CZ"/>
              </w:rPr>
              <w:t>Centrum výzkumu Řež s.r.o.</w:t>
            </w:r>
          </w:p>
        </w:tc>
        <w:tc>
          <w:tcPr>
            <w:tcW w:w="660" w:type="pct"/>
            <w:tcBorders>
              <w:top w:val="nil"/>
              <w:left w:val="nil"/>
              <w:bottom w:val="single" w:sz="4" w:space="0" w:color="auto"/>
              <w:right w:val="single" w:sz="4" w:space="0" w:color="auto"/>
            </w:tcBorders>
            <w:shd w:val="clear" w:color="000000" w:fill="FFFFFF"/>
            <w:vAlign w:val="bottom"/>
          </w:tcPr>
          <w:p w14:paraId="6149B334" w14:textId="5103A0DC" w:rsidR="00C258A3" w:rsidRPr="004E34E9" w:rsidRDefault="00C258A3" w:rsidP="00885F93">
            <w:pPr>
              <w:jc w:val="right"/>
              <w:rPr>
                <w:sz w:val="20"/>
                <w:szCs w:val="20"/>
                <w:lang w:eastAsia="cs-CZ"/>
              </w:rPr>
            </w:pPr>
            <w:r w:rsidRPr="004E34E9">
              <w:rPr>
                <w:sz w:val="20"/>
                <w:szCs w:val="20"/>
              </w:rPr>
              <w:t>1 160 495</w:t>
            </w:r>
          </w:p>
        </w:tc>
        <w:tc>
          <w:tcPr>
            <w:tcW w:w="660" w:type="pct"/>
            <w:tcBorders>
              <w:top w:val="nil"/>
              <w:left w:val="nil"/>
              <w:bottom w:val="single" w:sz="4" w:space="0" w:color="auto"/>
              <w:right w:val="single" w:sz="4" w:space="0" w:color="auto"/>
            </w:tcBorders>
            <w:shd w:val="clear" w:color="000000" w:fill="FFFFFF"/>
            <w:vAlign w:val="bottom"/>
          </w:tcPr>
          <w:p w14:paraId="636CB817" w14:textId="133EF968" w:rsidR="00C258A3" w:rsidRPr="004E34E9" w:rsidRDefault="00C258A3" w:rsidP="00885F93">
            <w:pPr>
              <w:jc w:val="right"/>
              <w:rPr>
                <w:sz w:val="20"/>
                <w:szCs w:val="20"/>
                <w:lang w:eastAsia="cs-CZ"/>
              </w:rPr>
            </w:pPr>
            <w:r w:rsidRPr="004E34E9">
              <w:rPr>
                <w:sz w:val="20"/>
                <w:szCs w:val="20"/>
              </w:rPr>
              <w:t>69 544</w:t>
            </w:r>
          </w:p>
        </w:tc>
        <w:tc>
          <w:tcPr>
            <w:tcW w:w="660" w:type="pct"/>
            <w:tcBorders>
              <w:top w:val="nil"/>
              <w:left w:val="nil"/>
              <w:bottom w:val="single" w:sz="4" w:space="0" w:color="auto"/>
              <w:right w:val="single" w:sz="4" w:space="0" w:color="auto"/>
            </w:tcBorders>
            <w:shd w:val="clear" w:color="000000" w:fill="FFFFFF"/>
            <w:vAlign w:val="bottom"/>
          </w:tcPr>
          <w:p w14:paraId="5CDF4144" w14:textId="71F2CA51" w:rsidR="00C258A3" w:rsidRPr="004E34E9" w:rsidRDefault="00C258A3" w:rsidP="00885F93">
            <w:pPr>
              <w:jc w:val="right"/>
              <w:rPr>
                <w:sz w:val="20"/>
                <w:szCs w:val="20"/>
                <w:lang w:eastAsia="cs-CZ"/>
              </w:rPr>
            </w:pPr>
            <w:r w:rsidRPr="004E34E9">
              <w:rPr>
                <w:sz w:val="20"/>
                <w:szCs w:val="20"/>
              </w:rPr>
              <w:t>1 514 920</w:t>
            </w:r>
          </w:p>
        </w:tc>
        <w:tc>
          <w:tcPr>
            <w:tcW w:w="659" w:type="pct"/>
            <w:tcBorders>
              <w:top w:val="nil"/>
              <w:left w:val="nil"/>
              <w:bottom w:val="single" w:sz="4" w:space="0" w:color="auto"/>
              <w:right w:val="single" w:sz="4" w:space="0" w:color="auto"/>
            </w:tcBorders>
            <w:shd w:val="clear" w:color="000000" w:fill="FFFFFF"/>
            <w:vAlign w:val="bottom"/>
          </w:tcPr>
          <w:p w14:paraId="7BD7B1A7" w14:textId="626B06AA" w:rsidR="00C258A3" w:rsidRPr="004E34E9" w:rsidRDefault="000A6817" w:rsidP="00885F93">
            <w:pPr>
              <w:jc w:val="right"/>
              <w:rPr>
                <w:sz w:val="20"/>
                <w:szCs w:val="20"/>
                <w:lang w:eastAsia="cs-CZ"/>
              </w:rPr>
            </w:pPr>
            <w:r w:rsidRPr="004E34E9">
              <w:rPr>
                <w:sz w:val="20"/>
                <w:szCs w:val="20"/>
                <w:lang w:val="en-GB"/>
              </w:rPr>
              <w:t>*</w:t>
            </w:r>
            <w:r w:rsidR="00C258A3" w:rsidRPr="004E34E9">
              <w:rPr>
                <w:sz w:val="20"/>
                <w:szCs w:val="20"/>
              </w:rPr>
              <w:t>0</w:t>
            </w:r>
          </w:p>
        </w:tc>
      </w:tr>
      <w:tr w:rsidR="00C258A3" w:rsidRPr="00D615AB" w14:paraId="757F4455"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27AF8F54" w14:textId="77777777" w:rsidR="00C258A3" w:rsidRPr="004E34E9" w:rsidRDefault="00C258A3" w:rsidP="00B57E1E">
            <w:pPr>
              <w:rPr>
                <w:sz w:val="20"/>
                <w:szCs w:val="20"/>
                <w:lang w:eastAsia="cs-CZ"/>
              </w:rPr>
            </w:pPr>
            <w:r w:rsidRPr="004E34E9">
              <w:rPr>
                <w:sz w:val="20"/>
                <w:szCs w:val="20"/>
                <w:lang w:eastAsia="cs-CZ"/>
              </w:rPr>
              <w:t>COMTES FHT a.s.</w:t>
            </w:r>
          </w:p>
        </w:tc>
        <w:tc>
          <w:tcPr>
            <w:tcW w:w="660" w:type="pct"/>
            <w:tcBorders>
              <w:top w:val="nil"/>
              <w:left w:val="nil"/>
              <w:bottom w:val="single" w:sz="4" w:space="0" w:color="auto"/>
              <w:right w:val="single" w:sz="4" w:space="0" w:color="auto"/>
            </w:tcBorders>
            <w:shd w:val="clear" w:color="000000" w:fill="FFFFFF"/>
            <w:vAlign w:val="bottom"/>
          </w:tcPr>
          <w:p w14:paraId="151A4490" w14:textId="1B69412B" w:rsidR="00C258A3" w:rsidRPr="004E34E9" w:rsidRDefault="00C258A3" w:rsidP="00885F93">
            <w:pPr>
              <w:jc w:val="right"/>
              <w:rPr>
                <w:sz w:val="20"/>
                <w:szCs w:val="20"/>
                <w:lang w:eastAsia="cs-CZ"/>
              </w:rPr>
            </w:pPr>
            <w:r w:rsidRPr="004E34E9">
              <w:rPr>
                <w:sz w:val="20"/>
                <w:szCs w:val="20"/>
              </w:rPr>
              <w:t>1 604 489</w:t>
            </w:r>
          </w:p>
        </w:tc>
        <w:tc>
          <w:tcPr>
            <w:tcW w:w="660" w:type="pct"/>
            <w:tcBorders>
              <w:top w:val="nil"/>
              <w:left w:val="nil"/>
              <w:bottom w:val="single" w:sz="4" w:space="0" w:color="auto"/>
              <w:right w:val="single" w:sz="4" w:space="0" w:color="auto"/>
            </w:tcBorders>
            <w:shd w:val="clear" w:color="000000" w:fill="FFFFFF"/>
            <w:vAlign w:val="bottom"/>
          </w:tcPr>
          <w:p w14:paraId="2BC500E3" w14:textId="2FF5D368" w:rsidR="00C258A3" w:rsidRPr="004E34E9" w:rsidRDefault="00C258A3" w:rsidP="00885F93">
            <w:pPr>
              <w:jc w:val="right"/>
              <w:rPr>
                <w:sz w:val="20"/>
                <w:szCs w:val="20"/>
                <w:lang w:eastAsia="cs-CZ"/>
              </w:rPr>
            </w:pPr>
            <w:r w:rsidRPr="004E34E9">
              <w:rPr>
                <w:sz w:val="20"/>
                <w:szCs w:val="20"/>
              </w:rPr>
              <w:t>1 470 543</w:t>
            </w:r>
          </w:p>
        </w:tc>
        <w:tc>
          <w:tcPr>
            <w:tcW w:w="660" w:type="pct"/>
            <w:tcBorders>
              <w:top w:val="nil"/>
              <w:left w:val="nil"/>
              <w:bottom w:val="single" w:sz="4" w:space="0" w:color="auto"/>
              <w:right w:val="single" w:sz="4" w:space="0" w:color="auto"/>
            </w:tcBorders>
            <w:shd w:val="clear" w:color="000000" w:fill="FFFFFF"/>
            <w:vAlign w:val="bottom"/>
          </w:tcPr>
          <w:p w14:paraId="3FBFBD43" w14:textId="04BC0CE2" w:rsidR="00C258A3" w:rsidRPr="004E34E9" w:rsidRDefault="00C258A3" w:rsidP="00885F93">
            <w:pPr>
              <w:jc w:val="right"/>
              <w:rPr>
                <w:sz w:val="20"/>
                <w:szCs w:val="20"/>
                <w:lang w:eastAsia="cs-CZ"/>
              </w:rPr>
            </w:pPr>
            <w:r w:rsidRPr="004E34E9">
              <w:rPr>
                <w:sz w:val="20"/>
                <w:szCs w:val="20"/>
              </w:rPr>
              <w:t>2 223 148</w:t>
            </w:r>
          </w:p>
        </w:tc>
        <w:tc>
          <w:tcPr>
            <w:tcW w:w="659" w:type="pct"/>
            <w:tcBorders>
              <w:top w:val="nil"/>
              <w:left w:val="nil"/>
              <w:bottom w:val="single" w:sz="4" w:space="0" w:color="auto"/>
              <w:right w:val="single" w:sz="4" w:space="0" w:color="auto"/>
            </w:tcBorders>
            <w:shd w:val="clear" w:color="000000" w:fill="FFFFFF"/>
            <w:vAlign w:val="bottom"/>
          </w:tcPr>
          <w:p w14:paraId="39CC810B" w14:textId="3D46F43F" w:rsidR="00C258A3" w:rsidRPr="004E34E9" w:rsidRDefault="00C258A3" w:rsidP="00885F93">
            <w:pPr>
              <w:jc w:val="right"/>
              <w:rPr>
                <w:sz w:val="20"/>
                <w:szCs w:val="20"/>
                <w:lang w:eastAsia="cs-CZ"/>
              </w:rPr>
            </w:pPr>
            <w:r w:rsidRPr="004E34E9">
              <w:rPr>
                <w:sz w:val="20"/>
                <w:szCs w:val="20"/>
              </w:rPr>
              <w:t>450 000</w:t>
            </w:r>
          </w:p>
        </w:tc>
      </w:tr>
      <w:tr w:rsidR="00C258A3" w:rsidRPr="00D615AB" w14:paraId="33013DE1"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2E6D59B4" w14:textId="77777777" w:rsidR="00C258A3" w:rsidRPr="004E34E9" w:rsidRDefault="00C258A3" w:rsidP="00B57E1E">
            <w:pPr>
              <w:rPr>
                <w:sz w:val="20"/>
                <w:szCs w:val="20"/>
                <w:lang w:eastAsia="cs-CZ"/>
              </w:rPr>
            </w:pPr>
            <w:r w:rsidRPr="004E34E9">
              <w:rPr>
                <w:sz w:val="20"/>
                <w:szCs w:val="20"/>
                <w:lang w:eastAsia="cs-CZ"/>
              </w:rPr>
              <w:t>Český metrologický institut</w:t>
            </w:r>
          </w:p>
        </w:tc>
        <w:tc>
          <w:tcPr>
            <w:tcW w:w="660" w:type="pct"/>
            <w:tcBorders>
              <w:top w:val="nil"/>
              <w:left w:val="nil"/>
              <w:bottom w:val="single" w:sz="4" w:space="0" w:color="auto"/>
              <w:right w:val="single" w:sz="4" w:space="0" w:color="auto"/>
            </w:tcBorders>
            <w:shd w:val="clear" w:color="000000" w:fill="FFFFFF"/>
            <w:vAlign w:val="bottom"/>
          </w:tcPr>
          <w:p w14:paraId="34172CBA" w14:textId="6614ECED" w:rsidR="00C258A3" w:rsidRPr="004E34E9" w:rsidRDefault="00C258A3" w:rsidP="00885F93">
            <w:pPr>
              <w:jc w:val="right"/>
              <w:rPr>
                <w:sz w:val="20"/>
                <w:szCs w:val="20"/>
                <w:lang w:eastAsia="cs-CZ"/>
              </w:rPr>
            </w:pPr>
            <w:r w:rsidRPr="004E34E9">
              <w:rPr>
                <w:sz w:val="20"/>
                <w:szCs w:val="20"/>
              </w:rPr>
              <w:t>2 883 191</w:t>
            </w:r>
          </w:p>
        </w:tc>
        <w:tc>
          <w:tcPr>
            <w:tcW w:w="660" w:type="pct"/>
            <w:tcBorders>
              <w:top w:val="nil"/>
              <w:left w:val="nil"/>
              <w:bottom w:val="single" w:sz="4" w:space="0" w:color="auto"/>
              <w:right w:val="single" w:sz="4" w:space="0" w:color="auto"/>
            </w:tcBorders>
            <w:shd w:val="clear" w:color="000000" w:fill="FFFFFF"/>
            <w:vAlign w:val="bottom"/>
          </w:tcPr>
          <w:p w14:paraId="781BA958" w14:textId="4BD22A58" w:rsidR="00C258A3" w:rsidRPr="004E34E9" w:rsidRDefault="00C258A3" w:rsidP="00885F93">
            <w:pPr>
              <w:jc w:val="right"/>
              <w:rPr>
                <w:sz w:val="20"/>
                <w:szCs w:val="20"/>
                <w:lang w:eastAsia="cs-CZ"/>
              </w:rPr>
            </w:pPr>
            <w:r w:rsidRPr="004E34E9">
              <w:rPr>
                <w:sz w:val="20"/>
                <w:szCs w:val="20"/>
              </w:rPr>
              <w:t>5 131 394</w:t>
            </w:r>
          </w:p>
        </w:tc>
        <w:tc>
          <w:tcPr>
            <w:tcW w:w="660" w:type="pct"/>
            <w:tcBorders>
              <w:top w:val="nil"/>
              <w:left w:val="nil"/>
              <w:bottom w:val="single" w:sz="4" w:space="0" w:color="auto"/>
              <w:right w:val="single" w:sz="4" w:space="0" w:color="auto"/>
            </w:tcBorders>
            <w:shd w:val="clear" w:color="000000" w:fill="FFFFFF"/>
            <w:vAlign w:val="bottom"/>
          </w:tcPr>
          <w:p w14:paraId="583C83A3" w14:textId="58AF6189" w:rsidR="00C258A3" w:rsidRPr="004E34E9" w:rsidRDefault="00C258A3" w:rsidP="00885F93">
            <w:pPr>
              <w:jc w:val="right"/>
              <w:rPr>
                <w:sz w:val="20"/>
                <w:szCs w:val="20"/>
                <w:lang w:eastAsia="cs-CZ"/>
              </w:rPr>
            </w:pPr>
            <w:r w:rsidRPr="004E34E9">
              <w:rPr>
                <w:sz w:val="20"/>
                <w:szCs w:val="20"/>
              </w:rPr>
              <w:t>1 791 174</w:t>
            </w:r>
          </w:p>
        </w:tc>
        <w:tc>
          <w:tcPr>
            <w:tcW w:w="659" w:type="pct"/>
            <w:tcBorders>
              <w:top w:val="nil"/>
              <w:left w:val="nil"/>
              <w:bottom w:val="single" w:sz="4" w:space="0" w:color="auto"/>
              <w:right w:val="single" w:sz="4" w:space="0" w:color="auto"/>
            </w:tcBorders>
            <w:shd w:val="clear" w:color="000000" w:fill="FFFFFF"/>
            <w:vAlign w:val="bottom"/>
          </w:tcPr>
          <w:p w14:paraId="2492E8FF" w14:textId="5B3DB05D" w:rsidR="00C258A3" w:rsidRPr="004E34E9" w:rsidRDefault="00C258A3" w:rsidP="00885F93">
            <w:pPr>
              <w:jc w:val="right"/>
              <w:rPr>
                <w:sz w:val="20"/>
                <w:szCs w:val="20"/>
                <w:lang w:eastAsia="cs-CZ"/>
              </w:rPr>
            </w:pPr>
            <w:r w:rsidRPr="004E34E9">
              <w:rPr>
                <w:sz w:val="20"/>
                <w:szCs w:val="20"/>
              </w:rPr>
              <w:t>1 657 190</w:t>
            </w:r>
          </w:p>
        </w:tc>
      </w:tr>
      <w:tr w:rsidR="00C258A3" w:rsidRPr="00D615AB" w14:paraId="40735554"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1AF9FE7" w14:textId="77777777" w:rsidR="00C258A3" w:rsidRPr="004E34E9" w:rsidRDefault="00C258A3" w:rsidP="00B57E1E">
            <w:pPr>
              <w:rPr>
                <w:sz w:val="20"/>
                <w:szCs w:val="20"/>
                <w:lang w:eastAsia="cs-CZ"/>
              </w:rPr>
            </w:pPr>
            <w:r w:rsidRPr="004E34E9">
              <w:rPr>
                <w:sz w:val="20"/>
                <w:szCs w:val="20"/>
                <w:lang w:eastAsia="cs-CZ"/>
              </w:rPr>
              <w:t>MATERIÁLOVÝ A METALURGICKÝ VÝZKUM s.r.o.</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59963F7A" w14:textId="68A3D9B1"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740E0DFF" w14:textId="70E34971"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5A3BF84E" w14:textId="5A8574B4" w:rsidR="00C258A3" w:rsidRPr="004E34E9" w:rsidRDefault="00C258A3" w:rsidP="00885F93">
            <w:pPr>
              <w:jc w:val="right"/>
              <w:rPr>
                <w:sz w:val="20"/>
                <w:szCs w:val="20"/>
                <w:lang w:eastAsia="cs-CZ"/>
              </w:rPr>
            </w:pPr>
            <w:r w:rsidRPr="004E34E9">
              <w:rPr>
                <w:sz w:val="20"/>
                <w:szCs w:val="20"/>
              </w:rPr>
              <w:t>0</w:t>
            </w:r>
          </w:p>
        </w:tc>
        <w:tc>
          <w:tcPr>
            <w:tcW w:w="659" w:type="pct"/>
            <w:tcBorders>
              <w:top w:val="nil"/>
              <w:left w:val="nil"/>
              <w:bottom w:val="single" w:sz="4" w:space="0" w:color="auto"/>
              <w:right w:val="single" w:sz="4" w:space="0" w:color="auto"/>
            </w:tcBorders>
            <w:shd w:val="clear" w:color="auto" w:fill="F2F2F2" w:themeFill="background1" w:themeFillShade="F2"/>
            <w:vAlign w:val="bottom"/>
          </w:tcPr>
          <w:p w14:paraId="49B1AE2A" w14:textId="4CDAF295" w:rsidR="00C258A3" w:rsidRPr="004E34E9" w:rsidRDefault="00C258A3" w:rsidP="00885F93">
            <w:pPr>
              <w:jc w:val="right"/>
              <w:rPr>
                <w:sz w:val="20"/>
                <w:szCs w:val="20"/>
                <w:lang w:eastAsia="cs-CZ"/>
              </w:rPr>
            </w:pPr>
            <w:r w:rsidRPr="004E34E9">
              <w:rPr>
                <w:sz w:val="20"/>
                <w:szCs w:val="20"/>
              </w:rPr>
              <w:t>0</w:t>
            </w:r>
          </w:p>
        </w:tc>
      </w:tr>
      <w:tr w:rsidR="00C258A3" w:rsidRPr="00D615AB" w14:paraId="6BE0319C"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239D49B7" w14:textId="77777777" w:rsidR="00C258A3" w:rsidRPr="004E34E9" w:rsidRDefault="00C258A3" w:rsidP="00B57E1E">
            <w:pPr>
              <w:rPr>
                <w:sz w:val="20"/>
                <w:szCs w:val="20"/>
                <w:lang w:eastAsia="cs-CZ"/>
              </w:rPr>
            </w:pPr>
            <w:r w:rsidRPr="004E34E9">
              <w:rPr>
                <w:sz w:val="20"/>
                <w:szCs w:val="20"/>
                <w:lang w:eastAsia="cs-CZ"/>
              </w:rPr>
              <w:t>MemBrain s.r.o.</w:t>
            </w:r>
          </w:p>
        </w:tc>
        <w:tc>
          <w:tcPr>
            <w:tcW w:w="660" w:type="pct"/>
            <w:tcBorders>
              <w:top w:val="nil"/>
              <w:left w:val="nil"/>
              <w:bottom w:val="single" w:sz="4" w:space="0" w:color="auto"/>
              <w:right w:val="single" w:sz="4" w:space="0" w:color="auto"/>
            </w:tcBorders>
            <w:shd w:val="clear" w:color="000000" w:fill="FFFFFF"/>
            <w:vAlign w:val="bottom"/>
          </w:tcPr>
          <w:p w14:paraId="6421AEEB" w14:textId="06992C21" w:rsidR="00C258A3" w:rsidRPr="004E34E9" w:rsidRDefault="00C258A3" w:rsidP="00885F93">
            <w:pPr>
              <w:jc w:val="right"/>
              <w:rPr>
                <w:sz w:val="20"/>
                <w:szCs w:val="20"/>
                <w:lang w:eastAsia="cs-CZ"/>
              </w:rPr>
            </w:pPr>
            <w:r w:rsidRPr="004E34E9">
              <w:rPr>
                <w:sz w:val="20"/>
                <w:szCs w:val="20"/>
              </w:rPr>
              <w:t>5 131 581</w:t>
            </w:r>
          </w:p>
        </w:tc>
        <w:tc>
          <w:tcPr>
            <w:tcW w:w="660" w:type="pct"/>
            <w:tcBorders>
              <w:top w:val="nil"/>
              <w:left w:val="nil"/>
              <w:bottom w:val="single" w:sz="4" w:space="0" w:color="auto"/>
              <w:right w:val="single" w:sz="4" w:space="0" w:color="auto"/>
            </w:tcBorders>
            <w:shd w:val="clear" w:color="000000" w:fill="FFFFFF"/>
            <w:vAlign w:val="bottom"/>
          </w:tcPr>
          <w:p w14:paraId="7B406B79" w14:textId="3D3E93FA" w:rsidR="00C258A3" w:rsidRPr="004E34E9" w:rsidRDefault="00C258A3" w:rsidP="00885F93">
            <w:pPr>
              <w:jc w:val="right"/>
              <w:rPr>
                <w:sz w:val="20"/>
                <w:szCs w:val="20"/>
                <w:lang w:eastAsia="cs-CZ"/>
              </w:rPr>
            </w:pPr>
            <w:r w:rsidRPr="004E34E9">
              <w:rPr>
                <w:sz w:val="20"/>
                <w:szCs w:val="20"/>
              </w:rPr>
              <w:t>6 764 798</w:t>
            </w:r>
          </w:p>
        </w:tc>
        <w:tc>
          <w:tcPr>
            <w:tcW w:w="660" w:type="pct"/>
            <w:tcBorders>
              <w:top w:val="nil"/>
              <w:left w:val="nil"/>
              <w:bottom w:val="single" w:sz="4" w:space="0" w:color="auto"/>
              <w:right w:val="single" w:sz="4" w:space="0" w:color="auto"/>
            </w:tcBorders>
            <w:shd w:val="clear" w:color="000000" w:fill="FFFFFF"/>
            <w:vAlign w:val="bottom"/>
          </w:tcPr>
          <w:p w14:paraId="7167F5B1" w14:textId="24BFBB2F" w:rsidR="00C258A3" w:rsidRPr="004E34E9" w:rsidRDefault="00C258A3" w:rsidP="00885F93">
            <w:pPr>
              <w:jc w:val="right"/>
              <w:rPr>
                <w:sz w:val="20"/>
                <w:szCs w:val="20"/>
                <w:lang w:eastAsia="cs-CZ"/>
              </w:rPr>
            </w:pPr>
            <w:r w:rsidRPr="004E34E9">
              <w:rPr>
                <w:sz w:val="20"/>
                <w:szCs w:val="20"/>
              </w:rPr>
              <w:t>7 879 865</w:t>
            </w:r>
          </w:p>
        </w:tc>
        <w:tc>
          <w:tcPr>
            <w:tcW w:w="659" w:type="pct"/>
            <w:tcBorders>
              <w:top w:val="nil"/>
              <w:left w:val="nil"/>
              <w:bottom w:val="single" w:sz="4" w:space="0" w:color="auto"/>
              <w:right w:val="single" w:sz="4" w:space="0" w:color="auto"/>
            </w:tcBorders>
            <w:shd w:val="clear" w:color="000000" w:fill="FFFFFF"/>
            <w:vAlign w:val="bottom"/>
          </w:tcPr>
          <w:p w14:paraId="3C498781" w14:textId="6A7CB9FC" w:rsidR="00C258A3" w:rsidRPr="004E34E9" w:rsidRDefault="00C258A3" w:rsidP="00885F93">
            <w:pPr>
              <w:jc w:val="right"/>
              <w:rPr>
                <w:sz w:val="20"/>
                <w:szCs w:val="20"/>
                <w:lang w:eastAsia="cs-CZ"/>
              </w:rPr>
            </w:pPr>
            <w:r w:rsidRPr="004E34E9">
              <w:rPr>
                <w:sz w:val="20"/>
                <w:szCs w:val="20"/>
              </w:rPr>
              <w:t>10 385 213</w:t>
            </w:r>
          </w:p>
        </w:tc>
      </w:tr>
      <w:tr w:rsidR="00C258A3" w:rsidRPr="00D615AB" w14:paraId="79530749"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2DC0E08" w14:textId="5BD11657" w:rsidR="00C258A3" w:rsidRPr="004E34E9" w:rsidRDefault="00C258A3" w:rsidP="00B57E1E">
            <w:pPr>
              <w:rPr>
                <w:sz w:val="20"/>
                <w:szCs w:val="20"/>
              </w:rPr>
            </w:pPr>
            <w:r w:rsidRPr="004E34E9">
              <w:rPr>
                <w:sz w:val="20"/>
                <w:szCs w:val="20"/>
                <w:lang w:eastAsia="cs-CZ"/>
              </w:rPr>
              <w:t>Unipetrol výzkumně vzdělávací centrum, a.s.</w:t>
            </w:r>
            <w:r w:rsidR="000A6817">
              <w:rPr>
                <w:sz w:val="20"/>
                <w:szCs w:val="20"/>
                <w:lang w:eastAsia="cs-CZ"/>
              </w:rPr>
              <w:t xml:space="preserve"> </w:t>
            </w:r>
            <w:r w:rsidRPr="004E34E9">
              <w:rPr>
                <w:sz w:val="20"/>
                <w:szCs w:val="20"/>
                <w:lang w:eastAsia="cs-CZ"/>
              </w:rPr>
              <w:t>/</w:t>
            </w:r>
            <w:r w:rsidRPr="004E34E9">
              <w:rPr>
                <w:sz w:val="20"/>
                <w:szCs w:val="20"/>
              </w:rPr>
              <w:t xml:space="preserve"> </w:t>
            </w:r>
          </w:p>
          <w:p w14:paraId="1F13132A" w14:textId="77777777" w:rsidR="00C258A3" w:rsidRPr="004E34E9" w:rsidRDefault="005D4A86" w:rsidP="00B57E1E">
            <w:pPr>
              <w:rPr>
                <w:sz w:val="20"/>
                <w:szCs w:val="20"/>
                <w:lang w:eastAsia="cs-CZ"/>
              </w:rPr>
            </w:pPr>
            <w:hyperlink r:id="rId15" w:history="1">
              <w:r w:rsidR="00C258A3" w:rsidRPr="004E34E9">
                <w:rPr>
                  <w:rFonts w:eastAsiaTheme="minorHAnsi"/>
                  <w:sz w:val="20"/>
                  <w:szCs w:val="20"/>
                </w:rPr>
                <w:t>ORLEN UniCRE a.s.</w:t>
              </w:r>
            </w:hyperlink>
          </w:p>
        </w:tc>
        <w:tc>
          <w:tcPr>
            <w:tcW w:w="660" w:type="pct"/>
            <w:tcBorders>
              <w:top w:val="nil"/>
              <w:left w:val="nil"/>
              <w:bottom w:val="single" w:sz="4" w:space="0" w:color="auto"/>
              <w:right w:val="single" w:sz="4" w:space="0" w:color="auto"/>
            </w:tcBorders>
            <w:shd w:val="clear" w:color="auto" w:fill="F2F2F2" w:themeFill="background1" w:themeFillShade="F2"/>
            <w:vAlign w:val="center"/>
          </w:tcPr>
          <w:p w14:paraId="39D2E5F6" w14:textId="4DF7F66D"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center"/>
          </w:tcPr>
          <w:p w14:paraId="6ACCCE94" w14:textId="3CB5936E"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center"/>
          </w:tcPr>
          <w:p w14:paraId="4E1DF728" w14:textId="1CE5C904" w:rsidR="00C258A3" w:rsidRPr="004E34E9" w:rsidRDefault="00C258A3" w:rsidP="00885F93">
            <w:pPr>
              <w:jc w:val="right"/>
              <w:rPr>
                <w:sz w:val="20"/>
                <w:szCs w:val="20"/>
                <w:lang w:eastAsia="cs-CZ"/>
              </w:rPr>
            </w:pPr>
            <w:r w:rsidRPr="004E34E9">
              <w:rPr>
                <w:sz w:val="20"/>
                <w:szCs w:val="20"/>
              </w:rPr>
              <w:t>0</w:t>
            </w:r>
          </w:p>
        </w:tc>
        <w:tc>
          <w:tcPr>
            <w:tcW w:w="659" w:type="pct"/>
            <w:tcBorders>
              <w:top w:val="nil"/>
              <w:left w:val="nil"/>
              <w:bottom w:val="single" w:sz="4" w:space="0" w:color="auto"/>
              <w:right w:val="single" w:sz="4" w:space="0" w:color="auto"/>
            </w:tcBorders>
            <w:shd w:val="clear" w:color="auto" w:fill="F2F2F2" w:themeFill="background1" w:themeFillShade="F2"/>
            <w:vAlign w:val="center"/>
          </w:tcPr>
          <w:p w14:paraId="6E9F88E1" w14:textId="365D6111" w:rsidR="00C258A3" w:rsidRPr="004E34E9" w:rsidRDefault="00C258A3" w:rsidP="00885F93">
            <w:pPr>
              <w:jc w:val="right"/>
              <w:rPr>
                <w:sz w:val="20"/>
                <w:szCs w:val="20"/>
                <w:lang w:eastAsia="cs-CZ"/>
              </w:rPr>
            </w:pPr>
            <w:r w:rsidRPr="004E34E9">
              <w:rPr>
                <w:sz w:val="20"/>
                <w:szCs w:val="20"/>
              </w:rPr>
              <w:t>0</w:t>
            </w:r>
          </w:p>
        </w:tc>
      </w:tr>
      <w:tr w:rsidR="00C258A3" w:rsidRPr="00D615AB" w14:paraId="04F1AA6C"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014B7CED" w14:textId="77777777" w:rsidR="00C258A3" w:rsidRPr="004E34E9" w:rsidRDefault="00C258A3" w:rsidP="00B57E1E">
            <w:pPr>
              <w:rPr>
                <w:sz w:val="20"/>
                <w:szCs w:val="20"/>
                <w:lang w:eastAsia="cs-CZ"/>
              </w:rPr>
            </w:pPr>
            <w:r w:rsidRPr="004E34E9">
              <w:rPr>
                <w:sz w:val="20"/>
                <w:szCs w:val="20"/>
                <w:lang w:eastAsia="cs-CZ"/>
              </w:rPr>
              <w:t>SVÚM a.s.</w:t>
            </w:r>
          </w:p>
        </w:tc>
        <w:tc>
          <w:tcPr>
            <w:tcW w:w="660" w:type="pct"/>
            <w:tcBorders>
              <w:top w:val="nil"/>
              <w:left w:val="nil"/>
              <w:bottom w:val="single" w:sz="4" w:space="0" w:color="auto"/>
              <w:right w:val="single" w:sz="4" w:space="0" w:color="auto"/>
            </w:tcBorders>
            <w:shd w:val="clear" w:color="000000" w:fill="FFFFFF"/>
            <w:vAlign w:val="bottom"/>
          </w:tcPr>
          <w:p w14:paraId="480437E2" w14:textId="37618F03" w:rsidR="00C258A3" w:rsidRPr="004E34E9" w:rsidRDefault="00C258A3" w:rsidP="00885F93">
            <w:pPr>
              <w:jc w:val="right"/>
              <w:rPr>
                <w:sz w:val="20"/>
                <w:szCs w:val="20"/>
                <w:lang w:eastAsia="cs-CZ"/>
              </w:rPr>
            </w:pPr>
            <w:r w:rsidRPr="004E34E9">
              <w:rPr>
                <w:sz w:val="20"/>
                <w:szCs w:val="20"/>
              </w:rPr>
              <w:t>404 849</w:t>
            </w:r>
          </w:p>
        </w:tc>
        <w:tc>
          <w:tcPr>
            <w:tcW w:w="660" w:type="pct"/>
            <w:tcBorders>
              <w:top w:val="nil"/>
              <w:left w:val="nil"/>
              <w:bottom w:val="single" w:sz="4" w:space="0" w:color="auto"/>
              <w:right w:val="single" w:sz="4" w:space="0" w:color="auto"/>
            </w:tcBorders>
            <w:shd w:val="clear" w:color="000000" w:fill="FFFFFF"/>
            <w:vAlign w:val="bottom"/>
          </w:tcPr>
          <w:p w14:paraId="64E0C440" w14:textId="34B824A8" w:rsidR="00C258A3" w:rsidRPr="004E34E9" w:rsidRDefault="00C258A3" w:rsidP="00885F93">
            <w:pPr>
              <w:jc w:val="right"/>
              <w:rPr>
                <w:sz w:val="20"/>
                <w:szCs w:val="20"/>
                <w:lang w:eastAsia="cs-CZ"/>
              </w:rPr>
            </w:pPr>
            <w:r w:rsidRPr="004E34E9">
              <w:rPr>
                <w:sz w:val="20"/>
                <w:szCs w:val="20"/>
              </w:rPr>
              <w:t>402 240</w:t>
            </w:r>
          </w:p>
        </w:tc>
        <w:tc>
          <w:tcPr>
            <w:tcW w:w="660" w:type="pct"/>
            <w:tcBorders>
              <w:top w:val="nil"/>
              <w:left w:val="nil"/>
              <w:bottom w:val="single" w:sz="4" w:space="0" w:color="auto"/>
              <w:right w:val="single" w:sz="4" w:space="0" w:color="auto"/>
            </w:tcBorders>
            <w:shd w:val="clear" w:color="000000" w:fill="FFFFFF"/>
            <w:vAlign w:val="bottom"/>
          </w:tcPr>
          <w:p w14:paraId="1DD5A6D1" w14:textId="17630E36" w:rsidR="00C258A3" w:rsidRPr="004E34E9" w:rsidRDefault="00C258A3" w:rsidP="00885F93">
            <w:pPr>
              <w:jc w:val="right"/>
              <w:rPr>
                <w:sz w:val="20"/>
                <w:szCs w:val="20"/>
                <w:lang w:eastAsia="cs-CZ"/>
              </w:rPr>
            </w:pPr>
            <w:r w:rsidRPr="004E34E9">
              <w:rPr>
                <w:sz w:val="20"/>
                <w:szCs w:val="20"/>
              </w:rPr>
              <w:t>304 632</w:t>
            </w:r>
          </w:p>
        </w:tc>
        <w:tc>
          <w:tcPr>
            <w:tcW w:w="659" w:type="pct"/>
            <w:tcBorders>
              <w:top w:val="nil"/>
              <w:left w:val="nil"/>
              <w:bottom w:val="single" w:sz="4" w:space="0" w:color="auto"/>
              <w:right w:val="single" w:sz="4" w:space="0" w:color="auto"/>
            </w:tcBorders>
            <w:shd w:val="clear" w:color="000000" w:fill="FFFFFF"/>
            <w:vAlign w:val="bottom"/>
          </w:tcPr>
          <w:p w14:paraId="286D520E" w14:textId="4E24E48A" w:rsidR="00C258A3" w:rsidRPr="004E34E9" w:rsidRDefault="00C258A3" w:rsidP="00885F93">
            <w:pPr>
              <w:jc w:val="right"/>
              <w:rPr>
                <w:sz w:val="20"/>
                <w:szCs w:val="20"/>
                <w:lang w:eastAsia="cs-CZ"/>
              </w:rPr>
            </w:pPr>
            <w:r w:rsidRPr="004E34E9">
              <w:rPr>
                <w:sz w:val="20"/>
                <w:szCs w:val="20"/>
              </w:rPr>
              <w:t>3 151</w:t>
            </w:r>
          </w:p>
        </w:tc>
      </w:tr>
      <w:tr w:rsidR="00C258A3" w:rsidRPr="00D615AB" w14:paraId="530AA53D"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4623A1B7" w14:textId="77777777" w:rsidR="00C258A3" w:rsidRPr="004E34E9" w:rsidRDefault="00C258A3" w:rsidP="00B57E1E">
            <w:pPr>
              <w:rPr>
                <w:sz w:val="20"/>
                <w:szCs w:val="20"/>
                <w:lang w:eastAsia="cs-CZ"/>
              </w:rPr>
            </w:pPr>
            <w:r w:rsidRPr="004E34E9">
              <w:rPr>
                <w:sz w:val="20"/>
                <w:szCs w:val="20"/>
                <w:lang w:eastAsia="cs-CZ"/>
              </w:rPr>
              <w:t>SVÚOM s.r.o.</w:t>
            </w:r>
          </w:p>
        </w:tc>
        <w:tc>
          <w:tcPr>
            <w:tcW w:w="660" w:type="pct"/>
            <w:tcBorders>
              <w:top w:val="nil"/>
              <w:left w:val="nil"/>
              <w:bottom w:val="single" w:sz="4" w:space="0" w:color="auto"/>
              <w:right w:val="single" w:sz="4" w:space="0" w:color="auto"/>
            </w:tcBorders>
            <w:shd w:val="clear" w:color="000000" w:fill="FFFFFF"/>
            <w:vAlign w:val="bottom"/>
          </w:tcPr>
          <w:p w14:paraId="5FFFB0F6" w14:textId="78606170" w:rsidR="00C258A3" w:rsidRPr="004E34E9" w:rsidRDefault="00C258A3" w:rsidP="00885F93">
            <w:pPr>
              <w:jc w:val="right"/>
              <w:rPr>
                <w:sz w:val="20"/>
                <w:szCs w:val="20"/>
                <w:lang w:eastAsia="cs-CZ"/>
              </w:rPr>
            </w:pPr>
            <w:r w:rsidRPr="004E34E9">
              <w:rPr>
                <w:sz w:val="20"/>
                <w:szCs w:val="20"/>
              </w:rPr>
              <w:t>70 100</w:t>
            </w:r>
          </w:p>
        </w:tc>
        <w:tc>
          <w:tcPr>
            <w:tcW w:w="660" w:type="pct"/>
            <w:tcBorders>
              <w:top w:val="nil"/>
              <w:left w:val="nil"/>
              <w:bottom w:val="single" w:sz="4" w:space="0" w:color="auto"/>
              <w:right w:val="single" w:sz="4" w:space="0" w:color="auto"/>
            </w:tcBorders>
            <w:shd w:val="clear" w:color="000000" w:fill="FFFFFF"/>
            <w:vAlign w:val="bottom"/>
          </w:tcPr>
          <w:p w14:paraId="6F34B225" w14:textId="248707B1" w:rsidR="00C258A3" w:rsidRPr="004E34E9" w:rsidRDefault="00C258A3" w:rsidP="00885F93">
            <w:pPr>
              <w:jc w:val="right"/>
              <w:rPr>
                <w:sz w:val="20"/>
                <w:szCs w:val="20"/>
                <w:lang w:eastAsia="cs-CZ"/>
              </w:rPr>
            </w:pPr>
            <w:r w:rsidRPr="004E34E9">
              <w:rPr>
                <w:sz w:val="20"/>
                <w:szCs w:val="20"/>
              </w:rPr>
              <w:t>48 000</w:t>
            </w:r>
          </w:p>
        </w:tc>
        <w:tc>
          <w:tcPr>
            <w:tcW w:w="660" w:type="pct"/>
            <w:tcBorders>
              <w:top w:val="nil"/>
              <w:left w:val="nil"/>
              <w:bottom w:val="single" w:sz="4" w:space="0" w:color="auto"/>
              <w:right w:val="single" w:sz="4" w:space="0" w:color="auto"/>
            </w:tcBorders>
            <w:shd w:val="clear" w:color="000000" w:fill="FFFFFF"/>
            <w:vAlign w:val="bottom"/>
          </w:tcPr>
          <w:p w14:paraId="53A31B0B" w14:textId="6B3ECA78" w:rsidR="00C258A3" w:rsidRPr="004E34E9" w:rsidRDefault="00C258A3" w:rsidP="00885F93">
            <w:pPr>
              <w:jc w:val="right"/>
              <w:rPr>
                <w:sz w:val="20"/>
                <w:szCs w:val="20"/>
                <w:lang w:eastAsia="cs-CZ"/>
              </w:rPr>
            </w:pPr>
            <w:r w:rsidRPr="004E34E9">
              <w:rPr>
                <w:sz w:val="20"/>
                <w:szCs w:val="20"/>
              </w:rPr>
              <w:t>170 000</w:t>
            </w:r>
          </w:p>
        </w:tc>
        <w:tc>
          <w:tcPr>
            <w:tcW w:w="659" w:type="pct"/>
            <w:tcBorders>
              <w:top w:val="nil"/>
              <w:left w:val="nil"/>
              <w:bottom w:val="single" w:sz="4" w:space="0" w:color="auto"/>
              <w:right w:val="single" w:sz="4" w:space="0" w:color="auto"/>
            </w:tcBorders>
            <w:shd w:val="clear" w:color="000000" w:fill="FFFFFF"/>
            <w:vAlign w:val="bottom"/>
          </w:tcPr>
          <w:p w14:paraId="33515A86" w14:textId="62EA4E22" w:rsidR="00C258A3" w:rsidRPr="004E34E9" w:rsidRDefault="00C258A3" w:rsidP="00885F93">
            <w:pPr>
              <w:jc w:val="right"/>
              <w:rPr>
                <w:sz w:val="20"/>
                <w:szCs w:val="20"/>
                <w:lang w:eastAsia="cs-CZ"/>
              </w:rPr>
            </w:pPr>
            <w:r w:rsidRPr="004E34E9">
              <w:rPr>
                <w:sz w:val="20"/>
                <w:szCs w:val="20"/>
              </w:rPr>
              <w:t>1 996 800</w:t>
            </w:r>
          </w:p>
        </w:tc>
      </w:tr>
      <w:tr w:rsidR="00C258A3" w:rsidRPr="00D615AB" w14:paraId="157D0EF8"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A71F7D7" w14:textId="77777777" w:rsidR="00C258A3" w:rsidRPr="004E34E9" w:rsidRDefault="00C258A3" w:rsidP="00B57E1E">
            <w:pPr>
              <w:rPr>
                <w:sz w:val="20"/>
                <w:szCs w:val="20"/>
                <w:lang w:eastAsia="cs-CZ"/>
              </w:rPr>
            </w:pPr>
            <w:r w:rsidRPr="004E34E9">
              <w:rPr>
                <w:sz w:val="20"/>
                <w:szCs w:val="20"/>
                <w:lang w:eastAsia="cs-CZ"/>
              </w:rPr>
              <w:t>VÚTS, a.s.</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613DD569" w14:textId="51C467F6"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1C3102F9" w14:textId="76D51AA3"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1F4BDE87" w14:textId="686BC9FC" w:rsidR="00C258A3" w:rsidRPr="004E34E9" w:rsidRDefault="00C258A3" w:rsidP="00885F93">
            <w:pPr>
              <w:jc w:val="right"/>
              <w:rPr>
                <w:sz w:val="20"/>
                <w:szCs w:val="20"/>
                <w:lang w:eastAsia="cs-CZ"/>
              </w:rPr>
            </w:pPr>
            <w:r w:rsidRPr="004E34E9">
              <w:rPr>
                <w:sz w:val="20"/>
                <w:szCs w:val="20"/>
              </w:rPr>
              <w:t>0</w:t>
            </w:r>
          </w:p>
        </w:tc>
        <w:tc>
          <w:tcPr>
            <w:tcW w:w="659" w:type="pct"/>
            <w:tcBorders>
              <w:top w:val="nil"/>
              <w:left w:val="nil"/>
              <w:bottom w:val="single" w:sz="4" w:space="0" w:color="auto"/>
              <w:right w:val="single" w:sz="4" w:space="0" w:color="auto"/>
            </w:tcBorders>
            <w:shd w:val="clear" w:color="auto" w:fill="F2F2F2" w:themeFill="background1" w:themeFillShade="F2"/>
            <w:vAlign w:val="bottom"/>
          </w:tcPr>
          <w:p w14:paraId="3CA4B33D" w14:textId="0A30C29C" w:rsidR="00C258A3" w:rsidRPr="004E34E9" w:rsidRDefault="00C258A3" w:rsidP="00885F93">
            <w:pPr>
              <w:jc w:val="right"/>
              <w:rPr>
                <w:sz w:val="20"/>
                <w:szCs w:val="20"/>
                <w:lang w:eastAsia="cs-CZ"/>
              </w:rPr>
            </w:pPr>
            <w:r w:rsidRPr="004E34E9">
              <w:rPr>
                <w:sz w:val="20"/>
                <w:szCs w:val="20"/>
              </w:rPr>
              <w:t>0</w:t>
            </w:r>
          </w:p>
        </w:tc>
      </w:tr>
      <w:tr w:rsidR="00C258A3" w:rsidRPr="00D615AB" w14:paraId="6A78FA31"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79B3F178" w14:textId="77777777" w:rsidR="00C258A3" w:rsidRPr="004E34E9" w:rsidRDefault="00C258A3" w:rsidP="00B57E1E">
            <w:pPr>
              <w:rPr>
                <w:sz w:val="20"/>
                <w:szCs w:val="20"/>
                <w:lang w:eastAsia="cs-CZ"/>
              </w:rPr>
            </w:pPr>
            <w:r w:rsidRPr="004E34E9">
              <w:rPr>
                <w:sz w:val="20"/>
                <w:szCs w:val="20"/>
                <w:lang w:eastAsia="cs-CZ"/>
              </w:rPr>
              <w:t>Výzkumný a zkušební letecký ústav, a.s.</w:t>
            </w:r>
          </w:p>
        </w:tc>
        <w:tc>
          <w:tcPr>
            <w:tcW w:w="660" w:type="pct"/>
            <w:tcBorders>
              <w:top w:val="nil"/>
              <w:left w:val="nil"/>
              <w:bottom w:val="single" w:sz="4" w:space="0" w:color="auto"/>
              <w:right w:val="single" w:sz="4" w:space="0" w:color="auto"/>
            </w:tcBorders>
            <w:shd w:val="clear" w:color="000000" w:fill="FFFFFF"/>
            <w:vAlign w:val="bottom"/>
          </w:tcPr>
          <w:p w14:paraId="07437D56" w14:textId="0BA68A08" w:rsidR="00C258A3" w:rsidRPr="004E34E9" w:rsidRDefault="00C258A3" w:rsidP="00885F93">
            <w:pPr>
              <w:jc w:val="right"/>
              <w:rPr>
                <w:sz w:val="20"/>
                <w:szCs w:val="20"/>
                <w:lang w:eastAsia="cs-CZ"/>
              </w:rPr>
            </w:pPr>
            <w:r w:rsidRPr="004E34E9">
              <w:rPr>
                <w:sz w:val="20"/>
                <w:szCs w:val="20"/>
              </w:rPr>
              <w:t>92 375</w:t>
            </w:r>
          </w:p>
        </w:tc>
        <w:tc>
          <w:tcPr>
            <w:tcW w:w="660" w:type="pct"/>
            <w:tcBorders>
              <w:top w:val="nil"/>
              <w:left w:val="nil"/>
              <w:bottom w:val="single" w:sz="4" w:space="0" w:color="auto"/>
              <w:right w:val="single" w:sz="4" w:space="0" w:color="auto"/>
            </w:tcBorders>
            <w:shd w:val="clear" w:color="000000" w:fill="FFFFFF"/>
            <w:vAlign w:val="bottom"/>
          </w:tcPr>
          <w:p w14:paraId="432BFFB8" w14:textId="0F0A0098" w:rsidR="00C258A3" w:rsidRPr="004E34E9" w:rsidRDefault="00C258A3" w:rsidP="00885F93">
            <w:pPr>
              <w:jc w:val="right"/>
              <w:rPr>
                <w:sz w:val="20"/>
                <w:szCs w:val="20"/>
                <w:lang w:eastAsia="cs-CZ"/>
              </w:rPr>
            </w:pPr>
            <w:r w:rsidRPr="004E34E9">
              <w:rPr>
                <w:sz w:val="20"/>
                <w:szCs w:val="20"/>
              </w:rPr>
              <w:t>149 972</w:t>
            </w:r>
          </w:p>
        </w:tc>
        <w:tc>
          <w:tcPr>
            <w:tcW w:w="660" w:type="pct"/>
            <w:tcBorders>
              <w:top w:val="nil"/>
              <w:left w:val="nil"/>
              <w:bottom w:val="single" w:sz="4" w:space="0" w:color="auto"/>
              <w:right w:val="single" w:sz="4" w:space="0" w:color="auto"/>
            </w:tcBorders>
            <w:shd w:val="clear" w:color="000000" w:fill="FFFFFF"/>
            <w:vAlign w:val="bottom"/>
          </w:tcPr>
          <w:p w14:paraId="09FE0785" w14:textId="0DC576BA" w:rsidR="00C258A3" w:rsidRPr="004E34E9" w:rsidRDefault="00C258A3" w:rsidP="00885F93">
            <w:pPr>
              <w:jc w:val="right"/>
              <w:rPr>
                <w:sz w:val="20"/>
                <w:szCs w:val="20"/>
                <w:lang w:eastAsia="cs-CZ"/>
              </w:rPr>
            </w:pPr>
            <w:r w:rsidRPr="004E34E9">
              <w:rPr>
                <w:sz w:val="20"/>
                <w:szCs w:val="20"/>
              </w:rPr>
              <w:t>200 119</w:t>
            </w:r>
          </w:p>
        </w:tc>
        <w:tc>
          <w:tcPr>
            <w:tcW w:w="659" w:type="pct"/>
            <w:tcBorders>
              <w:top w:val="nil"/>
              <w:left w:val="nil"/>
              <w:bottom w:val="single" w:sz="4" w:space="0" w:color="auto"/>
              <w:right w:val="single" w:sz="4" w:space="0" w:color="auto"/>
            </w:tcBorders>
            <w:shd w:val="clear" w:color="000000" w:fill="FFFFFF"/>
            <w:vAlign w:val="bottom"/>
          </w:tcPr>
          <w:p w14:paraId="71732C57" w14:textId="6B687730" w:rsidR="00C258A3" w:rsidRPr="004E34E9" w:rsidRDefault="00C258A3" w:rsidP="00885F93">
            <w:pPr>
              <w:jc w:val="right"/>
              <w:rPr>
                <w:sz w:val="20"/>
                <w:szCs w:val="20"/>
                <w:lang w:eastAsia="cs-CZ"/>
              </w:rPr>
            </w:pPr>
            <w:r w:rsidRPr="004E34E9">
              <w:rPr>
                <w:sz w:val="20"/>
                <w:szCs w:val="20"/>
              </w:rPr>
              <w:t>109 092</w:t>
            </w:r>
          </w:p>
        </w:tc>
      </w:tr>
      <w:tr w:rsidR="00C258A3" w:rsidRPr="00D615AB" w14:paraId="59577185"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3E231BEB" w14:textId="77777777" w:rsidR="00C258A3" w:rsidRPr="004E34E9" w:rsidRDefault="00C258A3" w:rsidP="00B57E1E">
            <w:pPr>
              <w:rPr>
                <w:sz w:val="20"/>
                <w:szCs w:val="20"/>
                <w:lang w:eastAsia="cs-CZ"/>
              </w:rPr>
            </w:pPr>
            <w:r w:rsidRPr="004E34E9">
              <w:rPr>
                <w:sz w:val="20"/>
                <w:szCs w:val="20"/>
                <w:lang w:eastAsia="cs-CZ"/>
              </w:rPr>
              <w:t>Výzkumný a zkušební ústav Plzeň s.r.o.</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63F2D259" w14:textId="21B1606E"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757C8136" w14:textId="2CCD1655"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4475EF80" w14:textId="52DE8176" w:rsidR="00C258A3" w:rsidRPr="004E34E9" w:rsidRDefault="00C258A3" w:rsidP="00885F93">
            <w:pPr>
              <w:jc w:val="right"/>
              <w:rPr>
                <w:sz w:val="20"/>
                <w:szCs w:val="20"/>
                <w:lang w:eastAsia="cs-CZ"/>
              </w:rPr>
            </w:pPr>
            <w:r w:rsidRPr="004E34E9">
              <w:rPr>
                <w:sz w:val="20"/>
                <w:szCs w:val="20"/>
              </w:rPr>
              <w:t>0</w:t>
            </w:r>
          </w:p>
        </w:tc>
        <w:tc>
          <w:tcPr>
            <w:tcW w:w="659" w:type="pct"/>
            <w:tcBorders>
              <w:top w:val="nil"/>
              <w:left w:val="nil"/>
              <w:bottom w:val="single" w:sz="4" w:space="0" w:color="auto"/>
              <w:right w:val="single" w:sz="4" w:space="0" w:color="auto"/>
            </w:tcBorders>
            <w:shd w:val="clear" w:color="auto" w:fill="F2F2F2" w:themeFill="background1" w:themeFillShade="F2"/>
            <w:vAlign w:val="bottom"/>
          </w:tcPr>
          <w:p w14:paraId="7B71D724" w14:textId="3D1969C1" w:rsidR="00C258A3" w:rsidRPr="004E34E9" w:rsidRDefault="00C258A3" w:rsidP="00885F93">
            <w:pPr>
              <w:jc w:val="right"/>
              <w:rPr>
                <w:sz w:val="20"/>
                <w:szCs w:val="20"/>
                <w:lang w:eastAsia="cs-CZ"/>
              </w:rPr>
            </w:pPr>
            <w:r w:rsidRPr="004E34E9">
              <w:rPr>
                <w:sz w:val="20"/>
                <w:szCs w:val="20"/>
              </w:rPr>
              <w:t>0</w:t>
            </w:r>
          </w:p>
        </w:tc>
      </w:tr>
      <w:tr w:rsidR="00C258A3" w:rsidRPr="00D615AB" w14:paraId="5CD5B6A9" w14:textId="77777777" w:rsidTr="004E34E9">
        <w:trPr>
          <w:trHeight w:val="272"/>
        </w:trPr>
        <w:tc>
          <w:tcPr>
            <w:tcW w:w="2361"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AAD575" w14:textId="77777777" w:rsidR="00C258A3" w:rsidRPr="004E34E9" w:rsidRDefault="00C258A3" w:rsidP="00B57E1E">
            <w:pPr>
              <w:rPr>
                <w:sz w:val="20"/>
                <w:szCs w:val="20"/>
                <w:lang w:eastAsia="cs-CZ"/>
              </w:rPr>
            </w:pPr>
            <w:r w:rsidRPr="004E34E9">
              <w:rPr>
                <w:sz w:val="20"/>
                <w:szCs w:val="20"/>
                <w:lang w:eastAsia="cs-CZ"/>
              </w:rPr>
              <w:t>Výzkumný ústav stavebních hmot, a.s.</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56CBB0AF" w14:textId="12FADB72"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5F4618D7" w14:textId="3CC15F15" w:rsidR="00C258A3" w:rsidRPr="004E34E9" w:rsidRDefault="00C258A3" w:rsidP="00885F93">
            <w:pPr>
              <w:jc w:val="right"/>
              <w:rPr>
                <w:sz w:val="20"/>
                <w:szCs w:val="20"/>
                <w:lang w:eastAsia="cs-CZ"/>
              </w:rPr>
            </w:pPr>
            <w:r w:rsidRPr="004E34E9">
              <w:rPr>
                <w:sz w:val="20"/>
                <w:szCs w:val="20"/>
              </w:rPr>
              <w:t>0</w:t>
            </w:r>
          </w:p>
        </w:tc>
        <w:tc>
          <w:tcPr>
            <w:tcW w:w="660" w:type="pct"/>
            <w:tcBorders>
              <w:top w:val="nil"/>
              <w:left w:val="nil"/>
              <w:bottom w:val="single" w:sz="4" w:space="0" w:color="auto"/>
              <w:right w:val="single" w:sz="4" w:space="0" w:color="auto"/>
            </w:tcBorders>
            <w:shd w:val="clear" w:color="auto" w:fill="F2F2F2" w:themeFill="background1" w:themeFillShade="F2"/>
            <w:vAlign w:val="bottom"/>
          </w:tcPr>
          <w:p w14:paraId="1F33E632" w14:textId="61698B15" w:rsidR="00C258A3" w:rsidRPr="004E34E9" w:rsidRDefault="00C258A3" w:rsidP="00885F93">
            <w:pPr>
              <w:jc w:val="right"/>
              <w:rPr>
                <w:sz w:val="20"/>
                <w:szCs w:val="20"/>
                <w:lang w:eastAsia="cs-CZ"/>
              </w:rPr>
            </w:pPr>
            <w:r w:rsidRPr="004E34E9">
              <w:rPr>
                <w:sz w:val="20"/>
                <w:szCs w:val="20"/>
              </w:rPr>
              <w:t>0</w:t>
            </w:r>
          </w:p>
        </w:tc>
        <w:tc>
          <w:tcPr>
            <w:tcW w:w="659" w:type="pct"/>
            <w:tcBorders>
              <w:top w:val="nil"/>
              <w:left w:val="nil"/>
              <w:bottom w:val="single" w:sz="4" w:space="0" w:color="auto"/>
              <w:right w:val="single" w:sz="4" w:space="0" w:color="auto"/>
            </w:tcBorders>
            <w:shd w:val="clear" w:color="auto" w:fill="F2F2F2" w:themeFill="background1" w:themeFillShade="F2"/>
            <w:vAlign w:val="bottom"/>
          </w:tcPr>
          <w:p w14:paraId="2512C9D5" w14:textId="29099865" w:rsidR="00C258A3" w:rsidRPr="004E34E9" w:rsidRDefault="00C258A3" w:rsidP="00885F93">
            <w:pPr>
              <w:jc w:val="right"/>
              <w:rPr>
                <w:sz w:val="20"/>
                <w:szCs w:val="20"/>
                <w:lang w:eastAsia="cs-CZ"/>
              </w:rPr>
            </w:pPr>
            <w:r w:rsidRPr="004E34E9">
              <w:rPr>
                <w:sz w:val="20"/>
                <w:szCs w:val="20"/>
              </w:rPr>
              <w:t>0</w:t>
            </w:r>
          </w:p>
        </w:tc>
      </w:tr>
      <w:tr w:rsidR="00C258A3" w:rsidRPr="00781DB9" w14:paraId="23F15F67" w14:textId="77777777" w:rsidTr="004E34E9">
        <w:trPr>
          <w:trHeight w:val="272"/>
        </w:trPr>
        <w:tc>
          <w:tcPr>
            <w:tcW w:w="23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D59C6" w14:textId="77777777" w:rsidR="00C258A3" w:rsidRPr="004E34E9" w:rsidRDefault="00C258A3" w:rsidP="00B57E1E">
            <w:pPr>
              <w:rPr>
                <w:b/>
                <w:sz w:val="20"/>
                <w:szCs w:val="20"/>
                <w:lang w:eastAsia="cs-CZ"/>
              </w:rPr>
            </w:pPr>
            <w:r w:rsidRPr="004E34E9">
              <w:rPr>
                <w:b/>
                <w:sz w:val="20"/>
                <w:szCs w:val="20"/>
                <w:lang w:eastAsia="cs-CZ"/>
              </w:rPr>
              <w:t xml:space="preserve">Celkem </w:t>
            </w:r>
          </w:p>
        </w:tc>
        <w:tc>
          <w:tcPr>
            <w:tcW w:w="660" w:type="pct"/>
            <w:tcBorders>
              <w:top w:val="single" w:sz="4" w:space="0" w:color="auto"/>
              <w:left w:val="nil"/>
              <w:bottom w:val="single" w:sz="4" w:space="0" w:color="auto"/>
              <w:right w:val="single" w:sz="4" w:space="0" w:color="auto"/>
            </w:tcBorders>
            <w:shd w:val="clear" w:color="000000" w:fill="FFFFFF"/>
            <w:vAlign w:val="bottom"/>
          </w:tcPr>
          <w:p w14:paraId="19F9B562" w14:textId="70282684" w:rsidR="00C258A3" w:rsidRPr="004E34E9" w:rsidRDefault="00C258A3" w:rsidP="00885F93">
            <w:pPr>
              <w:jc w:val="right"/>
              <w:rPr>
                <w:b/>
                <w:sz w:val="20"/>
                <w:szCs w:val="20"/>
              </w:rPr>
            </w:pPr>
            <w:r w:rsidRPr="004E34E9">
              <w:rPr>
                <w:b/>
                <w:sz w:val="20"/>
                <w:szCs w:val="20"/>
              </w:rPr>
              <w:t>11 347 080</w:t>
            </w:r>
          </w:p>
        </w:tc>
        <w:tc>
          <w:tcPr>
            <w:tcW w:w="660" w:type="pct"/>
            <w:tcBorders>
              <w:top w:val="single" w:sz="4" w:space="0" w:color="auto"/>
              <w:left w:val="nil"/>
              <w:bottom w:val="single" w:sz="4" w:space="0" w:color="auto"/>
              <w:right w:val="single" w:sz="4" w:space="0" w:color="auto"/>
            </w:tcBorders>
            <w:shd w:val="clear" w:color="000000" w:fill="FFFFFF"/>
            <w:vAlign w:val="bottom"/>
          </w:tcPr>
          <w:p w14:paraId="1BB029C6" w14:textId="4F5A8F43" w:rsidR="00C258A3" w:rsidRPr="004E34E9" w:rsidRDefault="00C258A3" w:rsidP="00885F93">
            <w:pPr>
              <w:jc w:val="right"/>
              <w:rPr>
                <w:b/>
                <w:sz w:val="20"/>
                <w:szCs w:val="20"/>
              </w:rPr>
            </w:pPr>
            <w:r w:rsidRPr="004E34E9">
              <w:rPr>
                <w:b/>
                <w:sz w:val="20"/>
                <w:szCs w:val="20"/>
              </w:rPr>
              <w:t>14 081 491</w:t>
            </w:r>
          </w:p>
        </w:tc>
        <w:tc>
          <w:tcPr>
            <w:tcW w:w="660" w:type="pct"/>
            <w:tcBorders>
              <w:top w:val="single" w:sz="4" w:space="0" w:color="auto"/>
              <w:left w:val="nil"/>
              <w:bottom w:val="single" w:sz="4" w:space="0" w:color="auto"/>
              <w:right w:val="single" w:sz="4" w:space="0" w:color="auto"/>
            </w:tcBorders>
            <w:shd w:val="clear" w:color="000000" w:fill="FFFFFF"/>
            <w:vAlign w:val="bottom"/>
          </w:tcPr>
          <w:p w14:paraId="503F5B1C" w14:textId="6036DA2D" w:rsidR="00C258A3" w:rsidRPr="004E34E9" w:rsidRDefault="00C258A3" w:rsidP="00885F93">
            <w:pPr>
              <w:jc w:val="right"/>
              <w:rPr>
                <w:b/>
                <w:sz w:val="20"/>
                <w:szCs w:val="20"/>
              </w:rPr>
            </w:pPr>
            <w:r w:rsidRPr="004E34E9">
              <w:rPr>
                <w:b/>
                <w:sz w:val="20"/>
                <w:szCs w:val="20"/>
              </w:rPr>
              <w:t>17 538 538</w:t>
            </w:r>
          </w:p>
        </w:tc>
        <w:tc>
          <w:tcPr>
            <w:tcW w:w="659" w:type="pct"/>
            <w:tcBorders>
              <w:top w:val="single" w:sz="4" w:space="0" w:color="auto"/>
              <w:left w:val="nil"/>
              <w:bottom w:val="single" w:sz="4" w:space="0" w:color="auto"/>
              <w:right w:val="single" w:sz="4" w:space="0" w:color="auto"/>
            </w:tcBorders>
            <w:shd w:val="clear" w:color="000000" w:fill="FFFFFF"/>
            <w:vAlign w:val="bottom"/>
          </w:tcPr>
          <w:p w14:paraId="29971445" w14:textId="335CCC36" w:rsidR="00C258A3" w:rsidRPr="004E34E9" w:rsidRDefault="00C258A3" w:rsidP="00885F93">
            <w:pPr>
              <w:jc w:val="right"/>
              <w:rPr>
                <w:b/>
                <w:sz w:val="20"/>
                <w:szCs w:val="20"/>
              </w:rPr>
            </w:pPr>
            <w:r w:rsidRPr="004E34E9">
              <w:rPr>
                <w:b/>
                <w:sz w:val="20"/>
                <w:szCs w:val="20"/>
              </w:rPr>
              <w:t>15 329 449</w:t>
            </w:r>
          </w:p>
        </w:tc>
      </w:tr>
    </w:tbl>
    <w:p w14:paraId="145C3EC3" w14:textId="39A073DA" w:rsidR="005648B8" w:rsidRPr="005648B8" w:rsidRDefault="00C258A3" w:rsidP="009F3FF2">
      <w:pPr>
        <w:ind w:left="567" w:hanging="567"/>
        <w:rPr>
          <w:rStyle w:val="Hypertextovodkaz"/>
          <w:rFonts w:asciiTheme="minorHAnsi" w:eastAsiaTheme="minorHAnsi" w:hAnsiTheme="minorHAnsi" w:cstheme="minorHAnsi"/>
          <w:color w:val="auto"/>
          <w:sz w:val="20"/>
          <w:szCs w:val="20"/>
          <w:u w:val="none"/>
        </w:rPr>
      </w:pPr>
      <w:r w:rsidRPr="005648B8">
        <w:rPr>
          <w:rFonts w:asciiTheme="minorHAnsi" w:eastAsiaTheme="minorHAnsi" w:hAnsiTheme="minorHAnsi" w:cstheme="minorHAnsi"/>
          <w:b/>
          <w:color w:val="auto"/>
          <w:sz w:val="20"/>
          <w:szCs w:val="20"/>
        </w:rPr>
        <w:t>Zdroj:</w:t>
      </w:r>
      <w:r w:rsidRPr="005648B8">
        <w:rPr>
          <w:rFonts w:asciiTheme="minorHAnsi" w:eastAsiaTheme="minorHAnsi" w:hAnsiTheme="minorHAnsi" w:cstheme="minorHAnsi"/>
          <w:color w:val="auto"/>
          <w:sz w:val="20"/>
          <w:szCs w:val="20"/>
        </w:rPr>
        <w:t xml:space="preserve"> </w:t>
      </w:r>
      <w:r w:rsidR="005648B8">
        <w:rPr>
          <w:rFonts w:asciiTheme="minorHAnsi" w:eastAsiaTheme="minorHAnsi" w:hAnsiTheme="minorHAnsi" w:cstheme="minorHAnsi"/>
          <w:color w:val="auto"/>
          <w:sz w:val="20"/>
          <w:szCs w:val="20"/>
        </w:rPr>
        <w:tab/>
      </w:r>
      <w:r w:rsidR="000A6817">
        <w:rPr>
          <w:rFonts w:asciiTheme="minorHAnsi" w:hAnsiTheme="minorHAnsi" w:cstheme="minorHAnsi"/>
          <w:color w:val="auto"/>
          <w:sz w:val="20"/>
          <w:szCs w:val="20"/>
        </w:rPr>
        <w:t>v</w:t>
      </w:r>
      <w:r w:rsidR="006B5AD1" w:rsidRPr="005648B8">
        <w:rPr>
          <w:rFonts w:asciiTheme="minorHAnsi" w:hAnsiTheme="minorHAnsi" w:cstheme="minorHAnsi"/>
          <w:color w:val="auto"/>
          <w:sz w:val="20"/>
          <w:szCs w:val="20"/>
        </w:rPr>
        <w:t>ýkazy příjmů z transferu znalostí za roky 2018 až 2021</w:t>
      </w:r>
      <w:r w:rsidR="000A6817">
        <w:rPr>
          <w:rFonts w:asciiTheme="minorHAnsi" w:hAnsiTheme="minorHAnsi" w:cstheme="minorHAnsi"/>
          <w:color w:val="auto"/>
          <w:sz w:val="20"/>
          <w:szCs w:val="20"/>
        </w:rPr>
        <w:t>,</w:t>
      </w:r>
      <w:r w:rsidR="006B5AD1" w:rsidRPr="005648B8">
        <w:rPr>
          <w:rFonts w:asciiTheme="minorHAnsi" w:eastAsiaTheme="minorHAnsi" w:hAnsiTheme="minorHAnsi" w:cstheme="minorHAnsi"/>
          <w:color w:val="auto"/>
          <w:sz w:val="20"/>
          <w:szCs w:val="20"/>
        </w:rPr>
        <w:t xml:space="preserve"> </w:t>
      </w:r>
      <w:r w:rsidR="000A6817">
        <w:rPr>
          <w:rFonts w:asciiTheme="minorHAnsi" w:eastAsiaTheme="minorHAnsi" w:hAnsiTheme="minorHAnsi" w:cstheme="minorHAnsi"/>
          <w:color w:val="auto"/>
          <w:sz w:val="20"/>
          <w:szCs w:val="20"/>
        </w:rPr>
        <w:t>d</w:t>
      </w:r>
      <w:r w:rsidR="006B5AD1" w:rsidRPr="005648B8">
        <w:rPr>
          <w:rFonts w:asciiTheme="minorHAnsi" w:eastAsiaTheme="minorHAnsi" w:hAnsiTheme="minorHAnsi" w:cstheme="minorHAnsi"/>
          <w:color w:val="auto"/>
          <w:sz w:val="20"/>
          <w:szCs w:val="20"/>
        </w:rPr>
        <w:t>ostupné z:</w:t>
      </w:r>
      <w:r w:rsidRPr="005648B8">
        <w:rPr>
          <w:rFonts w:asciiTheme="minorHAnsi" w:eastAsiaTheme="minorHAnsi" w:hAnsiTheme="minorHAnsi" w:cstheme="minorHAnsi"/>
          <w:color w:val="auto"/>
          <w:sz w:val="20"/>
          <w:szCs w:val="20"/>
        </w:rPr>
        <w:t xml:space="preserve"> </w:t>
      </w:r>
      <w:hyperlink r:id="rId16" w:history="1">
        <w:r w:rsidR="00A67A71" w:rsidRPr="007878BD">
          <w:rPr>
            <w:rStyle w:val="Hypertextovodkaz"/>
            <w:rFonts w:asciiTheme="minorHAnsi" w:eastAsiaTheme="minorHAnsi" w:hAnsiTheme="minorHAnsi" w:cstheme="minorHAnsi"/>
            <w:sz w:val="20"/>
            <w:szCs w:val="20"/>
          </w:rPr>
          <w:t>https://www.msmt.cz/vyzkum-a-vyvoj-2/vyzkumne-organizace</w:t>
        </w:r>
      </w:hyperlink>
      <w:r w:rsidR="005648B8" w:rsidRPr="005648B8">
        <w:rPr>
          <w:rStyle w:val="Hypertextovodkaz"/>
          <w:rFonts w:asciiTheme="minorHAnsi" w:eastAsiaTheme="minorHAnsi" w:hAnsiTheme="minorHAnsi" w:cstheme="minorHAnsi"/>
          <w:color w:val="auto"/>
          <w:sz w:val="20"/>
          <w:szCs w:val="20"/>
          <w:u w:val="none"/>
        </w:rPr>
        <w:t>.</w:t>
      </w:r>
    </w:p>
    <w:p w14:paraId="0B68185B" w14:textId="0B4EF670" w:rsidR="005648B8" w:rsidRPr="005648B8" w:rsidRDefault="005648B8" w:rsidP="005648B8">
      <w:pPr>
        <w:rPr>
          <w:rFonts w:asciiTheme="minorHAnsi" w:eastAsiaTheme="minorHAnsi" w:hAnsiTheme="minorHAnsi" w:cstheme="minorHAnsi"/>
          <w:color w:val="auto"/>
          <w:sz w:val="20"/>
          <w:szCs w:val="20"/>
        </w:rPr>
      </w:pPr>
      <w:r w:rsidRPr="00C6334F">
        <w:rPr>
          <w:rFonts w:asciiTheme="minorHAnsi" w:eastAsiaTheme="minorHAnsi" w:hAnsiTheme="minorHAnsi" w:cstheme="minorHAnsi"/>
          <w:color w:val="auto"/>
          <w:sz w:val="20"/>
          <w:szCs w:val="20"/>
        </w:rPr>
        <w:t>*</w:t>
      </w:r>
      <w:r w:rsidRPr="005648B8">
        <w:rPr>
          <w:rFonts w:asciiTheme="minorHAnsi" w:eastAsiaTheme="minorHAnsi" w:hAnsiTheme="minorHAnsi" w:cstheme="minorHAnsi"/>
          <w:color w:val="auto"/>
          <w:sz w:val="20"/>
          <w:szCs w:val="20"/>
        </w:rPr>
        <w:t xml:space="preserve"> </w:t>
      </w:r>
      <w:r>
        <w:rPr>
          <w:rFonts w:asciiTheme="minorHAnsi" w:eastAsiaTheme="minorHAnsi" w:hAnsiTheme="minorHAnsi" w:cstheme="minorHAnsi"/>
          <w:color w:val="auto"/>
          <w:sz w:val="20"/>
          <w:szCs w:val="20"/>
        </w:rPr>
        <w:tab/>
      </w:r>
      <w:r w:rsidRPr="005648B8">
        <w:rPr>
          <w:rFonts w:asciiTheme="minorHAnsi" w:eastAsiaTheme="minorHAnsi" w:hAnsiTheme="minorHAnsi" w:cstheme="minorHAnsi"/>
          <w:color w:val="auto"/>
          <w:sz w:val="20"/>
          <w:szCs w:val="20"/>
        </w:rPr>
        <w:t xml:space="preserve">Výzkumná organizace nejdříve uvedla částku </w:t>
      </w:r>
      <w:bookmarkStart w:id="8" w:name="_Hlk130541194"/>
      <w:r w:rsidRPr="005648B8">
        <w:rPr>
          <w:rFonts w:asciiTheme="minorHAnsi" w:eastAsiaTheme="minorHAnsi" w:hAnsiTheme="minorHAnsi" w:cstheme="minorHAnsi"/>
          <w:color w:val="auto"/>
          <w:sz w:val="20"/>
          <w:szCs w:val="20"/>
        </w:rPr>
        <w:t>145 466 000 Kč</w:t>
      </w:r>
      <w:bookmarkEnd w:id="8"/>
      <w:r w:rsidRPr="005648B8">
        <w:rPr>
          <w:rFonts w:asciiTheme="minorHAnsi" w:eastAsiaTheme="minorHAnsi" w:hAnsiTheme="minorHAnsi" w:cstheme="minorHAnsi"/>
          <w:color w:val="auto"/>
          <w:sz w:val="20"/>
          <w:szCs w:val="20"/>
        </w:rPr>
        <w:t>. Následně tuto částku opravila na 0 Kč.</w:t>
      </w:r>
    </w:p>
    <w:p w14:paraId="036F10F8" w14:textId="651AF9C0" w:rsidR="0054559C" w:rsidRPr="00C6334F" w:rsidRDefault="0054559C" w:rsidP="00C16446">
      <w:pPr>
        <w:rPr>
          <w:rFonts w:asciiTheme="minorHAnsi" w:eastAsiaTheme="minorHAnsi" w:hAnsiTheme="minorHAnsi" w:cstheme="minorHAnsi"/>
          <w:color w:val="auto"/>
          <w:sz w:val="20"/>
          <w:szCs w:val="20"/>
        </w:rPr>
      </w:pPr>
    </w:p>
    <w:p w14:paraId="2FCFE6C7" w14:textId="782CE024" w:rsidR="00351A3A" w:rsidRPr="00C05662" w:rsidRDefault="00307B55" w:rsidP="00C16446">
      <w:pPr>
        <w:rPr>
          <w:rFonts w:asciiTheme="minorHAnsi" w:eastAsiaTheme="minorHAnsi" w:hAnsiTheme="minorHAnsi" w:cstheme="minorHAnsi"/>
          <w:i/>
          <w:strike/>
          <w:color w:val="auto"/>
          <w:sz w:val="20"/>
          <w:szCs w:val="20"/>
        </w:rPr>
      </w:pPr>
      <w:r>
        <w:lastRenderedPageBreak/>
        <w:t xml:space="preserve">NKÚ </w:t>
      </w:r>
      <w:r w:rsidR="0054559C">
        <w:t>při kontrole</w:t>
      </w:r>
      <w:r>
        <w:t xml:space="preserve"> zjistil, že pravidla pro vykazování příjmů z</w:t>
      </w:r>
      <w:r w:rsidR="000A6817">
        <w:t xml:space="preserve"> </w:t>
      </w:r>
      <w:r>
        <w:t>transferu znalostí nebyla podpořeným výzkumným organizacím vždy zcela jasná</w:t>
      </w:r>
      <w:r w:rsidR="00AC5F80">
        <w:t xml:space="preserve">. </w:t>
      </w:r>
      <w:r>
        <w:t>V</w:t>
      </w:r>
      <w:r w:rsidR="000A6817">
        <w:t xml:space="preserve"> </w:t>
      </w:r>
      <w:r>
        <w:t>případě nejasností v</w:t>
      </w:r>
      <w:r w:rsidR="000A6817">
        <w:t xml:space="preserve"> </w:t>
      </w:r>
      <w:r>
        <w:t xml:space="preserve">oblasti vykazování </w:t>
      </w:r>
      <w:r w:rsidR="000A6817">
        <w:t xml:space="preserve">těchto </w:t>
      </w:r>
      <w:r>
        <w:t xml:space="preserve">příjmů se výzkumné organizace obracely na MPO formou konzultací. </w:t>
      </w:r>
    </w:p>
    <w:p w14:paraId="75A8A008" w14:textId="77777777" w:rsidR="00351A3A" w:rsidRDefault="00351A3A" w:rsidP="00C16446"/>
    <w:p w14:paraId="1B480176" w14:textId="25AE6ACD" w:rsidR="00351A3A" w:rsidRPr="00351A3A" w:rsidRDefault="00351A3A" w:rsidP="00351A3A">
      <w:pPr>
        <w:pBdr>
          <w:top w:val="single" w:sz="4" w:space="1" w:color="auto"/>
          <w:left w:val="single" w:sz="4" w:space="4" w:color="auto"/>
          <w:bottom w:val="single" w:sz="4" w:space="1" w:color="auto"/>
          <w:right w:val="single" w:sz="4" w:space="4" w:color="auto"/>
        </w:pBdr>
        <w:rPr>
          <w:b/>
        </w:rPr>
      </w:pPr>
      <w:r w:rsidRPr="00351A3A">
        <w:rPr>
          <w:b/>
        </w:rPr>
        <w:t xml:space="preserve">Příklad č. </w:t>
      </w:r>
      <w:r w:rsidR="00F76E94">
        <w:rPr>
          <w:b/>
        </w:rPr>
        <w:t>3</w:t>
      </w:r>
    </w:p>
    <w:p w14:paraId="69799E48" w14:textId="7C47B299" w:rsidR="0057577E" w:rsidRPr="00B43549" w:rsidRDefault="00C7299B" w:rsidP="00B43549">
      <w:pPr>
        <w:pBdr>
          <w:top w:val="single" w:sz="4" w:space="1" w:color="auto"/>
          <w:left w:val="single" w:sz="4" w:space="4" w:color="auto"/>
          <w:bottom w:val="single" w:sz="4" w:space="1" w:color="auto"/>
          <w:right w:val="single" w:sz="4" w:space="4" w:color="auto"/>
        </w:pBdr>
        <w:rPr>
          <w:b/>
          <w:i/>
        </w:rPr>
      </w:pPr>
      <w:r w:rsidRPr="00C7299B">
        <w:rPr>
          <w:i/>
        </w:rPr>
        <w:t>J</w:t>
      </w:r>
      <w:r w:rsidR="00930AA7" w:rsidRPr="00C7299B">
        <w:rPr>
          <w:i/>
        </w:rPr>
        <w:t xml:space="preserve">edna </w:t>
      </w:r>
      <w:r w:rsidR="00572471" w:rsidRPr="00C7299B">
        <w:rPr>
          <w:i/>
        </w:rPr>
        <w:t xml:space="preserve">podpořená </w:t>
      </w:r>
      <w:r w:rsidR="00930AA7" w:rsidRPr="00C7299B">
        <w:rPr>
          <w:i/>
        </w:rPr>
        <w:t>v</w:t>
      </w:r>
      <w:r w:rsidR="00FB7E78" w:rsidRPr="00C7299B">
        <w:rPr>
          <w:i/>
        </w:rPr>
        <w:t>ýzkumná organizace</w:t>
      </w:r>
      <w:r w:rsidR="00FB7E78" w:rsidRPr="00351A3A">
        <w:rPr>
          <w:i/>
        </w:rPr>
        <w:t xml:space="preserve"> původně vykázala, že </w:t>
      </w:r>
      <w:r w:rsidR="000A6817" w:rsidRPr="00351A3A">
        <w:rPr>
          <w:i/>
        </w:rPr>
        <w:t xml:space="preserve">za rok 2021 </w:t>
      </w:r>
      <w:r w:rsidR="00FB7E78" w:rsidRPr="00351A3A">
        <w:rPr>
          <w:i/>
        </w:rPr>
        <w:t>dosáhla příjmu z transferu znalostí ve výši 145 466 000 Kč. Následně</w:t>
      </w:r>
      <w:r w:rsidR="00351A3A">
        <w:rPr>
          <w:i/>
        </w:rPr>
        <w:t xml:space="preserve"> po</w:t>
      </w:r>
      <w:r w:rsidR="000A6817">
        <w:rPr>
          <w:i/>
        </w:rPr>
        <w:t xml:space="preserve"> </w:t>
      </w:r>
      <w:r w:rsidR="00351A3A">
        <w:rPr>
          <w:i/>
        </w:rPr>
        <w:t>konzultaci s MPO</w:t>
      </w:r>
      <w:r w:rsidR="00FB7E78" w:rsidRPr="00351A3A">
        <w:rPr>
          <w:i/>
        </w:rPr>
        <w:t xml:space="preserve"> tato výzkumná organizace</w:t>
      </w:r>
      <w:r w:rsidR="00310748" w:rsidRPr="00351A3A">
        <w:rPr>
          <w:i/>
        </w:rPr>
        <w:t xml:space="preserve"> projekty původně zařazené do kategorie transfer znalostí identifikovala jako smluvní a</w:t>
      </w:r>
      <w:r w:rsidR="000A6817">
        <w:rPr>
          <w:i/>
        </w:rPr>
        <w:t xml:space="preserve"> </w:t>
      </w:r>
      <w:r w:rsidR="00310748" w:rsidRPr="00351A3A">
        <w:rPr>
          <w:i/>
        </w:rPr>
        <w:t>nezávislý výzkum a opravila ve výkazu příjmů z</w:t>
      </w:r>
      <w:r w:rsidR="000A6817">
        <w:rPr>
          <w:i/>
        </w:rPr>
        <w:t xml:space="preserve"> </w:t>
      </w:r>
      <w:r w:rsidR="00310748" w:rsidRPr="00351A3A">
        <w:rPr>
          <w:i/>
        </w:rPr>
        <w:t>transferu znalostí původně uvedenou částku 145 466 000 Kč na 0 Kč.</w:t>
      </w:r>
    </w:p>
    <w:p w14:paraId="0774B99F" w14:textId="1166C58E" w:rsidR="00E729C2" w:rsidRDefault="00755A98" w:rsidP="000402A6">
      <w:pPr>
        <w:pStyle w:val="Nadpis2"/>
      </w:pPr>
      <w:r>
        <w:t>P</w:t>
      </w:r>
      <w:r w:rsidR="000402A6">
        <w:t xml:space="preserve">orušení zákona o </w:t>
      </w:r>
      <w:r w:rsidR="00F21EAA">
        <w:t xml:space="preserve">zadávání </w:t>
      </w:r>
      <w:r w:rsidR="000402A6">
        <w:t>veřejných zakáz</w:t>
      </w:r>
      <w:r w:rsidR="00F21EAA">
        <w:t>ek</w:t>
      </w:r>
    </w:p>
    <w:p w14:paraId="0B99465B" w14:textId="0E040D49" w:rsidR="00D34F32" w:rsidRDefault="00A04FE8" w:rsidP="00A04FE8">
      <w:pPr>
        <w:rPr>
          <w:rFonts w:asciiTheme="minorHAnsi" w:hAnsiTheme="minorHAnsi" w:cstheme="minorHAnsi"/>
          <w:bCs/>
          <w:iCs/>
        </w:rPr>
      </w:pPr>
      <w:r>
        <w:t>Jedním z</w:t>
      </w:r>
      <w:r w:rsidR="004D3E4D">
        <w:t xml:space="preserve"> </w:t>
      </w:r>
      <w:r>
        <w:t xml:space="preserve">osmi příjemců </w:t>
      </w:r>
      <w:r w:rsidR="004D3E4D">
        <w:t>prověřených</w:t>
      </w:r>
      <w:r>
        <w:t xml:space="preserve"> veřejnosprávní finanční kontrol</w:t>
      </w:r>
      <w:r w:rsidR="004D3E4D">
        <w:t>o</w:t>
      </w:r>
      <w:r>
        <w:t>u byla výzkumná organizac</w:t>
      </w:r>
      <w:r w:rsidR="00D34F32">
        <w:t>e</w:t>
      </w:r>
      <w:r w:rsidR="00231E45">
        <w:t>, u které MPO kontrolu provedlo v letech 2021 a 2022 a</w:t>
      </w:r>
      <w:r w:rsidR="004D3E4D">
        <w:t xml:space="preserve"> </w:t>
      </w:r>
      <w:r w:rsidR="00231E45">
        <w:t xml:space="preserve">kontrolovaným obdobím byly roky </w:t>
      </w:r>
      <w:r w:rsidR="00231E45" w:rsidRPr="00231E45">
        <w:t>2018 až 2021</w:t>
      </w:r>
      <w:r w:rsidR="00231E45">
        <w:t>. Na základě zjištěn</w:t>
      </w:r>
      <w:r w:rsidR="004D3E4D">
        <w:t>ých</w:t>
      </w:r>
      <w:r w:rsidR="00231E45">
        <w:t xml:space="preserve"> </w:t>
      </w:r>
      <w:r w:rsidR="004D3E4D">
        <w:t xml:space="preserve">skutečností dospělo </w:t>
      </w:r>
      <w:r w:rsidR="00231E45">
        <w:t>MPO k</w:t>
      </w:r>
      <w:r w:rsidR="004D3E4D">
        <w:t xml:space="preserve"> </w:t>
      </w:r>
      <w:r w:rsidR="00231E45">
        <w:t xml:space="preserve">závěru, že výzkumná organizace </w:t>
      </w:r>
      <w:r w:rsidR="006E505C" w:rsidRPr="00A4441D">
        <w:rPr>
          <w:rFonts w:asciiTheme="minorHAnsi" w:hAnsiTheme="minorHAnsi" w:cstheme="minorHAnsi"/>
          <w:b/>
          <w:bCs/>
          <w:iCs/>
        </w:rPr>
        <w:t>nesplnil</w:t>
      </w:r>
      <w:r w:rsidR="00E40007" w:rsidRPr="00A4441D">
        <w:rPr>
          <w:rFonts w:asciiTheme="minorHAnsi" w:hAnsiTheme="minorHAnsi" w:cstheme="minorHAnsi"/>
          <w:b/>
          <w:bCs/>
          <w:iCs/>
        </w:rPr>
        <w:t>a</w:t>
      </w:r>
      <w:r w:rsidR="006E505C" w:rsidRPr="00A4441D">
        <w:rPr>
          <w:rFonts w:asciiTheme="minorHAnsi" w:hAnsiTheme="minorHAnsi" w:cstheme="minorHAnsi"/>
          <w:b/>
          <w:bCs/>
          <w:iCs/>
        </w:rPr>
        <w:t xml:space="preserve"> podmínky</w:t>
      </w:r>
      <w:r w:rsidR="006E505C">
        <w:rPr>
          <w:rFonts w:asciiTheme="minorHAnsi" w:hAnsiTheme="minorHAnsi" w:cstheme="minorHAnsi"/>
          <w:bCs/>
          <w:iCs/>
        </w:rPr>
        <w:t xml:space="preserve"> </w:t>
      </w:r>
      <w:r w:rsidR="00E40007">
        <w:rPr>
          <w:rFonts w:asciiTheme="minorHAnsi" w:hAnsiTheme="minorHAnsi" w:cstheme="minorHAnsi"/>
          <w:bCs/>
          <w:iCs/>
        </w:rPr>
        <w:t xml:space="preserve">stanovené v </w:t>
      </w:r>
      <w:r w:rsidR="004D3E4D">
        <w:rPr>
          <w:rFonts w:asciiTheme="minorHAnsi" w:hAnsiTheme="minorHAnsi" w:cstheme="minorHAnsi"/>
          <w:bCs/>
          <w:iCs/>
        </w:rPr>
        <w:t>„</w:t>
      </w:r>
      <w:r w:rsidR="004D3E4D" w:rsidRPr="00C6334F">
        <w:rPr>
          <w:rFonts w:asciiTheme="minorHAnsi" w:hAnsiTheme="minorHAnsi" w:cstheme="minorHAnsi"/>
          <w:bCs/>
          <w:i/>
          <w:iCs/>
        </w:rPr>
        <w:t>r</w:t>
      </w:r>
      <w:r w:rsidR="006E505C" w:rsidRPr="00C6334F">
        <w:rPr>
          <w:rFonts w:asciiTheme="minorHAnsi" w:hAnsiTheme="minorHAnsi" w:cstheme="minorHAnsi"/>
          <w:bCs/>
          <w:i/>
          <w:iCs/>
        </w:rPr>
        <w:t>ozhodnutí o poskytnutí institucionální podpory</w:t>
      </w:r>
      <w:r w:rsidR="004D3E4D">
        <w:rPr>
          <w:rFonts w:asciiTheme="minorHAnsi" w:hAnsiTheme="minorHAnsi" w:cstheme="minorHAnsi"/>
          <w:bCs/>
          <w:iCs/>
        </w:rPr>
        <w:t>“</w:t>
      </w:r>
      <w:r w:rsidR="006E505C">
        <w:rPr>
          <w:rFonts w:asciiTheme="minorHAnsi" w:hAnsiTheme="minorHAnsi" w:cstheme="minorHAnsi"/>
          <w:bCs/>
          <w:iCs/>
        </w:rPr>
        <w:t xml:space="preserve">, </w:t>
      </w:r>
      <w:r w:rsidR="00E40007">
        <w:rPr>
          <w:rFonts w:asciiTheme="minorHAnsi" w:hAnsiTheme="minorHAnsi" w:cstheme="minorHAnsi"/>
          <w:bCs/>
          <w:iCs/>
        </w:rPr>
        <w:t>podle kterých</w:t>
      </w:r>
      <w:r w:rsidR="006E505C">
        <w:rPr>
          <w:rFonts w:asciiTheme="minorHAnsi" w:hAnsiTheme="minorHAnsi" w:cstheme="minorHAnsi"/>
          <w:bCs/>
          <w:iCs/>
        </w:rPr>
        <w:t xml:space="preserve"> je </w:t>
      </w:r>
      <w:r w:rsidR="00E40007">
        <w:rPr>
          <w:rFonts w:asciiTheme="minorHAnsi" w:hAnsiTheme="minorHAnsi" w:cstheme="minorHAnsi"/>
          <w:bCs/>
          <w:iCs/>
        </w:rPr>
        <w:t xml:space="preserve">institucionální </w:t>
      </w:r>
      <w:r w:rsidR="006E505C">
        <w:rPr>
          <w:rFonts w:asciiTheme="minorHAnsi" w:hAnsiTheme="minorHAnsi" w:cstheme="minorHAnsi"/>
          <w:bCs/>
          <w:iCs/>
        </w:rPr>
        <w:t>podpora poskytnuta výhradně na</w:t>
      </w:r>
      <w:r w:rsidR="004D3E4D">
        <w:rPr>
          <w:rFonts w:asciiTheme="minorHAnsi" w:hAnsiTheme="minorHAnsi" w:cstheme="minorHAnsi"/>
          <w:bCs/>
          <w:iCs/>
        </w:rPr>
        <w:t xml:space="preserve"> </w:t>
      </w:r>
      <w:r w:rsidR="006E505C">
        <w:rPr>
          <w:rFonts w:asciiTheme="minorHAnsi" w:hAnsiTheme="minorHAnsi" w:cstheme="minorHAnsi"/>
          <w:bCs/>
          <w:iCs/>
        </w:rPr>
        <w:t>nehospodářské činnosti příjemce</w:t>
      </w:r>
      <w:r w:rsidR="0054559C">
        <w:rPr>
          <w:rFonts w:asciiTheme="minorHAnsi" w:hAnsiTheme="minorHAnsi" w:cstheme="minorHAnsi"/>
          <w:bCs/>
          <w:iCs/>
        </w:rPr>
        <w:t>,</w:t>
      </w:r>
      <w:r w:rsidR="006E505C">
        <w:rPr>
          <w:rFonts w:asciiTheme="minorHAnsi" w:hAnsiTheme="minorHAnsi" w:cstheme="minorHAnsi"/>
          <w:bCs/>
          <w:iCs/>
        </w:rPr>
        <w:t xml:space="preserve"> </w:t>
      </w:r>
      <w:r w:rsidR="00E40007">
        <w:rPr>
          <w:rFonts w:asciiTheme="minorHAnsi" w:hAnsiTheme="minorHAnsi" w:cstheme="minorHAnsi"/>
          <w:bCs/>
          <w:iCs/>
        </w:rPr>
        <w:t>a současně</w:t>
      </w:r>
      <w:r w:rsidR="004D3E4D">
        <w:rPr>
          <w:rFonts w:asciiTheme="minorHAnsi" w:hAnsiTheme="minorHAnsi" w:cstheme="minorHAnsi"/>
          <w:bCs/>
          <w:iCs/>
        </w:rPr>
        <w:t xml:space="preserve"> </w:t>
      </w:r>
      <w:r w:rsidR="00E40007">
        <w:rPr>
          <w:rFonts w:asciiTheme="minorHAnsi" w:hAnsiTheme="minorHAnsi" w:cstheme="minorHAnsi"/>
          <w:bCs/>
          <w:iCs/>
        </w:rPr>
        <w:t xml:space="preserve">tím porušila podmínky </w:t>
      </w:r>
      <w:r w:rsidR="006E505C" w:rsidRPr="00C6334F">
        <w:rPr>
          <w:rFonts w:asciiTheme="minorHAnsi" w:hAnsiTheme="minorHAnsi" w:cstheme="minorHAnsi"/>
          <w:bCs/>
          <w:i/>
          <w:iCs/>
        </w:rPr>
        <w:t>Rámce pro státní podporu výzkumu, vývoje a inovací</w:t>
      </w:r>
      <w:r w:rsidR="00E40007">
        <w:rPr>
          <w:rFonts w:asciiTheme="minorHAnsi" w:hAnsiTheme="minorHAnsi" w:cstheme="minorHAnsi"/>
          <w:bCs/>
          <w:iCs/>
        </w:rPr>
        <w:t>.</w:t>
      </w:r>
      <w:r w:rsidR="006E505C">
        <w:t xml:space="preserve"> MPO v</w:t>
      </w:r>
      <w:r w:rsidR="004D3E4D">
        <w:t xml:space="preserve"> </w:t>
      </w:r>
      <w:r w:rsidR="006E505C">
        <w:t>souladu s</w:t>
      </w:r>
      <w:r w:rsidR="004D3E4D">
        <w:t xml:space="preserve"> </w:t>
      </w:r>
      <w:r w:rsidR="006E505C">
        <w:t>rozpočtovými pravidly</w:t>
      </w:r>
      <w:r w:rsidR="00231E45">
        <w:t xml:space="preserve"> </w:t>
      </w:r>
      <w:r w:rsidR="004D3E4D" w:rsidRPr="00A4441D">
        <w:rPr>
          <w:b/>
        </w:rPr>
        <w:t>nevyplatilo</w:t>
      </w:r>
      <w:r w:rsidR="004D3E4D">
        <w:t xml:space="preserve"> </w:t>
      </w:r>
      <w:r w:rsidR="006E505C">
        <w:t xml:space="preserve">v roce 2022 výzkumné organizaci institucionální podporu a současně </w:t>
      </w:r>
      <w:r w:rsidR="006E505C" w:rsidRPr="001170B0">
        <w:rPr>
          <w:rFonts w:asciiTheme="minorHAnsi" w:hAnsiTheme="minorHAnsi" w:cstheme="minorHAnsi"/>
          <w:bCs/>
          <w:iCs/>
        </w:rPr>
        <w:t xml:space="preserve">odeslalo </w:t>
      </w:r>
      <w:r w:rsidR="006E505C">
        <w:rPr>
          <w:rFonts w:asciiTheme="minorHAnsi" w:hAnsiTheme="minorHAnsi" w:cstheme="minorHAnsi"/>
          <w:bCs/>
          <w:iCs/>
        </w:rPr>
        <w:t xml:space="preserve">příslušnému finančnímu úřadu </w:t>
      </w:r>
      <w:r w:rsidR="006E505C" w:rsidRPr="001170B0">
        <w:rPr>
          <w:rFonts w:asciiTheme="minorHAnsi" w:hAnsiTheme="minorHAnsi" w:cstheme="minorHAnsi"/>
          <w:bCs/>
          <w:iCs/>
        </w:rPr>
        <w:t>podnět k</w:t>
      </w:r>
      <w:r w:rsidR="006E505C">
        <w:rPr>
          <w:rFonts w:asciiTheme="minorHAnsi" w:hAnsiTheme="minorHAnsi" w:cstheme="minorHAnsi"/>
          <w:bCs/>
          <w:iCs/>
        </w:rPr>
        <w:t> </w:t>
      </w:r>
      <w:r w:rsidR="006E505C" w:rsidRPr="001170B0">
        <w:rPr>
          <w:rFonts w:asciiTheme="minorHAnsi" w:hAnsiTheme="minorHAnsi" w:cstheme="minorHAnsi"/>
          <w:bCs/>
          <w:iCs/>
        </w:rPr>
        <w:t>prošetření</w:t>
      </w:r>
      <w:r w:rsidR="006E505C">
        <w:rPr>
          <w:rFonts w:asciiTheme="minorHAnsi" w:hAnsiTheme="minorHAnsi" w:cstheme="minorHAnsi"/>
          <w:bCs/>
          <w:iCs/>
        </w:rPr>
        <w:t xml:space="preserve"> </w:t>
      </w:r>
      <w:r w:rsidR="006E505C" w:rsidRPr="00A4441D">
        <w:rPr>
          <w:rFonts w:asciiTheme="minorHAnsi" w:hAnsiTheme="minorHAnsi" w:cstheme="minorHAnsi"/>
          <w:b/>
          <w:bCs/>
          <w:iCs/>
        </w:rPr>
        <w:t>podezření na porušení rozpočtové kázně</w:t>
      </w:r>
      <w:r w:rsidR="006E505C">
        <w:rPr>
          <w:rFonts w:asciiTheme="minorHAnsi" w:hAnsiTheme="minorHAnsi" w:cstheme="minorHAnsi"/>
          <w:bCs/>
          <w:iCs/>
        </w:rPr>
        <w:t xml:space="preserve"> </w:t>
      </w:r>
      <w:r w:rsidR="006E505C" w:rsidRPr="001170B0">
        <w:rPr>
          <w:rFonts w:asciiTheme="minorHAnsi" w:hAnsiTheme="minorHAnsi" w:cstheme="minorHAnsi"/>
          <w:bCs/>
          <w:iCs/>
        </w:rPr>
        <w:t xml:space="preserve">ve </w:t>
      </w:r>
      <w:r w:rsidR="006E505C">
        <w:rPr>
          <w:rFonts w:asciiTheme="minorHAnsi" w:hAnsiTheme="minorHAnsi" w:cstheme="minorHAnsi"/>
          <w:bCs/>
          <w:iCs/>
        </w:rPr>
        <w:t>výši</w:t>
      </w:r>
      <w:r w:rsidR="006E505C" w:rsidRPr="001170B0">
        <w:rPr>
          <w:rFonts w:asciiTheme="minorHAnsi" w:hAnsiTheme="minorHAnsi" w:cstheme="minorHAnsi"/>
          <w:bCs/>
          <w:iCs/>
        </w:rPr>
        <w:t xml:space="preserve"> 39</w:t>
      </w:r>
      <w:r w:rsidR="004D3E4D">
        <w:rPr>
          <w:rFonts w:asciiTheme="minorHAnsi" w:hAnsiTheme="minorHAnsi" w:cstheme="minorHAnsi"/>
          <w:bCs/>
          <w:iCs/>
        </w:rPr>
        <w:t> </w:t>
      </w:r>
      <w:r w:rsidR="006E505C" w:rsidRPr="001170B0">
        <w:rPr>
          <w:rFonts w:asciiTheme="minorHAnsi" w:hAnsiTheme="minorHAnsi" w:cstheme="minorHAnsi"/>
          <w:bCs/>
          <w:iCs/>
        </w:rPr>
        <w:t>289 040 Kč</w:t>
      </w:r>
      <w:r w:rsidR="00076BBF">
        <w:rPr>
          <w:rFonts w:asciiTheme="minorHAnsi" w:hAnsiTheme="minorHAnsi" w:cstheme="minorHAnsi"/>
          <w:bCs/>
          <w:iCs/>
        </w:rPr>
        <w:t xml:space="preserve">, tj. </w:t>
      </w:r>
      <w:r w:rsidR="006E505C">
        <w:rPr>
          <w:rFonts w:asciiTheme="minorHAnsi" w:hAnsiTheme="minorHAnsi" w:cstheme="minorHAnsi"/>
          <w:bCs/>
          <w:iCs/>
        </w:rPr>
        <w:t xml:space="preserve">ve výši celkové institucionální podpory </w:t>
      </w:r>
      <w:r w:rsidR="004D3E4D">
        <w:rPr>
          <w:rFonts w:asciiTheme="minorHAnsi" w:hAnsiTheme="minorHAnsi" w:cstheme="minorHAnsi"/>
          <w:bCs/>
          <w:iCs/>
        </w:rPr>
        <w:t xml:space="preserve">použité </w:t>
      </w:r>
      <w:r w:rsidR="006E505C">
        <w:rPr>
          <w:rFonts w:asciiTheme="minorHAnsi" w:hAnsiTheme="minorHAnsi" w:cstheme="minorHAnsi"/>
          <w:bCs/>
          <w:iCs/>
        </w:rPr>
        <w:t xml:space="preserve">v letech 2018 až 2021. </w:t>
      </w:r>
    </w:p>
    <w:p w14:paraId="5D4E0CFB" w14:textId="77777777" w:rsidR="00D34F32" w:rsidRDefault="00D34F32" w:rsidP="00A04FE8"/>
    <w:p w14:paraId="339D1842" w14:textId="4AA7BB63" w:rsidR="00AC5F80" w:rsidRPr="00AC5F80" w:rsidRDefault="00990368" w:rsidP="00AC5F80">
      <w:r w:rsidRPr="00755A98">
        <w:t xml:space="preserve">NKÚ </w:t>
      </w:r>
      <w:r w:rsidR="00755A98" w:rsidRPr="00755A98">
        <w:t xml:space="preserve">navíc </w:t>
      </w:r>
      <w:r w:rsidRPr="00755A98">
        <w:t>zjistil, že tato výzkumná organizace v</w:t>
      </w:r>
      <w:r w:rsidR="00051C40">
        <w:t xml:space="preserve"> </w:t>
      </w:r>
      <w:r w:rsidRPr="00755A98">
        <w:t>roce 2019 při pořízení dlouhodobého hmotného majetku (přístroj</w:t>
      </w:r>
      <w:r w:rsidR="00A55776" w:rsidRPr="00755A98">
        <w:t>e</w:t>
      </w:r>
      <w:r w:rsidRPr="00755A98">
        <w:t xml:space="preserve"> včetně softwaru a </w:t>
      </w:r>
      <w:r w:rsidRPr="00716090">
        <w:t>instalace</w:t>
      </w:r>
      <w:r w:rsidR="00716090" w:rsidRPr="00716090">
        <w:t>)</w:t>
      </w:r>
      <w:r w:rsidRPr="00755A98">
        <w:t xml:space="preserve"> za</w:t>
      </w:r>
      <w:r w:rsidR="004D3E4D">
        <w:t xml:space="preserve"> </w:t>
      </w:r>
      <w:r w:rsidRPr="00755A98">
        <w:t xml:space="preserve">celkovou cenu 2 102 024 Kč bez DPH </w:t>
      </w:r>
      <w:r w:rsidRPr="00755A98">
        <w:rPr>
          <w:b/>
        </w:rPr>
        <w:t>porušila</w:t>
      </w:r>
      <w:r w:rsidR="00C66621">
        <w:rPr>
          <w:b/>
        </w:rPr>
        <w:t xml:space="preserve"> </w:t>
      </w:r>
      <w:r w:rsidRPr="00755A98">
        <w:rPr>
          <w:b/>
        </w:rPr>
        <w:t>zákon o</w:t>
      </w:r>
      <w:r w:rsidR="004D3E4D">
        <w:rPr>
          <w:b/>
        </w:rPr>
        <w:t xml:space="preserve"> </w:t>
      </w:r>
      <w:r w:rsidRPr="00755A98">
        <w:rPr>
          <w:b/>
        </w:rPr>
        <w:t>zadávání veřejných zakázek</w:t>
      </w:r>
      <w:r w:rsidRPr="00C6334F">
        <w:rPr>
          <w:b/>
        </w:rPr>
        <w:t>.</w:t>
      </w:r>
      <w:r w:rsidRPr="00755A98">
        <w:t xml:space="preserve"> Celkov</w:t>
      </w:r>
      <w:r w:rsidR="004D3E4D">
        <w:t>á</w:t>
      </w:r>
      <w:r w:rsidRPr="00755A98">
        <w:t xml:space="preserve"> pořizovací cen</w:t>
      </w:r>
      <w:r w:rsidR="004D3E4D">
        <w:t>a</w:t>
      </w:r>
      <w:r w:rsidR="00C40232" w:rsidRPr="00755A98">
        <w:t xml:space="preserve"> majetku</w:t>
      </w:r>
      <w:r w:rsidRPr="00755A98">
        <w:t xml:space="preserve"> </w:t>
      </w:r>
      <w:r w:rsidR="004D3E4D">
        <w:t>byla</w:t>
      </w:r>
      <w:r w:rsidRPr="00755A98">
        <w:t xml:space="preserve"> uhra</w:t>
      </w:r>
      <w:r w:rsidR="004D3E4D">
        <w:t>zena</w:t>
      </w:r>
      <w:r w:rsidRPr="00755A98">
        <w:t xml:space="preserve"> z</w:t>
      </w:r>
      <w:r w:rsidR="004D3E4D">
        <w:t xml:space="preserve"> </w:t>
      </w:r>
      <w:r w:rsidRPr="00755A98">
        <w:t>poskytnuté institucionální podpory.</w:t>
      </w:r>
      <w:r w:rsidR="00755A98" w:rsidRPr="00755A98">
        <w:t xml:space="preserve"> </w:t>
      </w:r>
      <w:r w:rsidR="001C28D0" w:rsidRPr="00755A98">
        <w:t>Výzkumná</w:t>
      </w:r>
      <w:r w:rsidR="00755A98">
        <w:t xml:space="preserve"> </w:t>
      </w:r>
      <w:r w:rsidR="001C28D0">
        <w:t>organizace byla v postavení zadavatele podle zákona o</w:t>
      </w:r>
      <w:r w:rsidR="004D3E4D">
        <w:t xml:space="preserve"> </w:t>
      </w:r>
      <w:r w:rsidR="001C28D0">
        <w:t xml:space="preserve">zadávání veřejných zakázek. Podle výše </w:t>
      </w:r>
      <w:r w:rsidR="004D3E4D">
        <w:t xml:space="preserve">ceny </w:t>
      </w:r>
      <w:r w:rsidR="00051C40">
        <w:t>zaplacené</w:t>
      </w:r>
      <w:r w:rsidR="001C28D0">
        <w:t xml:space="preserve"> </w:t>
      </w:r>
      <w:r w:rsidR="004D3E4D">
        <w:t xml:space="preserve">za </w:t>
      </w:r>
      <w:r w:rsidR="001C28D0">
        <w:t>pořízen</w:t>
      </w:r>
      <w:r w:rsidR="004D3E4D">
        <w:t>ý</w:t>
      </w:r>
      <w:r w:rsidR="001C28D0">
        <w:t xml:space="preserve"> </w:t>
      </w:r>
      <w:r w:rsidR="00850C78">
        <w:t>dlouhodob</w:t>
      </w:r>
      <w:r w:rsidR="004D3E4D">
        <w:t>ý</w:t>
      </w:r>
      <w:r w:rsidR="00850C78">
        <w:t xml:space="preserve"> hmotn</w:t>
      </w:r>
      <w:r w:rsidR="004D3E4D">
        <w:t>ý</w:t>
      </w:r>
      <w:r w:rsidR="00850C78">
        <w:t xml:space="preserve"> majet</w:t>
      </w:r>
      <w:r w:rsidR="004D3E4D">
        <w:t>e</w:t>
      </w:r>
      <w:r w:rsidR="00850C78">
        <w:t>k</w:t>
      </w:r>
      <w:r w:rsidR="004D3E4D">
        <w:t xml:space="preserve"> se</w:t>
      </w:r>
      <w:r w:rsidR="001C28D0">
        <w:t xml:space="preserve"> </w:t>
      </w:r>
      <w:r w:rsidR="001C28D0" w:rsidRPr="001C28D0">
        <w:t xml:space="preserve">jednalo </w:t>
      </w:r>
      <w:r w:rsidR="001C28D0" w:rsidRPr="001C28D0">
        <w:rPr>
          <w:rFonts w:ascii="Calibri-Bold" w:eastAsiaTheme="minorHAnsi" w:hAnsi="Calibri-Bold" w:cs="Calibri-Bold"/>
          <w:bCs/>
          <w:color w:val="auto"/>
        </w:rPr>
        <w:t>o</w:t>
      </w:r>
      <w:r w:rsidR="00051C40">
        <w:rPr>
          <w:rFonts w:ascii="Calibri-Bold" w:eastAsiaTheme="minorHAnsi" w:hAnsi="Calibri-Bold" w:cs="Calibri-Bold"/>
          <w:bCs/>
          <w:color w:val="auto"/>
        </w:rPr>
        <w:t xml:space="preserve"> </w:t>
      </w:r>
      <w:r w:rsidR="001C28D0" w:rsidRPr="001C28D0">
        <w:t>podlimit</w:t>
      </w:r>
      <w:r w:rsidR="001C28D0">
        <w:t>ní veřejnou zakázku.</w:t>
      </w:r>
      <w:r w:rsidR="00850C78">
        <w:t xml:space="preserve"> Výzkumná organizace uhradila celou pořizovací cenu bez proveden</w:t>
      </w:r>
      <w:r w:rsidR="00D34F32">
        <w:t>í</w:t>
      </w:r>
      <w:r w:rsidR="00850C78">
        <w:t xml:space="preserve"> zadávacího řízení podle zákona o</w:t>
      </w:r>
      <w:r w:rsidR="004E34E9">
        <w:t> </w:t>
      </w:r>
      <w:r w:rsidR="00850C78">
        <w:t xml:space="preserve">zadávání </w:t>
      </w:r>
      <w:r w:rsidR="00850C78" w:rsidRPr="00850C78">
        <w:rPr>
          <w:rFonts w:ascii="Calibri-Bold" w:eastAsiaTheme="minorHAnsi" w:hAnsi="Calibri-Bold" w:cs="Calibri-Bold"/>
          <w:bCs/>
          <w:color w:val="auto"/>
        </w:rPr>
        <w:t xml:space="preserve">veřejných zakázek, </w:t>
      </w:r>
      <w:r w:rsidR="00A04FE8" w:rsidRPr="00850C78">
        <w:rPr>
          <w:rFonts w:ascii="Calibri-Bold" w:eastAsiaTheme="minorHAnsi" w:hAnsi="Calibri-Bold" w:cs="Calibri-Bold"/>
          <w:bCs/>
          <w:color w:val="auto"/>
        </w:rPr>
        <w:t>ačkoli hodnota zakázky přesáhla limit</w:t>
      </w:r>
      <w:r w:rsidR="00850C78" w:rsidRPr="00850C78">
        <w:rPr>
          <w:rFonts w:ascii="Calibri-Bold" w:eastAsiaTheme="minorHAnsi" w:hAnsi="Calibri-Bold" w:cs="Calibri-Bold"/>
          <w:bCs/>
          <w:color w:val="auto"/>
        </w:rPr>
        <w:t xml:space="preserve"> </w:t>
      </w:r>
      <w:r w:rsidR="00A04FE8" w:rsidRPr="00850C78">
        <w:rPr>
          <w:rFonts w:ascii="Calibri-Bold" w:eastAsiaTheme="minorHAnsi" w:hAnsi="Calibri-Bold" w:cs="Calibri-Bold"/>
          <w:bCs/>
          <w:color w:val="auto"/>
        </w:rPr>
        <w:t xml:space="preserve">stanovený pro veřejnou zakázku </w:t>
      </w:r>
      <w:r w:rsidR="00A04FE8" w:rsidRPr="00850C78">
        <w:t>malého rozsahu.</w:t>
      </w:r>
      <w:r w:rsidR="00850C78" w:rsidRPr="00850C78">
        <w:t xml:space="preserve"> Tímto postupem výzkumná organizace </w:t>
      </w:r>
      <w:r w:rsidR="00850C78" w:rsidRPr="00E40007">
        <w:rPr>
          <w:b/>
        </w:rPr>
        <w:t xml:space="preserve">porušila nejen zákon </w:t>
      </w:r>
      <w:r w:rsidR="00850C78" w:rsidRPr="007352A3">
        <w:rPr>
          <w:b/>
        </w:rPr>
        <w:t>o</w:t>
      </w:r>
      <w:r w:rsidR="004E34E9" w:rsidRPr="007352A3">
        <w:rPr>
          <w:b/>
        </w:rPr>
        <w:t> </w:t>
      </w:r>
      <w:r w:rsidR="00850C78" w:rsidRPr="007352A3">
        <w:rPr>
          <w:b/>
        </w:rPr>
        <w:t>zadávání</w:t>
      </w:r>
      <w:r w:rsidR="00850C78" w:rsidRPr="00E40007">
        <w:rPr>
          <w:b/>
        </w:rPr>
        <w:t xml:space="preserve"> veřejných zakázek, ale i</w:t>
      </w:r>
      <w:r w:rsidR="00051C40">
        <w:rPr>
          <w:b/>
        </w:rPr>
        <w:t xml:space="preserve"> </w:t>
      </w:r>
      <w:r w:rsidR="00A04FE8" w:rsidRPr="00E40007">
        <w:rPr>
          <w:b/>
        </w:rPr>
        <w:t>podmínky stanovené v</w:t>
      </w:r>
      <w:r w:rsidR="00051C40">
        <w:rPr>
          <w:b/>
        </w:rPr>
        <w:t xml:space="preserve"> „</w:t>
      </w:r>
      <w:r w:rsidR="00051C40" w:rsidRPr="00C6334F">
        <w:rPr>
          <w:b/>
          <w:i/>
        </w:rPr>
        <w:t>r</w:t>
      </w:r>
      <w:r w:rsidR="00A04FE8" w:rsidRPr="00C6334F">
        <w:rPr>
          <w:b/>
          <w:i/>
        </w:rPr>
        <w:t xml:space="preserve">ozhodnutí </w:t>
      </w:r>
      <w:r w:rsidR="00850C78" w:rsidRPr="00C6334F">
        <w:rPr>
          <w:b/>
          <w:i/>
        </w:rPr>
        <w:t>o</w:t>
      </w:r>
      <w:r w:rsidR="00051C40">
        <w:rPr>
          <w:b/>
          <w:i/>
        </w:rPr>
        <w:t xml:space="preserve"> </w:t>
      </w:r>
      <w:r w:rsidR="00850C78" w:rsidRPr="00C6334F">
        <w:rPr>
          <w:b/>
          <w:i/>
        </w:rPr>
        <w:t xml:space="preserve">poskytnutí </w:t>
      </w:r>
      <w:r w:rsidR="00A11876" w:rsidRPr="00C6334F">
        <w:rPr>
          <w:b/>
          <w:i/>
        </w:rPr>
        <w:t xml:space="preserve">institucionální </w:t>
      </w:r>
      <w:r w:rsidR="00850C78" w:rsidRPr="00C6334F">
        <w:rPr>
          <w:b/>
          <w:i/>
        </w:rPr>
        <w:t>podpory</w:t>
      </w:r>
      <w:r w:rsidR="00051C40">
        <w:rPr>
          <w:b/>
        </w:rPr>
        <w:t>“</w:t>
      </w:r>
      <w:r w:rsidR="00850C78" w:rsidRPr="00E40007">
        <w:rPr>
          <w:b/>
        </w:rPr>
        <w:t xml:space="preserve"> a neoprávněně použila peněžní prostředky poskytnuté ze státního rozpočtu</w:t>
      </w:r>
      <w:r w:rsidR="001A7427">
        <w:rPr>
          <w:b/>
        </w:rPr>
        <w:t xml:space="preserve"> ve výši 2 102 024 Kč</w:t>
      </w:r>
      <w:r w:rsidR="00850C78" w:rsidRPr="00C6334F">
        <w:rPr>
          <w:b/>
        </w:rPr>
        <w:t>.</w:t>
      </w:r>
      <w:r w:rsidR="00850C78" w:rsidRPr="00850C78">
        <w:t xml:space="preserve"> </w:t>
      </w:r>
      <w:r w:rsidR="00755A98" w:rsidRPr="00755A98">
        <w:t>NKÚ toto vyhodnotil jako skutečnost nasvědčující porušení</w:t>
      </w:r>
      <w:r w:rsidR="00687E8D">
        <w:t xml:space="preserve"> </w:t>
      </w:r>
      <w:r w:rsidR="00AC5F80">
        <w:t>rozpočtové kázně.</w:t>
      </w:r>
    </w:p>
    <w:p w14:paraId="26F2B1AD" w14:textId="6D1D69AB" w:rsidR="00076BBF" w:rsidRDefault="00076BBF" w:rsidP="00A04FE8"/>
    <w:p w14:paraId="07F2859A" w14:textId="63F6C313" w:rsidR="00076BBF" w:rsidRDefault="00076BBF" w:rsidP="00A04FE8">
      <w:r>
        <w:t xml:space="preserve">NKÚ kromě </w:t>
      </w:r>
      <w:r w:rsidR="00051C40">
        <w:t>výše uvedené společnosti zkontroloval také</w:t>
      </w:r>
      <w:r>
        <w:t xml:space="preserve"> dalších pět výz</w:t>
      </w:r>
      <w:r w:rsidRPr="00E95D28">
        <w:t>kumných</w:t>
      </w:r>
      <w:r>
        <w:t xml:space="preserve"> organizací, u</w:t>
      </w:r>
      <w:r w:rsidR="00051C40">
        <w:t> těch však</w:t>
      </w:r>
      <w:r>
        <w:t xml:space="preserve"> porušení právních předpisů</w:t>
      </w:r>
      <w:r w:rsidR="00051C40" w:rsidRPr="00051C40">
        <w:t xml:space="preserve"> </w:t>
      </w:r>
      <w:r w:rsidR="00051C40">
        <w:t>nezjistil</w:t>
      </w:r>
      <w:r w:rsidR="00F914A8">
        <w:t>.</w:t>
      </w:r>
      <w:r>
        <w:t xml:space="preserve"> U žádné </w:t>
      </w:r>
      <w:r w:rsidR="00FC2BA0">
        <w:t>z šesti kontrolovaných výzkumných organizací</w:t>
      </w:r>
      <w:r>
        <w:t xml:space="preserve"> </w:t>
      </w:r>
      <w:r w:rsidRPr="00EE109D">
        <w:t xml:space="preserve">nezjistil </w:t>
      </w:r>
      <w:r w:rsidR="00051C40" w:rsidRPr="00EE109D">
        <w:t xml:space="preserve">NKÚ </w:t>
      </w:r>
      <w:r w:rsidRPr="00EE109D">
        <w:t>nehospodárné</w:t>
      </w:r>
      <w:r>
        <w:t xml:space="preserve"> </w:t>
      </w:r>
      <w:r w:rsidR="00196ABE">
        <w:t xml:space="preserve">čerpání </w:t>
      </w:r>
      <w:r>
        <w:t>poskytnuté institucionální pod</w:t>
      </w:r>
      <w:r w:rsidR="00796F2D">
        <w:t>p</w:t>
      </w:r>
      <w:r>
        <w:t>ory</w:t>
      </w:r>
      <w:r w:rsidR="00EE109D">
        <w:t xml:space="preserve"> a </w:t>
      </w:r>
      <w:r w:rsidR="00851FA9" w:rsidRPr="005E19AA">
        <w:t>nezjistil</w:t>
      </w:r>
      <w:r w:rsidR="00051C40" w:rsidRPr="00051C40">
        <w:t xml:space="preserve"> </w:t>
      </w:r>
      <w:r w:rsidR="00051C40">
        <w:t>ani to</w:t>
      </w:r>
      <w:r w:rsidR="00851FA9" w:rsidRPr="005E19AA">
        <w:t>, že by vynaložily institucionální podporu v</w:t>
      </w:r>
      <w:r w:rsidR="00051C40">
        <w:t xml:space="preserve"> </w:t>
      </w:r>
      <w:r w:rsidR="00851FA9" w:rsidRPr="005E19AA">
        <w:t>rozporu s</w:t>
      </w:r>
      <w:r w:rsidR="00051C40">
        <w:t xml:space="preserve"> </w:t>
      </w:r>
      <w:r w:rsidR="00851FA9" w:rsidRPr="005E19AA">
        <w:t>cíli, které si samy definovaly v dlouhodobých koncepcích svého rozvoje</w:t>
      </w:r>
      <w:r w:rsidR="00851FA9">
        <w:t xml:space="preserve">. </w:t>
      </w:r>
    </w:p>
    <w:p w14:paraId="21AE7E67" w14:textId="77777777" w:rsidR="003A0474" w:rsidRDefault="003A0474" w:rsidP="00B47743">
      <w:pPr>
        <w:rPr>
          <w:rFonts w:asciiTheme="minorHAnsi" w:eastAsia="Calibri" w:hAnsiTheme="minorHAnsi" w:cstheme="minorHAnsi"/>
          <w:b/>
          <w:color w:val="auto"/>
        </w:rPr>
      </w:pPr>
    </w:p>
    <w:p w14:paraId="255C2B42" w14:textId="77777777" w:rsidR="00F7659E" w:rsidRDefault="00F7659E">
      <w:pPr>
        <w:spacing w:after="160" w:line="259" w:lineRule="auto"/>
        <w:jc w:val="left"/>
        <w:rPr>
          <w:rFonts w:asciiTheme="minorHAnsi" w:eastAsia="Calibri" w:hAnsiTheme="minorHAnsi" w:cstheme="minorHAnsi"/>
          <w:b/>
          <w:color w:val="auto"/>
        </w:rPr>
      </w:pPr>
      <w:r>
        <w:rPr>
          <w:rFonts w:asciiTheme="minorHAnsi" w:eastAsia="Calibri" w:hAnsiTheme="minorHAnsi" w:cstheme="minorHAnsi"/>
          <w:b/>
          <w:color w:val="auto"/>
        </w:rPr>
        <w:br w:type="page"/>
      </w:r>
    </w:p>
    <w:p w14:paraId="16753E78" w14:textId="6A91311A" w:rsidR="00B47743" w:rsidRPr="005831EA" w:rsidRDefault="002D114B" w:rsidP="00C6334F">
      <w:pPr>
        <w:spacing w:after="240"/>
        <w:rPr>
          <w:rFonts w:asciiTheme="minorHAnsi" w:eastAsia="Calibri" w:hAnsiTheme="minorHAnsi" w:cstheme="minorHAnsi"/>
          <w:b/>
          <w:color w:val="auto"/>
        </w:rPr>
      </w:pPr>
      <w:r w:rsidRPr="005831EA">
        <w:rPr>
          <w:rFonts w:asciiTheme="minorHAnsi" w:eastAsia="Calibri" w:hAnsiTheme="minorHAnsi" w:cstheme="minorHAnsi"/>
          <w:b/>
          <w:color w:val="auto"/>
        </w:rPr>
        <w:lastRenderedPageBreak/>
        <w:t>Seznam zkratek</w:t>
      </w:r>
      <w:r w:rsidR="000E09FA">
        <w:rPr>
          <w:rFonts w:asciiTheme="minorHAnsi" w:eastAsia="Calibri" w:hAnsiTheme="minorHAnsi" w:cstheme="minorHAnsi"/>
          <w:b/>
          <w:color w:val="auto"/>
        </w:rPr>
        <w:t xml:space="preserve"> a zkrácených názvů</w:t>
      </w:r>
    </w:p>
    <w:p w14:paraId="7A39099F" w14:textId="7AC3D46E" w:rsidR="000A7BAF" w:rsidRDefault="000A7BAF" w:rsidP="00F7659E">
      <w:pPr>
        <w:spacing w:before="120" w:after="120"/>
        <w:ind w:left="3261" w:hanging="3261"/>
        <w:rPr>
          <w:rFonts w:asciiTheme="minorHAnsi" w:eastAsia="Calibri" w:hAnsiTheme="minorHAnsi" w:cstheme="minorHAnsi"/>
          <w:color w:val="auto"/>
        </w:rPr>
      </w:pPr>
      <w:r w:rsidRPr="005831EA">
        <w:rPr>
          <w:rFonts w:asciiTheme="minorHAnsi" w:eastAsia="Calibri" w:hAnsiTheme="minorHAnsi" w:cstheme="minorHAnsi"/>
          <w:color w:val="auto"/>
        </w:rPr>
        <w:t>ČR</w:t>
      </w:r>
      <w:r w:rsidR="00296828" w:rsidRPr="005831EA">
        <w:rPr>
          <w:rFonts w:asciiTheme="minorHAnsi" w:eastAsia="Calibri" w:hAnsiTheme="minorHAnsi" w:cstheme="minorHAnsi"/>
          <w:color w:val="auto"/>
        </w:rPr>
        <w:tab/>
        <w:t>Česká republika</w:t>
      </w:r>
    </w:p>
    <w:p w14:paraId="0D35B538" w14:textId="45B96E8E" w:rsidR="00885F93" w:rsidRDefault="00885F93" w:rsidP="00F7659E">
      <w:pPr>
        <w:spacing w:before="120" w:after="120"/>
        <w:ind w:left="3261" w:hanging="3261"/>
        <w:rPr>
          <w:rFonts w:asciiTheme="minorHAnsi" w:eastAsia="Calibri" w:hAnsiTheme="minorHAnsi" w:cstheme="minorHAnsi"/>
          <w:color w:val="auto"/>
        </w:rPr>
      </w:pPr>
      <w:r>
        <w:rPr>
          <w:rFonts w:asciiTheme="minorHAnsi" w:eastAsia="Calibri" w:hAnsiTheme="minorHAnsi" w:cstheme="minorHAnsi"/>
          <w:color w:val="auto"/>
        </w:rPr>
        <w:t>DPH</w:t>
      </w:r>
      <w:r>
        <w:rPr>
          <w:rFonts w:asciiTheme="minorHAnsi" w:eastAsia="Calibri" w:hAnsiTheme="minorHAnsi" w:cstheme="minorHAnsi"/>
          <w:color w:val="auto"/>
        </w:rPr>
        <w:tab/>
      </w:r>
      <w:r w:rsidR="00C23C47">
        <w:rPr>
          <w:rFonts w:asciiTheme="minorHAnsi" w:eastAsia="Calibri" w:hAnsiTheme="minorHAnsi" w:cstheme="minorHAnsi"/>
          <w:color w:val="auto"/>
        </w:rPr>
        <w:t>d</w:t>
      </w:r>
      <w:r>
        <w:rPr>
          <w:rFonts w:asciiTheme="minorHAnsi" w:eastAsia="Calibri" w:hAnsiTheme="minorHAnsi" w:cstheme="minorHAnsi"/>
          <w:color w:val="auto"/>
        </w:rPr>
        <w:t>aň z přidané hodnoty</w:t>
      </w:r>
    </w:p>
    <w:p w14:paraId="64436376" w14:textId="489F84C7" w:rsidR="00C23C47" w:rsidRDefault="00C23C47" w:rsidP="00F7659E">
      <w:pPr>
        <w:spacing w:before="120" w:after="120"/>
        <w:ind w:left="3261" w:hanging="3261"/>
        <w:rPr>
          <w:rFonts w:asciiTheme="minorHAnsi" w:eastAsia="Calibri" w:hAnsiTheme="minorHAnsi" w:cstheme="minorHAnsi"/>
          <w:color w:val="auto"/>
        </w:rPr>
      </w:pPr>
      <w:r>
        <w:rPr>
          <w:rFonts w:asciiTheme="minorHAnsi" w:eastAsia="Calibri" w:hAnsiTheme="minorHAnsi" w:cstheme="minorHAnsi"/>
          <w:color w:val="auto"/>
        </w:rPr>
        <w:t>EU</w:t>
      </w:r>
      <w:r>
        <w:rPr>
          <w:rFonts w:asciiTheme="minorHAnsi" w:eastAsia="Calibri" w:hAnsiTheme="minorHAnsi" w:cstheme="minorHAnsi"/>
          <w:color w:val="auto"/>
        </w:rPr>
        <w:tab/>
        <w:t>Evropská unie</w:t>
      </w:r>
    </w:p>
    <w:p w14:paraId="3FD02E0C" w14:textId="3ECBFB8C" w:rsidR="001D56CB" w:rsidRDefault="00C23C47" w:rsidP="00C6334F">
      <w:pPr>
        <w:spacing w:before="120" w:after="120"/>
        <w:ind w:left="3261" w:hanging="3261"/>
        <w:jc w:val="left"/>
        <w:rPr>
          <w:rFonts w:asciiTheme="minorHAnsi" w:eastAsia="Calibri" w:hAnsiTheme="minorHAnsi" w:cstheme="minorHAnsi"/>
          <w:color w:val="auto"/>
        </w:rPr>
      </w:pPr>
      <w:r>
        <w:rPr>
          <w:rFonts w:asciiTheme="minorHAnsi" w:eastAsia="Calibri" w:hAnsiTheme="minorHAnsi" w:cstheme="minorHAnsi"/>
          <w:color w:val="auto"/>
        </w:rPr>
        <w:t>h</w:t>
      </w:r>
      <w:r w:rsidR="001D56CB">
        <w:rPr>
          <w:rFonts w:asciiTheme="minorHAnsi" w:eastAsia="Calibri" w:hAnsiTheme="minorHAnsi" w:cstheme="minorHAnsi"/>
          <w:color w:val="auto"/>
        </w:rPr>
        <w:t>odnotitelé</w:t>
      </w:r>
      <w:r w:rsidR="001D56CB">
        <w:rPr>
          <w:rFonts w:asciiTheme="minorHAnsi" w:eastAsia="Calibri" w:hAnsiTheme="minorHAnsi" w:cstheme="minorHAnsi"/>
          <w:color w:val="auto"/>
        </w:rPr>
        <w:tab/>
      </w:r>
      <w:r>
        <w:rPr>
          <w:rFonts w:asciiTheme="minorHAnsi" w:eastAsia="Calibri" w:hAnsiTheme="minorHAnsi" w:cstheme="minorHAnsi"/>
          <w:color w:val="auto"/>
        </w:rPr>
        <w:t>č</w:t>
      </w:r>
      <w:r w:rsidR="001D56CB">
        <w:rPr>
          <w:rFonts w:asciiTheme="minorHAnsi" w:eastAsia="Calibri" w:hAnsiTheme="minorHAnsi" w:cstheme="minorHAnsi"/>
          <w:color w:val="auto"/>
        </w:rPr>
        <w:t xml:space="preserve">lenové </w:t>
      </w:r>
      <w:r w:rsidR="001D56CB" w:rsidRPr="0066732E">
        <w:rPr>
          <w:rFonts w:asciiTheme="minorHAnsi" w:hAnsiTheme="minorHAnsi" w:cstheme="minorHAnsi"/>
        </w:rPr>
        <w:t>Odborn</w:t>
      </w:r>
      <w:r w:rsidR="001D56CB">
        <w:rPr>
          <w:rFonts w:asciiTheme="minorHAnsi" w:hAnsiTheme="minorHAnsi" w:cstheme="minorHAnsi"/>
        </w:rPr>
        <w:t>ého</w:t>
      </w:r>
      <w:r w:rsidR="001D56CB" w:rsidRPr="0066732E">
        <w:rPr>
          <w:rFonts w:asciiTheme="minorHAnsi" w:hAnsiTheme="minorHAnsi" w:cstheme="minorHAnsi"/>
        </w:rPr>
        <w:t xml:space="preserve"> poradní</w:t>
      </w:r>
      <w:r>
        <w:rPr>
          <w:rFonts w:asciiTheme="minorHAnsi" w:hAnsiTheme="minorHAnsi" w:cstheme="minorHAnsi"/>
        </w:rPr>
        <w:t>ho</w:t>
      </w:r>
      <w:r w:rsidR="001D56CB" w:rsidRPr="0066732E">
        <w:rPr>
          <w:rFonts w:asciiTheme="minorHAnsi" w:hAnsiTheme="minorHAnsi" w:cstheme="minorHAnsi"/>
        </w:rPr>
        <w:t xml:space="preserve"> orgán</w:t>
      </w:r>
      <w:r w:rsidR="001D56CB">
        <w:rPr>
          <w:rFonts w:asciiTheme="minorHAnsi" w:hAnsiTheme="minorHAnsi" w:cstheme="minorHAnsi"/>
        </w:rPr>
        <w:t>u</w:t>
      </w:r>
      <w:r w:rsidR="001D56CB" w:rsidRPr="0066732E">
        <w:rPr>
          <w:rFonts w:asciiTheme="minorHAnsi" w:hAnsiTheme="minorHAnsi" w:cstheme="minorHAnsi"/>
        </w:rPr>
        <w:t xml:space="preserve"> MPO</w:t>
      </w:r>
      <w:r w:rsidR="001D56CB">
        <w:rPr>
          <w:rFonts w:asciiTheme="minorHAnsi" w:hAnsiTheme="minorHAnsi" w:cstheme="minorHAnsi"/>
        </w:rPr>
        <w:t xml:space="preserve"> provádějící vstupní, průběžné a závěrečné hodnocení koncepcí dlouhodobého rozvoje výzkumných organizací</w:t>
      </w:r>
    </w:p>
    <w:p w14:paraId="026B4887" w14:textId="137322E0" w:rsidR="000A7BAF" w:rsidRPr="005831EA" w:rsidRDefault="000A7BAF" w:rsidP="00C6334F">
      <w:pPr>
        <w:spacing w:after="120"/>
        <w:ind w:left="3261" w:hanging="3261"/>
        <w:jc w:val="left"/>
        <w:rPr>
          <w:rFonts w:asciiTheme="minorHAnsi" w:eastAsia="Calibri" w:hAnsiTheme="minorHAnsi" w:cstheme="minorHAnsi"/>
          <w:color w:val="auto"/>
        </w:rPr>
      </w:pPr>
      <w:r w:rsidRPr="005831EA">
        <w:rPr>
          <w:rFonts w:asciiTheme="minorHAnsi" w:eastAsia="Calibri" w:hAnsiTheme="minorHAnsi" w:cstheme="minorHAnsi"/>
          <w:color w:val="auto"/>
        </w:rPr>
        <w:t>Metodika 2017</w:t>
      </w:r>
      <w:r w:rsidRPr="00C6334F">
        <w:rPr>
          <w:rFonts w:asciiTheme="minorHAnsi" w:eastAsia="Calibri" w:hAnsiTheme="minorHAnsi" w:cstheme="minorHAnsi"/>
          <w:color w:val="auto"/>
        </w:rPr>
        <w:t>+</w:t>
      </w:r>
      <w:r w:rsidR="00296828" w:rsidRPr="00C6334F">
        <w:rPr>
          <w:rFonts w:asciiTheme="minorHAnsi" w:eastAsia="Calibri" w:hAnsiTheme="minorHAnsi" w:cstheme="minorHAnsi"/>
          <w:color w:val="auto"/>
        </w:rPr>
        <w:tab/>
      </w:r>
      <w:r w:rsidR="00296828" w:rsidRPr="00C6334F">
        <w:rPr>
          <w:rFonts w:asciiTheme="minorHAnsi" w:eastAsia="Calibri" w:hAnsiTheme="minorHAnsi" w:cstheme="minorHAnsi"/>
          <w:i/>
          <w:color w:val="auto"/>
        </w:rPr>
        <w:t>Metodika hodnocení výzkumných organizací a hodnocení programů účelové podpory výzkumu, vývoje a inovací</w:t>
      </w:r>
      <w:r w:rsidR="00296828" w:rsidRPr="005831EA">
        <w:rPr>
          <w:rFonts w:asciiTheme="minorHAnsi" w:eastAsia="Calibri" w:hAnsiTheme="minorHAnsi" w:cstheme="minorHAnsi"/>
          <w:color w:val="auto"/>
        </w:rPr>
        <w:t xml:space="preserve"> schválená usnesením vlády </w:t>
      </w:r>
      <w:r w:rsidR="00FB47C1">
        <w:rPr>
          <w:rFonts w:asciiTheme="minorHAnsi" w:eastAsia="Calibri" w:hAnsiTheme="minorHAnsi" w:cstheme="minorHAnsi"/>
          <w:color w:val="auto"/>
        </w:rPr>
        <w:t>České republiky</w:t>
      </w:r>
      <w:r w:rsidR="00F21EAA">
        <w:rPr>
          <w:rFonts w:asciiTheme="minorHAnsi" w:eastAsia="Calibri" w:hAnsiTheme="minorHAnsi" w:cstheme="minorHAnsi"/>
          <w:color w:val="auto"/>
        </w:rPr>
        <w:t xml:space="preserve"> </w:t>
      </w:r>
      <w:r w:rsidR="00296828" w:rsidRPr="005831EA">
        <w:rPr>
          <w:rFonts w:asciiTheme="minorHAnsi" w:eastAsia="Calibri" w:hAnsiTheme="minorHAnsi" w:cstheme="minorHAnsi"/>
          <w:color w:val="auto"/>
        </w:rPr>
        <w:t xml:space="preserve">ze dne </w:t>
      </w:r>
      <w:r w:rsidR="005F52D5">
        <w:rPr>
          <w:rFonts w:asciiTheme="minorHAnsi" w:eastAsia="Calibri" w:hAnsiTheme="minorHAnsi" w:cstheme="minorHAnsi"/>
          <w:color w:val="auto"/>
        </w:rPr>
        <w:br/>
      </w:r>
      <w:r w:rsidR="00296828" w:rsidRPr="005831EA">
        <w:rPr>
          <w:rFonts w:asciiTheme="minorHAnsi" w:eastAsia="Calibri" w:hAnsiTheme="minorHAnsi" w:cstheme="minorHAnsi"/>
          <w:color w:val="auto"/>
        </w:rPr>
        <w:t>8. února 2017 č. 107</w:t>
      </w:r>
    </w:p>
    <w:p w14:paraId="780FF4C9" w14:textId="2030CF46" w:rsidR="000A7BAF" w:rsidRPr="005831EA" w:rsidRDefault="000A7BAF" w:rsidP="00F7659E">
      <w:pPr>
        <w:spacing w:after="120"/>
        <w:ind w:left="3261" w:hanging="3261"/>
        <w:rPr>
          <w:rFonts w:asciiTheme="minorHAnsi" w:eastAsia="Calibri" w:hAnsiTheme="minorHAnsi" w:cstheme="minorHAnsi"/>
          <w:color w:val="auto"/>
        </w:rPr>
      </w:pPr>
      <w:r w:rsidRPr="005831EA">
        <w:rPr>
          <w:rFonts w:asciiTheme="minorHAnsi" w:eastAsia="Calibri" w:hAnsiTheme="minorHAnsi" w:cstheme="minorHAnsi"/>
          <w:color w:val="auto"/>
        </w:rPr>
        <w:t>MPO</w:t>
      </w:r>
      <w:r w:rsidR="00296828" w:rsidRPr="005831EA">
        <w:rPr>
          <w:rFonts w:asciiTheme="minorHAnsi" w:eastAsia="Calibri" w:hAnsiTheme="minorHAnsi" w:cstheme="minorHAnsi"/>
          <w:color w:val="auto"/>
        </w:rPr>
        <w:tab/>
        <w:t>Ministerstvo průmyslu a obchodu</w:t>
      </w:r>
    </w:p>
    <w:p w14:paraId="4DD032FE" w14:textId="197ED541" w:rsidR="001D56CB" w:rsidRDefault="000A7BAF" w:rsidP="00F7659E">
      <w:pPr>
        <w:spacing w:after="120"/>
        <w:ind w:left="3261" w:hanging="3261"/>
        <w:rPr>
          <w:rFonts w:asciiTheme="minorHAnsi" w:eastAsia="Calibri" w:hAnsiTheme="minorHAnsi" w:cstheme="minorHAnsi"/>
          <w:color w:val="auto"/>
        </w:rPr>
      </w:pPr>
      <w:r w:rsidRPr="005831EA">
        <w:rPr>
          <w:rFonts w:asciiTheme="minorHAnsi" w:eastAsia="Calibri" w:hAnsiTheme="minorHAnsi" w:cstheme="minorHAnsi"/>
          <w:color w:val="auto"/>
        </w:rPr>
        <w:t>NKÚ</w:t>
      </w:r>
      <w:r w:rsidR="00296828" w:rsidRPr="005831EA">
        <w:rPr>
          <w:rFonts w:asciiTheme="minorHAnsi" w:eastAsia="Calibri" w:hAnsiTheme="minorHAnsi" w:cstheme="minorHAnsi"/>
          <w:color w:val="auto"/>
        </w:rPr>
        <w:tab/>
        <w:t>Nejvyšší kontrolní úřad</w:t>
      </w:r>
    </w:p>
    <w:p w14:paraId="78BB9BEC" w14:textId="75D4593F" w:rsidR="001D56CB" w:rsidRDefault="001D56CB" w:rsidP="00C6334F">
      <w:pPr>
        <w:spacing w:after="120"/>
        <w:ind w:left="3261" w:hanging="3261"/>
        <w:jc w:val="left"/>
        <w:rPr>
          <w:lang w:eastAsia="cs-CZ"/>
        </w:rPr>
      </w:pPr>
      <w:r w:rsidRPr="0066732E">
        <w:rPr>
          <w:rFonts w:asciiTheme="minorHAnsi" w:hAnsiTheme="minorHAnsi" w:cstheme="minorHAnsi"/>
        </w:rPr>
        <w:t>Odborný poradní orgán MPO</w:t>
      </w:r>
      <w:r>
        <w:rPr>
          <w:rFonts w:asciiTheme="minorHAnsi" w:hAnsiTheme="minorHAnsi" w:cstheme="minorHAnsi"/>
        </w:rPr>
        <w:tab/>
      </w:r>
      <w:r>
        <w:rPr>
          <w:lang w:eastAsia="cs-CZ"/>
        </w:rPr>
        <w:t>Odborný poradní orgán pro hodnocení výzkumných organizací v působnosti Ministerstva průmyslu a obchodu</w:t>
      </w:r>
    </w:p>
    <w:p w14:paraId="6E70CD6E" w14:textId="4C4E373B" w:rsidR="00E077A5" w:rsidRPr="00E077A5" w:rsidRDefault="00E077A5" w:rsidP="00C6334F">
      <w:pPr>
        <w:spacing w:after="120"/>
        <w:ind w:left="3261" w:hanging="3261"/>
        <w:jc w:val="left"/>
        <w:rPr>
          <w:rFonts w:asciiTheme="minorHAnsi" w:eastAsia="Calibri" w:hAnsiTheme="minorHAnsi" w:cstheme="minorHAnsi"/>
          <w:color w:val="auto"/>
        </w:rPr>
      </w:pPr>
      <w:r>
        <w:rPr>
          <w:rFonts w:asciiTheme="minorHAnsi" w:eastAsia="Calibri" w:hAnsiTheme="minorHAnsi" w:cstheme="minorHAnsi"/>
          <w:color w:val="auto"/>
        </w:rPr>
        <w:t>průběžn</w:t>
      </w:r>
      <w:r w:rsidR="00C23C47">
        <w:rPr>
          <w:rFonts w:asciiTheme="minorHAnsi" w:eastAsia="Calibri" w:hAnsiTheme="minorHAnsi" w:cstheme="minorHAnsi"/>
          <w:color w:val="auto"/>
        </w:rPr>
        <w:t>á</w:t>
      </w:r>
      <w:r>
        <w:rPr>
          <w:rFonts w:asciiTheme="minorHAnsi" w:eastAsia="Calibri" w:hAnsiTheme="minorHAnsi" w:cstheme="minorHAnsi"/>
          <w:color w:val="auto"/>
        </w:rPr>
        <w:t xml:space="preserve"> zpráv</w:t>
      </w:r>
      <w:r w:rsidR="00C23C47">
        <w:rPr>
          <w:rFonts w:asciiTheme="minorHAnsi" w:eastAsia="Calibri" w:hAnsiTheme="minorHAnsi" w:cstheme="minorHAnsi"/>
          <w:color w:val="auto"/>
        </w:rPr>
        <w:t>a</w:t>
      </w:r>
      <w:r>
        <w:rPr>
          <w:rFonts w:asciiTheme="minorHAnsi" w:eastAsia="Calibri" w:hAnsiTheme="minorHAnsi" w:cstheme="minorHAnsi"/>
          <w:color w:val="auto"/>
        </w:rPr>
        <w:tab/>
      </w:r>
      <w:r w:rsidRPr="00C6334F">
        <w:rPr>
          <w:rFonts w:asciiTheme="minorHAnsi" w:eastAsiaTheme="minorHAnsi" w:hAnsiTheme="minorHAnsi" w:cstheme="minorHAnsi"/>
        </w:rPr>
        <w:t>průběžn</w:t>
      </w:r>
      <w:r w:rsidR="00C23C47">
        <w:rPr>
          <w:rFonts w:asciiTheme="minorHAnsi" w:eastAsiaTheme="minorHAnsi" w:hAnsiTheme="minorHAnsi" w:cstheme="minorHAnsi"/>
        </w:rPr>
        <w:t>á</w:t>
      </w:r>
      <w:r w:rsidRPr="00C6334F">
        <w:rPr>
          <w:rFonts w:asciiTheme="minorHAnsi" w:eastAsiaTheme="minorHAnsi" w:hAnsiTheme="minorHAnsi" w:cstheme="minorHAnsi"/>
        </w:rPr>
        <w:t xml:space="preserve"> zpráv</w:t>
      </w:r>
      <w:r w:rsidR="00C23C47">
        <w:rPr>
          <w:rFonts w:asciiTheme="minorHAnsi" w:eastAsiaTheme="minorHAnsi" w:hAnsiTheme="minorHAnsi" w:cstheme="minorHAnsi"/>
        </w:rPr>
        <w:t>a</w:t>
      </w:r>
      <w:r w:rsidRPr="00C6334F">
        <w:rPr>
          <w:rFonts w:asciiTheme="minorHAnsi" w:eastAsiaTheme="minorHAnsi" w:hAnsiTheme="minorHAnsi" w:cstheme="minorHAnsi"/>
        </w:rPr>
        <w:t xml:space="preserve"> o plnění dlouhodobé koncepce rozvoje výzkumné organizace</w:t>
      </w:r>
    </w:p>
    <w:p w14:paraId="233B6C60" w14:textId="39ADFEC6" w:rsidR="00AC5F80" w:rsidRDefault="001D56CB" w:rsidP="00C6334F">
      <w:pPr>
        <w:ind w:left="3261" w:right="-142" w:hanging="3261"/>
        <w:jc w:val="left"/>
        <w:rPr>
          <w:lang w:eastAsia="cs-CZ"/>
        </w:rPr>
      </w:pPr>
      <w:bookmarkStart w:id="9" w:name="_Hlk134630857"/>
      <w:r w:rsidRPr="00C6334F">
        <w:rPr>
          <w:rFonts w:asciiTheme="minorHAnsi" w:hAnsiTheme="minorHAnsi" w:cstheme="minorHAnsi"/>
          <w:i/>
        </w:rPr>
        <w:t>Rámec pro státní podporu</w:t>
      </w:r>
      <w:r>
        <w:rPr>
          <w:rFonts w:asciiTheme="minorHAnsi" w:hAnsiTheme="minorHAnsi" w:cstheme="minorHAnsi"/>
        </w:rPr>
        <w:t xml:space="preserve"> </w:t>
      </w:r>
      <w:r>
        <w:rPr>
          <w:rFonts w:asciiTheme="minorHAnsi" w:hAnsiTheme="minorHAnsi" w:cstheme="minorHAnsi"/>
        </w:rPr>
        <w:tab/>
      </w:r>
      <w:r w:rsidR="00C23C47" w:rsidRPr="00C6334F">
        <w:rPr>
          <w:rFonts w:asciiTheme="minorHAnsi" w:hAnsiTheme="minorHAnsi" w:cstheme="minorHAnsi"/>
          <w:spacing w:val="-1"/>
        </w:rPr>
        <w:t>s</w:t>
      </w:r>
      <w:r w:rsidRPr="00C6334F">
        <w:rPr>
          <w:rFonts w:asciiTheme="minorHAnsi" w:hAnsiTheme="minorHAnsi" w:cstheme="minorHAnsi"/>
          <w:spacing w:val="-1"/>
        </w:rPr>
        <w:t xml:space="preserve">dělení </w:t>
      </w:r>
      <w:r w:rsidR="00C23C47" w:rsidRPr="00C6334F">
        <w:rPr>
          <w:rFonts w:asciiTheme="minorHAnsi" w:hAnsiTheme="minorHAnsi" w:cstheme="minorHAnsi"/>
          <w:spacing w:val="-1"/>
        </w:rPr>
        <w:t xml:space="preserve">Evropské </w:t>
      </w:r>
      <w:r w:rsidRPr="00C6334F">
        <w:rPr>
          <w:rFonts w:asciiTheme="minorHAnsi" w:hAnsiTheme="minorHAnsi"/>
          <w:spacing w:val="-1"/>
          <w:lang w:eastAsia="cs-CZ"/>
        </w:rPr>
        <w:t>komise</w:t>
      </w:r>
      <w:r w:rsidR="00C23C47" w:rsidRPr="00C6334F">
        <w:rPr>
          <w:rFonts w:asciiTheme="minorHAnsi" w:hAnsiTheme="minorHAnsi"/>
          <w:spacing w:val="-1"/>
          <w:lang w:eastAsia="cs-CZ"/>
        </w:rPr>
        <w:t>:</w:t>
      </w:r>
      <w:r w:rsidRPr="00C6334F">
        <w:rPr>
          <w:rFonts w:asciiTheme="minorHAnsi" w:hAnsiTheme="minorHAnsi"/>
          <w:spacing w:val="-1"/>
          <w:lang w:eastAsia="cs-CZ"/>
        </w:rPr>
        <w:t xml:space="preserve"> </w:t>
      </w:r>
      <w:r w:rsidRPr="00C6334F">
        <w:rPr>
          <w:rFonts w:asciiTheme="minorHAnsi" w:hAnsiTheme="minorHAnsi"/>
          <w:i/>
          <w:spacing w:val="-1"/>
          <w:lang w:eastAsia="cs-CZ"/>
        </w:rPr>
        <w:t>Rámec pro</w:t>
      </w:r>
      <w:r w:rsidR="00C23C47" w:rsidRPr="00C6334F">
        <w:rPr>
          <w:rFonts w:asciiTheme="minorHAnsi" w:hAnsiTheme="minorHAnsi"/>
          <w:i/>
          <w:spacing w:val="-1"/>
          <w:lang w:eastAsia="cs-CZ"/>
        </w:rPr>
        <w:t xml:space="preserve"> </w:t>
      </w:r>
      <w:r w:rsidRPr="00C6334F">
        <w:rPr>
          <w:rFonts w:asciiTheme="minorHAnsi" w:hAnsiTheme="minorHAnsi"/>
          <w:i/>
          <w:spacing w:val="-1"/>
          <w:lang w:eastAsia="cs-CZ"/>
        </w:rPr>
        <w:t>státní podporu výzkumu</w:t>
      </w:r>
      <w:r w:rsidRPr="00C6334F">
        <w:rPr>
          <w:i/>
          <w:lang w:eastAsia="cs-CZ"/>
        </w:rPr>
        <w:t>,</w:t>
      </w:r>
    </w:p>
    <w:p w14:paraId="6404EC24" w14:textId="0B8BA867" w:rsidR="00AC5F80" w:rsidRDefault="001D56CB" w:rsidP="00C6334F">
      <w:pPr>
        <w:spacing w:after="120"/>
        <w:ind w:left="3261" w:hanging="3261"/>
        <w:rPr>
          <w:rFonts w:asciiTheme="minorHAnsi" w:hAnsiTheme="minorHAnsi" w:cstheme="minorHAnsi"/>
        </w:rPr>
      </w:pPr>
      <w:r w:rsidRPr="00C6334F">
        <w:rPr>
          <w:i/>
          <w:lang w:eastAsia="cs-CZ"/>
        </w:rPr>
        <w:t>vývoje</w:t>
      </w:r>
      <w:r w:rsidR="00AC5F80" w:rsidRPr="00C6334F">
        <w:rPr>
          <w:i/>
          <w:lang w:eastAsia="cs-CZ"/>
        </w:rPr>
        <w:t xml:space="preserve">, </w:t>
      </w:r>
      <w:r w:rsidR="00AC5F80" w:rsidRPr="00C6334F">
        <w:rPr>
          <w:rFonts w:asciiTheme="minorHAnsi" w:hAnsiTheme="minorHAnsi" w:cstheme="minorHAnsi"/>
          <w:i/>
        </w:rPr>
        <w:t xml:space="preserve">výzkumu </w:t>
      </w:r>
      <w:r w:rsidR="00AC5F80" w:rsidRPr="00C6334F">
        <w:rPr>
          <w:i/>
          <w:lang w:eastAsia="cs-CZ"/>
        </w:rPr>
        <w:t>a inovací</w:t>
      </w:r>
      <w:r w:rsidR="00AC5F80">
        <w:rPr>
          <w:rFonts w:asciiTheme="minorHAnsi" w:hAnsiTheme="minorHAnsi" w:cstheme="minorHAnsi"/>
        </w:rPr>
        <w:tab/>
      </w:r>
      <w:r w:rsidR="00AC5F80" w:rsidRPr="00C6334F">
        <w:rPr>
          <w:rFonts w:asciiTheme="minorHAnsi" w:hAnsiTheme="minorHAnsi" w:cstheme="minorHAnsi"/>
          <w:i/>
        </w:rPr>
        <w:t>vývoje a inovací</w:t>
      </w:r>
      <w:r w:rsidR="00AC5F80">
        <w:rPr>
          <w:lang w:eastAsia="cs-CZ"/>
        </w:rPr>
        <w:t xml:space="preserve"> (2014/C 198/01)</w:t>
      </w:r>
    </w:p>
    <w:bookmarkEnd w:id="9"/>
    <w:p w14:paraId="09D7D591" w14:textId="60976880" w:rsidR="001D56CB" w:rsidRDefault="00C23C47" w:rsidP="00F7659E">
      <w:pPr>
        <w:ind w:left="3261" w:hanging="3261"/>
        <w:rPr>
          <w:rFonts w:asciiTheme="minorHAnsi" w:hAnsiTheme="minorHAnsi" w:cstheme="minorHAnsi"/>
        </w:rPr>
      </w:pPr>
      <w:r>
        <w:rPr>
          <w:rFonts w:asciiTheme="minorHAnsi" w:eastAsia="Calibri" w:hAnsiTheme="minorHAnsi" w:cstheme="minorHAnsi"/>
          <w:color w:val="auto"/>
        </w:rPr>
        <w:t>„</w:t>
      </w:r>
      <w:r w:rsidRPr="00C6334F">
        <w:rPr>
          <w:rFonts w:asciiTheme="minorHAnsi" w:hAnsiTheme="minorHAnsi" w:cstheme="minorHAnsi"/>
          <w:i/>
        </w:rPr>
        <w:t>r</w:t>
      </w:r>
      <w:r w:rsidR="009A1E7B" w:rsidRPr="00C6334F">
        <w:rPr>
          <w:rFonts w:asciiTheme="minorHAnsi" w:hAnsiTheme="minorHAnsi" w:cstheme="minorHAnsi"/>
          <w:i/>
        </w:rPr>
        <w:t>ozhodnutí o poskytnutí</w:t>
      </w:r>
      <w:r w:rsidR="009A1E7B" w:rsidRPr="0066732E">
        <w:rPr>
          <w:rFonts w:asciiTheme="minorHAnsi" w:hAnsiTheme="minorHAnsi" w:cstheme="minorHAnsi"/>
        </w:rPr>
        <w:t xml:space="preserve"> </w:t>
      </w:r>
      <w:r w:rsidR="001D56CB">
        <w:rPr>
          <w:rFonts w:asciiTheme="minorHAnsi" w:hAnsiTheme="minorHAnsi" w:cstheme="minorHAnsi"/>
        </w:rPr>
        <w:tab/>
      </w:r>
      <w:r>
        <w:rPr>
          <w:rFonts w:asciiTheme="minorHAnsi" w:hAnsiTheme="minorHAnsi" w:cstheme="minorHAnsi"/>
        </w:rPr>
        <w:t>r</w:t>
      </w:r>
      <w:r w:rsidR="001D56CB" w:rsidRPr="0066732E">
        <w:rPr>
          <w:rFonts w:asciiTheme="minorHAnsi" w:hAnsiTheme="minorHAnsi" w:cstheme="minorHAnsi"/>
        </w:rPr>
        <w:t xml:space="preserve">ozhodnutí </w:t>
      </w:r>
      <w:r w:rsidR="0091358D">
        <w:rPr>
          <w:rFonts w:asciiTheme="minorHAnsi" w:hAnsiTheme="minorHAnsi" w:cstheme="minorHAnsi"/>
        </w:rPr>
        <w:t xml:space="preserve">MPO </w:t>
      </w:r>
      <w:r w:rsidR="001D56CB" w:rsidRPr="0066732E">
        <w:rPr>
          <w:rFonts w:asciiTheme="minorHAnsi" w:hAnsiTheme="minorHAnsi" w:cstheme="minorHAnsi"/>
        </w:rPr>
        <w:t>o poskytnutí institucionální podpory</w:t>
      </w:r>
      <w:r w:rsidR="001D56CB">
        <w:rPr>
          <w:rFonts w:asciiTheme="minorHAnsi" w:hAnsiTheme="minorHAnsi" w:cstheme="minorHAnsi"/>
        </w:rPr>
        <w:t xml:space="preserve"> na</w:t>
      </w:r>
    </w:p>
    <w:p w14:paraId="0109D14F" w14:textId="6FA9A2CB" w:rsidR="001D56CB" w:rsidRDefault="001D56CB">
      <w:pPr>
        <w:spacing w:after="120"/>
        <w:ind w:left="3261" w:hanging="3261"/>
        <w:rPr>
          <w:rFonts w:asciiTheme="minorHAnsi" w:hAnsiTheme="minorHAnsi" w:cstheme="minorHAnsi"/>
        </w:rPr>
      </w:pPr>
      <w:r w:rsidRPr="00C6334F">
        <w:rPr>
          <w:rFonts w:asciiTheme="minorHAnsi" w:hAnsiTheme="minorHAnsi" w:cstheme="minorHAnsi"/>
          <w:i/>
        </w:rPr>
        <w:t>institucionální podpory</w:t>
      </w:r>
      <w:r w:rsidR="00C23C47" w:rsidRPr="00C6334F">
        <w:rPr>
          <w:rFonts w:asciiTheme="minorHAnsi" w:hAnsiTheme="minorHAnsi" w:cstheme="minorHAnsi"/>
        </w:rPr>
        <w:t>“</w:t>
      </w:r>
      <w:r w:rsidRPr="00C23C47">
        <w:rPr>
          <w:rFonts w:asciiTheme="minorHAnsi" w:hAnsiTheme="minorHAnsi" w:cstheme="minorHAnsi"/>
        </w:rPr>
        <w:t xml:space="preserve"> </w:t>
      </w:r>
      <w:r>
        <w:rPr>
          <w:rFonts w:asciiTheme="minorHAnsi" w:hAnsiTheme="minorHAnsi" w:cstheme="minorHAnsi"/>
        </w:rPr>
        <w:tab/>
        <w:t>dlouhodobý koncepční rozvoj výzkumné organizace</w:t>
      </w:r>
    </w:p>
    <w:p w14:paraId="59D72B7F" w14:textId="1A6BB419" w:rsidR="00C23C47" w:rsidRDefault="00C23C47" w:rsidP="00C6334F">
      <w:pPr>
        <w:ind w:left="3261" w:hanging="3261"/>
        <w:rPr>
          <w:rFonts w:asciiTheme="minorHAnsi" w:hAnsiTheme="minorHAnsi" w:cstheme="minorHAnsi"/>
        </w:rPr>
      </w:pPr>
      <w:r>
        <w:rPr>
          <w:rFonts w:asciiTheme="minorHAnsi" w:hAnsiTheme="minorHAnsi" w:cstheme="minorHAnsi"/>
        </w:rPr>
        <w:t>zákon o zadávání veřejných</w:t>
      </w:r>
      <w:r>
        <w:rPr>
          <w:rFonts w:asciiTheme="minorHAnsi" w:hAnsiTheme="minorHAnsi" w:cstheme="minorHAnsi"/>
        </w:rPr>
        <w:tab/>
        <w:t>z</w:t>
      </w:r>
      <w:r w:rsidRPr="00716090">
        <w:rPr>
          <w:rFonts w:asciiTheme="minorHAnsi" w:hAnsiTheme="minorHAnsi" w:cstheme="minorHAnsi"/>
          <w:iCs/>
          <w:shd w:val="clear" w:color="auto" w:fill="FFFFFF"/>
        </w:rPr>
        <w:t>ákon č. 134/2016 Sb., o zadávání veřejných zakázek</w:t>
      </w:r>
    </w:p>
    <w:p w14:paraId="486F5D3F" w14:textId="1F147A89" w:rsidR="00C23C47" w:rsidRPr="00C23C47" w:rsidRDefault="00C23C47" w:rsidP="00C6334F">
      <w:pPr>
        <w:spacing w:after="120"/>
        <w:ind w:left="3261" w:hanging="3261"/>
        <w:rPr>
          <w:rFonts w:asciiTheme="minorHAnsi" w:hAnsiTheme="minorHAnsi" w:cstheme="minorHAnsi"/>
        </w:rPr>
      </w:pPr>
      <w:r>
        <w:rPr>
          <w:rFonts w:asciiTheme="minorHAnsi" w:hAnsiTheme="minorHAnsi" w:cstheme="minorHAnsi"/>
        </w:rPr>
        <w:t>zakázek</w:t>
      </w:r>
    </w:p>
    <w:p w14:paraId="1B7256E7" w14:textId="0C7C97DD" w:rsidR="005648B8" w:rsidRDefault="005648B8">
      <w:pPr>
        <w:spacing w:after="160" w:line="259" w:lineRule="auto"/>
        <w:jc w:val="left"/>
        <w:rPr>
          <w:rFonts w:asciiTheme="minorHAnsi" w:eastAsia="Calibri" w:hAnsiTheme="minorHAnsi" w:cstheme="minorHAnsi"/>
          <w:color w:val="auto"/>
        </w:rPr>
      </w:pPr>
      <w:r>
        <w:rPr>
          <w:rFonts w:asciiTheme="minorHAnsi" w:eastAsia="Calibri" w:hAnsiTheme="minorHAnsi" w:cstheme="minorHAnsi"/>
          <w:color w:val="auto"/>
        </w:rPr>
        <w:br w:type="page"/>
      </w:r>
    </w:p>
    <w:p w14:paraId="3264FDE1" w14:textId="77777777" w:rsidR="005648B8" w:rsidRPr="005648B8" w:rsidRDefault="005648B8" w:rsidP="005648B8">
      <w:pPr>
        <w:spacing w:before="120"/>
        <w:jc w:val="right"/>
        <w:rPr>
          <w:rFonts w:cs="Times New Roman"/>
          <w:b/>
          <w:color w:val="auto"/>
          <w:lang w:eastAsia="cs-CZ"/>
        </w:rPr>
      </w:pPr>
      <w:r w:rsidRPr="005648B8">
        <w:rPr>
          <w:rFonts w:cs="Times New Roman"/>
          <w:b/>
          <w:color w:val="auto"/>
          <w:lang w:eastAsia="cs-CZ"/>
        </w:rPr>
        <w:lastRenderedPageBreak/>
        <w:t>Příloha č. 1</w:t>
      </w:r>
    </w:p>
    <w:p w14:paraId="676C6D76" w14:textId="77777777" w:rsidR="005648B8" w:rsidRPr="005648B8" w:rsidRDefault="005648B8" w:rsidP="005648B8">
      <w:pPr>
        <w:spacing w:before="120"/>
        <w:jc w:val="center"/>
        <w:rPr>
          <w:rFonts w:cs="Times New Roman"/>
          <w:b/>
          <w:color w:val="auto"/>
          <w:sz w:val="28"/>
          <w:szCs w:val="28"/>
          <w:lang w:eastAsia="cs-CZ"/>
        </w:rPr>
      </w:pPr>
    </w:p>
    <w:p w14:paraId="45B04812" w14:textId="54590DF8" w:rsidR="005648B8" w:rsidRPr="005648B8" w:rsidRDefault="001303EB" w:rsidP="00C6334F">
      <w:pPr>
        <w:spacing w:before="120" w:after="60"/>
        <w:jc w:val="center"/>
        <w:rPr>
          <w:rFonts w:cs="Times New Roman"/>
          <w:b/>
          <w:color w:val="auto"/>
          <w:lang w:eastAsia="cs-CZ"/>
        </w:rPr>
      </w:pPr>
      <w:r>
        <w:rPr>
          <w:rFonts w:cs="Times New Roman"/>
          <w:b/>
          <w:color w:val="auto"/>
          <w:lang w:eastAsia="cs-CZ"/>
        </w:rPr>
        <w:t>Přehled</w:t>
      </w:r>
      <w:r w:rsidR="005648B8" w:rsidRPr="005648B8">
        <w:rPr>
          <w:rFonts w:cs="Times New Roman"/>
          <w:b/>
          <w:color w:val="auto"/>
          <w:lang w:eastAsia="cs-CZ"/>
        </w:rPr>
        <w:t xml:space="preserve"> výzkumných organizací, kterým Ministerstvo průmyslu a obchodu poskytlo </w:t>
      </w:r>
      <w:r w:rsidR="008E0C79" w:rsidRPr="005648B8">
        <w:rPr>
          <w:rFonts w:cs="Times New Roman"/>
          <w:b/>
          <w:color w:val="auto"/>
          <w:lang w:eastAsia="cs-CZ"/>
        </w:rPr>
        <w:t>v letech 2018 až 2022</w:t>
      </w:r>
      <w:r w:rsidR="008E0C79">
        <w:rPr>
          <w:rFonts w:cs="Times New Roman"/>
          <w:b/>
          <w:color w:val="auto"/>
          <w:lang w:eastAsia="cs-CZ"/>
        </w:rPr>
        <w:t xml:space="preserve"> </w:t>
      </w:r>
      <w:r w:rsidR="005648B8" w:rsidRPr="005648B8">
        <w:rPr>
          <w:rFonts w:cs="Times New Roman"/>
          <w:b/>
          <w:color w:val="auto"/>
          <w:lang w:eastAsia="cs-CZ"/>
        </w:rPr>
        <w:t xml:space="preserve">institucionální podporu </w:t>
      </w:r>
    </w:p>
    <w:tbl>
      <w:tblPr>
        <w:tblW w:w="5194" w:type="pct"/>
        <w:tblLayout w:type="fixed"/>
        <w:tblCellMar>
          <w:left w:w="70" w:type="dxa"/>
          <w:right w:w="70" w:type="dxa"/>
        </w:tblCellMar>
        <w:tblLook w:val="04A0" w:firstRow="1" w:lastRow="0" w:firstColumn="1" w:lastColumn="0" w:noHBand="0" w:noVBand="1"/>
      </w:tblPr>
      <w:tblGrid>
        <w:gridCol w:w="2765"/>
        <w:gridCol w:w="2834"/>
        <w:gridCol w:w="3968"/>
      </w:tblGrid>
      <w:tr w:rsidR="005648B8" w:rsidRPr="005648B8" w14:paraId="64B7E5AB" w14:textId="77777777" w:rsidTr="00946D22">
        <w:trPr>
          <w:trHeight w:val="541"/>
        </w:trPr>
        <w:tc>
          <w:tcPr>
            <w:tcW w:w="1445" w:type="pct"/>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1E06D02" w14:textId="77777777" w:rsidR="005648B8" w:rsidRPr="005648B8" w:rsidRDefault="005648B8" w:rsidP="005648B8">
            <w:pPr>
              <w:jc w:val="center"/>
              <w:rPr>
                <w:b/>
                <w:bCs/>
                <w:sz w:val="20"/>
                <w:szCs w:val="20"/>
                <w:lang w:eastAsia="cs-CZ"/>
              </w:rPr>
            </w:pPr>
            <w:r w:rsidRPr="005648B8">
              <w:rPr>
                <w:rFonts w:eastAsia="Calibri"/>
                <w:b/>
                <w:bCs/>
                <w:sz w:val="20"/>
                <w:szCs w:val="20"/>
              </w:rPr>
              <w:t xml:space="preserve">Výzkumná organizace </w:t>
            </w:r>
          </w:p>
        </w:tc>
        <w:tc>
          <w:tcPr>
            <w:tcW w:w="1481" w:type="pct"/>
            <w:tcBorders>
              <w:top w:val="single" w:sz="4" w:space="0" w:color="auto"/>
              <w:left w:val="nil"/>
              <w:bottom w:val="single" w:sz="4" w:space="0" w:color="auto"/>
              <w:right w:val="single" w:sz="4" w:space="0" w:color="auto"/>
            </w:tcBorders>
            <w:shd w:val="clear" w:color="auto" w:fill="E5F1FF"/>
            <w:noWrap/>
            <w:vAlign w:val="center"/>
            <w:hideMark/>
          </w:tcPr>
          <w:p w14:paraId="29C2B3F4" w14:textId="77777777" w:rsidR="005648B8" w:rsidRPr="005648B8" w:rsidRDefault="005648B8" w:rsidP="005648B8">
            <w:pPr>
              <w:jc w:val="center"/>
              <w:rPr>
                <w:b/>
                <w:bCs/>
                <w:sz w:val="20"/>
                <w:szCs w:val="20"/>
                <w:lang w:eastAsia="cs-CZ"/>
              </w:rPr>
            </w:pPr>
            <w:r w:rsidRPr="005648B8">
              <w:rPr>
                <w:b/>
                <w:bCs/>
                <w:sz w:val="20"/>
                <w:szCs w:val="20"/>
                <w:lang w:eastAsia="cs-CZ"/>
              </w:rPr>
              <w:t xml:space="preserve">Zaměření </w:t>
            </w:r>
          </w:p>
        </w:tc>
        <w:tc>
          <w:tcPr>
            <w:tcW w:w="2074" w:type="pct"/>
            <w:tcBorders>
              <w:top w:val="single" w:sz="4" w:space="0" w:color="auto"/>
              <w:left w:val="nil"/>
              <w:bottom w:val="single" w:sz="4" w:space="0" w:color="auto"/>
              <w:right w:val="single" w:sz="4" w:space="0" w:color="auto"/>
            </w:tcBorders>
            <w:shd w:val="clear" w:color="auto" w:fill="E5F1FF"/>
            <w:vAlign w:val="center"/>
          </w:tcPr>
          <w:p w14:paraId="2D7E6365" w14:textId="33C59EFB" w:rsidR="005648B8" w:rsidRPr="005648B8" w:rsidRDefault="005648B8" w:rsidP="005648B8">
            <w:pPr>
              <w:jc w:val="center"/>
              <w:rPr>
                <w:b/>
                <w:bCs/>
                <w:sz w:val="20"/>
                <w:szCs w:val="20"/>
                <w:lang w:eastAsia="cs-CZ"/>
              </w:rPr>
            </w:pPr>
            <w:r w:rsidRPr="005648B8">
              <w:rPr>
                <w:b/>
                <w:bCs/>
                <w:sz w:val="20"/>
                <w:szCs w:val="20"/>
                <w:lang w:eastAsia="cs-CZ"/>
              </w:rPr>
              <w:t xml:space="preserve">Sídlo a </w:t>
            </w:r>
            <w:r w:rsidR="001303EB">
              <w:rPr>
                <w:b/>
                <w:bCs/>
                <w:sz w:val="20"/>
                <w:szCs w:val="20"/>
                <w:lang w:eastAsia="cs-CZ"/>
              </w:rPr>
              <w:t>identifikační číslo (</w:t>
            </w:r>
            <w:r w:rsidRPr="005648B8">
              <w:rPr>
                <w:b/>
                <w:bCs/>
                <w:sz w:val="20"/>
                <w:szCs w:val="20"/>
                <w:lang w:eastAsia="cs-CZ"/>
              </w:rPr>
              <w:t>IČ</w:t>
            </w:r>
            <w:r w:rsidR="001303EB">
              <w:rPr>
                <w:b/>
                <w:bCs/>
                <w:sz w:val="20"/>
                <w:szCs w:val="20"/>
                <w:lang w:eastAsia="cs-CZ"/>
              </w:rPr>
              <w:t>)</w:t>
            </w:r>
          </w:p>
        </w:tc>
      </w:tr>
      <w:tr w:rsidR="005648B8" w:rsidRPr="005648B8" w14:paraId="6F09F038" w14:textId="77777777" w:rsidTr="00946D22">
        <w:trPr>
          <w:trHeight w:val="31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7DF2B200" w14:textId="77777777" w:rsidR="005648B8" w:rsidRPr="005648B8" w:rsidRDefault="005648B8" w:rsidP="005648B8">
            <w:pPr>
              <w:jc w:val="left"/>
              <w:rPr>
                <w:sz w:val="20"/>
                <w:szCs w:val="20"/>
                <w:lang w:eastAsia="cs-CZ"/>
              </w:rPr>
            </w:pPr>
            <w:r w:rsidRPr="005648B8">
              <w:rPr>
                <w:rFonts w:eastAsia="Calibri"/>
                <w:color w:val="auto"/>
                <w:sz w:val="20"/>
                <w:szCs w:val="20"/>
              </w:rPr>
              <w:t>CENTRUM HYDRAULICKÉHO VÝZKUMU spol. s r.o.</w:t>
            </w:r>
          </w:p>
        </w:tc>
        <w:tc>
          <w:tcPr>
            <w:tcW w:w="1481" w:type="pct"/>
            <w:tcBorders>
              <w:top w:val="nil"/>
              <w:left w:val="nil"/>
              <w:bottom w:val="single" w:sz="4" w:space="0" w:color="auto"/>
              <w:right w:val="single" w:sz="4" w:space="0" w:color="auto"/>
            </w:tcBorders>
            <w:shd w:val="clear" w:color="auto" w:fill="auto"/>
            <w:vAlign w:val="center"/>
            <w:hideMark/>
          </w:tcPr>
          <w:p w14:paraId="62A3A4E1" w14:textId="780452C1" w:rsidR="005648B8" w:rsidRPr="005648B8" w:rsidRDefault="001303EB" w:rsidP="005648B8">
            <w:pPr>
              <w:jc w:val="left"/>
              <w:rPr>
                <w:sz w:val="20"/>
                <w:szCs w:val="20"/>
                <w:lang w:eastAsia="cs-CZ"/>
              </w:rPr>
            </w:pPr>
            <w:r>
              <w:rPr>
                <w:sz w:val="20"/>
                <w:szCs w:val="20"/>
                <w:lang w:eastAsia="cs-CZ"/>
              </w:rPr>
              <w:t>H</w:t>
            </w:r>
            <w:r w:rsidR="005648B8" w:rsidRPr="005648B8">
              <w:rPr>
                <w:sz w:val="20"/>
                <w:szCs w:val="20"/>
                <w:lang w:eastAsia="cs-CZ"/>
              </w:rPr>
              <w:t>ydromechanika a</w:t>
            </w:r>
            <w:r>
              <w:rPr>
                <w:sz w:val="20"/>
                <w:szCs w:val="20"/>
                <w:lang w:eastAsia="cs-CZ"/>
              </w:rPr>
              <w:t> </w:t>
            </w:r>
            <w:r w:rsidR="005648B8" w:rsidRPr="005648B8">
              <w:rPr>
                <w:sz w:val="20"/>
                <w:szCs w:val="20"/>
                <w:lang w:eastAsia="cs-CZ"/>
              </w:rPr>
              <w:t>hydrodynamické stroje, chemické a bakteriologické filtry</w:t>
            </w:r>
          </w:p>
        </w:tc>
        <w:tc>
          <w:tcPr>
            <w:tcW w:w="2074" w:type="pct"/>
            <w:tcBorders>
              <w:top w:val="nil"/>
              <w:left w:val="nil"/>
              <w:bottom w:val="single" w:sz="4" w:space="0" w:color="auto"/>
              <w:right w:val="single" w:sz="4" w:space="0" w:color="auto"/>
            </w:tcBorders>
            <w:vAlign w:val="center"/>
          </w:tcPr>
          <w:p w14:paraId="3AF947BF" w14:textId="3F70E172" w:rsidR="005648B8" w:rsidRPr="005648B8" w:rsidRDefault="005648B8" w:rsidP="005648B8">
            <w:pPr>
              <w:jc w:val="left"/>
              <w:rPr>
                <w:sz w:val="20"/>
                <w:szCs w:val="20"/>
                <w:lang w:eastAsia="cs-CZ"/>
              </w:rPr>
            </w:pPr>
            <w:r w:rsidRPr="005648B8">
              <w:rPr>
                <w:sz w:val="20"/>
                <w:szCs w:val="20"/>
                <w:lang w:eastAsia="cs-CZ"/>
              </w:rPr>
              <w:t>Jana Sigmunda 313, 783 49</w:t>
            </w:r>
            <w:r w:rsidR="001303EB">
              <w:rPr>
                <w:sz w:val="20"/>
                <w:szCs w:val="20"/>
                <w:lang w:eastAsia="cs-CZ"/>
              </w:rPr>
              <w:t xml:space="preserve"> </w:t>
            </w:r>
            <w:r w:rsidRPr="005648B8">
              <w:rPr>
                <w:sz w:val="20"/>
                <w:szCs w:val="20"/>
                <w:lang w:eastAsia="cs-CZ"/>
              </w:rPr>
              <w:t xml:space="preserve"> Lutín</w:t>
            </w:r>
          </w:p>
          <w:p w14:paraId="08423578" w14:textId="77777777" w:rsidR="005648B8" w:rsidRPr="005648B8" w:rsidRDefault="005648B8" w:rsidP="005648B8">
            <w:pPr>
              <w:jc w:val="left"/>
              <w:rPr>
                <w:sz w:val="20"/>
                <w:szCs w:val="20"/>
                <w:lang w:eastAsia="cs-CZ"/>
              </w:rPr>
            </w:pPr>
            <w:r w:rsidRPr="005648B8">
              <w:rPr>
                <w:sz w:val="20"/>
                <w:szCs w:val="20"/>
                <w:lang w:eastAsia="cs-CZ"/>
              </w:rPr>
              <w:t>IČ: 28645413</w:t>
            </w:r>
          </w:p>
        </w:tc>
      </w:tr>
      <w:tr w:rsidR="005648B8" w:rsidRPr="005648B8" w14:paraId="332B5D60"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B5173F3" w14:textId="77777777" w:rsidR="005648B8" w:rsidRPr="005648B8" w:rsidRDefault="005648B8" w:rsidP="00C6334F">
            <w:pPr>
              <w:ind w:right="-69"/>
              <w:jc w:val="left"/>
              <w:rPr>
                <w:sz w:val="20"/>
                <w:szCs w:val="20"/>
                <w:lang w:eastAsia="cs-CZ"/>
              </w:rPr>
            </w:pPr>
            <w:r w:rsidRPr="005648B8">
              <w:rPr>
                <w:sz w:val="20"/>
                <w:szCs w:val="20"/>
                <w:lang w:eastAsia="cs-CZ"/>
              </w:rPr>
              <w:t>Centrum organické chemie s.r.o.</w:t>
            </w:r>
          </w:p>
        </w:tc>
        <w:tc>
          <w:tcPr>
            <w:tcW w:w="1481" w:type="pct"/>
            <w:tcBorders>
              <w:top w:val="nil"/>
              <w:left w:val="nil"/>
              <w:bottom w:val="single" w:sz="4" w:space="0" w:color="auto"/>
              <w:right w:val="single" w:sz="4" w:space="0" w:color="auto"/>
            </w:tcBorders>
            <w:shd w:val="clear" w:color="auto" w:fill="auto"/>
            <w:noWrap/>
            <w:vAlign w:val="center"/>
            <w:hideMark/>
          </w:tcPr>
          <w:p w14:paraId="2EDA28CA" w14:textId="58E79DF6" w:rsidR="005648B8" w:rsidRPr="005648B8" w:rsidRDefault="001303EB" w:rsidP="005648B8">
            <w:pPr>
              <w:jc w:val="left"/>
              <w:rPr>
                <w:sz w:val="20"/>
                <w:szCs w:val="20"/>
                <w:lang w:eastAsia="cs-CZ"/>
              </w:rPr>
            </w:pPr>
            <w:r>
              <w:rPr>
                <w:sz w:val="20"/>
                <w:szCs w:val="20"/>
                <w:lang w:eastAsia="cs-CZ"/>
              </w:rPr>
              <w:t>O</w:t>
            </w:r>
            <w:r w:rsidR="005648B8" w:rsidRPr="005648B8">
              <w:rPr>
                <w:sz w:val="20"/>
                <w:szCs w:val="20"/>
                <w:lang w:eastAsia="cs-CZ"/>
              </w:rPr>
              <w:t>rganická elektronika, fotoaktivní systémy a povrchové funkcionální úpravy</w:t>
            </w:r>
          </w:p>
        </w:tc>
        <w:tc>
          <w:tcPr>
            <w:tcW w:w="2074" w:type="pct"/>
            <w:tcBorders>
              <w:top w:val="nil"/>
              <w:left w:val="nil"/>
              <w:bottom w:val="single" w:sz="4" w:space="0" w:color="auto"/>
              <w:right w:val="single" w:sz="4" w:space="0" w:color="auto"/>
            </w:tcBorders>
            <w:vAlign w:val="center"/>
          </w:tcPr>
          <w:p w14:paraId="025B9C70" w14:textId="48A3DD47" w:rsidR="005648B8" w:rsidRPr="005648B8" w:rsidRDefault="005648B8" w:rsidP="005648B8">
            <w:pPr>
              <w:jc w:val="left"/>
              <w:rPr>
                <w:sz w:val="20"/>
                <w:szCs w:val="20"/>
                <w:lang w:eastAsia="cs-CZ"/>
              </w:rPr>
            </w:pPr>
            <w:r w:rsidRPr="005648B8">
              <w:rPr>
                <w:sz w:val="20"/>
                <w:szCs w:val="20"/>
                <w:lang w:eastAsia="cs-CZ"/>
              </w:rPr>
              <w:t>Rybitví, čp. 296, 533 54</w:t>
            </w:r>
          </w:p>
          <w:p w14:paraId="0F8D1A01" w14:textId="77777777" w:rsidR="005648B8" w:rsidRPr="005648B8" w:rsidRDefault="005648B8" w:rsidP="005648B8">
            <w:pPr>
              <w:jc w:val="left"/>
              <w:rPr>
                <w:sz w:val="20"/>
                <w:szCs w:val="20"/>
                <w:lang w:eastAsia="cs-CZ"/>
              </w:rPr>
            </w:pPr>
            <w:r w:rsidRPr="005648B8">
              <w:rPr>
                <w:sz w:val="20"/>
                <w:szCs w:val="20"/>
                <w:lang w:eastAsia="cs-CZ"/>
              </w:rPr>
              <w:t>IČ: 28778758</w:t>
            </w:r>
          </w:p>
        </w:tc>
      </w:tr>
      <w:tr w:rsidR="005648B8" w:rsidRPr="005648B8" w14:paraId="4BA07D70"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1AA0185" w14:textId="77777777" w:rsidR="005648B8" w:rsidRPr="005648B8" w:rsidRDefault="005648B8" w:rsidP="005648B8">
            <w:pPr>
              <w:jc w:val="left"/>
              <w:rPr>
                <w:sz w:val="20"/>
                <w:szCs w:val="20"/>
                <w:lang w:eastAsia="cs-CZ"/>
              </w:rPr>
            </w:pPr>
            <w:bookmarkStart w:id="10" w:name="_Hlk123804908"/>
            <w:r w:rsidRPr="005648B8">
              <w:rPr>
                <w:sz w:val="20"/>
                <w:szCs w:val="20"/>
                <w:lang w:eastAsia="cs-CZ"/>
              </w:rPr>
              <w:t>Centrum výzkumu Řež s.r.o.</w:t>
            </w:r>
            <w:bookmarkEnd w:id="10"/>
          </w:p>
        </w:tc>
        <w:tc>
          <w:tcPr>
            <w:tcW w:w="1481" w:type="pct"/>
            <w:tcBorders>
              <w:top w:val="nil"/>
              <w:left w:val="nil"/>
              <w:bottom w:val="single" w:sz="4" w:space="0" w:color="auto"/>
              <w:right w:val="single" w:sz="4" w:space="0" w:color="auto"/>
            </w:tcBorders>
            <w:shd w:val="clear" w:color="auto" w:fill="auto"/>
            <w:noWrap/>
            <w:vAlign w:val="center"/>
            <w:hideMark/>
          </w:tcPr>
          <w:p w14:paraId="12091666" w14:textId="516CD0BF" w:rsidR="005648B8" w:rsidRPr="005648B8" w:rsidRDefault="001303EB" w:rsidP="005648B8">
            <w:pPr>
              <w:jc w:val="left"/>
              <w:rPr>
                <w:sz w:val="20"/>
                <w:szCs w:val="20"/>
                <w:lang w:eastAsia="cs-CZ"/>
              </w:rPr>
            </w:pPr>
            <w:r>
              <w:rPr>
                <w:sz w:val="20"/>
                <w:szCs w:val="20"/>
                <w:lang w:eastAsia="cs-CZ"/>
              </w:rPr>
              <w:t>J</w:t>
            </w:r>
            <w:r w:rsidR="005648B8" w:rsidRPr="005648B8">
              <w:rPr>
                <w:sz w:val="20"/>
                <w:szCs w:val="20"/>
                <w:lang w:eastAsia="cs-CZ"/>
              </w:rPr>
              <w:t>aderná a nejaderná energetika, materiály pro energetiku</w:t>
            </w:r>
          </w:p>
        </w:tc>
        <w:tc>
          <w:tcPr>
            <w:tcW w:w="2074" w:type="pct"/>
            <w:tcBorders>
              <w:top w:val="nil"/>
              <w:left w:val="nil"/>
              <w:bottom w:val="single" w:sz="4" w:space="0" w:color="auto"/>
              <w:right w:val="single" w:sz="4" w:space="0" w:color="auto"/>
            </w:tcBorders>
            <w:vAlign w:val="center"/>
          </w:tcPr>
          <w:p w14:paraId="01ACFAAF" w14:textId="68859938" w:rsidR="005648B8" w:rsidRPr="005648B8" w:rsidRDefault="005648B8" w:rsidP="005648B8">
            <w:pPr>
              <w:jc w:val="left"/>
              <w:rPr>
                <w:sz w:val="20"/>
                <w:szCs w:val="20"/>
                <w:lang w:eastAsia="cs-CZ"/>
              </w:rPr>
            </w:pPr>
            <w:r w:rsidRPr="005648B8">
              <w:rPr>
                <w:sz w:val="20"/>
                <w:szCs w:val="20"/>
                <w:lang w:eastAsia="cs-CZ"/>
              </w:rPr>
              <w:t>Hlavní 130, Řež, 250 68</w:t>
            </w:r>
            <w:r w:rsidR="001303EB">
              <w:rPr>
                <w:sz w:val="20"/>
                <w:szCs w:val="20"/>
                <w:lang w:eastAsia="cs-CZ"/>
              </w:rPr>
              <w:t xml:space="preserve"> </w:t>
            </w:r>
            <w:r w:rsidRPr="005648B8">
              <w:rPr>
                <w:sz w:val="20"/>
                <w:szCs w:val="20"/>
                <w:lang w:eastAsia="cs-CZ"/>
              </w:rPr>
              <w:t xml:space="preserve"> Husinec</w:t>
            </w:r>
          </w:p>
          <w:p w14:paraId="6419C4D1" w14:textId="77777777" w:rsidR="005648B8" w:rsidRPr="005648B8" w:rsidRDefault="005648B8" w:rsidP="005648B8">
            <w:pPr>
              <w:jc w:val="left"/>
              <w:rPr>
                <w:sz w:val="20"/>
                <w:szCs w:val="20"/>
                <w:lang w:eastAsia="cs-CZ"/>
              </w:rPr>
            </w:pPr>
            <w:r w:rsidRPr="005648B8">
              <w:rPr>
                <w:sz w:val="20"/>
                <w:szCs w:val="20"/>
                <w:lang w:eastAsia="cs-CZ"/>
              </w:rPr>
              <w:t>IČ: 26722445</w:t>
            </w:r>
          </w:p>
        </w:tc>
      </w:tr>
      <w:tr w:rsidR="005648B8" w:rsidRPr="005648B8" w14:paraId="7375328F"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6F917AA" w14:textId="77777777" w:rsidR="005648B8" w:rsidRPr="005648B8" w:rsidRDefault="005648B8" w:rsidP="005648B8">
            <w:pPr>
              <w:jc w:val="left"/>
              <w:rPr>
                <w:sz w:val="20"/>
                <w:szCs w:val="20"/>
                <w:lang w:eastAsia="cs-CZ"/>
              </w:rPr>
            </w:pPr>
            <w:r w:rsidRPr="005648B8">
              <w:rPr>
                <w:sz w:val="20"/>
                <w:szCs w:val="20"/>
                <w:lang w:eastAsia="cs-CZ"/>
              </w:rPr>
              <w:t>Český metrologický institut</w:t>
            </w:r>
          </w:p>
        </w:tc>
        <w:tc>
          <w:tcPr>
            <w:tcW w:w="1481" w:type="pct"/>
            <w:tcBorders>
              <w:top w:val="nil"/>
              <w:left w:val="nil"/>
              <w:bottom w:val="single" w:sz="4" w:space="0" w:color="auto"/>
              <w:right w:val="single" w:sz="4" w:space="0" w:color="auto"/>
            </w:tcBorders>
            <w:shd w:val="clear" w:color="auto" w:fill="auto"/>
            <w:noWrap/>
            <w:vAlign w:val="center"/>
            <w:hideMark/>
          </w:tcPr>
          <w:p w14:paraId="7D0DB6C3" w14:textId="16E1F350" w:rsidR="005648B8" w:rsidRPr="005648B8" w:rsidRDefault="001303EB" w:rsidP="005648B8">
            <w:pPr>
              <w:jc w:val="left"/>
              <w:rPr>
                <w:sz w:val="20"/>
                <w:szCs w:val="20"/>
                <w:lang w:eastAsia="cs-CZ"/>
              </w:rPr>
            </w:pPr>
            <w:r>
              <w:rPr>
                <w:sz w:val="20"/>
                <w:szCs w:val="20"/>
                <w:lang w:eastAsia="cs-CZ"/>
              </w:rPr>
              <w:t>F</w:t>
            </w:r>
            <w:r w:rsidR="005648B8" w:rsidRPr="005648B8">
              <w:rPr>
                <w:sz w:val="20"/>
                <w:szCs w:val="20"/>
                <w:lang w:eastAsia="cs-CZ"/>
              </w:rPr>
              <w:t>undamentální, průmyslová a</w:t>
            </w:r>
            <w:r>
              <w:rPr>
                <w:sz w:val="20"/>
                <w:szCs w:val="20"/>
                <w:lang w:eastAsia="cs-CZ"/>
              </w:rPr>
              <w:t> </w:t>
            </w:r>
            <w:r w:rsidR="005648B8" w:rsidRPr="005648B8">
              <w:rPr>
                <w:sz w:val="20"/>
                <w:szCs w:val="20"/>
                <w:lang w:eastAsia="cs-CZ"/>
              </w:rPr>
              <w:t>legální metrologie</w:t>
            </w:r>
          </w:p>
        </w:tc>
        <w:tc>
          <w:tcPr>
            <w:tcW w:w="2074" w:type="pct"/>
            <w:tcBorders>
              <w:top w:val="nil"/>
              <w:left w:val="nil"/>
              <w:bottom w:val="single" w:sz="4" w:space="0" w:color="auto"/>
              <w:right w:val="single" w:sz="4" w:space="0" w:color="auto"/>
            </w:tcBorders>
            <w:vAlign w:val="center"/>
          </w:tcPr>
          <w:p w14:paraId="12294729" w14:textId="6853EC22" w:rsidR="005648B8" w:rsidRPr="005648B8" w:rsidRDefault="005648B8" w:rsidP="005648B8">
            <w:pPr>
              <w:jc w:val="left"/>
              <w:rPr>
                <w:sz w:val="20"/>
                <w:szCs w:val="20"/>
                <w:lang w:eastAsia="cs-CZ"/>
              </w:rPr>
            </w:pPr>
            <w:r w:rsidRPr="005648B8">
              <w:rPr>
                <w:sz w:val="20"/>
                <w:szCs w:val="20"/>
                <w:lang w:eastAsia="cs-CZ"/>
              </w:rPr>
              <w:t>Okružní 31, 638 00</w:t>
            </w:r>
            <w:r w:rsidR="001303EB">
              <w:rPr>
                <w:sz w:val="20"/>
                <w:szCs w:val="20"/>
                <w:lang w:eastAsia="cs-CZ"/>
              </w:rPr>
              <w:t xml:space="preserve"> </w:t>
            </w:r>
            <w:r w:rsidRPr="005648B8">
              <w:rPr>
                <w:sz w:val="20"/>
                <w:szCs w:val="20"/>
                <w:lang w:eastAsia="cs-CZ"/>
              </w:rPr>
              <w:t xml:space="preserve"> Brno </w:t>
            </w:r>
          </w:p>
          <w:p w14:paraId="549BAE29" w14:textId="77777777" w:rsidR="005648B8" w:rsidRPr="005648B8" w:rsidRDefault="005648B8" w:rsidP="005648B8">
            <w:pPr>
              <w:jc w:val="left"/>
              <w:rPr>
                <w:sz w:val="20"/>
                <w:szCs w:val="20"/>
                <w:lang w:eastAsia="cs-CZ"/>
              </w:rPr>
            </w:pPr>
            <w:r w:rsidRPr="005648B8">
              <w:rPr>
                <w:sz w:val="20"/>
                <w:szCs w:val="20"/>
                <w:lang w:eastAsia="cs-CZ"/>
              </w:rPr>
              <w:t>IČ: 00177016</w:t>
            </w:r>
          </w:p>
        </w:tc>
      </w:tr>
      <w:tr w:rsidR="005648B8" w:rsidRPr="005648B8" w14:paraId="255CFCDC"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722185B7" w14:textId="77777777" w:rsidR="005648B8" w:rsidRPr="005648B8" w:rsidRDefault="005648B8" w:rsidP="005648B8">
            <w:pPr>
              <w:jc w:val="left"/>
              <w:rPr>
                <w:sz w:val="20"/>
                <w:szCs w:val="20"/>
                <w:lang w:eastAsia="cs-CZ"/>
              </w:rPr>
            </w:pPr>
            <w:r w:rsidRPr="005648B8">
              <w:rPr>
                <w:sz w:val="20"/>
                <w:szCs w:val="20"/>
                <w:lang w:eastAsia="cs-CZ"/>
              </w:rPr>
              <w:t>COMTES FHT a.s.</w:t>
            </w:r>
          </w:p>
        </w:tc>
        <w:tc>
          <w:tcPr>
            <w:tcW w:w="1481" w:type="pct"/>
            <w:tcBorders>
              <w:top w:val="nil"/>
              <w:left w:val="nil"/>
              <w:bottom w:val="single" w:sz="4" w:space="0" w:color="auto"/>
              <w:right w:val="single" w:sz="4" w:space="0" w:color="auto"/>
            </w:tcBorders>
            <w:shd w:val="clear" w:color="auto" w:fill="auto"/>
            <w:noWrap/>
            <w:vAlign w:val="center"/>
            <w:hideMark/>
          </w:tcPr>
          <w:p w14:paraId="0B13C1BC" w14:textId="72F8197F" w:rsidR="005648B8" w:rsidRPr="005648B8" w:rsidRDefault="001303EB" w:rsidP="005648B8">
            <w:pPr>
              <w:jc w:val="left"/>
              <w:rPr>
                <w:sz w:val="20"/>
                <w:szCs w:val="20"/>
                <w:lang w:eastAsia="cs-CZ"/>
              </w:rPr>
            </w:pPr>
            <w:r>
              <w:rPr>
                <w:sz w:val="20"/>
                <w:szCs w:val="20"/>
                <w:lang w:eastAsia="cs-CZ"/>
              </w:rPr>
              <w:t>V</w:t>
            </w:r>
            <w:r w:rsidR="005648B8" w:rsidRPr="005648B8">
              <w:rPr>
                <w:sz w:val="20"/>
                <w:szCs w:val="20"/>
                <w:lang w:eastAsia="cs-CZ"/>
              </w:rPr>
              <w:t>ýzkum a vývoj kovových materiálů</w:t>
            </w:r>
          </w:p>
        </w:tc>
        <w:tc>
          <w:tcPr>
            <w:tcW w:w="2074" w:type="pct"/>
            <w:tcBorders>
              <w:top w:val="nil"/>
              <w:left w:val="nil"/>
              <w:bottom w:val="single" w:sz="4" w:space="0" w:color="auto"/>
              <w:right w:val="single" w:sz="4" w:space="0" w:color="auto"/>
            </w:tcBorders>
            <w:vAlign w:val="center"/>
          </w:tcPr>
          <w:p w14:paraId="0FFBED57" w14:textId="7696B8AD" w:rsidR="005648B8" w:rsidRPr="005648B8" w:rsidRDefault="005648B8" w:rsidP="005648B8">
            <w:pPr>
              <w:jc w:val="left"/>
              <w:rPr>
                <w:sz w:val="20"/>
                <w:szCs w:val="20"/>
                <w:lang w:eastAsia="cs-CZ"/>
              </w:rPr>
            </w:pPr>
            <w:r w:rsidRPr="005648B8">
              <w:rPr>
                <w:sz w:val="20"/>
                <w:szCs w:val="20"/>
                <w:lang w:eastAsia="cs-CZ"/>
              </w:rPr>
              <w:t xml:space="preserve">Průmyslová 995, 334 41 </w:t>
            </w:r>
            <w:r w:rsidR="001303EB">
              <w:rPr>
                <w:sz w:val="20"/>
                <w:szCs w:val="20"/>
                <w:lang w:eastAsia="cs-CZ"/>
              </w:rPr>
              <w:t xml:space="preserve"> </w:t>
            </w:r>
            <w:r w:rsidRPr="005648B8">
              <w:rPr>
                <w:sz w:val="20"/>
                <w:szCs w:val="20"/>
                <w:lang w:eastAsia="cs-CZ"/>
              </w:rPr>
              <w:t>Dobřany</w:t>
            </w:r>
          </w:p>
          <w:p w14:paraId="4ECCE43E" w14:textId="77777777" w:rsidR="005648B8" w:rsidRPr="005648B8" w:rsidRDefault="005648B8" w:rsidP="005648B8">
            <w:pPr>
              <w:jc w:val="left"/>
              <w:rPr>
                <w:sz w:val="20"/>
                <w:szCs w:val="20"/>
                <w:lang w:eastAsia="cs-CZ"/>
              </w:rPr>
            </w:pPr>
            <w:r w:rsidRPr="005648B8">
              <w:rPr>
                <w:sz w:val="20"/>
                <w:szCs w:val="20"/>
                <w:lang w:eastAsia="cs-CZ"/>
              </w:rPr>
              <w:t>IČ: 26316919</w:t>
            </w:r>
          </w:p>
        </w:tc>
      </w:tr>
      <w:tr w:rsidR="005648B8" w:rsidRPr="005648B8" w14:paraId="0D464762"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7B5D51B2" w14:textId="0E0108A5" w:rsidR="005648B8" w:rsidRPr="005648B8" w:rsidRDefault="005648B8" w:rsidP="00C6334F">
            <w:pPr>
              <w:ind w:right="-69"/>
              <w:jc w:val="left"/>
              <w:rPr>
                <w:sz w:val="20"/>
                <w:szCs w:val="20"/>
                <w:lang w:eastAsia="cs-CZ"/>
              </w:rPr>
            </w:pPr>
            <w:r w:rsidRPr="005648B8">
              <w:rPr>
                <w:sz w:val="20"/>
                <w:szCs w:val="20"/>
                <w:lang w:eastAsia="cs-CZ"/>
              </w:rPr>
              <w:t>MATERIÁLOVÝ A</w:t>
            </w:r>
            <w:r w:rsidR="001303EB">
              <w:rPr>
                <w:sz w:val="20"/>
                <w:szCs w:val="20"/>
                <w:lang w:eastAsia="cs-CZ"/>
              </w:rPr>
              <w:t> </w:t>
            </w:r>
            <w:r w:rsidRPr="005648B8">
              <w:rPr>
                <w:sz w:val="20"/>
                <w:szCs w:val="20"/>
                <w:lang w:eastAsia="cs-CZ"/>
              </w:rPr>
              <w:t>METALURGICKÝ VÝZKUM s.r.o.</w:t>
            </w:r>
          </w:p>
        </w:tc>
        <w:tc>
          <w:tcPr>
            <w:tcW w:w="1481" w:type="pct"/>
            <w:tcBorders>
              <w:top w:val="nil"/>
              <w:left w:val="nil"/>
              <w:bottom w:val="single" w:sz="4" w:space="0" w:color="auto"/>
              <w:right w:val="single" w:sz="4" w:space="0" w:color="auto"/>
            </w:tcBorders>
            <w:shd w:val="clear" w:color="auto" w:fill="auto"/>
            <w:noWrap/>
            <w:vAlign w:val="center"/>
            <w:hideMark/>
          </w:tcPr>
          <w:p w14:paraId="46140855" w14:textId="30D56982" w:rsidR="005648B8" w:rsidRPr="005648B8" w:rsidRDefault="001303EB" w:rsidP="005648B8">
            <w:pPr>
              <w:jc w:val="left"/>
              <w:rPr>
                <w:sz w:val="20"/>
                <w:szCs w:val="20"/>
                <w:lang w:eastAsia="cs-CZ"/>
              </w:rPr>
            </w:pPr>
            <w:r>
              <w:rPr>
                <w:sz w:val="20"/>
                <w:szCs w:val="20"/>
                <w:lang w:eastAsia="cs-CZ"/>
              </w:rPr>
              <w:t>K</w:t>
            </w:r>
            <w:r w:rsidR="005648B8" w:rsidRPr="005648B8">
              <w:rPr>
                <w:sz w:val="20"/>
                <w:szCs w:val="20"/>
                <w:lang w:eastAsia="cs-CZ"/>
              </w:rPr>
              <w:t>ovové materiály, stroje a</w:t>
            </w:r>
            <w:r>
              <w:rPr>
                <w:sz w:val="20"/>
                <w:szCs w:val="20"/>
                <w:lang w:eastAsia="cs-CZ"/>
              </w:rPr>
              <w:t> </w:t>
            </w:r>
            <w:r w:rsidR="005648B8" w:rsidRPr="005648B8">
              <w:rPr>
                <w:sz w:val="20"/>
                <w:szCs w:val="20"/>
                <w:lang w:eastAsia="cs-CZ"/>
              </w:rPr>
              <w:t>zařízení</w:t>
            </w:r>
          </w:p>
        </w:tc>
        <w:tc>
          <w:tcPr>
            <w:tcW w:w="2074" w:type="pct"/>
            <w:tcBorders>
              <w:top w:val="nil"/>
              <w:left w:val="nil"/>
              <w:bottom w:val="single" w:sz="4" w:space="0" w:color="auto"/>
              <w:right w:val="single" w:sz="4" w:space="0" w:color="auto"/>
            </w:tcBorders>
            <w:vAlign w:val="center"/>
          </w:tcPr>
          <w:p w14:paraId="099089A9" w14:textId="0F37CD5F" w:rsidR="005648B8" w:rsidRPr="005648B8" w:rsidRDefault="005648B8" w:rsidP="005648B8">
            <w:pPr>
              <w:jc w:val="left"/>
              <w:rPr>
                <w:sz w:val="20"/>
                <w:szCs w:val="20"/>
                <w:lang w:eastAsia="cs-CZ"/>
              </w:rPr>
            </w:pPr>
            <w:r w:rsidRPr="005648B8">
              <w:rPr>
                <w:sz w:val="20"/>
                <w:szCs w:val="20"/>
                <w:lang w:eastAsia="cs-CZ"/>
              </w:rPr>
              <w:t xml:space="preserve">Pohraniční 693, Vítkovice, 703 00 </w:t>
            </w:r>
            <w:r w:rsidR="001303EB">
              <w:rPr>
                <w:sz w:val="20"/>
                <w:szCs w:val="20"/>
                <w:lang w:eastAsia="cs-CZ"/>
              </w:rPr>
              <w:t xml:space="preserve"> </w:t>
            </w:r>
            <w:r w:rsidRPr="005648B8">
              <w:rPr>
                <w:sz w:val="20"/>
                <w:szCs w:val="20"/>
                <w:lang w:eastAsia="cs-CZ"/>
              </w:rPr>
              <w:t>Ostrava</w:t>
            </w:r>
          </w:p>
          <w:p w14:paraId="08FDD7A3" w14:textId="77777777" w:rsidR="005648B8" w:rsidRPr="005648B8" w:rsidRDefault="005648B8" w:rsidP="005648B8">
            <w:pPr>
              <w:jc w:val="left"/>
              <w:rPr>
                <w:sz w:val="20"/>
                <w:szCs w:val="20"/>
                <w:lang w:eastAsia="cs-CZ"/>
              </w:rPr>
            </w:pPr>
            <w:r w:rsidRPr="005648B8">
              <w:rPr>
                <w:sz w:val="20"/>
                <w:szCs w:val="20"/>
                <w:lang w:eastAsia="cs-CZ"/>
              </w:rPr>
              <w:t>IČ: 25870807</w:t>
            </w:r>
          </w:p>
        </w:tc>
      </w:tr>
      <w:tr w:rsidR="005648B8" w:rsidRPr="005648B8" w14:paraId="5CD5F959"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5C2D32CC" w14:textId="77777777" w:rsidR="005648B8" w:rsidRPr="005648B8" w:rsidRDefault="005648B8" w:rsidP="005648B8">
            <w:pPr>
              <w:jc w:val="left"/>
              <w:rPr>
                <w:sz w:val="20"/>
                <w:szCs w:val="20"/>
                <w:lang w:eastAsia="cs-CZ"/>
              </w:rPr>
            </w:pPr>
            <w:r w:rsidRPr="005648B8">
              <w:rPr>
                <w:sz w:val="20"/>
                <w:szCs w:val="20"/>
                <w:lang w:eastAsia="cs-CZ"/>
              </w:rPr>
              <w:t>MemBrain s.r.o.</w:t>
            </w:r>
          </w:p>
        </w:tc>
        <w:tc>
          <w:tcPr>
            <w:tcW w:w="1481" w:type="pct"/>
            <w:tcBorders>
              <w:top w:val="nil"/>
              <w:left w:val="nil"/>
              <w:bottom w:val="single" w:sz="4" w:space="0" w:color="auto"/>
              <w:right w:val="single" w:sz="4" w:space="0" w:color="auto"/>
            </w:tcBorders>
            <w:shd w:val="clear" w:color="auto" w:fill="auto"/>
            <w:noWrap/>
            <w:vAlign w:val="center"/>
            <w:hideMark/>
          </w:tcPr>
          <w:p w14:paraId="4D029ECA" w14:textId="353E9820" w:rsidR="005648B8" w:rsidRPr="005648B8" w:rsidRDefault="001303EB" w:rsidP="005648B8">
            <w:pPr>
              <w:jc w:val="left"/>
              <w:rPr>
                <w:sz w:val="20"/>
                <w:szCs w:val="20"/>
                <w:lang w:eastAsia="cs-CZ"/>
              </w:rPr>
            </w:pPr>
            <w:r>
              <w:rPr>
                <w:sz w:val="20"/>
                <w:szCs w:val="20"/>
                <w:lang w:eastAsia="cs-CZ"/>
              </w:rPr>
              <w:t>E</w:t>
            </w:r>
            <w:r w:rsidR="005648B8" w:rsidRPr="005648B8">
              <w:rPr>
                <w:sz w:val="20"/>
                <w:szCs w:val="20"/>
                <w:lang w:eastAsia="cs-CZ"/>
              </w:rPr>
              <w:t>lektro-membránové separační procesy</w:t>
            </w:r>
          </w:p>
        </w:tc>
        <w:tc>
          <w:tcPr>
            <w:tcW w:w="2074" w:type="pct"/>
            <w:tcBorders>
              <w:top w:val="nil"/>
              <w:left w:val="nil"/>
              <w:bottom w:val="single" w:sz="4" w:space="0" w:color="auto"/>
              <w:right w:val="single" w:sz="4" w:space="0" w:color="auto"/>
            </w:tcBorders>
            <w:vAlign w:val="center"/>
          </w:tcPr>
          <w:p w14:paraId="78928DB0" w14:textId="6ACE6730" w:rsidR="005648B8" w:rsidRPr="005648B8" w:rsidRDefault="005648B8" w:rsidP="005648B8">
            <w:pPr>
              <w:jc w:val="left"/>
              <w:rPr>
                <w:sz w:val="20"/>
                <w:szCs w:val="20"/>
                <w:lang w:eastAsia="cs-CZ"/>
              </w:rPr>
            </w:pPr>
            <w:r w:rsidRPr="005648B8">
              <w:rPr>
                <w:sz w:val="20"/>
                <w:szCs w:val="20"/>
                <w:lang w:eastAsia="cs-CZ"/>
              </w:rPr>
              <w:t xml:space="preserve">Pod Vinicí 87, 471 27 </w:t>
            </w:r>
            <w:r w:rsidR="001303EB">
              <w:rPr>
                <w:sz w:val="20"/>
                <w:szCs w:val="20"/>
                <w:lang w:eastAsia="cs-CZ"/>
              </w:rPr>
              <w:t xml:space="preserve"> </w:t>
            </w:r>
            <w:r w:rsidRPr="005648B8">
              <w:rPr>
                <w:sz w:val="20"/>
                <w:szCs w:val="20"/>
                <w:lang w:eastAsia="cs-CZ"/>
              </w:rPr>
              <w:t>Stráž pod Ralskem</w:t>
            </w:r>
          </w:p>
          <w:p w14:paraId="29527EC4" w14:textId="77777777" w:rsidR="005648B8" w:rsidRPr="005648B8" w:rsidRDefault="005648B8" w:rsidP="005648B8">
            <w:pPr>
              <w:jc w:val="left"/>
              <w:rPr>
                <w:sz w:val="20"/>
                <w:szCs w:val="20"/>
                <w:lang w:eastAsia="cs-CZ"/>
              </w:rPr>
            </w:pPr>
            <w:r w:rsidRPr="005648B8">
              <w:rPr>
                <w:sz w:val="20"/>
                <w:szCs w:val="20"/>
                <w:lang w:eastAsia="cs-CZ"/>
              </w:rPr>
              <w:t>IČ: 28676092</w:t>
            </w:r>
          </w:p>
        </w:tc>
      </w:tr>
      <w:tr w:rsidR="005648B8" w:rsidRPr="005648B8" w14:paraId="1CE3494D"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7CBA480" w14:textId="77777777" w:rsidR="005648B8" w:rsidRPr="005648B8" w:rsidRDefault="005648B8" w:rsidP="005648B8">
            <w:pPr>
              <w:jc w:val="left"/>
              <w:rPr>
                <w:sz w:val="20"/>
                <w:szCs w:val="20"/>
                <w:lang w:eastAsia="cs-CZ"/>
              </w:rPr>
            </w:pPr>
            <w:r w:rsidRPr="005648B8">
              <w:rPr>
                <w:sz w:val="20"/>
                <w:szCs w:val="20"/>
                <w:lang w:eastAsia="cs-CZ"/>
              </w:rPr>
              <w:t>SVÚM a.s.</w:t>
            </w:r>
          </w:p>
        </w:tc>
        <w:tc>
          <w:tcPr>
            <w:tcW w:w="1481" w:type="pct"/>
            <w:tcBorders>
              <w:top w:val="nil"/>
              <w:left w:val="nil"/>
              <w:bottom w:val="single" w:sz="4" w:space="0" w:color="auto"/>
              <w:right w:val="single" w:sz="4" w:space="0" w:color="auto"/>
            </w:tcBorders>
            <w:shd w:val="clear" w:color="auto" w:fill="auto"/>
            <w:noWrap/>
            <w:vAlign w:val="center"/>
            <w:hideMark/>
          </w:tcPr>
          <w:p w14:paraId="7A727BD1" w14:textId="2F9E05FD" w:rsidR="005648B8" w:rsidRPr="005648B8" w:rsidRDefault="001303EB" w:rsidP="005648B8">
            <w:pPr>
              <w:jc w:val="left"/>
              <w:rPr>
                <w:sz w:val="20"/>
                <w:szCs w:val="20"/>
                <w:lang w:eastAsia="cs-CZ"/>
              </w:rPr>
            </w:pPr>
            <w:r>
              <w:rPr>
                <w:sz w:val="20"/>
                <w:szCs w:val="20"/>
                <w:lang w:eastAsia="cs-CZ"/>
              </w:rPr>
              <w:t>K</w:t>
            </w:r>
            <w:r w:rsidR="005648B8" w:rsidRPr="005648B8">
              <w:rPr>
                <w:sz w:val="20"/>
                <w:szCs w:val="20"/>
                <w:lang w:eastAsia="cs-CZ"/>
              </w:rPr>
              <w:t>ovové a nekovové materiály</w:t>
            </w:r>
          </w:p>
        </w:tc>
        <w:tc>
          <w:tcPr>
            <w:tcW w:w="2074" w:type="pct"/>
            <w:tcBorders>
              <w:top w:val="nil"/>
              <w:left w:val="nil"/>
              <w:bottom w:val="single" w:sz="4" w:space="0" w:color="auto"/>
              <w:right w:val="single" w:sz="4" w:space="0" w:color="auto"/>
            </w:tcBorders>
            <w:vAlign w:val="center"/>
          </w:tcPr>
          <w:p w14:paraId="1504FF68" w14:textId="0B5986B0" w:rsidR="005648B8" w:rsidRPr="005648B8" w:rsidRDefault="005648B8" w:rsidP="005648B8">
            <w:pPr>
              <w:jc w:val="left"/>
              <w:rPr>
                <w:sz w:val="20"/>
                <w:szCs w:val="20"/>
                <w:lang w:eastAsia="cs-CZ"/>
              </w:rPr>
            </w:pPr>
            <w:r w:rsidRPr="005648B8">
              <w:rPr>
                <w:sz w:val="20"/>
                <w:szCs w:val="20"/>
                <w:lang w:eastAsia="cs-CZ"/>
              </w:rPr>
              <w:t xml:space="preserve">Tovární 2053, 250 88 </w:t>
            </w:r>
            <w:r w:rsidR="001303EB">
              <w:rPr>
                <w:sz w:val="20"/>
                <w:szCs w:val="20"/>
                <w:lang w:eastAsia="cs-CZ"/>
              </w:rPr>
              <w:t xml:space="preserve"> </w:t>
            </w:r>
            <w:r w:rsidRPr="005648B8">
              <w:rPr>
                <w:sz w:val="20"/>
                <w:szCs w:val="20"/>
                <w:lang w:eastAsia="cs-CZ"/>
              </w:rPr>
              <w:t>Čelákovice</w:t>
            </w:r>
          </w:p>
          <w:p w14:paraId="7BC703A2" w14:textId="77777777" w:rsidR="005648B8" w:rsidRPr="005648B8" w:rsidRDefault="005648B8" w:rsidP="005648B8">
            <w:pPr>
              <w:jc w:val="left"/>
              <w:rPr>
                <w:sz w:val="20"/>
                <w:szCs w:val="20"/>
                <w:lang w:eastAsia="cs-CZ"/>
              </w:rPr>
            </w:pPr>
            <w:r w:rsidRPr="005648B8">
              <w:rPr>
                <w:sz w:val="20"/>
                <w:szCs w:val="20"/>
                <w:lang w:eastAsia="cs-CZ"/>
              </w:rPr>
              <w:t>IČ: 25797000</w:t>
            </w:r>
          </w:p>
        </w:tc>
      </w:tr>
      <w:tr w:rsidR="005648B8" w:rsidRPr="005648B8" w14:paraId="470BA51E"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567FD4BB" w14:textId="77777777" w:rsidR="005648B8" w:rsidRPr="005648B8" w:rsidRDefault="005648B8" w:rsidP="005648B8">
            <w:pPr>
              <w:jc w:val="left"/>
              <w:rPr>
                <w:sz w:val="20"/>
                <w:szCs w:val="20"/>
                <w:lang w:eastAsia="cs-CZ"/>
              </w:rPr>
            </w:pPr>
            <w:r w:rsidRPr="005648B8">
              <w:rPr>
                <w:sz w:val="20"/>
                <w:szCs w:val="20"/>
                <w:lang w:eastAsia="cs-CZ"/>
              </w:rPr>
              <w:t>SVÚOM s.r.o.</w:t>
            </w:r>
          </w:p>
        </w:tc>
        <w:tc>
          <w:tcPr>
            <w:tcW w:w="1481" w:type="pct"/>
            <w:tcBorders>
              <w:top w:val="nil"/>
              <w:left w:val="nil"/>
              <w:bottom w:val="single" w:sz="4" w:space="0" w:color="auto"/>
              <w:right w:val="single" w:sz="4" w:space="0" w:color="auto"/>
            </w:tcBorders>
            <w:shd w:val="clear" w:color="auto" w:fill="auto"/>
            <w:noWrap/>
            <w:vAlign w:val="center"/>
            <w:hideMark/>
          </w:tcPr>
          <w:p w14:paraId="0110E7E6" w14:textId="3E10ECA2" w:rsidR="005648B8" w:rsidRPr="005648B8" w:rsidRDefault="001303EB" w:rsidP="005648B8">
            <w:pPr>
              <w:jc w:val="left"/>
              <w:rPr>
                <w:sz w:val="20"/>
                <w:szCs w:val="20"/>
                <w:lang w:eastAsia="cs-CZ"/>
              </w:rPr>
            </w:pPr>
            <w:r>
              <w:rPr>
                <w:sz w:val="20"/>
                <w:szCs w:val="20"/>
                <w:lang w:eastAsia="cs-CZ"/>
              </w:rPr>
              <w:t>O</w:t>
            </w:r>
            <w:r w:rsidR="005648B8" w:rsidRPr="005648B8">
              <w:rPr>
                <w:sz w:val="20"/>
                <w:szCs w:val="20"/>
                <w:lang w:eastAsia="cs-CZ"/>
              </w:rPr>
              <w:t>chrana materiálů, koroze</w:t>
            </w:r>
          </w:p>
        </w:tc>
        <w:tc>
          <w:tcPr>
            <w:tcW w:w="2074" w:type="pct"/>
            <w:tcBorders>
              <w:top w:val="nil"/>
              <w:left w:val="nil"/>
              <w:bottom w:val="single" w:sz="4" w:space="0" w:color="auto"/>
              <w:right w:val="single" w:sz="4" w:space="0" w:color="auto"/>
            </w:tcBorders>
            <w:vAlign w:val="center"/>
          </w:tcPr>
          <w:p w14:paraId="009D0D7E" w14:textId="73BC40C0" w:rsidR="005648B8" w:rsidRPr="005648B8" w:rsidRDefault="005648B8" w:rsidP="005648B8">
            <w:pPr>
              <w:jc w:val="left"/>
              <w:rPr>
                <w:sz w:val="20"/>
                <w:szCs w:val="20"/>
                <w:lang w:eastAsia="cs-CZ"/>
              </w:rPr>
            </w:pPr>
            <w:r w:rsidRPr="005648B8">
              <w:rPr>
                <w:sz w:val="20"/>
                <w:szCs w:val="20"/>
                <w:lang w:eastAsia="cs-CZ"/>
              </w:rPr>
              <w:t xml:space="preserve">U </w:t>
            </w:r>
            <w:r w:rsidR="00005039">
              <w:rPr>
                <w:sz w:val="20"/>
                <w:szCs w:val="20"/>
                <w:lang w:eastAsia="cs-CZ"/>
              </w:rPr>
              <w:t>M</w:t>
            </w:r>
            <w:r w:rsidRPr="005648B8">
              <w:rPr>
                <w:sz w:val="20"/>
                <w:szCs w:val="20"/>
                <w:lang w:eastAsia="cs-CZ"/>
              </w:rPr>
              <w:t xml:space="preserve">ěšťanského pivovaru 934/4, 170 </w:t>
            </w:r>
            <w:proofErr w:type="gramStart"/>
            <w:r w:rsidRPr="005648B8">
              <w:rPr>
                <w:sz w:val="20"/>
                <w:szCs w:val="20"/>
                <w:lang w:eastAsia="cs-CZ"/>
              </w:rPr>
              <w:t xml:space="preserve">00 </w:t>
            </w:r>
            <w:r w:rsidR="001303EB">
              <w:rPr>
                <w:sz w:val="20"/>
                <w:szCs w:val="20"/>
                <w:lang w:eastAsia="cs-CZ"/>
              </w:rPr>
              <w:t xml:space="preserve"> </w:t>
            </w:r>
            <w:r w:rsidRPr="005648B8">
              <w:rPr>
                <w:sz w:val="20"/>
                <w:szCs w:val="20"/>
                <w:lang w:eastAsia="cs-CZ"/>
              </w:rPr>
              <w:t>Praha</w:t>
            </w:r>
            <w:proofErr w:type="gramEnd"/>
            <w:r w:rsidRPr="005648B8">
              <w:rPr>
                <w:sz w:val="20"/>
                <w:szCs w:val="20"/>
                <w:lang w:eastAsia="cs-CZ"/>
              </w:rPr>
              <w:t xml:space="preserve"> </w:t>
            </w:r>
          </w:p>
          <w:p w14:paraId="241B5153" w14:textId="77777777" w:rsidR="005648B8" w:rsidRPr="005648B8" w:rsidRDefault="005648B8" w:rsidP="005648B8">
            <w:pPr>
              <w:jc w:val="left"/>
              <w:rPr>
                <w:sz w:val="20"/>
                <w:szCs w:val="20"/>
                <w:lang w:eastAsia="cs-CZ"/>
              </w:rPr>
            </w:pPr>
            <w:r w:rsidRPr="005648B8">
              <w:rPr>
                <w:sz w:val="20"/>
                <w:szCs w:val="20"/>
                <w:lang w:eastAsia="cs-CZ"/>
              </w:rPr>
              <w:t>IČ: 25794787</w:t>
            </w:r>
          </w:p>
        </w:tc>
      </w:tr>
      <w:tr w:rsidR="005648B8" w:rsidRPr="005648B8" w14:paraId="77B97E49"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4CA57CA" w14:textId="77777777" w:rsidR="005648B8" w:rsidRPr="005648B8" w:rsidRDefault="005648B8" w:rsidP="005648B8">
            <w:pPr>
              <w:jc w:val="left"/>
              <w:rPr>
                <w:sz w:val="20"/>
                <w:szCs w:val="20"/>
                <w:lang w:eastAsia="cs-CZ"/>
              </w:rPr>
            </w:pPr>
            <w:r w:rsidRPr="005648B8">
              <w:rPr>
                <w:sz w:val="20"/>
                <w:szCs w:val="20"/>
                <w:lang w:eastAsia="cs-CZ"/>
              </w:rPr>
              <w:t>VÚTS, a.s.</w:t>
            </w:r>
          </w:p>
        </w:tc>
        <w:tc>
          <w:tcPr>
            <w:tcW w:w="1481" w:type="pct"/>
            <w:tcBorders>
              <w:top w:val="nil"/>
              <w:left w:val="nil"/>
              <w:bottom w:val="single" w:sz="4" w:space="0" w:color="auto"/>
              <w:right w:val="single" w:sz="4" w:space="0" w:color="auto"/>
            </w:tcBorders>
            <w:shd w:val="clear" w:color="auto" w:fill="auto"/>
            <w:noWrap/>
            <w:vAlign w:val="center"/>
            <w:hideMark/>
          </w:tcPr>
          <w:p w14:paraId="0196A120" w14:textId="568F577C" w:rsidR="005648B8" w:rsidRPr="005648B8" w:rsidRDefault="001303EB" w:rsidP="005648B8">
            <w:pPr>
              <w:jc w:val="left"/>
              <w:rPr>
                <w:sz w:val="20"/>
                <w:szCs w:val="20"/>
                <w:lang w:eastAsia="cs-CZ"/>
              </w:rPr>
            </w:pPr>
            <w:r>
              <w:rPr>
                <w:sz w:val="20"/>
                <w:szCs w:val="20"/>
                <w:lang w:eastAsia="cs-CZ"/>
              </w:rPr>
              <w:t>A</w:t>
            </w:r>
            <w:r w:rsidR="005648B8" w:rsidRPr="005648B8">
              <w:rPr>
                <w:sz w:val="20"/>
                <w:szCs w:val="20"/>
                <w:lang w:eastAsia="cs-CZ"/>
              </w:rPr>
              <w:t>utomatizace a robotizace procesů, textilní stroje</w:t>
            </w:r>
          </w:p>
        </w:tc>
        <w:tc>
          <w:tcPr>
            <w:tcW w:w="2074" w:type="pct"/>
            <w:tcBorders>
              <w:top w:val="nil"/>
              <w:left w:val="nil"/>
              <w:bottom w:val="single" w:sz="4" w:space="0" w:color="auto"/>
              <w:right w:val="single" w:sz="4" w:space="0" w:color="auto"/>
            </w:tcBorders>
            <w:vAlign w:val="center"/>
          </w:tcPr>
          <w:p w14:paraId="0AAFF9B5" w14:textId="43A02B6B" w:rsidR="005648B8" w:rsidRPr="005648B8" w:rsidRDefault="005648B8" w:rsidP="005648B8">
            <w:pPr>
              <w:jc w:val="left"/>
              <w:rPr>
                <w:sz w:val="20"/>
                <w:szCs w:val="20"/>
                <w:lang w:eastAsia="cs-CZ"/>
              </w:rPr>
            </w:pPr>
            <w:r w:rsidRPr="005648B8">
              <w:rPr>
                <w:sz w:val="20"/>
                <w:szCs w:val="20"/>
                <w:lang w:eastAsia="cs-CZ"/>
              </w:rPr>
              <w:t xml:space="preserve">Svárovská 619, 460 01 </w:t>
            </w:r>
            <w:r w:rsidR="001303EB">
              <w:rPr>
                <w:sz w:val="20"/>
                <w:szCs w:val="20"/>
                <w:lang w:eastAsia="cs-CZ"/>
              </w:rPr>
              <w:t xml:space="preserve"> </w:t>
            </w:r>
            <w:r w:rsidRPr="005648B8">
              <w:rPr>
                <w:sz w:val="20"/>
                <w:szCs w:val="20"/>
                <w:lang w:eastAsia="cs-CZ"/>
              </w:rPr>
              <w:t>Liberec</w:t>
            </w:r>
          </w:p>
          <w:p w14:paraId="1C0B4742" w14:textId="77777777" w:rsidR="005648B8" w:rsidRPr="005648B8" w:rsidRDefault="005648B8" w:rsidP="005648B8">
            <w:pPr>
              <w:jc w:val="left"/>
              <w:rPr>
                <w:sz w:val="20"/>
                <w:szCs w:val="20"/>
                <w:lang w:eastAsia="cs-CZ"/>
              </w:rPr>
            </w:pPr>
            <w:r w:rsidRPr="005648B8">
              <w:rPr>
                <w:sz w:val="20"/>
                <w:szCs w:val="20"/>
                <w:lang w:eastAsia="cs-CZ"/>
              </w:rPr>
              <w:t>IČ: 46709002</w:t>
            </w:r>
          </w:p>
        </w:tc>
      </w:tr>
      <w:tr w:rsidR="005648B8" w:rsidRPr="005648B8" w14:paraId="331D2AA4" w14:textId="77777777" w:rsidTr="00946D22">
        <w:trPr>
          <w:trHeight w:val="53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22EADC5" w14:textId="653795C2" w:rsidR="005648B8" w:rsidRPr="005648B8" w:rsidRDefault="005648B8" w:rsidP="005648B8">
            <w:pPr>
              <w:jc w:val="left"/>
              <w:rPr>
                <w:sz w:val="20"/>
                <w:szCs w:val="20"/>
                <w:lang w:eastAsia="cs-CZ"/>
              </w:rPr>
            </w:pPr>
            <w:r w:rsidRPr="005648B8">
              <w:rPr>
                <w:sz w:val="20"/>
                <w:szCs w:val="20"/>
                <w:lang w:eastAsia="cs-CZ"/>
              </w:rPr>
              <w:t>Unipetrol výzkumně vzdělávací centrum, a.s.</w:t>
            </w:r>
            <w:r w:rsidR="001303EB">
              <w:rPr>
                <w:sz w:val="20"/>
                <w:szCs w:val="20"/>
                <w:lang w:eastAsia="cs-CZ"/>
              </w:rPr>
              <w:t xml:space="preserve"> </w:t>
            </w:r>
            <w:r w:rsidRPr="005648B8">
              <w:rPr>
                <w:sz w:val="20"/>
                <w:szCs w:val="20"/>
                <w:lang w:eastAsia="cs-CZ"/>
              </w:rPr>
              <w:t>/</w:t>
            </w:r>
          </w:p>
          <w:p w14:paraId="73CD285E" w14:textId="77777777" w:rsidR="005648B8" w:rsidRPr="005648B8" w:rsidRDefault="005648B8" w:rsidP="005648B8">
            <w:pPr>
              <w:jc w:val="left"/>
              <w:rPr>
                <w:sz w:val="20"/>
                <w:szCs w:val="20"/>
                <w:lang w:eastAsia="cs-CZ"/>
              </w:rPr>
            </w:pPr>
            <w:r w:rsidRPr="005648B8">
              <w:rPr>
                <w:sz w:val="20"/>
                <w:szCs w:val="20"/>
                <w:lang w:eastAsia="cs-CZ"/>
              </w:rPr>
              <w:t>ORLEN UniCRE a.s.</w:t>
            </w:r>
          </w:p>
        </w:tc>
        <w:tc>
          <w:tcPr>
            <w:tcW w:w="1481" w:type="pct"/>
            <w:tcBorders>
              <w:top w:val="nil"/>
              <w:left w:val="nil"/>
              <w:bottom w:val="single" w:sz="4" w:space="0" w:color="auto"/>
              <w:right w:val="single" w:sz="4" w:space="0" w:color="auto"/>
            </w:tcBorders>
            <w:shd w:val="clear" w:color="auto" w:fill="auto"/>
            <w:noWrap/>
            <w:vAlign w:val="center"/>
            <w:hideMark/>
          </w:tcPr>
          <w:p w14:paraId="20929B22" w14:textId="6A98E94C" w:rsidR="005648B8" w:rsidRPr="005648B8" w:rsidRDefault="001303EB" w:rsidP="005648B8">
            <w:pPr>
              <w:jc w:val="left"/>
              <w:rPr>
                <w:sz w:val="20"/>
                <w:szCs w:val="20"/>
                <w:lang w:eastAsia="cs-CZ"/>
              </w:rPr>
            </w:pPr>
            <w:r>
              <w:rPr>
                <w:sz w:val="20"/>
                <w:szCs w:val="20"/>
                <w:lang w:eastAsia="cs-CZ"/>
              </w:rPr>
              <w:t>Z</w:t>
            </w:r>
            <w:r w:rsidR="005648B8" w:rsidRPr="005648B8">
              <w:rPr>
                <w:sz w:val="20"/>
                <w:szCs w:val="20"/>
                <w:lang w:eastAsia="cs-CZ"/>
              </w:rPr>
              <w:t>pracování energetických surovin, pokročilé a polymerní materiály, obnovitelné suroviny</w:t>
            </w:r>
          </w:p>
        </w:tc>
        <w:tc>
          <w:tcPr>
            <w:tcW w:w="2074" w:type="pct"/>
            <w:tcBorders>
              <w:top w:val="nil"/>
              <w:left w:val="nil"/>
              <w:bottom w:val="single" w:sz="4" w:space="0" w:color="auto"/>
              <w:right w:val="single" w:sz="4" w:space="0" w:color="auto"/>
            </w:tcBorders>
            <w:vAlign w:val="center"/>
          </w:tcPr>
          <w:p w14:paraId="335619EE" w14:textId="72AE732C" w:rsidR="005648B8" w:rsidRPr="005648B8" w:rsidRDefault="005648B8" w:rsidP="005648B8">
            <w:pPr>
              <w:jc w:val="left"/>
              <w:rPr>
                <w:sz w:val="20"/>
                <w:szCs w:val="20"/>
                <w:lang w:eastAsia="cs-CZ"/>
              </w:rPr>
            </w:pPr>
            <w:r w:rsidRPr="005648B8">
              <w:rPr>
                <w:sz w:val="20"/>
                <w:szCs w:val="20"/>
                <w:lang w:eastAsia="cs-CZ"/>
              </w:rPr>
              <w:t>Revoluční 1521/84, 400 01</w:t>
            </w:r>
            <w:r w:rsidR="001303EB">
              <w:rPr>
                <w:sz w:val="20"/>
                <w:szCs w:val="20"/>
                <w:lang w:eastAsia="cs-CZ"/>
              </w:rPr>
              <w:t xml:space="preserve"> </w:t>
            </w:r>
            <w:r w:rsidRPr="005648B8">
              <w:rPr>
                <w:sz w:val="20"/>
                <w:szCs w:val="20"/>
                <w:lang w:eastAsia="cs-CZ"/>
              </w:rPr>
              <w:t xml:space="preserve"> Ústí nad Labem</w:t>
            </w:r>
          </w:p>
          <w:p w14:paraId="092D8A3E" w14:textId="77777777" w:rsidR="005648B8" w:rsidRPr="005648B8" w:rsidRDefault="005648B8" w:rsidP="005648B8">
            <w:pPr>
              <w:jc w:val="left"/>
              <w:rPr>
                <w:sz w:val="20"/>
                <w:szCs w:val="20"/>
                <w:lang w:eastAsia="cs-CZ"/>
              </w:rPr>
            </w:pPr>
            <w:r w:rsidRPr="005648B8">
              <w:rPr>
                <w:sz w:val="20"/>
                <w:szCs w:val="20"/>
                <w:lang w:eastAsia="cs-CZ"/>
              </w:rPr>
              <w:t>IČ: 62243136</w:t>
            </w:r>
          </w:p>
        </w:tc>
      </w:tr>
      <w:tr w:rsidR="005648B8" w:rsidRPr="005648B8" w14:paraId="7D44BFE5"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00F99F50" w14:textId="77777777" w:rsidR="005648B8" w:rsidRPr="005648B8" w:rsidRDefault="005648B8" w:rsidP="005648B8">
            <w:pPr>
              <w:jc w:val="left"/>
              <w:rPr>
                <w:sz w:val="20"/>
                <w:szCs w:val="20"/>
                <w:lang w:eastAsia="cs-CZ"/>
              </w:rPr>
            </w:pPr>
            <w:r w:rsidRPr="005648B8">
              <w:rPr>
                <w:sz w:val="20"/>
                <w:szCs w:val="20"/>
                <w:lang w:eastAsia="cs-CZ"/>
              </w:rPr>
              <w:t>Výzkumný a zkušební letecký ústav, a.s.</w:t>
            </w:r>
          </w:p>
        </w:tc>
        <w:tc>
          <w:tcPr>
            <w:tcW w:w="1481" w:type="pct"/>
            <w:tcBorders>
              <w:top w:val="nil"/>
              <w:left w:val="nil"/>
              <w:bottom w:val="single" w:sz="4" w:space="0" w:color="auto"/>
              <w:right w:val="single" w:sz="4" w:space="0" w:color="auto"/>
            </w:tcBorders>
            <w:shd w:val="clear" w:color="auto" w:fill="auto"/>
            <w:noWrap/>
            <w:vAlign w:val="center"/>
            <w:hideMark/>
          </w:tcPr>
          <w:p w14:paraId="0361695A" w14:textId="7F3C9797" w:rsidR="005648B8" w:rsidRPr="005648B8" w:rsidRDefault="001303EB" w:rsidP="005648B8">
            <w:pPr>
              <w:jc w:val="left"/>
              <w:rPr>
                <w:sz w:val="20"/>
                <w:szCs w:val="20"/>
                <w:lang w:eastAsia="cs-CZ"/>
              </w:rPr>
            </w:pPr>
            <w:r>
              <w:rPr>
                <w:sz w:val="20"/>
                <w:szCs w:val="20"/>
                <w:lang w:eastAsia="cs-CZ"/>
              </w:rPr>
              <w:t>A</w:t>
            </w:r>
            <w:r w:rsidR="005648B8" w:rsidRPr="005648B8">
              <w:rPr>
                <w:sz w:val="20"/>
                <w:szCs w:val="20"/>
                <w:lang w:eastAsia="cs-CZ"/>
              </w:rPr>
              <w:t>eronautika, kosmické technologie, pokročilé materiály</w:t>
            </w:r>
          </w:p>
        </w:tc>
        <w:tc>
          <w:tcPr>
            <w:tcW w:w="2074" w:type="pct"/>
            <w:tcBorders>
              <w:top w:val="nil"/>
              <w:left w:val="nil"/>
              <w:bottom w:val="single" w:sz="4" w:space="0" w:color="auto"/>
              <w:right w:val="single" w:sz="4" w:space="0" w:color="auto"/>
            </w:tcBorders>
            <w:vAlign w:val="center"/>
          </w:tcPr>
          <w:p w14:paraId="4B135865" w14:textId="29854DE1" w:rsidR="005648B8" w:rsidRPr="005648B8" w:rsidRDefault="005648B8" w:rsidP="005648B8">
            <w:pPr>
              <w:jc w:val="left"/>
              <w:rPr>
                <w:sz w:val="20"/>
                <w:szCs w:val="20"/>
                <w:lang w:eastAsia="cs-CZ"/>
              </w:rPr>
            </w:pPr>
            <w:r w:rsidRPr="005648B8">
              <w:rPr>
                <w:sz w:val="20"/>
                <w:szCs w:val="20"/>
                <w:lang w:eastAsia="cs-CZ"/>
              </w:rPr>
              <w:t xml:space="preserve">Beranových 130, 199 00 </w:t>
            </w:r>
            <w:r w:rsidR="001303EB">
              <w:rPr>
                <w:sz w:val="20"/>
                <w:szCs w:val="20"/>
                <w:lang w:eastAsia="cs-CZ"/>
              </w:rPr>
              <w:t xml:space="preserve"> </w:t>
            </w:r>
            <w:r w:rsidRPr="005648B8">
              <w:rPr>
                <w:sz w:val="20"/>
                <w:szCs w:val="20"/>
                <w:lang w:eastAsia="cs-CZ"/>
              </w:rPr>
              <w:t>Praha 9</w:t>
            </w:r>
          </w:p>
          <w:p w14:paraId="4032F098" w14:textId="77777777" w:rsidR="005648B8" w:rsidRPr="005648B8" w:rsidRDefault="005648B8" w:rsidP="005648B8">
            <w:pPr>
              <w:jc w:val="left"/>
              <w:rPr>
                <w:sz w:val="20"/>
                <w:szCs w:val="20"/>
                <w:lang w:eastAsia="cs-CZ"/>
              </w:rPr>
            </w:pPr>
            <w:r w:rsidRPr="005648B8">
              <w:rPr>
                <w:sz w:val="20"/>
                <w:szCs w:val="20"/>
                <w:lang w:eastAsia="cs-CZ"/>
              </w:rPr>
              <w:t>IČ: 00010669</w:t>
            </w:r>
          </w:p>
        </w:tc>
      </w:tr>
      <w:tr w:rsidR="005648B8" w:rsidRPr="005648B8" w14:paraId="069CFA86"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5182BBBC" w14:textId="77777777" w:rsidR="005648B8" w:rsidRPr="005648B8" w:rsidRDefault="005648B8" w:rsidP="005648B8">
            <w:pPr>
              <w:jc w:val="left"/>
              <w:rPr>
                <w:sz w:val="20"/>
                <w:szCs w:val="20"/>
                <w:lang w:eastAsia="cs-CZ"/>
              </w:rPr>
            </w:pPr>
            <w:r w:rsidRPr="005648B8">
              <w:rPr>
                <w:sz w:val="20"/>
                <w:szCs w:val="20"/>
                <w:lang w:eastAsia="cs-CZ"/>
              </w:rPr>
              <w:t>Výzkumný a zkušební ústav Plzeň s.r.o.</w:t>
            </w:r>
          </w:p>
        </w:tc>
        <w:tc>
          <w:tcPr>
            <w:tcW w:w="1481" w:type="pct"/>
            <w:tcBorders>
              <w:top w:val="nil"/>
              <w:left w:val="nil"/>
              <w:bottom w:val="single" w:sz="4" w:space="0" w:color="auto"/>
              <w:right w:val="single" w:sz="4" w:space="0" w:color="auto"/>
            </w:tcBorders>
            <w:shd w:val="clear" w:color="auto" w:fill="auto"/>
            <w:noWrap/>
            <w:vAlign w:val="center"/>
            <w:hideMark/>
          </w:tcPr>
          <w:p w14:paraId="1F690BC4" w14:textId="407A7A81" w:rsidR="005648B8" w:rsidRPr="005648B8" w:rsidRDefault="001303EB" w:rsidP="005648B8">
            <w:pPr>
              <w:jc w:val="left"/>
              <w:rPr>
                <w:sz w:val="20"/>
                <w:szCs w:val="20"/>
                <w:lang w:eastAsia="cs-CZ"/>
              </w:rPr>
            </w:pPr>
            <w:r>
              <w:rPr>
                <w:sz w:val="20"/>
                <w:szCs w:val="20"/>
                <w:lang w:eastAsia="cs-CZ"/>
              </w:rPr>
              <w:t>S</w:t>
            </w:r>
            <w:r w:rsidR="005648B8" w:rsidRPr="005648B8">
              <w:rPr>
                <w:sz w:val="20"/>
                <w:szCs w:val="20"/>
                <w:lang w:eastAsia="cs-CZ"/>
              </w:rPr>
              <w:t>trojírenství, materiály</w:t>
            </w:r>
          </w:p>
        </w:tc>
        <w:tc>
          <w:tcPr>
            <w:tcW w:w="2074" w:type="pct"/>
            <w:tcBorders>
              <w:top w:val="nil"/>
              <w:left w:val="nil"/>
              <w:bottom w:val="single" w:sz="4" w:space="0" w:color="auto"/>
              <w:right w:val="single" w:sz="4" w:space="0" w:color="auto"/>
            </w:tcBorders>
            <w:vAlign w:val="center"/>
          </w:tcPr>
          <w:p w14:paraId="1BF52A55" w14:textId="7A0983FB" w:rsidR="005648B8" w:rsidRPr="005648B8" w:rsidRDefault="005648B8" w:rsidP="005648B8">
            <w:pPr>
              <w:jc w:val="left"/>
              <w:rPr>
                <w:sz w:val="20"/>
                <w:szCs w:val="20"/>
                <w:lang w:eastAsia="cs-CZ"/>
              </w:rPr>
            </w:pPr>
            <w:r w:rsidRPr="005648B8">
              <w:rPr>
                <w:sz w:val="20"/>
                <w:szCs w:val="20"/>
                <w:lang w:eastAsia="cs-CZ"/>
              </w:rPr>
              <w:t xml:space="preserve">Tylova 1581/46, 301 00 </w:t>
            </w:r>
            <w:r w:rsidR="001303EB">
              <w:rPr>
                <w:sz w:val="20"/>
                <w:szCs w:val="20"/>
                <w:lang w:eastAsia="cs-CZ"/>
              </w:rPr>
              <w:t xml:space="preserve"> </w:t>
            </w:r>
            <w:r w:rsidRPr="005648B8">
              <w:rPr>
                <w:sz w:val="20"/>
                <w:szCs w:val="20"/>
                <w:lang w:eastAsia="cs-CZ"/>
              </w:rPr>
              <w:t>Plzeň</w:t>
            </w:r>
          </w:p>
          <w:p w14:paraId="2765C756" w14:textId="77777777" w:rsidR="005648B8" w:rsidRPr="005648B8" w:rsidRDefault="005648B8" w:rsidP="005648B8">
            <w:pPr>
              <w:jc w:val="left"/>
              <w:rPr>
                <w:sz w:val="20"/>
                <w:szCs w:val="20"/>
                <w:lang w:eastAsia="cs-CZ"/>
              </w:rPr>
            </w:pPr>
            <w:r w:rsidRPr="005648B8">
              <w:rPr>
                <w:sz w:val="20"/>
                <w:szCs w:val="20"/>
                <w:lang w:eastAsia="cs-CZ"/>
              </w:rPr>
              <w:t>IČ: 47718684</w:t>
            </w:r>
          </w:p>
        </w:tc>
      </w:tr>
      <w:tr w:rsidR="005648B8" w:rsidRPr="005648B8" w14:paraId="71A76E53" w14:textId="77777777" w:rsidTr="00946D22">
        <w:trPr>
          <w:trHeight w:val="2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F4396B5" w14:textId="77777777" w:rsidR="005648B8" w:rsidRPr="005648B8" w:rsidRDefault="005648B8" w:rsidP="005648B8">
            <w:pPr>
              <w:jc w:val="left"/>
              <w:rPr>
                <w:sz w:val="20"/>
                <w:szCs w:val="20"/>
                <w:lang w:eastAsia="cs-CZ"/>
              </w:rPr>
            </w:pPr>
            <w:r w:rsidRPr="005648B8">
              <w:rPr>
                <w:sz w:val="20"/>
                <w:szCs w:val="20"/>
                <w:lang w:eastAsia="cs-CZ"/>
              </w:rPr>
              <w:t>Výzkumný ústav stavebních hmot, a.s.</w:t>
            </w:r>
          </w:p>
        </w:tc>
        <w:tc>
          <w:tcPr>
            <w:tcW w:w="1481" w:type="pct"/>
            <w:tcBorders>
              <w:top w:val="nil"/>
              <w:left w:val="nil"/>
              <w:bottom w:val="single" w:sz="4" w:space="0" w:color="auto"/>
              <w:right w:val="single" w:sz="4" w:space="0" w:color="auto"/>
            </w:tcBorders>
            <w:shd w:val="clear" w:color="auto" w:fill="auto"/>
            <w:noWrap/>
            <w:vAlign w:val="center"/>
            <w:hideMark/>
          </w:tcPr>
          <w:p w14:paraId="6EF98826" w14:textId="41CED7FB" w:rsidR="005648B8" w:rsidRPr="005648B8" w:rsidRDefault="001303EB" w:rsidP="005648B8">
            <w:pPr>
              <w:jc w:val="left"/>
              <w:rPr>
                <w:sz w:val="20"/>
                <w:szCs w:val="20"/>
                <w:lang w:eastAsia="cs-CZ"/>
              </w:rPr>
            </w:pPr>
            <w:r>
              <w:rPr>
                <w:sz w:val="20"/>
                <w:szCs w:val="20"/>
                <w:lang w:eastAsia="cs-CZ"/>
              </w:rPr>
              <w:t>K</w:t>
            </w:r>
            <w:r w:rsidR="005648B8" w:rsidRPr="005648B8">
              <w:rPr>
                <w:sz w:val="20"/>
                <w:szCs w:val="20"/>
                <w:lang w:eastAsia="cs-CZ"/>
              </w:rPr>
              <w:t xml:space="preserve">ompozitní materiály, stavebnictví </w:t>
            </w:r>
          </w:p>
        </w:tc>
        <w:tc>
          <w:tcPr>
            <w:tcW w:w="2074" w:type="pct"/>
            <w:tcBorders>
              <w:top w:val="nil"/>
              <w:left w:val="nil"/>
              <w:bottom w:val="single" w:sz="4" w:space="0" w:color="auto"/>
              <w:right w:val="single" w:sz="4" w:space="0" w:color="auto"/>
            </w:tcBorders>
            <w:vAlign w:val="center"/>
          </w:tcPr>
          <w:p w14:paraId="75E9174E" w14:textId="5A192CD1" w:rsidR="005648B8" w:rsidRPr="005648B8" w:rsidRDefault="005648B8" w:rsidP="005648B8">
            <w:pPr>
              <w:jc w:val="left"/>
              <w:rPr>
                <w:sz w:val="20"/>
                <w:szCs w:val="20"/>
                <w:lang w:eastAsia="cs-CZ"/>
              </w:rPr>
            </w:pPr>
            <w:r w:rsidRPr="005648B8">
              <w:rPr>
                <w:sz w:val="20"/>
                <w:szCs w:val="20"/>
                <w:lang w:eastAsia="cs-CZ"/>
              </w:rPr>
              <w:t xml:space="preserve">Hněvkovského 30/65, 617 00 </w:t>
            </w:r>
            <w:r w:rsidR="001303EB">
              <w:rPr>
                <w:sz w:val="20"/>
                <w:szCs w:val="20"/>
                <w:lang w:eastAsia="cs-CZ"/>
              </w:rPr>
              <w:t xml:space="preserve"> </w:t>
            </w:r>
            <w:r w:rsidRPr="005648B8">
              <w:rPr>
                <w:sz w:val="20"/>
                <w:szCs w:val="20"/>
                <w:lang w:eastAsia="cs-CZ"/>
              </w:rPr>
              <w:t>Brno</w:t>
            </w:r>
          </w:p>
          <w:p w14:paraId="0A301522" w14:textId="77777777" w:rsidR="005648B8" w:rsidRPr="005648B8" w:rsidRDefault="005648B8" w:rsidP="005648B8">
            <w:pPr>
              <w:jc w:val="left"/>
              <w:rPr>
                <w:sz w:val="20"/>
                <w:szCs w:val="20"/>
                <w:lang w:eastAsia="cs-CZ"/>
              </w:rPr>
            </w:pPr>
            <w:r w:rsidRPr="005648B8">
              <w:rPr>
                <w:sz w:val="20"/>
                <w:szCs w:val="20"/>
                <w:lang w:eastAsia="cs-CZ"/>
              </w:rPr>
              <w:t>IČ: 26232511</w:t>
            </w:r>
          </w:p>
        </w:tc>
      </w:tr>
    </w:tbl>
    <w:p w14:paraId="3F40501A" w14:textId="7D226539" w:rsidR="005648B8" w:rsidRPr="005648B8" w:rsidRDefault="005648B8" w:rsidP="005648B8">
      <w:pPr>
        <w:ind w:left="567" w:hanging="567"/>
        <w:rPr>
          <w:rFonts w:cs="Times New Roman"/>
          <w:color w:val="auto"/>
          <w:sz w:val="20"/>
          <w:szCs w:val="20"/>
          <w:lang w:eastAsia="cs-CZ"/>
        </w:rPr>
      </w:pPr>
      <w:r w:rsidRPr="005648B8">
        <w:rPr>
          <w:rFonts w:cs="Times New Roman"/>
          <w:b/>
          <w:color w:val="auto"/>
          <w:sz w:val="20"/>
          <w:szCs w:val="20"/>
          <w:lang w:eastAsia="cs-CZ"/>
        </w:rPr>
        <w:t>Zdroj:</w:t>
      </w:r>
      <w:r w:rsidRPr="005648B8">
        <w:rPr>
          <w:rFonts w:cs="Times New Roman"/>
          <w:color w:val="auto"/>
          <w:sz w:val="20"/>
          <w:szCs w:val="20"/>
          <w:lang w:eastAsia="cs-CZ"/>
        </w:rPr>
        <w:t xml:space="preserve"> </w:t>
      </w:r>
      <w:r>
        <w:rPr>
          <w:rFonts w:cs="Times New Roman"/>
          <w:color w:val="auto"/>
          <w:sz w:val="20"/>
          <w:szCs w:val="20"/>
          <w:lang w:eastAsia="cs-CZ"/>
        </w:rPr>
        <w:tab/>
      </w:r>
      <w:r w:rsidRPr="005648B8">
        <w:rPr>
          <w:rFonts w:cs="Times New Roman"/>
          <w:color w:val="auto"/>
          <w:sz w:val="20"/>
          <w:szCs w:val="20"/>
          <w:lang w:eastAsia="cs-CZ"/>
        </w:rPr>
        <w:t xml:space="preserve">Informace o zaměření </w:t>
      </w:r>
      <w:r w:rsidR="001303EB">
        <w:rPr>
          <w:rFonts w:cs="Times New Roman"/>
          <w:color w:val="auto"/>
          <w:sz w:val="20"/>
          <w:szCs w:val="20"/>
          <w:lang w:eastAsia="cs-CZ"/>
        </w:rPr>
        <w:t xml:space="preserve">čerpal NKÚ z </w:t>
      </w:r>
      <w:r w:rsidR="00F7659E">
        <w:rPr>
          <w:rFonts w:cs="Times New Roman"/>
          <w:color w:val="auto"/>
          <w:sz w:val="20"/>
          <w:szCs w:val="20"/>
          <w:lang w:eastAsia="cs-CZ"/>
        </w:rPr>
        <w:t>p</w:t>
      </w:r>
      <w:r w:rsidRPr="005648B8">
        <w:rPr>
          <w:rFonts w:cs="Times New Roman"/>
          <w:color w:val="auto"/>
          <w:sz w:val="20"/>
          <w:szCs w:val="20"/>
          <w:lang w:eastAsia="cs-CZ"/>
        </w:rPr>
        <w:t>říloh</w:t>
      </w:r>
      <w:r w:rsidR="001303EB">
        <w:rPr>
          <w:rFonts w:cs="Times New Roman"/>
          <w:color w:val="auto"/>
          <w:sz w:val="20"/>
          <w:szCs w:val="20"/>
          <w:lang w:eastAsia="cs-CZ"/>
        </w:rPr>
        <w:t>y</w:t>
      </w:r>
      <w:r w:rsidRPr="005648B8">
        <w:rPr>
          <w:rFonts w:cs="Times New Roman"/>
          <w:color w:val="auto"/>
          <w:sz w:val="20"/>
          <w:szCs w:val="20"/>
          <w:lang w:eastAsia="cs-CZ"/>
        </w:rPr>
        <w:t xml:space="preserve"> k zápisu z prvního jednání </w:t>
      </w:r>
      <w:r w:rsidR="001303EB">
        <w:rPr>
          <w:rFonts w:cs="Times New Roman"/>
          <w:color w:val="auto"/>
          <w:sz w:val="20"/>
          <w:szCs w:val="20"/>
          <w:lang w:eastAsia="cs-CZ"/>
        </w:rPr>
        <w:t>„</w:t>
      </w:r>
      <w:r w:rsidRPr="005648B8">
        <w:rPr>
          <w:rFonts w:cs="Times New Roman"/>
          <w:color w:val="auto"/>
          <w:sz w:val="20"/>
          <w:szCs w:val="20"/>
          <w:lang w:eastAsia="cs-CZ"/>
        </w:rPr>
        <w:t>Odborného poradního orgánu pro hodnocení výzkumných organizací v působnosti MPO</w:t>
      </w:r>
      <w:r w:rsidR="001303EB">
        <w:rPr>
          <w:rFonts w:cs="Times New Roman"/>
          <w:color w:val="auto"/>
          <w:sz w:val="20"/>
          <w:szCs w:val="20"/>
          <w:lang w:eastAsia="cs-CZ"/>
        </w:rPr>
        <w:t>“</w:t>
      </w:r>
      <w:r w:rsidRPr="005648B8">
        <w:rPr>
          <w:rFonts w:cs="Times New Roman"/>
          <w:color w:val="auto"/>
          <w:sz w:val="20"/>
          <w:szCs w:val="20"/>
          <w:lang w:eastAsia="cs-CZ"/>
        </w:rPr>
        <w:t xml:space="preserve"> konaného dne 11. prosince 2017 a informace o</w:t>
      </w:r>
      <w:r>
        <w:rPr>
          <w:rFonts w:cs="Times New Roman"/>
          <w:color w:val="auto"/>
          <w:sz w:val="20"/>
          <w:szCs w:val="20"/>
          <w:lang w:eastAsia="cs-CZ"/>
        </w:rPr>
        <w:t> </w:t>
      </w:r>
      <w:r w:rsidRPr="005648B8">
        <w:rPr>
          <w:rFonts w:cs="Times New Roman"/>
          <w:color w:val="auto"/>
          <w:sz w:val="20"/>
          <w:szCs w:val="20"/>
          <w:lang w:eastAsia="cs-CZ"/>
        </w:rPr>
        <w:t xml:space="preserve">sídlu a IČ </w:t>
      </w:r>
      <w:r w:rsidR="00E03C25">
        <w:rPr>
          <w:rFonts w:cs="Times New Roman"/>
          <w:color w:val="auto"/>
          <w:sz w:val="20"/>
          <w:szCs w:val="20"/>
          <w:lang w:eastAsia="cs-CZ"/>
        </w:rPr>
        <w:t>byly převzaty z</w:t>
      </w:r>
      <w:r w:rsidRPr="005648B8">
        <w:rPr>
          <w:rFonts w:cs="Times New Roman"/>
          <w:color w:val="auto"/>
          <w:sz w:val="20"/>
          <w:szCs w:val="20"/>
          <w:lang w:eastAsia="cs-CZ"/>
        </w:rPr>
        <w:t> obchodní</w:t>
      </w:r>
      <w:r w:rsidR="00E03C25">
        <w:rPr>
          <w:rFonts w:cs="Times New Roman"/>
          <w:color w:val="auto"/>
          <w:sz w:val="20"/>
          <w:szCs w:val="20"/>
          <w:lang w:eastAsia="cs-CZ"/>
        </w:rPr>
        <w:t>ho</w:t>
      </w:r>
      <w:r w:rsidRPr="005648B8">
        <w:rPr>
          <w:rFonts w:cs="Times New Roman"/>
          <w:color w:val="auto"/>
          <w:sz w:val="20"/>
          <w:szCs w:val="20"/>
          <w:lang w:eastAsia="cs-CZ"/>
        </w:rPr>
        <w:t xml:space="preserve"> rejstříku.</w:t>
      </w:r>
    </w:p>
    <w:p w14:paraId="214DC94B" w14:textId="77777777" w:rsidR="005648B8" w:rsidRPr="005648B8" w:rsidRDefault="005648B8" w:rsidP="005648B8">
      <w:pPr>
        <w:jc w:val="left"/>
        <w:rPr>
          <w:rFonts w:cs="Times New Roman"/>
          <w:color w:val="auto"/>
        </w:rPr>
      </w:pPr>
    </w:p>
    <w:p w14:paraId="22DAB8C0" w14:textId="402FFF8A" w:rsidR="005648B8" w:rsidRDefault="005648B8">
      <w:pPr>
        <w:spacing w:after="160" w:line="259" w:lineRule="auto"/>
        <w:jc w:val="left"/>
        <w:rPr>
          <w:rFonts w:asciiTheme="minorHAnsi" w:eastAsia="Calibri" w:hAnsiTheme="minorHAnsi" w:cstheme="minorHAnsi"/>
          <w:color w:val="auto"/>
        </w:rPr>
      </w:pPr>
      <w:r>
        <w:rPr>
          <w:rFonts w:asciiTheme="minorHAnsi" w:eastAsia="Calibri" w:hAnsiTheme="minorHAnsi" w:cstheme="minorHAnsi"/>
          <w:color w:val="auto"/>
        </w:rPr>
        <w:br w:type="page"/>
      </w:r>
    </w:p>
    <w:p w14:paraId="36440DEA" w14:textId="77777777" w:rsidR="005648B8" w:rsidRPr="005648B8" w:rsidRDefault="005648B8" w:rsidP="005648B8">
      <w:pPr>
        <w:spacing w:before="120"/>
        <w:jc w:val="right"/>
        <w:rPr>
          <w:rFonts w:cs="Times New Roman"/>
          <w:b/>
          <w:color w:val="auto"/>
          <w:lang w:eastAsia="cs-CZ"/>
        </w:rPr>
      </w:pPr>
      <w:r w:rsidRPr="005648B8">
        <w:rPr>
          <w:rFonts w:cs="Times New Roman"/>
          <w:b/>
          <w:color w:val="auto"/>
          <w:lang w:eastAsia="cs-CZ"/>
        </w:rPr>
        <w:lastRenderedPageBreak/>
        <w:t>Příloha č. 2</w:t>
      </w:r>
    </w:p>
    <w:p w14:paraId="6BD68A38" w14:textId="77777777" w:rsidR="005648B8" w:rsidRPr="005648B8" w:rsidRDefault="005648B8" w:rsidP="005648B8">
      <w:pPr>
        <w:jc w:val="center"/>
        <w:rPr>
          <w:rFonts w:eastAsia="Calibri" w:cs="Times New Roman"/>
          <w:b/>
          <w:iCs/>
          <w:color w:val="auto"/>
          <w:sz w:val="28"/>
          <w:szCs w:val="28"/>
        </w:rPr>
      </w:pPr>
    </w:p>
    <w:p w14:paraId="2227F0A6" w14:textId="2EF225BB" w:rsidR="005648B8" w:rsidRPr="005648B8" w:rsidRDefault="00005039" w:rsidP="00C6334F">
      <w:pPr>
        <w:spacing w:after="60"/>
        <w:jc w:val="center"/>
        <w:rPr>
          <w:rFonts w:eastAsia="Calibri" w:cs="Times New Roman"/>
          <w:b/>
          <w:iCs/>
          <w:color w:val="auto"/>
        </w:rPr>
      </w:pPr>
      <w:r>
        <w:rPr>
          <w:rFonts w:eastAsia="Calibri" w:cs="Times New Roman"/>
          <w:b/>
          <w:iCs/>
          <w:color w:val="auto"/>
        </w:rPr>
        <w:t xml:space="preserve">Přehled </w:t>
      </w:r>
      <w:r w:rsidR="005648B8" w:rsidRPr="005648B8">
        <w:rPr>
          <w:rFonts w:eastAsia="Calibri" w:cs="Times New Roman"/>
          <w:b/>
          <w:iCs/>
          <w:color w:val="auto"/>
        </w:rPr>
        <w:t>institucionální</w:t>
      </w:r>
      <w:r>
        <w:rPr>
          <w:rFonts w:eastAsia="Calibri" w:cs="Times New Roman"/>
          <w:b/>
          <w:iCs/>
          <w:color w:val="auto"/>
        </w:rPr>
        <w:t>ch</w:t>
      </w:r>
      <w:r w:rsidR="005648B8" w:rsidRPr="005648B8">
        <w:rPr>
          <w:rFonts w:eastAsia="Calibri" w:cs="Times New Roman"/>
          <w:b/>
          <w:iCs/>
          <w:color w:val="auto"/>
        </w:rPr>
        <w:t xml:space="preserve"> podpor poskytnut</w:t>
      </w:r>
      <w:r>
        <w:rPr>
          <w:rFonts w:eastAsia="Calibri" w:cs="Times New Roman"/>
          <w:b/>
          <w:iCs/>
          <w:color w:val="auto"/>
        </w:rPr>
        <w:t>ých</w:t>
      </w:r>
      <w:r w:rsidR="005648B8" w:rsidRPr="005648B8">
        <w:rPr>
          <w:rFonts w:eastAsia="Calibri" w:cs="Times New Roman"/>
          <w:b/>
          <w:iCs/>
          <w:color w:val="auto"/>
        </w:rPr>
        <w:t xml:space="preserve"> </w:t>
      </w:r>
      <w:r>
        <w:rPr>
          <w:rFonts w:eastAsia="Calibri" w:cs="Times New Roman"/>
          <w:b/>
          <w:iCs/>
          <w:color w:val="auto"/>
        </w:rPr>
        <w:t>Ministerstvem průmyslu a obchodu výzkumným organizacím</w:t>
      </w:r>
      <w:r w:rsidR="0091358D">
        <w:rPr>
          <w:rFonts w:eastAsia="Calibri" w:cs="Times New Roman"/>
          <w:b/>
          <w:iCs/>
          <w:color w:val="auto"/>
        </w:rPr>
        <w:t xml:space="preserve"> </w:t>
      </w:r>
      <w:r w:rsidR="0091358D" w:rsidRPr="005648B8">
        <w:rPr>
          <w:rFonts w:eastAsia="Calibri" w:cs="Times New Roman"/>
          <w:b/>
          <w:iCs/>
          <w:color w:val="auto"/>
        </w:rPr>
        <w:t>(v Kč)</w:t>
      </w:r>
      <w:r w:rsidR="005648B8" w:rsidRPr="005648B8">
        <w:rPr>
          <w:rFonts w:eastAsia="Calibri" w:cs="Times New Roman"/>
          <w:b/>
          <w:iCs/>
          <w:color w:val="auto"/>
        </w:rPr>
        <w:t xml:space="preserve"> </w:t>
      </w:r>
    </w:p>
    <w:tbl>
      <w:tblPr>
        <w:tblStyle w:val="Mkatabulky1"/>
        <w:tblW w:w="10090" w:type="dxa"/>
        <w:tblInd w:w="-431" w:type="dxa"/>
        <w:tblLayout w:type="fixed"/>
        <w:tblLook w:val="04A0" w:firstRow="1" w:lastRow="0" w:firstColumn="1" w:lastColumn="0" w:noHBand="0" w:noVBand="1"/>
      </w:tblPr>
      <w:tblGrid>
        <w:gridCol w:w="2551"/>
        <w:gridCol w:w="1247"/>
        <w:gridCol w:w="1247"/>
        <w:gridCol w:w="1247"/>
        <w:gridCol w:w="1247"/>
        <w:gridCol w:w="1247"/>
        <w:gridCol w:w="1304"/>
      </w:tblGrid>
      <w:tr w:rsidR="005648B8" w:rsidRPr="005648B8" w14:paraId="2D79AC2B" w14:textId="77777777" w:rsidTr="007352A3">
        <w:trPr>
          <w:trHeight w:val="539"/>
        </w:trPr>
        <w:tc>
          <w:tcPr>
            <w:tcW w:w="2551" w:type="dxa"/>
            <w:shd w:val="clear" w:color="auto" w:fill="E5F1FF"/>
            <w:vAlign w:val="center"/>
            <w:hideMark/>
          </w:tcPr>
          <w:p w14:paraId="7147D17D" w14:textId="77777777" w:rsidR="005648B8" w:rsidRPr="005648B8" w:rsidRDefault="005648B8" w:rsidP="005648B8">
            <w:pPr>
              <w:jc w:val="left"/>
              <w:rPr>
                <w:rFonts w:eastAsia="Calibri" w:cs="Times New Roman"/>
                <w:b/>
                <w:bCs/>
                <w:color w:val="auto"/>
                <w:sz w:val="20"/>
                <w:szCs w:val="20"/>
              </w:rPr>
            </w:pPr>
            <w:r w:rsidRPr="005648B8">
              <w:rPr>
                <w:rFonts w:eastAsia="Calibri" w:cs="Times New Roman"/>
                <w:b/>
                <w:bCs/>
                <w:color w:val="auto"/>
                <w:sz w:val="20"/>
                <w:szCs w:val="20"/>
              </w:rPr>
              <w:t xml:space="preserve">Výzkumná organizace </w:t>
            </w:r>
          </w:p>
        </w:tc>
        <w:tc>
          <w:tcPr>
            <w:tcW w:w="1247" w:type="dxa"/>
            <w:shd w:val="clear" w:color="auto" w:fill="E5F1FF"/>
            <w:vAlign w:val="center"/>
            <w:hideMark/>
          </w:tcPr>
          <w:p w14:paraId="6B3CA9A9" w14:textId="77777777" w:rsidR="005648B8" w:rsidRPr="005648B8" w:rsidRDefault="005648B8" w:rsidP="005648B8">
            <w:pPr>
              <w:jc w:val="center"/>
              <w:rPr>
                <w:rFonts w:eastAsia="Calibri" w:cs="Times New Roman"/>
                <w:b/>
                <w:bCs/>
                <w:color w:val="auto"/>
                <w:sz w:val="20"/>
                <w:szCs w:val="20"/>
              </w:rPr>
            </w:pPr>
            <w:r w:rsidRPr="005648B8">
              <w:rPr>
                <w:rFonts w:eastAsia="Calibri" w:cs="Times New Roman"/>
                <w:b/>
                <w:bCs/>
                <w:color w:val="auto"/>
                <w:sz w:val="20"/>
                <w:szCs w:val="20"/>
              </w:rPr>
              <w:t>2018</w:t>
            </w:r>
          </w:p>
        </w:tc>
        <w:tc>
          <w:tcPr>
            <w:tcW w:w="1247" w:type="dxa"/>
            <w:shd w:val="clear" w:color="auto" w:fill="E5F1FF"/>
            <w:vAlign w:val="center"/>
            <w:hideMark/>
          </w:tcPr>
          <w:p w14:paraId="11459EF9" w14:textId="77777777" w:rsidR="005648B8" w:rsidRPr="005648B8" w:rsidRDefault="005648B8" w:rsidP="005648B8">
            <w:pPr>
              <w:jc w:val="center"/>
              <w:rPr>
                <w:rFonts w:eastAsia="Calibri" w:cs="Times New Roman"/>
                <w:b/>
                <w:bCs/>
                <w:color w:val="auto"/>
                <w:sz w:val="20"/>
                <w:szCs w:val="20"/>
              </w:rPr>
            </w:pPr>
            <w:r w:rsidRPr="005648B8">
              <w:rPr>
                <w:rFonts w:eastAsia="Calibri" w:cs="Times New Roman"/>
                <w:b/>
                <w:bCs/>
                <w:color w:val="auto"/>
                <w:sz w:val="20"/>
                <w:szCs w:val="20"/>
              </w:rPr>
              <w:t>2019</w:t>
            </w:r>
          </w:p>
        </w:tc>
        <w:tc>
          <w:tcPr>
            <w:tcW w:w="1247" w:type="dxa"/>
            <w:shd w:val="clear" w:color="auto" w:fill="E5F1FF"/>
            <w:vAlign w:val="center"/>
            <w:hideMark/>
          </w:tcPr>
          <w:p w14:paraId="36F0838F" w14:textId="77777777" w:rsidR="005648B8" w:rsidRPr="005648B8" w:rsidRDefault="005648B8" w:rsidP="005648B8">
            <w:pPr>
              <w:jc w:val="center"/>
              <w:rPr>
                <w:rFonts w:eastAsia="Calibri" w:cs="Times New Roman"/>
                <w:b/>
                <w:bCs/>
                <w:color w:val="auto"/>
                <w:sz w:val="20"/>
                <w:szCs w:val="20"/>
              </w:rPr>
            </w:pPr>
            <w:r w:rsidRPr="005648B8">
              <w:rPr>
                <w:rFonts w:eastAsia="Calibri" w:cs="Times New Roman"/>
                <w:b/>
                <w:bCs/>
                <w:color w:val="auto"/>
                <w:sz w:val="20"/>
                <w:szCs w:val="20"/>
              </w:rPr>
              <w:t>2020</w:t>
            </w:r>
          </w:p>
        </w:tc>
        <w:tc>
          <w:tcPr>
            <w:tcW w:w="1247" w:type="dxa"/>
            <w:shd w:val="clear" w:color="auto" w:fill="E5F1FF"/>
            <w:vAlign w:val="center"/>
            <w:hideMark/>
          </w:tcPr>
          <w:p w14:paraId="43F3DB44" w14:textId="77777777" w:rsidR="005648B8" w:rsidRPr="005648B8" w:rsidRDefault="005648B8" w:rsidP="005648B8">
            <w:pPr>
              <w:jc w:val="center"/>
              <w:rPr>
                <w:rFonts w:eastAsia="Calibri" w:cs="Times New Roman"/>
                <w:b/>
                <w:bCs/>
                <w:color w:val="auto"/>
                <w:sz w:val="20"/>
                <w:szCs w:val="20"/>
              </w:rPr>
            </w:pPr>
            <w:r w:rsidRPr="005648B8">
              <w:rPr>
                <w:rFonts w:eastAsia="Calibri" w:cs="Times New Roman"/>
                <w:b/>
                <w:bCs/>
                <w:color w:val="auto"/>
                <w:sz w:val="20"/>
                <w:szCs w:val="20"/>
              </w:rPr>
              <w:t>2021</w:t>
            </w:r>
          </w:p>
        </w:tc>
        <w:tc>
          <w:tcPr>
            <w:tcW w:w="1247" w:type="dxa"/>
            <w:shd w:val="clear" w:color="auto" w:fill="E5F1FF"/>
            <w:vAlign w:val="center"/>
            <w:hideMark/>
          </w:tcPr>
          <w:p w14:paraId="7D2FA321" w14:textId="77777777" w:rsidR="005648B8" w:rsidRPr="005648B8" w:rsidRDefault="005648B8" w:rsidP="005648B8">
            <w:pPr>
              <w:jc w:val="center"/>
              <w:rPr>
                <w:rFonts w:eastAsia="Calibri" w:cs="Times New Roman"/>
                <w:b/>
                <w:bCs/>
                <w:color w:val="auto"/>
                <w:sz w:val="20"/>
                <w:szCs w:val="20"/>
              </w:rPr>
            </w:pPr>
            <w:r w:rsidRPr="005648B8">
              <w:rPr>
                <w:rFonts w:eastAsia="Calibri" w:cs="Times New Roman"/>
                <w:b/>
                <w:bCs/>
                <w:color w:val="auto"/>
                <w:sz w:val="20"/>
                <w:szCs w:val="20"/>
              </w:rPr>
              <w:t>2022</w:t>
            </w:r>
          </w:p>
        </w:tc>
        <w:tc>
          <w:tcPr>
            <w:tcW w:w="1304" w:type="dxa"/>
            <w:shd w:val="clear" w:color="auto" w:fill="E5F1FF"/>
            <w:vAlign w:val="center"/>
            <w:hideMark/>
          </w:tcPr>
          <w:p w14:paraId="27922A9E" w14:textId="77777777" w:rsidR="005648B8" w:rsidRPr="005648B8" w:rsidRDefault="005648B8" w:rsidP="005648B8">
            <w:pPr>
              <w:jc w:val="center"/>
              <w:rPr>
                <w:rFonts w:eastAsia="Calibri" w:cs="Times New Roman"/>
                <w:b/>
                <w:bCs/>
                <w:color w:val="auto"/>
                <w:sz w:val="20"/>
                <w:szCs w:val="20"/>
              </w:rPr>
            </w:pPr>
            <w:r w:rsidRPr="005648B8">
              <w:rPr>
                <w:rFonts w:eastAsia="Calibri" w:cs="Times New Roman"/>
                <w:b/>
                <w:bCs/>
                <w:color w:val="auto"/>
                <w:sz w:val="20"/>
                <w:szCs w:val="20"/>
              </w:rPr>
              <w:t>Celkem</w:t>
            </w:r>
          </w:p>
        </w:tc>
      </w:tr>
      <w:tr w:rsidR="005648B8" w:rsidRPr="005648B8" w14:paraId="35D9621A" w14:textId="77777777" w:rsidTr="00005039">
        <w:trPr>
          <w:trHeight w:val="737"/>
        </w:trPr>
        <w:tc>
          <w:tcPr>
            <w:tcW w:w="2551" w:type="dxa"/>
            <w:vAlign w:val="center"/>
            <w:hideMark/>
          </w:tcPr>
          <w:p w14:paraId="2FCEAD03"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CENTRUM HYDRAULICKÉHO VÝZKUMU spol. s r.o.</w:t>
            </w:r>
          </w:p>
        </w:tc>
        <w:tc>
          <w:tcPr>
            <w:tcW w:w="1247" w:type="dxa"/>
            <w:noWrap/>
            <w:vAlign w:val="center"/>
            <w:hideMark/>
          </w:tcPr>
          <w:p w14:paraId="26D01931"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0</w:t>
            </w:r>
          </w:p>
        </w:tc>
        <w:tc>
          <w:tcPr>
            <w:tcW w:w="1247" w:type="dxa"/>
            <w:noWrap/>
            <w:vAlign w:val="center"/>
            <w:hideMark/>
          </w:tcPr>
          <w:p w14:paraId="1863431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641 000</w:t>
            </w:r>
          </w:p>
        </w:tc>
        <w:tc>
          <w:tcPr>
            <w:tcW w:w="1247" w:type="dxa"/>
            <w:noWrap/>
            <w:vAlign w:val="center"/>
            <w:hideMark/>
          </w:tcPr>
          <w:p w14:paraId="3312B954"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641 000</w:t>
            </w:r>
          </w:p>
        </w:tc>
        <w:tc>
          <w:tcPr>
            <w:tcW w:w="1247" w:type="dxa"/>
            <w:noWrap/>
            <w:vAlign w:val="center"/>
            <w:hideMark/>
          </w:tcPr>
          <w:p w14:paraId="705CA6C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641 000</w:t>
            </w:r>
          </w:p>
        </w:tc>
        <w:tc>
          <w:tcPr>
            <w:tcW w:w="1247" w:type="dxa"/>
            <w:noWrap/>
            <w:vAlign w:val="center"/>
            <w:hideMark/>
          </w:tcPr>
          <w:p w14:paraId="2D770346"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641 000</w:t>
            </w:r>
          </w:p>
        </w:tc>
        <w:tc>
          <w:tcPr>
            <w:tcW w:w="1304" w:type="dxa"/>
            <w:noWrap/>
            <w:vAlign w:val="center"/>
            <w:hideMark/>
          </w:tcPr>
          <w:p w14:paraId="49C56C5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2 564 000</w:t>
            </w:r>
          </w:p>
        </w:tc>
      </w:tr>
      <w:tr w:rsidR="005648B8" w:rsidRPr="005648B8" w14:paraId="0F470EF7" w14:textId="77777777" w:rsidTr="00005039">
        <w:trPr>
          <w:trHeight w:val="737"/>
        </w:trPr>
        <w:tc>
          <w:tcPr>
            <w:tcW w:w="2551" w:type="dxa"/>
            <w:vAlign w:val="center"/>
            <w:hideMark/>
          </w:tcPr>
          <w:p w14:paraId="6F9550E4" w14:textId="77777777" w:rsidR="005648B8" w:rsidRPr="00005039" w:rsidRDefault="005648B8" w:rsidP="00005039">
            <w:pPr>
              <w:ind w:right="-80"/>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Centrum organické chemie s.r.o.</w:t>
            </w:r>
          </w:p>
        </w:tc>
        <w:tc>
          <w:tcPr>
            <w:tcW w:w="1247" w:type="dxa"/>
            <w:noWrap/>
            <w:vAlign w:val="center"/>
            <w:hideMark/>
          </w:tcPr>
          <w:p w14:paraId="4E4D25A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6 663 000</w:t>
            </w:r>
          </w:p>
        </w:tc>
        <w:tc>
          <w:tcPr>
            <w:tcW w:w="1247" w:type="dxa"/>
            <w:noWrap/>
            <w:vAlign w:val="center"/>
            <w:hideMark/>
          </w:tcPr>
          <w:p w14:paraId="00AB389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6 663 000</w:t>
            </w:r>
          </w:p>
        </w:tc>
        <w:tc>
          <w:tcPr>
            <w:tcW w:w="1247" w:type="dxa"/>
            <w:noWrap/>
            <w:vAlign w:val="center"/>
            <w:hideMark/>
          </w:tcPr>
          <w:p w14:paraId="43A6AB0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4 926 855</w:t>
            </w:r>
          </w:p>
        </w:tc>
        <w:tc>
          <w:tcPr>
            <w:tcW w:w="1247" w:type="dxa"/>
            <w:noWrap/>
            <w:vAlign w:val="center"/>
            <w:hideMark/>
          </w:tcPr>
          <w:p w14:paraId="6BFD2CC0"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8 663 000</w:t>
            </w:r>
          </w:p>
        </w:tc>
        <w:tc>
          <w:tcPr>
            <w:tcW w:w="1247" w:type="dxa"/>
            <w:noWrap/>
            <w:vAlign w:val="center"/>
            <w:hideMark/>
          </w:tcPr>
          <w:p w14:paraId="6AAA9FE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6 663 000</w:t>
            </w:r>
          </w:p>
        </w:tc>
        <w:tc>
          <w:tcPr>
            <w:tcW w:w="1304" w:type="dxa"/>
            <w:noWrap/>
            <w:vAlign w:val="center"/>
            <w:hideMark/>
          </w:tcPr>
          <w:p w14:paraId="2EC67A1A"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33 578 855</w:t>
            </w:r>
          </w:p>
        </w:tc>
      </w:tr>
      <w:tr w:rsidR="005648B8" w:rsidRPr="005648B8" w14:paraId="6673679A" w14:textId="77777777" w:rsidTr="00005039">
        <w:trPr>
          <w:trHeight w:val="737"/>
        </w:trPr>
        <w:tc>
          <w:tcPr>
            <w:tcW w:w="2551" w:type="dxa"/>
            <w:vAlign w:val="center"/>
            <w:hideMark/>
          </w:tcPr>
          <w:p w14:paraId="3415D334"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Centrum výzkumu Řež s.r.o.</w:t>
            </w:r>
          </w:p>
        </w:tc>
        <w:tc>
          <w:tcPr>
            <w:tcW w:w="1247" w:type="dxa"/>
            <w:noWrap/>
            <w:vAlign w:val="center"/>
            <w:hideMark/>
          </w:tcPr>
          <w:p w14:paraId="44543194"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42 967 000</w:t>
            </w:r>
          </w:p>
        </w:tc>
        <w:tc>
          <w:tcPr>
            <w:tcW w:w="1247" w:type="dxa"/>
            <w:noWrap/>
            <w:vAlign w:val="center"/>
            <w:hideMark/>
          </w:tcPr>
          <w:p w14:paraId="6CFEE3B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42 967 000</w:t>
            </w:r>
          </w:p>
        </w:tc>
        <w:tc>
          <w:tcPr>
            <w:tcW w:w="1247" w:type="dxa"/>
            <w:noWrap/>
            <w:vAlign w:val="center"/>
            <w:hideMark/>
          </w:tcPr>
          <w:p w14:paraId="0973B5DC"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42 967 000</w:t>
            </w:r>
          </w:p>
        </w:tc>
        <w:tc>
          <w:tcPr>
            <w:tcW w:w="1247" w:type="dxa"/>
            <w:noWrap/>
            <w:vAlign w:val="center"/>
            <w:hideMark/>
          </w:tcPr>
          <w:p w14:paraId="3714777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42 967 000</w:t>
            </w:r>
          </w:p>
        </w:tc>
        <w:tc>
          <w:tcPr>
            <w:tcW w:w="1247" w:type="dxa"/>
            <w:noWrap/>
            <w:vAlign w:val="center"/>
            <w:hideMark/>
          </w:tcPr>
          <w:p w14:paraId="2738C39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42 967 000</w:t>
            </w:r>
          </w:p>
        </w:tc>
        <w:tc>
          <w:tcPr>
            <w:tcW w:w="1304" w:type="dxa"/>
            <w:noWrap/>
            <w:vAlign w:val="center"/>
            <w:hideMark/>
          </w:tcPr>
          <w:p w14:paraId="47B42EC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214 835 000</w:t>
            </w:r>
          </w:p>
        </w:tc>
      </w:tr>
      <w:tr w:rsidR="005648B8" w:rsidRPr="005648B8" w14:paraId="768438DC" w14:textId="77777777" w:rsidTr="00005039">
        <w:trPr>
          <w:trHeight w:val="737"/>
        </w:trPr>
        <w:tc>
          <w:tcPr>
            <w:tcW w:w="2551" w:type="dxa"/>
            <w:vAlign w:val="center"/>
            <w:hideMark/>
          </w:tcPr>
          <w:p w14:paraId="745A5A94"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COMTES FHT a.s.</w:t>
            </w:r>
          </w:p>
        </w:tc>
        <w:tc>
          <w:tcPr>
            <w:tcW w:w="1247" w:type="dxa"/>
            <w:noWrap/>
            <w:vAlign w:val="center"/>
            <w:hideMark/>
          </w:tcPr>
          <w:p w14:paraId="4951E596"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25 169 000</w:t>
            </w:r>
          </w:p>
        </w:tc>
        <w:tc>
          <w:tcPr>
            <w:tcW w:w="1247" w:type="dxa"/>
            <w:noWrap/>
            <w:vAlign w:val="center"/>
            <w:hideMark/>
          </w:tcPr>
          <w:p w14:paraId="65E1953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27 685 000</w:t>
            </w:r>
          </w:p>
        </w:tc>
        <w:tc>
          <w:tcPr>
            <w:tcW w:w="1247" w:type="dxa"/>
            <w:noWrap/>
            <w:vAlign w:val="center"/>
            <w:hideMark/>
          </w:tcPr>
          <w:p w14:paraId="1A264423"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47 088 734</w:t>
            </w:r>
          </w:p>
        </w:tc>
        <w:tc>
          <w:tcPr>
            <w:tcW w:w="1247" w:type="dxa"/>
            <w:noWrap/>
            <w:vAlign w:val="center"/>
            <w:hideMark/>
          </w:tcPr>
          <w:p w14:paraId="4910AE6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47 996 300</w:t>
            </w:r>
          </w:p>
        </w:tc>
        <w:tc>
          <w:tcPr>
            <w:tcW w:w="1247" w:type="dxa"/>
            <w:noWrap/>
            <w:vAlign w:val="center"/>
            <w:hideMark/>
          </w:tcPr>
          <w:p w14:paraId="2000A940"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45 814 650</w:t>
            </w:r>
          </w:p>
        </w:tc>
        <w:tc>
          <w:tcPr>
            <w:tcW w:w="1304" w:type="dxa"/>
            <w:noWrap/>
            <w:vAlign w:val="center"/>
            <w:hideMark/>
          </w:tcPr>
          <w:p w14:paraId="5469B65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193 753 684</w:t>
            </w:r>
          </w:p>
        </w:tc>
      </w:tr>
      <w:tr w:rsidR="005648B8" w:rsidRPr="005648B8" w14:paraId="37309C7D" w14:textId="77777777" w:rsidTr="00005039">
        <w:trPr>
          <w:trHeight w:val="737"/>
        </w:trPr>
        <w:tc>
          <w:tcPr>
            <w:tcW w:w="2551" w:type="dxa"/>
            <w:vAlign w:val="center"/>
            <w:hideMark/>
          </w:tcPr>
          <w:p w14:paraId="49863E4A"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Český metrologický institut</w:t>
            </w:r>
          </w:p>
        </w:tc>
        <w:tc>
          <w:tcPr>
            <w:tcW w:w="1247" w:type="dxa"/>
            <w:noWrap/>
            <w:vAlign w:val="center"/>
            <w:hideMark/>
          </w:tcPr>
          <w:p w14:paraId="3E108C2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28 247 000</w:t>
            </w:r>
          </w:p>
        </w:tc>
        <w:tc>
          <w:tcPr>
            <w:tcW w:w="1247" w:type="dxa"/>
            <w:noWrap/>
            <w:vAlign w:val="center"/>
            <w:hideMark/>
          </w:tcPr>
          <w:p w14:paraId="1BDD83E5"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29 659 000</w:t>
            </w:r>
          </w:p>
        </w:tc>
        <w:tc>
          <w:tcPr>
            <w:tcW w:w="1247" w:type="dxa"/>
            <w:noWrap/>
            <w:vAlign w:val="center"/>
            <w:hideMark/>
          </w:tcPr>
          <w:p w14:paraId="1C19A5DC"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30 484 162</w:t>
            </w:r>
          </w:p>
        </w:tc>
        <w:tc>
          <w:tcPr>
            <w:tcW w:w="1247" w:type="dxa"/>
            <w:noWrap/>
            <w:vAlign w:val="center"/>
            <w:hideMark/>
          </w:tcPr>
          <w:p w14:paraId="1EFCAF35"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31 071 700</w:t>
            </w:r>
          </w:p>
        </w:tc>
        <w:tc>
          <w:tcPr>
            <w:tcW w:w="1247" w:type="dxa"/>
            <w:noWrap/>
            <w:vAlign w:val="center"/>
            <w:hideMark/>
          </w:tcPr>
          <w:p w14:paraId="5EDA4644"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31 071 700</w:t>
            </w:r>
          </w:p>
        </w:tc>
        <w:tc>
          <w:tcPr>
            <w:tcW w:w="1304" w:type="dxa"/>
            <w:noWrap/>
            <w:vAlign w:val="center"/>
            <w:hideMark/>
          </w:tcPr>
          <w:p w14:paraId="76C67983"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150 533 562</w:t>
            </w:r>
          </w:p>
        </w:tc>
      </w:tr>
      <w:tr w:rsidR="005648B8" w:rsidRPr="005648B8" w14:paraId="195231B2" w14:textId="77777777" w:rsidTr="00005039">
        <w:trPr>
          <w:trHeight w:val="737"/>
        </w:trPr>
        <w:tc>
          <w:tcPr>
            <w:tcW w:w="2551" w:type="dxa"/>
            <w:vAlign w:val="center"/>
            <w:hideMark/>
          </w:tcPr>
          <w:p w14:paraId="5EF031AA" w14:textId="226CA47B" w:rsidR="005648B8" w:rsidRPr="00005039" w:rsidRDefault="005648B8" w:rsidP="00C6334F">
            <w:pPr>
              <w:ind w:right="-80"/>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MATERIÁLOVÝ A</w:t>
            </w:r>
            <w:r w:rsidR="00005039" w:rsidRPr="00005039">
              <w:rPr>
                <w:rFonts w:asciiTheme="minorHAnsi" w:eastAsia="Calibri" w:hAnsiTheme="minorHAnsi" w:cstheme="minorHAnsi"/>
                <w:color w:val="auto"/>
                <w:sz w:val="18"/>
                <w:szCs w:val="18"/>
              </w:rPr>
              <w:t> </w:t>
            </w:r>
            <w:r w:rsidRPr="00005039">
              <w:rPr>
                <w:rFonts w:asciiTheme="minorHAnsi" w:eastAsia="Calibri" w:hAnsiTheme="minorHAnsi" w:cstheme="minorHAnsi"/>
                <w:color w:val="auto"/>
                <w:sz w:val="18"/>
                <w:szCs w:val="18"/>
              </w:rPr>
              <w:t>METALURGICKÝ VÝZKUM s.r.o.</w:t>
            </w:r>
          </w:p>
        </w:tc>
        <w:tc>
          <w:tcPr>
            <w:tcW w:w="1247" w:type="dxa"/>
            <w:noWrap/>
            <w:vAlign w:val="center"/>
            <w:hideMark/>
          </w:tcPr>
          <w:p w14:paraId="3FAE20D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10 531 000</w:t>
            </w:r>
          </w:p>
        </w:tc>
        <w:tc>
          <w:tcPr>
            <w:tcW w:w="1247" w:type="dxa"/>
            <w:noWrap/>
            <w:vAlign w:val="center"/>
            <w:hideMark/>
          </w:tcPr>
          <w:p w14:paraId="162DFEDE"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16 657 000</w:t>
            </w:r>
          </w:p>
        </w:tc>
        <w:tc>
          <w:tcPr>
            <w:tcW w:w="1247" w:type="dxa"/>
            <w:noWrap/>
            <w:vAlign w:val="center"/>
            <w:hideMark/>
          </w:tcPr>
          <w:p w14:paraId="7D9757AC"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16 769 788</w:t>
            </w:r>
          </w:p>
        </w:tc>
        <w:tc>
          <w:tcPr>
            <w:tcW w:w="1247" w:type="dxa"/>
            <w:noWrap/>
            <w:vAlign w:val="center"/>
            <w:hideMark/>
          </w:tcPr>
          <w:p w14:paraId="320B5733"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16 131 000</w:t>
            </w:r>
          </w:p>
        </w:tc>
        <w:tc>
          <w:tcPr>
            <w:tcW w:w="1247" w:type="dxa"/>
            <w:noWrap/>
            <w:vAlign w:val="center"/>
            <w:hideMark/>
          </w:tcPr>
          <w:p w14:paraId="781D00C9"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16 131 000</w:t>
            </w:r>
          </w:p>
        </w:tc>
        <w:tc>
          <w:tcPr>
            <w:tcW w:w="1304" w:type="dxa"/>
            <w:noWrap/>
            <w:vAlign w:val="center"/>
            <w:hideMark/>
          </w:tcPr>
          <w:p w14:paraId="0BB4273E"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76 219 788</w:t>
            </w:r>
          </w:p>
        </w:tc>
      </w:tr>
      <w:tr w:rsidR="005648B8" w:rsidRPr="005648B8" w14:paraId="75283CCB" w14:textId="77777777" w:rsidTr="00005039">
        <w:trPr>
          <w:trHeight w:val="737"/>
        </w:trPr>
        <w:tc>
          <w:tcPr>
            <w:tcW w:w="2551" w:type="dxa"/>
            <w:vAlign w:val="center"/>
            <w:hideMark/>
          </w:tcPr>
          <w:p w14:paraId="014927AD"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MemBrain s.r.o.</w:t>
            </w:r>
          </w:p>
        </w:tc>
        <w:tc>
          <w:tcPr>
            <w:tcW w:w="1247" w:type="dxa"/>
            <w:noWrap/>
            <w:vAlign w:val="center"/>
            <w:hideMark/>
          </w:tcPr>
          <w:p w14:paraId="6E83B930"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9 224 000</w:t>
            </w:r>
          </w:p>
        </w:tc>
        <w:tc>
          <w:tcPr>
            <w:tcW w:w="1247" w:type="dxa"/>
            <w:noWrap/>
            <w:vAlign w:val="center"/>
            <w:hideMark/>
          </w:tcPr>
          <w:p w14:paraId="4E64601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9 685 000</w:t>
            </w:r>
          </w:p>
        </w:tc>
        <w:tc>
          <w:tcPr>
            <w:tcW w:w="1247" w:type="dxa"/>
            <w:noWrap/>
            <w:vAlign w:val="center"/>
            <w:hideMark/>
          </w:tcPr>
          <w:p w14:paraId="7BC86A09"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40 153 510</w:t>
            </w:r>
          </w:p>
        </w:tc>
        <w:tc>
          <w:tcPr>
            <w:tcW w:w="1247" w:type="dxa"/>
            <w:noWrap/>
            <w:vAlign w:val="center"/>
            <w:hideMark/>
          </w:tcPr>
          <w:p w14:paraId="5298E73C"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40 555 200</w:t>
            </w:r>
          </w:p>
        </w:tc>
        <w:tc>
          <w:tcPr>
            <w:tcW w:w="1247" w:type="dxa"/>
            <w:noWrap/>
            <w:vAlign w:val="center"/>
            <w:hideMark/>
          </w:tcPr>
          <w:p w14:paraId="4EEBCE53"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42 486 400</w:t>
            </w:r>
          </w:p>
        </w:tc>
        <w:tc>
          <w:tcPr>
            <w:tcW w:w="1304" w:type="dxa"/>
            <w:noWrap/>
            <w:vAlign w:val="center"/>
            <w:hideMark/>
          </w:tcPr>
          <w:p w14:paraId="475724B6"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142 104 110</w:t>
            </w:r>
          </w:p>
        </w:tc>
      </w:tr>
      <w:tr w:rsidR="005648B8" w:rsidRPr="005648B8" w14:paraId="7E2915A6" w14:textId="77777777" w:rsidTr="00005039">
        <w:trPr>
          <w:trHeight w:val="737"/>
        </w:trPr>
        <w:tc>
          <w:tcPr>
            <w:tcW w:w="2551" w:type="dxa"/>
            <w:vAlign w:val="center"/>
            <w:hideMark/>
          </w:tcPr>
          <w:p w14:paraId="23B1406B"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SVÚM a.s.</w:t>
            </w:r>
          </w:p>
        </w:tc>
        <w:tc>
          <w:tcPr>
            <w:tcW w:w="1247" w:type="dxa"/>
            <w:noWrap/>
            <w:vAlign w:val="center"/>
            <w:hideMark/>
          </w:tcPr>
          <w:p w14:paraId="62010855"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14 936 000</w:t>
            </w:r>
          </w:p>
        </w:tc>
        <w:tc>
          <w:tcPr>
            <w:tcW w:w="1247" w:type="dxa"/>
            <w:noWrap/>
            <w:vAlign w:val="center"/>
            <w:hideMark/>
          </w:tcPr>
          <w:p w14:paraId="5CA99F4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16 429 000</w:t>
            </w:r>
          </w:p>
        </w:tc>
        <w:tc>
          <w:tcPr>
            <w:tcW w:w="1247" w:type="dxa"/>
            <w:noWrap/>
            <w:vAlign w:val="center"/>
            <w:hideMark/>
          </w:tcPr>
          <w:p w14:paraId="7251924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16 118 931</w:t>
            </w:r>
          </w:p>
        </w:tc>
        <w:tc>
          <w:tcPr>
            <w:tcW w:w="1247" w:type="dxa"/>
            <w:noWrap/>
            <w:vAlign w:val="center"/>
            <w:hideMark/>
          </w:tcPr>
          <w:p w14:paraId="3E64D1C8"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16 429 600</w:t>
            </w:r>
          </w:p>
        </w:tc>
        <w:tc>
          <w:tcPr>
            <w:tcW w:w="1247" w:type="dxa"/>
            <w:noWrap/>
            <w:vAlign w:val="center"/>
            <w:hideMark/>
          </w:tcPr>
          <w:p w14:paraId="3CD0BD66"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16 429 600</w:t>
            </w:r>
          </w:p>
        </w:tc>
        <w:tc>
          <w:tcPr>
            <w:tcW w:w="1304" w:type="dxa"/>
            <w:noWrap/>
            <w:vAlign w:val="center"/>
            <w:hideMark/>
          </w:tcPr>
          <w:p w14:paraId="2EFEC06E"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80 343 131</w:t>
            </w:r>
          </w:p>
        </w:tc>
      </w:tr>
      <w:tr w:rsidR="005648B8" w:rsidRPr="005648B8" w14:paraId="186460DA" w14:textId="77777777" w:rsidTr="00005039">
        <w:trPr>
          <w:trHeight w:val="737"/>
        </w:trPr>
        <w:tc>
          <w:tcPr>
            <w:tcW w:w="2551" w:type="dxa"/>
            <w:vAlign w:val="center"/>
            <w:hideMark/>
          </w:tcPr>
          <w:p w14:paraId="09306B68"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SVÚOM s.r.o.</w:t>
            </w:r>
          </w:p>
        </w:tc>
        <w:tc>
          <w:tcPr>
            <w:tcW w:w="1247" w:type="dxa"/>
            <w:noWrap/>
            <w:vAlign w:val="center"/>
            <w:hideMark/>
          </w:tcPr>
          <w:p w14:paraId="2195300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10 661 000</w:t>
            </w:r>
          </w:p>
        </w:tc>
        <w:tc>
          <w:tcPr>
            <w:tcW w:w="1247" w:type="dxa"/>
            <w:noWrap/>
            <w:vAlign w:val="center"/>
            <w:hideMark/>
          </w:tcPr>
          <w:p w14:paraId="7361303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10 128 000</w:t>
            </w:r>
          </w:p>
        </w:tc>
        <w:tc>
          <w:tcPr>
            <w:tcW w:w="1247" w:type="dxa"/>
            <w:noWrap/>
            <w:vAlign w:val="center"/>
            <w:hideMark/>
          </w:tcPr>
          <w:p w14:paraId="7282E75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10 238 824</w:t>
            </w:r>
          </w:p>
        </w:tc>
        <w:tc>
          <w:tcPr>
            <w:tcW w:w="1247" w:type="dxa"/>
            <w:noWrap/>
            <w:vAlign w:val="center"/>
            <w:hideMark/>
          </w:tcPr>
          <w:p w14:paraId="22F12A0E"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8 262 070</w:t>
            </w:r>
          </w:p>
        </w:tc>
        <w:tc>
          <w:tcPr>
            <w:tcW w:w="1247" w:type="dxa"/>
            <w:noWrap/>
            <w:vAlign w:val="center"/>
            <w:hideMark/>
          </w:tcPr>
          <w:p w14:paraId="18E718E8"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0</w:t>
            </w:r>
          </w:p>
        </w:tc>
        <w:tc>
          <w:tcPr>
            <w:tcW w:w="1304" w:type="dxa"/>
            <w:noWrap/>
            <w:vAlign w:val="center"/>
            <w:hideMark/>
          </w:tcPr>
          <w:p w14:paraId="74B32A2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39 289 894</w:t>
            </w:r>
          </w:p>
        </w:tc>
      </w:tr>
      <w:tr w:rsidR="005648B8" w:rsidRPr="005648B8" w14:paraId="75FBB9B0" w14:textId="77777777" w:rsidTr="00005039">
        <w:trPr>
          <w:trHeight w:val="737"/>
        </w:trPr>
        <w:tc>
          <w:tcPr>
            <w:tcW w:w="2551" w:type="dxa"/>
            <w:vAlign w:val="center"/>
            <w:hideMark/>
          </w:tcPr>
          <w:p w14:paraId="5DE44078" w14:textId="09181489"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Unipetrol výzkumně vzdělávací centrum, a.s.</w:t>
            </w:r>
            <w:r w:rsidR="00005039" w:rsidRPr="00005039">
              <w:rPr>
                <w:rFonts w:asciiTheme="minorHAnsi" w:eastAsia="Calibri" w:hAnsiTheme="minorHAnsi" w:cstheme="minorHAnsi"/>
                <w:color w:val="auto"/>
                <w:sz w:val="18"/>
                <w:szCs w:val="18"/>
              </w:rPr>
              <w:t xml:space="preserve"> </w:t>
            </w:r>
            <w:r w:rsidRPr="00005039">
              <w:rPr>
                <w:rFonts w:asciiTheme="minorHAnsi" w:eastAsia="Calibri" w:hAnsiTheme="minorHAnsi" w:cstheme="minorHAnsi"/>
                <w:color w:val="auto"/>
                <w:sz w:val="18"/>
                <w:szCs w:val="18"/>
              </w:rPr>
              <w:t>/</w:t>
            </w:r>
          </w:p>
          <w:p w14:paraId="188A1B0E"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ORLEN UniCRE a.s.</w:t>
            </w:r>
          </w:p>
        </w:tc>
        <w:tc>
          <w:tcPr>
            <w:tcW w:w="1247" w:type="dxa"/>
            <w:noWrap/>
            <w:vAlign w:val="center"/>
            <w:hideMark/>
          </w:tcPr>
          <w:p w14:paraId="053CAB4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28 593 000</w:t>
            </w:r>
          </w:p>
        </w:tc>
        <w:tc>
          <w:tcPr>
            <w:tcW w:w="1247" w:type="dxa"/>
            <w:noWrap/>
            <w:vAlign w:val="center"/>
            <w:hideMark/>
          </w:tcPr>
          <w:p w14:paraId="038459D4"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30 022 000</w:t>
            </w:r>
          </w:p>
        </w:tc>
        <w:tc>
          <w:tcPr>
            <w:tcW w:w="1247" w:type="dxa"/>
            <w:noWrap/>
            <w:vAlign w:val="center"/>
            <w:hideMark/>
          </w:tcPr>
          <w:p w14:paraId="0776DDFB"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29 725 283</w:t>
            </w:r>
          </w:p>
        </w:tc>
        <w:tc>
          <w:tcPr>
            <w:tcW w:w="1247" w:type="dxa"/>
            <w:noWrap/>
            <w:vAlign w:val="center"/>
            <w:hideMark/>
          </w:tcPr>
          <w:p w14:paraId="762E8FFE"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59 887 800</w:t>
            </w:r>
          </w:p>
        </w:tc>
        <w:tc>
          <w:tcPr>
            <w:tcW w:w="1247" w:type="dxa"/>
            <w:noWrap/>
            <w:vAlign w:val="center"/>
            <w:hideMark/>
          </w:tcPr>
          <w:p w14:paraId="7356EABF"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59 887 800</w:t>
            </w:r>
          </w:p>
        </w:tc>
        <w:tc>
          <w:tcPr>
            <w:tcW w:w="1304" w:type="dxa"/>
            <w:noWrap/>
            <w:vAlign w:val="center"/>
            <w:hideMark/>
          </w:tcPr>
          <w:p w14:paraId="68789BBE"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208 115 883</w:t>
            </w:r>
          </w:p>
        </w:tc>
      </w:tr>
      <w:tr w:rsidR="005648B8" w:rsidRPr="005648B8" w14:paraId="3E1B5BFE" w14:textId="77777777" w:rsidTr="00005039">
        <w:trPr>
          <w:trHeight w:val="737"/>
        </w:trPr>
        <w:tc>
          <w:tcPr>
            <w:tcW w:w="2551" w:type="dxa"/>
            <w:vAlign w:val="center"/>
            <w:hideMark/>
          </w:tcPr>
          <w:p w14:paraId="550F83D5"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VÚTS, a.s.</w:t>
            </w:r>
          </w:p>
        </w:tc>
        <w:tc>
          <w:tcPr>
            <w:tcW w:w="1247" w:type="dxa"/>
            <w:noWrap/>
            <w:vAlign w:val="center"/>
            <w:hideMark/>
          </w:tcPr>
          <w:p w14:paraId="4F4155A0"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54 194 000</w:t>
            </w:r>
          </w:p>
        </w:tc>
        <w:tc>
          <w:tcPr>
            <w:tcW w:w="1247" w:type="dxa"/>
            <w:noWrap/>
            <w:vAlign w:val="center"/>
            <w:hideMark/>
          </w:tcPr>
          <w:p w14:paraId="187EAD66"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103 773 000</w:t>
            </w:r>
          </w:p>
        </w:tc>
        <w:tc>
          <w:tcPr>
            <w:tcW w:w="1247" w:type="dxa"/>
            <w:noWrap/>
            <w:vAlign w:val="center"/>
            <w:hideMark/>
          </w:tcPr>
          <w:p w14:paraId="4ECEE677"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102 248 818</w:t>
            </w:r>
          </w:p>
        </w:tc>
        <w:tc>
          <w:tcPr>
            <w:tcW w:w="1247" w:type="dxa"/>
            <w:noWrap/>
            <w:vAlign w:val="center"/>
            <w:hideMark/>
          </w:tcPr>
          <w:p w14:paraId="726C36D9"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108 189 400</w:t>
            </w:r>
          </w:p>
        </w:tc>
        <w:tc>
          <w:tcPr>
            <w:tcW w:w="1247" w:type="dxa"/>
            <w:noWrap/>
            <w:vAlign w:val="center"/>
            <w:hideMark/>
          </w:tcPr>
          <w:p w14:paraId="3C8117F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108 189 400</w:t>
            </w:r>
          </w:p>
        </w:tc>
        <w:tc>
          <w:tcPr>
            <w:tcW w:w="1304" w:type="dxa"/>
            <w:noWrap/>
            <w:vAlign w:val="center"/>
            <w:hideMark/>
          </w:tcPr>
          <w:p w14:paraId="3F807528"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476 594 618</w:t>
            </w:r>
          </w:p>
        </w:tc>
      </w:tr>
      <w:tr w:rsidR="005648B8" w:rsidRPr="005648B8" w14:paraId="00B0F8DE" w14:textId="77777777" w:rsidTr="00005039">
        <w:trPr>
          <w:trHeight w:val="737"/>
        </w:trPr>
        <w:tc>
          <w:tcPr>
            <w:tcW w:w="2551" w:type="dxa"/>
            <w:vAlign w:val="center"/>
            <w:hideMark/>
          </w:tcPr>
          <w:p w14:paraId="3AA4FEA8"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Výzkumný a zkušební letecký ústav, a.s.</w:t>
            </w:r>
          </w:p>
        </w:tc>
        <w:tc>
          <w:tcPr>
            <w:tcW w:w="1247" w:type="dxa"/>
            <w:noWrap/>
            <w:vAlign w:val="center"/>
            <w:hideMark/>
          </w:tcPr>
          <w:p w14:paraId="66CA55A3"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70 351 000</w:t>
            </w:r>
          </w:p>
        </w:tc>
        <w:tc>
          <w:tcPr>
            <w:tcW w:w="1247" w:type="dxa"/>
            <w:noWrap/>
            <w:vAlign w:val="center"/>
            <w:hideMark/>
          </w:tcPr>
          <w:p w14:paraId="7B44298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73 868 000</w:t>
            </w:r>
          </w:p>
        </w:tc>
        <w:tc>
          <w:tcPr>
            <w:tcW w:w="1247" w:type="dxa"/>
            <w:noWrap/>
            <w:vAlign w:val="center"/>
            <w:hideMark/>
          </w:tcPr>
          <w:p w14:paraId="00FAF02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75 922 799</w:t>
            </w:r>
          </w:p>
        </w:tc>
        <w:tc>
          <w:tcPr>
            <w:tcW w:w="1247" w:type="dxa"/>
            <w:noWrap/>
            <w:vAlign w:val="center"/>
            <w:hideMark/>
          </w:tcPr>
          <w:p w14:paraId="35DC9BD5"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77 386 100</w:t>
            </w:r>
          </w:p>
        </w:tc>
        <w:tc>
          <w:tcPr>
            <w:tcW w:w="1247" w:type="dxa"/>
            <w:noWrap/>
            <w:vAlign w:val="center"/>
            <w:hideMark/>
          </w:tcPr>
          <w:p w14:paraId="6B52F7AB"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77 386 100</w:t>
            </w:r>
          </w:p>
        </w:tc>
        <w:tc>
          <w:tcPr>
            <w:tcW w:w="1304" w:type="dxa"/>
            <w:noWrap/>
            <w:vAlign w:val="center"/>
            <w:hideMark/>
          </w:tcPr>
          <w:p w14:paraId="68F456C0"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374 913 999</w:t>
            </w:r>
          </w:p>
        </w:tc>
      </w:tr>
      <w:tr w:rsidR="005648B8" w:rsidRPr="005648B8" w14:paraId="2B5D4722" w14:textId="77777777" w:rsidTr="00005039">
        <w:trPr>
          <w:trHeight w:val="737"/>
        </w:trPr>
        <w:tc>
          <w:tcPr>
            <w:tcW w:w="2551" w:type="dxa"/>
            <w:vAlign w:val="center"/>
            <w:hideMark/>
          </w:tcPr>
          <w:p w14:paraId="20480C74"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Výzkumný a zkušební ústav Plzeň s.r.o.</w:t>
            </w:r>
          </w:p>
        </w:tc>
        <w:tc>
          <w:tcPr>
            <w:tcW w:w="1247" w:type="dxa"/>
            <w:noWrap/>
            <w:vAlign w:val="center"/>
            <w:hideMark/>
          </w:tcPr>
          <w:p w14:paraId="071293A4"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19 950 000</w:t>
            </w:r>
          </w:p>
        </w:tc>
        <w:tc>
          <w:tcPr>
            <w:tcW w:w="1247" w:type="dxa"/>
            <w:noWrap/>
            <w:vAlign w:val="center"/>
            <w:hideMark/>
          </w:tcPr>
          <w:p w14:paraId="6EB69CDB"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19 950 000</w:t>
            </w:r>
          </w:p>
        </w:tc>
        <w:tc>
          <w:tcPr>
            <w:tcW w:w="1247" w:type="dxa"/>
            <w:noWrap/>
            <w:vAlign w:val="center"/>
            <w:hideMark/>
          </w:tcPr>
          <w:p w14:paraId="6EAC6E70"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20 740 020</w:t>
            </w:r>
          </w:p>
        </w:tc>
        <w:tc>
          <w:tcPr>
            <w:tcW w:w="1247" w:type="dxa"/>
            <w:noWrap/>
            <w:vAlign w:val="center"/>
            <w:hideMark/>
          </w:tcPr>
          <w:p w14:paraId="68159E1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19 950 000</w:t>
            </w:r>
          </w:p>
        </w:tc>
        <w:tc>
          <w:tcPr>
            <w:tcW w:w="1247" w:type="dxa"/>
            <w:noWrap/>
            <w:vAlign w:val="center"/>
            <w:hideMark/>
          </w:tcPr>
          <w:p w14:paraId="205DFB39"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20 947 500</w:t>
            </w:r>
          </w:p>
        </w:tc>
        <w:tc>
          <w:tcPr>
            <w:tcW w:w="1304" w:type="dxa"/>
            <w:noWrap/>
            <w:vAlign w:val="center"/>
            <w:hideMark/>
          </w:tcPr>
          <w:p w14:paraId="507B75A6"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101 537 520</w:t>
            </w:r>
          </w:p>
        </w:tc>
      </w:tr>
      <w:tr w:rsidR="005648B8" w:rsidRPr="005648B8" w14:paraId="2280CE59" w14:textId="77777777" w:rsidTr="00005039">
        <w:trPr>
          <w:trHeight w:val="737"/>
        </w:trPr>
        <w:tc>
          <w:tcPr>
            <w:tcW w:w="2551" w:type="dxa"/>
            <w:vAlign w:val="center"/>
            <w:hideMark/>
          </w:tcPr>
          <w:p w14:paraId="347EB76C" w14:textId="77777777" w:rsidR="005648B8" w:rsidRPr="00005039" w:rsidRDefault="005648B8" w:rsidP="005648B8">
            <w:pPr>
              <w:jc w:val="lef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Výzkumný ústav stavebních hmot, a.s.</w:t>
            </w:r>
          </w:p>
        </w:tc>
        <w:tc>
          <w:tcPr>
            <w:tcW w:w="1247" w:type="dxa"/>
            <w:noWrap/>
            <w:vAlign w:val="center"/>
            <w:hideMark/>
          </w:tcPr>
          <w:p w14:paraId="7C4F7C6D"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34 251 000</w:t>
            </w:r>
          </w:p>
        </w:tc>
        <w:tc>
          <w:tcPr>
            <w:tcW w:w="1247" w:type="dxa"/>
            <w:noWrap/>
            <w:vAlign w:val="center"/>
            <w:hideMark/>
          </w:tcPr>
          <w:p w14:paraId="10656BC5"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34 251 000</w:t>
            </w:r>
          </w:p>
        </w:tc>
        <w:tc>
          <w:tcPr>
            <w:tcW w:w="1247" w:type="dxa"/>
            <w:noWrap/>
            <w:vAlign w:val="center"/>
            <w:hideMark/>
          </w:tcPr>
          <w:p w14:paraId="1DE415F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34 251 000</w:t>
            </w:r>
          </w:p>
        </w:tc>
        <w:tc>
          <w:tcPr>
            <w:tcW w:w="1247" w:type="dxa"/>
            <w:noWrap/>
            <w:vAlign w:val="center"/>
            <w:hideMark/>
          </w:tcPr>
          <w:p w14:paraId="522AB34A"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34 251 000</w:t>
            </w:r>
          </w:p>
        </w:tc>
        <w:tc>
          <w:tcPr>
            <w:tcW w:w="1247" w:type="dxa"/>
            <w:noWrap/>
            <w:vAlign w:val="center"/>
            <w:hideMark/>
          </w:tcPr>
          <w:p w14:paraId="4B2CF792"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34 251 000</w:t>
            </w:r>
          </w:p>
        </w:tc>
        <w:tc>
          <w:tcPr>
            <w:tcW w:w="1304" w:type="dxa"/>
            <w:noWrap/>
            <w:vAlign w:val="center"/>
            <w:hideMark/>
          </w:tcPr>
          <w:p w14:paraId="17228624" w14:textId="77777777" w:rsidR="005648B8" w:rsidRPr="00005039" w:rsidRDefault="005648B8" w:rsidP="00005039">
            <w:pPr>
              <w:jc w:val="right"/>
              <w:rPr>
                <w:rFonts w:asciiTheme="minorHAnsi" w:eastAsia="Calibri" w:hAnsiTheme="minorHAnsi" w:cstheme="minorHAnsi"/>
                <w:color w:val="auto"/>
                <w:sz w:val="18"/>
                <w:szCs w:val="18"/>
              </w:rPr>
            </w:pPr>
            <w:r w:rsidRPr="00005039">
              <w:rPr>
                <w:rFonts w:asciiTheme="minorHAnsi" w:eastAsia="Calibri" w:hAnsiTheme="minorHAnsi" w:cstheme="minorHAnsi"/>
                <w:color w:val="auto"/>
                <w:sz w:val="18"/>
                <w:szCs w:val="18"/>
              </w:rPr>
              <w:t>171 255 000</w:t>
            </w:r>
          </w:p>
        </w:tc>
      </w:tr>
      <w:tr w:rsidR="005648B8" w:rsidRPr="005648B8" w14:paraId="67AACEB3" w14:textId="77777777" w:rsidTr="00005039">
        <w:trPr>
          <w:trHeight w:val="737"/>
        </w:trPr>
        <w:tc>
          <w:tcPr>
            <w:tcW w:w="2551" w:type="dxa"/>
            <w:noWrap/>
            <w:vAlign w:val="center"/>
            <w:hideMark/>
          </w:tcPr>
          <w:p w14:paraId="4278F9CF" w14:textId="77777777" w:rsidR="005648B8" w:rsidRPr="00005039" w:rsidRDefault="005648B8" w:rsidP="005648B8">
            <w:pPr>
              <w:jc w:val="lef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Celkem</w:t>
            </w:r>
          </w:p>
        </w:tc>
        <w:tc>
          <w:tcPr>
            <w:tcW w:w="1247" w:type="dxa"/>
            <w:noWrap/>
            <w:vAlign w:val="center"/>
            <w:hideMark/>
          </w:tcPr>
          <w:p w14:paraId="36144CFF" w14:textId="77777777" w:rsidR="005648B8" w:rsidRPr="00005039" w:rsidRDefault="005648B8" w:rsidP="00005039">
            <w:pPr>
              <w:jc w:val="righ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355 737 000</w:t>
            </w:r>
          </w:p>
        </w:tc>
        <w:tc>
          <w:tcPr>
            <w:tcW w:w="1247" w:type="dxa"/>
            <w:noWrap/>
            <w:vAlign w:val="center"/>
            <w:hideMark/>
          </w:tcPr>
          <w:p w14:paraId="43DAA176" w14:textId="77777777" w:rsidR="005648B8" w:rsidRPr="00005039" w:rsidRDefault="005648B8" w:rsidP="00005039">
            <w:pPr>
              <w:jc w:val="righ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422 378 000</w:t>
            </w:r>
          </w:p>
        </w:tc>
        <w:tc>
          <w:tcPr>
            <w:tcW w:w="1247" w:type="dxa"/>
            <w:noWrap/>
            <w:vAlign w:val="center"/>
            <w:hideMark/>
          </w:tcPr>
          <w:p w14:paraId="35710901" w14:textId="77777777" w:rsidR="005648B8" w:rsidRPr="00005039" w:rsidRDefault="005648B8" w:rsidP="00005039">
            <w:pPr>
              <w:jc w:val="righ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472 276 724</w:t>
            </w:r>
          </w:p>
        </w:tc>
        <w:tc>
          <w:tcPr>
            <w:tcW w:w="1247" w:type="dxa"/>
            <w:noWrap/>
            <w:vAlign w:val="center"/>
            <w:hideMark/>
          </w:tcPr>
          <w:p w14:paraId="4C733CBC" w14:textId="77777777" w:rsidR="005648B8" w:rsidRPr="00005039" w:rsidRDefault="005648B8" w:rsidP="00005039">
            <w:pPr>
              <w:jc w:val="righ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512 381 170</w:t>
            </w:r>
          </w:p>
        </w:tc>
        <w:tc>
          <w:tcPr>
            <w:tcW w:w="1247" w:type="dxa"/>
            <w:noWrap/>
            <w:vAlign w:val="center"/>
            <w:hideMark/>
          </w:tcPr>
          <w:p w14:paraId="7BEDDC2C" w14:textId="77777777" w:rsidR="005648B8" w:rsidRPr="00005039" w:rsidRDefault="005648B8" w:rsidP="00005039">
            <w:pPr>
              <w:jc w:val="righ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502 866 150</w:t>
            </w:r>
          </w:p>
        </w:tc>
        <w:tc>
          <w:tcPr>
            <w:tcW w:w="1304" w:type="dxa"/>
            <w:noWrap/>
            <w:vAlign w:val="center"/>
            <w:hideMark/>
          </w:tcPr>
          <w:p w14:paraId="6F24890E" w14:textId="77777777" w:rsidR="005648B8" w:rsidRPr="00005039" w:rsidRDefault="005648B8" w:rsidP="00005039">
            <w:pPr>
              <w:ind w:left="-130"/>
              <w:jc w:val="right"/>
              <w:rPr>
                <w:rFonts w:asciiTheme="minorHAnsi" w:eastAsia="Calibri" w:hAnsiTheme="minorHAnsi" w:cstheme="minorHAnsi"/>
                <w:b/>
                <w:bCs/>
                <w:color w:val="auto"/>
                <w:sz w:val="18"/>
                <w:szCs w:val="18"/>
              </w:rPr>
            </w:pPr>
            <w:r w:rsidRPr="00005039">
              <w:rPr>
                <w:rFonts w:asciiTheme="minorHAnsi" w:eastAsia="Calibri" w:hAnsiTheme="minorHAnsi" w:cstheme="minorHAnsi"/>
                <w:b/>
                <w:bCs/>
                <w:color w:val="auto"/>
                <w:sz w:val="18"/>
                <w:szCs w:val="18"/>
              </w:rPr>
              <w:t>2 265 639 044</w:t>
            </w:r>
          </w:p>
        </w:tc>
      </w:tr>
    </w:tbl>
    <w:p w14:paraId="0C6B1AF1" w14:textId="072D05B5" w:rsidR="005648B8" w:rsidRPr="005648B8" w:rsidRDefault="005648B8" w:rsidP="00C6334F">
      <w:pPr>
        <w:spacing w:line="259" w:lineRule="auto"/>
        <w:ind w:right="-569" w:hanging="567"/>
        <w:jc w:val="left"/>
        <w:rPr>
          <w:rFonts w:asciiTheme="minorHAnsi" w:eastAsia="Calibri" w:hAnsiTheme="minorHAnsi" w:cstheme="minorHAnsi"/>
          <w:color w:val="auto"/>
        </w:rPr>
      </w:pPr>
      <w:r w:rsidRPr="005648B8">
        <w:rPr>
          <w:rFonts w:eastAsia="Calibri" w:cs="Times New Roman"/>
          <w:b/>
          <w:iCs/>
          <w:color w:val="auto"/>
          <w:sz w:val="20"/>
          <w:szCs w:val="20"/>
        </w:rPr>
        <w:t>Zdroj:</w:t>
      </w:r>
      <w:r w:rsidRPr="005648B8">
        <w:rPr>
          <w:rFonts w:eastAsia="Calibri" w:cs="Times New Roman"/>
          <w:iCs/>
          <w:color w:val="auto"/>
          <w:sz w:val="20"/>
          <w:szCs w:val="20"/>
        </w:rPr>
        <w:t xml:space="preserve"> </w:t>
      </w:r>
      <w:r>
        <w:rPr>
          <w:rFonts w:eastAsia="Calibri" w:cs="Times New Roman"/>
          <w:iCs/>
          <w:color w:val="auto"/>
          <w:sz w:val="20"/>
          <w:szCs w:val="20"/>
        </w:rPr>
        <w:tab/>
      </w:r>
      <w:r w:rsidR="00F7659E">
        <w:rPr>
          <w:rFonts w:eastAsia="Calibri" w:cs="Times New Roman"/>
          <w:iCs/>
          <w:color w:val="auto"/>
          <w:sz w:val="20"/>
          <w:szCs w:val="20"/>
        </w:rPr>
        <w:t>j</w:t>
      </w:r>
      <w:r w:rsidRPr="005648B8">
        <w:rPr>
          <w:rFonts w:eastAsia="Calibri" w:cs="Times New Roman"/>
          <w:iCs/>
          <w:color w:val="auto"/>
          <w:sz w:val="20"/>
          <w:szCs w:val="20"/>
        </w:rPr>
        <w:t xml:space="preserve">ednotlivá </w:t>
      </w:r>
      <w:r w:rsidR="00F7659E">
        <w:rPr>
          <w:rFonts w:eastAsia="Calibri" w:cs="Times New Roman"/>
          <w:iCs/>
          <w:color w:val="auto"/>
          <w:sz w:val="20"/>
          <w:szCs w:val="20"/>
        </w:rPr>
        <w:t>„</w:t>
      </w:r>
      <w:r w:rsidR="00F7659E" w:rsidRPr="0091358D">
        <w:rPr>
          <w:rFonts w:eastAsia="Calibri" w:cs="Times New Roman"/>
          <w:iCs/>
          <w:color w:val="auto"/>
          <w:sz w:val="20"/>
          <w:szCs w:val="20"/>
        </w:rPr>
        <w:t>r</w:t>
      </w:r>
      <w:r w:rsidRPr="0091358D">
        <w:rPr>
          <w:rFonts w:eastAsia="Calibri" w:cs="Times New Roman"/>
          <w:iCs/>
          <w:color w:val="auto"/>
          <w:sz w:val="20"/>
          <w:szCs w:val="20"/>
        </w:rPr>
        <w:t xml:space="preserve">ozhodnutí </w:t>
      </w:r>
      <w:r w:rsidR="0091358D">
        <w:rPr>
          <w:rFonts w:eastAsia="Calibri" w:cs="Times New Roman"/>
          <w:iCs/>
          <w:color w:val="auto"/>
          <w:sz w:val="20"/>
          <w:szCs w:val="20"/>
        </w:rPr>
        <w:t xml:space="preserve">MPO </w:t>
      </w:r>
      <w:r w:rsidRPr="0091358D">
        <w:rPr>
          <w:rFonts w:eastAsia="Calibri" w:cs="Times New Roman"/>
          <w:iCs/>
          <w:color w:val="auto"/>
          <w:sz w:val="20"/>
          <w:szCs w:val="20"/>
        </w:rPr>
        <w:t>o poskytnutí institucionální podpory na dlouhodobý koncepční rozvoj výzkumné organizace</w:t>
      </w:r>
      <w:r w:rsidR="00F7659E">
        <w:rPr>
          <w:rFonts w:eastAsia="Calibri" w:cs="Times New Roman"/>
          <w:iCs/>
          <w:color w:val="auto"/>
          <w:sz w:val="20"/>
          <w:szCs w:val="20"/>
        </w:rPr>
        <w:t>“</w:t>
      </w:r>
      <w:r w:rsidRPr="005648B8">
        <w:rPr>
          <w:rFonts w:eastAsia="Calibri" w:cs="Times New Roman"/>
          <w:iCs/>
          <w:color w:val="auto"/>
          <w:sz w:val="20"/>
          <w:szCs w:val="20"/>
        </w:rPr>
        <w:t>, včetně schválených změn.</w:t>
      </w:r>
    </w:p>
    <w:sectPr w:rsidR="005648B8" w:rsidRPr="005648B8" w:rsidSect="001303EB">
      <w:footerReference w:type="default" r:id="rId17"/>
      <w:headerReference w:type="first" r:id="rId18"/>
      <w:pgSz w:w="11906" w:h="16838"/>
      <w:pgMar w:top="1418"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86CE7" w14:textId="77777777" w:rsidR="00002176" w:rsidRDefault="00002176" w:rsidP="00D0493E">
      <w:r>
        <w:separator/>
      </w:r>
    </w:p>
  </w:endnote>
  <w:endnote w:type="continuationSeparator" w:id="0">
    <w:p w14:paraId="0FBD5F32" w14:textId="77777777" w:rsidR="00002176" w:rsidRDefault="00002176" w:rsidP="00D0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372727"/>
      <w:docPartObj>
        <w:docPartGallery w:val="Page Numbers (Bottom of Page)"/>
        <w:docPartUnique/>
      </w:docPartObj>
    </w:sdtPr>
    <w:sdtEndPr/>
    <w:sdtContent>
      <w:p w14:paraId="445FEC7E" w14:textId="225604BB" w:rsidR="00002176" w:rsidRDefault="00002176">
        <w:pPr>
          <w:pStyle w:val="Zpat"/>
          <w:jc w:val="center"/>
        </w:pPr>
        <w:r>
          <w:fldChar w:fldCharType="begin"/>
        </w:r>
        <w:r>
          <w:instrText>PAGE   \* MERGEFORMAT</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6DB6" w14:textId="77777777" w:rsidR="00002176" w:rsidRDefault="00002176" w:rsidP="00D0493E">
      <w:r>
        <w:separator/>
      </w:r>
    </w:p>
  </w:footnote>
  <w:footnote w:type="continuationSeparator" w:id="0">
    <w:p w14:paraId="41D1574F" w14:textId="77777777" w:rsidR="00002176" w:rsidRDefault="00002176" w:rsidP="00D0493E">
      <w:r>
        <w:continuationSeparator/>
      </w:r>
    </w:p>
  </w:footnote>
  <w:footnote w:id="1">
    <w:p w14:paraId="6FA4EE51" w14:textId="66BC633C" w:rsidR="00002176" w:rsidRPr="00716090" w:rsidRDefault="00002176" w:rsidP="00C012B2">
      <w:pPr>
        <w:pStyle w:val="Textpoznpodarou"/>
        <w:ind w:left="284" w:hanging="284"/>
        <w:jc w:val="both"/>
      </w:pPr>
      <w:r w:rsidRPr="00716090">
        <w:rPr>
          <w:rStyle w:val="Znakapoznpodarou"/>
        </w:rPr>
        <w:footnoteRef/>
      </w:r>
      <w:r w:rsidRPr="00716090">
        <w:rPr>
          <w:rFonts w:asciiTheme="minorHAnsi" w:hAnsiTheme="minorHAnsi" w:cstheme="minorHAnsi"/>
          <w:iCs/>
          <w:shd w:val="clear" w:color="auto" w:fill="FFFFFF"/>
        </w:rPr>
        <w:t xml:space="preserve"> </w:t>
      </w:r>
      <w:r>
        <w:rPr>
          <w:rFonts w:asciiTheme="minorHAnsi" w:hAnsiTheme="minorHAnsi" w:cstheme="minorHAnsi"/>
          <w:iCs/>
          <w:shd w:val="clear" w:color="auto" w:fill="FFFFFF"/>
        </w:rPr>
        <w:tab/>
      </w:r>
      <w:r w:rsidRPr="00716090">
        <w:rPr>
          <w:rFonts w:asciiTheme="minorHAnsi" w:hAnsiTheme="minorHAnsi" w:cstheme="minorHAnsi"/>
          <w:iCs/>
          <w:shd w:val="clear" w:color="auto" w:fill="FFFFFF"/>
        </w:rPr>
        <w:t>Zákon č. 134/2016 Sb., o zadávání veřejných zakázek (dále jen „zákon o zadávání veřejných zakázek“).</w:t>
      </w:r>
    </w:p>
  </w:footnote>
  <w:footnote w:id="2">
    <w:p w14:paraId="0430E2F1" w14:textId="6FE105C9" w:rsidR="00002176" w:rsidRPr="00716090" w:rsidRDefault="00002176" w:rsidP="004731E6">
      <w:pPr>
        <w:pStyle w:val="Textpoznpodarou"/>
        <w:ind w:left="284" w:hanging="284"/>
        <w:jc w:val="both"/>
        <w:rPr>
          <w:rFonts w:asciiTheme="minorHAnsi" w:hAnsiTheme="minorHAnsi" w:cstheme="minorHAnsi"/>
          <w:iCs/>
          <w:shd w:val="clear" w:color="auto" w:fill="FFFFFF"/>
        </w:rPr>
      </w:pPr>
      <w:r w:rsidRPr="00716090">
        <w:rPr>
          <w:rStyle w:val="Znakapoznpodarou"/>
          <w:rFonts w:asciiTheme="minorHAnsi" w:hAnsiTheme="minorHAnsi" w:cstheme="minorHAnsi"/>
        </w:rPr>
        <w:footnoteRef/>
      </w:r>
      <w:r w:rsidRPr="00716090">
        <w:rPr>
          <w:rFonts w:asciiTheme="minorHAnsi" w:hAnsiTheme="minorHAnsi" w:cstheme="minorHAnsi"/>
        </w:rPr>
        <w:t xml:space="preserve"> </w:t>
      </w:r>
      <w:r>
        <w:rPr>
          <w:rFonts w:asciiTheme="minorHAnsi" w:hAnsiTheme="minorHAnsi" w:cstheme="minorHAnsi"/>
        </w:rPr>
        <w:tab/>
      </w:r>
      <w:r w:rsidRPr="00716090">
        <w:rPr>
          <w:rFonts w:asciiTheme="minorHAnsi" w:hAnsiTheme="minorHAnsi" w:cstheme="minorHAnsi"/>
          <w:iCs/>
          <w:shd w:val="clear" w:color="auto" w:fill="FFFFFF"/>
        </w:rPr>
        <w:t>Zákon č. 130/2002 Sb., o podpoře výzkumu, experimentálního vývoje a inovací z veřejných prostředků a o změně některých souvisejících zákonů (zákon o podpoře výzkumu, experimentálního vývoje a inovací).</w:t>
      </w:r>
    </w:p>
  </w:footnote>
  <w:footnote w:id="3">
    <w:p w14:paraId="50FCCC0C" w14:textId="4C948E29" w:rsidR="00002176" w:rsidRPr="00716090" w:rsidRDefault="00002176" w:rsidP="004731E6">
      <w:pPr>
        <w:pStyle w:val="Textpoznpodarou"/>
        <w:ind w:left="284" w:hanging="284"/>
        <w:jc w:val="both"/>
      </w:pPr>
      <w:r w:rsidRPr="00716090">
        <w:rPr>
          <w:rStyle w:val="Znakapoznpodarou"/>
        </w:rPr>
        <w:footnoteRef/>
      </w:r>
      <w:r w:rsidRPr="00716090">
        <w:t xml:space="preserve"> </w:t>
      </w:r>
      <w:r>
        <w:tab/>
      </w:r>
      <w:r w:rsidRPr="00716090">
        <w:rPr>
          <w:rFonts w:asciiTheme="minorHAnsi" w:hAnsiTheme="minorHAnsi" w:cstheme="minorHAnsi"/>
          <w:iCs/>
          <w:shd w:val="clear" w:color="auto" w:fill="FFFFFF"/>
        </w:rPr>
        <w:t>Kontrolní akce</w:t>
      </w:r>
      <w:r>
        <w:rPr>
          <w:rFonts w:asciiTheme="minorHAnsi" w:hAnsiTheme="minorHAnsi" w:cstheme="minorHAnsi"/>
          <w:iCs/>
          <w:shd w:val="clear" w:color="auto" w:fill="FFFFFF"/>
        </w:rPr>
        <w:t xml:space="preserve"> NKÚ</w:t>
      </w:r>
      <w:r w:rsidRPr="00716090">
        <w:rPr>
          <w:rFonts w:asciiTheme="minorHAnsi" w:hAnsiTheme="minorHAnsi" w:cstheme="minorHAnsi"/>
          <w:iCs/>
          <w:shd w:val="clear" w:color="auto" w:fill="FFFFFF"/>
        </w:rPr>
        <w:t xml:space="preserve"> č. 17/15 </w:t>
      </w:r>
      <w:r>
        <w:rPr>
          <w:rFonts w:asciiTheme="minorHAnsi" w:hAnsiTheme="minorHAnsi" w:cstheme="minorHAnsi"/>
          <w:iCs/>
          <w:shd w:val="clear" w:color="auto" w:fill="FFFFFF"/>
        </w:rPr>
        <w:t xml:space="preserve">– </w:t>
      </w:r>
      <w:r w:rsidRPr="004731E6">
        <w:rPr>
          <w:rFonts w:asciiTheme="minorHAnsi" w:hAnsiTheme="minorHAnsi" w:cstheme="minorHAnsi"/>
          <w:i/>
          <w:iCs/>
          <w:shd w:val="clear" w:color="auto" w:fill="FFFFFF"/>
        </w:rPr>
        <w:t>Peněžní prostředky státu na výzkum, vývoj a inovace</w:t>
      </w:r>
      <w:r w:rsidRPr="00716090">
        <w:rPr>
          <w:rFonts w:asciiTheme="minorHAnsi" w:hAnsiTheme="minorHAnsi" w:cstheme="minorHAnsi"/>
          <w:iCs/>
          <w:shd w:val="clear" w:color="auto" w:fill="FFFFFF"/>
        </w:rPr>
        <w:t>.</w:t>
      </w:r>
    </w:p>
  </w:footnote>
  <w:footnote w:id="4">
    <w:p w14:paraId="0FC06971" w14:textId="0FD21942" w:rsidR="00002176" w:rsidRDefault="00002176" w:rsidP="004731E6">
      <w:pPr>
        <w:pStyle w:val="Textpoznpodarou"/>
        <w:ind w:left="284" w:hanging="284"/>
        <w:jc w:val="both"/>
      </w:pPr>
      <w:r w:rsidRPr="00716090">
        <w:rPr>
          <w:rStyle w:val="Znakapoznpodarou"/>
        </w:rPr>
        <w:footnoteRef/>
      </w:r>
      <w:r w:rsidRPr="00716090">
        <w:t xml:space="preserve"> </w:t>
      </w:r>
      <w:r>
        <w:tab/>
      </w:r>
      <w:r w:rsidRPr="004731E6">
        <w:rPr>
          <w:i/>
        </w:rPr>
        <w:t>Metodika hodnocení výzkumných organizací a hodnocení programů účelové podpory výzkumu, vývoje a inovací</w:t>
      </w:r>
      <w:r w:rsidRPr="00716090">
        <w:t xml:space="preserve"> schválená usnesením vlády České republiky ze dne 8. února 2017 č. 107.</w:t>
      </w:r>
    </w:p>
  </w:footnote>
  <w:footnote w:id="5">
    <w:p w14:paraId="578C0DFD" w14:textId="7A1EA42A" w:rsidR="00002176" w:rsidRDefault="00002176" w:rsidP="004731E6">
      <w:pPr>
        <w:pStyle w:val="Textpoznpodarou"/>
        <w:ind w:left="284" w:hanging="284"/>
        <w:jc w:val="both"/>
      </w:pPr>
      <w:r>
        <w:rPr>
          <w:rStyle w:val="Znakapoznpodarou"/>
        </w:rPr>
        <w:footnoteRef/>
      </w:r>
      <w:r>
        <w:t xml:space="preserve"> </w:t>
      </w:r>
      <w:r>
        <w:tab/>
        <w:t xml:space="preserve">Např. náklady spojené s provozem organizace a jejích budov, mzdové náklady na vedení společnosti, </w:t>
      </w:r>
      <w:r>
        <w:rPr>
          <w:rFonts w:asciiTheme="minorHAnsi" w:eastAsiaTheme="minorHAnsi" w:hAnsiTheme="minorHAnsi" w:cstheme="minorHAnsi"/>
        </w:rPr>
        <w:t>kofinancování spoluúčasti na projektech Evropské unie anebo náklady na pokrytí rozdílu mezi skutečnými a uplatnitelnými náklady u projektů financovaných z účelové podpory.</w:t>
      </w:r>
    </w:p>
  </w:footnote>
  <w:footnote w:id="6">
    <w:p w14:paraId="4BC66F67" w14:textId="1B13E800" w:rsidR="00002176" w:rsidRDefault="00002176" w:rsidP="004731E6">
      <w:pPr>
        <w:pStyle w:val="Textpoznpodarou"/>
        <w:ind w:left="284" w:hanging="284"/>
        <w:jc w:val="both"/>
      </w:pPr>
      <w:r>
        <w:rPr>
          <w:rStyle w:val="Znakapoznpodarou"/>
        </w:rPr>
        <w:footnoteRef/>
      </w:r>
      <w:r>
        <w:t xml:space="preserve"> </w:t>
      </w:r>
      <w:r>
        <w:tab/>
      </w:r>
      <w:r>
        <w:rPr>
          <w:lang w:eastAsia="cs-CZ"/>
        </w:rPr>
        <w:t xml:space="preserve">Sdělení Evropské komise: </w:t>
      </w:r>
      <w:r w:rsidRPr="004731E6">
        <w:rPr>
          <w:i/>
          <w:lang w:eastAsia="cs-CZ"/>
        </w:rPr>
        <w:t>Rámec pro státní podporu výzkumu, vývoje a inovací</w:t>
      </w:r>
      <w:r>
        <w:rPr>
          <w:lang w:eastAsia="cs-CZ"/>
        </w:rPr>
        <w:t xml:space="preserve"> (2014/C 198/01).</w:t>
      </w:r>
    </w:p>
  </w:footnote>
  <w:footnote w:id="7">
    <w:p w14:paraId="5D8C4CD6" w14:textId="2A05AA0D" w:rsidR="00002176" w:rsidRDefault="00002176" w:rsidP="004731E6">
      <w:pPr>
        <w:pStyle w:val="Textpoznpodarou"/>
        <w:ind w:left="284" w:hanging="284"/>
        <w:jc w:val="both"/>
      </w:pPr>
      <w:r>
        <w:rPr>
          <w:rStyle w:val="Znakapoznpodarou"/>
        </w:rPr>
        <w:footnoteRef/>
      </w:r>
      <w:r>
        <w:t xml:space="preserve"> </w:t>
      </w:r>
      <w:r>
        <w:tab/>
      </w:r>
      <w:r w:rsidRPr="0077696E">
        <w:t>Ustanovení § 44 odst. 1 písm. b) zákona č. 218/2000 Sb., o rozpočtových pravidlech a o změně některých souvisejících zákonů (rozpočtová pravidla).</w:t>
      </w:r>
    </w:p>
  </w:footnote>
  <w:footnote w:id="8">
    <w:p w14:paraId="2EC3FBE4" w14:textId="1D244006" w:rsidR="00002176" w:rsidRPr="00B43549" w:rsidRDefault="00002176" w:rsidP="004731E6">
      <w:pPr>
        <w:pStyle w:val="Textpoznpodarou"/>
        <w:ind w:left="284" w:hanging="284"/>
        <w:jc w:val="both"/>
      </w:pPr>
      <w:r w:rsidRPr="00B43549">
        <w:rPr>
          <w:rStyle w:val="Znakapoznpodarou"/>
          <w:rFonts w:eastAsiaTheme="majorEastAsia"/>
        </w:rPr>
        <w:footnoteRef/>
      </w:r>
      <w:r w:rsidRPr="00B43549">
        <w:t xml:space="preserve"> </w:t>
      </w:r>
      <w:r>
        <w:tab/>
      </w:r>
      <w:r w:rsidRPr="00B43549">
        <w:t xml:space="preserve">Usnesení vlády České republiky ze dne 8. února 2017 č. 107, </w:t>
      </w:r>
      <w:r w:rsidRPr="004731E6">
        <w:rPr>
          <w:i/>
        </w:rPr>
        <w:t>o Metodice hodnocení výzkumných organizací a hodnocení programů účelové podpory výzkumu, vývoje a inovací</w:t>
      </w:r>
      <w:r w:rsidRPr="00B43549">
        <w:t>.</w:t>
      </w:r>
    </w:p>
  </w:footnote>
  <w:footnote w:id="9">
    <w:p w14:paraId="435A1677" w14:textId="71B2E9B0" w:rsidR="00002176" w:rsidRPr="00B43549" w:rsidRDefault="00002176" w:rsidP="00002176">
      <w:pPr>
        <w:pStyle w:val="Textpoznpodarou"/>
        <w:ind w:left="284" w:hanging="284"/>
      </w:pPr>
      <w:r w:rsidRPr="00B43549">
        <w:rPr>
          <w:rStyle w:val="Znakapoznpodarou"/>
          <w:rFonts w:eastAsiaTheme="majorEastAsia"/>
        </w:rPr>
        <w:footnoteRef/>
      </w:r>
      <w:r w:rsidRPr="00B43549">
        <w:t xml:space="preserve"> </w:t>
      </w:r>
      <w:r>
        <w:tab/>
      </w:r>
      <w:r w:rsidRPr="00B43549">
        <w:t xml:space="preserve">Seznam výzkumných organizací </w:t>
      </w:r>
      <w:r>
        <w:t>je d</w:t>
      </w:r>
      <w:r w:rsidRPr="00B43549">
        <w:t xml:space="preserve">ostupný z: </w:t>
      </w:r>
      <w:hyperlink r:id="rId1" w:history="1">
        <w:r w:rsidRPr="007878BD">
          <w:rPr>
            <w:rStyle w:val="Hypertextovodkaz"/>
          </w:rPr>
          <w:t>https://www.msmt.cz/vyzkum-a-vyvoj-2/seznam-vyzkumnych-organizaci</w:t>
        </w:r>
      </w:hyperlink>
      <w:r>
        <w:t>.</w:t>
      </w:r>
    </w:p>
  </w:footnote>
  <w:footnote w:id="10">
    <w:p w14:paraId="7827F431" w14:textId="29172AE9" w:rsidR="00002176" w:rsidRPr="00B43549" w:rsidRDefault="00002176" w:rsidP="004731E6">
      <w:pPr>
        <w:pStyle w:val="Textpoznpodarou"/>
        <w:ind w:left="284" w:hanging="284"/>
        <w:jc w:val="both"/>
      </w:pPr>
      <w:r w:rsidRPr="00B43549">
        <w:rPr>
          <w:rStyle w:val="Znakapoznpodarou"/>
        </w:rPr>
        <w:footnoteRef/>
      </w:r>
      <w:r w:rsidRPr="00B43549">
        <w:t xml:space="preserve"> </w:t>
      </w:r>
      <w:r>
        <w:tab/>
      </w:r>
      <w:r w:rsidRPr="00B43549">
        <w:t>Dle ustanovení § 2 písm. o) zákona č. 320/2001 Sb., o finanční kontrole ve veřejné správě a o změně některých zákonů (zákon o finanční kontrole).</w:t>
      </w:r>
    </w:p>
  </w:footnote>
  <w:footnote w:id="11">
    <w:p w14:paraId="2FCFE467" w14:textId="78D5EDD4" w:rsidR="00002176" w:rsidRPr="00B43549" w:rsidRDefault="00002176" w:rsidP="004731E6">
      <w:pPr>
        <w:pStyle w:val="Textpoznpodarou"/>
        <w:ind w:left="284" w:hanging="284"/>
      </w:pPr>
      <w:r w:rsidRPr="00B43549">
        <w:rPr>
          <w:rStyle w:val="Znakapoznpodarou"/>
        </w:rPr>
        <w:footnoteRef/>
      </w:r>
      <w:r w:rsidRPr="00B43549">
        <w:t xml:space="preserve"> </w:t>
      </w:r>
      <w:r>
        <w:tab/>
      </w:r>
      <w:r w:rsidRPr="00B43549">
        <w:t>Dle ustanovení § 2 písm. m) zákona o finanční kontrole.</w:t>
      </w:r>
    </w:p>
  </w:footnote>
  <w:footnote w:id="12">
    <w:p w14:paraId="557A0CC6" w14:textId="4211DF44" w:rsidR="00002176" w:rsidRPr="00602087" w:rsidRDefault="00002176" w:rsidP="004731E6">
      <w:pPr>
        <w:pStyle w:val="Textpoznpodarou"/>
        <w:ind w:left="284" w:hanging="284"/>
        <w:rPr>
          <w:sz w:val="18"/>
          <w:szCs w:val="18"/>
        </w:rPr>
      </w:pPr>
      <w:r w:rsidRPr="00B43549">
        <w:rPr>
          <w:rStyle w:val="Znakapoznpodarou"/>
        </w:rPr>
        <w:footnoteRef/>
      </w:r>
      <w:r w:rsidRPr="00B43549">
        <w:t xml:space="preserve"> </w:t>
      </w:r>
      <w:r>
        <w:tab/>
      </w:r>
      <w:r w:rsidRPr="00B43549">
        <w:t>Dle ustanovení § 2 písm. n) zákona o finanční kontrole.</w:t>
      </w:r>
    </w:p>
  </w:footnote>
  <w:footnote w:id="13">
    <w:p w14:paraId="6DD23DFC" w14:textId="55A12107" w:rsidR="00002176" w:rsidRPr="00B43549" w:rsidRDefault="00002176" w:rsidP="004731E6">
      <w:pPr>
        <w:pStyle w:val="Textpoznpodarou"/>
        <w:ind w:left="284" w:hanging="284"/>
        <w:jc w:val="both"/>
      </w:pPr>
      <w:r w:rsidRPr="00B43549">
        <w:rPr>
          <w:rStyle w:val="Znakapoznpodarou"/>
        </w:rPr>
        <w:footnoteRef/>
      </w:r>
      <w:r w:rsidRPr="00B43549">
        <w:t xml:space="preserve"> </w:t>
      </w:r>
      <w:r>
        <w:tab/>
      </w:r>
      <w:r w:rsidRPr="00B43549">
        <w:t xml:space="preserve">Uvedeno v usnesení vlády České republiky ze dne 7. listopadu 2018 č. 722, </w:t>
      </w:r>
      <w:r w:rsidRPr="00C6334F">
        <w:rPr>
          <w:i/>
        </w:rPr>
        <w:t>ke Kontrolnímu závěru Nejvyššího kontrolního úřadu z</w:t>
      </w:r>
      <w:r>
        <w:rPr>
          <w:i/>
        </w:rPr>
        <w:t xml:space="preserve"> </w:t>
      </w:r>
      <w:r w:rsidRPr="00C6334F">
        <w:rPr>
          <w:i/>
        </w:rPr>
        <w:t>kontrolní akce č.</w:t>
      </w:r>
      <w:r>
        <w:rPr>
          <w:i/>
        </w:rPr>
        <w:t xml:space="preserve"> </w:t>
      </w:r>
      <w:r w:rsidRPr="00C6334F">
        <w:rPr>
          <w:i/>
        </w:rPr>
        <w:t>17/15 „Peněžní prostředky státu na výzkum, vývoj a inovace“</w:t>
      </w:r>
      <w:r w:rsidRPr="00B43549">
        <w:t>.</w:t>
      </w:r>
    </w:p>
  </w:footnote>
  <w:footnote w:id="14">
    <w:p w14:paraId="22FDF75A" w14:textId="6554DDE4" w:rsidR="00002176" w:rsidRDefault="00002176" w:rsidP="004731E6">
      <w:pPr>
        <w:pStyle w:val="Textpoznpodarou"/>
        <w:ind w:left="284" w:hanging="284"/>
      </w:pPr>
      <w:r w:rsidRPr="00B43549">
        <w:rPr>
          <w:rStyle w:val="Znakapoznpodarou"/>
        </w:rPr>
        <w:footnoteRef/>
      </w:r>
      <w:r w:rsidRPr="00B43549">
        <w:t xml:space="preserve"> </w:t>
      </w:r>
      <w:r>
        <w:tab/>
      </w:r>
      <w:r w:rsidRPr="00B43549">
        <w:t>Zákon č. 218/2000 Sb., o rozpočtových pravidlech a o změně některých souvisejících zákonů (rozpočtová pravidla).</w:t>
      </w:r>
    </w:p>
  </w:footnote>
  <w:footnote w:id="15">
    <w:p w14:paraId="6476BD64" w14:textId="4A7C44E1" w:rsidR="00002176" w:rsidRDefault="00002176" w:rsidP="004731E6">
      <w:pPr>
        <w:pStyle w:val="Textpoznpodarou"/>
        <w:ind w:left="284" w:hanging="284"/>
      </w:pPr>
      <w:r>
        <w:rPr>
          <w:rStyle w:val="Znakapoznpodarou"/>
        </w:rPr>
        <w:footnoteRef/>
      </w:r>
      <w:r>
        <w:t xml:space="preserve"> </w:t>
      </w:r>
      <w:r>
        <w:tab/>
        <w:t>Program aplikovaného výzkumu a experimentálního vývoje TRIO.</w:t>
      </w:r>
    </w:p>
  </w:footnote>
  <w:footnote w:id="16">
    <w:p w14:paraId="790E984D" w14:textId="415DDC4F" w:rsidR="00002176" w:rsidRDefault="00002176" w:rsidP="004731E6">
      <w:pPr>
        <w:pStyle w:val="Textpoznpodarou"/>
        <w:ind w:left="284" w:hanging="284"/>
        <w:jc w:val="both"/>
      </w:pPr>
      <w:r w:rsidRPr="00252FA9">
        <w:rPr>
          <w:rStyle w:val="Znakapoznpodarou"/>
        </w:rPr>
        <w:footnoteRef/>
      </w:r>
      <w:r w:rsidRPr="00252FA9">
        <w:t xml:space="preserve"> </w:t>
      </w:r>
      <w:r>
        <w:tab/>
        <w:t>Činnosti n</w:t>
      </w:r>
      <w:r w:rsidRPr="00252FA9">
        <w:t xml:space="preserve">ehospodářské </w:t>
      </w:r>
      <w:r>
        <w:t>povahy</w:t>
      </w:r>
      <w:r w:rsidRPr="00252FA9">
        <w:t xml:space="preserve"> jsou </w:t>
      </w:r>
      <w:r>
        <w:t>uvedeny</w:t>
      </w:r>
      <w:r w:rsidRPr="00252FA9">
        <w:t xml:space="preserve"> v části 2.1 </w:t>
      </w:r>
      <w:r>
        <w:t xml:space="preserve">v </w:t>
      </w:r>
      <w:r w:rsidRPr="00252FA9">
        <w:t>bod</w:t>
      </w:r>
      <w:r>
        <w:t>u</w:t>
      </w:r>
      <w:r w:rsidRPr="00252FA9">
        <w:t xml:space="preserve"> 19 </w:t>
      </w:r>
      <w:r w:rsidRPr="00C6334F">
        <w:rPr>
          <w:i/>
          <w:lang w:eastAsia="cs-CZ"/>
        </w:rPr>
        <w:t>Rámce pro státní podporu výzkumu, vývoje a inovací</w:t>
      </w:r>
      <w:r>
        <w:rPr>
          <w:lang w:eastAsia="cs-CZ"/>
        </w:rPr>
        <w:t xml:space="preserve"> a jedná se o primární činnosti výzkumných organizací a výzkumných infrastruktur (vzdělávání, nezávislý výzkum a vývoj, veřejné šíření výsledků výzkumu) a činnosti v rámci transferu znalostí.</w:t>
      </w:r>
    </w:p>
  </w:footnote>
  <w:footnote w:id="17">
    <w:p w14:paraId="2458A1AE" w14:textId="45FCA761" w:rsidR="00002176" w:rsidRDefault="00002176" w:rsidP="004731E6">
      <w:pPr>
        <w:pStyle w:val="Textpoznpodarou"/>
        <w:ind w:left="284" w:hanging="284"/>
        <w:jc w:val="both"/>
      </w:pPr>
      <w:r w:rsidRPr="00755A98">
        <w:rPr>
          <w:rStyle w:val="Znakapoznpodarou"/>
        </w:rPr>
        <w:footnoteRef/>
      </w:r>
      <w:r w:rsidRPr="00755A98">
        <w:t xml:space="preserve"> </w:t>
      </w:r>
      <w:r>
        <w:tab/>
      </w:r>
      <w:r w:rsidRPr="00755A98">
        <w:t>Spin-off je obchodní společnost určená ke komercializaci nového poznatku (vynálezu, objevu apod.). Jedná se o start-up založený za účelem rozvoje vynálezu nebo jiného duševního vlastnictví. Rizika i komerční aktivity se tím z výzkumné sféry přesunou do sféry komerční.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908C" w14:textId="77777777" w:rsidR="00002176" w:rsidRDefault="00002176" w:rsidP="00972D3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904"/>
    <w:multiLevelType w:val="hybridMultilevel"/>
    <w:tmpl w:val="5BB461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06D31"/>
    <w:multiLevelType w:val="hybridMultilevel"/>
    <w:tmpl w:val="7D86DE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94FB8"/>
    <w:multiLevelType w:val="hybridMultilevel"/>
    <w:tmpl w:val="BE704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03601D"/>
    <w:multiLevelType w:val="hybridMultilevel"/>
    <w:tmpl w:val="0144F5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E59D1"/>
    <w:multiLevelType w:val="hybridMultilevel"/>
    <w:tmpl w:val="EB2E0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0B56B1"/>
    <w:multiLevelType w:val="hybridMultilevel"/>
    <w:tmpl w:val="10223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E61BF7"/>
    <w:multiLevelType w:val="hybridMultilevel"/>
    <w:tmpl w:val="0772FF0C"/>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3562AF"/>
    <w:multiLevelType w:val="hybridMultilevel"/>
    <w:tmpl w:val="F482E3A6"/>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3333901"/>
    <w:multiLevelType w:val="hybridMultilevel"/>
    <w:tmpl w:val="17E029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991894"/>
    <w:multiLevelType w:val="hybridMultilevel"/>
    <w:tmpl w:val="4E4AF01E"/>
    <w:lvl w:ilvl="0" w:tplc="823EF330">
      <w:start w:val="1"/>
      <w:numFmt w:val="decimal"/>
      <w:pStyle w:val="Nadpis2"/>
      <w:lvlText w:val="%1."/>
      <w:lvlJc w:val="left"/>
      <w:pPr>
        <w:ind w:left="501" w:hanging="360"/>
      </w:pPr>
    </w:lvl>
    <w:lvl w:ilvl="1" w:tplc="04050019" w:tentative="1">
      <w:start w:val="1"/>
      <w:numFmt w:val="lowerLetter"/>
      <w:lvlText w:val="%2."/>
      <w:lvlJc w:val="left"/>
      <w:pPr>
        <w:ind w:left="2924" w:hanging="360"/>
      </w:pPr>
    </w:lvl>
    <w:lvl w:ilvl="2" w:tplc="0405001B" w:tentative="1">
      <w:start w:val="1"/>
      <w:numFmt w:val="lowerRoman"/>
      <w:lvlText w:val="%3."/>
      <w:lvlJc w:val="right"/>
      <w:pPr>
        <w:ind w:left="3644" w:hanging="180"/>
      </w:pPr>
    </w:lvl>
    <w:lvl w:ilvl="3" w:tplc="0405000F" w:tentative="1">
      <w:start w:val="1"/>
      <w:numFmt w:val="decimal"/>
      <w:lvlText w:val="%4."/>
      <w:lvlJc w:val="left"/>
      <w:pPr>
        <w:ind w:left="4364" w:hanging="360"/>
      </w:pPr>
    </w:lvl>
    <w:lvl w:ilvl="4" w:tplc="04050019" w:tentative="1">
      <w:start w:val="1"/>
      <w:numFmt w:val="lowerLetter"/>
      <w:lvlText w:val="%5."/>
      <w:lvlJc w:val="left"/>
      <w:pPr>
        <w:ind w:left="5084" w:hanging="360"/>
      </w:pPr>
    </w:lvl>
    <w:lvl w:ilvl="5" w:tplc="0405001B" w:tentative="1">
      <w:start w:val="1"/>
      <w:numFmt w:val="lowerRoman"/>
      <w:lvlText w:val="%6."/>
      <w:lvlJc w:val="right"/>
      <w:pPr>
        <w:ind w:left="5804" w:hanging="180"/>
      </w:pPr>
    </w:lvl>
    <w:lvl w:ilvl="6" w:tplc="0405000F" w:tentative="1">
      <w:start w:val="1"/>
      <w:numFmt w:val="decimal"/>
      <w:lvlText w:val="%7."/>
      <w:lvlJc w:val="left"/>
      <w:pPr>
        <w:ind w:left="6524" w:hanging="360"/>
      </w:pPr>
    </w:lvl>
    <w:lvl w:ilvl="7" w:tplc="04050019" w:tentative="1">
      <w:start w:val="1"/>
      <w:numFmt w:val="lowerLetter"/>
      <w:lvlText w:val="%8."/>
      <w:lvlJc w:val="left"/>
      <w:pPr>
        <w:ind w:left="7244" w:hanging="360"/>
      </w:pPr>
    </w:lvl>
    <w:lvl w:ilvl="8" w:tplc="0405001B" w:tentative="1">
      <w:start w:val="1"/>
      <w:numFmt w:val="lowerRoman"/>
      <w:lvlText w:val="%9."/>
      <w:lvlJc w:val="right"/>
      <w:pPr>
        <w:ind w:left="7964" w:hanging="180"/>
      </w:pPr>
    </w:lvl>
  </w:abstractNum>
  <w:abstractNum w:abstractNumId="10" w15:restartNumberingAfterBreak="0">
    <w:nsid w:val="16A14B21"/>
    <w:multiLevelType w:val="hybridMultilevel"/>
    <w:tmpl w:val="39666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224AF1"/>
    <w:multiLevelType w:val="hybridMultilevel"/>
    <w:tmpl w:val="73249DFA"/>
    <w:lvl w:ilvl="0" w:tplc="1A26685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65441F"/>
    <w:multiLevelType w:val="hybridMultilevel"/>
    <w:tmpl w:val="D43A2C8A"/>
    <w:lvl w:ilvl="0" w:tplc="04050011">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3" w15:restartNumberingAfterBreak="0">
    <w:nsid w:val="1BD86C95"/>
    <w:multiLevelType w:val="hybridMultilevel"/>
    <w:tmpl w:val="CC4C2E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BC70CA"/>
    <w:multiLevelType w:val="hybridMultilevel"/>
    <w:tmpl w:val="AE4AC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8A30F0"/>
    <w:multiLevelType w:val="hybridMultilevel"/>
    <w:tmpl w:val="6DE6A7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955B40"/>
    <w:multiLevelType w:val="hybridMultilevel"/>
    <w:tmpl w:val="F14A5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AD59F0"/>
    <w:multiLevelType w:val="hybridMultilevel"/>
    <w:tmpl w:val="8E8406BE"/>
    <w:lvl w:ilvl="0" w:tplc="46E2C65A">
      <w:start w:val="1"/>
      <w:numFmt w:val="decimal"/>
      <w:lvlText w:val="%1."/>
      <w:lvlJc w:val="left"/>
      <w:pPr>
        <w:ind w:left="643"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254E24"/>
    <w:multiLevelType w:val="hybridMultilevel"/>
    <w:tmpl w:val="12C45C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04381D"/>
    <w:multiLevelType w:val="hybridMultilevel"/>
    <w:tmpl w:val="7130B816"/>
    <w:lvl w:ilvl="0" w:tplc="D290A0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8C0641"/>
    <w:multiLevelType w:val="hybridMultilevel"/>
    <w:tmpl w:val="45F66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B011AD"/>
    <w:multiLevelType w:val="hybridMultilevel"/>
    <w:tmpl w:val="87F67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FA1911"/>
    <w:multiLevelType w:val="hybridMultilevel"/>
    <w:tmpl w:val="F68E3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DE3CD4"/>
    <w:multiLevelType w:val="hybridMultilevel"/>
    <w:tmpl w:val="AA4492B6"/>
    <w:lvl w:ilvl="0" w:tplc="5822614E">
      <w:start w:val="1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BF013A"/>
    <w:multiLevelType w:val="hybridMultilevel"/>
    <w:tmpl w:val="57408920"/>
    <w:lvl w:ilvl="0" w:tplc="190AD8D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3C2625"/>
    <w:multiLevelType w:val="hybridMultilevel"/>
    <w:tmpl w:val="3EACB0A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4A11DA"/>
    <w:multiLevelType w:val="hybridMultilevel"/>
    <w:tmpl w:val="2884C8BA"/>
    <w:lvl w:ilvl="0" w:tplc="03EE137E">
      <w:start w:val="1"/>
      <w:numFmt w:val="lowerLetter"/>
      <w:lvlText w:val="%1)"/>
      <w:lvlJc w:val="left"/>
      <w:pPr>
        <w:ind w:left="720" w:hanging="360"/>
      </w:pPr>
      <w:rPr>
        <w:rFonts w:hint="default"/>
      </w:rPr>
    </w:lvl>
    <w:lvl w:ilvl="1" w:tplc="0A28E41E">
      <w:start w:val="1"/>
      <w:numFmt w:val="lowerLetter"/>
      <w:lvlText w:val="%2."/>
      <w:lvlJc w:val="left"/>
      <w:pPr>
        <w:ind w:left="1440" w:hanging="360"/>
      </w:pPr>
    </w:lvl>
    <w:lvl w:ilvl="2" w:tplc="D0E2FFC0" w:tentative="1">
      <w:start w:val="1"/>
      <w:numFmt w:val="lowerRoman"/>
      <w:lvlText w:val="%3."/>
      <w:lvlJc w:val="right"/>
      <w:pPr>
        <w:ind w:left="2160" w:hanging="180"/>
      </w:pPr>
    </w:lvl>
    <w:lvl w:ilvl="3" w:tplc="382E955E" w:tentative="1">
      <w:start w:val="1"/>
      <w:numFmt w:val="decimal"/>
      <w:lvlText w:val="%4."/>
      <w:lvlJc w:val="left"/>
      <w:pPr>
        <w:ind w:left="2880" w:hanging="360"/>
      </w:pPr>
    </w:lvl>
    <w:lvl w:ilvl="4" w:tplc="E638B3A0" w:tentative="1">
      <w:start w:val="1"/>
      <w:numFmt w:val="lowerLetter"/>
      <w:lvlText w:val="%5."/>
      <w:lvlJc w:val="left"/>
      <w:pPr>
        <w:ind w:left="3600" w:hanging="360"/>
      </w:pPr>
    </w:lvl>
    <w:lvl w:ilvl="5" w:tplc="743E0ECC" w:tentative="1">
      <w:start w:val="1"/>
      <w:numFmt w:val="lowerRoman"/>
      <w:lvlText w:val="%6."/>
      <w:lvlJc w:val="right"/>
      <w:pPr>
        <w:ind w:left="4320" w:hanging="180"/>
      </w:pPr>
    </w:lvl>
    <w:lvl w:ilvl="6" w:tplc="00D082E2" w:tentative="1">
      <w:start w:val="1"/>
      <w:numFmt w:val="decimal"/>
      <w:lvlText w:val="%7."/>
      <w:lvlJc w:val="left"/>
      <w:pPr>
        <w:ind w:left="5040" w:hanging="360"/>
      </w:pPr>
    </w:lvl>
    <w:lvl w:ilvl="7" w:tplc="BC14C158" w:tentative="1">
      <w:start w:val="1"/>
      <w:numFmt w:val="lowerLetter"/>
      <w:lvlText w:val="%8."/>
      <w:lvlJc w:val="left"/>
      <w:pPr>
        <w:ind w:left="5760" w:hanging="360"/>
      </w:pPr>
    </w:lvl>
    <w:lvl w:ilvl="8" w:tplc="FC68AAF0" w:tentative="1">
      <w:start w:val="1"/>
      <w:numFmt w:val="lowerRoman"/>
      <w:lvlText w:val="%9."/>
      <w:lvlJc w:val="right"/>
      <w:pPr>
        <w:ind w:left="6480" w:hanging="180"/>
      </w:pPr>
    </w:lvl>
  </w:abstractNum>
  <w:abstractNum w:abstractNumId="27" w15:restartNumberingAfterBreak="0">
    <w:nsid w:val="47740286"/>
    <w:multiLevelType w:val="hybridMultilevel"/>
    <w:tmpl w:val="F57C5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FF6602"/>
    <w:multiLevelType w:val="hybridMultilevel"/>
    <w:tmpl w:val="A12C87C4"/>
    <w:lvl w:ilvl="0" w:tplc="04050001">
      <w:start w:val="1"/>
      <w:numFmt w:val="bullet"/>
      <w:lvlText w:val=""/>
      <w:lvlJc w:val="left"/>
      <w:pPr>
        <w:ind w:left="720" w:hanging="360"/>
      </w:pPr>
      <w:rPr>
        <w:rFonts w:ascii="Symbol" w:hAnsi="Symbol" w:hint="default"/>
      </w:rPr>
    </w:lvl>
    <w:lvl w:ilvl="1" w:tplc="333CE2DC">
      <w:start w:val="2017"/>
      <w:numFmt w:val="bullet"/>
      <w:lvlText w:val="-"/>
      <w:lvlJc w:val="left"/>
      <w:pPr>
        <w:ind w:left="727"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B91997"/>
    <w:multiLevelType w:val="hybridMultilevel"/>
    <w:tmpl w:val="99889F98"/>
    <w:lvl w:ilvl="0" w:tplc="1A56ADFE">
      <w:start w:val="12"/>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3B0848"/>
    <w:multiLevelType w:val="hybridMultilevel"/>
    <w:tmpl w:val="E46A4E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800C45"/>
    <w:multiLevelType w:val="hybridMultilevel"/>
    <w:tmpl w:val="BF2EEA46"/>
    <w:lvl w:ilvl="0" w:tplc="60A076C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767B62"/>
    <w:multiLevelType w:val="hybridMultilevel"/>
    <w:tmpl w:val="80B085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487E3F"/>
    <w:multiLevelType w:val="hybridMultilevel"/>
    <w:tmpl w:val="208A9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AE4AC0"/>
    <w:multiLevelType w:val="hybridMultilevel"/>
    <w:tmpl w:val="CDE2D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747837"/>
    <w:multiLevelType w:val="hybridMultilevel"/>
    <w:tmpl w:val="3152A46C"/>
    <w:lvl w:ilvl="0" w:tplc="7E6A3434">
      <w:numFmt w:val="bullet"/>
      <w:lvlText w:val="–"/>
      <w:lvlJc w:val="left"/>
      <w:pPr>
        <w:ind w:left="720" w:hanging="360"/>
      </w:pPr>
      <w:rPr>
        <w:rFonts w:ascii="Calibri" w:eastAsiaTheme="minorHAnsi"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7C85890"/>
    <w:multiLevelType w:val="hybridMultilevel"/>
    <w:tmpl w:val="BAC80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D55A1E"/>
    <w:multiLevelType w:val="hybridMultilevel"/>
    <w:tmpl w:val="D8EEDF42"/>
    <w:lvl w:ilvl="0" w:tplc="D8806946">
      <w:numFmt w:val="bullet"/>
      <w:lvlText w:val="-"/>
      <w:lvlJc w:val="left"/>
      <w:pPr>
        <w:ind w:left="776" w:hanging="360"/>
      </w:pPr>
      <w:rPr>
        <w:rFonts w:ascii="Calibri" w:eastAsia="Times New Roman" w:hAnsi="Calibri" w:cs="Calibri"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38" w15:restartNumberingAfterBreak="0">
    <w:nsid w:val="59ED18C8"/>
    <w:multiLevelType w:val="hybridMultilevel"/>
    <w:tmpl w:val="CCB6E4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B52C32"/>
    <w:multiLevelType w:val="hybridMultilevel"/>
    <w:tmpl w:val="84BED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07424D"/>
    <w:multiLevelType w:val="hybridMultilevel"/>
    <w:tmpl w:val="74A091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A533983"/>
    <w:multiLevelType w:val="hybridMultilevel"/>
    <w:tmpl w:val="8722928E"/>
    <w:lvl w:ilvl="0" w:tplc="45EE0C4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EAC0B6D"/>
    <w:multiLevelType w:val="hybridMultilevel"/>
    <w:tmpl w:val="F7704F4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C75949"/>
    <w:multiLevelType w:val="hybridMultilevel"/>
    <w:tmpl w:val="31502E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9A5264"/>
    <w:multiLevelType w:val="hybridMultilevel"/>
    <w:tmpl w:val="25323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44"/>
  </w:num>
  <w:num w:numId="3">
    <w:abstractNumId w:val="21"/>
  </w:num>
  <w:num w:numId="4">
    <w:abstractNumId w:val="9"/>
  </w:num>
  <w:num w:numId="5">
    <w:abstractNumId w:val="9"/>
    <w:lvlOverride w:ilvl="0">
      <w:startOverride w:val="1"/>
    </w:lvlOverride>
  </w:num>
  <w:num w:numId="6">
    <w:abstractNumId w:val="20"/>
  </w:num>
  <w:num w:numId="7">
    <w:abstractNumId w:val="16"/>
  </w:num>
  <w:num w:numId="8">
    <w:abstractNumId w:val="32"/>
  </w:num>
  <w:num w:numId="9">
    <w:abstractNumId w:val="43"/>
  </w:num>
  <w:num w:numId="10">
    <w:abstractNumId w:val="36"/>
  </w:num>
  <w:num w:numId="11">
    <w:abstractNumId w:val="18"/>
  </w:num>
  <w:num w:numId="12">
    <w:abstractNumId w:val="26"/>
  </w:num>
  <w:num w:numId="13">
    <w:abstractNumId w:val="33"/>
  </w:num>
  <w:num w:numId="14">
    <w:abstractNumId w:val="24"/>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34"/>
  </w:num>
  <w:num w:numId="20">
    <w:abstractNumId w:val="30"/>
  </w:num>
  <w:num w:numId="21">
    <w:abstractNumId w:val="8"/>
  </w:num>
  <w:num w:numId="22">
    <w:abstractNumId w:val="7"/>
  </w:num>
  <w:num w:numId="23">
    <w:abstractNumId w:val="41"/>
  </w:num>
  <w:num w:numId="24">
    <w:abstractNumId w:val="25"/>
  </w:num>
  <w:num w:numId="25">
    <w:abstractNumId w:val="11"/>
  </w:num>
  <w:num w:numId="26">
    <w:abstractNumId w:val="10"/>
  </w:num>
  <w:num w:numId="27">
    <w:abstractNumId w:val="37"/>
  </w:num>
  <w:num w:numId="28">
    <w:abstractNumId w:val="39"/>
  </w:num>
  <w:num w:numId="29">
    <w:abstractNumId w:val="9"/>
    <w:lvlOverride w:ilvl="0">
      <w:startOverride w:val="1"/>
    </w:lvlOverride>
  </w:num>
  <w:num w:numId="30">
    <w:abstractNumId w:val="0"/>
  </w:num>
  <w:num w:numId="31">
    <w:abstractNumId w:val="2"/>
  </w:num>
  <w:num w:numId="32">
    <w:abstractNumId w:val="13"/>
  </w:num>
  <w:num w:numId="33">
    <w:abstractNumId w:val="29"/>
  </w:num>
  <w:num w:numId="34">
    <w:abstractNumId w:val="23"/>
  </w:num>
  <w:num w:numId="35">
    <w:abstractNumId w:val="1"/>
  </w:num>
  <w:num w:numId="36">
    <w:abstractNumId w:val="9"/>
  </w:num>
  <w:num w:numId="37">
    <w:abstractNumId w:val="9"/>
  </w:num>
  <w:num w:numId="38">
    <w:abstractNumId w:val="28"/>
  </w:num>
  <w:num w:numId="39">
    <w:abstractNumId w:val="35"/>
  </w:num>
  <w:num w:numId="40">
    <w:abstractNumId w:val="31"/>
  </w:num>
  <w:num w:numId="41">
    <w:abstractNumId w:val="19"/>
  </w:num>
  <w:num w:numId="42">
    <w:abstractNumId w:val="15"/>
  </w:num>
  <w:num w:numId="43">
    <w:abstractNumId w:val="40"/>
  </w:num>
  <w:num w:numId="44">
    <w:abstractNumId w:val="5"/>
  </w:num>
  <w:num w:numId="45">
    <w:abstractNumId w:val="6"/>
  </w:num>
  <w:num w:numId="46">
    <w:abstractNumId w:val="38"/>
  </w:num>
  <w:num w:numId="47">
    <w:abstractNumId w:val="14"/>
  </w:num>
  <w:num w:numId="48">
    <w:abstractNumId w:val="3"/>
  </w:num>
  <w:num w:numId="49">
    <w:abstractNumId w:val="2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oNotTrackMoves/>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724"/>
    <w:rsid w:val="000001A4"/>
    <w:rsid w:val="00000330"/>
    <w:rsid w:val="00000739"/>
    <w:rsid w:val="00000BCF"/>
    <w:rsid w:val="00002176"/>
    <w:rsid w:val="0000251F"/>
    <w:rsid w:val="00002599"/>
    <w:rsid w:val="000031B6"/>
    <w:rsid w:val="00003288"/>
    <w:rsid w:val="00005039"/>
    <w:rsid w:val="000056A2"/>
    <w:rsid w:val="00005BF6"/>
    <w:rsid w:val="00006C82"/>
    <w:rsid w:val="00007D0E"/>
    <w:rsid w:val="00010542"/>
    <w:rsid w:val="00010B91"/>
    <w:rsid w:val="00010FCA"/>
    <w:rsid w:val="000125BA"/>
    <w:rsid w:val="000128B2"/>
    <w:rsid w:val="00014047"/>
    <w:rsid w:val="000144BA"/>
    <w:rsid w:val="00015B0A"/>
    <w:rsid w:val="00016254"/>
    <w:rsid w:val="000162F2"/>
    <w:rsid w:val="0001658D"/>
    <w:rsid w:val="00016AFF"/>
    <w:rsid w:val="00016CAB"/>
    <w:rsid w:val="00016D60"/>
    <w:rsid w:val="00020393"/>
    <w:rsid w:val="00020D87"/>
    <w:rsid w:val="000212E0"/>
    <w:rsid w:val="00021654"/>
    <w:rsid w:val="0002404E"/>
    <w:rsid w:val="00024651"/>
    <w:rsid w:val="0002611C"/>
    <w:rsid w:val="00026AE9"/>
    <w:rsid w:val="00027EB2"/>
    <w:rsid w:val="000302B5"/>
    <w:rsid w:val="00030D72"/>
    <w:rsid w:val="00032905"/>
    <w:rsid w:val="00033308"/>
    <w:rsid w:val="000370C0"/>
    <w:rsid w:val="0003724A"/>
    <w:rsid w:val="000402A6"/>
    <w:rsid w:val="000411BB"/>
    <w:rsid w:val="000418A9"/>
    <w:rsid w:val="00041A1D"/>
    <w:rsid w:val="000425B6"/>
    <w:rsid w:val="0004637C"/>
    <w:rsid w:val="000473AF"/>
    <w:rsid w:val="00047AC0"/>
    <w:rsid w:val="00050F15"/>
    <w:rsid w:val="00051C40"/>
    <w:rsid w:val="00053114"/>
    <w:rsid w:val="000534E1"/>
    <w:rsid w:val="0005647F"/>
    <w:rsid w:val="000566DC"/>
    <w:rsid w:val="00056FDA"/>
    <w:rsid w:val="00063024"/>
    <w:rsid w:val="00063B25"/>
    <w:rsid w:val="000708A7"/>
    <w:rsid w:val="00071284"/>
    <w:rsid w:val="000715F7"/>
    <w:rsid w:val="00073940"/>
    <w:rsid w:val="00073B70"/>
    <w:rsid w:val="00076077"/>
    <w:rsid w:val="00076BBF"/>
    <w:rsid w:val="00080C46"/>
    <w:rsid w:val="00082A4F"/>
    <w:rsid w:val="00083E4E"/>
    <w:rsid w:val="00084344"/>
    <w:rsid w:val="000847FB"/>
    <w:rsid w:val="000849EF"/>
    <w:rsid w:val="00087C57"/>
    <w:rsid w:val="00090A4D"/>
    <w:rsid w:val="0009161F"/>
    <w:rsid w:val="00092573"/>
    <w:rsid w:val="00092EF1"/>
    <w:rsid w:val="0009379F"/>
    <w:rsid w:val="00093BFE"/>
    <w:rsid w:val="000945B7"/>
    <w:rsid w:val="000945E8"/>
    <w:rsid w:val="00094621"/>
    <w:rsid w:val="00097AA5"/>
    <w:rsid w:val="000A123C"/>
    <w:rsid w:val="000A312F"/>
    <w:rsid w:val="000A3343"/>
    <w:rsid w:val="000A37FD"/>
    <w:rsid w:val="000A3C79"/>
    <w:rsid w:val="000A4338"/>
    <w:rsid w:val="000A6817"/>
    <w:rsid w:val="000A7BAF"/>
    <w:rsid w:val="000A7FC8"/>
    <w:rsid w:val="000B0AC1"/>
    <w:rsid w:val="000B3DBA"/>
    <w:rsid w:val="000B3E62"/>
    <w:rsid w:val="000B518E"/>
    <w:rsid w:val="000B674B"/>
    <w:rsid w:val="000B7DA4"/>
    <w:rsid w:val="000C013D"/>
    <w:rsid w:val="000C1B1A"/>
    <w:rsid w:val="000C215A"/>
    <w:rsid w:val="000C4972"/>
    <w:rsid w:val="000C4CE6"/>
    <w:rsid w:val="000C5ED6"/>
    <w:rsid w:val="000C7F33"/>
    <w:rsid w:val="000D00F5"/>
    <w:rsid w:val="000D14BA"/>
    <w:rsid w:val="000D187D"/>
    <w:rsid w:val="000D19A3"/>
    <w:rsid w:val="000D2F5B"/>
    <w:rsid w:val="000D38B6"/>
    <w:rsid w:val="000D4F90"/>
    <w:rsid w:val="000E0037"/>
    <w:rsid w:val="000E04E8"/>
    <w:rsid w:val="000E04EB"/>
    <w:rsid w:val="000E09FA"/>
    <w:rsid w:val="000E31DB"/>
    <w:rsid w:val="000E4069"/>
    <w:rsid w:val="000E73F7"/>
    <w:rsid w:val="000E7D3B"/>
    <w:rsid w:val="000F1BD3"/>
    <w:rsid w:val="000F2A2C"/>
    <w:rsid w:val="000F4C22"/>
    <w:rsid w:val="000F59D3"/>
    <w:rsid w:val="000F619C"/>
    <w:rsid w:val="00100BD7"/>
    <w:rsid w:val="0010184E"/>
    <w:rsid w:val="00103864"/>
    <w:rsid w:val="00103CE0"/>
    <w:rsid w:val="00103F25"/>
    <w:rsid w:val="00107907"/>
    <w:rsid w:val="00110F83"/>
    <w:rsid w:val="0011228B"/>
    <w:rsid w:val="001122ED"/>
    <w:rsid w:val="001138E6"/>
    <w:rsid w:val="0011527E"/>
    <w:rsid w:val="00115B23"/>
    <w:rsid w:val="00116B75"/>
    <w:rsid w:val="001174E4"/>
    <w:rsid w:val="001174E8"/>
    <w:rsid w:val="00117528"/>
    <w:rsid w:val="00117FD9"/>
    <w:rsid w:val="00121499"/>
    <w:rsid w:val="00121B53"/>
    <w:rsid w:val="00121B98"/>
    <w:rsid w:val="00121BDD"/>
    <w:rsid w:val="0012264D"/>
    <w:rsid w:val="00122916"/>
    <w:rsid w:val="001266AE"/>
    <w:rsid w:val="001269DF"/>
    <w:rsid w:val="00126B2F"/>
    <w:rsid w:val="00126CB7"/>
    <w:rsid w:val="00126CF8"/>
    <w:rsid w:val="001303EB"/>
    <w:rsid w:val="00134731"/>
    <w:rsid w:val="00135404"/>
    <w:rsid w:val="00137860"/>
    <w:rsid w:val="0013799D"/>
    <w:rsid w:val="00143A22"/>
    <w:rsid w:val="001443CF"/>
    <w:rsid w:val="00145DE8"/>
    <w:rsid w:val="00145F43"/>
    <w:rsid w:val="0014708B"/>
    <w:rsid w:val="00147093"/>
    <w:rsid w:val="001502F0"/>
    <w:rsid w:val="001525E4"/>
    <w:rsid w:val="00152C0C"/>
    <w:rsid w:val="00156DF3"/>
    <w:rsid w:val="001579EC"/>
    <w:rsid w:val="0016119A"/>
    <w:rsid w:val="00161F79"/>
    <w:rsid w:val="001622C4"/>
    <w:rsid w:val="00163C52"/>
    <w:rsid w:val="00164A80"/>
    <w:rsid w:val="00164B71"/>
    <w:rsid w:val="00165319"/>
    <w:rsid w:val="001659D3"/>
    <w:rsid w:val="00165ECB"/>
    <w:rsid w:val="00166798"/>
    <w:rsid w:val="00166C24"/>
    <w:rsid w:val="0017219A"/>
    <w:rsid w:val="001722C0"/>
    <w:rsid w:val="00173C33"/>
    <w:rsid w:val="00173CB0"/>
    <w:rsid w:val="00175806"/>
    <w:rsid w:val="00176E0F"/>
    <w:rsid w:val="00180440"/>
    <w:rsid w:val="001814FA"/>
    <w:rsid w:val="0018613A"/>
    <w:rsid w:val="00186FF9"/>
    <w:rsid w:val="001918A3"/>
    <w:rsid w:val="00193E1B"/>
    <w:rsid w:val="00194DC5"/>
    <w:rsid w:val="00196ABE"/>
    <w:rsid w:val="001A108A"/>
    <w:rsid w:val="001A12F3"/>
    <w:rsid w:val="001A3136"/>
    <w:rsid w:val="001A34F4"/>
    <w:rsid w:val="001A5887"/>
    <w:rsid w:val="001A7427"/>
    <w:rsid w:val="001A775E"/>
    <w:rsid w:val="001B0710"/>
    <w:rsid w:val="001B0B82"/>
    <w:rsid w:val="001B0BAD"/>
    <w:rsid w:val="001B16BD"/>
    <w:rsid w:val="001B18BE"/>
    <w:rsid w:val="001B239B"/>
    <w:rsid w:val="001B3FB7"/>
    <w:rsid w:val="001B4895"/>
    <w:rsid w:val="001B5F3D"/>
    <w:rsid w:val="001B65F2"/>
    <w:rsid w:val="001B71ED"/>
    <w:rsid w:val="001B72B7"/>
    <w:rsid w:val="001C01D2"/>
    <w:rsid w:val="001C2293"/>
    <w:rsid w:val="001C28D0"/>
    <w:rsid w:val="001C293D"/>
    <w:rsid w:val="001C2EDF"/>
    <w:rsid w:val="001C35A0"/>
    <w:rsid w:val="001C47C9"/>
    <w:rsid w:val="001C4BDD"/>
    <w:rsid w:val="001C6024"/>
    <w:rsid w:val="001C6682"/>
    <w:rsid w:val="001C6951"/>
    <w:rsid w:val="001C6F1C"/>
    <w:rsid w:val="001C7E0A"/>
    <w:rsid w:val="001C7EC9"/>
    <w:rsid w:val="001D1C04"/>
    <w:rsid w:val="001D2BC9"/>
    <w:rsid w:val="001D2EE2"/>
    <w:rsid w:val="001D332B"/>
    <w:rsid w:val="001D4B45"/>
    <w:rsid w:val="001D4E9E"/>
    <w:rsid w:val="001D56CB"/>
    <w:rsid w:val="001D5D98"/>
    <w:rsid w:val="001D62D4"/>
    <w:rsid w:val="001D6CB6"/>
    <w:rsid w:val="001E05E8"/>
    <w:rsid w:val="001E3132"/>
    <w:rsid w:val="001E449A"/>
    <w:rsid w:val="001E5436"/>
    <w:rsid w:val="001E5D44"/>
    <w:rsid w:val="001E630A"/>
    <w:rsid w:val="001E6FC4"/>
    <w:rsid w:val="001E7E6C"/>
    <w:rsid w:val="001F1614"/>
    <w:rsid w:val="001F290E"/>
    <w:rsid w:val="001F552E"/>
    <w:rsid w:val="001F56F8"/>
    <w:rsid w:val="001F607A"/>
    <w:rsid w:val="001F6320"/>
    <w:rsid w:val="001F6704"/>
    <w:rsid w:val="002003D1"/>
    <w:rsid w:val="002016C2"/>
    <w:rsid w:val="00201D5A"/>
    <w:rsid w:val="002023AE"/>
    <w:rsid w:val="002024F5"/>
    <w:rsid w:val="00203177"/>
    <w:rsid w:val="002056B4"/>
    <w:rsid w:val="00206ED9"/>
    <w:rsid w:val="0020750D"/>
    <w:rsid w:val="00207C28"/>
    <w:rsid w:val="002105E0"/>
    <w:rsid w:val="0021088E"/>
    <w:rsid w:val="0021145B"/>
    <w:rsid w:val="002118FF"/>
    <w:rsid w:val="002132E1"/>
    <w:rsid w:val="00214767"/>
    <w:rsid w:val="002157FF"/>
    <w:rsid w:val="002158A7"/>
    <w:rsid w:val="00217248"/>
    <w:rsid w:val="002173F7"/>
    <w:rsid w:val="00217429"/>
    <w:rsid w:val="0021759B"/>
    <w:rsid w:val="002200F7"/>
    <w:rsid w:val="002206D0"/>
    <w:rsid w:val="00221C60"/>
    <w:rsid w:val="00223341"/>
    <w:rsid w:val="00223FC7"/>
    <w:rsid w:val="00223FF7"/>
    <w:rsid w:val="00224676"/>
    <w:rsid w:val="0022689B"/>
    <w:rsid w:val="00227A2F"/>
    <w:rsid w:val="00230A63"/>
    <w:rsid w:val="00231E45"/>
    <w:rsid w:val="00232C82"/>
    <w:rsid w:val="0023307A"/>
    <w:rsid w:val="00234BCD"/>
    <w:rsid w:val="00235FBE"/>
    <w:rsid w:val="00236E56"/>
    <w:rsid w:val="00237172"/>
    <w:rsid w:val="00237183"/>
    <w:rsid w:val="0023745A"/>
    <w:rsid w:val="00240044"/>
    <w:rsid w:val="00241731"/>
    <w:rsid w:val="0024184E"/>
    <w:rsid w:val="00241F14"/>
    <w:rsid w:val="002429E5"/>
    <w:rsid w:val="002433BF"/>
    <w:rsid w:val="00243E20"/>
    <w:rsid w:val="00244BF1"/>
    <w:rsid w:val="0024599E"/>
    <w:rsid w:val="00245C04"/>
    <w:rsid w:val="00246E02"/>
    <w:rsid w:val="00246ED7"/>
    <w:rsid w:val="00250779"/>
    <w:rsid w:val="00250958"/>
    <w:rsid w:val="00251457"/>
    <w:rsid w:val="002524CD"/>
    <w:rsid w:val="00252FA9"/>
    <w:rsid w:val="00254663"/>
    <w:rsid w:val="00255BF4"/>
    <w:rsid w:val="00261133"/>
    <w:rsid w:val="0026124B"/>
    <w:rsid w:val="0026163E"/>
    <w:rsid w:val="00261F2C"/>
    <w:rsid w:val="00263A2D"/>
    <w:rsid w:val="00265796"/>
    <w:rsid w:val="0026607D"/>
    <w:rsid w:val="00266123"/>
    <w:rsid w:val="00266632"/>
    <w:rsid w:val="00267E99"/>
    <w:rsid w:val="00272348"/>
    <w:rsid w:val="00272463"/>
    <w:rsid w:val="00272D08"/>
    <w:rsid w:val="00273193"/>
    <w:rsid w:val="00274719"/>
    <w:rsid w:val="00274A6C"/>
    <w:rsid w:val="00275D8B"/>
    <w:rsid w:val="00277B4A"/>
    <w:rsid w:val="00277BD8"/>
    <w:rsid w:val="00281496"/>
    <w:rsid w:val="002835F3"/>
    <w:rsid w:val="00285AFC"/>
    <w:rsid w:val="00286791"/>
    <w:rsid w:val="0028711E"/>
    <w:rsid w:val="002877D5"/>
    <w:rsid w:val="00292067"/>
    <w:rsid w:val="002926C0"/>
    <w:rsid w:val="002945A6"/>
    <w:rsid w:val="00295D79"/>
    <w:rsid w:val="00296828"/>
    <w:rsid w:val="002A0F98"/>
    <w:rsid w:val="002A1A48"/>
    <w:rsid w:val="002A1D99"/>
    <w:rsid w:val="002A1E7A"/>
    <w:rsid w:val="002A3A3E"/>
    <w:rsid w:val="002A40C6"/>
    <w:rsid w:val="002A439F"/>
    <w:rsid w:val="002B0E05"/>
    <w:rsid w:val="002B0F62"/>
    <w:rsid w:val="002B31DB"/>
    <w:rsid w:val="002B465B"/>
    <w:rsid w:val="002B4DBD"/>
    <w:rsid w:val="002C06DA"/>
    <w:rsid w:val="002C0736"/>
    <w:rsid w:val="002C0F54"/>
    <w:rsid w:val="002C1F93"/>
    <w:rsid w:val="002C5CBB"/>
    <w:rsid w:val="002C65BE"/>
    <w:rsid w:val="002C66B9"/>
    <w:rsid w:val="002C6951"/>
    <w:rsid w:val="002D114B"/>
    <w:rsid w:val="002D1E8E"/>
    <w:rsid w:val="002E01CE"/>
    <w:rsid w:val="002E0C5E"/>
    <w:rsid w:val="002E1BEA"/>
    <w:rsid w:val="002E39AF"/>
    <w:rsid w:val="002E5F2D"/>
    <w:rsid w:val="002E7028"/>
    <w:rsid w:val="002E70D5"/>
    <w:rsid w:val="002F2199"/>
    <w:rsid w:val="002F238A"/>
    <w:rsid w:val="002F3884"/>
    <w:rsid w:val="002F4B90"/>
    <w:rsid w:val="002F5F79"/>
    <w:rsid w:val="002F632D"/>
    <w:rsid w:val="002F6D8E"/>
    <w:rsid w:val="002F7FC6"/>
    <w:rsid w:val="0030010D"/>
    <w:rsid w:val="00301C60"/>
    <w:rsid w:val="0030214E"/>
    <w:rsid w:val="00303C45"/>
    <w:rsid w:val="003064CE"/>
    <w:rsid w:val="00307B55"/>
    <w:rsid w:val="003100F8"/>
    <w:rsid w:val="00310748"/>
    <w:rsid w:val="003112DB"/>
    <w:rsid w:val="00312788"/>
    <w:rsid w:val="00313416"/>
    <w:rsid w:val="00313BAD"/>
    <w:rsid w:val="00313CD3"/>
    <w:rsid w:val="00313CE1"/>
    <w:rsid w:val="00313ED9"/>
    <w:rsid w:val="003143F0"/>
    <w:rsid w:val="00316136"/>
    <w:rsid w:val="0031643B"/>
    <w:rsid w:val="003169A2"/>
    <w:rsid w:val="00320920"/>
    <w:rsid w:val="00324B95"/>
    <w:rsid w:val="00325213"/>
    <w:rsid w:val="0032524C"/>
    <w:rsid w:val="0032569C"/>
    <w:rsid w:val="00325987"/>
    <w:rsid w:val="00325BBF"/>
    <w:rsid w:val="00326A8A"/>
    <w:rsid w:val="00327F42"/>
    <w:rsid w:val="003308D6"/>
    <w:rsid w:val="00331379"/>
    <w:rsid w:val="00332553"/>
    <w:rsid w:val="00333158"/>
    <w:rsid w:val="0033408B"/>
    <w:rsid w:val="0033479C"/>
    <w:rsid w:val="00334E93"/>
    <w:rsid w:val="003410FA"/>
    <w:rsid w:val="0034159E"/>
    <w:rsid w:val="00344627"/>
    <w:rsid w:val="00346600"/>
    <w:rsid w:val="003519E7"/>
    <w:rsid w:val="00351A3A"/>
    <w:rsid w:val="00352C02"/>
    <w:rsid w:val="00355CEA"/>
    <w:rsid w:val="00355E02"/>
    <w:rsid w:val="003566A8"/>
    <w:rsid w:val="003568E9"/>
    <w:rsid w:val="003571BA"/>
    <w:rsid w:val="00360E01"/>
    <w:rsid w:val="0036360F"/>
    <w:rsid w:val="003639C6"/>
    <w:rsid w:val="00364C35"/>
    <w:rsid w:val="00371419"/>
    <w:rsid w:val="003716A0"/>
    <w:rsid w:val="003723CF"/>
    <w:rsid w:val="00373BB6"/>
    <w:rsid w:val="003745E6"/>
    <w:rsid w:val="003745FB"/>
    <w:rsid w:val="00374C56"/>
    <w:rsid w:val="003750ED"/>
    <w:rsid w:val="0037582E"/>
    <w:rsid w:val="00375B58"/>
    <w:rsid w:val="00375C28"/>
    <w:rsid w:val="00375D95"/>
    <w:rsid w:val="00376252"/>
    <w:rsid w:val="00377CE5"/>
    <w:rsid w:val="00380C24"/>
    <w:rsid w:val="00381F21"/>
    <w:rsid w:val="00383CC8"/>
    <w:rsid w:val="00384249"/>
    <w:rsid w:val="00384C3C"/>
    <w:rsid w:val="0038594F"/>
    <w:rsid w:val="00385BE9"/>
    <w:rsid w:val="00386D7A"/>
    <w:rsid w:val="003877FB"/>
    <w:rsid w:val="00390BEB"/>
    <w:rsid w:val="00392BCA"/>
    <w:rsid w:val="00393DFB"/>
    <w:rsid w:val="00396FDB"/>
    <w:rsid w:val="003A01D5"/>
    <w:rsid w:val="003A0474"/>
    <w:rsid w:val="003A049A"/>
    <w:rsid w:val="003A0624"/>
    <w:rsid w:val="003A0D9F"/>
    <w:rsid w:val="003A0DBE"/>
    <w:rsid w:val="003A3D0C"/>
    <w:rsid w:val="003A566D"/>
    <w:rsid w:val="003A5F1A"/>
    <w:rsid w:val="003B045C"/>
    <w:rsid w:val="003B07FF"/>
    <w:rsid w:val="003B0D6E"/>
    <w:rsid w:val="003B2877"/>
    <w:rsid w:val="003B46DA"/>
    <w:rsid w:val="003B47C2"/>
    <w:rsid w:val="003B64DE"/>
    <w:rsid w:val="003B6F97"/>
    <w:rsid w:val="003B6FF8"/>
    <w:rsid w:val="003B7857"/>
    <w:rsid w:val="003C13E3"/>
    <w:rsid w:val="003C15DB"/>
    <w:rsid w:val="003C28CF"/>
    <w:rsid w:val="003C6238"/>
    <w:rsid w:val="003C6987"/>
    <w:rsid w:val="003C79DE"/>
    <w:rsid w:val="003C7B45"/>
    <w:rsid w:val="003D0C6D"/>
    <w:rsid w:val="003D2390"/>
    <w:rsid w:val="003D35A2"/>
    <w:rsid w:val="003D6040"/>
    <w:rsid w:val="003D633D"/>
    <w:rsid w:val="003D6933"/>
    <w:rsid w:val="003D75BD"/>
    <w:rsid w:val="003E1ADA"/>
    <w:rsid w:val="003E20E0"/>
    <w:rsid w:val="003E336F"/>
    <w:rsid w:val="003E3A70"/>
    <w:rsid w:val="003E3DE0"/>
    <w:rsid w:val="003F35DE"/>
    <w:rsid w:val="003F3C95"/>
    <w:rsid w:val="003F3D04"/>
    <w:rsid w:val="003F4B01"/>
    <w:rsid w:val="003F4BD9"/>
    <w:rsid w:val="003F4FFE"/>
    <w:rsid w:val="003F514B"/>
    <w:rsid w:val="003F53D6"/>
    <w:rsid w:val="004006FA"/>
    <w:rsid w:val="0040083D"/>
    <w:rsid w:val="00401892"/>
    <w:rsid w:val="00402948"/>
    <w:rsid w:val="0040394E"/>
    <w:rsid w:val="0040425A"/>
    <w:rsid w:val="00404AEC"/>
    <w:rsid w:val="00406E51"/>
    <w:rsid w:val="00406F7F"/>
    <w:rsid w:val="00407605"/>
    <w:rsid w:val="0040796A"/>
    <w:rsid w:val="00411624"/>
    <w:rsid w:val="00411DC2"/>
    <w:rsid w:val="00412615"/>
    <w:rsid w:val="00412AE3"/>
    <w:rsid w:val="004139D6"/>
    <w:rsid w:val="00413C39"/>
    <w:rsid w:val="00416D3D"/>
    <w:rsid w:val="004212E1"/>
    <w:rsid w:val="00422CC0"/>
    <w:rsid w:val="00423117"/>
    <w:rsid w:val="00423CB0"/>
    <w:rsid w:val="00423D3A"/>
    <w:rsid w:val="00425FEA"/>
    <w:rsid w:val="0042731F"/>
    <w:rsid w:val="00432168"/>
    <w:rsid w:val="0043216F"/>
    <w:rsid w:val="00432791"/>
    <w:rsid w:val="00432A4D"/>
    <w:rsid w:val="00433642"/>
    <w:rsid w:val="00433785"/>
    <w:rsid w:val="004346B8"/>
    <w:rsid w:val="0043512D"/>
    <w:rsid w:val="0043526F"/>
    <w:rsid w:val="00435AB3"/>
    <w:rsid w:val="00435F06"/>
    <w:rsid w:val="00436B83"/>
    <w:rsid w:val="0044094F"/>
    <w:rsid w:val="00440994"/>
    <w:rsid w:val="00445C6C"/>
    <w:rsid w:val="00445F96"/>
    <w:rsid w:val="00446055"/>
    <w:rsid w:val="004460BB"/>
    <w:rsid w:val="0044705E"/>
    <w:rsid w:val="0044728A"/>
    <w:rsid w:val="00447769"/>
    <w:rsid w:val="0044782F"/>
    <w:rsid w:val="0045047F"/>
    <w:rsid w:val="00451695"/>
    <w:rsid w:val="00451E2F"/>
    <w:rsid w:val="00451FD0"/>
    <w:rsid w:val="00453684"/>
    <w:rsid w:val="004551EC"/>
    <w:rsid w:val="004553E4"/>
    <w:rsid w:val="00455965"/>
    <w:rsid w:val="00455ED4"/>
    <w:rsid w:val="00455FB5"/>
    <w:rsid w:val="00456526"/>
    <w:rsid w:val="00456D5E"/>
    <w:rsid w:val="00457588"/>
    <w:rsid w:val="0046016A"/>
    <w:rsid w:val="00460875"/>
    <w:rsid w:val="00461DCF"/>
    <w:rsid w:val="004622C3"/>
    <w:rsid w:val="00462D2C"/>
    <w:rsid w:val="0046350D"/>
    <w:rsid w:val="00463BEF"/>
    <w:rsid w:val="0046475E"/>
    <w:rsid w:val="00464944"/>
    <w:rsid w:val="0046676B"/>
    <w:rsid w:val="00467972"/>
    <w:rsid w:val="00470A0A"/>
    <w:rsid w:val="00470CC6"/>
    <w:rsid w:val="0047159B"/>
    <w:rsid w:val="004731E6"/>
    <w:rsid w:val="00473FAE"/>
    <w:rsid w:val="00474D1E"/>
    <w:rsid w:val="0047579F"/>
    <w:rsid w:val="00475A33"/>
    <w:rsid w:val="00475D0F"/>
    <w:rsid w:val="00477CAD"/>
    <w:rsid w:val="00481431"/>
    <w:rsid w:val="00484816"/>
    <w:rsid w:val="00485937"/>
    <w:rsid w:val="004876A5"/>
    <w:rsid w:val="00487F83"/>
    <w:rsid w:val="0049011F"/>
    <w:rsid w:val="004901C2"/>
    <w:rsid w:val="00490B20"/>
    <w:rsid w:val="0049109B"/>
    <w:rsid w:val="0049337D"/>
    <w:rsid w:val="0049365C"/>
    <w:rsid w:val="0049392F"/>
    <w:rsid w:val="004942A4"/>
    <w:rsid w:val="0049557D"/>
    <w:rsid w:val="0049583F"/>
    <w:rsid w:val="00496BBA"/>
    <w:rsid w:val="0049744D"/>
    <w:rsid w:val="004A0926"/>
    <w:rsid w:val="004A0DB4"/>
    <w:rsid w:val="004A2C8C"/>
    <w:rsid w:val="004A3E35"/>
    <w:rsid w:val="004A46D7"/>
    <w:rsid w:val="004A6F6E"/>
    <w:rsid w:val="004B38CA"/>
    <w:rsid w:val="004B52CF"/>
    <w:rsid w:val="004B5740"/>
    <w:rsid w:val="004B5D78"/>
    <w:rsid w:val="004B6193"/>
    <w:rsid w:val="004B7602"/>
    <w:rsid w:val="004B7B94"/>
    <w:rsid w:val="004C0E82"/>
    <w:rsid w:val="004C13CA"/>
    <w:rsid w:val="004C1E85"/>
    <w:rsid w:val="004C299C"/>
    <w:rsid w:val="004C4AC0"/>
    <w:rsid w:val="004C5EA6"/>
    <w:rsid w:val="004C66D5"/>
    <w:rsid w:val="004C7442"/>
    <w:rsid w:val="004C7AC3"/>
    <w:rsid w:val="004C7D5B"/>
    <w:rsid w:val="004C7FD2"/>
    <w:rsid w:val="004D0460"/>
    <w:rsid w:val="004D1443"/>
    <w:rsid w:val="004D1C6E"/>
    <w:rsid w:val="004D26CD"/>
    <w:rsid w:val="004D2C87"/>
    <w:rsid w:val="004D2E45"/>
    <w:rsid w:val="004D3996"/>
    <w:rsid w:val="004D3B5F"/>
    <w:rsid w:val="004D3E4D"/>
    <w:rsid w:val="004D44FA"/>
    <w:rsid w:val="004D6AA5"/>
    <w:rsid w:val="004D7FFC"/>
    <w:rsid w:val="004E17FE"/>
    <w:rsid w:val="004E34E9"/>
    <w:rsid w:val="004E34EB"/>
    <w:rsid w:val="004E3B42"/>
    <w:rsid w:val="004E4466"/>
    <w:rsid w:val="004E6283"/>
    <w:rsid w:val="004F230F"/>
    <w:rsid w:val="004F25AD"/>
    <w:rsid w:val="004F616C"/>
    <w:rsid w:val="00502687"/>
    <w:rsid w:val="00503245"/>
    <w:rsid w:val="005035F8"/>
    <w:rsid w:val="0050448E"/>
    <w:rsid w:val="00505183"/>
    <w:rsid w:val="00506EA3"/>
    <w:rsid w:val="005076FA"/>
    <w:rsid w:val="00507B15"/>
    <w:rsid w:val="00507C8E"/>
    <w:rsid w:val="00510847"/>
    <w:rsid w:val="00510928"/>
    <w:rsid w:val="00512C4D"/>
    <w:rsid w:val="00520509"/>
    <w:rsid w:val="00521FAF"/>
    <w:rsid w:val="00522470"/>
    <w:rsid w:val="00522AB8"/>
    <w:rsid w:val="00523B4D"/>
    <w:rsid w:val="00524CC3"/>
    <w:rsid w:val="00527BC1"/>
    <w:rsid w:val="00527CF8"/>
    <w:rsid w:val="00530866"/>
    <w:rsid w:val="00530EDF"/>
    <w:rsid w:val="00530F09"/>
    <w:rsid w:val="00533433"/>
    <w:rsid w:val="00533E99"/>
    <w:rsid w:val="00533F62"/>
    <w:rsid w:val="00534D55"/>
    <w:rsid w:val="005357C2"/>
    <w:rsid w:val="00536360"/>
    <w:rsid w:val="00536A6E"/>
    <w:rsid w:val="00536B15"/>
    <w:rsid w:val="00536F1E"/>
    <w:rsid w:val="0053745A"/>
    <w:rsid w:val="005379C8"/>
    <w:rsid w:val="00537BA1"/>
    <w:rsid w:val="00540F9E"/>
    <w:rsid w:val="0054559C"/>
    <w:rsid w:val="0054621C"/>
    <w:rsid w:val="005470F0"/>
    <w:rsid w:val="005477D2"/>
    <w:rsid w:val="005500D7"/>
    <w:rsid w:val="005506B4"/>
    <w:rsid w:val="00552159"/>
    <w:rsid w:val="00552B18"/>
    <w:rsid w:val="00553DC2"/>
    <w:rsid w:val="0055409B"/>
    <w:rsid w:val="00554525"/>
    <w:rsid w:val="005546D1"/>
    <w:rsid w:val="005549D4"/>
    <w:rsid w:val="00555188"/>
    <w:rsid w:val="005556AD"/>
    <w:rsid w:val="00555C3C"/>
    <w:rsid w:val="00556425"/>
    <w:rsid w:val="005567CE"/>
    <w:rsid w:val="005616B2"/>
    <w:rsid w:val="0056295A"/>
    <w:rsid w:val="00564360"/>
    <w:rsid w:val="00564866"/>
    <w:rsid w:val="005648B8"/>
    <w:rsid w:val="00565AC8"/>
    <w:rsid w:val="005664FC"/>
    <w:rsid w:val="00567C29"/>
    <w:rsid w:val="00567F50"/>
    <w:rsid w:val="00570313"/>
    <w:rsid w:val="00570605"/>
    <w:rsid w:val="005706D1"/>
    <w:rsid w:val="00572471"/>
    <w:rsid w:val="00573E61"/>
    <w:rsid w:val="00575078"/>
    <w:rsid w:val="0057577E"/>
    <w:rsid w:val="005762DD"/>
    <w:rsid w:val="00580212"/>
    <w:rsid w:val="005808FF"/>
    <w:rsid w:val="00581C40"/>
    <w:rsid w:val="005831EA"/>
    <w:rsid w:val="00585CE7"/>
    <w:rsid w:val="005860E0"/>
    <w:rsid w:val="0058664F"/>
    <w:rsid w:val="00590894"/>
    <w:rsid w:val="00590FC2"/>
    <w:rsid w:val="00591BF4"/>
    <w:rsid w:val="00594E2F"/>
    <w:rsid w:val="0059514E"/>
    <w:rsid w:val="00595646"/>
    <w:rsid w:val="00595B69"/>
    <w:rsid w:val="00595EC5"/>
    <w:rsid w:val="00596197"/>
    <w:rsid w:val="005962DA"/>
    <w:rsid w:val="00596A46"/>
    <w:rsid w:val="00596E47"/>
    <w:rsid w:val="005A02E5"/>
    <w:rsid w:val="005A07E2"/>
    <w:rsid w:val="005A0EF1"/>
    <w:rsid w:val="005A0F3D"/>
    <w:rsid w:val="005A17ED"/>
    <w:rsid w:val="005A1ED7"/>
    <w:rsid w:val="005A2801"/>
    <w:rsid w:val="005A3093"/>
    <w:rsid w:val="005A5F86"/>
    <w:rsid w:val="005A6C26"/>
    <w:rsid w:val="005A7429"/>
    <w:rsid w:val="005A752E"/>
    <w:rsid w:val="005A7950"/>
    <w:rsid w:val="005B0148"/>
    <w:rsid w:val="005B06DA"/>
    <w:rsid w:val="005B0830"/>
    <w:rsid w:val="005B0857"/>
    <w:rsid w:val="005B1EE7"/>
    <w:rsid w:val="005B29C8"/>
    <w:rsid w:val="005B5953"/>
    <w:rsid w:val="005B6F8D"/>
    <w:rsid w:val="005B7BD7"/>
    <w:rsid w:val="005C1191"/>
    <w:rsid w:val="005C5421"/>
    <w:rsid w:val="005C6B18"/>
    <w:rsid w:val="005C6D42"/>
    <w:rsid w:val="005D040D"/>
    <w:rsid w:val="005D09F0"/>
    <w:rsid w:val="005D162F"/>
    <w:rsid w:val="005D27C4"/>
    <w:rsid w:val="005D2A69"/>
    <w:rsid w:val="005D4A86"/>
    <w:rsid w:val="005D6774"/>
    <w:rsid w:val="005D6C59"/>
    <w:rsid w:val="005D766A"/>
    <w:rsid w:val="005D78E5"/>
    <w:rsid w:val="005E03FF"/>
    <w:rsid w:val="005E0CE4"/>
    <w:rsid w:val="005E19AA"/>
    <w:rsid w:val="005E3890"/>
    <w:rsid w:val="005E389E"/>
    <w:rsid w:val="005E529E"/>
    <w:rsid w:val="005E5C07"/>
    <w:rsid w:val="005E6B58"/>
    <w:rsid w:val="005E749D"/>
    <w:rsid w:val="005F1608"/>
    <w:rsid w:val="005F3807"/>
    <w:rsid w:val="005F3828"/>
    <w:rsid w:val="005F3D8A"/>
    <w:rsid w:val="005F52D5"/>
    <w:rsid w:val="00600246"/>
    <w:rsid w:val="00602087"/>
    <w:rsid w:val="00602263"/>
    <w:rsid w:val="006066D8"/>
    <w:rsid w:val="00606A0A"/>
    <w:rsid w:val="00607083"/>
    <w:rsid w:val="006107C0"/>
    <w:rsid w:val="006115CB"/>
    <w:rsid w:val="006120D0"/>
    <w:rsid w:val="006139B0"/>
    <w:rsid w:val="00614886"/>
    <w:rsid w:val="00614E2F"/>
    <w:rsid w:val="00615731"/>
    <w:rsid w:val="006157F4"/>
    <w:rsid w:val="006179FC"/>
    <w:rsid w:val="006202C9"/>
    <w:rsid w:val="00621D20"/>
    <w:rsid w:val="00622C3E"/>
    <w:rsid w:val="00622CA1"/>
    <w:rsid w:val="00626AB8"/>
    <w:rsid w:val="00627C40"/>
    <w:rsid w:val="00630C8A"/>
    <w:rsid w:val="00630D4D"/>
    <w:rsid w:val="0063105E"/>
    <w:rsid w:val="006315FC"/>
    <w:rsid w:val="00631AFB"/>
    <w:rsid w:val="00635236"/>
    <w:rsid w:val="00637795"/>
    <w:rsid w:val="00640D07"/>
    <w:rsid w:val="00641468"/>
    <w:rsid w:val="00642057"/>
    <w:rsid w:val="00642528"/>
    <w:rsid w:val="0064309F"/>
    <w:rsid w:val="00643C03"/>
    <w:rsid w:val="00644B17"/>
    <w:rsid w:val="00644DB7"/>
    <w:rsid w:val="00645410"/>
    <w:rsid w:val="006468A6"/>
    <w:rsid w:val="00646AFD"/>
    <w:rsid w:val="00646CA5"/>
    <w:rsid w:val="00646D7F"/>
    <w:rsid w:val="0065095C"/>
    <w:rsid w:val="00651757"/>
    <w:rsid w:val="0065341E"/>
    <w:rsid w:val="00655311"/>
    <w:rsid w:val="00656086"/>
    <w:rsid w:val="00656D0C"/>
    <w:rsid w:val="00657048"/>
    <w:rsid w:val="00657592"/>
    <w:rsid w:val="0066073D"/>
    <w:rsid w:val="00661385"/>
    <w:rsid w:val="00662E1F"/>
    <w:rsid w:val="00664008"/>
    <w:rsid w:val="00665266"/>
    <w:rsid w:val="0066711D"/>
    <w:rsid w:val="00670865"/>
    <w:rsid w:val="00672A67"/>
    <w:rsid w:val="00675ED4"/>
    <w:rsid w:val="00677738"/>
    <w:rsid w:val="00680633"/>
    <w:rsid w:val="00680997"/>
    <w:rsid w:val="00681F55"/>
    <w:rsid w:val="00683B95"/>
    <w:rsid w:val="00684789"/>
    <w:rsid w:val="006855F5"/>
    <w:rsid w:val="00687E8D"/>
    <w:rsid w:val="00691432"/>
    <w:rsid w:val="00691E40"/>
    <w:rsid w:val="0069252D"/>
    <w:rsid w:val="006938FF"/>
    <w:rsid w:val="006944B1"/>
    <w:rsid w:val="006947EA"/>
    <w:rsid w:val="006A4507"/>
    <w:rsid w:val="006A5ECB"/>
    <w:rsid w:val="006B1A78"/>
    <w:rsid w:val="006B37FE"/>
    <w:rsid w:val="006B38BC"/>
    <w:rsid w:val="006B5078"/>
    <w:rsid w:val="006B5AD1"/>
    <w:rsid w:val="006B5FDB"/>
    <w:rsid w:val="006B67F7"/>
    <w:rsid w:val="006C1E17"/>
    <w:rsid w:val="006C2FF2"/>
    <w:rsid w:val="006C3BA9"/>
    <w:rsid w:val="006C4DD0"/>
    <w:rsid w:val="006C50A3"/>
    <w:rsid w:val="006C59BC"/>
    <w:rsid w:val="006C680D"/>
    <w:rsid w:val="006C75ED"/>
    <w:rsid w:val="006D0F1B"/>
    <w:rsid w:val="006D11FA"/>
    <w:rsid w:val="006D1D72"/>
    <w:rsid w:val="006D2564"/>
    <w:rsid w:val="006D2634"/>
    <w:rsid w:val="006D47A0"/>
    <w:rsid w:val="006D4881"/>
    <w:rsid w:val="006D4E62"/>
    <w:rsid w:val="006D4EAE"/>
    <w:rsid w:val="006D6C44"/>
    <w:rsid w:val="006D745A"/>
    <w:rsid w:val="006D7CF6"/>
    <w:rsid w:val="006D7EFF"/>
    <w:rsid w:val="006E0608"/>
    <w:rsid w:val="006E0CFA"/>
    <w:rsid w:val="006E0DB4"/>
    <w:rsid w:val="006E1FCD"/>
    <w:rsid w:val="006E3928"/>
    <w:rsid w:val="006E435A"/>
    <w:rsid w:val="006E505C"/>
    <w:rsid w:val="006E529B"/>
    <w:rsid w:val="006E5709"/>
    <w:rsid w:val="006E6169"/>
    <w:rsid w:val="006E6638"/>
    <w:rsid w:val="006E6786"/>
    <w:rsid w:val="006E6C8A"/>
    <w:rsid w:val="006F012D"/>
    <w:rsid w:val="006F0F3F"/>
    <w:rsid w:val="006F12EB"/>
    <w:rsid w:val="006F19CF"/>
    <w:rsid w:val="006F2C6E"/>
    <w:rsid w:val="006F322D"/>
    <w:rsid w:val="006F3676"/>
    <w:rsid w:val="006F5D64"/>
    <w:rsid w:val="006F61F9"/>
    <w:rsid w:val="006F754E"/>
    <w:rsid w:val="00701E7C"/>
    <w:rsid w:val="00704481"/>
    <w:rsid w:val="007049B9"/>
    <w:rsid w:val="00707DE4"/>
    <w:rsid w:val="00707EB0"/>
    <w:rsid w:val="00711356"/>
    <w:rsid w:val="00711662"/>
    <w:rsid w:val="00711E96"/>
    <w:rsid w:val="007123B1"/>
    <w:rsid w:val="00712D77"/>
    <w:rsid w:val="00713526"/>
    <w:rsid w:val="007142DA"/>
    <w:rsid w:val="007145E9"/>
    <w:rsid w:val="0071466C"/>
    <w:rsid w:val="00716090"/>
    <w:rsid w:val="007163A7"/>
    <w:rsid w:val="00716EFE"/>
    <w:rsid w:val="00720A3E"/>
    <w:rsid w:val="00721570"/>
    <w:rsid w:val="00721695"/>
    <w:rsid w:val="00721774"/>
    <w:rsid w:val="00721CDB"/>
    <w:rsid w:val="0072225F"/>
    <w:rsid w:val="00724107"/>
    <w:rsid w:val="007273FA"/>
    <w:rsid w:val="007274E9"/>
    <w:rsid w:val="00731587"/>
    <w:rsid w:val="0073163C"/>
    <w:rsid w:val="00734605"/>
    <w:rsid w:val="007352A3"/>
    <w:rsid w:val="0073550F"/>
    <w:rsid w:val="00736858"/>
    <w:rsid w:val="00740BF8"/>
    <w:rsid w:val="0074104D"/>
    <w:rsid w:val="00741AC2"/>
    <w:rsid w:val="00743898"/>
    <w:rsid w:val="007474C6"/>
    <w:rsid w:val="00747BA2"/>
    <w:rsid w:val="00750230"/>
    <w:rsid w:val="007502FE"/>
    <w:rsid w:val="007520C7"/>
    <w:rsid w:val="00752881"/>
    <w:rsid w:val="00752E7F"/>
    <w:rsid w:val="00753BC3"/>
    <w:rsid w:val="00755A98"/>
    <w:rsid w:val="00755F90"/>
    <w:rsid w:val="00756D4B"/>
    <w:rsid w:val="00760FBC"/>
    <w:rsid w:val="00761B26"/>
    <w:rsid w:val="00763CD6"/>
    <w:rsid w:val="00763E4E"/>
    <w:rsid w:val="00764C68"/>
    <w:rsid w:val="00764D7A"/>
    <w:rsid w:val="007657EF"/>
    <w:rsid w:val="00765885"/>
    <w:rsid w:val="00767275"/>
    <w:rsid w:val="007710CE"/>
    <w:rsid w:val="007715AA"/>
    <w:rsid w:val="00772D7D"/>
    <w:rsid w:val="0077696E"/>
    <w:rsid w:val="007776F4"/>
    <w:rsid w:val="007802F2"/>
    <w:rsid w:val="00780EFE"/>
    <w:rsid w:val="00781729"/>
    <w:rsid w:val="007828E3"/>
    <w:rsid w:val="00784EB9"/>
    <w:rsid w:val="007855F1"/>
    <w:rsid w:val="00785DFE"/>
    <w:rsid w:val="00786D59"/>
    <w:rsid w:val="00786F26"/>
    <w:rsid w:val="007878C3"/>
    <w:rsid w:val="00790B70"/>
    <w:rsid w:val="007938BA"/>
    <w:rsid w:val="00795C74"/>
    <w:rsid w:val="0079691E"/>
    <w:rsid w:val="00796F2D"/>
    <w:rsid w:val="007A0287"/>
    <w:rsid w:val="007A1A20"/>
    <w:rsid w:val="007A31A8"/>
    <w:rsid w:val="007A3D1C"/>
    <w:rsid w:val="007A3F7C"/>
    <w:rsid w:val="007A5AB2"/>
    <w:rsid w:val="007A64C5"/>
    <w:rsid w:val="007A7743"/>
    <w:rsid w:val="007A7911"/>
    <w:rsid w:val="007B0F7F"/>
    <w:rsid w:val="007B14ED"/>
    <w:rsid w:val="007B373E"/>
    <w:rsid w:val="007B3C1D"/>
    <w:rsid w:val="007B5EB9"/>
    <w:rsid w:val="007B5F10"/>
    <w:rsid w:val="007B6061"/>
    <w:rsid w:val="007C0AA6"/>
    <w:rsid w:val="007C0FA7"/>
    <w:rsid w:val="007C123B"/>
    <w:rsid w:val="007C1E0F"/>
    <w:rsid w:val="007C22CD"/>
    <w:rsid w:val="007C30E3"/>
    <w:rsid w:val="007C4AF8"/>
    <w:rsid w:val="007C5AF0"/>
    <w:rsid w:val="007C646D"/>
    <w:rsid w:val="007C6D11"/>
    <w:rsid w:val="007C7ADC"/>
    <w:rsid w:val="007C7B5A"/>
    <w:rsid w:val="007D0602"/>
    <w:rsid w:val="007D169A"/>
    <w:rsid w:val="007D2B08"/>
    <w:rsid w:val="007D5B21"/>
    <w:rsid w:val="007D5E70"/>
    <w:rsid w:val="007D5EC7"/>
    <w:rsid w:val="007D5EFD"/>
    <w:rsid w:val="007E0457"/>
    <w:rsid w:val="007E0958"/>
    <w:rsid w:val="007E0A1C"/>
    <w:rsid w:val="007E1953"/>
    <w:rsid w:val="007E1F73"/>
    <w:rsid w:val="007E21AB"/>
    <w:rsid w:val="007E28E0"/>
    <w:rsid w:val="007E377F"/>
    <w:rsid w:val="007E4B0C"/>
    <w:rsid w:val="007E52EB"/>
    <w:rsid w:val="007E6875"/>
    <w:rsid w:val="007F16B4"/>
    <w:rsid w:val="007F2BB0"/>
    <w:rsid w:val="007F3FDE"/>
    <w:rsid w:val="007F5141"/>
    <w:rsid w:val="007F5FA8"/>
    <w:rsid w:val="007F651F"/>
    <w:rsid w:val="008009BC"/>
    <w:rsid w:val="00800BA7"/>
    <w:rsid w:val="00801608"/>
    <w:rsid w:val="00801FBA"/>
    <w:rsid w:val="008023FE"/>
    <w:rsid w:val="00802B46"/>
    <w:rsid w:val="008053F7"/>
    <w:rsid w:val="008066E6"/>
    <w:rsid w:val="0080704C"/>
    <w:rsid w:val="008079C5"/>
    <w:rsid w:val="008101D1"/>
    <w:rsid w:val="00810407"/>
    <w:rsid w:val="00810E7C"/>
    <w:rsid w:val="00812DFF"/>
    <w:rsid w:val="00813428"/>
    <w:rsid w:val="008135D4"/>
    <w:rsid w:val="008138E0"/>
    <w:rsid w:val="0081468C"/>
    <w:rsid w:val="008207D4"/>
    <w:rsid w:val="00820DB5"/>
    <w:rsid w:val="00821DFC"/>
    <w:rsid w:val="00822A89"/>
    <w:rsid w:val="008247BB"/>
    <w:rsid w:val="00830AB2"/>
    <w:rsid w:val="00832056"/>
    <w:rsid w:val="008326F9"/>
    <w:rsid w:val="008336FE"/>
    <w:rsid w:val="0083370B"/>
    <w:rsid w:val="008349BF"/>
    <w:rsid w:val="00834D41"/>
    <w:rsid w:val="00840681"/>
    <w:rsid w:val="00840E0E"/>
    <w:rsid w:val="00840E83"/>
    <w:rsid w:val="00841AFC"/>
    <w:rsid w:val="00842D1B"/>
    <w:rsid w:val="0084392C"/>
    <w:rsid w:val="008454D2"/>
    <w:rsid w:val="0084642C"/>
    <w:rsid w:val="0084672E"/>
    <w:rsid w:val="00846E03"/>
    <w:rsid w:val="0084757B"/>
    <w:rsid w:val="0084758C"/>
    <w:rsid w:val="00847938"/>
    <w:rsid w:val="00847DA5"/>
    <w:rsid w:val="00850C78"/>
    <w:rsid w:val="0085172A"/>
    <w:rsid w:val="00851DDB"/>
    <w:rsid w:val="00851FA9"/>
    <w:rsid w:val="008527CE"/>
    <w:rsid w:val="00854199"/>
    <w:rsid w:val="00854793"/>
    <w:rsid w:val="0085746C"/>
    <w:rsid w:val="00857983"/>
    <w:rsid w:val="00864196"/>
    <w:rsid w:val="00864EC0"/>
    <w:rsid w:val="00866F39"/>
    <w:rsid w:val="0086765F"/>
    <w:rsid w:val="00870A3E"/>
    <w:rsid w:val="008716B2"/>
    <w:rsid w:val="00871A3A"/>
    <w:rsid w:val="008731B7"/>
    <w:rsid w:val="00874FC3"/>
    <w:rsid w:val="008757A2"/>
    <w:rsid w:val="00876289"/>
    <w:rsid w:val="00877AB8"/>
    <w:rsid w:val="00881F00"/>
    <w:rsid w:val="00882845"/>
    <w:rsid w:val="0088303A"/>
    <w:rsid w:val="008835BF"/>
    <w:rsid w:val="00883772"/>
    <w:rsid w:val="0088485B"/>
    <w:rsid w:val="008859D7"/>
    <w:rsid w:val="00885CFA"/>
    <w:rsid w:val="00885F93"/>
    <w:rsid w:val="00887E21"/>
    <w:rsid w:val="00893D59"/>
    <w:rsid w:val="00893DBA"/>
    <w:rsid w:val="00894561"/>
    <w:rsid w:val="008A02AA"/>
    <w:rsid w:val="008A248F"/>
    <w:rsid w:val="008A329C"/>
    <w:rsid w:val="008A391A"/>
    <w:rsid w:val="008A3B12"/>
    <w:rsid w:val="008A5519"/>
    <w:rsid w:val="008A74B6"/>
    <w:rsid w:val="008A74C3"/>
    <w:rsid w:val="008B0ECA"/>
    <w:rsid w:val="008B146D"/>
    <w:rsid w:val="008B1F0A"/>
    <w:rsid w:val="008B4223"/>
    <w:rsid w:val="008B4E00"/>
    <w:rsid w:val="008B50CB"/>
    <w:rsid w:val="008B5B5A"/>
    <w:rsid w:val="008B722F"/>
    <w:rsid w:val="008C2ED6"/>
    <w:rsid w:val="008C4B55"/>
    <w:rsid w:val="008C4BD2"/>
    <w:rsid w:val="008C6419"/>
    <w:rsid w:val="008C686C"/>
    <w:rsid w:val="008C705E"/>
    <w:rsid w:val="008D012F"/>
    <w:rsid w:val="008D128E"/>
    <w:rsid w:val="008D14A7"/>
    <w:rsid w:val="008D180F"/>
    <w:rsid w:val="008D1D83"/>
    <w:rsid w:val="008D2AAB"/>
    <w:rsid w:val="008D4455"/>
    <w:rsid w:val="008D4CC4"/>
    <w:rsid w:val="008D52F8"/>
    <w:rsid w:val="008D5BA6"/>
    <w:rsid w:val="008D6018"/>
    <w:rsid w:val="008D605F"/>
    <w:rsid w:val="008D68B9"/>
    <w:rsid w:val="008E0252"/>
    <w:rsid w:val="008E05F6"/>
    <w:rsid w:val="008E07F7"/>
    <w:rsid w:val="008E0C79"/>
    <w:rsid w:val="008E272E"/>
    <w:rsid w:val="008E3A97"/>
    <w:rsid w:val="008E5A0D"/>
    <w:rsid w:val="008E62B7"/>
    <w:rsid w:val="008E7E2B"/>
    <w:rsid w:val="008E7F25"/>
    <w:rsid w:val="008F20BE"/>
    <w:rsid w:val="008F21F6"/>
    <w:rsid w:val="008F221E"/>
    <w:rsid w:val="008F38E6"/>
    <w:rsid w:val="008F593B"/>
    <w:rsid w:val="00900023"/>
    <w:rsid w:val="00900533"/>
    <w:rsid w:val="009009F5"/>
    <w:rsid w:val="00906895"/>
    <w:rsid w:val="00911BC3"/>
    <w:rsid w:val="00912834"/>
    <w:rsid w:val="0091358D"/>
    <w:rsid w:val="00914024"/>
    <w:rsid w:val="00917F28"/>
    <w:rsid w:val="00920A46"/>
    <w:rsid w:val="00920C4C"/>
    <w:rsid w:val="00921287"/>
    <w:rsid w:val="00922E32"/>
    <w:rsid w:val="00924439"/>
    <w:rsid w:val="009253F0"/>
    <w:rsid w:val="009262B5"/>
    <w:rsid w:val="009270E7"/>
    <w:rsid w:val="009272D1"/>
    <w:rsid w:val="00927A04"/>
    <w:rsid w:val="00927C5D"/>
    <w:rsid w:val="00927EB6"/>
    <w:rsid w:val="0093015C"/>
    <w:rsid w:val="0093073E"/>
    <w:rsid w:val="00930AA7"/>
    <w:rsid w:val="00930C5E"/>
    <w:rsid w:val="00930F39"/>
    <w:rsid w:val="009324F6"/>
    <w:rsid w:val="00932AB9"/>
    <w:rsid w:val="00933078"/>
    <w:rsid w:val="009331B9"/>
    <w:rsid w:val="009335B0"/>
    <w:rsid w:val="0093363E"/>
    <w:rsid w:val="00934B51"/>
    <w:rsid w:val="00935A49"/>
    <w:rsid w:val="00936631"/>
    <w:rsid w:val="0093666A"/>
    <w:rsid w:val="00936D1B"/>
    <w:rsid w:val="00936FB2"/>
    <w:rsid w:val="00937B4D"/>
    <w:rsid w:val="009429D0"/>
    <w:rsid w:val="00946D22"/>
    <w:rsid w:val="00946E72"/>
    <w:rsid w:val="009531F6"/>
    <w:rsid w:val="00955891"/>
    <w:rsid w:val="009567C9"/>
    <w:rsid w:val="0096071C"/>
    <w:rsid w:val="00960DCE"/>
    <w:rsid w:val="00961010"/>
    <w:rsid w:val="00963BD7"/>
    <w:rsid w:val="0096632E"/>
    <w:rsid w:val="0096746B"/>
    <w:rsid w:val="00967870"/>
    <w:rsid w:val="00967940"/>
    <w:rsid w:val="009722F2"/>
    <w:rsid w:val="00972D3C"/>
    <w:rsid w:val="00975BFB"/>
    <w:rsid w:val="009777CB"/>
    <w:rsid w:val="00980BC7"/>
    <w:rsid w:val="00980BE7"/>
    <w:rsid w:val="0098299C"/>
    <w:rsid w:val="00982CEC"/>
    <w:rsid w:val="0098663C"/>
    <w:rsid w:val="00990368"/>
    <w:rsid w:val="009906D2"/>
    <w:rsid w:val="00990D5D"/>
    <w:rsid w:val="0099102A"/>
    <w:rsid w:val="00991D5F"/>
    <w:rsid w:val="00994A30"/>
    <w:rsid w:val="00997408"/>
    <w:rsid w:val="009A0980"/>
    <w:rsid w:val="009A0D33"/>
    <w:rsid w:val="009A1E7B"/>
    <w:rsid w:val="009A2A3A"/>
    <w:rsid w:val="009A2FD4"/>
    <w:rsid w:val="009A7EB9"/>
    <w:rsid w:val="009B0884"/>
    <w:rsid w:val="009B16CA"/>
    <w:rsid w:val="009B2435"/>
    <w:rsid w:val="009B2B4C"/>
    <w:rsid w:val="009B3B76"/>
    <w:rsid w:val="009B3CB1"/>
    <w:rsid w:val="009B3F22"/>
    <w:rsid w:val="009B4F22"/>
    <w:rsid w:val="009B5634"/>
    <w:rsid w:val="009B6C68"/>
    <w:rsid w:val="009B7CFD"/>
    <w:rsid w:val="009C0BBE"/>
    <w:rsid w:val="009C2244"/>
    <w:rsid w:val="009C22B3"/>
    <w:rsid w:val="009C2D5D"/>
    <w:rsid w:val="009C3079"/>
    <w:rsid w:val="009C3411"/>
    <w:rsid w:val="009C4535"/>
    <w:rsid w:val="009C51BF"/>
    <w:rsid w:val="009C53B2"/>
    <w:rsid w:val="009C5FAB"/>
    <w:rsid w:val="009C650F"/>
    <w:rsid w:val="009D21A6"/>
    <w:rsid w:val="009D366A"/>
    <w:rsid w:val="009D3FBB"/>
    <w:rsid w:val="009D52E0"/>
    <w:rsid w:val="009D63E0"/>
    <w:rsid w:val="009D6F7B"/>
    <w:rsid w:val="009E0298"/>
    <w:rsid w:val="009E0499"/>
    <w:rsid w:val="009E0A08"/>
    <w:rsid w:val="009E1B6B"/>
    <w:rsid w:val="009E1D66"/>
    <w:rsid w:val="009E3567"/>
    <w:rsid w:val="009E458D"/>
    <w:rsid w:val="009E740B"/>
    <w:rsid w:val="009F193E"/>
    <w:rsid w:val="009F1EED"/>
    <w:rsid w:val="009F1F47"/>
    <w:rsid w:val="009F21B8"/>
    <w:rsid w:val="009F319A"/>
    <w:rsid w:val="009F3FF2"/>
    <w:rsid w:val="009F54C8"/>
    <w:rsid w:val="009F5768"/>
    <w:rsid w:val="009F5989"/>
    <w:rsid w:val="009F5A36"/>
    <w:rsid w:val="009F5B31"/>
    <w:rsid w:val="009F67D7"/>
    <w:rsid w:val="009F72A0"/>
    <w:rsid w:val="009F7707"/>
    <w:rsid w:val="009F77E9"/>
    <w:rsid w:val="009F7DCE"/>
    <w:rsid w:val="00A0037E"/>
    <w:rsid w:val="00A00E9B"/>
    <w:rsid w:val="00A017BD"/>
    <w:rsid w:val="00A01AFE"/>
    <w:rsid w:val="00A02C6E"/>
    <w:rsid w:val="00A03514"/>
    <w:rsid w:val="00A04B85"/>
    <w:rsid w:val="00A04FE8"/>
    <w:rsid w:val="00A05893"/>
    <w:rsid w:val="00A05B76"/>
    <w:rsid w:val="00A05E1A"/>
    <w:rsid w:val="00A10362"/>
    <w:rsid w:val="00A11876"/>
    <w:rsid w:val="00A12C51"/>
    <w:rsid w:val="00A1366A"/>
    <w:rsid w:val="00A14513"/>
    <w:rsid w:val="00A14911"/>
    <w:rsid w:val="00A14B10"/>
    <w:rsid w:val="00A154DE"/>
    <w:rsid w:val="00A16DC6"/>
    <w:rsid w:val="00A16DEA"/>
    <w:rsid w:val="00A1730A"/>
    <w:rsid w:val="00A17512"/>
    <w:rsid w:val="00A179F5"/>
    <w:rsid w:val="00A214E4"/>
    <w:rsid w:val="00A21B0A"/>
    <w:rsid w:val="00A21E42"/>
    <w:rsid w:val="00A23639"/>
    <w:rsid w:val="00A25236"/>
    <w:rsid w:val="00A277E8"/>
    <w:rsid w:val="00A27DF5"/>
    <w:rsid w:val="00A3022A"/>
    <w:rsid w:val="00A30CDC"/>
    <w:rsid w:val="00A317AD"/>
    <w:rsid w:val="00A32818"/>
    <w:rsid w:val="00A32FD2"/>
    <w:rsid w:val="00A3388A"/>
    <w:rsid w:val="00A3398C"/>
    <w:rsid w:val="00A3409F"/>
    <w:rsid w:val="00A342E9"/>
    <w:rsid w:val="00A34552"/>
    <w:rsid w:val="00A350DF"/>
    <w:rsid w:val="00A35300"/>
    <w:rsid w:val="00A43777"/>
    <w:rsid w:val="00A44258"/>
    <w:rsid w:val="00A4441D"/>
    <w:rsid w:val="00A44B83"/>
    <w:rsid w:val="00A450E3"/>
    <w:rsid w:val="00A45453"/>
    <w:rsid w:val="00A461B8"/>
    <w:rsid w:val="00A46504"/>
    <w:rsid w:val="00A46599"/>
    <w:rsid w:val="00A47AC8"/>
    <w:rsid w:val="00A47D0A"/>
    <w:rsid w:val="00A50168"/>
    <w:rsid w:val="00A50C26"/>
    <w:rsid w:val="00A50D14"/>
    <w:rsid w:val="00A5312A"/>
    <w:rsid w:val="00A53DAE"/>
    <w:rsid w:val="00A54876"/>
    <w:rsid w:val="00A5500C"/>
    <w:rsid w:val="00A55731"/>
    <w:rsid w:val="00A55776"/>
    <w:rsid w:val="00A5646F"/>
    <w:rsid w:val="00A56505"/>
    <w:rsid w:val="00A565EB"/>
    <w:rsid w:val="00A56A43"/>
    <w:rsid w:val="00A57AE9"/>
    <w:rsid w:val="00A6123D"/>
    <w:rsid w:val="00A615E1"/>
    <w:rsid w:val="00A62576"/>
    <w:rsid w:val="00A63650"/>
    <w:rsid w:val="00A63F7C"/>
    <w:rsid w:val="00A65FDA"/>
    <w:rsid w:val="00A66876"/>
    <w:rsid w:val="00A66C7B"/>
    <w:rsid w:val="00A67A71"/>
    <w:rsid w:val="00A67B3C"/>
    <w:rsid w:val="00A700B9"/>
    <w:rsid w:val="00A70CEE"/>
    <w:rsid w:val="00A719E7"/>
    <w:rsid w:val="00A72067"/>
    <w:rsid w:val="00A77C4F"/>
    <w:rsid w:val="00A77D88"/>
    <w:rsid w:val="00A80D59"/>
    <w:rsid w:val="00A8137A"/>
    <w:rsid w:val="00A81897"/>
    <w:rsid w:val="00A841EB"/>
    <w:rsid w:val="00A8452B"/>
    <w:rsid w:val="00A84BA9"/>
    <w:rsid w:val="00A856B9"/>
    <w:rsid w:val="00A8576E"/>
    <w:rsid w:val="00A862D7"/>
    <w:rsid w:val="00A86A57"/>
    <w:rsid w:val="00A87210"/>
    <w:rsid w:val="00A878D9"/>
    <w:rsid w:val="00A90A90"/>
    <w:rsid w:val="00A91015"/>
    <w:rsid w:val="00A91549"/>
    <w:rsid w:val="00A9241C"/>
    <w:rsid w:val="00A92862"/>
    <w:rsid w:val="00A93362"/>
    <w:rsid w:val="00A93A92"/>
    <w:rsid w:val="00A97840"/>
    <w:rsid w:val="00A97CD9"/>
    <w:rsid w:val="00A97D29"/>
    <w:rsid w:val="00AA0005"/>
    <w:rsid w:val="00AA1B23"/>
    <w:rsid w:val="00AA2D3D"/>
    <w:rsid w:val="00AA48F2"/>
    <w:rsid w:val="00AA5307"/>
    <w:rsid w:val="00AB1976"/>
    <w:rsid w:val="00AB3724"/>
    <w:rsid w:val="00AB4524"/>
    <w:rsid w:val="00AB4D34"/>
    <w:rsid w:val="00AB53E7"/>
    <w:rsid w:val="00AB6891"/>
    <w:rsid w:val="00AB7755"/>
    <w:rsid w:val="00AC10C7"/>
    <w:rsid w:val="00AC2933"/>
    <w:rsid w:val="00AC4BE8"/>
    <w:rsid w:val="00AC5F80"/>
    <w:rsid w:val="00AC72A2"/>
    <w:rsid w:val="00AD1855"/>
    <w:rsid w:val="00AD1DD2"/>
    <w:rsid w:val="00AD3063"/>
    <w:rsid w:val="00AD30D0"/>
    <w:rsid w:val="00AE361F"/>
    <w:rsid w:val="00AE3703"/>
    <w:rsid w:val="00AE3A1E"/>
    <w:rsid w:val="00AE49F2"/>
    <w:rsid w:val="00AE4E9E"/>
    <w:rsid w:val="00AE554B"/>
    <w:rsid w:val="00AE5D85"/>
    <w:rsid w:val="00AE5FF0"/>
    <w:rsid w:val="00AE604E"/>
    <w:rsid w:val="00AE71A1"/>
    <w:rsid w:val="00AF09D4"/>
    <w:rsid w:val="00AF45E7"/>
    <w:rsid w:val="00AF65C3"/>
    <w:rsid w:val="00B01DD6"/>
    <w:rsid w:val="00B023D7"/>
    <w:rsid w:val="00B02B2F"/>
    <w:rsid w:val="00B02DE3"/>
    <w:rsid w:val="00B05E7D"/>
    <w:rsid w:val="00B06227"/>
    <w:rsid w:val="00B07815"/>
    <w:rsid w:val="00B1091D"/>
    <w:rsid w:val="00B118FA"/>
    <w:rsid w:val="00B130D2"/>
    <w:rsid w:val="00B1369D"/>
    <w:rsid w:val="00B1427D"/>
    <w:rsid w:val="00B1516A"/>
    <w:rsid w:val="00B15594"/>
    <w:rsid w:val="00B1601A"/>
    <w:rsid w:val="00B20393"/>
    <w:rsid w:val="00B21E32"/>
    <w:rsid w:val="00B22405"/>
    <w:rsid w:val="00B23252"/>
    <w:rsid w:val="00B2343F"/>
    <w:rsid w:val="00B23BA3"/>
    <w:rsid w:val="00B25AAC"/>
    <w:rsid w:val="00B26B19"/>
    <w:rsid w:val="00B2741A"/>
    <w:rsid w:val="00B2767A"/>
    <w:rsid w:val="00B30AC8"/>
    <w:rsid w:val="00B31284"/>
    <w:rsid w:val="00B31921"/>
    <w:rsid w:val="00B31C04"/>
    <w:rsid w:val="00B328B9"/>
    <w:rsid w:val="00B339DF"/>
    <w:rsid w:val="00B33C5C"/>
    <w:rsid w:val="00B3415F"/>
    <w:rsid w:val="00B3494C"/>
    <w:rsid w:val="00B34E41"/>
    <w:rsid w:val="00B35438"/>
    <w:rsid w:val="00B35ADC"/>
    <w:rsid w:val="00B3626F"/>
    <w:rsid w:val="00B362F4"/>
    <w:rsid w:val="00B37011"/>
    <w:rsid w:val="00B37929"/>
    <w:rsid w:val="00B37CF2"/>
    <w:rsid w:val="00B400F7"/>
    <w:rsid w:val="00B410F4"/>
    <w:rsid w:val="00B4263A"/>
    <w:rsid w:val="00B42BEB"/>
    <w:rsid w:val="00B43549"/>
    <w:rsid w:val="00B43AE3"/>
    <w:rsid w:val="00B44A27"/>
    <w:rsid w:val="00B47743"/>
    <w:rsid w:val="00B50774"/>
    <w:rsid w:val="00B518B7"/>
    <w:rsid w:val="00B51BBC"/>
    <w:rsid w:val="00B52287"/>
    <w:rsid w:val="00B5311A"/>
    <w:rsid w:val="00B548C8"/>
    <w:rsid w:val="00B54A85"/>
    <w:rsid w:val="00B550B1"/>
    <w:rsid w:val="00B55279"/>
    <w:rsid w:val="00B55990"/>
    <w:rsid w:val="00B56F90"/>
    <w:rsid w:val="00B571D9"/>
    <w:rsid w:val="00B57E1E"/>
    <w:rsid w:val="00B60B47"/>
    <w:rsid w:val="00B6118F"/>
    <w:rsid w:val="00B626D4"/>
    <w:rsid w:val="00B62CF2"/>
    <w:rsid w:val="00B64EB6"/>
    <w:rsid w:val="00B6583B"/>
    <w:rsid w:val="00B70E33"/>
    <w:rsid w:val="00B7297E"/>
    <w:rsid w:val="00B73E4C"/>
    <w:rsid w:val="00B77270"/>
    <w:rsid w:val="00B80A38"/>
    <w:rsid w:val="00B80A3A"/>
    <w:rsid w:val="00B81530"/>
    <w:rsid w:val="00B83C9F"/>
    <w:rsid w:val="00B85F4D"/>
    <w:rsid w:val="00B903B5"/>
    <w:rsid w:val="00B91248"/>
    <w:rsid w:val="00B92A7B"/>
    <w:rsid w:val="00B9360C"/>
    <w:rsid w:val="00B938AA"/>
    <w:rsid w:val="00B948A6"/>
    <w:rsid w:val="00B948C5"/>
    <w:rsid w:val="00B94ED9"/>
    <w:rsid w:val="00B960B5"/>
    <w:rsid w:val="00B97578"/>
    <w:rsid w:val="00BA09C7"/>
    <w:rsid w:val="00BA1A2C"/>
    <w:rsid w:val="00BA2F54"/>
    <w:rsid w:val="00BA396D"/>
    <w:rsid w:val="00BA6388"/>
    <w:rsid w:val="00BA6400"/>
    <w:rsid w:val="00BA66D3"/>
    <w:rsid w:val="00BB117B"/>
    <w:rsid w:val="00BB2B91"/>
    <w:rsid w:val="00BB2F43"/>
    <w:rsid w:val="00BB328E"/>
    <w:rsid w:val="00BB37BE"/>
    <w:rsid w:val="00BB3A86"/>
    <w:rsid w:val="00BB430B"/>
    <w:rsid w:val="00BB4F82"/>
    <w:rsid w:val="00BB5A63"/>
    <w:rsid w:val="00BB73FA"/>
    <w:rsid w:val="00BC1928"/>
    <w:rsid w:val="00BC3232"/>
    <w:rsid w:val="00BC368C"/>
    <w:rsid w:val="00BC5A0B"/>
    <w:rsid w:val="00BD0987"/>
    <w:rsid w:val="00BD1260"/>
    <w:rsid w:val="00BD5759"/>
    <w:rsid w:val="00BD7F4D"/>
    <w:rsid w:val="00BE1BBF"/>
    <w:rsid w:val="00BE2CCC"/>
    <w:rsid w:val="00BE2D59"/>
    <w:rsid w:val="00BE2F61"/>
    <w:rsid w:val="00BE59FA"/>
    <w:rsid w:val="00BE5F88"/>
    <w:rsid w:val="00BE6519"/>
    <w:rsid w:val="00BE663C"/>
    <w:rsid w:val="00BF245D"/>
    <w:rsid w:val="00BF368E"/>
    <w:rsid w:val="00BF3805"/>
    <w:rsid w:val="00BF3869"/>
    <w:rsid w:val="00BF4ED3"/>
    <w:rsid w:val="00BF5A29"/>
    <w:rsid w:val="00BF6CEE"/>
    <w:rsid w:val="00C012B2"/>
    <w:rsid w:val="00C01D13"/>
    <w:rsid w:val="00C020B4"/>
    <w:rsid w:val="00C02604"/>
    <w:rsid w:val="00C02752"/>
    <w:rsid w:val="00C04F7A"/>
    <w:rsid w:val="00C05102"/>
    <w:rsid w:val="00C05662"/>
    <w:rsid w:val="00C05951"/>
    <w:rsid w:val="00C067EB"/>
    <w:rsid w:val="00C068B5"/>
    <w:rsid w:val="00C11775"/>
    <w:rsid w:val="00C118F7"/>
    <w:rsid w:val="00C12510"/>
    <w:rsid w:val="00C1382F"/>
    <w:rsid w:val="00C1417B"/>
    <w:rsid w:val="00C1446B"/>
    <w:rsid w:val="00C14EE7"/>
    <w:rsid w:val="00C15CEE"/>
    <w:rsid w:val="00C16446"/>
    <w:rsid w:val="00C20634"/>
    <w:rsid w:val="00C20BA2"/>
    <w:rsid w:val="00C20CA8"/>
    <w:rsid w:val="00C23C47"/>
    <w:rsid w:val="00C23E19"/>
    <w:rsid w:val="00C258A3"/>
    <w:rsid w:val="00C25E27"/>
    <w:rsid w:val="00C26877"/>
    <w:rsid w:val="00C26FB7"/>
    <w:rsid w:val="00C27737"/>
    <w:rsid w:val="00C27BD0"/>
    <w:rsid w:val="00C30B8E"/>
    <w:rsid w:val="00C30FBC"/>
    <w:rsid w:val="00C31412"/>
    <w:rsid w:val="00C328AA"/>
    <w:rsid w:val="00C32916"/>
    <w:rsid w:val="00C32D17"/>
    <w:rsid w:val="00C336EE"/>
    <w:rsid w:val="00C35D56"/>
    <w:rsid w:val="00C36A1B"/>
    <w:rsid w:val="00C37114"/>
    <w:rsid w:val="00C37C38"/>
    <w:rsid w:val="00C40232"/>
    <w:rsid w:val="00C40A08"/>
    <w:rsid w:val="00C42F8A"/>
    <w:rsid w:val="00C46260"/>
    <w:rsid w:val="00C47CCC"/>
    <w:rsid w:val="00C52B71"/>
    <w:rsid w:val="00C52FFA"/>
    <w:rsid w:val="00C53A34"/>
    <w:rsid w:val="00C53B74"/>
    <w:rsid w:val="00C53E4C"/>
    <w:rsid w:val="00C55DF2"/>
    <w:rsid w:val="00C56075"/>
    <w:rsid w:val="00C573CE"/>
    <w:rsid w:val="00C57D97"/>
    <w:rsid w:val="00C60A11"/>
    <w:rsid w:val="00C61904"/>
    <w:rsid w:val="00C6334F"/>
    <w:rsid w:val="00C63958"/>
    <w:rsid w:val="00C64030"/>
    <w:rsid w:val="00C649AE"/>
    <w:rsid w:val="00C64CFD"/>
    <w:rsid w:val="00C64F87"/>
    <w:rsid w:val="00C652CA"/>
    <w:rsid w:val="00C66621"/>
    <w:rsid w:val="00C66DC8"/>
    <w:rsid w:val="00C72894"/>
    <w:rsid w:val="00C7299B"/>
    <w:rsid w:val="00C73853"/>
    <w:rsid w:val="00C74AB8"/>
    <w:rsid w:val="00C76D9A"/>
    <w:rsid w:val="00C7762C"/>
    <w:rsid w:val="00C77917"/>
    <w:rsid w:val="00C80FE4"/>
    <w:rsid w:val="00C81C4A"/>
    <w:rsid w:val="00C828B7"/>
    <w:rsid w:val="00C84237"/>
    <w:rsid w:val="00C84C57"/>
    <w:rsid w:val="00C85CD5"/>
    <w:rsid w:val="00C862E2"/>
    <w:rsid w:val="00C87BCA"/>
    <w:rsid w:val="00C92515"/>
    <w:rsid w:val="00C9389B"/>
    <w:rsid w:val="00C9541F"/>
    <w:rsid w:val="00C9568E"/>
    <w:rsid w:val="00C9599B"/>
    <w:rsid w:val="00C95AE3"/>
    <w:rsid w:val="00C97D06"/>
    <w:rsid w:val="00CA01AA"/>
    <w:rsid w:val="00CA0778"/>
    <w:rsid w:val="00CA1F1A"/>
    <w:rsid w:val="00CA3390"/>
    <w:rsid w:val="00CA35FD"/>
    <w:rsid w:val="00CA4016"/>
    <w:rsid w:val="00CA779B"/>
    <w:rsid w:val="00CA7CB1"/>
    <w:rsid w:val="00CA7F33"/>
    <w:rsid w:val="00CB2A3A"/>
    <w:rsid w:val="00CB395A"/>
    <w:rsid w:val="00CB3EAF"/>
    <w:rsid w:val="00CB419C"/>
    <w:rsid w:val="00CB4E79"/>
    <w:rsid w:val="00CB5177"/>
    <w:rsid w:val="00CB53B2"/>
    <w:rsid w:val="00CB7510"/>
    <w:rsid w:val="00CB7FE8"/>
    <w:rsid w:val="00CC00C0"/>
    <w:rsid w:val="00CC2285"/>
    <w:rsid w:val="00CC4136"/>
    <w:rsid w:val="00CC5450"/>
    <w:rsid w:val="00CC773E"/>
    <w:rsid w:val="00CC7F8A"/>
    <w:rsid w:val="00CC7FC7"/>
    <w:rsid w:val="00CD0BCC"/>
    <w:rsid w:val="00CD11AF"/>
    <w:rsid w:val="00CD212B"/>
    <w:rsid w:val="00CD216E"/>
    <w:rsid w:val="00CD30FD"/>
    <w:rsid w:val="00CD34C9"/>
    <w:rsid w:val="00CD4509"/>
    <w:rsid w:val="00CD46CC"/>
    <w:rsid w:val="00CD4D2C"/>
    <w:rsid w:val="00CD5F23"/>
    <w:rsid w:val="00CD7666"/>
    <w:rsid w:val="00CE0607"/>
    <w:rsid w:val="00CE06E1"/>
    <w:rsid w:val="00CE11DE"/>
    <w:rsid w:val="00CE18B3"/>
    <w:rsid w:val="00CE1BCE"/>
    <w:rsid w:val="00CE27D1"/>
    <w:rsid w:val="00CE2C23"/>
    <w:rsid w:val="00CE3A7D"/>
    <w:rsid w:val="00CE4087"/>
    <w:rsid w:val="00CE65D4"/>
    <w:rsid w:val="00CF091E"/>
    <w:rsid w:val="00CF2E66"/>
    <w:rsid w:val="00CF4039"/>
    <w:rsid w:val="00CF456D"/>
    <w:rsid w:val="00CF4BDC"/>
    <w:rsid w:val="00CF4F55"/>
    <w:rsid w:val="00CF553B"/>
    <w:rsid w:val="00CF56B4"/>
    <w:rsid w:val="00CF5832"/>
    <w:rsid w:val="00D0493E"/>
    <w:rsid w:val="00D04C66"/>
    <w:rsid w:val="00D05799"/>
    <w:rsid w:val="00D07FA0"/>
    <w:rsid w:val="00D102C7"/>
    <w:rsid w:val="00D115CC"/>
    <w:rsid w:val="00D1200E"/>
    <w:rsid w:val="00D12EEE"/>
    <w:rsid w:val="00D15B08"/>
    <w:rsid w:val="00D15BBF"/>
    <w:rsid w:val="00D17A48"/>
    <w:rsid w:val="00D202EB"/>
    <w:rsid w:val="00D20A25"/>
    <w:rsid w:val="00D20EC3"/>
    <w:rsid w:val="00D21D0D"/>
    <w:rsid w:val="00D2329F"/>
    <w:rsid w:val="00D236E2"/>
    <w:rsid w:val="00D26EA0"/>
    <w:rsid w:val="00D274F1"/>
    <w:rsid w:val="00D304EE"/>
    <w:rsid w:val="00D31374"/>
    <w:rsid w:val="00D3212C"/>
    <w:rsid w:val="00D348CC"/>
    <w:rsid w:val="00D349D5"/>
    <w:rsid w:val="00D34F32"/>
    <w:rsid w:val="00D351A9"/>
    <w:rsid w:val="00D35F98"/>
    <w:rsid w:val="00D3712D"/>
    <w:rsid w:val="00D40960"/>
    <w:rsid w:val="00D40DF3"/>
    <w:rsid w:val="00D41732"/>
    <w:rsid w:val="00D4243B"/>
    <w:rsid w:val="00D42D52"/>
    <w:rsid w:val="00D42E55"/>
    <w:rsid w:val="00D43822"/>
    <w:rsid w:val="00D43DB7"/>
    <w:rsid w:val="00D47D98"/>
    <w:rsid w:val="00D51CFD"/>
    <w:rsid w:val="00D5226D"/>
    <w:rsid w:val="00D5242D"/>
    <w:rsid w:val="00D5258B"/>
    <w:rsid w:val="00D54364"/>
    <w:rsid w:val="00D54B44"/>
    <w:rsid w:val="00D54CD1"/>
    <w:rsid w:val="00D55A05"/>
    <w:rsid w:val="00D56411"/>
    <w:rsid w:val="00D56FE1"/>
    <w:rsid w:val="00D57C9F"/>
    <w:rsid w:val="00D605CD"/>
    <w:rsid w:val="00D60B01"/>
    <w:rsid w:val="00D63667"/>
    <w:rsid w:val="00D63FB5"/>
    <w:rsid w:val="00D64131"/>
    <w:rsid w:val="00D644FF"/>
    <w:rsid w:val="00D713CF"/>
    <w:rsid w:val="00D71ACF"/>
    <w:rsid w:val="00D71B65"/>
    <w:rsid w:val="00D7200D"/>
    <w:rsid w:val="00D72489"/>
    <w:rsid w:val="00D72B57"/>
    <w:rsid w:val="00D73A99"/>
    <w:rsid w:val="00D73B29"/>
    <w:rsid w:val="00D749CC"/>
    <w:rsid w:val="00D75044"/>
    <w:rsid w:val="00D76123"/>
    <w:rsid w:val="00D76A81"/>
    <w:rsid w:val="00D77988"/>
    <w:rsid w:val="00D84911"/>
    <w:rsid w:val="00D8525A"/>
    <w:rsid w:val="00D85A55"/>
    <w:rsid w:val="00D86AAE"/>
    <w:rsid w:val="00D86B1D"/>
    <w:rsid w:val="00D87223"/>
    <w:rsid w:val="00D87640"/>
    <w:rsid w:val="00D8771E"/>
    <w:rsid w:val="00D9160A"/>
    <w:rsid w:val="00D93F3C"/>
    <w:rsid w:val="00D9523C"/>
    <w:rsid w:val="00D953D2"/>
    <w:rsid w:val="00D95995"/>
    <w:rsid w:val="00D96C6C"/>
    <w:rsid w:val="00D96E77"/>
    <w:rsid w:val="00D974C8"/>
    <w:rsid w:val="00D97793"/>
    <w:rsid w:val="00DA00C5"/>
    <w:rsid w:val="00DA0D58"/>
    <w:rsid w:val="00DA4689"/>
    <w:rsid w:val="00DA482C"/>
    <w:rsid w:val="00DA4A0B"/>
    <w:rsid w:val="00DA6D5F"/>
    <w:rsid w:val="00DA6FBB"/>
    <w:rsid w:val="00DA7959"/>
    <w:rsid w:val="00DB0E60"/>
    <w:rsid w:val="00DB0EC5"/>
    <w:rsid w:val="00DB1C60"/>
    <w:rsid w:val="00DB2089"/>
    <w:rsid w:val="00DB2C0C"/>
    <w:rsid w:val="00DB4B08"/>
    <w:rsid w:val="00DB5331"/>
    <w:rsid w:val="00DB67D6"/>
    <w:rsid w:val="00DB6AAD"/>
    <w:rsid w:val="00DB6FD8"/>
    <w:rsid w:val="00DB7495"/>
    <w:rsid w:val="00DC0089"/>
    <w:rsid w:val="00DC0C3F"/>
    <w:rsid w:val="00DC0E61"/>
    <w:rsid w:val="00DC316C"/>
    <w:rsid w:val="00DC62D3"/>
    <w:rsid w:val="00DC6C55"/>
    <w:rsid w:val="00DC7072"/>
    <w:rsid w:val="00DC7722"/>
    <w:rsid w:val="00DC799C"/>
    <w:rsid w:val="00DD2259"/>
    <w:rsid w:val="00DD2A21"/>
    <w:rsid w:val="00DD3C8F"/>
    <w:rsid w:val="00DD5077"/>
    <w:rsid w:val="00DD60CA"/>
    <w:rsid w:val="00DD742E"/>
    <w:rsid w:val="00DD7F92"/>
    <w:rsid w:val="00DE1CDA"/>
    <w:rsid w:val="00DE46B3"/>
    <w:rsid w:val="00DE553A"/>
    <w:rsid w:val="00DE6194"/>
    <w:rsid w:val="00DE6518"/>
    <w:rsid w:val="00DE6C03"/>
    <w:rsid w:val="00DF12E7"/>
    <w:rsid w:val="00DF18C7"/>
    <w:rsid w:val="00DF5812"/>
    <w:rsid w:val="00DF5A9E"/>
    <w:rsid w:val="00DF789B"/>
    <w:rsid w:val="00E01192"/>
    <w:rsid w:val="00E02153"/>
    <w:rsid w:val="00E0308F"/>
    <w:rsid w:val="00E0394C"/>
    <w:rsid w:val="00E03C25"/>
    <w:rsid w:val="00E056A7"/>
    <w:rsid w:val="00E070D8"/>
    <w:rsid w:val="00E077A5"/>
    <w:rsid w:val="00E1033B"/>
    <w:rsid w:val="00E1044D"/>
    <w:rsid w:val="00E11FDF"/>
    <w:rsid w:val="00E13246"/>
    <w:rsid w:val="00E13C47"/>
    <w:rsid w:val="00E13CFB"/>
    <w:rsid w:val="00E14222"/>
    <w:rsid w:val="00E144C5"/>
    <w:rsid w:val="00E15984"/>
    <w:rsid w:val="00E15DB3"/>
    <w:rsid w:val="00E15EE6"/>
    <w:rsid w:val="00E1746F"/>
    <w:rsid w:val="00E207A6"/>
    <w:rsid w:val="00E21168"/>
    <w:rsid w:val="00E2474A"/>
    <w:rsid w:val="00E254C8"/>
    <w:rsid w:val="00E25D2A"/>
    <w:rsid w:val="00E26D2B"/>
    <w:rsid w:val="00E26D38"/>
    <w:rsid w:val="00E27A5C"/>
    <w:rsid w:val="00E30D49"/>
    <w:rsid w:val="00E30EA3"/>
    <w:rsid w:val="00E33149"/>
    <w:rsid w:val="00E347E7"/>
    <w:rsid w:val="00E35353"/>
    <w:rsid w:val="00E36530"/>
    <w:rsid w:val="00E40007"/>
    <w:rsid w:val="00E40926"/>
    <w:rsid w:val="00E42111"/>
    <w:rsid w:val="00E43868"/>
    <w:rsid w:val="00E43DEB"/>
    <w:rsid w:val="00E471BD"/>
    <w:rsid w:val="00E50E66"/>
    <w:rsid w:val="00E52145"/>
    <w:rsid w:val="00E549C1"/>
    <w:rsid w:val="00E55D86"/>
    <w:rsid w:val="00E56421"/>
    <w:rsid w:val="00E56511"/>
    <w:rsid w:val="00E574A1"/>
    <w:rsid w:val="00E603AF"/>
    <w:rsid w:val="00E61088"/>
    <w:rsid w:val="00E622D7"/>
    <w:rsid w:val="00E630EC"/>
    <w:rsid w:val="00E633EF"/>
    <w:rsid w:val="00E6344B"/>
    <w:rsid w:val="00E638DB"/>
    <w:rsid w:val="00E639EC"/>
    <w:rsid w:val="00E64F0B"/>
    <w:rsid w:val="00E671A9"/>
    <w:rsid w:val="00E67869"/>
    <w:rsid w:val="00E67F3B"/>
    <w:rsid w:val="00E70B16"/>
    <w:rsid w:val="00E70F2C"/>
    <w:rsid w:val="00E7256F"/>
    <w:rsid w:val="00E729C2"/>
    <w:rsid w:val="00E72EBD"/>
    <w:rsid w:val="00E7313F"/>
    <w:rsid w:val="00E75983"/>
    <w:rsid w:val="00E75A93"/>
    <w:rsid w:val="00E81F3D"/>
    <w:rsid w:val="00E820F5"/>
    <w:rsid w:val="00E82BA2"/>
    <w:rsid w:val="00E83372"/>
    <w:rsid w:val="00E836C2"/>
    <w:rsid w:val="00E83CCC"/>
    <w:rsid w:val="00E84A0F"/>
    <w:rsid w:val="00E855D8"/>
    <w:rsid w:val="00E85B2A"/>
    <w:rsid w:val="00E863A6"/>
    <w:rsid w:val="00E90BC8"/>
    <w:rsid w:val="00E92663"/>
    <w:rsid w:val="00E953AD"/>
    <w:rsid w:val="00E95D28"/>
    <w:rsid w:val="00EA1B56"/>
    <w:rsid w:val="00EA2CB0"/>
    <w:rsid w:val="00EA61CB"/>
    <w:rsid w:val="00EA77A5"/>
    <w:rsid w:val="00EA781D"/>
    <w:rsid w:val="00EB102D"/>
    <w:rsid w:val="00EB14DA"/>
    <w:rsid w:val="00EB256E"/>
    <w:rsid w:val="00EB39A1"/>
    <w:rsid w:val="00EB6F24"/>
    <w:rsid w:val="00EB75D5"/>
    <w:rsid w:val="00EC027C"/>
    <w:rsid w:val="00EC0C2D"/>
    <w:rsid w:val="00EC0D96"/>
    <w:rsid w:val="00EC50A8"/>
    <w:rsid w:val="00EC54A6"/>
    <w:rsid w:val="00EC581C"/>
    <w:rsid w:val="00EC68FA"/>
    <w:rsid w:val="00ED0443"/>
    <w:rsid w:val="00ED16F2"/>
    <w:rsid w:val="00ED2233"/>
    <w:rsid w:val="00ED2785"/>
    <w:rsid w:val="00ED2EEB"/>
    <w:rsid w:val="00ED36BC"/>
    <w:rsid w:val="00ED3DCB"/>
    <w:rsid w:val="00ED6130"/>
    <w:rsid w:val="00ED6593"/>
    <w:rsid w:val="00ED6DC5"/>
    <w:rsid w:val="00ED76DA"/>
    <w:rsid w:val="00ED7721"/>
    <w:rsid w:val="00ED7981"/>
    <w:rsid w:val="00ED7B34"/>
    <w:rsid w:val="00EE109D"/>
    <w:rsid w:val="00EE589D"/>
    <w:rsid w:val="00EE5F9A"/>
    <w:rsid w:val="00EE708A"/>
    <w:rsid w:val="00EE762C"/>
    <w:rsid w:val="00EF37EE"/>
    <w:rsid w:val="00EF3D7E"/>
    <w:rsid w:val="00EF56E0"/>
    <w:rsid w:val="00EF5804"/>
    <w:rsid w:val="00F01C57"/>
    <w:rsid w:val="00F05F0A"/>
    <w:rsid w:val="00F0711E"/>
    <w:rsid w:val="00F07240"/>
    <w:rsid w:val="00F07AF9"/>
    <w:rsid w:val="00F122CC"/>
    <w:rsid w:val="00F1312E"/>
    <w:rsid w:val="00F141B5"/>
    <w:rsid w:val="00F14EE3"/>
    <w:rsid w:val="00F16EA2"/>
    <w:rsid w:val="00F174E2"/>
    <w:rsid w:val="00F21374"/>
    <w:rsid w:val="00F21EAA"/>
    <w:rsid w:val="00F23CA0"/>
    <w:rsid w:val="00F24324"/>
    <w:rsid w:val="00F3197C"/>
    <w:rsid w:val="00F31FE0"/>
    <w:rsid w:val="00F326F7"/>
    <w:rsid w:val="00F34AFB"/>
    <w:rsid w:val="00F3766F"/>
    <w:rsid w:val="00F400F0"/>
    <w:rsid w:val="00F43C69"/>
    <w:rsid w:val="00F44D4E"/>
    <w:rsid w:val="00F4632C"/>
    <w:rsid w:val="00F471D3"/>
    <w:rsid w:val="00F47EAD"/>
    <w:rsid w:val="00F50C4A"/>
    <w:rsid w:val="00F52097"/>
    <w:rsid w:val="00F55D43"/>
    <w:rsid w:val="00F561F9"/>
    <w:rsid w:val="00F60130"/>
    <w:rsid w:val="00F6097D"/>
    <w:rsid w:val="00F6317D"/>
    <w:rsid w:val="00F6337D"/>
    <w:rsid w:val="00F63BB9"/>
    <w:rsid w:val="00F649B2"/>
    <w:rsid w:val="00F65DA2"/>
    <w:rsid w:val="00F66B9D"/>
    <w:rsid w:val="00F67B60"/>
    <w:rsid w:val="00F706BD"/>
    <w:rsid w:val="00F70C25"/>
    <w:rsid w:val="00F72AF7"/>
    <w:rsid w:val="00F73021"/>
    <w:rsid w:val="00F7563D"/>
    <w:rsid w:val="00F75D36"/>
    <w:rsid w:val="00F7659E"/>
    <w:rsid w:val="00F76E94"/>
    <w:rsid w:val="00F80B30"/>
    <w:rsid w:val="00F817BF"/>
    <w:rsid w:val="00F82C93"/>
    <w:rsid w:val="00F84B32"/>
    <w:rsid w:val="00F84BCB"/>
    <w:rsid w:val="00F8604E"/>
    <w:rsid w:val="00F914A8"/>
    <w:rsid w:val="00F9222A"/>
    <w:rsid w:val="00F93E61"/>
    <w:rsid w:val="00F94FB6"/>
    <w:rsid w:val="00F9556B"/>
    <w:rsid w:val="00F96137"/>
    <w:rsid w:val="00F96B50"/>
    <w:rsid w:val="00F96EDE"/>
    <w:rsid w:val="00F97096"/>
    <w:rsid w:val="00F97FD3"/>
    <w:rsid w:val="00FA1437"/>
    <w:rsid w:val="00FA4F1F"/>
    <w:rsid w:val="00FA4FBA"/>
    <w:rsid w:val="00FA630C"/>
    <w:rsid w:val="00FA765D"/>
    <w:rsid w:val="00FB21B3"/>
    <w:rsid w:val="00FB3272"/>
    <w:rsid w:val="00FB36A2"/>
    <w:rsid w:val="00FB3992"/>
    <w:rsid w:val="00FB47C1"/>
    <w:rsid w:val="00FB5FBC"/>
    <w:rsid w:val="00FB7536"/>
    <w:rsid w:val="00FB7E78"/>
    <w:rsid w:val="00FC031C"/>
    <w:rsid w:val="00FC05D2"/>
    <w:rsid w:val="00FC112D"/>
    <w:rsid w:val="00FC2902"/>
    <w:rsid w:val="00FC2BA0"/>
    <w:rsid w:val="00FC3BF4"/>
    <w:rsid w:val="00FC4C95"/>
    <w:rsid w:val="00FC5DAB"/>
    <w:rsid w:val="00FC66C8"/>
    <w:rsid w:val="00FD12F5"/>
    <w:rsid w:val="00FD1C62"/>
    <w:rsid w:val="00FD4F55"/>
    <w:rsid w:val="00FD79FE"/>
    <w:rsid w:val="00FD7C7F"/>
    <w:rsid w:val="00FE0ABE"/>
    <w:rsid w:val="00FE1583"/>
    <w:rsid w:val="00FE158C"/>
    <w:rsid w:val="00FE1B65"/>
    <w:rsid w:val="00FE3A22"/>
    <w:rsid w:val="00FE631A"/>
    <w:rsid w:val="00FE6758"/>
    <w:rsid w:val="00FE6D0A"/>
    <w:rsid w:val="00FE7288"/>
    <w:rsid w:val="00FE7456"/>
    <w:rsid w:val="00FE7580"/>
    <w:rsid w:val="00FE75BA"/>
    <w:rsid w:val="00FF03E3"/>
    <w:rsid w:val="00FF15CE"/>
    <w:rsid w:val="00FF2445"/>
    <w:rsid w:val="00FF2607"/>
    <w:rsid w:val="00FF51C7"/>
    <w:rsid w:val="00FF6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4C4E"/>
  <w15:docId w15:val="{AE1919A5-403E-470C-8D66-38EB6FDA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5AD1"/>
    <w:pPr>
      <w:spacing w:after="0" w:line="240" w:lineRule="auto"/>
      <w:jc w:val="both"/>
    </w:pPr>
    <w:rPr>
      <w:rFonts w:ascii="Calibri" w:eastAsia="Times New Roman" w:hAnsi="Calibri" w:cs="Calibri"/>
      <w:color w:val="000000"/>
      <w:sz w:val="24"/>
      <w:szCs w:val="24"/>
    </w:rPr>
  </w:style>
  <w:style w:type="paragraph" w:styleId="Nadpis1">
    <w:name w:val="heading 1"/>
    <w:basedOn w:val="Normln"/>
    <w:next w:val="Normln"/>
    <w:link w:val="Nadpis1Char"/>
    <w:qFormat/>
    <w:rsid w:val="00B410F4"/>
    <w:pPr>
      <w:keepNext/>
      <w:jc w:val="center"/>
      <w:outlineLvl w:val="0"/>
    </w:pPr>
    <w:rPr>
      <w:b/>
      <w:bCs/>
      <w:sz w:val="36"/>
      <w:szCs w:val="36"/>
    </w:rPr>
  </w:style>
  <w:style w:type="paragraph" w:styleId="Nadpis2">
    <w:name w:val="heading 2"/>
    <w:basedOn w:val="Normln"/>
    <w:next w:val="Normln"/>
    <w:link w:val="Nadpis2Char"/>
    <w:uiPriority w:val="9"/>
    <w:unhideWhenUsed/>
    <w:qFormat/>
    <w:rsid w:val="00E729C2"/>
    <w:pPr>
      <w:keepNext/>
      <w:keepLines/>
      <w:numPr>
        <w:numId w:val="4"/>
      </w:numPr>
      <w:spacing w:before="360" w:after="120"/>
      <w:ind w:left="0" w:firstLine="0"/>
      <w:outlineLvl w:val="1"/>
    </w:pPr>
    <w:rPr>
      <w:rFonts w:eastAsiaTheme="majorEastAsia" w:cstheme="majorBidi"/>
      <w:b/>
      <w:color w:val="auto"/>
      <w:szCs w:val="26"/>
      <w:u w:val="single"/>
    </w:rPr>
  </w:style>
  <w:style w:type="paragraph" w:styleId="Nadpis3">
    <w:name w:val="heading 3"/>
    <w:basedOn w:val="Normln"/>
    <w:next w:val="Normln"/>
    <w:link w:val="Nadpis3Char"/>
    <w:uiPriority w:val="9"/>
    <w:semiHidden/>
    <w:unhideWhenUsed/>
    <w:qFormat/>
    <w:rsid w:val="00496BB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B3724"/>
    <w:rPr>
      <w:b/>
      <w:bCs/>
    </w:rPr>
  </w:style>
  <w:style w:type="table" w:styleId="Mkatabulky">
    <w:name w:val="Table Grid"/>
    <w:basedOn w:val="Normlntabulka"/>
    <w:uiPriority w:val="39"/>
    <w:rsid w:val="00AB3724"/>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Nad,Nadpis pro KZ,odrážky,List Paragraph_0,List Paragraph_1,List Paragraph_2,Odstavec se seznamem1,Odstavec se seznamem2,můj Nadpis 2,List Paragraph,Odstavec cíl se seznamem,Odstavec_muj,Odstavec se seznamem5,_Odstavec se seznamem"/>
    <w:basedOn w:val="Normln"/>
    <w:link w:val="OdstavecseseznamemChar"/>
    <w:uiPriority w:val="34"/>
    <w:qFormat/>
    <w:rsid w:val="00AB3724"/>
    <w:pPr>
      <w:ind w:left="720"/>
      <w:contextualSpacing/>
    </w:pPr>
  </w:style>
  <w:style w:type="character" w:customStyle="1" w:styleId="OdstavecseseznamemChar">
    <w:name w:val="Odstavec se seznamem Char"/>
    <w:aliases w:val="Nad Char,Nadpis pro KZ Char,odrážky Char,List Paragraph_0 Char,List Paragraph_1 Char,List Paragraph_2 Char,Odstavec se seznamem1 Char,Odstavec se seznamem2 Char,můj Nadpis 2 Char,List Paragraph Char,Odstavec_muj Char"/>
    <w:link w:val="Odstavecseseznamem"/>
    <w:uiPriority w:val="34"/>
    <w:qFormat/>
    <w:rsid w:val="00AB3724"/>
    <w:rPr>
      <w:rFonts w:ascii="Calibri" w:eastAsia="Times New Roman" w:hAnsi="Calibri" w:cs="Calibri"/>
      <w:color w:val="000000"/>
      <w:sz w:val="24"/>
      <w:szCs w:val="24"/>
    </w:rPr>
  </w:style>
  <w:style w:type="paragraph" w:customStyle="1" w:styleId="Pa18">
    <w:name w:val="Pa18"/>
    <w:basedOn w:val="Normln"/>
    <w:next w:val="Normln"/>
    <w:uiPriority w:val="99"/>
    <w:rsid w:val="00AB3724"/>
    <w:pPr>
      <w:autoSpaceDE w:val="0"/>
      <w:autoSpaceDN w:val="0"/>
      <w:adjustRightInd w:val="0"/>
      <w:spacing w:line="211" w:lineRule="atLeast"/>
      <w:jc w:val="left"/>
    </w:pPr>
    <w:rPr>
      <w:rFonts w:cs="Times New Roman"/>
      <w:color w:val="auto"/>
      <w:lang w:eastAsia="cs-CZ"/>
    </w:rPr>
  </w:style>
  <w:style w:type="character" w:customStyle="1" w:styleId="A14">
    <w:name w:val="A14"/>
    <w:uiPriority w:val="99"/>
    <w:rsid w:val="00AB3724"/>
    <w:rPr>
      <w:b/>
      <w:color w:val="000000"/>
      <w:sz w:val="54"/>
    </w:rPr>
  </w:style>
  <w:style w:type="paragraph" w:customStyle="1" w:styleId="Pa19">
    <w:name w:val="Pa19"/>
    <w:basedOn w:val="Normln"/>
    <w:next w:val="Normln"/>
    <w:uiPriority w:val="99"/>
    <w:rsid w:val="00AB3724"/>
    <w:pPr>
      <w:autoSpaceDE w:val="0"/>
      <w:autoSpaceDN w:val="0"/>
      <w:adjustRightInd w:val="0"/>
      <w:spacing w:line="211" w:lineRule="atLeast"/>
      <w:jc w:val="left"/>
    </w:pPr>
    <w:rPr>
      <w:rFonts w:cs="Times New Roman"/>
      <w:color w:val="auto"/>
      <w:lang w:eastAsia="cs-CZ"/>
    </w:rPr>
  </w:style>
  <w:style w:type="character" w:customStyle="1" w:styleId="Nadpis1Char">
    <w:name w:val="Nadpis 1 Char"/>
    <w:basedOn w:val="Standardnpsmoodstavce"/>
    <w:link w:val="Nadpis1"/>
    <w:rsid w:val="00B410F4"/>
    <w:rPr>
      <w:rFonts w:ascii="Calibri" w:eastAsia="Times New Roman" w:hAnsi="Calibri" w:cs="Calibri"/>
      <w:b/>
      <w:bCs/>
      <w:color w:val="000000"/>
      <w:sz w:val="36"/>
      <w:szCs w:val="36"/>
    </w:rPr>
  </w:style>
  <w:style w:type="character" w:customStyle="1" w:styleId="Nadpis2Char">
    <w:name w:val="Nadpis 2 Char"/>
    <w:basedOn w:val="Standardnpsmoodstavce"/>
    <w:link w:val="Nadpis2"/>
    <w:uiPriority w:val="9"/>
    <w:rsid w:val="00E729C2"/>
    <w:rPr>
      <w:rFonts w:ascii="Calibri" w:eastAsiaTheme="majorEastAsia" w:hAnsi="Calibri" w:cstheme="majorBidi"/>
      <w:b/>
      <w:sz w:val="24"/>
      <w:szCs w:val="26"/>
      <w:u w:val="single"/>
    </w:rPr>
  </w:style>
  <w:style w:type="paragraph" w:styleId="Textpoznpodarou">
    <w:name w:val="footnote text"/>
    <w:aliases w:val="Boston 10,Font: Geneva 9,Fußnotentextf,Geneva 9,Podrozdzia3,Podrozdział,Schriftart: 10 pt,Schriftart: 8 pt,Schriftart: 9 pt,Text poznámky pod čiarou 007,f,pozn. pod čarou"/>
    <w:basedOn w:val="Normln"/>
    <w:link w:val="TextpoznpodarouChar"/>
    <w:uiPriority w:val="99"/>
    <w:unhideWhenUsed/>
    <w:rsid w:val="00D0493E"/>
    <w:pPr>
      <w:jc w:val="left"/>
    </w:pPr>
    <w:rPr>
      <w:rFonts w:cs="Times New Roman"/>
      <w:color w:val="auto"/>
      <w:sz w:val="20"/>
      <w:szCs w:val="20"/>
    </w:rPr>
  </w:style>
  <w:style w:type="character" w:customStyle="1" w:styleId="TextpoznpodarouChar">
    <w:name w:val="Text pozn. pod čarou Char"/>
    <w:aliases w:val="Boston 10 Char,Font: Geneva 9 Char,Fußnotentextf Char,Geneva 9 Char,Podrozdzia3 Char,Podrozdział Char,Schriftart: 10 pt Char,Schriftart: 8 pt Char,Schriftart: 9 pt Char,Text poznámky pod čiarou 007 Char,f Char"/>
    <w:basedOn w:val="Standardnpsmoodstavce"/>
    <w:link w:val="Textpoznpodarou"/>
    <w:uiPriority w:val="99"/>
    <w:rsid w:val="00D0493E"/>
    <w:rPr>
      <w:rFonts w:ascii="Calibri" w:eastAsia="Times New Roman" w:hAnsi="Calibri" w:cs="Times New Roman"/>
      <w:sz w:val="20"/>
      <w:szCs w:val="20"/>
    </w:rPr>
  </w:style>
  <w:style w:type="character" w:styleId="Znakapoznpodarou">
    <w:name w:val="footnote reference"/>
    <w:aliases w:val="12 b.,Footnote,PGI Fußnote Ziffer,PGI Fußnote Ziffer + Times New Roman,Zúžené o ..."/>
    <w:basedOn w:val="Standardnpsmoodstavce"/>
    <w:uiPriority w:val="99"/>
    <w:unhideWhenUsed/>
    <w:rsid w:val="00D0493E"/>
    <w:rPr>
      <w:vertAlign w:val="superscript"/>
    </w:rPr>
  </w:style>
  <w:style w:type="character" w:styleId="Hypertextovodkaz">
    <w:name w:val="Hyperlink"/>
    <w:basedOn w:val="Standardnpsmoodstavce"/>
    <w:uiPriority w:val="99"/>
    <w:unhideWhenUsed/>
    <w:rsid w:val="00E671A9"/>
    <w:rPr>
      <w:color w:val="0563C1" w:themeColor="hyperlink"/>
      <w:u w:val="single"/>
    </w:rPr>
  </w:style>
  <w:style w:type="paragraph" w:styleId="Textbubliny">
    <w:name w:val="Balloon Text"/>
    <w:basedOn w:val="Normln"/>
    <w:link w:val="TextbublinyChar"/>
    <w:uiPriority w:val="99"/>
    <w:semiHidden/>
    <w:unhideWhenUsed/>
    <w:rsid w:val="00073B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B70"/>
    <w:rPr>
      <w:rFonts w:ascii="Segoe UI" w:eastAsia="Times New Roman" w:hAnsi="Segoe UI" w:cs="Segoe UI"/>
      <w:color w:val="000000"/>
      <w:sz w:val="18"/>
      <w:szCs w:val="18"/>
    </w:rPr>
  </w:style>
  <w:style w:type="paragraph" w:styleId="Zhlav">
    <w:name w:val="header"/>
    <w:basedOn w:val="Normln"/>
    <w:link w:val="ZhlavChar"/>
    <w:uiPriority w:val="99"/>
    <w:unhideWhenUsed/>
    <w:rsid w:val="00570605"/>
    <w:pPr>
      <w:tabs>
        <w:tab w:val="center" w:pos="4536"/>
        <w:tab w:val="right" w:pos="9072"/>
      </w:tabs>
    </w:pPr>
  </w:style>
  <w:style w:type="character" w:customStyle="1" w:styleId="ZhlavChar">
    <w:name w:val="Záhlaví Char"/>
    <w:basedOn w:val="Standardnpsmoodstavce"/>
    <w:link w:val="Zhlav"/>
    <w:uiPriority w:val="99"/>
    <w:rsid w:val="00570605"/>
    <w:rPr>
      <w:rFonts w:ascii="Calibri" w:eastAsia="Times New Roman" w:hAnsi="Calibri" w:cs="Calibri"/>
      <w:color w:val="000000"/>
      <w:sz w:val="24"/>
      <w:szCs w:val="24"/>
    </w:rPr>
  </w:style>
  <w:style w:type="paragraph" w:styleId="Zpat">
    <w:name w:val="footer"/>
    <w:basedOn w:val="Normln"/>
    <w:link w:val="ZpatChar"/>
    <w:unhideWhenUsed/>
    <w:rsid w:val="00570605"/>
    <w:pPr>
      <w:tabs>
        <w:tab w:val="center" w:pos="4536"/>
        <w:tab w:val="right" w:pos="9072"/>
      </w:tabs>
    </w:pPr>
  </w:style>
  <w:style w:type="character" w:customStyle="1" w:styleId="ZpatChar">
    <w:name w:val="Zápatí Char"/>
    <w:basedOn w:val="Standardnpsmoodstavce"/>
    <w:link w:val="Zpat"/>
    <w:uiPriority w:val="99"/>
    <w:rsid w:val="00570605"/>
    <w:rPr>
      <w:rFonts w:ascii="Calibri" w:eastAsia="Times New Roman" w:hAnsi="Calibri" w:cs="Calibri"/>
      <w:color w:val="000000"/>
      <w:sz w:val="24"/>
      <w:szCs w:val="24"/>
    </w:rPr>
  </w:style>
  <w:style w:type="character" w:styleId="Sledovanodkaz">
    <w:name w:val="FollowedHyperlink"/>
    <w:basedOn w:val="Standardnpsmoodstavce"/>
    <w:uiPriority w:val="99"/>
    <w:semiHidden/>
    <w:unhideWhenUsed/>
    <w:rsid w:val="00DB1C60"/>
    <w:rPr>
      <w:color w:val="954F72" w:themeColor="followedHyperlink"/>
      <w:u w:val="single"/>
    </w:rPr>
  </w:style>
  <w:style w:type="paragraph" w:styleId="Normlnweb">
    <w:name w:val="Normal (Web)"/>
    <w:basedOn w:val="Normln"/>
    <w:uiPriority w:val="99"/>
    <w:semiHidden/>
    <w:unhideWhenUsed/>
    <w:rsid w:val="00DD7F92"/>
    <w:pPr>
      <w:spacing w:before="100" w:beforeAutospacing="1" w:after="100" w:afterAutospacing="1"/>
      <w:jc w:val="left"/>
    </w:pPr>
    <w:rPr>
      <w:rFonts w:ascii="Times New Roman" w:eastAsiaTheme="minorEastAsia" w:hAnsi="Times New Roman" w:cs="Times New Roman"/>
      <w:color w:val="auto"/>
      <w:lang w:eastAsia="cs-CZ"/>
    </w:rPr>
  </w:style>
  <w:style w:type="character" w:customStyle="1" w:styleId="A1">
    <w:name w:val="A1"/>
    <w:uiPriority w:val="99"/>
    <w:rsid w:val="00A50168"/>
    <w:rPr>
      <w:color w:val="000000"/>
      <w:sz w:val="28"/>
      <w:szCs w:val="28"/>
    </w:rPr>
  </w:style>
  <w:style w:type="character" w:customStyle="1" w:styleId="A4">
    <w:name w:val="A4"/>
    <w:uiPriority w:val="99"/>
    <w:rsid w:val="00A50168"/>
    <w:rPr>
      <w:color w:val="000000"/>
      <w:sz w:val="60"/>
      <w:szCs w:val="60"/>
    </w:rPr>
  </w:style>
  <w:style w:type="character" w:customStyle="1" w:styleId="A5">
    <w:name w:val="A5"/>
    <w:uiPriority w:val="99"/>
    <w:rsid w:val="00A50168"/>
    <w:rPr>
      <w:b/>
      <w:bCs/>
      <w:color w:val="000000"/>
      <w:sz w:val="40"/>
      <w:szCs w:val="40"/>
    </w:rPr>
  </w:style>
  <w:style w:type="paragraph" w:customStyle="1" w:styleId="Default">
    <w:name w:val="Default"/>
    <w:rsid w:val="00393DFB"/>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Bodytext2">
    <w:name w:val="Body text|2_"/>
    <w:basedOn w:val="Standardnpsmoodstavce"/>
    <w:link w:val="Bodytext20"/>
    <w:rsid w:val="00930F39"/>
    <w:rPr>
      <w:rFonts w:ascii="Calibri" w:eastAsia="Calibri" w:hAnsi="Calibri" w:cs="Calibri"/>
      <w:sz w:val="20"/>
      <w:szCs w:val="20"/>
      <w:shd w:val="clear" w:color="auto" w:fill="FFFFFF"/>
    </w:rPr>
  </w:style>
  <w:style w:type="paragraph" w:customStyle="1" w:styleId="Bodytext20">
    <w:name w:val="Body text|2"/>
    <w:basedOn w:val="Normln"/>
    <w:link w:val="Bodytext2"/>
    <w:qFormat/>
    <w:rsid w:val="00930F39"/>
    <w:pPr>
      <w:widowControl w:val="0"/>
      <w:shd w:val="clear" w:color="auto" w:fill="FFFFFF"/>
      <w:spacing w:after="4560" w:line="206" w:lineRule="exact"/>
      <w:ind w:hanging="360"/>
      <w:jc w:val="left"/>
    </w:pPr>
    <w:rPr>
      <w:rFonts w:eastAsia="Calibri"/>
      <w:color w:val="auto"/>
      <w:sz w:val="20"/>
      <w:szCs w:val="20"/>
    </w:rPr>
  </w:style>
  <w:style w:type="character" w:customStyle="1" w:styleId="Nadpis3Char">
    <w:name w:val="Nadpis 3 Char"/>
    <w:basedOn w:val="Standardnpsmoodstavce"/>
    <w:link w:val="Nadpis3"/>
    <w:uiPriority w:val="9"/>
    <w:semiHidden/>
    <w:rsid w:val="00496BBA"/>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334E93"/>
    <w:rPr>
      <w:sz w:val="16"/>
      <w:szCs w:val="16"/>
    </w:rPr>
  </w:style>
  <w:style w:type="paragraph" w:styleId="Textkomente">
    <w:name w:val="annotation text"/>
    <w:basedOn w:val="Normln"/>
    <w:link w:val="TextkomenteChar"/>
    <w:uiPriority w:val="99"/>
    <w:semiHidden/>
    <w:unhideWhenUsed/>
    <w:rsid w:val="00334E93"/>
    <w:rPr>
      <w:sz w:val="20"/>
      <w:szCs w:val="20"/>
    </w:rPr>
  </w:style>
  <w:style w:type="character" w:customStyle="1" w:styleId="TextkomenteChar">
    <w:name w:val="Text komentáře Char"/>
    <w:basedOn w:val="Standardnpsmoodstavce"/>
    <w:link w:val="Textkomente"/>
    <w:uiPriority w:val="99"/>
    <w:semiHidden/>
    <w:rsid w:val="00334E93"/>
    <w:rPr>
      <w:rFonts w:ascii="Calibri" w:eastAsia="Times New Roman"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334E93"/>
    <w:rPr>
      <w:b/>
      <w:bCs/>
    </w:rPr>
  </w:style>
  <w:style w:type="character" w:customStyle="1" w:styleId="PedmtkomenteChar">
    <w:name w:val="Předmět komentáře Char"/>
    <w:basedOn w:val="TextkomenteChar"/>
    <w:link w:val="Pedmtkomente"/>
    <w:uiPriority w:val="99"/>
    <w:semiHidden/>
    <w:rsid w:val="00334E93"/>
    <w:rPr>
      <w:rFonts w:ascii="Calibri" w:eastAsia="Times New Roman" w:hAnsi="Calibri" w:cs="Calibri"/>
      <w:b/>
      <w:bCs/>
      <w:color w:val="000000"/>
      <w:sz w:val="20"/>
      <w:szCs w:val="20"/>
    </w:rPr>
  </w:style>
  <w:style w:type="paragraph" w:customStyle="1" w:styleId="l4">
    <w:name w:val="l4"/>
    <w:basedOn w:val="Normln"/>
    <w:rsid w:val="00936D1B"/>
    <w:pPr>
      <w:spacing w:before="100" w:beforeAutospacing="1" w:after="100" w:afterAutospacing="1"/>
      <w:jc w:val="left"/>
    </w:pPr>
    <w:rPr>
      <w:rFonts w:ascii="Times New Roman" w:hAnsi="Times New Roman" w:cs="Times New Roman"/>
      <w:color w:val="auto"/>
      <w:lang w:eastAsia="cs-CZ"/>
    </w:rPr>
  </w:style>
  <w:style w:type="paragraph" w:customStyle="1" w:styleId="l5">
    <w:name w:val="l5"/>
    <w:basedOn w:val="Normln"/>
    <w:rsid w:val="00C37C38"/>
    <w:pPr>
      <w:spacing w:before="100" w:beforeAutospacing="1" w:after="100" w:afterAutospacing="1"/>
      <w:jc w:val="left"/>
    </w:pPr>
    <w:rPr>
      <w:rFonts w:ascii="Times New Roman" w:hAnsi="Times New Roman" w:cs="Times New Roman"/>
      <w:color w:val="auto"/>
      <w:lang w:eastAsia="cs-CZ"/>
    </w:rPr>
  </w:style>
  <w:style w:type="character" w:styleId="PromnnHTML">
    <w:name w:val="HTML Variable"/>
    <w:basedOn w:val="Standardnpsmoodstavce"/>
    <w:uiPriority w:val="99"/>
    <w:semiHidden/>
    <w:unhideWhenUsed/>
    <w:rsid w:val="00C37C38"/>
    <w:rPr>
      <w:i/>
      <w:iCs/>
    </w:rPr>
  </w:style>
  <w:style w:type="character" w:styleId="Nevyeenzmnka">
    <w:name w:val="Unresolved Mention"/>
    <w:basedOn w:val="Standardnpsmoodstavce"/>
    <w:uiPriority w:val="99"/>
    <w:semiHidden/>
    <w:unhideWhenUsed/>
    <w:rsid w:val="008C4B55"/>
    <w:rPr>
      <w:color w:val="605E5C"/>
      <w:shd w:val="clear" w:color="auto" w:fill="E1DFDD"/>
    </w:rPr>
  </w:style>
  <w:style w:type="table" w:customStyle="1" w:styleId="Mkatabulky1">
    <w:name w:val="Mřížka tabulky1"/>
    <w:basedOn w:val="Normlntabulka"/>
    <w:next w:val="Mkatabulky"/>
    <w:uiPriority w:val="39"/>
    <w:rsid w:val="0056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9F3FF2"/>
    <w:pPr>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779">
      <w:bodyDiv w:val="1"/>
      <w:marLeft w:val="0"/>
      <w:marRight w:val="0"/>
      <w:marTop w:val="0"/>
      <w:marBottom w:val="0"/>
      <w:divBdr>
        <w:top w:val="none" w:sz="0" w:space="0" w:color="auto"/>
        <w:left w:val="none" w:sz="0" w:space="0" w:color="auto"/>
        <w:bottom w:val="none" w:sz="0" w:space="0" w:color="auto"/>
        <w:right w:val="none" w:sz="0" w:space="0" w:color="auto"/>
      </w:divBdr>
    </w:div>
    <w:div w:id="107966561">
      <w:bodyDiv w:val="1"/>
      <w:marLeft w:val="0"/>
      <w:marRight w:val="0"/>
      <w:marTop w:val="0"/>
      <w:marBottom w:val="0"/>
      <w:divBdr>
        <w:top w:val="none" w:sz="0" w:space="0" w:color="auto"/>
        <w:left w:val="none" w:sz="0" w:space="0" w:color="auto"/>
        <w:bottom w:val="none" w:sz="0" w:space="0" w:color="auto"/>
        <w:right w:val="none" w:sz="0" w:space="0" w:color="auto"/>
      </w:divBdr>
    </w:div>
    <w:div w:id="155651921">
      <w:bodyDiv w:val="1"/>
      <w:marLeft w:val="0"/>
      <w:marRight w:val="0"/>
      <w:marTop w:val="0"/>
      <w:marBottom w:val="0"/>
      <w:divBdr>
        <w:top w:val="none" w:sz="0" w:space="0" w:color="auto"/>
        <w:left w:val="none" w:sz="0" w:space="0" w:color="auto"/>
        <w:bottom w:val="none" w:sz="0" w:space="0" w:color="auto"/>
        <w:right w:val="none" w:sz="0" w:space="0" w:color="auto"/>
      </w:divBdr>
    </w:div>
    <w:div w:id="278224958">
      <w:bodyDiv w:val="1"/>
      <w:marLeft w:val="0"/>
      <w:marRight w:val="0"/>
      <w:marTop w:val="0"/>
      <w:marBottom w:val="0"/>
      <w:divBdr>
        <w:top w:val="none" w:sz="0" w:space="0" w:color="auto"/>
        <w:left w:val="none" w:sz="0" w:space="0" w:color="auto"/>
        <w:bottom w:val="none" w:sz="0" w:space="0" w:color="auto"/>
        <w:right w:val="none" w:sz="0" w:space="0" w:color="auto"/>
      </w:divBdr>
    </w:div>
    <w:div w:id="294339992">
      <w:bodyDiv w:val="1"/>
      <w:marLeft w:val="0"/>
      <w:marRight w:val="0"/>
      <w:marTop w:val="0"/>
      <w:marBottom w:val="0"/>
      <w:divBdr>
        <w:top w:val="none" w:sz="0" w:space="0" w:color="auto"/>
        <w:left w:val="none" w:sz="0" w:space="0" w:color="auto"/>
        <w:bottom w:val="none" w:sz="0" w:space="0" w:color="auto"/>
        <w:right w:val="none" w:sz="0" w:space="0" w:color="auto"/>
      </w:divBdr>
    </w:div>
    <w:div w:id="426846930">
      <w:bodyDiv w:val="1"/>
      <w:marLeft w:val="0"/>
      <w:marRight w:val="0"/>
      <w:marTop w:val="0"/>
      <w:marBottom w:val="0"/>
      <w:divBdr>
        <w:top w:val="none" w:sz="0" w:space="0" w:color="auto"/>
        <w:left w:val="none" w:sz="0" w:space="0" w:color="auto"/>
        <w:bottom w:val="none" w:sz="0" w:space="0" w:color="auto"/>
        <w:right w:val="none" w:sz="0" w:space="0" w:color="auto"/>
      </w:divBdr>
    </w:div>
    <w:div w:id="728311778">
      <w:bodyDiv w:val="1"/>
      <w:marLeft w:val="0"/>
      <w:marRight w:val="0"/>
      <w:marTop w:val="0"/>
      <w:marBottom w:val="0"/>
      <w:divBdr>
        <w:top w:val="none" w:sz="0" w:space="0" w:color="auto"/>
        <w:left w:val="none" w:sz="0" w:space="0" w:color="auto"/>
        <w:bottom w:val="none" w:sz="0" w:space="0" w:color="auto"/>
        <w:right w:val="none" w:sz="0" w:space="0" w:color="auto"/>
      </w:divBdr>
    </w:div>
    <w:div w:id="729890071">
      <w:bodyDiv w:val="1"/>
      <w:marLeft w:val="0"/>
      <w:marRight w:val="0"/>
      <w:marTop w:val="0"/>
      <w:marBottom w:val="0"/>
      <w:divBdr>
        <w:top w:val="none" w:sz="0" w:space="0" w:color="auto"/>
        <w:left w:val="none" w:sz="0" w:space="0" w:color="auto"/>
        <w:bottom w:val="none" w:sz="0" w:space="0" w:color="auto"/>
        <w:right w:val="none" w:sz="0" w:space="0" w:color="auto"/>
      </w:divBdr>
    </w:div>
    <w:div w:id="744650945">
      <w:bodyDiv w:val="1"/>
      <w:marLeft w:val="0"/>
      <w:marRight w:val="0"/>
      <w:marTop w:val="0"/>
      <w:marBottom w:val="0"/>
      <w:divBdr>
        <w:top w:val="none" w:sz="0" w:space="0" w:color="auto"/>
        <w:left w:val="none" w:sz="0" w:space="0" w:color="auto"/>
        <w:bottom w:val="none" w:sz="0" w:space="0" w:color="auto"/>
        <w:right w:val="none" w:sz="0" w:space="0" w:color="auto"/>
      </w:divBdr>
    </w:div>
    <w:div w:id="783305016">
      <w:bodyDiv w:val="1"/>
      <w:marLeft w:val="0"/>
      <w:marRight w:val="0"/>
      <w:marTop w:val="0"/>
      <w:marBottom w:val="0"/>
      <w:divBdr>
        <w:top w:val="none" w:sz="0" w:space="0" w:color="auto"/>
        <w:left w:val="none" w:sz="0" w:space="0" w:color="auto"/>
        <w:bottom w:val="none" w:sz="0" w:space="0" w:color="auto"/>
        <w:right w:val="none" w:sz="0" w:space="0" w:color="auto"/>
      </w:divBdr>
    </w:div>
    <w:div w:id="956645840">
      <w:bodyDiv w:val="1"/>
      <w:marLeft w:val="0"/>
      <w:marRight w:val="0"/>
      <w:marTop w:val="0"/>
      <w:marBottom w:val="0"/>
      <w:divBdr>
        <w:top w:val="none" w:sz="0" w:space="0" w:color="auto"/>
        <w:left w:val="none" w:sz="0" w:space="0" w:color="auto"/>
        <w:bottom w:val="none" w:sz="0" w:space="0" w:color="auto"/>
        <w:right w:val="none" w:sz="0" w:space="0" w:color="auto"/>
      </w:divBdr>
    </w:div>
    <w:div w:id="1022127353">
      <w:bodyDiv w:val="1"/>
      <w:marLeft w:val="0"/>
      <w:marRight w:val="0"/>
      <w:marTop w:val="0"/>
      <w:marBottom w:val="0"/>
      <w:divBdr>
        <w:top w:val="none" w:sz="0" w:space="0" w:color="auto"/>
        <w:left w:val="none" w:sz="0" w:space="0" w:color="auto"/>
        <w:bottom w:val="none" w:sz="0" w:space="0" w:color="auto"/>
        <w:right w:val="none" w:sz="0" w:space="0" w:color="auto"/>
      </w:divBdr>
    </w:div>
    <w:div w:id="1066878773">
      <w:bodyDiv w:val="1"/>
      <w:marLeft w:val="0"/>
      <w:marRight w:val="0"/>
      <w:marTop w:val="0"/>
      <w:marBottom w:val="0"/>
      <w:divBdr>
        <w:top w:val="none" w:sz="0" w:space="0" w:color="auto"/>
        <w:left w:val="none" w:sz="0" w:space="0" w:color="auto"/>
        <w:bottom w:val="none" w:sz="0" w:space="0" w:color="auto"/>
        <w:right w:val="none" w:sz="0" w:space="0" w:color="auto"/>
      </w:divBdr>
    </w:div>
    <w:div w:id="1206525963">
      <w:bodyDiv w:val="1"/>
      <w:marLeft w:val="0"/>
      <w:marRight w:val="0"/>
      <w:marTop w:val="0"/>
      <w:marBottom w:val="0"/>
      <w:divBdr>
        <w:top w:val="none" w:sz="0" w:space="0" w:color="auto"/>
        <w:left w:val="none" w:sz="0" w:space="0" w:color="auto"/>
        <w:bottom w:val="none" w:sz="0" w:space="0" w:color="auto"/>
        <w:right w:val="none" w:sz="0" w:space="0" w:color="auto"/>
      </w:divBdr>
    </w:div>
    <w:div w:id="1274702897">
      <w:bodyDiv w:val="1"/>
      <w:marLeft w:val="0"/>
      <w:marRight w:val="0"/>
      <w:marTop w:val="0"/>
      <w:marBottom w:val="0"/>
      <w:divBdr>
        <w:top w:val="none" w:sz="0" w:space="0" w:color="auto"/>
        <w:left w:val="none" w:sz="0" w:space="0" w:color="auto"/>
        <w:bottom w:val="none" w:sz="0" w:space="0" w:color="auto"/>
        <w:right w:val="none" w:sz="0" w:space="0" w:color="auto"/>
      </w:divBdr>
    </w:div>
    <w:div w:id="1455639382">
      <w:bodyDiv w:val="1"/>
      <w:marLeft w:val="0"/>
      <w:marRight w:val="0"/>
      <w:marTop w:val="0"/>
      <w:marBottom w:val="0"/>
      <w:divBdr>
        <w:top w:val="none" w:sz="0" w:space="0" w:color="auto"/>
        <w:left w:val="none" w:sz="0" w:space="0" w:color="auto"/>
        <w:bottom w:val="none" w:sz="0" w:space="0" w:color="auto"/>
        <w:right w:val="none" w:sz="0" w:space="0" w:color="auto"/>
      </w:divBdr>
    </w:div>
    <w:div w:id="1497183839">
      <w:bodyDiv w:val="1"/>
      <w:marLeft w:val="0"/>
      <w:marRight w:val="0"/>
      <w:marTop w:val="0"/>
      <w:marBottom w:val="0"/>
      <w:divBdr>
        <w:top w:val="none" w:sz="0" w:space="0" w:color="auto"/>
        <w:left w:val="none" w:sz="0" w:space="0" w:color="auto"/>
        <w:bottom w:val="none" w:sz="0" w:space="0" w:color="auto"/>
        <w:right w:val="none" w:sz="0" w:space="0" w:color="auto"/>
      </w:divBdr>
    </w:div>
    <w:div w:id="1623420010">
      <w:bodyDiv w:val="1"/>
      <w:marLeft w:val="0"/>
      <w:marRight w:val="0"/>
      <w:marTop w:val="0"/>
      <w:marBottom w:val="0"/>
      <w:divBdr>
        <w:top w:val="none" w:sz="0" w:space="0" w:color="auto"/>
        <w:left w:val="none" w:sz="0" w:space="0" w:color="auto"/>
        <w:bottom w:val="none" w:sz="0" w:space="0" w:color="auto"/>
        <w:right w:val="none" w:sz="0" w:space="0" w:color="auto"/>
      </w:divBdr>
    </w:div>
    <w:div w:id="1687899564">
      <w:bodyDiv w:val="1"/>
      <w:marLeft w:val="0"/>
      <w:marRight w:val="0"/>
      <w:marTop w:val="0"/>
      <w:marBottom w:val="0"/>
      <w:divBdr>
        <w:top w:val="none" w:sz="0" w:space="0" w:color="auto"/>
        <w:left w:val="none" w:sz="0" w:space="0" w:color="auto"/>
        <w:bottom w:val="none" w:sz="0" w:space="0" w:color="auto"/>
        <w:right w:val="none" w:sz="0" w:space="0" w:color="auto"/>
      </w:divBdr>
    </w:div>
    <w:div w:id="1803576726">
      <w:bodyDiv w:val="1"/>
      <w:marLeft w:val="0"/>
      <w:marRight w:val="0"/>
      <w:marTop w:val="0"/>
      <w:marBottom w:val="0"/>
      <w:divBdr>
        <w:top w:val="none" w:sz="0" w:space="0" w:color="auto"/>
        <w:left w:val="none" w:sz="0" w:space="0" w:color="auto"/>
        <w:bottom w:val="none" w:sz="0" w:space="0" w:color="auto"/>
        <w:right w:val="none" w:sz="0" w:space="0" w:color="auto"/>
      </w:divBdr>
    </w:div>
    <w:div w:id="1905604102">
      <w:bodyDiv w:val="1"/>
      <w:marLeft w:val="0"/>
      <w:marRight w:val="0"/>
      <w:marTop w:val="0"/>
      <w:marBottom w:val="0"/>
      <w:divBdr>
        <w:top w:val="none" w:sz="0" w:space="0" w:color="auto"/>
        <w:left w:val="none" w:sz="0" w:space="0" w:color="auto"/>
        <w:bottom w:val="none" w:sz="0" w:space="0" w:color="auto"/>
        <w:right w:val="none" w:sz="0" w:space="0" w:color="auto"/>
      </w:divBdr>
    </w:div>
    <w:div w:id="20253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vavai.cz/cea?s=subjekty&amp;n=0&amp;ss=detail&amp;h=ico%3A62243136"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smt.cz/vyzkum-a-vyvoj-2/vyzkumne-organiza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svavai.cz/cea?s=subjekty&amp;n=0&amp;ss=detail&amp;h=ico%3A6224313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msmt.cz/vyzkum-a-vyvoj-2/seznam-vyzkumnych-organizac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CHUDOBOVA\KA%2022_21%20(Institucion&#225;ln&#237;%20podpora)\aKONTROLN&#205;%20Z&#193;V&#282;R\graf%20&#269;.%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764497834816403E-4"/>
          <c:y val="4.6093020152141999E-2"/>
          <c:w val="0.48912859068116049"/>
          <c:h val="0.95390697984785799"/>
        </c:manualLayout>
      </c:layout>
      <c:pieChart>
        <c:varyColors val="1"/>
        <c:ser>
          <c:idx val="0"/>
          <c:order val="0"/>
          <c:dPt>
            <c:idx val="0"/>
            <c:bubble3D val="0"/>
            <c:spPr>
              <a:solidFill>
                <a:srgbClr val="004595"/>
              </a:solidFill>
              <a:ln w="19050">
                <a:solidFill>
                  <a:schemeClr val="lt1"/>
                </a:solidFill>
              </a:ln>
              <a:effectLst/>
            </c:spPr>
            <c:extLst>
              <c:ext xmlns:c16="http://schemas.microsoft.com/office/drawing/2014/chart" uri="{C3380CC4-5D6E-409C-BE32-E72D297353CC}">
                <c16:uniqueId val="{00000001-22D5-4D82-A6FC-A1E9CCFF1A55}"/>
              </c:ext>
            </c:extLst>
          </c:dPt>
          <c:dPt>
            <c:idx val="1"/>
            <c:bubble3D val="0"/>
            <c:spPr>
              <a:solidFill>
                <a:srgbClr val="BD2A33">
                  <a:alpha val="60000"/>
                </a:srgbClr>
              </a:solidFill>
              <a:ln w="19050">
                <a:solidFill>
                  <a:schemeClr val="lt1"/>
                </a:solidFill>
              </a:ln>
              <a:effectLst/>
            </c:spPr>
            <c:extLst>
              <c:ext xmlns:c16="http://schemas.microsoft.com/office/drawing/2014/chart" uri="{C3380CC4-5D6E-409C-BE32-E72D297353CC}">
                <c16:uniqueId val="{00000003-22D5-4D82-A6FC-A1E9CCFF1A55}"/>
              </c:ext>
            </c:extLst>
          </c:dPt>
          <c:dPt>
            <c:idx val="2"/>
            <c:bubble3D val="0"/>
            <c:spPr>
              <a:solidFill>
                <a:srgbClr val="C3C5C6"/>
              </a:solidFill>
              <a:ln w="19050">
                <a:solidFill>
                  <a:schemeClr val="lt1"/>
                </a:solidFill>
              </a:ln>
              <a:effectLst/>
            </c:spPr>
            <c:extLst>
              <c:ext xmlns:c16="http://schemas.microsoft.com/office/drawing/2014/chart" uri="{C3380CC4-5D6E-409C-BE32-E72D297353CC}">
                <c16:uniqueId val="{00000005-22D5-4D82-A6FC-A1E9CCFF1A55}"/>
              </c:ext>
            </c:extLst>
          </c:dPt>
          <c:dPt>
            <c:idx val="3"/>
            <c:bubble3D val="0"/>
            <c:spPr>
              <a:solidFill>
                <a:srgbClr val="004595">
                  <a:alpha val="60000"/>
                </a:srgbClr>
              </a:solidFill>
              <a:ln w="19050">
                <a:solidFill>
                  <a:schemeClr val="lt1"/>
                </a:solidFill>
              </a:ln>
              <a:effectLst/>
            </c:spPr>
            <c:extLst>
              <c:ext xmlns:c16="http://schemas.microsoft.com/office/drawing/2014/chart" uri="{C3380CC4-5D6E-409C-BE32-E72D297353CC}">
                <c16:uniqueId val="{00000007-22D5-4D82-A6FC-A1E9CCFF1A55}"/>
              </c:ext>
            </c:extLst>
          </c:dPt>
          <c:dPt>
            <c:idx val="4"/>
            <c:bubble3D val="0"/>
            <c:spPr>
              <a:solidFill>
                <a:srgbClr val="BD2A33"/>
              </a:solidFill>
              <a:ln w="19050">
                <a:solidFill>
                  <a:schemeClr val="lt1"/>
                </a:solidFill>
              </a:ln>
              <a:effectLst/>
            </c:spPr>
            <c:extLst>
              <c:ext xmlns:c16="http://schemas.microsoft.com/office/drawing/2014/chart" uri="{C3380CC4-5D6E-409C-BE32-E72D297353CC}">
                <c16:uniqueId val="{00000009-22D5-4D82-A6FC-A1E9CCFF1A55}"/>
              </c:ext>
            </c:extLst>
          </c:dPt>
          <c:dLbls>
            <c:dLbl>
              <c:idx val="0"/>
              <c:tx>
                <c:rich>
                  <a:bodyPr/>
                  <a:lstStyle/>
                  <a:p>
                    <a:r>
                      <a:rPr lang="en-US"/>
                      <a:t>39,4 %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D5-4D82-A6FC-A1E9CCFF1A55}"/>
                </c:ext>
              </c:extLst>
            </c:dLbl>
            <c:dLbl>
              <c:idx val="1"/>
              <c:layout>
                <c:manualLayout>
                  <c:x val="-1.4508037603332824E-2"/>
                  <c:y val="-8.5118078241032555E-2"/>
                </c:manualLayout>
              </c:layout>
              <c:tx>
                <c:rich>
                  <a:bodyPr/>
                  <a:lstStyle/>
                  <a:p>
                    <a:r>
                      <a:rPr lang="en-US"/>
                      <a:t>18,3 %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D5-4D82-A6FC-A1E9CCFF1A55}"/>
                </c:ext>
              </c:extLst>
            </c:dLbl>
            <c:dLbl>
              <c:idx val="2"/>
              <c:layout>
                <c:manualLayout>
                  <c:x val="8.4655757192400816E-2"/>
                  <c:y val="-0.16116360099441043"/>
                </c:manualLayout>
              </c:layout>
              <c:tx>
                <c:rich>
                  <a:bodyPr/>
                  <a:lstStyle/>
                  <a:p>
                    <a:r>
                      <a:rPr lang="en-US"/>
                      <a:t>10,1 %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D5-4D82-A6FC-A1E9CCFF1A55}"/>
                </c:ext>
              </c:extLst>
            </c:dLbl>
            <c:dLbl>
              <c:idx val="3"/>
              <c:layout>
                <c:manualLayout>
                  <c:x val="5.286687242349554E-2"/>
                  <c:y val="-3.3133576710062805E-2"/>
                </c:manualLayout>
              </c:layout>
              <c:tx>
                <c:rich>
                  <a:bodyPr/>
                  <a:lstStyle/>
                  <a:p>
                    <a:r>
                      <a:rPr lang="en-US"/>
                      <a:t>6,9 %</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D5-4D82-A6FC-A1E9CCFF1A55}"/>
                </c:ext>
              </c:extLst>
            </c:dLbl>
            <c:dLbl>
              <c:idx val="4"/>
              <c:tx>
                <c:rich>
                  <a:bodyPr/>
                  <a:lstStyle/>
                  <a:p>
                    <a:r>
                      <a:rPr lang="en-US"/>
                      <a:t>25,3 %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D5-4D82-A6FC-A1E9CCFF1A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č. 1'!$A$2:$A$6</c:f>
              <c:strCache>
                <c:ptCount val="5"/>
                <c:pt idx="0">
                  <c:v>Osobní náklady nebo výdaje </c:v>
                </c:pt>
                <c:pt idx="1">
                  <c:v>Náklady nebo výdaje na pořízení hmotného a nehmotného majetku</c:v>
                </c:pt>
                <c:pt idx="2">
                  <c:v>Další provozní náklady nebo výdaje</c:v>
                </c:pt>
                <c:pt idx="3">
                  <c:v>Náklady nebo výdaje na služby</c:v>
                </c:pt>
                <c:pt idx="4">
                  <c:v>Doplňkové náklady nebo výdaje</c:v>
                </c:pt>
              </c:strCache>
            </c:strRef>
          </c:cat>
          <c:val>
            <c:numRef>
              <c:f>'graf č. 1'!$B$2:$B$6</c:f>
              <c:numCache>
                <c:formatCode>0.0%</c:formatCode>
                <c:ptCount val="5"/>
                <c:pt idx="0">
                  <c:v>0.39400000000000002</c:v>
                </c:pt>
                <c:pt idx="1">
                  <c:v>0.183</c:v>
                </c:pt>
                <c:pt idx="2">
                  <c:v>0.10100000000000001</c:v>
                </c:pt>
                <c:pt idx="3">
                  <c:v>6.9000000000000006E-2</c:v>
                </c:pt>
                <c:pt idx="4">
                  <c:v>0.253</c:v>
                </c:pt>
              </c:numCache>
            </c:numRef>
          </c:val>
          <c:extLst>
            <c:ext xmlns:c16="http://schemas.microsoft.com/office/drawing/2014/chart" uri="{C3380CC4-5D6E-409C-BE32-E72D297353CC}">
              <c16:uniqueId val="{0000000A-22D5-4D82-A6FC-A1E9CCFF1A5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6885849227224896"/>
          <c:y val="0"/>
          <c:w val="0.53114150772775104"/>
          <c:h val="0.999589181787059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44D2-2867-406A-97EB-33A077FC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BF207-80F3-4C2F-89F8-C50F492DDF8C}">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7580DC5C-83D1-41EA-9ECB-79BEAAECC915}">
  <ds:schemaRefs>
    <ds:schemaRef ds:uri="http://schemas.microsoft.com/sharepoint/v3/contenttype/forms"/>
  </ds:schemaRefs>
</ds:datastoreItem>
</file>

<file path=customXml/itemProps4.xml><?xml version="1.0" encoding="utf-8"?>
<ds:datastoreItem xmlns:ds="http://schemas.openxmlformats.org/officeDocument/2006/customXml" ds:itemID="{C8777D7E-51BF-4AC5-BE45-924FEFCB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6808</Words>
  <Characters>40174</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Kontrolní závěr z kontrolní akce NKÚ č. 22/21 - Peněžní prostředky státního rozpočtu poskytované Ministerstvem průmyslu a obchodu na institucionální podporu výzkumných organizací</vt:lpstr>
    </vt:vector>
  </TitlesOfParts>
  <Company>NKU</Company>
  <LinksUpToDate>false</LinksUpToDate>
  <CharactersWithSpaces>46889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22/21 - Peněžní prostředky státního rozpočtu poskytované Ministerstvem průmyslu a obchodu na institucionální podporu výzkumných organizací</dc:title>
  <dc:subject>Kontrolní závěr z kontrolní akce NKÚ č. 22/21 - Peněžní prostředky státního rozpočtu poskytované Ministerstvem průmyslu a obchodu na institucionální podporu výzkumných organizací</dc:subject>
  <dc:creator>Nejvyšší kontrolní úřad</dc:creator>
  <cp:keywords>kontrolní závěr;podpora výzkumu;výzkum a vývoj;MPO;ministerstvo průmyslu a obchodu</cp:keywords>
  <dc:description/>
  <cp:lastModifiedBy>KOKRDA Daniel</cp:lastModifiedBy>
  <cp:revision>4</cp:revision>
  <cp:lastPrinted>2023-06-07T07:19:00Z</cp:lastPrinted>
  <dcterms:created xsi:type="dcterms:W3CDTF">2023-06-07T07:14:00Z</dcterms:created>
  <dcterms:modified xsi:type="dcterms:W3CDTF">2023-06-07T07:19:00Z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